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E0B0" w14:textId="6AD740C5" w:rsidR="00FD2A48" w:rsidRPr="0040294D" w:rsidRDefault="00FD2A48" w:rsidP="00FD2A48">
      <w:pPr>
        <w:spacing w:line="360" w:lineRule="auto"/>
        <w:jc w:val="center"/>
        <w:outlineLvl w:val="0"/>
        <w:rPr>
          <w:b/>
          <w:bCs/>
          <w:color w:val="191919"/>
          <w:sz w:val="36"/>
          <w:szCs w:val="36"/>
          <w:lang w:val="en-GB"/>
        </w:rPr>
      </w:pPr>
      <w:r w:rsidRPr="0040294D">
        <w:rPr>
          <w:b/>
          <w:bCs/>
          <w:color w:val="191919"/>
          <w:sz w:val="36"/>
          <w:szCs w:val="36"/>
          <w:lang w:val="en-GB"/>
        </w:rPr>
        <w:t>Tying the Acquirer’s Human Resource Management Quality to Cross-Border Acquisition Divestment Probability:</w:t>
      </w:r>
      <w:r w:rsidRPr="0040294D">
        <w:rPr>
          <w:b/>
          <w:bCs/>
          <w:color w:val="191919"/>
          <w:sz w:val="36"/>
          <w:szCs w:val="36"/>
          <w:lang w:val="en-GB"/>
        </w:rPr>
        <w:br/>
        <w:t>Curvilinear Connection with Slacklining</w:t>
      </w:r>
    </w:p>
    <w:p w14:paraId="5F36E6F0" w14:textId="55A6AD70" w:rsidR="00525B10" w:rsidRDefault="00525B10" w:rsidP="00FD2A48">
      <w:pPr>
        <w:spacing w:line="480" w:lineRule="auto"/>
        <w:outlineLvl w:val="0"/>
        <w:rPr>
          <w:b/>
          <w:sz w:val="28"/>
          <w:szCs w:val="28"/>
          <w:lang w:val="en-GB"/>
        </w:rPr>
      </w:pPr>
      <w:r>
        <w:rPr>
          <w:b/>
          <w:sz w:val="28"/>
          <w:szCs w:val="28"/>
          <w:lang w:val="en-GB"/>
        </w:rPr>
        <w:t xml:space="preserve">Cite as: </w:t>
      </w:r>
    </w:p>
    <w:p w14:paraId="7658844B" w14:textId="241D7219" w:rsidR="00525B10" w:rsidRDefault="00525B10" w:rsidP="00FD2A48">
      <w:pPr>
        <w:spacing w:line="480" w:lineRule="auto"/>
        <w:outlineLvl w:val="0"/>
        <w:rPr>
          <w:iCs/>
          <w:szCs w:val="28"/>
        </w:rPr>
      </w:pPr>
      <w:r w:rsidRPr="00525B10">
        <w:rPr>
          <w:bCs/>
          <w:lang w:val="en-GB"/>
        </w:rPr>
        <w:t xml:space="preserve">Avetisyan, E., Baruch, Y., </w:t>
      </w:r>
      <w:proofErr w:type="spellStart"/>
      <w:r w:rsidRPr="00525B10">
        <w:rPr>
          <w:bCs/>
          <w:lang w:val="en-GB"/>
        </w:rPr>
        <w:t>Meschi</w:t>
      </w:r>
      <w:proofErr w:type="spellEnd"/>
      <w:r w:rsidRPr="00525B10">
        <w:rPr>
          <w:bCs/>
          <w:lang w:val="en-GB"/>
        </w:rPr>
        <w:t xml:space="preserve">, P. X., </w:t>
      </w:r>
      <w:proofErr w:type="spellStart"/>
      <w:r w:rsidRPr="00525B10">
        <w:rPr>
          <w:bCs/>
          <w:lang w:val="en-GB"/>
        </w:rPr>
        <w:t>Metais</w:t>
      </w:r>
      <w:proofErr w:type="spellEnd"/>
      <w:r w:rsidRPr="00525B10">
        <w:rPr>
          <w:bCs/>
          <w:lang w:val="en-GB"/>
        </w:rPr>
        <w:t xml:space="preserve">, E., &amp; </w:t>
      </w:r>
      <w:r w:rsidRPr="004721CC">
        <w:rPr>
          <w:bCs/>
          <w:lang w:val="nb-NO"/>
        </w:rPr>
        <w:t>Norheim-Hansen. A.</w:t>
      </w:r>
      <w:r>
        <w:rPr>
          <w:bCs/>
          <w:lang w:val="nb-NO"/>
        </w:rPr>
        <w:t xml:space="preserve"> (2020). </w:t>
      </w:r>
      <w:r w:rsidRPr="00525B10">
        <w:rPr>
          <w:bCs/>
          <w:lang w:val="en-GB"/>
        </w:rPr>
        <w:t>Tying the Acquirer’s Human Resource Management Quality to Cross-Border Acquisition Divestment Probability: Curvilinear Connection with Slacklining</w:t>
      </w:r>
      <w:r>
        <w:rPr>
          <w:bCs/>
          <w:lang w:val="nb-NO"/>
        </w:rPr>
        <w:t xml:space="preserve">. </w:t>
      </w:r>
      <w:r>
        <w:rPr>
          <w:bCs/>
          <w:i/>
          <w:iCs/>
          <w:lang w:val="nb-NO"/>
        </w:rPr>
        <w:t>British Journal of Management</w:t>
      </w:r>
      <w:r>
        <w:rPr>
          <w:bCs/>
          <w:lang w:val="nb-NO"/>
        </w:rPr>
        <w:t xml:space="preserve">, </w:t>
      </w:r>
      <w:r>
        <w:rPr>
          <w:iCs/>
          <w:szCs w:val="28"/>
        </w:rPr>
        <w:t>doi</w:t>
      </w:r>
      <w:r w:rsidRPr="001B466C">
        <w:rPr>
          <w:rFonts w:eastAsia="SimSun"/>
          <w:iCs/>
          <w:szCs w:val="28"/>
        </w:rPr>
        <w:t>:</w:t>
      </w:r>
      <w:r w:rsidRPr="001B466C">
        <w:rPr>
          <w:iCs/>
          <w:szCs w:val="28"/>
        </w:rPr>
        <w:t>10.1111/1467-8551.12403</w:t>
      </w:r>
    </w:p>
    <w:p w14:paraId="3BE36731" w14:textId="6D7FDDCA" w:rsidR="00FD2A48" w:rsidRPr="0040294D" w:rsidRDefault="00FD2A48" w:rsidP="00FD2A48">
      <w:pPr>
        <w:spacing w:line="480" w:lineRule="auto"/>
        <w:outlineLvl w:val="0"/>
        <w:rPr>
          <w:b/>
          <w:sz w:val="28"/>
          <w:szCs w:val="28"/>
          <w:lang w:val="en-GB"/>
        </w:rPr>
      </w:pPr>
      <w:r w:rsidRPr="0040294D">
        <w:rPr>
          <w:b/>
          <w:sz w:val="28"/>
          <w:szCs w:val="28"/>
          <w:lang w:val="en-GB"/>
        </w:rPr>
        <w:t>Abstract</w:t>
      </w:r>
    </w:p>
    <w:p w14:paraId="098C6E15" w14:textId="7D9B58BB" w:rsidR="00AA7F71" w:rsidRPr="0040294D" w:rsidRDefault="00FD2A48" w:rsidP="00FD2A48">
      <w:pPr>
        <w:widowControl w:val="0"/>
        <w:spacing w:line="480" w:lineRule="auto"/>
        <w:jc w:val="both"/>
        <w:rPr>
          <w:color w:val="000000" w:themeColor="text1"/>
          <w:lang w:val="en-GB"/>
        </w:rPr>
      </w:pPr>
      <w:r w:rsidRPr="0040294D">
        <w:rPr>
          <w:color w:val="000000" w:themeColor="text1"/>
          <w:lang w:val="en-GB"/>
        </w:rPr>
        <w:t xml:space="preserve">Cross-border acquisitions are growing in volume and global economic importance, yet a considerable number end in failure. Many of these failures </w:t>
      </w:r>
      <w:r w:rsidR="00AA7F71" w:rsidRPr="0040294D">
        <w:rPr>
          <w:color w:val="000000" w:themeColor="text1"/>
          <w:lang w:val="en-GB"/>
        </w:rPr>
        <w:t>may be linked to</w:t>
      </w:r>
      <w:r w:rsidRPr="0040294D">
        <w:rPr>
          <w:color w:val="000000" w:themeColor="text1"/>
          <w:lang w:val="en-GB"/>
        </w:rPr>
        <w:t xml:space="preserve"> people management</w:t>
      </w:r>
      <w:r w:rsidR="00873992" w:rsidRPr="0040294D">
        <w:rPr>
          <w:color w:val="000000" w:themeColor="text1"/>
          <w:lang w:val="en-GB"/>
        </w:rPr>
        <w:t>-</w:t>
      </w:r>
      <w:r w:rsidRPr="0040294D">
        <w:rPr>
          <w:color w:val="000000" w:themeColor="text1"/>
          <w:lang w:val="en-GB"/>
        </w:rPr>
        <w:t xml:space="preserve">related issues. We extend </w:t>
      </w:r>
      <w:r w:rsidR="00436256" w:rsidRPr="0040294D">
        <w:rPr>
          <w:color w:val="000000" w:themeColor="text1"/>
          <w:lang w:val="en-GB"/>
        </w:rPr>
        <w:t xml:space="preserve">this stream of research </w:t>
      </w:r>
      <w:r w:rsidRPr="0040294D">
        <w:rPr>
          <w:color w:val="000000" w:themeColor="text1"/>
          <w:lang w:val="en-GB"/>
        </w:rPr>
        <w:t xml:space="preserve">by investigating the impact of the acquirer’s aggregate human resource management (HRM) quality on cross-border acquisition divestment. Our empirical </w:t>
      </w:r>
      <w:r w:rsidR="00436256" w:rsidRPr="0040294D">
        <w:rPr>
          <w:color w:val="000000" w:themeColor="text1"/>
          <w:lang w:val="en-GB"/>
        </w:rPr>
        <w:t>analysis</w:t>
      </w:r>
      <w:r w:rsidRPr="0040294D">
        <w:rPr>
          <w:color w:val="000000" w:themeColor="text1"/>
          <w:lang w:val="en-GB"/>
        </w:rPr>
        <w:t xml:space="preserve"> uses a panel database of 4,128 cross-border acquisition/year observation</w:t>
      </w:r>
      <w:r w:rsidR="001B7573" w:rsidRPr="0040294D">
        <w:rPr>
          <w:color w:val="000000" w:themeColor="text1"/>
          <w:lang w:val="en-GB"/>
        </w:rPr>
        <w:t>s</w:t>
      </w:r>
      <w:r w:rsidRPr="0040294D">
        <w:rPr>
          <w:color w:val="000000" w:themeColor="text1"/>
          <w:lang w:val="en-GB"/>
        </w:rPr>
        <w:t xml:space="preserve"> and an event history design. </w:t>
      </w:r>
      <w:r w:rsidR="00436256" w:rsidRPr="0040294D">
        <w:rPr>
          <w:color w:val="000000" w:themeColor="text1"/>
          <w:lang w:val="en-GB"/>
        </w:rPr>
        <w:t>The</w:t>
      </w:r>
      <w:r w:rsidRPr="0040294D">
        <w:rPr>
          <w:color w:val="000000" w:themeColor="text1"/>
          <w:lang w:val="en-GB"/>
        </w:rPr>
        <w:t xml:space="preserve"> findings confirm a curvilinear relationship and suggest that acquisition failures are not merely associated with poor HRM quality, but also with very high levels of HRM quality, </w:t>
      </w:r>
      <w:r w:rsidR="00256A69" w:rsidRPr="0040294D">
        <w:rPr>
          <w:color w:val="000000" w:themeColor="text1"/>
          <w:lang w:val="en-GB"/>
        </w:rPr>
        <w:t>that is</w:t>
      </w:r>
      <w:r w:rsidRPr="0040294D">
        <w:rPr>
          <w:color w:val="000000" w:themeColor="text1"/>
          <w:lang w:val="en-GB"/>
        </w:rPr>
        <w:t>, with both extremes. Moreover, our results show that financial slack has a significant moderating effect on the curvilinear relationship between HRM quality and the likelihood of acquisition divestment.</w:t>
      </w:r>
      <w:r w:rsidR="00AA7F71" w:rsidRPr="0040294D">
        <w:rPr>
          <w:color w:val="000000" w:themeColor="text1"/>
          <w:lang w:val="en-GB"/>
        </w:rPr>
        <w:t xml:space="preserve"> Overall, our study reveals boundary conditions for the widely demonstrated positive relationship between HRM </w:t>
      </w:r>
      <w:r w:rsidR="00E95750">
        <w:rPr>
          <w:color w:val="000000" w:themeColor="text1"/>
          <w:lang w:val="en-GB"/>
        </w:rPr>
        <w:t xml:space="preserve">quality </w:t>
      </w:r>
      <w:r w:rsidR="00AA7F71" w:rsidRPr="0040294D">
        <w:rPr>
          <w:color w:val="000000" w:themeColor="text1"/>
          <w:lang w:val="en-GB"/>
        </w:rPr>
        <w:t>and organizational performance in an acquisition context</w:t>
      </w:r>
      <w:r w:rsidR="00C31737" w:rsidRPr="0040294D">
        <w:rPr>
          <w:color w:val="000000" w:themeColor="text1"/>
          <w:lang w:val="en-GB"/>
        </w:rPr>
        <w:t>.</w:t>
      </w:r>
      <w:r w:rsidR="001E7D46">
        <w:rPr>
          <w:color w:val="000000" w:themeColor="text1"/>
          <w:lang w:val="en-GB"/>
        </w:rPr>
        <w:t xml:space="preserve"> </w:t>
      </w:r>
    </w:p>
    <w:p w14:paraId="42290661" w14:textId="1624B6B4" w:rsidR="00FD2A48" w:rsidRPr="0040294D" w:rsidRDefault="00FD2A48" w:rsidP="00FE2253">
      <w:pPr>
        <w:spacing w:line="480" w:lineRule="auto"/>
        <w:jc w:val="both"/>
        <w:rPr>
          <w:color w:val="000000" w:themeColor="text1"/>
          <w:lang w:val="en-GB"/>
        </w:rPr>
      </w:pPr>
      <w:r w:rsidRPr="0040294D">
        <w:rPr>
          <w:b/>
          <w:color w:val="000000" w:themeColor="text1"/>
          <w:sz w:val="28"/>
          <w:szCs w:val="28"/>
          <w:lang w:val="en-GB"/>
        </w:rPr>
        <w:t>Keywords</w:t>
      </w:r>
      <w:r w:rsidR="00FE2253">
        <w:rPr>
          <w:b/>
          <w:color w:val="000000" w:themeColor="text1"/>
          <w:sz w:val="28"/>
          <w:szCs w:val="28"/>
          <w:lang w:val="en-GB"/>
        </w:rPr>
        <w:t xml:space="preserve">: </w:t>
      </w:r>
      <w:r w:rsidRPr="0040294D">
        <w:rPr>
          <w:color w:val="000000" w:themeColor="text1"/>
          <w:lang w:val="en-GB"/>
        </w:rPr>
        <w:t>Acquisition divestment; cross-border acquisition; human resource management; financial slack; event history design</w:t>
      </w:r>
    </w:p>
    <w:p w14:paraId="3AE696C6" w14:textId="77777777" w:rsidR="00FD2A48" w:rsidRPr="0040294D" w:rsidRDefault="00FD2A48" w:rsidP="00FD2A48">
      <w:pPr>
        <w:spacing w:line="480" w:lineRule="auto"/>
        <w:rPr>
          <w:b/>
          <w:color w:val="000000" w:themeColor="text1"/>
          <w:sz w:val="28"/>
          <w:szCs w:val="28"/>
          <w:lang w:val="en-GB"/>
        </w:rPr>
      </w:pPr>
      <w:r w:rsidRPr="0040294D">
        <w:rPr>
          <w:b/>
          <w:color w:val="000000" w:themeColor="text1"/>
          <w:lang w:val="en-GB"/>
        </w:rPr>
        <w:br w:type="page"/>
      </w:r>
      <w:r w:rsidRPr="0040294D">
        <w:rPr>
          <w:b/>
          <w:color w:val="000000" w:themeColor="text1"/>
          <w:sz w:val="28"/>
          <w:szCs w:val="28"/>
          <w:lang w:val="en-GB"/>
        </w:rPr>
        <w:lastRenderedPageBreak/>
        <w:t>Introduction</w:t>
      </w:r>
    </w:p>
    <w:p w14:paraId="3B32F41C" w14:textId="69DBB31D" w:rsidR="00FD2A48" w:rsidRPr="0040294D" w:rsidRDefault="0040294D" w:rsidP="00FD2A48">
      <w:pPr>
        <w:widowControl w:val="0"/>
        <w:spacing w:after="240" w:line="480" w:lineRule="auto"/>
        <w:ind w:firstLine="284"/>
        <w:jc w:val="center"/>
        <w:rPr>
          <w:color w:val="000000" w:themeColor="text1"/>
          <w:lang w:val="en-GB"/>
        </w:rPr>
      </w:pPr>
      <w:r>
        <w:rPr>
          <w:color w:val="000000" w:themeColor="text1"/>
          <w:lang w:val="en-GB"/>
        </w:rPr>
        <w:t>‘</w:t>
      </w:r>
      <w:r w:rsidR="00FD2A48" w:rsidRPr="0040294D">
        <w:rPr>
          <w:i/>
          <w:color w:val="000000" w:themeColor="text1"/>
          <w:lang w:val="en-GB"/>
        </w:rPr>
        <w:t>By denying scientific principles, one may maintain any paradox</w:t>
      </w:r>
      <w:r>
        <w:rPr>
          <w:color w:val="000000" w:themeColor="text1"/>
          <w:lang w:val="en-GB"/>
        </w:rPr>
        <w:t>’</w:t>
      </w:r>
      <w:r w:rsidR="00FD2A48" w:rsidRPr="0040294D">
        <w:rPr>
          <w:color w:val="000000" w:themeColor="text1"/>
          <w:lang w:val="en-GB"/>
        </w:rPr>
        <w:t xml:space="preserve"> (Galileo Galilei)</w:t>
      </w:r>
    </w:p>
    <w:p w14:paraId="2CCBA945" w14:textId="4C25B886" w:rsidR="00FD2A48" w:rsidRPr="0040294D" w:rsidRDefault="00FD2A48" w:rsidP="00DF57ED">
      <w:pPr>
        <w:widowControl w:val="0"/>
        <w:spacing w:line="480" w:lineRule="auto"/>
        <w:jc w:val="both"/>
        <w:rPr>
          <w:color w:val="000000" w:themeColor="text1"/>
          <w:lang w:val="en-GB"/>
        </w:rPr>
      </w:pPr>
      <w:r w:rsidRPr="0040294D">
        <w:rPr>
          <w:color w:val="000000" w:themeColor="text1"/>
          <w:lang w:val="en-GB"/>
        </w:rPr>
        <w:t xml:space="preserve">A well-known paradox is the popularity of acquisitions to grow and enhance firm value </w:t>
      </w:r>
      <w:r w:rsidRPr="0040294D">
        <w:rPr>
          <w:lang w:val="en-GB"/>
        </w:rPr>
        <w:t xml:space="preserve">despite extensive evidence that </w:t>
      </w:r>
      <w:r w:rsidRPr="0040294D">
        <w:rPr>
          <w:color w:val="000000" w:themeColor="text1"/>
          <w:lang w:val="en-GB"/>
        </w:rPr>
        <w:t xml:space="preserve">about half of them fail (Bauer and </w:t>
      </w:r>
      <w:proofErr w:type="spellStart"/>
      <w:r w:rsidRPr="0040294D">
        <w:rPr>
          <w:color w:val="000000" w:themeColor="text1"/>
          <w:lang w:val="en-GB"/>
        </w:rPr>
        <w:t>Matzler</w:t>
      </w:r>
      <w:proofErr w:type="spellEnd"/>
      <w:r w:rsidRPr="0040294D">
        <w:rPr>
          <w:color w:val="000000" w:themeColor="text1"/>
          <w:lang w:val="en-GB"/>
        </w:rPr>
        <w:t xml:space="preserve">, 2014; Shimizu, </w:t>
      </w:r>
      <w:proofErr w:type="spellStart"/>
      <w:r w:rsidRPr="0040294D">
        <w:rPr>
          <w:color w:val="000000" w:themeColor="text1"/>
          <w:lang w:val="en-GB"/>
        </w:rPr>
        <w:t>Hitt</w:t>
      </w:r>
      <w:proofErr w:type="spellEnd"/>
      <w:r w:rsidRPr="0040294D">
        <w:rPr>
          <w:color w:val="000000" w:themeColor="text1"/>
          <w:lang w:val="en-GB"/>
        </w:rPr>
        <w:t xml:space="preserve">, </w:t>
      </w:r>
      <w:proofErr w:type="spellStart"/>
      <w:r w:rsidRPr="0040294D">
        <w:rPr>
          <w:color w:val="000000" w:themeColor="text1"/>
          <w:lang w:val="en-GB"/>
        </w:rPr>
        <w:t>Vaidyanath</w:t>
      </w:r>
      <w:proofErr w:type="spellEnd"/>
      <w:r w:rsidRPr="0040294D">
        <w:rPr>
          <w:color w:val="000000" w:themeColor="text1"/>
          <w:lang w:val="en-GB"/>
        </w:rPr>
        <w:t>, and Pisano, 2004)</w:t>
      </w:r>
      <w:r w:rsidR="00BE04F5" w:rsidRPr="0040294D">
        <w:rPr>
          <w:color w:val="000000" w:themeColor="text1"/>
          <w:lang w:val="en-GB"/>
        </w:rPr>
        <w:t>,</w:t>
      </w:r>
      <w:r w:rsidRPr="0040294D">
        <w:rPr>
          <w:color w:val="000000" w:themeColor="text1"/>
          <w:lang w:val="en-GB"/>
        </w:rPr>
        <w:t xml:space="preserve"> meaning that the</w:t>
      </w:r>
      <w:r w:rsidR="0040294D">
        <w:rPr>
          <w:color w:val="000000" w:themeColor="text1"/>
          <w:lang w:val="en-GB"/>
        </w:rPr>
        <w:t xml:space="preserve"> ‘</w:t>
      </w:r>
      <w:r w:rsidRPr="0040294D">
        <w:rPr>
          <w:i/>
          <w:color w:val="000000" w:themeColor="text1"/>
          <w:lang w:val="en-GB"/>
        </w:rPr>
        <w:t>potential benefits are not realized or do not offset the costs</w:t>
      </w:r>
      <w:r w:rsidR="0040294D">
        <w:rPr>
          <w:color w:val="000000" w:themeColor="text1"/>
          <w:lang w:val="en-GB"/>
        </w:rPr>
        <w:t>’</w:t>
      </w:r>
      <w:r w:rsidRPr="0040294D">
        <w:rPr>
          <w:color w:val="000000" w:themeColor="text1"/>
          <w:lang w:val="en-GB"/>
        </w:rPr>
        <w:t xml:space="preserve"> (Shimizu and </w:t>
      </w:r>
      <w:proofErr w:type="spellStart"/>
      <w:r w:rsidRPr="0040294D">
        <w:rPr>
          <w:color w:val="000000" w:themeColor="text1"/>
          <w:lang w:val="en-GB"/>
        </w:rPr>
        <w:t>Hitt</w:t>
      </w:r>
      <w:proofErr w:type="spellEnd"/>
      <w:r w:rsidRPr="0040294D">
        <w:rPr>
          <w:color w:val="000000" w:themeColor="text1"/>
          <w:lang w:val="en-GB"/>
        </w:rPr>
        <w:t xml:space="preserve">, 2005, p. 51). The reasons for such disappointing results are numerous and diverse, and strategic as well as financial explanatory variables have been highlighted (Weber and </w:t>
      </w:r>
      <w:proofErr w:type="spellStart"/>
      <w:r w:rsidRPr="0040294D">
        <w:rPr>
          <w:color w:val="000000" w:themeColor="text1"/>
          <w:lang w:val="en-GB"/>
        </w:rPr>
        <w:t>Tarba</w:t>
      </w:r>
      <w:proofErr w:type="spellEnd"/>
      <w:r w:rsidRPr="0040294D">
        <w:rPr>
          <w:color w:val="000000" w:themeColor="text1"/>
          <w:lang w:val="en-GB"/>
        </w:rPr>
        <w:t>, 2010).</w:t>
      </w:r>
      <w:r w:rsidR="005D2F5D">
        <w:rPr>
          <w:color w:val="000000" w:themeColor="text1"/>
          <w:lang w:val="en-GB"/>
        </w:rPr>
        <w:t xml:space="preserve"> </w:t>
      </w:r>
      <w:r w:rsidR="00393C5A">
        <w:rPr>
          <w:color w:val="000000" w:themeColor="text1"/>
          <w:lang w:val="en-GB"/>
        </w:rPr>
        <w:t>Moreover</w:t>
      </w:r>
      <w:r w:rsidR="005D2F5D">
        <w:rPr>
          <w:color w:val="000000" w:themeColor="text1"/>
          <w:lang w:val="en-GB"/>
        </w:rPr>
        <w:t xml:space="preserve">, </w:t>
      </w:r>
      <w:r w:rsidR="00393C5A">
        <w:rPr>
          <w:color w:val="000000" w:themeColor="text1"/>
          <w:lang w:val="en-GB"/>
        </w:rPr>
        <w:t xml:space="preserve">these </w:t>
      </w:r>
      <w:r w:rsidR="00CA16AB">
        <w:rPr>
          <w:color w:val="000000" w:themeColor="text1"/>
          <w:lang w:val="en-GB"/>
        </w:rPr>
        <w:t xml:space="preserve">and other </w:t>
      </w:r>
      <w:r w:rsidR="006703D7">
        <w:rPr>
          <w:color w:val="000000" w:themeColor="text1"/>
          <w:lang w:val="en-GB"/>
        </w:rPr>
        <w:t>influencing</w:t>
      </w:r>
      <w:r w:rsidR="005D2F5D">
        <w:rPr>
          <w:color w:val="000000" w:themeColor="text1"/>
          <w:lang w:val="en-GB"/>
        </w:rPr>
        <w:t xml:space="preserve"> </w:t>
      </w:r>
      <w:r w:rsidR="00CA16AB">
        <w:rPr>
          <w:color w:val="000000" w:themeColor="text1"/>
          <w:lang w:val="en-GB"/>
        </w:rPr>
        <w:t xml:space="preserve">factors </w:t>
      </w:r>
      <w:r w:rsidR="006703D7">
        <w:rPr>
          <w:color w:val="000000" w:themeColor="text1"/>
          <w:lang w:val="en-GB"/>
        </w:rPr>
        <w:t>were</w:t>
      </w:r>
      <w:r w:rsidR="00393C5A">
        <w:rPr>
          <w:color w:val="000000" w:themeColor="text1"/>
          <w:lang w:val="en-GB"/>
        </w:rPr>
        <w:t xml:space="preserve"> found </w:t>
      </w:r>
      <w:r w:rsidR="000C02B3">
        <w:rPr>
          <w:color w:val="000000" w:themeColor="text1"/>
          <w:lang w:val="en-GB"/>
        </w:rPr>
        <w:t>at multiple levels</w:t>
      </w:r>
      <w:r w:rsidR="00393C5A">
        <w:rPr>
          <w:color w:val="000000" w:themeColor="text1"/>
          <w:lang w:val="en-GB"/>
        </w:rPr>
        <w:t xml:space="preserve"> </w:t>
      </w:r>
      <w:r w:rsidR="000C02B3">
        <w:rPr>
          <w:color w:val="000000" w:themeColor="text1"/>
          <w:lang w:val="en-GB"/>
        </w:rPr>
        <w:t>(</w:t>
      </w:r>
      <w:proofErr w:type="spellStart"/>
      <w:r w:rsidR="000C02B3">
        <w:rPr>
          <w:color w:val="000000" w:themeColor="text1"/>
          <w:lang w:val="en-GB"/>
        </w:rPr>
        <w:t>Haleblian</w:t>
      </w:r>
      <w:proofErr w:type="spellEnd"/>
      <w:r w:rsidR="000C02B3">
        <w:rPr>
          <w:color w:val="000000" w:themeColor="text1"/>
          <w:lang w:val="en-GB"/>
        </w:rPr>
        <w:t xml:space="preserve">, Devers, McNamara, Carpenter, and Davison, 2009). </w:t>
      </w:r>
      <w:r w:rsidR="00CA16AB">
        <w:rPr>
          <w:color w:val="000000" w:themeColor="text1"/>
          <w:lang w:val="en-GB"/>
        </w:rPr>
        <w:t>Specifically, a</w:t>
      </w:r>
      <w:r w:rsidR="00F5673C">
        <w:rPr>
          <w:color w:val="000000" w:themeColor="text1"/>
          <w:lang w:val="en-GB"/>
        </w:rPr>
        <w:t>t the deal-</w:t>
      </w:r>
      <w:r w:rsidR="00393C5A">
        <w:rPr>
          <w:color w:val="000000" w:themeColor="text1"/>
          <w:lang w:val="en-GB"/>
        </w:rPr>
        <w:t xml:space="preserve">level, payment method </w:t>
      </w:r>
      <w:r w:rsidR="00CA16AB">
        <w:rPr>
          <w:color w:val="000000" w:themeColor="text1"/>
          <w:lang w:val="en-GB"/>
        </w:rPr>
        <w:t xml:space="preserve">constitutes a much studied example. </w:t>
      </w:r>
      <w:r w:rsidR="00F5673C">
        <w:rPr>
          <w:color w:val="000000" w:themeColor="text1"/>
          <w:lang w:val="en-GB"/>
        </w:rPr>
        <w:t xml:space="preserve">At the </w:t>
      </w:r>
      <w:r w:rsidR="00FF3FE9">
        <w:rPr>
          <w:color w:val="000000" w:themeColor="text1"/>
          <w:lang w:val="en-GB"/>
        </w:rPr>
        <w:t>acquirer</w:t>
      </w:r>
      <w:r w:rsidR="00F5673C">
        <w:rPr>
          <w:color w:val="000000" w:themeColor="text1"/>
          <w:lang w:val="en-GB"/>
        </w:rPr>
        <w:t>-</w:t>
      </w:r>
      <w:r w:rsidR="00CA16AB">
        <w:rPr>
          <w:color w:val="000000" w:themeColor="text1"/>
          <w:lang w:val="en-GB"/>
        </w:rPr>
        <w:t xml:space="preserve">level, </w:t>
      </w:r>
      <w:r w:rsidR="00837ACF">
        <w:rPr>
          <w:color w:val="000000" w:themeColor="text1"/>
          <w:lang w:val="en-GB"/>
        </w:rPr>
        <w:t>the same is true for</w:t>
      </w:r>
      <w:r w:rsidR="00CA16AB">
        <w:rPr>
          <w:color w:val="000000" w:themeColor="text1"/>
          <w:lang w:val="en-GB"/>
        </w:rPr>
        <w:t xml:space="preserve"> size and acquisition</w:t>
      </w:r>
      <w:r w:rsidR="006703D7">
        <w:rPr>
          <w:color w:val="000000" w:themeColor="text1"/>
          <w:lang w:val="en-GB"/>
        </w:rPr>
        <w:t xml:space="preserve"> experience</w:t>
      </w:r>
      <w:r w:rsidR="00DF57ED">
        <w:rPr>
          <w:color w:val="000000" w:themeColor="text1"/>
          <w:lang w:val="en-GB"/>
        </w:rPr>
        <w:t xml:space="preserve"> and</w:t>
      </w:r>
      <w:r w:rsidR="00837ACF">
        <w:rPr>
          <w:color w:val="000000" w:themeColor="text1"/>
          <w:lang w:val="en-GB"/>
        </w:rPr>
        <w:t xml:space="preserve"> at the</w:t>
      </w:r>
      <w:r w:rsidR="00F5673C">
        <w:rPr>
          <w:color w:val="000000" w:themeColor="text1"/>
          <w:lang w:val="en-GB"/>
        </w:rPr>
        <w:t xml:space="preserve"> managerial-</w:t>
      </w:r>
      <w:r w:rsidR="00837ACF">
        <w:rPr>
          <w:color w:val="000000" w:themeColor="text1"/>
          <w:lang w:val="en-GB"/>
        </w:rPr>
        <w:t>level, CEO characteristics</w:t>
      </w:r>
      <w:r w:rsidR="00DF57ED">
        <w:rPr>
          <w:color w:val="000000" w:themeColor="text1"/>
          <w:lang w:val="en-GB"/>
        </w:rPr>
        <w:t>,</w:t>
      </w:r>
      <w:r w:rsidR="00837ACF">
        <w:rPr>
          <w:color w:val="000000" w:themeColor="text1"/>
          <w:lang w:val="en-GB"/>
        </w:rPr>
        <w:t xml:space="preserve"> equity holdings and incentive pay. Finally, at the </w:t>
      </w:r>
      <w:r w:rsidR="00FF3FE9">
        <w:rPr>
          <w:color w:val="000000" w:themeColor="text1"/>
          <w:lang w:val="en-GB"/>
        </w:rPr>
        <w:t>industry</w:t>
      </w:r>
      <w:r w:rsidR="00A674FD">
        <w:rPr>
          <w:color w:val="000000" w:themeColor="text1"/>
          <w:lang w:val="en-GB"/>
        </w:rPr>
        <w:t>-</w:t>
      </w:r>
      <w:r w:rsidR="00837ACF">
        <w:rPr>
          <w:color w:val="000000" w:themeColor="text1"/>
          <w:lang w:val="en-GB"/>
        </w:rPr>
        <w:t xml:space="preserve">level, </w:t>
      </w:r>
      <w:r w:rsidR="00F5673C">
        <w:rPr>
          <w:color w:val="000000" w:themeColor="text1"/>
          <w:lang w:val="en-GB"/>
        </w:rPr>
        <w:t xml:space="preserve">failure rates have been linked to </w:t>
      </w:r>
      <w:r w:rsidR="007171EF">
        <w:rPr>
          <w:color w:val="000000" w:themeColor="text1"/>
          <w:lang w:val="en-GB"/>
        </w:rPr>
        <w:t xml:space="preserve">acquisition </w:t>
      </w:r>
      <w:r w:rsidR="00EF5C1E">
        <w:rPr>
          <w:color w:val="000000" w:themeColor="text1"/>
          <w:lang w:val="en-GB"/>
        </w:rPr>
        <w:t>wave stages</w:t>
      </w:r>
      <w:r w:rsidR="007171EF">
        <w:rPr>
          <w:color w:val="000000" w:themeColor="text1"/>
          <w:lang w:val="en-GB"/>
        </w:rPr>
        <w:t>.</w:t>
      </w:r>
      <w:r w:rsidR="00837ACF">
        <w:rPr>
          <w:color w:val="000000" w:themeColor="text1"/>
          <w:lang w:val="en-GB"/>
        </w:rPr>
        <w:t xml:space="preserve"> </w:t>
      </w:r>
      <w:proofErr w:type="spellStart"/>
      <w:r w:rsidR="000C02B3">
        <w:rPr>
          <w:color w:val="000000" w:themeColor="text1"/>
          <w:lang w:val="en-GB"/>
        </w:rPr>
        <w:t>Haleblian</w:t>
      </w:r>
      <w:proofErr w:type="spellEnd"/>
      <w:r w:rsidR="000C02B3">
        <w:rPr>
          <w:color w:val="000000" w:themeColor="text1"/>
          <w:lang w:val="en-GB"/>
        </w:rPr>
        <w:t xml:space="preserve"> et al. (2009)</w:t>
      </w:r>
      <w:r w:rsidR="00393C5A">
        <w:rPr>
          <w:color w:val="000000" w:themeColor="text1"/>
          <w:lang w:val="en-GB"/>
        </w:rPr>
        <w:t xml:space="preserve"> </w:t>
      </w:r>
      <w:r w:rsidR="00B44DEC">
        <w:rPr>
          <w:color w:val="000000" w:themeColor="text1"/>
          <w:lang w:val="en-GB"/>
        </w:rPr>
        <w:t xml:space="preserve">further </w:t>
      </w:r>
      <w:r w:rsidR="00D1664A">
        <w:rPr>
          <w:color w:val="000000" w:themeColor="text1"/>
          <w:lang w:val="en-GB"/>
        </w:rPr>
        <w:t xml:space="preserve">expose that </w:t>
      </w:r>
      <w:r w:rsidR="00076928">
        <w:rPr>
          <w:color w:val="000000" w:themeColor="text1"/>
          <w:lang w:val="en-GB"/>
        </w:rPr>
        <w:t xml:space="preserve">each </w:t>
      </w:r>
      <w:r w:rsidR="00D1664A">
        <w:rPr>
          <w:color w:val="000000" w:themeColor="text1"/>
          <w:lang w:val="en-GB"/>
        </w:rPr>
        <w:t xml:space="preserve">abovementioned </w:t>
      </w:r>
      <w:r w:rsidR="00D14C72">
        <w:rPr>
          <w:color w:val="000000" w:themeColor="text1"/>
          <w:lang w:val="en-GB"/>
        </w:rPr>
        <w:t xml:space="preserve">example has engendered mixed </w:t>
      </w:r>
      <w:r w:rsidR="00747613">
        <w:rPr>
          <w:color w:val="000000" w:themeColor="text1"/>
          <w:lang w:val="en-GB"/>
        </w:rPr>
        <w:t xml:space="preserve">results and/or </w:t>
      </w:r>
      <w:r w:rsidR="00EF5C1E">
        <w:rPr>
          <w:color w:val="000000" w:themeColor="text1"/>
          <w:lang w:val="en-GB"/>
        </w:rPr>
        <w:t>findings of nonlinearity.</w:t>
      </w:r>
    </w:p>
    <w:p w14:paraId="1C298067" w14:textId="04968161" w:rsidR="00FD2A48" w:rsidRPr="0040294D" w:rsidRDefault="00A570A0" w:rsidP="00DF57ED">
      <w:pPr>
        <w:spacing w:line="480" w:lineRule="auto"/>
        <w:ind w:firstLine="284"/>
        <w:jc w:val="both"/>
        <w:rPr>
          <w:color w:val="000000" w:themeColor="text1"/>
          <w:lang w:val="en-GB"/>
        </w:rPr>
      </w:pPr>
      <w:r>
        <w:rPr>
          <w:color w:val="000000" w:themeColor="text1"/>
          <w:lang w:val="en-GB"/>
        </w:rPr>
        <w:t>Simultaneously</w:t>
      </w:r>
      <w:r w:rsidR="00FD2A48" w:rsidRPr="0040294D">
        <w:rPr>
          <w:color w:val="000000" w:themeColor="text1"/>
          <w:lang w:val="en-GB"/>
        </w:rPr>
        <w:t xml:space="preserve">, a </w:t>
      </w:r>
      <w:r w:rsidR="00171E30">
        <w:rPr>
          <w:color w:val="000000" w:themeColor="text1"/>
          <w:lang w:val="en-GB"/>
        </w:rPr>
        <w:t>literature</w:t>
      </w:r>
      <w:r w:rsidR="00FD2A48" w:rsidRPr="0040294D">
        <w:rPr>
          <w:color w:val="000000" w:themeColor="text1"/>
          <w:lang w:val="en-GB"/>
        </w:rPr>
        <w:t xml:space="preserve"> stream within this large body of scholarly work puts forth human resource management (HRM) as the</w:t>
      </w:r>
      <w:r w:rsidR="0040294D">
        <w:rPr>
          <w:color w:val="000000" w:themeColor="text1"/>
          <w:lang w:val="en-GB"/>
        </w:rPr>
        <w:t xml:space="preserve"> ‘</w:t>
      </w:r>
      <w:r w:rsidR="00FD2A48" w:rsidRPr="0040294D">
        <w:rPr>
          <w:i/>
          <w:color w:val="000000" w:themeColor="text1"/>
          <w:lang w:val="en-GB"/>
        </w:rPr>
        <w:t>most critical factor</w:t>
      </w:r>
      <w:r w:rsidR="0040294D">
        <w:rPr>
          <w:color w:val="000000" w:themeColor="text1"/>
          <w:lang w:val="en-GB"/>
        </w:rPr>
        <w:t>’</w:t>
      </w:r>
      <w:r w:rsidR="00FD2A48" w:rsidRPr="0040294D">
        <w:rPr>
          <w:color w:val="000000" w:themeColor="text1"/>
          <w:lang w:val="en-GB"/>
        </w:rPr>
        <w:t xml:space="preserve"> (Hunt and Downing, 1990; Lin and Wei, 2006; Schuler and Jackson, 2010). </w:t>
      </w:r>
      <w:r w:rsidR="00644B16" w:rsidRPr="0040294D">
        <w:rPr>
          <w:color w:val="000000" w:themeColor="text1"/>
          <w:lang w:val="en-GB"/>
        </w:rPr>
        <w:t>More s</w:t>
      </w:r>
      <w:r w:rsidR="00FD2A48" w:rsidRPr="0040294D">
        <w:rPr>
          <w:color w:val="000000" w:themeColor="text1"/>
          <w:lang w:val="en-GB"/>
        </w:rPr>
        <w:t>pecifically, acquisitions are known to create stress, anxiety</w:t>
      </w:r>
      <w:r w:rsidR="0026669D" w:rsidRPr="0040294D">
        <w:rPr>
          <w:color w:val="000000" w:themeColor="text1"/>
          <w:lang w:val="en-GB"/>
        </w:rPr>
        <w:t>,</w:t>
      </w:r>
      <w:r w:rsidR="00FD2A48" w:rsidRPr="0040294D">
        <w:rPr>
          <w:color w:val="000000" w:themeColor="text1"/>
          <w:lang w:val="en-GB"/>
        </w:rPr>
        <w:t xml:space="preserve"> and resistance among employees (</w:t>
      </w:r>
      <w:proofErr w:type="spellStart"/>
      <w:r w:rsidR="00FD2A48" w:rsidRPr="0040294D">
        <w:rPr>
          <w:color w:val="000000" w:themeColor="text1"/>
          <w:lang w:val="en-GB"/>
        </w:rPr>
        <w:t>Buono</w:t>
      </w:r>
      <w:proofErr w:type="spellEnd"/>
      <w:r w:rsidR="00FD2A48" w:rsidRPr="0040294D">
        <w:rPr>
          <w:color w:val="000000" w:themeColor="text1"/>
          <w:lang w:val="en-GB"/>
        </w:rPr>
        <w:t xml:space="preserve"> and Bowditch, 1989; Gunkel, </w:t>
      </w:r>
      <w:proofErr w:type="spellStart"/>
      <w:r w:rsidR="00FD2A48" w:rsidRPr="0040294D">
        <w:rPr>
          <w:color w:val="000000" w:themeColor="text1"/>
          <w:lang w:val="en-GB"/>
        </w:rPr>
        <w:t>Schlaegel</w:t>
      </w:r>
      <w:proofErr w:type="spellEnd"/>
      <w:r w:rsidR="00FD2A48" w:rsidRPr="0040294D">
        <w:rPr>
          <w:color w:val="000000" w:themeColor="text1"/>
          <w:lang w:val="en-GB"/>
        </w:rPr>
        <w:t xml:space="preserve">, </w:t>
      </w:r>
      <w:proofErr w:type="spellStart"/>
      <w:r w:rsidR="00FD2A48" w:rsidRPr="0040294D">
        <w:rPr>
          <w:color w:val="000000" w:themeColor="text1"/>
          <w:lang w:val="en-GB"/>
        </w:rPr>
        <w:t>Rossteutscher</w:t>
      </w:r>
      <w:proofErr w:type="spellEnd"/>
      <w:r w:rsidR="00FD2A48" w:rsidRPr="0040294D">
        <w:rPr>
          <w:color w:val="000000" w:themeColor="text1"/>
          <w:lang w:val="en-GB"/>
        </w:rPr>
        <w:t xml:space="preserve">, and Wolff, 2015), causing tensions as well as human and organizational challenges both in the pre- and post-acquisition phases (Gomes, Angwin, Weber, and </w:t>
      </w:r>
      <w:proofErr w:type="spellStart"/>
      <w:r w:rsidR="00FD2A48" w:rsidRPr="0040294D">
        <w:rPr>
          <w:color w:val="000000" w:themeColor="text1"/>
          <w:lang w:val="en-GB"/>
        </w:rPr>
        <w:t>Tarba</w:t>
      </w:r>
      <w:proofErr w:type="spellEnd"/>
      <w:r w:rsidR="00FD2A48" w:rsidRPr="0040294D">
        <w:rPr>
          <w:color w:val="000000" w:themeColor="text1"/>
          <w:lang w:val="en-GB"/>
        </w:rPr>
        <w:t xml:space="preserve">, 2013; </w:t>
      </w:r>
      <w:r w:rsidR="00FD2A48" w:rsidRPr="0040294D">
        <w:rPr>
          <w:color w:val="000000" w:themeColor="text1"/>
          <w:shd w:val="clear" w:color="auto" w:fill="FFFFFF"/>
          <w:lang w:val="en-GB"/>
        </w:rPr>
        <w:t xml:space="preserve">Khan, Soundararajan, Wood, and </w:t>
      </w:r>
      <w:proofErr w:type="spellStart"/>
      <w:r w:rsidR="00FD2A48" w:rsidRPr="0040294D">
        <w:rPr>
          <w:color w:val="000000" w:themeColor="text1"/>
          <w:shd w:val="clear" w:color="auto" w:fill="FFFFFF"/>
          <w:lang w:val="en-GB"/>
        </w:rPr>
        <w:t>Ahammad</w:t>
      </w:r>
      <w:proofErr w:type="spellEnd"/>
      <w:r w:rsidR="00FD2A48" w:rsidRPr="0040294D">
        <w:rPr>
          <w:color w:val="000000" w:themeColor="text1"/>
          <w:shd w:val="clear" w:color="auto" w:fill="FFFFFF"/>
          <w:lang w:val="en-GB"/>
        </w:rPr>
        <w:t>, 2017</w:t>
      </w:r>
      <w:r w:rsidR="00FD2A48" w:rsidRPr="0040294D">
        <w:rPr>
          <w:color w:val="000000" w:themeColor="text1"/>
          <w:lang w:val="en-GB"/>
        </w:rPr>
        <w:t xml:space="preserve">). In the latter phase, also referred to as the integration phase, acquisition processes trigger acculturation of the acquired firm and, thus, its values, routines, and practices are redefined. Moreover, acquisitions can create psychological and cultural shocks, </w:t>
      </w:r>
      <w:r w:rsidR="00FD2A48" w:rsidRPr="0040294D">
        <w:rPr>
          <w:color w:val="000000" w:themeColor="text1"/>
          <w:lang w:val="en-GB"/>
        </w:rPr>
        <w:lastRenderedPageBreak/>
        <w:t>which in turn may deeply impair the outcome of post-acquisition integration (</w:t>
      </w:r>
      <w:proofErr w:type="spellStart"/>
      <w:r w:rsidR="00FD2A48" w:rsidRPr="0040294D">
        <w:rPr>
          <w:color w:val="000000" w:themeColor="text1"/>
          <w:lang w:val="en-GB"/>
        </w:rPr>
        <w:t>Buono</w:t>
      </w:r>
      <w:proofErr w:type="spellEnd"/>
      <w:r w:rsidR="00FD2A48" w:rsidRPr="0040294D">
        <w:rPr>
          <w:color w:val="000000" w:themeColor="text1"/>
          <w:lang w:val="en-GB"/>
        </w:rPr>
        <w:t xml:space="preserve"> and Bowditch, 1989).</w:t>
      </w:r>
    </w:p>
    <w:p w14:paraId="7F2FBC11" w14:textId="7C5541A7" w:rsidR="00FD2A48" w:rsidRPr="0040294D" w:rsidRDefault="00FD2A48" w:rsidP="00FD2A48">
      <w:pPr>
        <w:widowControl w:val="0"/>
        <w:spacing w:line="480" w:lineRule="auto"/>
        <w:ind w:firstLine="284"/>
        <w:jc w:val="both"/>
        <w:rPr>
          <w:color w:val="000000" w:themeColor="text1"/>
          <w:lang w:val="en-GB"/>
        </w:rPr>
      </w:pPr>
      <w:r w:rsidRPr="0040294D">
        <w:rPr>
          <w:color w:val="000000" w:themeColor="text1"/>
          <w:lang w:val="en-GB"/>
        </w:rPr>
        <w:t xml:space="preserve">These hazards are especially </w:t>
      </w:r>
      <w:r w:rsidR="00913159" w:rsidRPr="0040294D">
        <w:rPr>
          <w:color w:val="000000" w:themeColor="text1"/>
          <w:lang w:val="en-GB"/>
        </w:rPr>
        <w:t xml:space="preserve">problematic </w:t>
      </w:r>
      <w:r w:rsidRPr="0040294D">
        <w:rPr>
          <w:color w:val="000000" w:themeColor="text1"/>
          <w:lang w:val="en-GB"/>
        </w:rPr>
        <w:t xml:space="preserve">in the context of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s, which are very intricate phenomenon posing tremendous challenges (</w:t>
      </w:r>
      <w:r w:rsidRPr="0040294D">
        <w:rPr>
          <w:lang w:val="en-GB"/>
        </w:rPr>
        <w:t xml:space="preserve">Colombo, Conca, Buongiorno, and </w:t>
      </w:r>
      <w:proofErr w:type="spellStart"/>
      <w:r w:rsidRPr="0040294D">
        <w:rPr>
          <w:lang w:val="en-GB"/>
        </w:rPr>
        <w:t>Gnan</w:t>
      </w:r>
      <w:proofErr w:type="spellEnd"/>
      <w:r w:rsidRPr="0040294D">
        <w:rPr>
          <w:lang w:val="en-GB"/>
        </w:rPr>
        <w:t xml:space="preserve">, 2007; </w:t>
      </w:r>
      <w:r w:rsidRPr="0040294D">
        <w:rPr>
          <w:color w:val="000000" w:themeColor="text1"/>
          <w:lang w:val="en-GB"/>
        </w:rPr>
        <w:t xml:space="preserve">Shimizu et al., 2004), </w:t>
      </w:r>
      <w:r w:rsidR="00026CAE" w:rsidRPr="0040294D">
        <w:rPr>
          <w:color w:val="000000" w:themeColor="text1"/>
          <w:lang w:val="en-GB"/>
        </w:rPr>
        <w:t xml:space="preserve">being </w:t>
      </w:r>
      <w:r w:rsidRPr="0040294D">
        <w:rPr>
          <w:color w:val="000000" w:themeColor="text1"/>
          <w:lang w:val="en-GB"/>
        </w:rPr>
        <w:t>influenced by national cultural distance, business practices</w:t>
      </w:r>
      <w:r w:rsidR="00026CAE" w:rsidRPr="0040294D">
        <w:rPr>
          <w:color w:val="000000" w:themeColor="text1"/>
          <w:lang w:val="en-GB"/>
        </w:rPr>
        <w:t>,</w:t>
      </w:r>
      <w:r w:rsidRPr="0040294D">
        <w:rPr>
          <w:color w:val="000000" w:themeColor="text1"/>
          <w:lang w:val="en-GB"/>
        </w:rPr>
        <w:t xml:space="preserve"> and institutional forces in addition to organizational differences (</w:t>
      </w:r>
      <w:r w:rsidRPr="0040294D">
        <w:rPr>
          <w:rFonts w:eastAsia="TimesNewRomanPSMT"/>
          <w:color w:val="000000" w:themeColor="text1"/>
          <w:lang w:val="en-GB"/>
        </w:rPr>
        <w:t xml:space="preserve">Holland and Scullion, 2019; </w:t>
      </w:r>
      <w:r w:rsidRPr="0040294D">
        <w:rPr>
          <w:color w:val="000000" w:themeColor="text1"/>
          <w:lang w:val="en-GB"/>
        </w:rPr>
        <w:t xml:space="preserve">Khan et al., 2018; </w:t>
      </w:r>
      <w:proofErr w:type="spellStart"/>
      <w:r w:rsidRPr="0040294D">
        <w:rPr>
          <w:color w:val="000000" w:themeColor="text1"/>
          <w:shd w:val="clear" w:color="auto" w:fill="FFFFFF"/>
          <w:lang w:val="en-GB"/>
        </w:rPr>
        <w:t>Popli</w:t>
      </w:r>
      <w:proofErr w:type="spellEnd"/>
      <w:r w:rsidRPr="0040294D">
        <w:rPr>
          <w:color w:val="000000" w:themeColor="text1"/>
          <w:shd w:val="clear" w:color="auto" w:fill="FFFFFF"/>
          <w:lang w:val="en-GB"/>
        </w:rPr>
        <w:t>, Akbar, Kumar, and Gaur, 2016</w:t>
      </w:r>
      <w:r w:rsidRPr="0040294D">
        <w:rPr>
          <w:color w:val="000000" w:themeColor="text1"/>
          <w:lang w:val="en-GB"/>
        </w:rPr>
        <w:t>).</w:t>
      </w:r>
    </w:p>
    <w:p w14:paraId="654ED168" w14:textId="752E3A38" w:rsidR="00FD2A48" w:rsidRPr="0040294D" w:rsidRDefault="00FD2A48" w:rsidP="003116D6">
      <w:pPr>
        <w:widowControl w:val="0"/>
        <w:spacing w:line="480" w:lineRule="auto"/>
        <w:ind w:firstLine="284"/>
        <w:jc w:val="both"/>
        <w:rPr>
          <w:lang w:val="en-GB"/>
        </w:rPr>
      </w:pPr>
      <w:r w:rsidRPr="0040294D">
        <w:rPr>
          <w:color w:val="000000" w:themeColor="text1"/>
          <w:lang w:val="en-GB"/>
        </w:rPr>
        <w:t xml:space="preserve">Accordingly, much of the research linking HRM to acquisition performance is focused on specific HRM issues or practices </w:t>
      </w:r>
      <w:r w:rsidR="00026CAE" w:rsidRPr="0040294D">
        <w:rPr>
          <w:color w:val="000000" w:themeColor="text1"/>
          <w:lang w:val="en-GB"/>
        </w:rPr>
        <w:t>in</w:t>
      </w:r>
      <w:r w:rsidRPr="0040294D">
        <w:rPr>
          <w:color w:val="000000" w:themeColor="text1"/>
          <w:lang w:val="en-GB"/>
        </w:rPr>
        <w:t xml:space="preserve"> different acquisition phases (Gomes et al., 2013; Sarala, </w:t>
      </w:r>
      <w:proofErr w:type="spellStart"/>
      <w:r w:rsidRPr="0040294D">
        <w:rPr>
          <w:color w:val="000000" w:themeColor="text1"/>
          <w:lang w:val="en-GB"/>
        </w:rPr>
        <w:t>Vaara</w:t>
      </w:r>
      <w:proofErr w:type="spellEnd"/>
      <w:r w:rsidRPr="0040294D">
        <w:rPr>
          <w:color w:val="000000" w:themeColor="text1"/>
          <w:lang w:val="en-GB"/>
        </w:rPr>
        <w:t xml:space="preserve">, and </w:t>
      </w:r>
      <w:proofErr w:type="spellStart"/>
      <w:r w:rsidRPr="0040294D">
        <w:rPr>
          <w:color w:val="000000" w:themeColor="text1"/>
          <w:lang w:val="en-GB"/>
        </w:rPr>
        <w:t>Junni</w:t>
      </w:r>
      <w:proofErr w:type="spellEnd"/>
      <w:r w:rsidRPr="0040294D">
        <w:rPr>
          <w:color w:val="000000" w:themeColor="text1"/>
          <w:lang w:val="en-GB"/>
        </w:rPr>
        <w:t>, 2019). Furthermore, earlier studies generally show</w:t>
      </w:r>
      <w:r w:rsidR="00026CAE" w:rsidRPr="0040294D">
        <w:rPr>
          <w:color w:val="000000" w:themeColor="text1"/>
          <w:lang w:val="en-GB"/>
        </w:rPr>
        <w:t>ed</w:t>
      </w:r>
      <w:r w:rsidRPr="0040294D">
        <w:rPr>
          <w:color w:val="000000" w:themeColor="text1"/>
          <w:lang w:val="en-GB"/>
        </w:rPr>
        <w:t xml:space="preserve"> that </w:t>
      </w:r>
      <w:r w:rsidR="000A02F9" w:rsidRPr="0040294D">
        <w:rPr>
          <w:color w:val="000000" w:themeColor="text1"/>
          <w:lang w:val="en-GB"/>
        </w:rPr>
        <w:t xml:space="preserve">post-acquisition </w:t>
      </w:r>
      <w:r w:rsidRPr="0040294D">
        <w:rPr>
          <w:color w:val="000000" w:themeColor="text1"/>
          <w:lang w:val="en-GB"/>
        </w:rPr>
        <w:t>mismanagement increase</w:t>
      </w:r>
      <w:r w:rsidR="00026CAE" w:rsidRPr="0040294D">
        <w:rPr>
          <w:color w:val="000000" w:themeColor="text1"/>
          <w:lang w:val="en-GB"/>
        </w:rPr>
        <w:t>d</w:t>
      </w:r>
      <w:r w:rsidRPr="0040294D">
        <w:rPr>
          <w:color w:val="000000" w:themeColor="text1"/>
          <w:lang w:val="en-GB"/>
        </w:rPr>
        <w:t xml:space="preserve"> the likelihood of acquisition failure. However, what is less clear is whether additional </w:t>
      </w:r>
      <w:r w:rsidR="00FA1DA4">
        <w:rPr>
          <w:color w:val="000000" w:themeColor="text1"/>
          <w:lang w:val="en-GB"/>
        </w:rPr>
        <w:t>HRM-quality</w:t>
      </w:r>
      <w:r w:rsidR="0040294D">
        <w:rPr>
          <w:color w:val="000000" w:themeColor="text1"/>
          <w:lang w:val="en-GB"/>
        </w:rPr>
        <w:t>—</w:t>
      </w:r>
      <w:r w:rsidRPr="0040294D">
        <w:rPr>
          <w:color w:val="000000" w:themeColor="text1"/>
          <w:lang w:val="en-GB"/>
        </w:rPr>
        <w:t>an HRM outcome (Guest, 1997)</w:t>
      </w:r>
      <w:r w:rsidR="0040294D">
        <w:rPr>
          <w:color w:val="000000" w:themeColor="text1"/>
          <w:lang w:val="en-GB"/>
        </w:rPr>
        <w:t>—</w:t>
      </w:r>
      <w:r w:rsidRPr="0040294D">
        <w:rPr>
          <w:color w:val="000000" w:themeColor="text1"/>
          <w:lang w:val="en-GB"/>
        </w:rPr>
        <w:t xml:space="preserve">beyond a certain level allows to further reduce acquisition failure probability. </w:t>
      </w:r>
      <w:r w:rsidR="00FA1DA4">
        <w:rPr>
          <w:color w:val="000000" w:themeColor="text1"/>
          <w:lang w:val="en-GB"/>
        </w:rPr>
        <w:t>HRM-quality</w:t>
      </w:r>
      <w:r w:rsidRPr="0040294D">
        <w:rPr>
          <w:color w:val="000000" w:themeColor="text1"/>
          <w:lang w:val="en-GB"/>
        </w:rPr>
        <w:t xml:space="preserve"> reflects the excellence of the unit or function (Baruch, 1997) and has a number </w:t>
      </w:r>
      <w:r w:rsidRPr="0040294D">
        <w:rPr>
          <w:bCs/>
          <w:color w:val="000000" w:themeColor="text1"/>
          <w:lang w:val="en-GB"/>
        </w:rPr>
        <w:t>of interrelated dimensions, including the capacity to develop policies and practices that would enable recruit</w:t>
      </w:r>
      <w:r w:rsidR="00026CAE" w:rsidRPr="0040294D">
        <w:rPr>
          <w:bCs/>
          <w:color w:val="000000" w:themeColor="text1"/>
          <w:lang w:val="en-GB"/>
        </w:rPr>
        <w:t>ing</w:t>
      </w:r>
      <w:r w:rsidRPr="0040294D">
        <w:rPr>
          <w:bCs/>
          <w:color w:val="000000" w:themeColor="text1"/>
          <w:lang w:val="en-GB"/>
        </w:rPr>
        <w:t>, develop</w:t>
      </w:r>
      <w:r w:rsidR="00026CAE" w:rsidRPr="0040294D">
        <w:rPr>
          <w:bCs/>
          <w:color w:val="000000" w:themeColor="text1"/>
          <w:lang w:val="en-GB"/>
        </w:rPr>
        <w:t>ing,</w:t>
      </w:r>
      <w:r w:rsidRPr="0040294D">
        <w:rPr>
          <w:bCs/>
          <w:color w:val="000000" w:themeColor="text1"/>
          <w:lang w:val="en-GB"/>
        </w:rPr>
        <w:t xml:space="preserve"> and retain</w:t>
      </w:r>
      <w:r w:rsidR="00026CAE" w:rsidRPr="0040294D">
        <w:rPr>
          <w:bCs/>
          <w:color w:val="000000" w:themeColor="text1"/>
          <w:lang w:val="en-GB"/>
        </w:rPr>
        <w:t>ing</w:t>
      </w:r>
      <w:r w:rsidRPr="0040294D">
        <w:rPr>
          <w:bCs/>
          <w:color w:val="000000" w:themeColor="text1"/>
          <w:lang w:val="en-GB"/>
        </w:rPr>
        <w:t xml:space="preserve"> staff with high levels of competence, skills</w:t>
      </w:r>
      <w:r w:rsidR="00026CAE" w:rsidRPr="0040294D">
        <w:rPr>
          <w:bCs/>
          <w:color w:val="000000" w:themeColor="text1"/>
          <w:lang w:val="en-GB"/>
        </w:rPr>
        <w:t>,</w:t>
      </w:r>
      <w:r w:rsidRPr="0040294D">
        <w:rPr>
          <w:bCs/>
          <w:color w:val="000000" w:themeColor="text1"/>
          <w:lang w:val="en-GB"/>
        </w:rPr>
        <w:t xml:space="preserve"> and adaptability </w:t>
      </w:r>
      <w:r w:rsidRPr="0040294D">
        <w:rPr>
          <w:color w:val="000000" w:themeColor="text1"/>
          <w:lang w:val="en-GB"/>
        </w:rPr>
        <w:t>(Guest, 1997)</w:t>
      </w:r>
      <w:r w:rsidRPr="0040294D">
        <w:rPr>
          <w:bCs/>
          <w:color w:val="000000" w:themeColor="text1"/>
          <w:lang w:val="en-GB"/>
        </w:rPr>
        <w:t>.</w:t>
      </w:r>
      <w:r w:rsidRPr="0040294D">
        <w:rPr>
          <w:color w:val="000000" w:themeColor="text1"/>
          <w:lang w:val="en-GB"/>
        </w:rPr>
        <w:t xml:space="preserve"> Overall, it can include all the</w:t>
      </w:r>
      <w:r w:rsidR="0040294D">
        <w:rPr>
          <w:color w:val="000000" w:themeColor="text1"/>
          <w:lang w:val="en-GB"/>
        </w:rPr>
        <w:t xml:space="preserve"> ‘</w:t>
      </w:r>
      <w:r w:rsidRPr="0040294D">
        <w:rPr>
          <w:color w:val="000000" w:themeColor="text1"/>
          <w:lang w:val="en-GB"/>
        </w:rPr>
        <w:t>ingredients</w:t>
      </w:r>
      <w:r w:rsidR="0040294D">
        <w:rPr>
          <w:color w:val="000000" w:themeColor="text1"/>
          <w:lang w:val="en-GB"/>
        </w:rPr>
        <w:t>’</w:t>
      </w:r>
      <w:r w:rsidRPr="0040294D">
        <w:rPr>
          <w:color w:val="000000" w:themeColor="text1"/>
          <w:lang w:val="en-GB"/>
        </w:rPr>
        <w:t xml:space="preserve"> provided by the HRM unit (Baruch, 1997).</w:t>
      </w:r>
    </w:p>
    <w:p w14:paraId="1BC47F17" w14:textId="0FE20734" w:rsidR="00FD2A48" w:rsidRPr="0040294D" w:rsidRDefault="00FD2A48" w:rsidP="003116D6">
      <w:pPr>
        <w:widowControl w:val="0"/>
        <w:spacing w:line="480" w:lineRule="auto"/>
        <w:ind w:firstLine="284"/>
        <w:jc w:val="both"/>
        <w:rPr>
          <w:color w:val="000000" w:themeColor="text1"/>
          <w:lang w:val="en-GB"/>
        </w:rPr>
      </w:pPr>
      <w:r w:rsidRPr="0040294D">
        <w:rPr>
          <w:color w:val="000000" w:themeColor="text1"/>
          <w:lang w:val="en-GB"/>
        </w:rPr>
        <w:t>Meanwhile, some prior findings suggest that over-investment in HRM may, at best, be undesirable from a benefit</w:t>
      </w:r>
      <w:r w:rsidR="001F550A" w:rsidRPr="0040294D">
        <w:rPr>
          <w:color w:val="000000" w:themeColor="text1"/>
          <w:lang w:val="en-GB"/>
        </w:rPr>
        <w:t>/cost</w:t>
      </w:r>
      <w:r w:rsidRPr="0040294D">
        <w:rPr>
          <w:color w:val="000000" w:themeColor="text1"/>
          <w:lang w:val="en-GB"/>
        </w:rPr>
        <w:t xml:space="preserve"> point of view (</w:t>
      </w:r>
      <w:proofErr w:type="spellStart"/>
      <w:r w:rsidRPr="0040294D">
        <w:rPr>
          <w:color w:val="000000" w:themeColor="text1"/>
          <w:lang w:val="en-GB"/>
        </w:rPr>
        <w:t>Haans</w:t>
      </w:r>
      <w:proofErr w:type="spellEnd"/>
      <w:r w:rsidRPr="0040294D">
        <w:rPr>
          <w:color w:val="000000" w:themeColor="text1"/>
          <w:lang w:val="en-GB"/>
        </w:rPr>
        <w:t xml:space="preserve">, Pieters, and He, 2016) and, at worst, hamper rather than </w:t>
      </w:r>
      <w:r w:rsidR="00E2160F" w:rsidRPr="0040294D">
        <w:rPr>
          <w:color w:val="000000" w:themeColor="text1"/>
          <w:lang w:val="en-GB"/>
        </w:rPr>
        <w:t xml:space="preserve">facilitate </w:t>
      </w:r>
      <w:r w:rsidRPr="0040294D">
        <w:rPr>
          <w:color w:val="000000" w:themeColor="text1"/>
          <w:lang w:val="en-GB"/>
        </w:rPr>
        <w:t xml:space="preserve">acquisition performance (Gomes, Weber, Brown, and </w:t>
      </w:r>
      <w:proofErr w:type="spellStart"/>
      <w:r w:rsidRPr="0040294D">
        <w:rPr>
          <w:color w:val="000000" w:themeColor="text1"/>
          <w:lang w:val="en-GB"/>
        </w:rPr>
        <w:t>Tarba</w:t>
      </w:r>
      <w:proofErr w:type="spellEnd"/>
      <w:r w:rsidRPr="0040294D">
        <w:rPr>
          <w:color w:val="000000" w:themeColor="text1"/>
          <w:lang w:val="en-GB"/>
        </w:rPr>
        <w:t>, 2011). For instance, appropriate communication systems are required for high</w:t>
      </w:r>
      <w:r w:rsidR="00026CAE" w:rsidRPr="0040294D">
        <w:rPr>
          <w:color w:val="000000" w:themeColor="text1"/>
          <w:lang w:val="en-GB"/>
        </w:rPr>
        <w:t>-</w:t>
      </w:r>
      <w:r w:rsidRPr="0040294D">
        <w:rPr>
          <w:color w:val="000000" w:themeColor="text1"/>
          <w:lang w:val="en-GB"/>
        </w:rPr>
        <w:t xml:space="preserve">quality HRM (Guest, 1997) and </w:t>
      </w:r>
      <w:r w:rsidR="003116D6">
        <w:rPr>
          <w:color w:val="000000" w:themeColor="text1"/>
          <w:lang w:val="en-GB"/>
        </w:rPr>
        <w:t>are</w:t>
      </w:r>
      <w:r w:rsidRPr="0040294D">
        <w:rPr>
          <w:color w:val="000000" w:themeColor="text1"/>
          <w:lang w:val="en-GB"/>
        </w:rPr>
        <w:t xml:space="preserve"> critical</w:t>
      </w:r>
      <w:r w:rsidRPr="0040294D" w:rsidDel="006833F1">
        <w:rPr>
          <w:color w:val="000000" w:themeColor="text1"/>
          <w:lang w:val="en-GB"/>
        </w:rPr>
        <w:t xml:space="preserve"> </w:t>
      </w:r>
      <w:r w:rsidRPr="0040294D">
        <w:rPr>
          <w:color w:val="000000" w:themeColor="text1"/>
          <w:lang w:val="en-GB"/>
        </w:rPr>
        <w:t xml:space="preserve">to improve </w:t>
      </w:r>
      <w:proofErr w:type="spellStart"/>
      <w:r w:rsidR="0040294D" w:rsidRPr="0040294D">
        <w:rPr>
          <w:color w:val="000000" w:themeColor="text1"/>
          <w:lang w:val="en-GB"/>
        </w:rPr>
        <w:t>labor</w:t>
      </w:r>
      <w:proofErr w:type="spellEnd"/>
      <w:r w:rsidRPr="0040294D">
        <w:rPr>
          <w:color w:val="000000" w:themeColor="text1"/>
          <w:lang w:val="en-GB"/>
        </w:rPr>
        <w:t xml:space="preserve"> relations or encourage employee participation (another </w:t>
      </w:r>
      <w:r w:rsidR="00FA1DA4">
        <w:rPr>
          <w:color w:val="000000" w:themeColor="text1"/>
          <w:lang w:val="en-GB"/>
        </w:rPr>
        <w:t>HRM-quality</w:t>
      </w:r>
      <w:r w:rsidRPr="0040294D">
        <w:rPr>
          <w:color w:val="000000" w:themeColor="text1"/>
          <w:lang w:val="en-GB"/>
        </w:rPr>
        <w:t xml:space="preserve"> dimension), but over-communication is unwelcomed (Weber, </w:t>
      </w:r>
      <w:proofErr w:type="spellStart"/>
      <w:r w:rsidRPr="0040294D">
        <w:rPr>
          <w:color w:val="000000" w:themeColor="text1"/>
          <w:lang w:val="en-GB"/>
        </w:rPr>
        <w:t>Rachman</w:t>
      </w:r>
      <w:proofErr w:type="spellEnd"/>
      <w:r w:rsidRPr="0040294D">
        <w:rPr>
          <w:color w:val="000000" w:themeColor="text1"/>
          <w:lang w:val="en-GB"/>
        </w:rPr>
        <w:t xml:space="preserve">-Moore, and </w:t>
      </w:r>
      <w:proofErr w:type="spellStart"/>
      <w:r w:rsidRPr="0040294D">
        <w:rPr>
          <w:color w:val="000000" w:themeColor="text1"/>
          <w:lang w:val="en-GB"/>
        </w:rPr>
        <w:t>Tarba</w:t>
      </w:r>
      <w:proofErr w:type="spellEnd"/>
      <w:r w:rsidRPr="0040294D">
        <w:rPr>
          <w:color w:val="000000" w:themeColor="text1"/>
          <w:lang w:val="en-GB"/>
        </w:rPr>
        <w:t xml:space="preserve">, 2012). Moreover, the link between communication and acquisition performance is contingent upon </w:t>
      </w:r>
      <w:r w:rsidRPr="0040294D">
        <w:rPr>
          <w:color w:val="000000" w:themeColor="text1"/>
          <w:lang w:val="en-GB"/>
        </w:rPr>
        <w:lastRenderedPageBreak/>
        <w:t xml:space="preserve">the approach adopted by the </w:t>
      </w:r>
      <w:r w:rsidR="00E2160F" w:rsidRPr="0040294D">
        <w:rPr>
          <w:color w:val="000000" w:themeColor="text1"/>
          <w:lang w:val="en-GB"/>
        </w:rPr>
        <w:t xml:space="preserve">acquirer </w:t>
      </w:r>
      <w:r w:rsidRPr="0040294D">
        <w:rPr>
          <w:color w:val="000000" w:themeColor="text1"/>
          <w:lang w:val="en-GB"/>
        </w:rPr>
        <w:t xml:space="preserve">(Angwin, </w:t>
      </w:r>
      <w:proofErr w:type="spellStart"/>
      <w:r w:rsidRPr="0040294D">
        <w:rPr>
          <w:color w:val="000000" w:themeColor="text1"/>
          <w:lang w:val="en-GB"/>
        </w:rPr>
        <w:t>Mellahi</w:t>
      </w:r>
      <w:proofErr w:type="spellEnd"/>
      <w:r w:rsidRPr="0040294D">
        <w:rPr>
          <w:color w:val="000000" w:themeColor="text1"/>
          <w:lang w:val="en-GB"/>
        </w:rPr>
        <w:t>, Gomes, and Peter, 2016).</w:t>
      </w:r>
    </w:p>
    <w:p w14:paraId="5C4C55F1" w14:textId="4641F7D2" w:rsidR="00FD2A48" w:rsidRPr="0040294D" w:rsidRDefault="00FD2A48" w:rsidP="00E6445B">
      <w:pPr>
        <w:widowControl w:val="0"/>
        <w:spacing w:line="480" w:lineRule="auto"/>
        <w:ind w:firstLine="284"/>
        <w:jc w:val="both"/>
        <w:rPr>
          <w:color w:val="000000" w:themeColor="text1"/>
          <w:lang w:val="en-GB"/>
        </w:rPr>
      </w:pPr>
      <w:r w:rsidRPr="0040294D">
        <w:rPr>
          <w:color w:val="000000" w:themeColor="text1"/>
          <w:lang w:val="en-GB"/>
        </w:rPr>
        <w:t xml:space="preserve">Yet despite indications that the overall </w:t>
      </w:r>
      <w:r w:rsidR="00FA1DA4">
        <w:rPr>
          <w:color w:val="000000" w:themeColor="text1"/>
          <w:lang w:val="en-GB"/>
        </w:rPr>
        <w:t>HRM-quality</w:t>
      </w:r>
      <w:r w:rsidRPr="0040294D">
        <w:rPr>
          <w:color w:val="000000" w:themeColor="text1"/>
          <w:lang w:val="en-GB"/>
        </w:rPr>
        <w:t xml:space="preserve">-acquisition performance relationship may be curvilinear, in-depth examination is lacking (Weber and </w:t>
      </w:r>
      <w:proofErr w:type="spellStart"/>
      <w:r w:rsidRPr="0040294D">
        <w:rPr>
          <w:color w:val="000000" w:themeColor="text1"/>
          <w:lang w:val="en-GB"/>
        </w:rPr>
        <w:t>Tarba</w:t>
      </w:r>
      <w:proofErr w:type="spellEnd"/>
      <w:r w:rsidRPr="0040294D">
        <w:rPr>
          <w:color w:val="000000" w:themeColor="text1"/>
          <w:lang w:val="en-GB"/>
        </w:rPr>
        <w:t xml:space="preserve">, 2010). </w:t>
      </w:r>
      <w:r w:rsidR="00900946">
        <w:rPr>
          <w:color w:val="000000" w:themeColor="text1"/>
          <w:lang w:val="en-GB"/>
        </w:rPr>
        <w:t xml:space="preserve">This is surprising, considering the omnipresence of </w:t>
      </w:r>
      <w:r w:rsidR="00683E6A">
        <w:rPr>
          <w:color w:val="000000" w:themeColor="text1"/>
          <w:lang w:val="en-GB"/>
        </w:rPr>
        <w:t>nonlinearity</w:t>
      </w:r>
      <w:r w:rsidR="00900946">
        <w:rPr>
          <w:color w:val="000000" w:themeColor="text1"/>
          <w:lang w:val="en-GB"/>
        </w:rPr>
        <w:t xml:space="preserve"> and diminishing returns </w:t>
      </w:r>
      <w:r w:rsidR="004637AB">
        <w:rPr>
          <w:color w:val="000000" w:themeColor="text1"/>
          <w:lang w:val="en-GB"/>
        </w:rPr>
        <w:t>for</w:t>
      </w:r>
      <w:r w:rsidR="00900946">
        <w:rPr>
          <w:color w:val="000000" w:themeColor="text1"/>
          <w:lang w:val="en-GB"/>
        </w:rPr>
        <w:t xml:space="preserve"> acquisition performance drivers (</w:t>
      </w:r>
      <w:proofErr w:type="spellStart"/>
      <w:r w:rsidR="00900946">
        <w:rPr>
          <w:color w:val="000000" w:themeColor="text1"/>
          <w:lang w:val="en-GB"/>
        </w:rPr>
        <w:t>Haleblian</w:t>
      </w:r>
      <w:proofErr w:type="spellEnd"/>
      <w:r w:rsidR="00900946">
        <w:rPr>
          <w:color w:val="000000" w:themeColor="text1"/>
          <w:lang w:val="en-GB"/>
        </w:rPr>
        <w:t xml:space="preserve"> et al., 2009)</w:t>
      </w:r>
      <w:r w:rsidR="00683E6A">
        <w:rPr>
          <w:color w:val="000000" w:themeColor="text1"/>
          <w:lang w:val="en-GB"/>
        </w:rPr>
        <w:t xml:space="preserve">. </w:t>
      </w:r>
      <w:r w:rsidR="00453AD5">
        <w:rPr>
          <w:color w:val="000000" w:themeColor="text1"/>
          <w:lang w:val="en-GB"/>
        </w:rPr>
        <w:t>T</w:t>
      </w:r>
      <w:r w:rsidRPr="0040294D">
        <w:rPr>
          <w:color w:val="000000" w:themeColor="text1"/>
          <w:lang w:val="en-GB"/>
        </w:rPr>
        <w:t xml:space="preserve">he </w:t>
      </w:r>
      <w:r w:rsidR="00683E6A">
        <w:rPr>
          <w:color w:val="000000" w:themeColor="text1"/>
          <w:lang w:val="en-GB"/>
        </w:rPr>
        <w:t xml:space="preserve">consequent </w:t>
      </w:r>
      <w:r w:rsidRPr="0040294D">
        <w:rPr>
          <w:color w:val="000000" w:themeColor="text1"/>
          <w:lang w:val="en-GB"/>
        </w:rPr>
        <w:t>objective of our study</w:t>
      </w:r>
      <w:r w:rsidR="00453AD5">
        <w:rPr>
          <w:color w:val="000000" w:themeColor="text1"/>
          <w:lang w:val="en-GB"/>
        </w:rPr>
        <w:t xml:space="preserve"> is thus</w:t>
      </w:r>
      <w:r w:rsidRPr="0040294D">
        <w:rPr>
          <w:color w:val="000000" w:themeColor="text1"/>
          <w:lang w:val="en-GB"/>
        </w:rPr>
        <w:t xml:space="preserve"> </w:t>
      </w:r>
      <w:r w:rsidR="00683E6A">
        <w:rPr>
          <w:color w:val="000000" w:themeColor="text1"/>
          <w:lang w:val="en-GB"/>
        </w:rPr>
        <w:t xml:space="preserve">to examine </w:t>
      </w:r>
      <w:r w:rsidR="003E79BC" w:rsidRPr="0040294D">
        <w:rPr>
          <w:color w:val="000000" w:themeColor="text1"/>
          <w:lang w:val="en-GB"/>
        </w:rPr>
        <w:t xml:space="preserve">the impact of </w:t>
      </w:r>
      <w:r w:rsidRPr="0040294D">
        <w:rPr>
          <w:color w:val="000000" w:themeColor="text1"/>
          <w:lang w:val="en-GB"/>
        </w:rPr>
        <w:t xml:space="preserve">the acquirer’s </w:t>
      </w:r>
      <w:r w:rsidR="00FA1DA4">
        <w:rPr>
          <w:color w:val="000000" w:themeColor="text1"/>
          <w:lang w:val="en-GB"/>
        </w:rPr>
        <w:t>HRM-quality</w:t>
      </w:r>
      <w:r w:rsidRPr="0040294D">
        <w:rPr>
          <w:color w:val="000000" w:themeColor="text1"/>
          <w:lang w:val="en-GB"/>
        </w:rPr>
        <w:t xml:space="preserve"> on post-acquisition integration at </w:t>
      </w:r>
      <w:r w:rsidR="003E79BC" w:rsidRPr="0040294D">
        <w:rPr>
          <w:color w:val="000000" w:themeColor="text1"/>
          <w:lang w:val="en-GB"/>
        </w:rPr>
        <w:t>the</w:t>
      </w:r>
      <w:r w:rsidRPr="0040294D">
        <w:rPr>
          <w:color w:val="000000" w:themeColor="text1"/>
          <w:lang w:val="en-GB"/>
        </w:rPr>
        <w:t xml:space="preserve"> </w:t>
      </w:r>
      <w:r w:rsidR="00E2160F" w:rsidRPr="0040294D">
        <w:rPr>
          <w:color w:val="000000" w:themeColor="text1"/>
          <w:lang w:val="en-GB"/>
        </w:rPr>
        <w:t xml:space="preserve">firm </w:t>
      </w:r>
      <w:r w:rsidRPr="0040294D">
        <w:rPr>
          <w:color w:val="000000" w:themeColor="text1"/>
          <w:lang w:val="en-GB"/>
        </w:rPr>
        <w:t xml:space="preserve">level, </w:t>
      </w:r>
      <w:r w:rsidR="00453AD5">
        <w:rPr>
          <w:color w:val="000000" w:themeColor="text1"/>
          <w:lang w:val="en-GB"/>
        </w:rPr>
        <w:t>therefore</w:t>
      </w:r>
      <w:r w:rsidRPr="0040294D">
        <w:rPr>
          <w:color w:val="000000" w:themeColor="text1"/>
          <w:lang w:val="en-GB"/>
        </w:rPr>
        <w:t xml:space="preserve"> focusing on aggregated </w:t>
      </w:r>
      <w:r w:rsidR="00FA1DA4">
        <w:rPr>
          <w:color w:val="000000" w:themeColor="text1"/>
          <w:lang w:val="en-GB"/>
        </w:rPr>
        <w:t>HRM-quality</w:t>
      </w:r>
      <w:r w:rsidRPr="0040294D">
        <w:rPr>
          <w:color w:val="000000" w:themeColor="text1"/>
          <w:lang w:val="en-GB"/>
        </w:rPr>
        <w:t xml:space="preserve"> at </w:t>
      </w:r>
      <w:r w:rsidR="003E79BC" w:rsidRPr="0040294D">
        <w:rPr>
          <w:color w:val="000000" w:themeColor="text1"/>
          <w:lang w:val="en-GB"/>
        </w:rPr>
        <w:t xml:space="preserve">the </w:t>
      </w:r>
      <w:r w:rsidRPr="0040294D">
        <w:rPr>
          <w:color w:val="000000" w:themeColor="text1"/>
          <w:lang w:val="en-GB"/>
        </w:rPr>
        <w:t xml:space="preserve">holistic level. </w:t>
      </w:r>
      <w:r w:rsidR="00E6445B">
        <w:rPr>
          <w:color w:val="000000" w:themeColor="text1"/>
          <w:lang w:val="en-GB"/>
        </w:rPr>
        <w:t>W</w:t>
      </w:r>
      <w:r w:rsidRPr="0040294D">
        <w:rPr>
          <w:color w:val="000000" w:themeColor="text1"/>
          <w:lang w:val="en-GB"/>
        </w:rPr>
        <w:t xml:space="preserve">hile insights on individual HRM issues or practices are of evident value for studies focusing on more fine-grained analysis of HRM dimensions, it is arguably of </w:t>
      </w:r>
      <w:r w:rsidR="003E79BC" w:rsidRPr="0040294D">
        <w:rPr>
          <w:color w:val="000000" w:themeColor="text1"/>
          <w:lang w:val="en-GB"/>
        </w:rPr>
        <w:t xml:space="preserve">the </w:t>
      </w:r>
      <w:r w:rsidRPr="0040294D">
        <w:rPr>
          <w:color w:val="000000" w:themeColor="text1"/>
          <w:lang w:val="en-GB"/>
        </w:rPr>
        <w:t xml:space="preserve">utmost importance to also attend to </w:t>
      </w:r>
      <w:r w:rsidR="00FA1DA4">
        <w:rPr>
          <w:color w:val="000000" w:themeColor="text1"/>
          <w:lang w:val="en-GB"/>
        </w:rPr>
        <w:t>HRM-quality</w:t>
      </w:r>
      <w:r w:rsidRPr="0040294D">
        <w:rPr>
          <w:color w:val="000000" w:themeColor="text1"/>
          <w:lang w:val="en-GB"/>
        </w:rPr>
        <w:t xml:space="preserve"> at a </w:t>
      </w:r>
      <w:r w:rsidR="003E79BC" w:rsidRPr="0040294D">
        <w:rPr>
          <w:color w:val="000000" w:themeColor="text1"/>
          <w:lang w:val="en-GB"/>
        </w:rPr>
        <w:t xml:space="preserve">more </w:t>
      </w:r>
      <w:r w:rsidRPr="0040294D">
        <w:rPr>
          <w:color w:val="000000" w:themeColor="text1"/>
          <w:lang w:val="en-GB"/>
        </w:rPr>
        <w:t>holistic level (</w:t>
      </w:r>
      <w:r w:rsidRPr="0040294D">
        <w:rPr>
          <w:lang w:val="en-GB"/>
        </w:rPr>
        <w:t xml:space="preserve">Gomes et al., 2013; </w:t>
      </w:r>
      <w:r w:rsidRPr="0040294D">
        <w:rPr>
          <w:color w:val="000000" w:themeColor="text1"/>
          <w:lang w:val="en-GB"/>
        </w:rPr>
        <w:t xml:space="preserve">Stahl et al., 2013) </w:t>
      </w:r>
      <w:r w:rsidR="003E79BC" w:rsidRPr="0040294D">
        <w:rPr>
          <w:color w:val="000000" w:themeColor="text1"/>
          <w:lang w:val="en-GB"/>
        </w:rPr>
        <w:t>since</w:t>
      </w:r>
      <w:r w:rsidR="0073780B" w:rsidRPr="0040294D">
        <w:rPr>
          <w:color w:val="000000" w:themeColor="text1"/>
          <w:lang w:val="en-GB"/>
        </w:rPr>
        <w:t>,</w:t>
      </w:r>
      <w:r w:rsidRPr="0040294D">
        <w:rPr>
          <w:color w:val="000000" w:themeColor="text1"/>
          <w:lang w:val="en-GB"/>
        </w:rPr>
        <w:t xml:space="preserve"> by definition</w:t>
      </w:r>
      <w:r w:rsidR="00E2160F" w:rsidRPr="0040294D">
        <w:rPr>
          <w:color w:val="000000" w:themeColor="text1"/>
          <w:lang w:val="en-GB"/>
        </w:rPr>
        <w:t>,</w:t>
      </w:r>
      <w:r w:rsidRPr="0040294D">
        <w:rPr>
          <w:color w:val="000000" w:themeColor="text1"/>
          <w:lang w:val="en-GB"/>
        </w:rPr>
        <w:t xml:space="preserve"> post-acquisition integration </w:t>
      </w:r>
      <w:r w:rsidR="00E2160F" w:rsidRPr="0040294D">
        <w:rPr>
          <w:color w:val="000000" w:themeColor="text1"/>
          <w:lang w:val="en-GB"/>
        </w:rPr>
        <w:t>unfolds at the</w:t>
      </w:r>
      <w:r w:rsidRPr="0040294D">
        <w:rPr>
          <w:color w:val="000000" w:themeColor="text1"/>
          <w:lang w:val="en-GB"/>
        </w:rPr>
        <w:t xml:space="preserve"> </w:t>
      </w:r>
      <w:r w:rsidR="00E2160F" w:rsidRPr="0040294D">
        <w:rPr>
          <w:color w:val="000000" w:themeColor="text1"/>
          <w:lang w:val="en-GB"/>
        </w:rPr>
        <w:t xml:space="preserve">firm </w:t>
      </w:r>
      <w:r w:rsidRPr="0040294D">
        <w:rPr>
          <w:color w:val="000000" w:themeColor="text1"/>
          <w:lang w:val="en-GB"/>
        </w:rPr>
        <w:t>level.</w:t>
      </w:r>
    </w:p>
    <w:p w14:paraId="018C5FFB" w14:textId="2A66921F" w:rsidR="00FD2A48" w:rsidRPr="0040294D" w:rsidRDefault="00FD2A48" w:rsidP="00415888">
      <w:pPr>
        <w:widowControl w:val="0"/>
        <w:spacing w:line="480" w:lineRule="auto"/>
        <w:ind w:firstLine="284"/>
        <w:jc w:val="both"/>
        <w:rPr>
          <w:color w:val="000000" w:themeColor="text1"/>
          <w:lang w:val="en-GB"/>
        </w:rPr>
      </w:pPr>
      <w:r w:rsidRPr="0040294D">
        <w:rPr>
          <w:color w:val="000000" w:themeColor="text1"/>
          <w:lang w:val="en-GB"/>
        </w:rPr>
        <w:t>Consequently, we theoretically address the abovementione</w:t>
      </w:r>
      <w:r w:rsidR="00BA299B" w:rsidRPr="0040294D">
        <w:rPr>
          <w:color w:val="000000" w:themeColor="text1"/>
          <w:lang w:val="en-GB"/>
        </w:rPr>
        <w:t>d gaps by extending HRM theory,</w:t>
      </w:r>
      <w:r w:rsidRPr="0040294D">
        <w:rPr>
          <w:color w:val="000000" w:themeColor="text1"/>
          <w:lang w:val="en-GB"/>
        </w:rPr>
        <w:t xml:space="preserve"> which is our main theoretical lens (</w:t>
      </w:r>
      <w:proofErr w:type="spellStart"/>
      <w:r w:rsidRPr="0040294D">
        <w:rPr>
          <w:color w:val="000000" w:themeColor="text1"/>
          <w:lang w:val="en-GB"/>
        </w:rPr>
        <w:t>Huselid</w:t>
      </w:r>
      <w:proofErr w:type="spellEnd"/>
      <w:r w:rsidRPr="0040294D">
        <w:rPr>
          <w:color w:val="000000" w:themeColor="text1"/>
          <w:lang w:val="en-GB"/>
        </w:rPr>
        <w:t>, 1995</w:t>
      </w:r>
      <w:r w:rsidR="006379D8" w:rsidRPr="0040294D">
        <w:rPr>
          <w:color w:val="000000" w:themeColor="text1"/>
          <w:lang w:val="en-GB"/>
        </w:rPr>
        <w:t>; Guest, 2001</w:t>
      </w:r>
      <w:r w:rsidRPr="0040294D">
        <w:rPr>
          <w:color w:val="000000" w:themeColor="text1"/>
          <w:lang w:val="en-GB"/>
        </w:rPr>
        <w:t>). Our argumentation is also underpinned by the theoretical phenomen</w:t>
      </w:r>
      <w:r w:rsidR="00971127" w:rsidRPr="0040294D">
        <w:rPr>
          <w:color w:val="000000" w:themeColor="text1"/>
          <w:lang w:val="en-GB"/>
        </w:rPr>
        <w:t>on</w:t>
      </w:r>
      <w:r w:rsidR="0040294D">
        <w:rPr>
          <w:color w:val="000000" w:themeColor="text1"/>
          <w:lang w:val="en-GB"/>
        </w:rPr>
        <w:t xml:space="preserve"> ‘</w:t>
      </w:r>
      <w:r w:rsidRPr="0040294D">
        <w:rPr>
          <w:rStyle w:val="Emphasis"/>
          <w:color w:val="000000" w:themeColor="text1"/>
          <w:lang w:val="en-GB"/>
        </w:rPr>
        <w:t>too-</w:t>
      </w:r>
      <w:r w:rsidRPr="007A6F22">
        <w:rPr>
          <w:rStyle w:val="Emphasis"/>
          <w:color w:val="000000" w:themeColor="text1"/>
          <w:lang w:val="en-GB"/>
        </w:rPr>
        <w:t>much-of-a-good-thing effect</w:t>
      </w:r>
      <w:r w:rsidR="0040294D" w:rsidRPr="007A6F22">
        <w:rPr>
          <w:rStyle w:val="Emphasis"/>
          <w:i w:val="0"/>
          <w:color w:val="000000" w:themeColor="text1"/>
          <w:lang w:val="en-GB"/>
        </w:rPr>
        <w:t>’</w:t>
      </w:r>
      <w:r w:rsidRPr="007A6F22">
        <w:rPr>
          <w:color w:val="000000" w:themeColor="text1"/>
          <w:lang w:val="en-GB"/>
        </w:rPr>
        <w:t xml:space="preserve"> (</w:t>
      </w:r>
      <w:proofErr w:type="spellStart"/>
      <w:r w:rsidRPr="007A6F22">
        <w:rPr>
          <w:color w:val="000000" w:themeColor="text1"/>
          <w:lang w:val="en-GB" w:eastAsia="zh-CN"/>
        </w:rPr>
        <w:t>Antonakis</w:t>
      </w:r>
      <w:proofErr w:type="spellEnd"/>
      <w:r w:rsidRPr="007A6F22">
        <w:rPr>
          <w:color w:val="000000" w:themeColor="text1"/>
          <w:lang w:val="en-GB" w:eastAsia="zh-CN"/>
        </w:rPr>
        <w:t xml:space="preserve">, House and Simonton, 2017; </w:t>
      </w:r>
      <w:r w:rsidRPr="007A6F22">
        <w:rPr>
          <w:color w:val="000000" w:themeColor="text1"/>
          <w:shd w:val="clear" w:color="auto" w:fill="FFFFFF"/>
          <w:lang w:val="en-GB"/>
        </w:rPr>
        <w:t>König, Graf-</w:t>
      </w:r>
      <w:proofErr w:type="spellStart"/>
      <w:r w:rsidRPr="007A6F22">
        <w:rPr>
          <w:color w:val="000000" w:themeColor="text1"/>
          <w:shd w:val="clear" w:color="auto" w:fill="FFFFFF"/>
          <w:lang w:val="en-GB"/>
        </w:rPr>
        <w:t>Vlachy</w:t>
      </w:r>
      <w:proofErr w:type="spellEnd"/>
      <w:r w:rsidRPr="007A6F22">
        <w:rPr>
          <w:color w:val="000000" w:themeColor="text1"/>
          <w:shd w:val="clear" w:color="auto" w:fill="FFFFFF"/>
          <w:lang w:val="en-GB"/>
        </w:rPr>
        <w:t xml:space="preserve">, Bundy, and Little, 2018; </w:t>
      </w:r>
      <w:r w:rsidRPr="007A6F22">
        <w:rPr>
          <w:color w:val="000000" w:themeColor="text1"/>
          <w:lang w:val="en-GB" w:eastAsia="zh-CN"/>
        </w:rPr>
        <w:t xml:space="preserve">Pierce and </w:t>
      </w:r>
      <w:proofErr w:type="spellStart"/>
      <w:r w:rsidRPr="007A6F22">
        <w:rPr>
          <w:color w:val="000000" w:themeColor="text1"/>
          <w:lang w:val="en-GB" w:eastAsia="zh-CN"/>
        </w:rPr>
        <w:t>Aguinis</w:t>
      </w:r>
      <w:proofErr w:type="spellEnd"/>
      <w:r w:rsidRPr="007A6F22">
        <w:rPr>
          <w:color w:val="000000" w:themeColor="text1"/>
          <w:lang w:val="en-GB" w:eastAsia="zh-CN"/>
        </w:rPr>
        <w:t xml:space="preserve">, 2013), which we employ </w:t>
      </w:r>
      <w:r w:rsidRPr="007A6F22">
        <w:rPr>
          <w:color w:val="000000" w:themeColor="text1"/>
          <w:lang w:val="en-GB"/>
        </w:rPr>
        <w:t xml:space="preserve">as a boundary condition of HRM theory in </w:t>
      </w:r>
      <w:r w:rsidR="00E2160F" w:rsidRPr="007A6F22">
        <w:rPr>
          <w:color w:val="000000" w:themeColor="text1"/>
          <w:lang w:val="en-GB"/>
        </w:rPr>
        <w:t>acquisition</w:t>
      </w:r>
      <w:r w:rsidRPr="007A6F22">
        <w:rPr>
          <w:color w:val="000000" w:themeColor="text1"/>
          <w:lang w:val="en-GB"/>
        </w:rPr>
        <w:t xml:space="preserve"> context</w:t>
      </w:r>
      <w:r w:rsidR="0073780B" w:rsidRPr="007A6F22">
        <w:rPr>
          <w:color w:val="000000" w:themeColor="text1"/>
          <w:lang w:val="en-GB"/>
        </w:rPr>
        <w:t>,</w:t>
      </w:r>
      <w:r w:rsidRPr="007A6F22">
        <w:rPr>
          <w:color w:val="000000" w:themeColor="text1"/>
          <w:lang w:val="en-GB"/>
        </w:rPr>
        <w:t xml:space="preserve"> and additive</w:t>
      </w:r>
      <w:r w:rsidR="001F550A" w:rsidRPr="007A6F22">
        <w:rPr>
          <w:color w:val="000000" w:themeColor="text1"/>
          <w:lang w:val="en-GB"/>
        </w:rPr>
        <w:t xml:space="preserve"> benefit/cost</w:t>
      </w:r>
      <w:r w:rsidRPr="007A6F22">
        <w:rPr>
          <w:color w:val="000000" w:themeColor="text1"/>
          <w:lang w:val="en-GB"/>
        </w:rPr>
        <w:t xml:space="preserve"> mechanism explaining certain curvilinear relationships (</w:t>
      </w:r>
      <w:proofErr w:type="spellStart"/>
      <w:r w:rsidRPr="007A6F22">
        <w:rPr>
          <w:color w:val="000000" w:themeColor="text1"/>
          <w:lang w:val="en-GB"/>
        </w:rPr>
        <w:t>Haans</w:t>
      </w:r>
      <w:proofErr w:type="spellEnd"/>
      <w:r w:rsidRPr="007A6F22">
        <w:rPr>
          <w:color w:val="000000" w:themeColor="text1"/>
          <w:lang w:val="en-GB"/>
        </w:rPr>
        <w:t xml:space="preserve"> et al., 2016). Given that our reasoning contains an exponential cost logic (</w:t>
      </w:r>
      <w:proofErr w:type="spellStart"/>
      <w:r w:rsidRPr="007A6F22">
        <w:rPr>
          <w:color w:val="000000" w:themeColor="text1"/>
          <w:lang w:val="en-GB"/>
        </w:rPr>
        <w:t>Haans</w:t>
      </w:r>
      <w:proofErr w:type="spellEnd"/>
      <w:r w:rsidRPr="007A6F22">
        <w:rPr>
          <w:color w:val="000000" w:themeColor="text1"/>
          <w:lang w:val="en-GB"/>
        </w:rPr>
        <w:t xml:space="preserve"> et al., 2016), we </w:t>
      </w:r>
      <w:r w:rsidR="00E2160F" w:rsidRPr="007A6F22">
        <w:rPr>
          <w:color w:val="000000" w:themeColor="text1"/>
          <w:lang w:val="en-GB"/>
        </w:rPr>
        <w:t>examine</w:t>
      </w:r>
      <w:r w:rsidRPr="007A6F22">
        <w:rPr>
          <w:color w:val="000000" w:themeColor="text1"/>
          <w:lang w:val="en-GB"/>
        </w:rPr>
        <w:t xml:space="preserve"> the </w:t>
      </w:r>
      <w:r w:rsidR="00D1552D" w:rsidRPr="007A6F22">
        <w:rPr>
          <w:color w:val="000000" w:themeColor="text1"/>
          <w:lang w:val="en-GB"/>
        </w:rPr>
        <w:t xml:space="preserve">moderating </w:t>
      </w:r>
      <w:r w:rsidRPr="007A6F22">
        <w:rPr>
          <w:color w:val="000000" w:themeColor="text1"/>
          <w:lang w:val="en-GB"/>
        </w:rPr>
        <w:t xml:space="preserve">impact of </w:t>
      </w:r>
      <w:r w:rsidR="00FA1DA4" w:rsidRPr="007A6F22">
        <w:rPr>
          <w:color w:val="000000" w:themeColor="text1"/>
          <w:lang w:val="en-GB" w:eastAsia="zh-CN"/>
        </w:rPr>
        <w:t>financial</w:t>
      </w:r>
      <w:r w:rsidR="007A6F22" w:rsidRPr="007A6F22">
        <w:rPr>
          <w:color w:val="000000" w:themeColor="text1"/>
          <w:lang w:val="en-GB" w:eastAsia="zh-CN"/>
        </w:rPr>
        <w:t xml:space="preserve"> </w:t>
      </w:r>
      <w:r w:rsidR="00FA1DA4" w:rsidRPr="007A6F22">
        <w:rPr>
          <w:color w:val="000000" w:themeColor="text1"/>
          <w:lang w:val="en-GB" w:eastAsia="zh-CN"/>
        </w:rPr>
        <w:t>slack</w:t>
      </w:r>
      <w:r w:rsidRPr="007A6F22">
        <w:rPr>
          <w:color w:val="000000" w:themeColor="text1"/>
          <w:lang w:val="en-GB" w:eastAsia="zh-CN"/>
        </w:rPr>
        <w:t xml:space="preserve"> (George, 2005; i.e.,</w:t>
      </w:r>
      <w:r w:rsidRPr="007A6F22">
        <w:rPr>
          <w:bCs/>
          <w:color w:val="000000" w:themeColor="text1"/>
          <w:lang w:val="en-GB"/>
        </w:rPr>
        <w:t xml:space="preserve"> excess financial</w:t>
      </w:r>
      <w:r w:rsidRPr="0040294D">
        <w:rPr>
          <w:bCs/>
          <w:color w:val="000000" w:themeColor="text1"/>
          <w:lang w:val="en-GB"/>
        </w:rPr>
        <w:t xml:space="preserve"> resources potentially available to the acquirer)</w:t>
      </w:r>
      <w:r w:rsidR="00E2160F" w:rsidRPr="0040294D">
        <w:rPr>
          <w:color w:val="000000" w:themeColor="text1"/>
          <w:lang w:val="en-GB"/>
        </w:rPr>
        <w:t xml:space="preserve">, </w:t>
      </w:r>
      <w:r w:rsidR="00D1552D" w:rsidRPr="0040294D">
        <w:rPr>
          <w:color w:val="000000" w:themeColor="text1"/>
          <w:lang w:val="en-GB"/>
        </w:rPr>
        <w:t>which is hypothesi</w:t>
      </w:r>
      <w:r w:rsidR="00CC299C">
        <w:rPr>
          <w:color w:val="000000" w:themeColor="text1"/>
          <w:lang w:val="en-GB"/>
        </w:rPr>
        <w:t>s</w:t>
      </w:r>
      <w:r w:rsidR="00D1552D" w:rsidRPr="0040294D">
        <w:rPr>
          <w:color w:val="000000" w:themeColor="text1"/>
          <w:lang w:val="en-GB"/>
        </w:rPr>
        <w:t xml:space="preserve">ed to </w:t>
      </w:r>
      <w:r w:rsidR="00E2160F" w:rsidRPr="0040294D">
        <w:rPr>
          <w:color w:val="000000" w:themeColor="text1"/>
          <w:lang w:val="en-GB"/>
        </w:rPr>
        <w:t>influenc</w:t>
      </w:r>
      <w:r w:rsidR="00D1552D" w:rsidRPr="0040294D">
        <w:rPr>
          <w:color w:val="000000" w:themeColor="text1"/>
          <w:lang w:val="en-GB"/>
        </w:rPr>
        <w:t>e</w:t>
      </w:r>
      <w:r w:rsidRPr="0040294D">
        <w:rPr>
          <w:color w:val="000000" w:themeColor="text1"/>
          <w:lang w:val="en-GB" w:eastAsia="zh-CN"/>
        </w:rPr>
        <w:t xml:space="preserve"> the shape of the curve</w:t>
      </w:r>
      <w:r w:rsidR="00D10F7F" w:rsidRPr="0040294D">
        <w:rPr>
          <w:color w:val="000000" w:themeColor="text1"/>
          <w:lang w:val="en-GB" w:eastAsia="zh-CN"/>
        </w:rPr>
        <w:t>.</w:t>
      </w:r>
      <w:r w:rsidR="00926B16" w:rsidRPr="0040294D">
        <w:rPr>
          <w:color w:val="000000" w:themeColor="text1"/>
          <w:lang w:val="en-GB" w:eastAsia="zh-CN"/>
        </w:rPr>
        <w:t xml:space="preserve"> </w:t>
      </w:r>
      <w:r w:rsidR="00926B16" w:rsidRPr="0040294D">
        <w:rPr>
          <w:color w:val="000000" w:themeColor="text1"/>
          <w:lang w:val="en-GB"/>
        </w:rPr>
        <w:t xml:space="preserve">Slack has previously been found to strongly affect firms’ acquisition decisions (Iyer and Miller, 2008). The availability of </w:t>
      </w:r>
      <w:r w:rsidR="00FA1DA4">
        <w:rPr>
          <w:color w:val="000000" w:themeColor="text1"/>
          <w:lang w:val="en-GB"/>
        </w:rPr>
        <w:t>financial</w:t>
      </w:r>
      <w:r w:rsidR="00CF0E83">
        <w:rPr>
          <w:color w:val="000000" w:themeColor="text1"/>
          <w:lang w:val="en-GB"/>
        </w:rPr>
        <w:t xml:space="preserve"> </w:t>
      </w:r>
      <w:r w:rsidR="00FA1DA4">
        <w:rPr>
          <w:color w:val="000000" w:themeColor="text1"/>
          <w:lang w:val="en-GB"/>
        </w:rPr>
        <w:t>slack</w:t>
      </w:r>
      <w:r w:rsidR="00926B16" w:rsidRPr="0040294D">
        <w:rPr>
          <w:color w:val="000000" w:themeColor="text1"/>
          <w:lang w:val="en-GB"/>
        </w:rPr>
        <w:t xml:space="preserve"> could moderate the relationship</w:t>
      </w:r>
      <w:r w:rsidR="00926B16" w:rsidRPr="007A6F22">
        <w:rPr>
          <w:color w:val="000000" w:themeColor="text1"/>
          <w:lang w:val="en-GB"/>
        </w:rPr>
        <w:t xml:space="preserve">, because lack of </w:t>
      </w:r>
      <w:r w:rsidR="00FA1DA4" w:rsidRPr="007A6F22">
        <w:rPr>
          <w:color w:val="000000" w:themeColor="text1"/>
          <w:lang w:val="en-GB" w:eastAsia="zh-CN"/>
        </w:rPr>
        <w:t>financial</w:t>
      </w:r>
      <w:r w:rsidR="007A6F22" w:rsidRPr="007A6F22">
        <w:rPr>
          <w:color w:val="000000" w:themeColor="text1"/>
          <w:lang w:val="en-GB" w:eastAsia="zh-CN"/>
        </w:rPr>
        <w:t xml:space="preserve"> </w:t>
      </w:r>
      <w:r w:rsidR="00FA1DA4" w:rsidRPr="007A6F22">
        <w:rPr>
          <w:color w:val="000000" w:themeColor="text1"/>
          <w:lang w:val="en-GB" w:eastAsia="zh-CN"/>
        </w:rPr>
        <w:t>slack</w:t>
      </w:r>
      <w:r w:rsidR="00926B16" w:rsidRPr="007A6F22">
        <w:rPr>
          <w:color w:val="000000" w:themeColor="text1"/>
          <w:lang w:val="en-GB" w:eastAsia="zh-CN"/>
        </w:rPr>
        <w:t xml:space="preserve"> tend</w:t>
      </w:r>
      <w:r w:rsidR="003E79BC" w:rsidRPr="007A6F22">
        <w:rPr>
          <w:color w:val="000000" w:themeColor="text1"/>
          <w:lang w:val="en-GB" w:eastAsia="zh-CN"/>
        </w:rPr>
        <w:t>s</w:t>
      </w:r>
      <w:r w:rsidR="00926B16" w:rsidRPr="007A6F22">
        <w:rPr>
          <w:color w:val="000000" w:themeColor="text1"/>
          <w:lang w:val="en-GB" w:eastAsia="zh-CN"/>
        </w:rPr>
        <w:t xml:space="preserve"> to complicate post-acquisition integration (</w:t>
      </w:r>
      <w:r w:rsidR="00926B16" w:rsidRPr="007A6F22">
        <w:rPr>
          <w:color w:val="000000" w:themeColor="text1"/>
          <w:lang w:val="en-GB"/>
        </w:rPr>
        <w:t>Lakshman, 2011).</w:t>
      </w:r>
    </w:p>
    <w:p w14:paraId="014AE340" w14:textId="1945D805" w:rsidR="00FD2A48" w:rsidRPr="0040294D" w:rsidRDefault="00FD2A48" w:rsidP="00805F1B">
      <w:pPr>
        <w:widowControl w:val="0"/>
        <w:spacing w:line="480" w:lineRule="auto"/>
        <w:ind w:firstLine="284"/>
        <w:jc w:val="both"/>
        <w:rPr>
          <w:color w:val="000000" w:themeColor="text1"/>
          <w:lang w:val="en-GB"/>
        </w:rPr>
      </w:pPr>
      <w:r w:rsidRPr="0040294D">
        <w:rPr>
          <w:color w:val="000000" w:themeColor="text1"/>
          <w:lang w:val="en-GB"/>
        </w:rPr>
        <w:t xml:space="preserve">We </w:t>
      </w:r>
      <w:r w:rsidR="00805F1B">
        <w:rPr>
          <w:color w:val="000000" w:themeColor="text1"/>
          <w:lang w:val="en-GB"/>
        </w:rPr>
        <w:t>tested the</w:t>
      </w:r>
      <w:r w:rsidRPr="0040294D">
        <w:rPr>
          <w:color w:val="000000" w:themeColor="text1"/>
          <w:lang w:val="en-GB"/>
        </w:rPr>
        <w:t xml:space="preserve"> hypotheses by using a panel database consisting of 4,128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lastRenderedPageBreak/>
        <w:t>acquisition</w:t>
      </w:r>
      <w:r w:rsidRPr="0040294D">
        <w:rPr>
          <w:color w:val="000000" w:themeColor="text1"/>
          <w:lang w:val="en-GB"/>
        </w:rPr>
        <w:t>/year observations. Our findings provide a number of theoretical contributions to literature on acquisition performance</w:t>
      </w:r>
      <w:r w:rsidR="00D10F7F" w:rsidRPr="0040294D">
        <w:rPr>
          <w:color w:val="000000" w:themeColor="text1"/>
          <w:lang w:val="en-GB"/>
        </w:rPr>
        <w:t>,</w:t>
      </w:r>
      <w:r w:rsidRPr="0040294D">
        <w:rPr>
          <w:color w:val="000000" w:themeColor="text1"/>
          <w:lang w:val="en-GB"/>
        </w:rPr>
        <w:t xml:space="preserve"> HRM, </w:t>
      </w:r>
      <w:r w:rsidR="00D10F7F" w:rsidRPr="0040294D">
        <w:rPr>
          <w:color w:val="000000" w:themeColor="text1"/>
          <w:lang w:val="en-GB"/>
        </w:rPr>
        <w:t xml:space="preserve">slack resources </w:t>
      </w:r>
      <w:r w:rsidRPr="0040294D">
        <w:rPr>
          <w:color w:val="000000" w:themeColor="text1"/>
          <w:lang w:val="en-GB"/>
        </w:rPr>
        <w:t>as well as practitioner contributions.</w:t>
      </w:r>
    </w:p>
    <w:p w14:paraId="102C786E" w14:textId="0348BE83" w:rsidR="00B367E8" w:rsidRPr="007B0F1A" w:rsidRDefault="00FD2A48" w:rsidP="00805F1B">
      <w:pPr>
        <w:widowControl w:val="0"/>
        <w:spacing w:line="480" w:lineRule="auto"/>
        <w:ind w:firstLine="284"/>
        <w:jc w:val="both"/>
        <w:rPr>
          <w:color w:val="000000" w:themeColor="text1"/>
          <w:lang w:val="en-GB"/>
        </w:rPr>
      </w:pPr>
      <w:r w:rsidRPr="0040294D">
        <w:rPr>
          <w:color w:val="000000" w:themeColor="text1"/>
          <w:lang w:val="en-GB"/>
        </w:rPr>
        <w:t xml:space="preserve">First and foremost, we contribute new knowledge to research on acquisition failure determinants in a specific cross-border context. More particularly, we provide counterintuitive, intriguing insights into research </w:t>
      </w:r>
      <w:r w:rsidR="005C4506" w:rsidRPr="0040294D">
        <w:rPr>
          <w:color w:val="000000" w:themeColor="text1"/>
          <w:lang w:val="en-GB"/>
        </w:rPr>
        <w:t>stream</w:t>
      </w:r>
      <w:r w:rsidR="00E617FB" w:rsidRPr="0040294D">
        <w:rPr>
          <w:color w:val="000000" w:themeColor="text1"/>
          <w:lang w:val="en-GB"/>
        </w:rPr>
        <w:t xml:space="preserve"> </w:t>
      </w:r>
      <w:r w:rsidRPr="0040294D">
        <w:rPr>
          <w:color w:val="000000" w:themeColor="text1"/>
          <w:lang w:val="en-GB"/>
        </w:rPr>
        <w:t xml:space="preserve">highlighting </w:t>
      </w:r>
      <w:r w:rsidR="00FA1DA4">
        <w:rPr>
          <w:color w:val="000000" w:themeColor="text1"/>
          <w:lang w:val="en-GB"/>
        </w:rPr>
        <w:t>HRM-quality</w:t>
      </w:r>
      <w:r w:rsidRPr="0040294D">
        <w:rPr>
          <w:color w:val="000000" w:themeColor="text1"/>
          <w:lang w:val="en-GB"/>
        </w:rPr>
        <w:t xml:space="preserve"> as a key determinant, thereby responding to a recent call </w:t>
      </w:r>
      <w:r w:rsidR="003732AF" w:rsidRPr="0040294D">
        <w:rPr>
          <w:color w:val="000000" w:themeColor="text1"/>
          <w:lang w:val="en-GB"/>
        </w:rPr>
        <w:t>for further</w:t>
      </w:r>
      <w:r w:rsidRPr="0040294D">
        <w:rPr>
          <w:color w:val="000000" w:themeColor="text1"/>
          <w:lang w:val="en-GB"/>
        </w:rPr>
        <w:t xml:space="preserve"> study </w:t>
      </w:r>
      <w:r w:rsidR="003732AF" w:rsidRPr="0040294D">
        <w:rPr>
          <w:color w:val="000000" w:themeColor="text1"/>
          <w:lang w:val="en-GB"/>
        </w:rPr>
        <w:t xml:space="preserve">of </w:t>
      </w:r>
      <w:r w:rsidRPr="0040294D">
        <w:rPr>
          <w:color w:val="000000" w:themeColor="text1"/>
          <w:lang w:val="en-GB"/>
        </w:rPr>
        <w:t>the</w:t>
      </w:r>
      <w:r w:rsidR="0040294D">
        <w:rPr>
          <w:color w:val="000000" w:themeColor="text1"/>
          <w:lang w:val="en-GB"/>
        </w:rPr>
        <w:t xml:space="preserve"> ‘</w:t>
      </w:r>
      <w:r w:rsidRPr="0040294D">
        <w:rPr>
          <w:i/>
          <w:color w:val="000000" w:themeColor="text1"/>
          <w:lang w:val="en-GB"/>
        </w:rPr>
        <w:t>human side</w:t>
      </w:r>
      <w:r w:rsidR="0040294D">
        <w:rPr>
          <w:color w:val="000000" w:themeColor="text1"/>
          <w:lang w:val="en-GB"/>
        </w:rPr>
        <w:t>’</w:t>
      </w:r>
      <w:r w:rsidRPr="0040294D">
        <w:rPr>
          <w:color w:val="000000" w:themeColor="text1"/>
          <w:lang w:val="en-GB"/>
        </w:rPr>
        <w:t xml:space="preserve"> of global acquisitions (</w:t>
      </w:r>
      <w:proofErr w:type="spellStart"/>
      <w:r w:rsidRPr="0040294D">
        <w:rPr>
          <w:color w:val="000000" w:themeColor="text1"/>
          <w:lang w:val="en-GB"/>
        </w:rPr>
        <w:t>Buono</w:t>
      </w:r>
      <w:proofErr w:type="spellEnd"/>
      <w:r w:rsidRPr="0040294D">
        <w:rPr>
          <w:color w:val="000000" w:themeColor="text1"/>
          <w:lang w:val="en-GB"/>
        </w:rPr>
        <w:t xml:space="preserve"> and Bowditch, 1989; Sarala et al., 2019). </w:t>
      </w:r>
      <w:r w:rsidR="00B367E8">
        <w:rPr>
          <w:color w:val="000000" w:themeColor="text1"/>
          <w:lang w:val="en-GB"/>
        </w:rPr>
        <w:t xml:space="preserve">Additionally, given </w:t>
      </w:r>
      <w:r w:rsidR="00805F1B">
        <w:rPr>
          <w:color w:val="000000" w:themeColor="text1"/>
          <w:lang w:val="en-GB"/>
        </w:rPr>
        <w:t>the</w:t>
      </w:r>
      <w:r w:rsidR="00B367E8">
        <w:rPr>
          <w:color w:val="000000" w:themeColor="text1"/>
          <w:lang w:val="en-GB"/>
        </w:rPr>
        <w:t xml:space="preserve"> </w:t>
      </w:r>
      <w:r w:rsidR="00B367E8" w:rsidRPr="00972315">
        <w:rPr>
          <w:color w:val="000000" w:themeColor="text1"/>
          <w:lang w:val="en-US"/>
        </w:rPr>
        <w:t>HRM</w:t>
      </w:r>
      <w:r w:rsidR="00805F1B">
        <w:rPr>
          <w:color w:val="000000" w:themeColor="text1"/>
          <w:lang w:val="en-US"/>
        </w:rPr>
        <w:t>-</w:t>
      </w:r>
      <w:r w:rsidR="00B367E8" w:rsidRPr="00972315">
        <w:rPr>
          <w:color w:val="000000" w:themeColor="text1"/>
          <w:lang w:val="en-US"/>
        </w:rPr>
        <w:t xml:space="preserve">CSR </w:t>
      </w:r>
      <w:r w:rsidR="00805F1B">
        <w:rPr>
          <w:color w:val="000000" w:themeColor="text1"/>
          <w:lang w:val="en-US"/>
        </w:rPr>
        <w:t>relationships</w:t>
      </w:r>
      <w:r w:rsidR="00B367E8" w:rsidRPr="00972315">
        <w:rPr>
          <w:color w:val="000000" w:themeColor="text1"/>
          <w:lang w:val="en-US"/>
        </w:rPr>
        <w:t xml:space="preserve"> (</w:t>
      </w:r>
      <w:proofErr w:type="spellStart"/>
      <w:r w:rsidR="00B367E8" w:rsidRPr="00972315">
        <w:rPr>
          <w:color w:val="000000" w:themeColor="text1"/>
          <w:lang w:val="en-US"/>
        </w:rPr>
        <w:t>Voegtlin</w:t>
      </w:r>
      <w:proofErr w:type="spellEnd"/>
      <w:r w:rsidR="00B367E8">
        <w:rPr>
          <w:color w:val="000000" w:themeColor="text1"/>
          <w:lang w:val="en-US"/>
        </w:rPr>
        <w:t xml:space="preserve"> and </w:t>
      </w:r>
      <w:r w:rsidR="00B367E8" w:rsidRPr="00972315">
        <w:rPr>
          <w:color w:val="000000" w:themeColor="text1"/>
          <w:lang w:val="en-US"/>
        </w:rPr>
        <w:t xml:space="preserve">Greenwood, 2016), </w:t>
      </w:r>
      <w:r w:rsidR="00B367E8">
        <w:rPr>
          <w:color w:val="000000" w:themeColor="text1"/>
          <w:lang w:val="en-US"/>
        </w:rPr>
        <w:t>w</w:t>
      </w:r>
      <w:r w:rsidR="00B367E8" w:rsidRPr="00972315">
        <w:rPr>
          <w:color w:val="000000" w:themeColor="text1"/>
          <w:lang w:val="en-US"/>
        </w:rPr>
        <w:t xml:space="preserve">e </w:t>
      </w:r>
      <w:r w:rsidR="00B367E8">
        <w:rPr>
          <w:color w:val="000000" w:themeColor="text1"/>
          <w:lang w:val="en-US"/>
        </w:rPr>
        <w:t>offer</w:t>
      </w:r>
      <w:r w:rsidR="00B367E8" w:rsidRPr="00972315">
        <w:rPr>
          <w:color w:val="000000" w:themeColor="text1"/>
          <w:lang w:val="en-US"/>
        </w:rPr>
        <w:t xml:space="preserve"> </w:t>
      </w:r>
      <w:r w:rsidR="00B367E8">
        <w:rPr>
          <w:color w:val="000000" w:themeColor="text1"/>
          <w:lang w:val="en-US"/>
        </w:rPr>
        <w:t xml:space="preserve">further </w:t>
      </w:r>
      <w:r w:rsidR="00B367E8" w:rsidRPr="00972315">
        <w:rPr>
          <w:color w:val="000000" w:themeColor="text1"/>
          <w:lang w:val="en-US"/>
        </w:rPr>
        <w:t>support to the contingency perspective on the relationship between CSR and organizational performance</w:t>
      </w:r>
      <w:r w:rsidR="00B367E8">
        <w:rPr>
          <w:color w:val="000000" w:themeColor="text1"/>
          <w:lang w:val="en-US"/>
        </w:rPr>
        <w:t xml:space="preserve"> </w:t>
      </w:r>
      <w:r w:rsidR="00B367E8" w:rsidRPr="00972315">
        <w:rPr>
          <w:color w:val="000000" w:themeColor="text1"/>
          <w:lang w:val="en-US"/>
        </w:rPr>
        <w:t>(</w:t>
      </w:r>
      <w:proofErr w:type="spellStart"/>
      <w:r w:rsidR="00B367E8" w:rsidRPr="00972315">
        <w:rPr>
          <w:color w:val="000000" w:themeColor="text1"/>
          <w:lang w:val="en-US"/>
        </w:rPr>
        <w:t>Tzabbar</w:t>
      </w:r>
      <w:proofErr w:type="spellEnd"/>
      <w:r w:rsidR="00B367E8" w:rsidRPr="00972315">
        <w:rPr>
          <w:color w:val="000000" w:themeColor="text1"/>
          <w:lang w:val="en-US"/>
        </w:rPr>
        <w:t xml:space="preserve">, </w:t>
      </w:r>
      <w:proofErr w:type="spellStart"/>
      <w:r w:rsidR="00B367E8" w:rsidRPr="00972315">
        <w:rPr>
          <w:color w:val="000000" w:themeColor="text1"/>
          <w:lang w:val="en-US"/>
        </w:rPr>
        <w:t>Tzafrir</w:t>
      </w:r>
      <w:proofErr w:type="spellEnd"/>
      <w:r w:rsidR="00B367E8" w:rsidRPr="00972315">
        <w:rPr>
          <w:color w:val="000000" w:themeColor="text1"/>
          <w:lang w:val="en-US"/>
        </w:rPr>
        <w:t>,</w:t>
      </w:r>
      <w:r w:rsidR="00B367E8">
        <w:rPr>
          <w:color w:val="000000" w:themeColor="text1"/>
          <w:lang w:val="en-US"/>
        </w:rPr>
        <w:t xml:space="preserve"> and </w:t>
      </w:r>
      <w:r w:rsidR="00B367E8" w:rsidRPr="00972315">
        <w:rPr>
          <w:color w:val="000000" w:themeColor="text1"/>
          <w:lang w:val="en-US"/>
        </w:rPr>
        <w:t>Baruch, 2017)</w:t>
      </w:r>
      <w:r w:rsidR="00B367E8">
        <w:rPr>
          <w:color w:val="000000" w:themeColor="text1"/>
          <w:lang w:val="en-US"/>
        </w:rPr>
        <w:t>. Employee-sensitive policies and practices reflected as firms’ CSR engagement may enhance employee productivity and ultimately improve firms</w:t>
      </w:r>
      <w:r w:rsidR="00C621F0">
        <w:rPr>
          <w:color w:val="000000" w:themeColor="text1"/>
          <w:lang w:val="en-US"/>
        </w:rPr>
        <w:t>’</w:t>
      </w:r>
      <w:r w:rsidR="00B367E8">
        <w:rPr>
          <w:color w:val="000000" w:themeColor="text1"/>
          <w:lang w:val="en-US"/>
        </w:rPr>
        <w:t xml:space="preserve"> financial and non-financial performance (Mishra and Damodar, 2010).</w:t>
      </w:r>
    </w:p>
    <w:p w14:paraId="129D5804" w14:textId="77777777" w:rsidR="00CF0E83" w:rsidRDefault="00FD2A48" w:rsidP="00436C13">
      <w:pPr>
        <w:widowControl w:val="0"/>
        <w:spacing w:line="480" w:lineRule="auto"/>
        <w:ind w:firstLine="284"/>
        <w:jc w:val="both"/>
        <w:rPr>
          <w:color w:val="000000" w:themeColor="text1"/>
          <w:lang w:val="en-GB"/>
        </w:rPr>
      </w:pPr>
      <w:r w:rsidRPr="0040294D">
        <w:rPr>
          <w:color w:val="000000" w:themeColor="text1"/>
          <w:lang w:val="en-GB"/>
        </w:rPr>
        <w:t>Second, we extend HRM theory by identifying the U-shaped nature of the relationship</w:t>
      </w:r>
      <w:r w:rsidR="00AB030A" w:rsidRPr="0040294D">
        <w:rPr>
          <w:color w:val="000000" w:themeColor="text1"/>
          <w:lang w:val="en-GB"/>
        </w:rPr>
        <w:t xml:space="preserve">, since HRM theory assumes a positive link between </w:t>
      </w:r>
      <w:r w:rsidR="00FA1DA4">
        <w:rPr>
          <w:color w:val="000000" w:themeColor="text1"/>
          <w:lang w:val="en-GB"/>
        </w:rPr>
        <w:t>HRM-quality</w:t>
      </w:r>
      <w:r w:rsidR="00AB030A" w:rsidRPr="0040294D">
        <w:rPr>
          <w:color w:val="000000" w:themeColor="text1"/>
          <w:lang w:val="en-GB"/>
        </w:rPr>
        <w:t xml:space="preserve"> and organizational performance indicators</w:t>
      </w:r>
      <w:r w:rsidR="00E617FB" w:rsidRPr="0040294D">
        <w:rPr>
          <w:color w:val="000000" w:themeColor="text1"/>
          <w:lang w:val="en-GB"/>
        </w:rPr>
        <w:t>,</w:t>
      </w:r>
      <w:r w:rsidR="00AB030A" w:rsidRPr="0040294D">
        <w:rPr>
          <w:color w:val="000000" w:themeColor="text1"/>
          <w:lang w:val="en-GB"/>
        </w:rPr>
        <w:t xml:space="preserve"> such as acquisition performance</w:t>
      </w:r>
      <w:r w:rsidR="00436C13" w:rsidRPr="0040294D">
        <w:rPr>
          <w:color w:val="000000" w:themeColor="text1"/>
          <w:lang w:val="en-GB"/>
        </w:rPr>
        <w:t>.</w:t>
      </w:r>
    </w:p>
    <w:p w14:paraId="24DBAAAC" w14:textId="6C8CD2B9" w:rsidR="00436C13" w:rsidRDefault="00436C13">
      <w:pPr>
        <w:widowControl w:val="0"/>
        <w:spacing w:line="480" w:lineRule="auto"/>
        <w:ind w:firstLine="284"/>
        <w:jc w:val="both"/>
        <w:rPr>
          <w:lang w:val="en-GB"/>
        </w:rPr>
      </w:pPr>
      <w:r w:rsidRPr="0040294D">
        <w:rPr>
          <w:color w:val="000000" w:themeColor="text1"/>
          <w:lang w:val="en-GB"/>
        </w:rPr>
        <w:t xml:space="preserve">Third, we </w:t>
      </w:r>
      <w:r w:rsidR="00E617FB" w:rsidRPr="0040294D">
        <w:rPr>
          <w:color w:val="000000" w:themeColor="text1"/>
          <w:lang w:val="en-GB"/>
        </w:rPr>
        <w:t xml:space="preserve">further </w:t>
      </w:r>
      <w:r w:rsidRPr="0040294D">
        <w:rPr>
          <w:color w:val="000000" w:themeColor="text1"/>
          <w:lang w:val="en-GB"/>
        </w:rPr>
        <w:t xml:space="preserve">unpack the </w:t>
      </w:r>
      <w:r w:rsidRPr="00CA6C44">
        <w:rPr>
          <w:color w:val="000000" w:themeColor="text1"/>
          <w:lang w:val="en-GB"/>
        </w:rPr>
        <w:t>black</w:t>
      </w:r>
      <w:r w:rsidR="00CA6C44">
        <w:rPr>
          <w:color w:val="000000" w:themeColor="text1"/>
          <w:lang w:val="en-GB"/>
        </w:rPr>
        <w:t xml:space="preserve"> </w:t>
      </w:r>
      <w:r w:rsidRPr="00CA6C44">
        <w:rPr>
          <w:color w:val="000000" w:themeColor="text1"/>
          <w:lang w:val="en-GB"/>
        </w:rPr>
        <w:t>box between</w:t>
      </w:r>
      <w:r w:rsidRPr="0040294D">
        <w:rPr>
          <w:color w:val="000000" w:themeColor="text1"/>
          <w:lang w:val="en-GB"/>
        </w:rPr>
        <w:t xml:space="preserve"> </w:t>
      </w:r>
      <w:r w:rsidRPr="0040294D">
        <w:rPr>
          <w:lang w:val="en-GB"/>
        </w:rPr>
        <w:t>slack resources and firm performance</w:t>
      </w:r>
      <w:r w:rsidRPr="0040294D">
        <w:rPr>
          <w:color w:val="000000" w:themeColor="text1"/>
          <w:lang w:val="en-GB"/>
        </w:rPr>
        <w:t xml:space="preserve"> </w:t>
      </w:r>
      <w:r w:rsidR="00FD2A48" w:rsidRPr="0040294D">
        <w:rPr>
          <w:color w:val="000000" w:themeColor="text1"/>
          <w:lang w:val="en-GB"/>
        </w:rPr>
        <w:t xml:space="preserve">by highlighting the moderating role of </w:t>
      </w:r>
      <w:r w:rsidR="00FA1DA4">
        <w:rPr>
          <w:color w:val="000000" w:themeColor="text1"/>
          <w:lang w:val="en-GB"/>
        </w:rPr>
        <w:t>financial</w:t>
      </w:r>
      <w:r w:rsidR="00863324">
        <w:rPr>
          <w:color w:val="000000" w:themeColor="text1"/>
          <w:lang w:val="en-GB"/>
        </w:rPr>
        <w:t xml:space="preserve"> </w:t>
      </w:r>
      <w:r w:rsidR="00FA1DA4">
        <w:rPr>
          <w:color w:val="000000" w:themeColor="text1"/>
          <w:lang w:val="en-GB"/>
        </w:rPr>
        <w:t>slack</w:t>
      </w:r>
      <w:r w:rsidRPr="0040294D">
        <w:rPr>
          <w:color w:val="000000" w:themeColor="text1"/>
          <w:lang w:val="en-GB"/>
        </w:rPr>
        <w:t xml:space="preserve"> </w:t>
      </w:r>
      <w:r w:rsidRPr="0040294D">
        <w:rPr>
          <w:lang w:val="en-GB"/>
        </w:rPr>
        <w:t xml:space="preserve">in </w:t>
      </w:r>
      <w:r w:rsidR="00D1552D" w:rsidRPr="0040294D">
        <w:rPr>
          <w:lang w:val="en-GB"/>
        </w:rPr>
        <w:t>acquisition</w:t>
      </w:r>
      <w:r w:rsidRPr="0040294D">
        <w:rPr>
          <w:lang w:val="en-GB"/>
        </w:rPr>
        <w:t xml:space="preserve"> </w:t>
      </w:r>
      <w:r w:rsidR="00376083" w:rsidRPr="0040294D">
        <w:rPr>
          <w:lang w:val="en-GB"/>
        </w:rPr>
        <w:t>outcome</w:t>
      </w:r>
      <w:r w:rsidRPr="0040294D">
        <w:rPr>
          <w:lang w:val="en-GB"/>
        </w:rPr>
        <w:t>.</w:t>
      </w:r>
      <w:r w:rsidR="0054564E">
        <w:rPr>
          <w:lang w:val="en-GB"/>
        </w:rPr>
        <w:t xml:space="preserve"> Prior studies have </w:t>
      </w:r>
      <w:r w:rsidR="002710A3">
        <w:rPr>
          <w:lang w:val="en-GB"/>
        </w:rPr>
        <w:t>shown</w:t>
      </w:r>
      <w:r w:rsidR="0054564E">
        <w:rPr>
          <w:lang w:val="en-GB"/>
        </w:rPr>
        <w:t xml:space="preserve"> that fin</w:t>
      </w:r>
      <w:r w:rsidR="002710A3">
        <w:rPr>
          <w:lang w:val="en-GB"/>
        </w:rPr>
        <w:t>ancial</w:t>
      </w:r>
      <w:r w:rsidR="00FF3FE9">
        <w:rPr>
          <w:lang w:val="en-GB"/>
        </w:rPr>
        <w:t xml:space="preserve"> </w:t>
      </w:r>
      <w:r w:rsidR="0054564E">
        <w:rPr>
          <w:lang w:val="en-GB"/>
        </w:rPr>
        <w:t>slack can m</w:t>
      </w:r>
      <w:r w:rsidR="00D24D6A">
        <w:rPr>
          <w:lang w:val="en-GB"/>
        </w:rPr>
        <w:t>oderate the link between several</w:t>
      </w:r>
      <w:r w:rsidR="0054564E">
        <w:rPr>
          <w:lang w:val="en-GB"/>
        </w:rPr>
        <w:t xml:space="preserve"> </w:t>
      </w:r>
      <w:r w:rsidR="00EA217A">
        <w:rPr>
          <w:lang w:val="en-GB"/>
        </w:rPr>
        <w:t>performance drivers and various organizational</w:t>
      </w:r>
      <w:r w:rsidR="0054564E">
        <w:rPr>
          <w:lang w:val="en-GB"/>
        </w:rPr>
        <w:t xml:space="preserve"> performance </w:t>
      </w:r>
      <w:r w:rsidR="00D24D6A">
        <w:rPr>
          <w:lang w:val="en-GB"/>
        </w:rPr>
        <w:t xml:space="preserve">indicators </w:t>
      </w:r>
      <w:r w:rsidR="0054564E">
        <w:rPr>
          <w:lang w:val="en-GB"/>
        </w:rPr>
        <w:t>(</w:t>
      </w:r>
      <w:r w:rsidR="00EA217A">
        <w:rPr>
          <w:lang w:val="en-GB"/>
        </w:rPr>
        <w:t>Aguilera-</w:t>
      </w:r>
      <w:proofErr w:type="spellStart"/>
      <w:r w:rsidR="00EA217A">
        <w:rPr>
          <w:lang w:val="en-GB"/>
        </w:rPr>
        <w:t>Caracuel</w:t>
      </w:r>
      <w:proofErr w:type="spellEnd"/>
      <w:r w:rsidR="00EA217A">
        <w:rPr>
          <w:lang w:val="en-GB"/>
        </w:rPr>
        <w:t xml:space="preserve">, Guerrero-Villegas, Vidal-Salazar, and Delgado-Márquez, 2015; </w:t>
      </w:r>
      <w:proofErr w:type="spellStart"/>
      <w:r w:rsidR="0054564E">
        <w:rPr>
          <w:lang w:val="en-GB"/>
        </w:rPr>
        <w:t>Kohtamäki</w:t>
      </w:r>
      <w:proofErr w:type="spellEnd"/>
      <w:r w:rsidR="0054564E">
        <w:rPr>
          <w:lang w:val="en-GB"/>
        </w:rPr>
        <w:t xml:space="preserve">, </w:t>
      </w:r>
      <w:proofErr w:type="spellStart"/>
      <w:r w:rsidR="0054564E">
        <w:rPr>
          <w:lang w:val="en-GB"/>
        </w:rPr>
        <w:t>Heimonen</w:t>
      </w:r>
      <w:proofErr w:type="spellEnd"/>
      <w:r w:rsidR="0054564E">
        <w:rPr>
          <w:lang w:val="en-GB"/>
        </w:rPr>
        <w:t xml:space="preserve">, and </w:t>
      </w:r>
      <w:proofErr w:type="spellStart"/>
      <w:r w:rsidR="0054564E">
        <w:rPr>
          <w:lang w:val="en-GB"/>
        </w:rPr>
        <w:t>Parida</w:t>
      </w:r>
      <w:proofErr w:type="spellEnd"/>
      <w:r w:rsidR="0054564E">
        <w:rPr>
          <w:lang w:val="en-GB"/>
        </w:rPr>
        <w:t xml:space="preserve">, 2019). </w:t>
      </w:r>
      <w:r w:rsidR="002710A3">
        <w:rPr>
          <w:lang w:val="en-GB"/>
        </w:rPr>
        <w:t>We contribute new knowledge by arguing and empirically demonstrating that financial</w:t>
      </w:r>
      <w:r w:rsidR="00863324">
        <w:rPr>
          <w:lang w:val="en-GB"/>
        </w:rPr>
        <w:t xml:space="preserve"> </w:t>
      </w:r>
      <w:r w:rsidR="002710A3">
        <w:rPr>
          <w:lang w:val="en-GB"/>
        </w:rPr>
        <w:t xml:space="preserve">slack makes </w:t>
      </w:r>
      <w:r w:rsidR="002710A3" w:rsidRPr="00263B3E">
        <w:rPr>
          <w:i/>
          <w:lang w:val="en-GB"/>
        </w:rPr>
        <w:t>overinvestment</w:t>
      </w:r>
      <w:r w:rsidR="002710A3">
        <w:rPr>
          <w:lang w:val="en-GB"/>
        </w:rPr>
        <w:t xml:space="preserve"> </w:t>
      </w:r>
      <w:r w:rsidR="00D24D6A">
        <w:rPr>
          <w:lang w:val="en-GB"/>
        </w:rPr>
        <w:t>in a key performance driver</w:t>
      </w:r>
      <w:r w:rsidR="002710A3">
        <w:rPr>
          <w:lang w:val="en-GB"/>
        </w:rPr>
        <w:t xml:space="preserve"> </w:t>
      </w:r>
      <w:r w:rsidR="00B057E3">
        <w:rPr>
          <w:lang w:val="en-GB"/>
        </w:rPr>
        <w:t>(HR</w:t>
      </w:r>
      <w:r w:rsidR="00863324">
        <w:rPr>
          <w:lang w:val="en-GB"/>
        </w:rPr>
        <w:t>M</w:t>
      </w:r>
      <w:r w:rsidR="00B057E3">
        <w:rPr>
          <w:lang w:val="en-GB"/>
        </w:rPr>
        <w:t xml:space="preserve">-quality) </w:t>
      </w:r>
      <w:r w:rsidR="002710A3">
        <w:rPr>
          <w:lang w:val="en-GB"/>
        </w:rPr>
        <w:t xml:space="preserve">less </w:t>
      </w:r>
      <w:r w:rsidR="001663F5">
        <w:rPr>
          <w:lang w:val="en-GB"/>
        </w:rPr>
        <w:t>detrimental</w:t>
      </w:r>
      <w:r w:rsidR="00BF2FBB">
        <w:rPr>
          <w:lang w:val="en-GB"/>
        </w:rPr>
        <w:t>, but does</w:t>
      </w:r>
      <w:r w:rsidR="003838AF">
        <w:rPr>
          <w:lang w:val="en-GB"/>
        </w:rPr>
        <w:t xml:space="preserve"> not prevent a diminishing-results effect</w:t>
      </w:r>
      <w:r w:rsidR="00B057E3">
        <w:rPr>
          <w:lang w:val="en-GB"/>
        </w:rPr>
        <w:t xml:space="preserve"> (on acquisition outcome)</w:t>
      </w:r>
      <w:r w:rsidR="002710A3">
        <w:rPr>
          <w:lang w:val="en-GB"/>
        </w:rPr>
        <w:t xml:space="preserve">. There is little prior (dis)confirmatory evidence </w:t>
      </w:r>
      <w:r w:rsidR="003838AF">
        <w:rPr>
          <w:lang w:val="en-GB"/>
        </w:rPr>
        <w:t>on this issue</w:t>
      </w:r>
      <w:r w:rsidR="003778F4">
        <w:rPr>
          <w:lang w:val="en-GB"/>
        </w:rPr>
        <w:t xml:space="preserve">, and we hope to </w:t>
      </w:r>
      <w:r w:rsidR="00D24D6A">
        <w:rPr>
          <w:lang w:val="en-GB"/>
        </w:rPr>
        <w:t>inspire futu</w:t>
      </w:r>
      <w:r w:rsidR="003778F4">
        <w:rPr>
          <w:lang w:val="en-GB"/>
        </w:rPr>
        <w:t xml:space="preserve">re scrutiny of other investment targets, beyond </w:t>
      </w:r>
      <w:r w:rsidR="00B53FE3">
        <w:rPr>
          <w:lang w:val="en-GB"/>
        </w:rPr>
        <w:t>the HR function</w:t>
      </w:r>
      <w:r w:rsidR="003778F4">
        <w:rPr>
          <w:lang w:val="en-GB"/>
        </w:rPr>
        <w:t>.</w:t>
      </w:r>
    </w:p>
    <w:p w14:paraId="54B88D4C" w14:textId="572B7CA9" w:rsidR="00863324" w:rsidRPr="00CF520F" w:rsidRDefault="00863324" w:rsidP="00CF520F">
      <w:pPr>
        <w:spacing w:line="480" w:lineRule="auto"/>
        <w:ind w:firstLine="284"/>
        <w:jc w:val="both"/>
        <w:rPr>
          <w:lang w:val="en-GB"/>
        </w:rPr>
      </w:pPr>
      <w:r>
        <w:rPr>
          <w:lang w:val="en-GB"/>
        </w:rPr>
        <w:lastRenderedPageBreak/>
        <w:t xml:space="preserve">Fourth and last, </w:t>
      </w:r>
      <w:r w:rsidRPr="00CF520F">
        <w:rPr>
          <w:lang w:val="en-GB"/>
        </w:rPr>
        <w:t xml:space="preserve">we make a contribution to the slack literature by providing new insights on the role of </w:t>
      </w:r>
      <w:r>
        <w:rPr>
          <w:lang w:val="en-GB"/>
        </w:rPr>
        <w:t>‘</w:t>
      </w:r>
      <w:r w:rsidRPr="00CF520F">
        <w:rPr>
          <w:i/>
          <w:lang w:val="en-GB"/>
        </w:rPr>
        <w:t>slack in the pursuit of strategic change</w:t>
      </w:r>
      <w:r>
        <w:rPr>
          <w:lang w:val="en-GB"/>
        </w:rPr>
        <w:t>’</w:t>
      </w:r>
      <w:r w:rsidRPr="00CF520F">
        <w:rPr>
          <w:lang w:val="en-GB"/>
        </w:rPr>
        <w:t xml:space="preserve"> (</w:t>
      </w:r>
      <w:r>
        <w:rPr>
          <w:lang w:val="en-GB"/>
        </w:rPr>
        <w:t>Bentley and Kehoe, 2020, p.</w:t>
      </w:r>
      <w:r w:rsidR="00EC0873">
        <w:rPr>
          <w:lang w:val="en-GB"/>
        </w:rPr>
        <w:t> </w:t>
      </w:r>
      <w:r>
        <w:rPr>
          <w:lang w:val="en-GB"/>
        </w:rPr>
        <w:t>200) and, specifically, its interaction effect</w:t>
      </w:r>
      <w:r w:rsidRPr="00CF520F">
        <w:rPr>
          <w:lang w:val="en-GB"/>
        </w:rPr>
        <w:t xml:space="preserve"> with HRM</w:t>
      </w:r>
      <w:r>
        <w:rPr>
          <w:lang w:val="en-GB"/>
        </w:rPr>
        <w:t>-</w:t>
      </w:r>
      <w:r w:rsidRPr="00CF520F">
        <w:rPr>
          <w:lang w:val="en-GB"/>
        </w:rPr>
        <w:t>quality.</w:t>
      </w:r>
    </w:p>
    <w:p w14:paraId="69259652" w14:textId="4FDD8D73" w:rsidR="00FD2A48" w:rsidRPr="0040294D" w:rsidRDefault="00FD2A48" w:rsidP="002255D7">
      <w:pPr>
        <w:widowControl w:val="0"/>
        <w:spacing w:line="480" w:lineRule="auto"/>
        <w:ind w:firstLine="284"/>
        <w:jc w:val="both"/>
        <w:rPr>
          <w:color w:val="000000" w:themeColor="text1"/>
          <w:lang w:val="en-GB"/>
        </w:rPr>
      </w:pPr>
      <w:r w:rsidRPr="00CF520F">
        <w:rPr>
          <w:lang w:val="en-GB"/>
        </w:rPr>
        <w:t>Our practitioner</w:t>
      </w:r>
      <w:r w:rsidRPr="0040294D">
        <w:rPr>
          <w:color w:val="000000" w:themeColor="text1"/>
          <w:lang w:val="en-GB"/>
        </w:rPr>
        <w:t xml:space="preserve"> contributions are twofold. First, our findings suggest that both very low and very high</w:t>
      </w:r>
      <w:r w:rsidR="005C4506" w:rsidRPr="0040294D">
        <w:rPr>
          <w:color w:val="000000" w:themeColor="text1"/>
          <w:lang w:val="en-GB"/>
        </w:rPr>
        <w:t xml:space="preserve"> quality</w:t>
      </w:r>
      <w:r w:rsidRPr="0040294D">
        <w:rPr>
          <w:color w:val="000000" w:themeColor="text1"/>
          <w:lang w:val="en-GB"/>
        </w:rPr>
        <w:t xml:space="preserve"> HRM might increase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 divestment likelihood, which cautions those managing acquisition processes </w:t>
      </w:r>
      <w:r w:rsidR="00E617FB" w:rsidRPr="0040294D">
        <w:rPr>
          <w:color w:val="000000" w:themeColor="text1"/>
          <w:lang w:val="en-GB"/>
        </w:rPr>
        <w:t>against</w:t>
      </w:r>
      <w:r w:rsidRPr="0040294D">
        <w:rPr>
          <w:color w:val="000000" w:themeColor="text1"/>
          <w:lang w:val="en-GB"/>
        </w:rPr>
        <w:t xml:space="preserve"> the consequences of being at </w:t>
      </w:r>
      <w:r w:rsidR="00644577" w:rsidRPr="0040294D">
        <w:rPr>
          <w:color w:val="000000" w:themeColor="text1"/>
          <w:lang w:val="en-GB"/>
        </w:rPr>
        <w:t>either</w:t>
      </w:r>
      <w:r w:rsidRPr="0040294D">
        <w:rPr>
          <w:color w:val="000000" w:themeColor="text1"/>
          <w:lang w:val="en-GB"/>
        </w:rPr>
        <w:t xml:space="preserve"> extreme of </w:t>
      </w:r>
      <w:r w:rsidR="00E617FB" w:rsidRPr="0040294D">
        <w:rPr>
          <w:color w:val="000000" w:themeColor="text1"/>
          <w:lang w:val="en-GB"/>
        </w:rPr>
        <w:t xml:space="preserve">the </w:t>
      </w:r>
      <w:r w:rsidR="00FA1DA4">
        <w:rPr>
          <w:color w:val="000000" w:themeColor="text1"/>
          <w:lang w:val="en-GB"/>
        </w:rPr>
        <w:t>HRM-quality</w:t>
      </w:r>
      <w:r w:rsidR="00E617FB" w:rsidRPr="0040294D">
        <w:rPr>
          <w:color w:val="000000" w:themeColor="text1"/>
          <w:lang w:val="en-GB"/>
        </w:rPr>
        <w:t xml:space="preserve"> spectrum</w:t>
      </w:r>
      <w:r w:rsidRPr="0040294D">
        <w:rPr>
          <w:color w:val="000000" w:themeColor="text1"/>
          <w:lang w:val="en-GB"/>
        </w:rPr>
        <w:t xml:space="preserve">. We also </w:t>
      </w:r>
      <w:r w:rsidR="00644577" w:rsidRPr="0040294D">
        <w:rPr>
          <w:color w:val="000000" w:themeColor="text1"/>
          <w:lang w:val="en-GB"/>
        </w:rPr>
        <w:t>pinpoint</w:t>
      </w:r>
      <w:r w:rsidRPr="0040294D">
        <w:rPr>
          <w:color w:val="000000" w:themeColor="text1"/>
          <w:lang w:val="en-GB"/>
        </w:rPr>
        <w:t xml:space="preserve"> the role and relevance of </w:t>
      </w:r>
      <w:r w:rsidR="00FA1DA4">
        <w:rPr>
          <w:color w:val="000000" w:themeColor="text1"/>
          <w:lang w:val="en-GB"/>
        </w:rPr>
        <w:t>financial</w:t>
      </w:r>
      <w:r w:rsidR="00FF3FE9">
        <w:rPr>
          <w:color w:val="000000" w:themeColor="text1"/>
          <w:lang w:val="en-GB"/>
        </w:rPr>
        <w:t xml:space="preserve"> </w:t>
      </w:r>
      <w:r w:rsidR="00FA1DA4">
        <w:rPr>
          <w:color w:val="000000" w:themeColor="text1"/>
          <w:lang w:val="en-GB"/>
        </w:rPr>
        <w:t>slack</w:t>
      </w:r>
      <w:r w:rsidR="002255D7">
        <w:rPr>
          <w:color w:val="000000" w:themeColor="text1"/>
          <w:lang w:val="en-GB"/>
        </w:rPr>
        <w:t>, indicating</w:t>
      </w:r>
      <w:r w:rsidRPr="0040294D">
        <w:rPr>
          <w:color w:val="000000" w:themeColor="text1"/>
          <w:lang w:val="en-GB"/>
        </w:rPr>
        <w:t xml:space="preserve"> that </w:t>
      </w:r>
      <w:r w:rsidR="002255D7" w:rsidRPr="0040294D">
        <w:rPr>
          <w:color w:val="000000" w:themeColor="text1"/>
          <w:lang w:val="en-GB"/>
        </w:rPr>
        <w:t>acquirer</w:t>
      </w:r>
      <w:r w:rsidR="002255D7">
        <w:rPr>
          <w:color w:val="000000" w:themeColor="text1"/>
          <w:lang w:val="en-GB"/>
        </w:rPr>
        <w:t>’s</w:t>
      </w:r>
      <w:r w:rsidR="002255D7" w:rsidRPr="0040294D">
        <w:rPr>
          <w:color w:val="000000" w:themeColor="text1"/>
          <w:lang w:val="en-GB"/>
        </w:rPr>
        <w:t xml:space="preserve"> </w:t>
      </w:r>
      <w:r w:rsidR="00FA1DA4">
        <w:rPr>
          <w:color w:val="000000" w:themeColor="text1"/>
          <w:lang w:val="en-GB"/>
        </w:rPr>
        <w:t>financial</w:t>
      </w:r>
      <w:r w:rsidR="00FF3FE9">
        <w:rPr>
          <w:color w:val="000000" w:themeColor="text1"/>
          <w:lang w:val="en-GB"/>
        </w:rPr>
        <w:t xml:space="preserve"> </w:t>
      </w:r>
      <w:r w:rsidR="00FA1DA4">
        <w:rPr>
          <w:color w:val="000000" w:themeColor="text1"/>
          <w:lang w:val="en-GB"/>
        </w:rPr>
        <w:t>slack</w:t>
      </w:r>
      <w:r w:rsidR="002255D7">
        <w:rPr>
          <w:color w:val="000000" w:themeColor="text1"/>
          <w:lang w:val="en-GB"/>
        </w:rPr>
        <w:t xml:space="preserve"> </w:t>
      </w:r>
      <w:r w:rsidRPr="0040294D">
        <w:rPr>
          <w:color w:val="000000" w:themeColor="text1"/>
          <w:lang w:val="en-GB"/>
        </w:rPr>
        <w:t xml:space="preserve">has a significant moderating effect on the curvilinear relationship between </w:t>
      </w:r>
      <w:r w:rsidR="00FA1DA4">
        <w:rPr>
          <w:color w:val="000000" w:themeColor="text1"/>
          <w:lang w:val="en-GB"/>
        </w:rPr>
        <w:t>HRM-quality</w:t>
      </w:r>
      <w:r w:rsidRPr="0040294D">
        <w:rPr>
          <w:color w:val="000000" w:themeColor="text1"/>
          <w:lang w:val="en-GB"/>
        </w:rPr>
        <w:t xml:space="preserve"> and acquisition divestment</w:t>
      </w:r>
      <w:r w:rsidR="00644577" w:rsidRPr="0040294D">
        <w:rPr>
          <w:color w:val="000000" w:themeColor="text1"/>
          <w:lang w:val="en-GB"/>
        </w:rPr>
        <w:t xml:space="preserve"> likelihood</w:t>
      </w:r>
      <w:r w:rsidRPr="0040294D">
        <w:rPr>
          <w:color w:val="000000" w:themeColor="text1"/>
          <w:lang w:val="en-GB"/>
        </w:rPr>
        <w:t xml:space="preserve">. It is important for acquirers to understand these factors prior to undertaking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s.</w:t>
      </w:r>
    </w:p>
    <w:p w14:paraId="05B6BE1A" w14:textId="77777777" w:rsidR="00FF3FE9" w:rsidRPr="0040294D" w:rsidRDefault="00FF3FE9" w:rsidP="00CF520F">
      <w:pPr>
        <w:pStyle w:val="paragraph"/>
        <w:spacing w:before="0" w:beforeAutospacing="0" w:after="0" w:afterAutospacing="0" w:line="480" w:lineRule="auto"/>
        <w:textAlignment w:val="baseline"/>
        <w:rPr>
          <w:lang w:val="en-GB"/>
        </w:rPr>
      </w:pPr>
    </w:p>
    <w:p w14:paraId="17D8EBA1" w14:textId="77777777" w:rsidR="00FD2A48" w:rsidRPr="0040294D" w:rsidRDefault="00FD2A48">
      <w:pPr>
        <w:spacing w:line="480" w:lineRule="auto"/>
        <w:rPr>
          <w:b/>
          <w:color w:val="000000" w:themeColor="text1"/>
          <w:sz w:val="28"/>
          <w:szCs w:val="28"/>
          <w:lang w:val="en-GB"/>
        </w:rPr>
      </w:pPr>
      <w:r w:rsidRPr="0040294D">
        <w:rPr>
          <w:b/>
          <w:color w:val="000000" w:themeColor="text1"/>
          <w:sz w:val="28"/>
          <w:szCs w:val="28"/>
          <w:lang w:val="en-GB"/>
        </w:rPr>
        <w:t>Theory and Hypotheses</w:t>
      </w:r>
    </w:p>
    <w:p w14:paraId="77D44DB6" w14:textId="0D710B33" w:rsidR="00FD2A48" w:rsidRPr="0040294D" w:rsidRDefault="00E617FB">
      <w:pPr>
        <w:spacing w:line="480" w:lineRule="auto"/>
        <w:jc w:val="both"/>
        <w:rPr>
          <w:b/>
          <w:i/>
          <w:color w:val="000000" w:themeColor="text1"/>
          <w:lang w:val="en-GB"/>
        </w:rPr>
      </w:pPr>
      <w:r w:rsidRPr="0040294D">
        <w:rPr>
          <w:b/>
          <w:i/>
          <w:color w:val="000000" w:themeColor="text1"/>
          <w:lang w:val="en-GB"/>
        </w:rPr>
        <w:t xml:space="preserve">The </w:t>
      </w:r>
      <w:r w:rsidR="00FD2A48" w:rsidRPr="0040294D">
        <w:rPr>
          <w:b/>
          <w:i/>
          <w:color w:val="000000" w:themeColor="text1"/>
          <w:lang w:val="en-GB"/>
        </w:rPr>
        <w:t xml:space="preserve">HRM </w:t>
      </w:r>
      <w:r w:rsidR="00A418F5" w:rsidRPr="0040294D">
        <w:rPr>
          <w:b/>
          <w:i/>
          <w:color w:val="000000" w:themeColor="text1"/>
          <w:lang w:val="en-GB"/>
        </w:rPr>
        <w:t>T</w:t>
      </w:r>
      <w:r w:rsidR="00FD2A48" w:rsidRPr="0040294D">
        <w:rPr>
          <w:b/>
          <w:i/>
          <w:color w:val="000000" w:themeColor="text1"/>
          <w:lang w:val="en-GB"/>
        </w:rPr>
        <w:t xml:space="preserve">heoretical </w:t>
      </w:r>
      <w:r w:rsidR="00A418F5" w:rsidRPr="0040294D">
        <w:rPr>
          <w:b/>
          <w:i/>
          <w:color w:val="000000" w:themeColor="text1"/>
          <w:lang w:val="en-GB"/>
        </w:rPr>
        <w:t>P</w:t>
      </w:r>
      <w:r w:rsidR="00FD2A48" w:rsidRPr="0040294D">
        <w:rPr>
          <w:b/>
          <w:i/>
          <w:color w:val="000000" w:themeColor="text1"/>
          <w:lang w:val="en-GB"/>
        </w:rPr>
        <w:t>erspective</w:t>
      </w:r>
    </w:p>
    <w:p w14:paraId="5087AE8E" w14:textId="10FD7B7F" w:rsidR="00657457" w:rsidRPr="0040294D" w:rsidRDefault="00FD2A48" w:rsidP="000946D7">
      <w:pPr>
        <w:spacing w:line="480" w:lineRule="auto"/>
        <w:jc w:val="both"/>
        <w:rPr>
          <w:color w:val="000000" w:themeColor="text1"/>
          <w:lang w:val="en-GB"/>
        </w:rPr>
      </w:pPr>
      <w:r w:rsidRPr="0040294D">
        <w:rPr>
          <w:color w:val="000000" w:themeColor="text1"/>
          <w:lang w:val="en-GB"/>
        </w:rPr>
        <w:t xml:space="preserve">HRM is </w:t>
      </w:r>
      <w:r w:rsidR="00E617FB" w:rsidRPr="0040294D">
        <w:rPr>
          <w:color w:val="000000" w:themeColor="text1"/>
          <w:lang w:val="en-GB"/>
        </w:rPr>
        <w:t xml:space="preserve">a </w:t>
      </w:r>
      <w:r w:rsidRPr="0040294D">
        <w:rPr>
          <w:color w:val="000000" w:themeColor="text1"/>
          <w:lang w:val="en-GB"/>
        </w:rPr>
        <w:t xml:space="preserve">critical factor in determining organizational outcomes. HRM theory suggests that appropriate HRM is </w:t>
      </w:r>
      <w:r w:rsidR="00937DDA" w:rsidRPr="0040294D">
        <w:rPr>
          <w:color w:val="000000" w:themeColor="text1"/>
          <w:lang w:val="en-GB"/>
        </w:rPr>
        <w:t>positively and significantly</w:t>
      </w:r>
      <w:r w:rsidRPr="0040294D">
        <w:rPr>
          <w:color w:val="000000" w:themeColor="text1"/>
          <w:lang w:val="en-GB"/>
        </w:rPr>
        <w:t xml:space="preserve"> associated with firm performance (</w:t>
      </w:r>
      <w:r w:rsidR="00846362" w:rsidRPr="0040294D">
        <w:rPr>
          <w:lang w:val="en-GB"/>
        </w:rPr>
        <w:t>Guest, 2001</w:t>
      </w:r>
      <w:r w:rsidR="00846362">
        <w:rPr>
          <w:lang w:val="en-GB"/>
        </w:rPr>
        <w:t xml:space="preserve">; </w:t>
      </w:r>
      <w:proofErr w:type="spellStart"/>
      <w:r w:rsidRPr="0040294D">
        <w:rPr>
          <w:lang w:val="en-GB"/>
        </w:rPr>
        <w:t>Huselid</w:t>
      </w:r>
      <w:proofErr w:type="spellEnd"/>
      <w:r w:rsidRPr="0040294D">
        <w:rPr>
          <w:lang w:val="en-GB"/>
        </w:rPr>
        <w:t>, 1995)</w:t>
      </w:r>
      <w:r w:rsidR="00937DDA" w:rsidRPr="0040294D">
        <w:rPr>
          <w:lang w:val="en-GB"/>
        </w:rPr>
        <w:t>,</w:t>
      </w:r>
      <w:r w:rsidRPr="0040294D">
        <w:rPr>
          <w:lang w:val="en-GB"/>
        </w:rPr>
        <w:t xml:space="preserve"> a notion that </w:t>
      </w:r>
      <w:r w:rsidR="00FF2EA3" w:rsidRPr="0040294D">
        <w:rPr>
          <w:lang w:val="en-GB"/>
        </w:rPr>
        <w:t xml:space="preserve">has </w:t>
      </w:r>
      <w:r w:rsidRPr="0040294D">
        <w:rPr>
          <w:lang w:val="en-GB"/>
        </w:rPr>
        <w:t>gain</w:t>
      </w:r>
      <w:r w:rsidR="00937DDA" w:rsidRPr="0040294D">
        <w:rPr>
          <w:lang w:val="en-GB"/>
        </w:rPr>
        <w:t>ed</w:t>
      </w:r>
      <w:r w:rsidRPr="0040294D">
        <w:rPr>
          <w:lang w:val="en-GB"/>
        </w:rPr>
        <w:t xml:space="preserve"> support from several meta-analyses (Combs, Liu, Hall, and </w:t>
      </w:r>
      <w:proofErr w:type="spellStart"/>
      <w:r w:rsidRPr="0040294D">
        <w:rPr>
          <w:lang w:val="en-GB"/>
        </w:rPr>
        <w:t>Ketchen</w:t>
      </w:r>
      <w:proofErr w:type="spellEnd"/>
      <w:r w:rsidRPr="0040294D">
        <w:rPr>
          <w:lang w:val="en-GB"/>
        </w:rPr>
        <w:t xml:space="preserve">, 2006; </w:t>
      </w:r>
      <w:proofErr w:type="spellStart"/>
      <w:r w:rsidRPr="0040294D">
        <w:rPr>
          <w:color w:val="000000" w:themeColor="text1"/>
          <w:lang w:val="en-GB"/>
        </w:rPr>
        <w:t>Tzabbar</w:t>
      </w:r>
      <w:proofErr w:type="spellEnd"/>
      <w:r w:rsidRPr="0040294D">
        <w:rPr>
          <w:color w:val="000000" w:themeColor="text1"/>
          <w:lang w:val="en-GB"/>
        </w:rPr>
        <w:t xml:space="preserve"> et al., 2017</w:t>
      </w:r>
      <w:r w:rsidR="00302D81" w:rsidRPr="0040294D">
        <w:rPr>
          <w:lang w:val="en-GB"/>
        </w:rPr>
        <w:t>).</w:t>
      </w:r>
      <w:r w:rsidRPr="0040294D">
        <w:rPr>
          <w:b/>
          <w:i/>
          <w:color w:val="000000" w:themeColor="text1"/>
          <w:lang w:val="en-GB"/>
        </w:rPr>
        <w:t xml:space="preserve"> </w:t>
      </w:r>
      <w:r w:rsidR="00FF2EA3" w:rsidRPr="0040294D">
        <w:rPr>
          <w:color w:val="000000" w:themeColor="text1"/>
          <w:lang w:val="en-GB"/>
        </w:rPr>
        <w:t>The</w:t>
      </w:r>
      <w:r w:rsidR="00FF2EA3" w:rsidRPr="0040294D">
        <w:rPr>
          <w:b/>
          <w:i/>
          <w:color w:val="000000" w:themeColor="text1"/>
          <w:lang w:val="en-GB"/>
        </w:rPr>
        <w:t xml:space="preserve"> </w:t>
      </w:r>
      <w:r w:rsidRPr="0040294D">
        <w:rPr>
          <w:lang w:val="en-GB"/>
        </w:rPr>
        <w:t>HRM theoretical perspective</w:t>
      </w:r>
      <w:r w:rsidRPr="0040294D">
        <w:rPr>
          <w:color w:val="000000" w:themeColor="text1"/>
          <w:lang w:val="en-GB"/>
        </w:rPr>
        <w:t xml:space="preserve"> looks </w:t>
      </w:r>
      <w:r w:rsidRPr="0040294D">
        <w:rPr>
          <w:bCs/>
          <w:color w:val="000000" w:themeColor="text1"/>
          <w:lang w:val="en-GB"/>
        </w:rPr>
        <w:t xml:space="preserve">either </w:t>
      </w:r>
      <w:r w:rsidR="00F25908" w:rsidRPr="0040294D">
        <w:rPr>
          <w:bCs/>
          <w:color w:val="000000" w:themeColor="text1"/>
          <w:lang w:val="en-GB"/>
        </w:rPr>
        <w:t xml:space="preserve">holistically </w:t>
      </w:r>
      <w:r w:rsidRPr="0040294D">
        <w:rPr>
          <w:bCs/>
          <w:color w:val="000000" w:themeColor="text1"/>
          <w:lang w:val="en-GB"/>
        </w:rPr>
        <w:t>at HRM as the function in charge of people within organization</w:t>
      </w:r>
      <w:r w:rsidR="00F25908" w:rsidRPr="0040294D">
        <w:rPr>
          <w:bCs/>
          <w:color w:val="000000" w:themeColor="text1"/>
          <w:lang w:val="en-GB"/>
        </w:rPr>
        <w:t>s</w:t>
      </w:r>
      <w:r w:rsidRPr="0040294D">
        <w:rPr>
          <w:bCs/>
          <w:color w:val="000000" w:themeColor="text1"/>
          <w:lang w:val="en-GB"/>
        </w:rPr>
        <w:t xml:space="preserve"> or at </w:t>
      </w:r>
      <w:r w:rsidR="00FF2EA3" w:rsidRPr="0040294D">
        <w:rPr>
          <w:bCs/>
          <w:color w:val="000000" w:themeColor="text1"/>
          <w:lang w:val="en-GB"/>
        </w:rPr>
        <w:t xml:space="preserve">a </w:t>
      </w:r>
      <w:r w:rsidRPr="0040294D">
        <w:rPr>
          <w:bCs/>
          <w:color w:val="000000" w:themeColor="text1"/>
          <w:lang w:val="en-GB"/>
        </w:rPr>
        <w:t>combination of specific practices leading to individual, then aggregate level of performance (Baruch, 1997).</w:t>
      </w:r>
      <w:r w:rsidRPr="0040294D">
        <w:rPr>
          <w:b/>
          <w:i/>
          <w:color w:val="000000" w:themeColor="text1"/>
          <w:lang w:val="en-GB"/>
        </w:rPr>
        <w:t xml:space="preserve"> </w:t>
      </w:r>
      <w:r w:rsidRPr="0040294D">
        <w:rPr>
          <w:color w:val="000000" w:themeColor="text1"/>
          <w:lang w:val="en-GB"/>
        </w:rPr>
        <w:t xml:space="preserve">The impact of HRM is </w:t>
      </w:r>
      <w:r w:rsidR="00835ABE" w:rsidRPr="0040294D">
        <w:rPr>
          <w:color w:val="000000" w:themeColor="text1"/>
          <w:lang w:val="en-GB"/>
        </w:rPr>
        <w:t>th</w:t>
      </w:r>
      <w:r w:rsidRPr="0040294D">
        <w:rPr>
          <w:color w:val="000000" w:themeColor="text1"/>
          <w:lang w:val="en-GB"/>
        </w:rPr>
        <w:t xml:space="preserve">ought to be influenced by </w:t>
      </w:r>
      <w:r w:rsidRPr="0040294D">
        <w:rPr>
          <w:color w:val="000000" w:themeColor="text1"/>
          <w:shd w:val="clear" w:color="auto" w:fill="FFFFFF"/>
          <w:lang w:val="en-GB"/>
        </w:rPr>
        <w:t>high</w:t>
      </w:r>
      <w:r w:rsidR="00143794">
        <w:rPr>
          <w:color w:val="000000" w:themeColor="text1"/>
          <w:shd w:val="clear" w:color="auto" w:fill="FFFFFF"/>
          <w:lang w:val="en-GB"/>
        </w:rPr>
        <w:t>-</w:t>
      </w:r>
      <w:r w:rsidRPr="0040294D">
        <w:rPr>
          <w:color w:val="000000" w:themeColor="text1"/>
          <w:shd w:val="clear" w:color="auto" w:fill="FFFFFF"/>
          <w:lang w:val="en-GB"/>
        </w:rPr>
        <w:t>performance</w:t>
      </w:r>
      <w:r w:rsidR="000946D7">
        <w:rPr>
          <w:color w:val="000000" w:themeColor="text1"/>
          <w:shd w:val="clear" w:color="auto" w:fill="FFFFFF"/>
          <w:lang w:val="en-GB"/>
        </w:rPr>
        <w:t>-</w:t>
      </w:r>
      <w:r w:rsidRPr="0040294D">
        <w:rPr>
          <w:color w:val="000000" w:themeColor="text1"/>
          <w:shd w:val="clear" w:color="auto" w:fill="FFFFFF"/>
          <w:lang w:val="en-GB"/>
        </w:rPr>
        <w:t>work</w:t>
      </w:r>
      <w:r w:rsidR="000946D7">
        <w:rPr>
          <w:color w:val="000000" w:themeColor="text1"/>
          <w:shd w:val="clear" w:color="auto" w:fill="FFFFFF"/>
          <w:lang w:val="en-GB"/>
        </w:rPr>
        <w:t>-</w:t>
      </w:r>
      <w:r w:rsidRPr="0040294D">
        <w:rPr>
          <w:color w:val="000000" w:themeColor="text1"/>
          <w:shd w:val="clear" w:color="auto" w:fill="FFFFFF"/>
          <w:lang w:val="en-GB"/>
        </w:rPr>
        <w:t>practices (</w:t>
      </w:r>
      <w:proofErr w:type="spellStart"/>
      <w:r w:rsidRPr="0040294D">
        <w:rPr>
          <w:color w:val="000000" w:themeColor="text1"/>
          <w:shd w:val="clear" w:color="auto" w:fill="FFFFFF"/>
          <w:lang w:val="en-GB"/>
        </w:rPr>
        <w:t>Posthuma</w:t>
      </w:r>
      <w:proofErr w:type="spellEnd"/>
      <w:r w:rsidRPr="0040294D">
        <w:rPr>
          <w:color w:val="000000" w:themeColor="text1"/>
          <w:shd w:val="clear" w:color="auto" w:fill="FFFFFF"/>
          <w:lang w:val="en-GB"/>
        </w:rPr>
        <w:t xml:space="preserve">, Campion, </w:t>
      </w:r>
      <w:proofErr w:type="spellStart"/>
      <w:r w:rsidRPr="0040294D">
        <w:rPr>
          <w:color w:val="000000" w:themeColor="text1"/>
          <w:shd w:val="clear" w:color="auto" w:fill="FFFFFF"/>
          <w:lang w:val="en-GB"/>
        </w:rPr>
        <w:t>Masimova</w:t>
      </w:r>
      <w:proofErr w:type="spellEnd"/>
      <w:r w:rsidR="00D1552D" w:rsidRPr="0040294D">
        <w:rPr>
          <w:color w:val="000000" w:themeColor="text1"/>
          <w:shd w:val="clear" w:color="auto" w:fill="FFFFFF"/>
          <w:lang w:val="en-GB"/>
        </w:rPr>
        <w:t>, and</w:t>
      </w:r>
      <w:r w:rsidRPr="0040294D">
        <w:rPr>
          <w:color w:val="000000" w:themeColor="text1"/>
          <w:shd w:val="clear" w:color="auto" w:fill="FFFFFF"/>
          <w:lang w:val="en-GB"/>
        </w:rPr>
        <w:t xml:space="preserve"> Campion, 2013) </w:t>
      </w:r>
      <w:r w:rsidR="00FF2EA3" w:rsidRPr="0040294D">
        <w:rPr>
          <w:bCs/>
          <w:color w:val="000000" w:themeColor="text1"/>
          <w:lang w:val="en-GB"/>
        </w:rPr>
        <w:t>because</w:t>
      </w:r>
      <w:r w:rsidRPr="0040294D">
        <w:rPr>
          <w:bCs/>
          <w:color w:val="000000" w:themeColor="text1"/>
          <w:lang w:val="en-GB"/>
        </w:rPr>
        <w:t xml:space="preserve"> </w:t>
      </w:r>
      <w:r w:rsidR="00FF2EA3" w:rsidRPr="0040294D">
        <w:rPr>
          <w:bCs/>
          <w:color w:val="000000" w:themeColor="text1"/>
          <w:lang w:val="en-GB"/>
        </w:rPr>
        <w:t xml:space="preserve">such </w:t>
      </w:r>
      <w:r w:rsidRPr="0040294D">
        <w:rPr>
          <w:bCs/>
          <w:color w:val="000000" w:themeColor="text1"/>
          <w:lang w:val="en-GB"/>
        </w:rPr>
        <w:t xml:space="preserve">practices </w:t>
      </w:r>
      <w:r w:rsidR="00FF2EA3" w:rsidRPr="0040294D">
        <w:rPr>
          <w:bCs/>
          <w:color w:val="000000" w:themeColor="text1"/>
          <w:lang w:val="en-GB"/>
        </w:rPr>
        <w:t>will make it possible</w:t>
      </w:r>
      <w:r w:rsidRPr="0040294D">
        <w:rPr>
          <w:bCs/>
          <w:color w:val="000000" w:themeColor="text1"/>
          <w:lang w:val="en-GB"/>
        </w:rPr>
        <w:t xml:space="preserve"> to reach HRM excellence </w:t>
      </w:r>
      <w:r w:rsidRPr="0040294D">
        <w:rPr>
          <w:color w:val="000000" w:themeColor="text1"/>
          <w:lang w:val="en-GB"/>
        </w:rPr>
        <w:t>(Guest, 1997)</w:t>
      </w:r>
      <w:r w:rsidRPr="0040294D">
        <w:rPr>
          <w:bCs/>
          <w:color w:val="000000" w:themeColor="text1"/>
          <w:lang w:val="en-GB"/>
        </w:rPr>
        <w:t xml:space="preserve">. </w:t>
      </w:r>
      <w:r w:rsidR="00835ABE" w:rsidRPr="0040294D">
        <w:rPr>
          <w:bCs/>
          <w:color w:val="000000" w:themeColor="text1"/>
          <w:lang w:val="en-GB"/>
        </w:rPr>
        <w:t>For instance, p</w:t>
      </w:r>
      <w:r w:rsidR="00937DDA" w:rsidRPr="0040294D">
        <w:rPr>
          <w:bCs/>
          <w:color w:val="000000" w:themeColor="text1"/>
          <w:lang w:val="en-GB"/>
        </w:rPr>
        <w:t>eople</w:t>
      </w:r>
      <w:r w:rsidRPr="0040294D">
        <w:rPr>
          <w:lang w:val="en-GB"/>
        </w:rPr>
        <w:t xml:space="preserve"> management</w:t>
      </w:r>
      <w:r w:rsidRPr="0040294D">
        <w:rPr>
          <w:color w:val="000000" w:themeColor="text1"/>
          <w:lang w:val="en-GB"/>
        </w:rPr>
        <w:t xml:space="preserve"> can help fine</w:t>
      </w:r>
      <w:r w:rsidR="00835ABE" w:rsidRPr="0040294D">
        <w:rPr>
          <w:color w:val="000000" w:themeColor="text1"/>
          <w:lang w:val="en-GB"/>
        </w:rPr>
        <w:t>-</w:t>
      </w:r>
      <w:r w:rsidRPr="0040294D">
        <w:rPr>
          <w:color w:val="000000" w:themeColor="text1"/>
          <w:lang w:val="en-GB"/>
        </w:rPr>
        <w:t>tune the effect of culture when combining firms toward</w:t>
      </w:r>
      <w:r w:rsidR="00CC299C">
        <w:rPr>
          <w:color w:val="000000" w:themeColor="text1"/>
          <w:lang w:val="en-GB"/>
        </w:rPr>
        <w:t>s</w:t>
      </w:r>
      <w:r w:rsidRPr="0040294D">
        <w:rPr>
          <w:color w:val="000000" w:themeColor="text1"/>
          <w:lang w:val="en-GB"/>
        </w:rPr>
        <w:t xml:space="preserve"> a desired </w:t>
      </w:r>
      <w:r w:rsidR="00835ABE" w:rsidRPr="0040294D">
        <w:rPr>
          <w:color w:val="000000" w:themeColor="text1"/>
          <w:lang w:val="en-GB"/>
        </w:rPr>
        <w:t xml:space="preserve">organizational </w:t>
      </w:r>
      <w:r w:rsidRPr="0040294D">
        <w:rPr>
          <w:color w:val="000000" w:themeColor="text1"/>
          <w:lang w:val="en-GB"/>
        </w:rPr>
        <w:t xml:space="preserve">performance goal (Marks and Mirvis, </w:t>
      </w:r>
      <w:r w:rsidRPr="0040294D">
        <w:rPr>
          <w:color w:val="000000" w:themeColor="text1"/>
          <w:lang w:val="en-GB"/>
        </w:rPr>
        <w:lastRenderedPageBreak/>
        <w:t xml:space="preserve">2011), </w:t>
      </w:r>
      <w:r w:rsidR="00835ABE" w:rsidRPr="0040294D">
        <w:rPr>
          <w:color w:val="000000" w:themeColor="text1"/>
          <w:lang w:val="en-GB"/>
        </w:rPr>
        <w:t>such as</w:t>
      </w:r>
      <w:r w:rsidRPr="0040294D">
        <w:rPr>
          <w:color w:val="000000" w:themeColor="text1"/>
          <w:lang w:val="en-GB"/>
        </w:rPr>
        <w:t xml:space="preserve"> acquisition performance (</w:t>
      </w:r>
      <w:proofErr w:type="spellStart"/>
      <w:r w:rsidRPr="0040294D">
        <w:rPr>
          <w:color w:val="000000" w:themeColor="text1"/>
          <w:shd w:val="clear" w:color="auto" w:fill="FFFFFF"/>
          <w:lang w:val="en-GB"/>
        </w:rPr>
        <w:t>Ahamma</w:t>
      </w:r>
      <w:r w:rsidRPr="0040294D">
        <w:rPr>
          <w:color w:val="000000" w:themeColor="text1"/>
          <w:lang w:val="en-GB"/>
        </w:rPr>
        <w:t>d</w:t>
      </w:r>
      <w:proofErr w:type="spellEnd"/>
      <w:r w:rsidRPr="0040294D">
        <w:rPr>
          <w:color w:val="000000" w:themeColor="text1"/>
          <w:lang w:val="en-GB"/>
        </w:rPr>
        <w:t xml:space="preserve">, </w:t>
      </w:r>
      <w:proofErr w:type="spellStart"/>
      <w:r w:rsidRPr="0040294D">
        <w:rPr>
          <w:color w:val="000000" w:themeColor="text1"/>
          <w:lang w:val="en-GB"/>
        </w:rPr>
        <w:t>Tarba</w:t>
      </w:r>
      <w:proofErr w:type="spellEnd"/>
      <w:r w:rsidRPr="0040294D">
        <w:rPr>
          <w:color w:val="000000" w:themeColor="text1"/>
          <w:lang w:val="en-GB"/>
        </w:rPr>
        <w:t xml:space="preserve">, Liu, and Glaister, 2016; </w:t>
      </w:r>
      <w:proofErr w:type="spellStart"/>
      <w:r w:rsidRPr="0040294D">
        <w:rPr>
          <w:color w:val="000000" w:themeColor="text1"/>
          <w:lang w:val="en-GB"/>
        </w:rPr>
        <w:t>Slangen</w:t>
      </w:r>
      <w:proofErr w:type="spellEnd"/>
      <w:r w:rsidRPr="0040294D">
        <w:rPr>
          <w:color w:val="000000" w:themeColor="text1"/>
          <w:lang w:val="en-GB"/>
        </w:rPr>
        <w:t xml:space="preserve">, 2006; Weber and </w:t>
      </w:r>
      <w:proofErr w:type="spellStart"/>
      <w:r w:rsidRPr="0040294D">
        <w:rPr>
          <w:color w:val="000000" w:themeColor="text1"/>
          <w:lang w:val="en-GB"/>
        </w:rPr>
        <w:t>Tarba</w:t>
      </w:r>
      <w:proofErr w:type="spellEnd"/>
      <w:r w:rsidRPr="0040294D">
        <w:rPr>
          <w:color w:val="000000" w:themeColor="text1"/>
          <w:lang w:val="en-GB"/>
        </w:rPr>
        <w:t xml:space="preserve">, 2010). In the </w:t>
      </w:r>
      <w:r w:rsidR="00D1552D" w:rsidRPr="0040294D">
        <w:rPr>
          <w:color w:val="000000" w:themeColor="text1"/>
          <w:lang w:val="en-GB"/>
        </w:rPr>
        <w:t xml:space="preserve">acquisition </w:t>
      </w:r>
      <w:r w:rsidRPr="0040294D">
        <w:rPr>
          <w:color w:val="000000" w:themeColor="text1"/>
          <w:lang w:val="en-GB"/>
        </w:rPr>
        <w:t xml:space="preserve">context, </w:t>
      </w:r>
      <w:r w:rsidR="00835ABE" w:rsidRPr="0040294D">
        <w:rPr>
          <w:color w:val="000000" w:themeColor="text1"/>
          <w:lang w:val="en-GB"/>
        </w:rPr>
        <w:t xml:space="preserve">organizational </w:t>
      </w:r>
      <w:r w:rsidRPr="0040294D">
        <w:rPr>
          <w:color w:val="000000" w:themeColor="text1"/>
          <w:lang w:val="en-GB"/>
        </w:rPr>
        <w:t xml:space="preserve">performance is about how to successfully </w:t>
      </w:r>
      <w:r w:rsidR="0040294D" w:rsidRPr="0040294D">
        <w:rPr>
          <w:color w:val="000000" w:themeColor="text1"/>
          <w:lang w:val="en-GB"/>
        </w:rPr>
        <w:t>fulfil</w:t>
      </w:r>
      <w:r w:rsidRPr="0040294D">
        <w:rPr>
          <w:color w:val="000000" w:themeColor="text1"/>
          <w:lang w:val="en-GB"/>
        </w:rPr>
        <w:t xml:space="preserve"> the objectives associated with the acquisition</w:t>
      </w:r>
      <w:r w:rsidR="00FF2EA3" w:rsidRPr="0040294D">
        <w:rPr>
          <w:color w:val="000000" w:themeColor="text1"/>
          <w:lang w:val="en-GB"/>
        </w:rPr>
        <w:t>;</w:t>
      </w:r>
      <w:r w:rsidR="00B17A02" w:rsidRPr="0040294D">
        <w:rPr>
          <w:color w:val="000000" w:themeColor="text1"/>
          <w:lang w:val="en-GB"/>
        </w:rPr>
        <w:t xml:space="preserve"> HRM can play </w:t>
      </w:r>
      <w:r w:rsidR="00835ABE" w:rsidRPr="0040294D">
        <w:rPr>
          <w:color w:val="000000" w:themeColor="text1"/>
          <w:lang w:val="en-GB"/>
        </w:rPr>
        <w:t xml:space="preserve">an </w:t>
      </w:r>
      <w:r w:rsidR="00B17A02" w:rsidRPr="0040294D">
        <w:rPr>
          <w:color w:val="000000" w:themeColor="text1"/>
          <w:lang w:val="en-GB"/>
        </w:rPr>
        <w:t xml:space="preserve">enabling </w:t>
      </w:r>
      <w:r w:rsidR="00657457" w:rsidRPr="0040294D">
        <w:rPr>
          <w:color w:val="000000" w:themeColor="text1"/>
          <w:lang w:val="en-GB"/>
        </w:rPr>
        <w:t xml:space="preserve">and enhancing </w:t>
      </w:r>
      <w:r w:rsidR="00B17A02" w:rsidRPr="0040294D">
        <w:rPr>
          <w:color w:val="000000" w:themeColor="text1"/>
          <w:lang w:val="en-GB"/>
        </w:rPr>
        <w:t xml:space="preserve">role in </w:t>
      </w:r>
      <w:r w:rsidR="00B17A02" w:rsidRPr="0040294D">
        <w:rPr>
          <w:color w:val="000000" w:themeColor="text1"/>
          <w:lang w:val="en-GB" w:eastAsia="zh-CN"/>
        </w:rPr>
        <w:t>the post-acquisition integration process</w:t>
      </w:r>
      <w:r w:rsidR="00B17A02" w:rsidRPr="0040294D">
        <w:rPr>
          <w:color w:val="000000" w:themeColor="text1"/>
          <w:lang w:val="en-GB"/>
        </w:rPr>
        <w:t>.</w:t>
      </w:r>
    </w:p>
    <w:p w14:paraId="38438F90" w14:textId="1BB03105" w:rsidR="00574C61" w:rsidRPr="0040294D" w:rsidRDefault="00FD2A48" w:rsidP="000946D7">
      <w:pPr>
        <w:spacing w:line="480" w:lineRule="auto"/>
        <w:ind w:firstLine="284"/>
        <w:jc w:val="both"/>
        <w:rPr>
          <w:i/>
          <w:color w:val="000000" w:themeColor="text1"/>
          <w:lang w:val="en-GB"/>
        </w:rPr>
      </w:pPr>
      <w:r w:rsidRPr="0040294D">
        <w:rPr>
          <w:color w:val="000000" w:themeColor="text1"/>
          <w:lang w:val="en-GB"/>
        </w:rPr>
        <w:t xml:space="preserve">In the sparse research literature on </w:t>
      </w:r>
      <w:r w:rsidR="006E2ACA" w:rsidRPr="0040294D">
        <w:rPr>
          <w:color w:val="000000" w:themeColor="text1"/>
          <w:lang w:val="en-GB"/>
        </w:rPr>
        <w:t xml:space="preserve">the </w:t>
      </w:r>
      <w:r w:rsidRPr="0040294D">
        <w:rPr>
          <w:color w:val="000000" w:themeColor="text1"/>
          <w:lang w:val="en-GB"/>
        </w:rPr>
        <w:t>HRM-</w:t>
      </w:r>
      <w:r w:rsidR="00377954" w:rsidRPr="0040294D">
        <w:rPr>
          <w:color w:val="000000" w:themeColor="text1"/>
          <w:lang w:val="en-GB"/>
        </w:rPr>
        <w:t xml:space="preserve">acquisition </w:t>
      </w:r>
      <w:r w:rsidRPr="0040294D">
        <w:rPr>
          <w:color w:val="000000" w:themeColor="text1"/>
          <w:lang w:val="en-GB"/>
        </w:rPr>
        <w:t>performance link</w:t>
      </w:r>
      <w:r w:rsidR="006379D8" w:rsidRPr="0040294D">
        <w:rPr>
          <w:color w:val="000000" w:themeColor="text1"/>
          <w:lang w:val="en-GB"/>
        </w:rPr>
        <w:t>,</w:t>
      </w:r>
      <w:r w:rsidR="00657457" w:rsidRPr="0040294D">
        <w:rPr>
          <w:color w:val="000000" w:themeColor="text1"/>
          <w:lang w:val="en-GB"/>
        </w:rPr>
        <w:t xml:space="preserve"> </w:t>
      </w:r>
      <w:r w:rsidRPr="0040294D">
        <w:rPr>
          <w:color w:val="000000" w:themeColor="text1"/>
          <w:lang w:val="en-GB"/>
        </w:rPr>
        <w:t xml:space="preserve">the impact of the human factor on acquisitions has mostly been studied through </w:t>
      </w:r>
      <w:r w:rsidR="006E2ACA" w:rsidRPr="0040294D">
        <w:rPr>
          <w:color w:val="000000" w:themeColor="text1"/>
          <w:lang w:val="en-GB"/>
        </w:rPr>
        <w:t xml:space="preserve">a </w:t>
      </w:r>
      <w:r w:rsidRPr="0040294D">
        <w:rPr>
          <w:color w:val="000000" w:themeColor="text1"/>
          <w:lang w:val="en-GB"/>
        </w:rPr>
        <w:t>cultural lens, and it is generally assumed that cultural distance is problematic (</w:t>
      </w:r>
      <w:r w:rsidRPr="0040294D">
        <w:rPr>
          <w:lang w:val="en-GB"/>
        </w:rPr>
        <w:t xml:space="preserve">Li, Li, and Wang, 2015; </w:t>
      </w:r>
      <w:proofErr w:type="spellStart"/>
      <w:r w:rsidRPr="0040294D">
        <w:rPr>
          <w:color w:val="000000" w:themeColor="text1"/>
          <w:lang w:val="en-GB"/>
        </w:rPr>
        <w:t>Vaara</w:t>
      </w:r>
      <w:proofErr w:type="spellEnd"/>
      <w:r w:rsidRPr="0040294D">
        <w:rPr>
          <w:color w:val="000000" w:themeColor="text1"/>
          <w:lang w:val="en-GB"/>
        </w:rPr>
        <w:t xml:space="preserve">, </w:t>
      </w:r>
      <w:proofErr w:type="spellStart"/>
      <w:r w:rsidRPr="0040294D">
        <w:rPr>
          <w:rStyle w:val="Strong"/>
          <w:b w:val="0"/>
          <w:color w:val="000000" w:themeColor="text1"/>
          <w:bdr w:val="none" w:sz="0" w:space="0" w:color="auto" w:frame="1"/>
          <w:lang w:val="en-GB"/>
        </w:rPr>
        <w:t>Junni</w:t>
      </w:r>
      <w:proofErr w:type="spellEnd"/>
      <w:r w:rsidRPr="0040294D">
        <w:rPr>
          <w:color w:val="000000" w:themeColor="text1"/>
          <w:lang w:val="en-GB"/>
        </w:rPr>
        <w:t xml:space="preserve">, Sarala, </w:t>
      </w:r>
      <w:proofErr w:type="spellStart"/>
      <w:r w:rsidRPr="0040294D">
        <w:rPr>
          <w:color w:val="000000" w:themeColor="text1"/>
          <w:lang w:val="en-GB"/>
        </w:rPr>
        <w:t>Ehrnrooth</w:t>
      </w:r>
      <w:proofErr w:type="spellEnd"/>
      <w:r w:rsidRPr="0040294D">
        <w:rPr>
          <w:color w:val="000000" w:themeColor="text1"/>
          <w:lang w:val="en-GB"/>
        </w:rPr>
        <w:t xml:space="preserve">, and </w:t>
      </w:r>
      <w:proofErr w:type="spellStart"/>
      <w:r w:rsidRPr="0040294D">
        <w:rPr>
          <w:color w:val="000000" w:themeColor="text1"/>
          <w:lang w:val="en-GB"/>
        </w:rPr>
        <w:t>Koveshnikov</w:t>
      </w:r>
      <w:proofErr w:type="spellEnd"/>
      <w:r w:rsidRPr="0040294D">
        <w:rPr>
          <w:color w:val="000000" w:themeColor="text1"/>
          <w:lang w:val="en-GB"/>
        </w:rPr>
        <w:t xml:space="preserve">, 2014; Very, </w:t>
      </w:r>
      <w:proofErr w:type="spellStart"/>
      <w:r w:rsidRPr="0040294D">
        <w:rPr>
          <w:color w:val="000000" w:themeColor="text1"/>
          <w:lang w:val="en-GB"/>
        </w:rPr>
        <w:t>Lubatkin</w:t>
      </w:r>
      <w:proofErr w:type="spellEnd"/>
      <w:r w:rsidRPr="0040294D">
        <w:rPr>
          <w:color w:val="000000" w:themeColor="text1"/>
          <w:lang w:val="en-GB"/>
        </w:rPr>
        <w:t xml:space="preserve">, </w:t>
      </w:r>
      <w:proofErr w:type="spellStart"/>
      <w:r w:rsidRPr="0040294D">
        <w:rPr>
          <w:color w:val="000000" w:themeColor="text1"/>
          <w:lang w:val="en-GB"/>
        </w:rPr>
        <w:t>Calori</w:t>
      </w:r>
      <w:proofErr w:type="spellEnd"/>
      <w:r w:rsidRPr="0040294D">
        <w:rPr>
          <w:color w:val="000000" w:themeColor="text1"/>
          <w:lang w:val="en-GB"/>
        </w:rPr>
        <w:t xml:space="preserve">, and </w:t>
      </w:r>
      <w:proofErr w:type="spellStart"/>
      <w:r w:rsidRPr="0040294D">
        <w:rPr>
          <w:color w:val="000000" w:themeColor="text1"/>
          <w:lang w:val="en-GB"/>
        </w:rPr>
        <w:t>Veiga</w:t>
      </w:r>
      <w:proofErr w:type="spellEnd"/>
      <w:r w:rsidRPr="0040294D">
        <w:rPr>
          <w:color w:val="000000" w:themeColor="text1"/>
          <w:lang w:val="en-GB"/>
        </w:rPr>
        <w:t>, 1997). Cultural fit (Very et al., 1997), the acquirer’s cultural tolerance (Pablo, 1994)</w:t>
      </w:r>
      <w:r w:rsidR="00FF2EA3" w:rsidRPr="0040294D">
        <w:rPr>
          <w:color w:val="000000" w:themeColor="text1"/>
          <w:lang w:val="en-GB"/>
        </w:rPr>
        <w:t>,</w:t>
      </w:r>
      <w:r w:rsidRPr="0040294D">
        <w:rPr>
          <w:color w:val="000000" w:themeColor="text1"/>
          <w:lang w:val="en-GB"/>
        </w:rPr>
        <w:t xml:space="preserve"> and initial friendliness toward</w:t>
      </w:r>
      <w:r w:rsidR="00CC299C">
        <w:rPr>
          <w:color w:val="000000" w:themeColor="text1"/>
          <w:lang w:val="en-GB"/>
        </w:rPr>
        <w:t>s</w:t>
      </w:r>
      <w:r w:rsidRPr="0040294D">
        <w:rPr>
          <w:color w:val="000000" w:themeColor="text1"/>
          <w:lang w:val="en-GB"/>
        </w:rPr>
        <w:t xml:space="preserve"> the acquired firm (</w:t>
      </w:r>
      <w:proofErr w:type="spellStart"/>
      <w:r w:rsidRPr="0040294D">
        <w:rPr>
          <w:color w:val="000000" w:themeColor="text1"/>
          <w:lang w:val="en-GB"/>
        </w:rPr>
        <w:t>Birkinshaw</w:t>
      </w:r>
      <w:proofErr w:type="spellEnd"/>
      <w:r w:rsidRPr="0040294D">
        <w:rPr>
          <w:color w:val="000000" w:themeColor="text1"/>
          <w:lang w:val="en-GB"/>
        </w:rPr>
        <w:t xml:space="preserve">, </w:t>
      </w:r>
      <w:proofErr w:type="spellStart"/>
      <w:r w:rsidRPr="0040294D">
        <w:rPr>
          <w:color w:val="000000" w:themeColor="text1"/>
          <w:lang w:val="en-GB"/>
        </w:rPr>
        <w:t>Bresman</w:t>
      </w:r>
      <w:proofErr w:type="spellEnd"/>
      <w:r w:rsidRPr="0040294D">
        <w:rPr>
          <w:color w:val="000000" w:themeColor="text1"/>
          <w:lang w:val="en-GB"/>
        </w:rPr>
        <w:t xml:space="preserve">, and </w:t>
      </w:r>
      <w:proofErr w:type="spellStart"/>
      <w:r w:rsidRPr="0040294D">
        <w:rPr>
          <w:color w:val="000000" w:themeColor="text1"/>
          <w:lang w:val="en-GB"/>
        </w:rPr>
        <w:t>Håkanson</w:t>
      </w:r>
      <w:proofErr w:type="spellEnd"/>
      <w:r w:rsidRPr="0040294D">
        <w:rPr>
          <w:color w:val="000000" w:themeColor="text1"/>
          <w:lang w:val="en-GB"/>
        </w:rPr>
        <w:t>, 2000) serve the deal’s subsequent performance. However, a moderate degree of cultural difference can be beneficial (Mirvis and Marks, 2003; Vermeulen, 2005)</w:t>
      </w:r>
      <w:r w:rsidR="00FB0530" w:rsidRPr="0040294D">
        <w:rPr>
          <w:color w:val="000000" w:themeColor="text1"/>
          <w:lang w:val="en-GB"/>
        </w:rPr>
        <w:t xml:space="preserve"> and researchers even found a positive relationship between cultural distance and post-acquisition performance (see Morosini et al., 1998). </w:t>
      </w:r>
      <w:r w:rsidRPr="0040294D">
        <w:rPr>
          <w:color w:val="000000" w:themeColor="text1"/>
          <w:lang w:val="en-GB"/>
        </w:rPr>
        <w:t>In other words,</w:t>
      </w:r>
      <w:r w:rsidR="0040294D">
        <w:rPr>
          <w:color w:val="000000" w:themeColor="text1"/>
          <w:lang w:val="en-GB"/>
        </w:rPr>
        <w:t xml:space="preserve"> ‘</w:t>
      </w:r>
      <w:r w:rsidR="00816269">
        <w:rPr>
          <w:i/>
          <w:iCs/>
          <w:color w:val="000000" w:themeColor="text1"/>
          <w:lang w:val="en-GB"/>
        </w:rPr>
        <w:t>c</w:t>
      </w:r>
      <w:r w:rsidR="00816269" w:rsidRPr="0040294D">
        <w:rPr>
          <w:i/>
          <w:color w:val="000000" w:themeColor="text1"/>
          <w:lang w:val="en-GB"/>
        </w:rPr>
        <w:t xml:space="preserve">ultural </w:t>
      </w:r>
      <w:r w:rsidRPr="0040294D">
        <w:rPr>
          <w:i/>
          <w:color w:val="000000" w:themeColor="text1"/>
          <w:lang w:val="en-GB"/>
        </w:rPr>
        <w:t>differences between combining firms can either help or</w:t>
      </w:r>
      <w:r w:rsidR="00574C61" w:rsidRPr="0040294D">
        <w:rPr>
          <w:i/>
          <w:color w:val="000000" w:themeColor="text1"/>
          <w:lang w:val="en-GB"/>
        </w:rPr>
        <w:t xml:space="preserve"> </w:t>
      </w:r>
      <w:r w:rsidRPr="0040294D">
        <w:rPr>
          <w:i/>
          <w:color w:val="000000" w:themeColor="text1"/>
          <w:lang w:val="en-GB"/>
        </w:rPr>
        <w:t xml:space="preserve">hinder the attainment of desired </w:t>
      </w:r>
      <w:r w:rsidRPr="0040294D">
        <w:rPr>
          <w:color w:val="000000" w:themeColor="text1"/>
          <w:lang w:val="en-GB"/>
        </w:rPr>
        <w:t>[acquisition]</w:t>
      </w:r>
      <w:r w:rsidRPr="0040294D">
        <w:rPr>
          <w:i/>
          <w:color w:val="000000" w:themeColor="text1"/>
          <w:lang w:val="en-GB"/>
        </w:rPr>
        <w:t xml:space="preserve"> results</w:t>
      </w:r>
      <w:r w:rsidR="0040294D">
        <w:rPr>
          <w:color w:val="000000" w:themeColor="text1"/>
          <w:lang w:val="en-GB"/>
        </w:rPr>
        <w:t>’</w:t>
      </w:r>
      <w:r w:rsidRPr="0040294D">
        <w:rPr>
          <w:color w:val="000000" w:themeColor="text1"/>
          <w:lang w:val="en-GB"/>
        </w:rPr>
        <w:t xml:space="preserve"> (Marks and Mirvis, 2011, p. 874).</w:t>
      </w:r>
    </w:p>
    <w:p w14:paraId="77062579" w14:textId="0154FA23" w:rsidR="00FD2A48" w:rsidRPr="0040294D" w:rsidRDefault="00FD2A48" w:rsidP="000946D7">
      <w:pPr>
        <w:spacing w:line="480" w:lineRule="auto"/>
        <w:ind w:firstLine="284"/>
        <w:jc w:val="both"/>
        <w:rPr>
          <w:color w:val="000000" w:themeColor="text1"/>
          <w:lang w:val="en-GB"/>
        </w:rPr>
      </w:pPr>
      <w:r w:rsidRPr="0040294D">
        <w:rPr>
          <w:color w:val="000000" w:themeColor="text1"/>
          <w:lang w:val="en-GB"/>
        </w:rPr>
        <w:t xml:space="preserve">Compensation and incentive structures are </w:t>
      </w:r>
      <w:r w:rsidR="006569A1" w:rsidRPr="0040294D">
        <w:rPr>
          <w:color w:val="000000" w:themeColor="text1"/>
          <w:lang w:val="en-GB"/>
        </w:rPr>
        <w:t>other</w:t>
      </w:r>
      <w:r w:rsidRPr="0040294D">
        <w:rPr>
          <w:color w:val="000000" w:themeColor="text1"/>
          <w:lang w:val="en-GB"/>
        </w:rPr>
        <w:t xml:space="preserve"> potential source</w:t>
      </w:r>
      <w:r w:rsidR="006569A1" w:rsidRPr="0040294D">
        <w:rPr>
          <w:color w:val="000000" w:themeColor="text1"/>
          <w:lang w:val="en-GB"/>
        </w:rPr>
        <w:t>s</w:t>
      </w:r>
      <w:r w:rsidRPr="0040294D">
        <w:rPr>
          <w:color w:val="000000" w:themeColor="text1"/>
          <w:lang w:val="en-GB"/>
        </w:rPr>
        <w:t xml:space="preserve"> of mismatch (</w:t>
      </w:r>
      <w:proofErr w:type="spellStart"/>
      <w:r w:rsidRPr="0040294D">
        <w:rPr>
          <w:color w:val="000000" w:themeColor="text1"/>
          <w:lang w:val="en-GB"/>
        </w:rPr>
        <w:t>Inkpen</w:t>
      </w:r>
      <w:proofErr w:type="spellEnd"/>
      <w:r w:rsidRPr="0040294D">
        <w:rPr>
          <w:color w:val="000000" w:themeColor="text1"/>
          <w:lang w:val="en-GB"/>
        </w:rPr>
        <w:t>, Sundaram, and Rockwood, 2000)</w:t>
      </w:r>
      <w:r w:rsidR="009F0CEA" w:rsidRPr="0040294D">
        <w:rPr>
          <w:color w:val="000000" w:themeColor="text1"/>
          <w:lang w:val="en-GB"/>
        </w:rPr>
        <w:t xml:space="preserve"> and</w:t>
      </w:r>
      <w:r w:rsidRPr="0040294D">
        <w:rPr>
          <w:color w:val="000000" w:themeColor="text1"/>
          <w:lang w:val="en-GB"/>
        </w:rPr>
        <w:t xml:space="preserve"> </w:t>
      </w:r>
      <w:r w:rsidR="009F0CEA" w:rsidRPr="0040294D">
        <w:rPr>
          <w:color w:val="000000" w:themeColor="text1"/>
          <w:lang w:val="en-GB"/>
        </w:rPr>
        <w:t>knowledge</w:t>
      </w:r>
      <w:r w:rsidR="005D5DA0">
        <w:rPr>
          <w:color w:val="000000" w:themeColor="text1"/>
          <w:lang w:val="en-GB"/>
        </w:rPr>
        <w:t>-</w:t>
      </w:r>
      <w:r w:rsidR="009F0CEA" w:rsidRPr="0040294D">
        <w:rPr>
          <w:color w:val="000000" w:themeColor="text1"/>
          <w:lang w:val="en-GB"/>
        </w:rPr>
        <w:t>sharing may suffer in post-acquisition scenarios (</w:t>
      </w:r>
      <w:proofErr w:type="spellStart"/>
      <w:r w:rsidR="009F0CEA" w:rsidRPr="0040294D">
        <w:rPr>
          <w:color w:val="000000" w:themeColor="text1"/>
          <w:shd w:val="clear" w:color="auto" w:fill="FFFFFF"/>
          <w:lang w:val="en-GB"/>
        </w:rPr>
        <w:t>Gammelgaard</w:t>
      </w:r>
      <w:proofErr w:type="spellEnd"/>
      <w:r w:rsidR="009F0CEA" w:rsidRPr="0040294D">
        <w:rPr>
          <w:color w:val="000000" w:themeColor="text1"/>
          <w:shd w:val="clear" w:color="auto" w:fill="FFFFFF"/>
          <w:lang w:val="en-GB"/>
        </w:rPr>
        <w:t xml:space="preserve">, Husted, and </w:t>
      </w:r>
      <w:proofErr w:type="spellStart"/>
      <w:r w:rsidR="009F0CEA" w:rsidRPr="0040294D">
        <w:rPr>
          <w:color w:val="000000" w:themeColor="text1"/>
          <w:shd w:val="clear" w:color="auto" w:fill="FFFFFF"/>
          <w:lang w:val="en-GB"/>
        </w:rPr>
        <w:t>Michailova</w:t>
      </w:r>
      <w:proofErr w:type="spellEnd"/>
      <w:r w:rsidR="009F0CEA" w:rsidRPr="0040294D">
        <w:rPr>
          <w:color w:val="000000" w:themeColor="text1"/>
          <w:shd w:val="clear" w:color="auto" w:fill="FFFFFF"/>
          <w:lang w:val="en-GB"/>
        </w:rPr>
        <w:t>, 2004</w:t>
      </w:r>
      <w:r w:rsidR="009F0CEA" w:rsidRPr="0040294D">
        <w:rPr>
          <w:color w:val="000000" w:themeColor="text1"/>
          <w:lang w:val="en-GB"/>
        </w:rPr>
        <w:t xml:space="preserve">). </w:t>
      </w:r>
      <w:r w:rsidRPr="0040294D">
        <w:rPr>
          <w:color w:val="000000" w:themeColor="text1"/>
          <w:lang w:val="en-GB"/>
        </w:rPr>
        <w:t>Management style similarity (Larsson and</w:t>
      </w:r>
      <w:r w:rsidR="00574C61" w:rsidRPr="0040294D">
        <w:rPr>
          <w:color w:val="000000" w:themeColor="text1"/>
          <w:lang w:val="en-GB"/>
        </w:rPr>
        <w:t xml:space="preserve"> </w:t>
      </w:r>
      <w:r w:rsidRPr="0040294D">
        <w:rPr>
          <w:color w:val="000000" w:themeColor="text1"/>
          <w:lang w:val="en-GB"/>
        </w:rPr>
        <w:t xml:space="preserve">Finkelstein, 1999) is advantageous, whereas a low degree of cooperation with the </w:t>
      </w:r>
      <w:r w:rsidR="00D1552D" w:rsidRPr="0040294D">
        <w:rPr>
          <w:color w:val="000000" w:themeColor="text1"/>
          <w:lang w:val="en-GB"/>
        </w:rPr>
        <w:t>acquirer</w:t>
      </w:r>
      <w:r w:rsidR="00574C61" w:rsidRPr="0040294D">
        <w:rPr>
          <w:color w:val="000000" w:themeColor="text1"/>
          <w:lang w:val="en-GB"/>
        </w:rPr>
        <w:t xml:space="preserve"> </w:t>
      </w:r>
      <w:r w:rsidRPr="0040294D">
        <w:rPr>
          <w:color w:val="000000" w:themeColor="text1"/>
          <w:lang w:val="en-GB"/>
        </w:rPr>
        <w:t xml:space="preserve">(Chatterjee, </w:t>
      </w:r>
      <w:proofErr w:type="spellStart"/>
      <w:r w:rsidRPr="0040294D">
        <w:rPr>
          <w:color w:val="000000" w:themeColor="text1"/>
          <w:lang w:val="en-GB"/>
        </w:rPr>
        <w:t>Lubatkin</w:t>
      </w:r>
      <w:proofErr w:type="spellEnd"/>
      <w:r w:rsidRPr="0040294D">
        <w:rPr>
          <w:color w:val="000000" w:themeColor="text1"/>
          <w:lang w:val="en-GB"/>
        </w:rPr>
        <w:t>, Schweiger, and Weber, 1992) and a high turnover of the target’s executives (</w:t>
      </w:r>
      <w:proofErr w:type="spellStart"/>
      <w:r w:rsidRPr="0040294D">
        <w:rPr>
          <w:color w:val="000000" w:themeColor="text1"/>
          <w:lang w:val="en-GB"/>
        </w:rPr>
        <w:t>Lubatkin</w:t>
      </w:r>
      <w:proofErr w:type="spellEnd"/>
      <w:r w:rsidRPr="0040294D">
        <w:rPr>
          <w:color w:val="000000" w:themeColor="text1"/>
          <w:lang w:val="en-GB"/>
        </w:rPr>
        <w:t xml:space="preserve">, Schweiger, and Weber, 1999) are detrimental to acquisition performance. Employee autonomy and training facilitate post-acquisition integration process, and so do </w:t>
      </w:r>
      <w:r w:rsidR="00FF2EA3" w:rsidRPr="0040294D">
        <w:rPr>
          <w:color w:val="000000" w:themeColor="text1"/>
          <w:lang w:val="en-GB"/>
        </w:rPr>
        <w:t xml:space="preserve">autonomy </w:t>
      </w:r>
      <w:r w:rsidR="000A74FB" w:rsidRPr="0040294D">
        <w:rPr>
          <w:color w:val="000000" w:themeColor="text1"/>
          <w:lang w:val="en-GB"/>
        </w:rPr>
        <w:t xml:space="preserve">of </w:t>
      </w:r>
      <w:r w:rsidR="005D5DA0">
        <w:rPr>
          <w:color w:val="000000" w:themeColor="text1"/>
          <w:lang w:val="en-GB"/>
        </w:rPr>
        <w:t>HR</w:t>
      </w:r>
      <w:r w:rsidRPr="0040294D">
        <w:rPr>
          <w:color w:val="000000" w:themeColor="text1"/>
          <w:lang w:val="en-GB"/>
        </w:rPr>
        <w:t xml:space="preserve"> manager</w:t>
      </w:r>
      <w:r w:rsidR="000946D7">
        <w:rPr>
          <w:color w:val="000000" w:themeColor="text1"/>
          <w:lang w:val="en-GB"/>
        </w:rPr>
        <w:t>s</w:t>
      </w:r>
      <w:r w:rsidRPr="0040294D">
        <w:rPr>
          <w:color w:val="000000" w:themeColor="text1"/>
          <w:lang w:val="en-GB"/>
        </w:rPr>
        <w:t xml:space="preserve"> (Weber and </w:t>
      </w:r>
      <w:proofErr w:type="spellStart"/>
      <w:r w:rsidRPr="0040294D">
        <w:rPr>
          <w:color w:val="000000" w:themeColor="text1"/>
          <w:lang w:val="en-GB"/>
        </w:rPr>
        <w:t>Tarba</w:t>
      </w:r>
      <w:proofErr w:type="spellEnd"/>
      <w:r w:rsidRPr="0040294D">
        <w:rPr>
          <w:color w:val="000000" w:themeColor="text1"/>
          <w:lang w:val="en-GB"/>
        </w:rPr>
        <w:t>, 2010) and the involvement of the HRM function (</w:t>
      </w:r>
      <w:proofErr w:type="spellStart"/>
      <w:r w:rsidRPr="0040294D">
        <w:rPr>
          <w:rStyle w:val="Strong"/>
          <w:b w:val="0"/>
          <w:color w:val="000000" w:themeColor="text1"/>
          <w:bdr w:val="none" w:sz="0" w:space="0" w:color="auto" w:frame="1"/>
          <w:lang w:val="en-GB"/>
        </w:rPr>
        <w:t>Bagdadli</w:t>
      </w:r>
      <w:proofErr w:type="spellEnd"/>
      <w:r w:rsidRPr="0040294D">
        <w:rPr>
          <w:color w:val="000000" w:themeColor="text1"/>
          <w:lang w:val="en-GB"/>
        </w:rPr>
        <w:t xml:space="preserve">, Hayton, and </w:t>
      </w:r>
      <w:proofErr w:type="spellStart"/>
      <w:r w:rsidRPr="0040294D">
        <w:rPr>
          <w:color w:val="000000" w:themeColor="text1"/>
          <w:lang w:val="en-GB"/>
        </w:rPr>
        <w:t>Perfido</w:t>
      </w:r>
      <w:proofErr w:type="spellEnd"/>
      <w:r w:rsidRPr="0040294D">
        <w:rPr>
          <w:color w:val="000000" w:themeColor="text1"/>
          <w:lang w:val="en-GB"/>
        </w:rPr>
        <w:t>, 2014; Lado and Wilson, 1994).</w:t>
      </w:r>
    </w:p>
    <w:p w14:paraId="1364ED16" w14:textId="1916569C" w:rsidR="006569A1" w:rsidRPr="0040294D" w:rsidRDefault="006569A1" w:rsidP="000946D7">
      <w:pPr>
        <w:spacing w:line="480" w:lineRule="auto"/>
        <w:ind w:firstLine="284"/>
        <w:jc w:val="both"/>
        <w:rPr>
          <w:color w:val="000000" w:themeColor="text1"/>
          <w:lang w:val="en-GB"/>
        </w:rPr>
      </w:pPr>
      <w:r w:rsidRPr="0040294D">
        <w:rPr>
          <w:color w:val="000000" w:themeColor="text1"/>
          <w:lang w:val="en-GB"/>
        </w:rPr>
        <w:lastRenderedPageBreak/>
        <w:t xml:space="preserve">Previous studies also focused on how the individual </w:t>
      </w:r>
      <w:proofErr w:type="spellStart"/>
      <w:r w:rsidR="0040294D" w:rsidRPr="0040294D">
        <w:rPr>
          <w:color w:val="000000" w:themeColor="text1"/>
          <w:lang w:val="en-GB"/>
        </w:rPr>
        <w:t>behavior</w:t>
      </w:r>
      <w:proofErr w:type="spellEnd"/>
      <w:r w:rsidRPr="0040294D">
        <w:rPr>
          <w:color w:val="000000" w:themeColor="text1"/>
          <w:lang w:val="en-GB"/>
        </w:rPr>
        <w:t xml:space="preserve"> of employees of the acquired firm </w:t>
      </w:r>
      <w:r w:rsidR="000A74FB" w:rsidRPr="0040294D">
        <w:rPr>
          <w:color w:val="000000" w:themeColor="text1"/>
          <w:lang w:val="en-GB"/>
        </w:rPr>
        <w:t xml:space="preserve">might </w:t>
      </w:r>
      <w:r w:rsidRPr="0040294D">
        <w:rPr>
          <w:color w:val="000000" w:themeColor="text1"/>
          <w:lang w:val="en-GB"/>
        </w:rPr>
        <w:t>be influenced by the acquirer’s HRM</w:t>
      </w:r>
      <w:r w:rsidR="000946D7">
        <w:rPr>
          <w:color w:val="000000" w:themeColor="text1"/>
          <w:lang w:val="en-GB"/>
        </w:rPr>
        <w:t>,</w:t>
      </w:r>
      <w:r w:rsidRPr="0040294D">
        <w:rPr>
          <w:color w:val="000000" w:themeColor="text1"/>
          <w:lang w:val="en-GB"/>
        </w:rPr>
        <w:t xml:space="preserve"> f</w:t>
      </w:r>
      <w:r w:rsidR="000946D7">
        <w:rPr>
          <w:color w:val="000000" w:themeColor="text1"/>
          <w:lang w:val="en-GB"/>
        </w:rPr>
        <w:t>inding</w:t>
      </w:r>
      <w:r w:rsidRPr="0040294D">
        <w:rPr>
          <w:color w:val="000000" w:themeColor="text1"/>
          <w:lang w:val="en-GB"/>
        </w:rPr>
        <w:t xml:space="preserve"> that mismanagement tend</w:t>
      </w:r>
      <w:r w:rsidR="000A74FB" w:rsidRPr="0040294D">
        <w:rPr>
          <w:color w:val="000000" w:themeColor="text1"/>
          <w:lang w:val="en-GB"/>
        </w:rPr>
        <w:t>ed</w:t>
      </w:r>
      <w:r w:rsidRPr="0040294D">
        <w:rPr>
          <w:color w:val="000000" w:themeColor="text1"/>
          <w:lang w:val="en-GB"/>
        </w:rPr>
        <w:t xml:space="preserve"> to have detrimental effects on post-acquisition performance (</w:t>
      </w:r>
      <w:r w:rsidRPr="0040294D">
        <w:rPr>
          <w:color w:val="000000" w:themeColor="text1"/>
          <w:shd w:val="clear" w:color="auto" w:fill="FFFFFF"/>
          <w:lang w:val="en-GB"/>
        </w:rPr>
        <w:t xml:space="preserve">Friedman, </w:t>
      </w:r>
      <w:proofErr w:type="spellStart"/>
      <w:r w:rsidRPr="0040294D">
        <w:rPr>
          <w:color w:val="000000" w:themeColor="text1"/>
          <w:shd w:val="clear" w:color="auto" w:fill="FFFFFF"/>
          <w:lang w:val="en-GB"/>
        </w:rPr>
        <w:t>Carmeli</w:t>
      </w:r>
      <w:proofErr w:type="spellEnd"/>
      <w:r w:rsidRPr="0040294D">
        <w:rPr>
          <w:color w:val="000000" w:themeColor="text1"/>
          <w:shd w:val="clear" w:color="auto" w:fill="FFFFFF"/>
          <w:lang w:val="en-GB"/>
        </w:rPr>
        <w:t xml:space="preserve">, </w:t>
      </w:r>
      <w:proofErr w:type="spellStart"/>
      <w:r w:rsidRPr="0040294D">
        <w:rPr>
          <w:color w:val="000000" w:themeColor="text1"/>
          <w:shd w:val="clear" w:color="auto" w:fill="FFFFFF"/>
          <w:lang w:val="en-GB"/>
        </w:rPr>
        <w:t>Tishler</w:t>
      </w:r>
      <w:proofErr w:type="spellEnd"/>
      <w:r w:rsidRPr="0040294D">
        <w:rPr>
          <w:color w:val="000000" w:themeColor="text1"/>
          <w:shd w:val="clear" w:color="auto" w:fill="FFFFFF"/>
          <w:lang w:val="en-GB"/>
        </w:rPr>
        <w:t>, and Shimizu, 2016</w:t>
      </w:r>
      <w:r w:rsidRPr="0040294D">
        <w:rPr>
          <w:color w:val="000000" w:themeColor="text1"/>
          <w:lang w:val="en-GB"/>
        </w:rPr>
        <w:t xml:space="preserve">). </w:t>
      </w:r>
      <w:r w:rsidR="000946D7">
        <w:rPr>
          <w:color w:val="000000" w:themeColor="text1"/>
          <w:lang w:val="en-GB"/>
        </w:rPr>
        <w:t>E.g.</w:t>
      </w:r>
      <w:r w:rsidRPr="0040294D">
        <w:rPr>
          <w:color w:val="000000" w:themeColor="text1"/>
          <w:lang w:val="en-GB"/>
        </w:rPr>
        <w:t>, a lack of communication with employees before (</w:t>
      </w:r>
      <w:proofErr w:type="spellStart"/>
      <w:r w:rsidRPr="0040294D">
        <w:rPr>
          <w:color w:val="000000" w:themeColor="text1"/>
          <w:lang w:val="en-GB"/>
        </w:rPr>
        <w:t>Teerikangas</w:t>
      </w:r>
      <w:proofErr w:type="spellEnd"/>
      <w:r w:rsidRPr="0040294D">
        <w:rPr>
          <w:color w:val="000000" w:themeColor="text1"/>
          <w:lang w:val="en-GB"/>
        </w:rPr>
        <w:t xml:space="preserve">, 2012) and after (Weber and </w:t>
      </w:r>
      <w:proofErr w:type="spellStart"/>
      <w:r w:rsidRPr="0040294D">
        <w:rPr>
          <w:color w:val="000000" w:themeColor="text1"/>
          <w:lang w:val="en-GB"/>
        </w:rPr>
        <w:t>Tarba</w:t>
      </w:r>
      <w:proofErr w:type="spellEnd"/>
      <w:r w:rsidRPr="0040294D">
        <w:rPr>
          <w:color w:val="000000" w:themeColor="text1"/>
          <w:lang w:val="en-GB"/>
        </w:rPr>
        <w:t>, 2010) the acquisition</w:t>
      </w:r>
      <w:r w:rsidR="0040294D">
        <w:rPr>
          <w:color w:val="000000" w:themeColor="text1"/>
          <w:lang w:val="en-GB"/>
        </w:rPr>
        <w:t>—</w:t>
      </w:r>
      <w:r w:rsidR="00EC455A" w:rsidRPr="0040294D">
        <w:rPr>
          <w:color w:val="000000" w:themeColor="text1"/>
          <w:lang w:val="en-GB"/>
        </w:rPr>
        <w:t>on issues such as the purpose of the deal</w:t>
      </w:r>
      <w:r w:rsidR="0040294D">
        <w:rPr>
          <w:color w:val="000000" w:themeColor="text1"/>
          <w:lang w:val="en-GB"/>
        </w:rPr>
        <w:t>—</w:t>
      </w:r>
      <w:r w:rsidR="000A74FB" w:rsidRPr="0040294D">
        <w:rPr>
          <w:color w:val="000000" w:themeColor="text1"/>
          <w:lang w:val="en-GB"/>
        </w:rPr>
        <w:t xml:space="preserve">may </w:t>
      </w:r>
      <w:r w:rsidR="00EC455A" w:rsidRPr="0040294D">
        <w:rPr>
          <w:color w:val="000000" w:themeColor="text1"/>
          <w:lang w:val="en-GB"/>
        </w:rPr>
        <w:t>create</w:t>
      </w:r>
      <w:r w:rsidRPr="0040294D">
        <w:rPr>
          <w:color w:val="000000" w:themeColor="text1"/>
          <w:lang w:val="en-GB"/>
        </w:rPr>
        <w:t xml:space="preserve"> uncertainty and anxiety</w:t>
      </w:r>
      <w:r w:rsidR="00EC455A" w:rsidRPr="0040294D">
        <w:rPr>
          <w:color w:val="000000" w:themeColor="text1"/>
          <w:lang w:val="en-GB"/>
        </w:rPr>
        <w:t xml:space="preserve"> and</w:t>
      </w:r>
      <w:r w:rsidR="000A74FB" w:rsidRPr="0040294D">
        <w:rPr>
          <w:color w:val="000000" w:themeColor="text1"/>
          <w:lang w:val="en-GB"/>
        </w:rPr>
        <w:t>,</w:t>
      </w:r>
      <w:r w:rsidR="00EC455A" w:rsidRPr="0040294D">
        <w:rPr>
          <w:color w:val="000000" w:themeColor="text1"/>
          <w:lang w:val="en-GB"/>
        </w:rPr>
        <w:t xml:space="preserve"> thus</w:t>
      </w:r>
      <w:r w:rsidR="000A74FB" w:rsidRPr="0040294D">
        <w:rPr>
          <w:color w:val="000000" w:themeColor="text1"/>
          <w:lang w:val="en-GB"/>
        </w:rPr>
        <w:t>,</w:t>
      </w:r>
      <w:r w:rsidR="00EC455A" w:rsidRPr="0040294D">
        <w:rPr>
          <w:color w:val="000000" w:themeColor="text1"/>
          <w:lang w:val="en-GB"/>
        </w:rPr>
        <w:t xml:space="preserve"> counterproductive </w:t>
      </w:r>
      <w:proofErr w:type="spellStart"/>
      <w:r w:rsidR="0040294D" w:rsidRPr="0040294D">
        <w:rPr>
          <w:color w:val="000000" w:themeColor="text1"/>
          <w:lang w:val="en-GB"/>
        </w:rPr>
        <w:t>behavior</w:t>
      </w:r>
      <w:proofErr w:type="spellEnd"/>
      <w:r w:rsidR="00EC455A" w:rsidRPr="0040294D">
        <w:rPr>
          <w:color w:val="000000" w:themeColor="text1"/>
          <w:lang w:val="en-GB"/>
        </w:rPr>
        <w:t>.</w:t>
      </w:r>
    </w:p>
    <w:p w14:paraId="41D880E1" w14:textId="65ABC426" w:rsidR="00FD2A48" w:rsidRDefault="00FD2A48" w:rsidP="009A3B69">
      <w:pPr>
        <w:spacing w:line="480" w:lineRule="auto"/>
        <w:ind w:firstLine="284"/>
        <w:jc w:val="both"/>
        <w:rPr>
          <w:color w:val="000000" w:themeColor="text1"/>
          <w:lang w:val="en-GB"/>
        </w:rPr>
      </w:pPr>
      <w:r w:rsidRPr="0040294D">
        <w:rPr>
          <w:color w:val="000000" w:themeColor="text1"/>
          <w:lang w:val="en-GB"/>
        </w:rPr>
        <w:t xml:space="preserve">Nevertheless, empirical evidence regarding HRM impact </w:t>
      </w:r>
      <w:r w:rsidR="00836900" w:rsidRPr="0040294D">
        <w:rPr>
          <w:color w:val="000000" w:themeColor="text1"/>
          <w:lang w:val="en-GB"/>
        </w:rPr>
        <w:t>is sometimes</w:t>
      </w:r>
      <w:r w:rsidRPr="0040294D">
        <w:rPr>
          <w:color w:val="000000" w:themeColor="text1"/>
          <w:lang w:val="en-GB"/>
        </w:rPr>
        <w:t xml:space="preserve"> contradictory, </w:t>
      </w:r>
      <w:r w:rsidR="000A74FB" w:rsidRPr="0040294D">
        <w:rPr>
          <w:color w:val="000000" w:themeColor="text1"/>
          <w:lang w:val="en-GB"/>
        </w:rPr>
        <w:t xml:space="preserve">or </w:t>
      </w:r>
      <w:r w:rsidRPr="0040294D">
        <w:rPr>
          <w:color w:val="000000" w:themeColor="text1"/>
          <w:lang w:val="en-GB"/>
        </w:rPr>
        <w:t xml:space="preserve">even confusing (Gomes et al., 2011). </w:t>
      </w:r>
      <w:r w:rsidR="009A3B69">
        <w:rPr>
          <w:color w:val="000000" w:themeColor="text1"/>
          <w:lang w:val="en-GB"/>
        </w:rPr>
        <w:t>I</w:t>
      </w:r>
      <w:r w:rsidRPr="0040294D">
        <w:rPr>
          <w:color w:val="000000" w:themeColor="text1"/>
          <w:lang w:val="en-GB"/>
        </w:rPr>
        <w:t xml:space="preserve">n the specific context of </w:t>
      </w:r>
      <w:r w:rsidR="00FA1DA4">
        <w:rPr>
          <w:color w:val="000000" w:themeColor="text1"/>
          <w:lang w:val="en-GB"/>
        </w:rPr>
        <w:t>cross-border-acquisition</w:t>
      </w:r>
      <w:r w:rsidRPr="0040294D">
        <w:rPr>
          <w:color w:val="000000" w:themeColor="text1"/>
          <w:lang w:val="en-GB"/>
        </w:rPr>
        <w:t xml:space="preserve">s, the influence of HRM on acquisition performance remains nebulous for two reasons. First, </w:t>
      </w:r>
      <w:r w:rsidR="00917FB9" w:rsidRPr="0040294D">
        <w:rPr>
          <w:color w:val="000000" w:themeColor="text1"/>
          <w:lang w:val="en-GB"/>
        </w:rPr>
        <w:t xml:space="preserve">as abovementioned, </w:t>
      </w:r>
      <w:r w:rsidRPr="0040294D">
        <w:rPr>
          <w:color w:val="000000" w:themeColor="text1"/>
          <w:lang w:val="en-GB"/>
        </w:rPr>
        <w:t xml:space="preserve">the human factor has </w:t>
      </w:r>
      <w:r w:rsidR="000A74FB" w:rsidRPr="0040294D">
        <w:rPr>
          <w:color w:val="000000" w:themeColor="text1"/>
          <w:lang w:val="en-GB"/>
        </w:rPr>
        <w:t xml:space="preserve">mostly </w:t>
      </w:r>
      <w:r w:rsidRPr="0040294D">
        <w:rPr>
          <w:color w:val="000000" w:themeColor="text1"/>
          <w:lang w:val="en-GB"/>
        </w:rPr>
        <w:t xml:space="preserve">been </w:t>
      </w:r>
      <w:r w:rsidR="0040294D" w:rsidRPr="0040294D">
        <w:rPr>
          <w:color w:val="000000" w:themeColor="text1"/>
          <w:lang w:val="en-GB"/>
        </w:rPr>
        <w:t>analysed</w:t>
      </w:r>
      <w:r w:rsidRPr="0040294D">
        <w:rPr>
          <w:color w:val="000000" w:themeColor="text1"/>
          <w:lang w:val="en-GB"/>
        </w:rPr>
        <w:t xml:space="preserve"> through the cultural lens (Chakrabarti, Gupta-Mukherjee, and Jayaraman, 2009; Reus, 2012; Stahl et al., 2013)</w:t>
      </w:r>
      <w:r w:rsidR="000A74FB" w:rsidRPr="0040294D">
        <w:rPr>
          <w:color w:val="000000" w:themeColor="text1"/>
          <w:lang w:val="en-GB"/>
        </w:rPr>
        <w:t>,</w:t>
      </w:r>
      <w:r w:rsidRPr="0040294D">
        <w:rPr>
          <w:color w:val="000000" w:themeColor="text1"/>
          <w:lang w:val="en-GB"/>
        </w:rPr>
        <w:t xml:space="preserve"> focus</w:t>
      </w:r>
      <w:r w:rsidR="000A74FB" w:rsidRPr="0040294D">
        <w:rPr>
          <w:color w:val="000000" w:themeColor="text1"/>
          <w:lang w:val="en-GB"/>
        </w:rPr>
        <w:t>ing</w:t>
      </w:r>
      <w:r w:rsidRPr="0040294D">
        <w:rPr>
          <w:color w:val="000000" w:themeColor="text1"/>
          <w:lang w:val="en-GB"/>
        </w:rPr>
        <w:t xml:space="preserve"> on </w:t>
      </w:r>
      <w:r w:rsidR="000A74FB" w:rsidRPr="0040294D">
        <w:rPr>
          <w:color w:val="000000" w:themeColor="text1"/>
          <w:lang w:val="en-GB"/>
        </w:rPr>
        <w:t xml:space="preserve">the </w:t>
      </w:r>
      <w:r w:rsidRPr="0040294D">
        <w:rPr>
          <w:color w:val="000000" w:themeColor="text1"/>
          <w:lang w:val="en-GB"/>
        </w:rPr>
        <w:t xml:space="preserve">micro level of analysis. Second, results obtained within a domestic context may </w:t>
      </w:r>
      <w:r w:rsidR="000A74FB" w:rsidRPr="0040294D">
        <w:rPr>
          <w:color w:val="000000" w:themeColor="text1"/>
          <w:lang w:val="en-GB"/>
        </w:rPr>
        <w:t xml:space="preserve">be different </w:t>
      </w:r>
      <w:r w:rsidRPr="0040294D">
        <w:rPr>
          <w:color w:val="000000" w:themeColor="text1"/>
          <w:lang w:val="en-GB"/>
        </w:rPr>
        <w:t xml:space="preserve">in a cross-border </w:t>
      </w:r>
      <w:r w:rsidR="00D1552D" w:rsidRPr="0040294D">
        <w:rPr>
          <w:color w:val="000000" w:themeColor="text1"/>
          <w:lang w:val="en-GB"/>
        </w:rPr>
        <w:t>one</w:t>
      </w:r>
      <w:r w:rsidRPr="0040294D">
        <w:rPr>
          <w:color w:val="000000" w:themeColor="text1"/>
          <w:lang w:val="en-GB"/>
        </w:rPr>
        <w:t>, mainly because of</w:t>
      </w:r>
      <w:r w:rsidR="0040294D">
        <w:rPr>
          <w:color w:val="000000" w:themeColor="text1"/>
          <w:lang w:val="en-GB"/>
        </w:rPr>
        <w:t xml:space="preserve"> ‘</w:t>
      </w:r>
      <w:r w:rsidRPr="0040294D">
        <w:rPr>
          <w:i/>
          <w:color w:val="000000" w:themeColor="text1"/>
          <w:lang w:val="en-GB"/>
        </w:rPr>
        <w:t>the embeddedness of firms undergoing acquisitions in their respective national contexts</w:t>
      </w:r>
      <w:r w:rsidR="0040294D">
        <w:rPr>
          <w:color w:val="000000" w:themeColor="text1"/>
          <w:lang w:val="en-GB"/>
        </w:rPr>
        <w:t>’</w:t>
      </w:r>
      <w:r w:rsidRPr="0040294D">
        <w:rPr>
          <w:color w:val="000000" w:themeColor="text1"/>
          <w:lang w:val="en-GB"/>
        </w:rPr>
        <w:t xml:space="preserve"> (Aguilera and </w:t>
      </w:r>
      <w:proofErr w:type="spellStart"/>
      <w:r w:rsidRPr="0040294D">
        <w:rPr>
          <w:color w:val="000000" w:themeColor="text1"/>
          <w:lang w:val="en-GB"/>
        </w:rPr>
        <w:t>Dencker</w:t>
      </w:r>
      <w:proofErr w:type="spellEnd"/>
      <w:r w:rsidRPr="0040294D">
        <w:rPr>
          <w:color w:val="000000" w:themeColor="text1"/>
          <w:lang w:val="en-GB"/>
        </w:rPr>
        <w:t xml:space="preserve">, 2004, p. 1356). Besides, cultural differences make communication issues even more complex in the case of cross-border deals (Schweiger, </w:t>
      </w:r>
      <w:proofErr w:type="spellStart"/>
      <w:r w:rsidRPr="0040294D">
        <w:rPr>
          <w:color w:val="000000" w:themeColor="text1"/>
          <w:lang w:val="en-GB"/>
        </w:rPr>
        <w:t>Csiszar</w:t>
      </w:r>
      <w:proofErr w:type="spellEnd"/>
      <w:r w:rsidRPr="0040294D">
        <w:rPr>
          <w:color w:val="000000" w:themeColor="text1"/>
          <w:lang w:val="en-GB"/>
        </w:rPr>
        <w:t xml:space="preserve">, and Napier, 1993) and the </w:t>
      </w:r>
      <w:r w:rsidR="000A74FB" w:rsidRPr="0040294D">
        <w:rPr>
          <w:color w:val="000000" w:themeColor="text1"/>
          <w:lang w:val="en-GB"/>
        </w:rPr>
        <w:t xml:space="preserve">conception </w:t>
      </w:r>
      <w:r w:rsidRPr="0040294D">
        <w:rPr>
          <w:color w:val="000000" w:themeColor="text1"/>
          <w:lang w:val="en-GB"/>
        </w:rPr>
        <w:t xml:space="preserve">and impact of HRM vary </w:t>
      </w:r>
      <w:r w:rsidR="009A3B69">
        <w:rPr>
          <w:color w:val="000000" w:themeColor="text1"/>
          <w:lang w:val="en-GB"/>
        </w:rPr>
        <w:t>across countries</w:t>
      </w:r>
      <w:r w:rsidRPr="0040294D">
        <w:rPr>
          <w:color w:val="000000" w:themeColor="text1"/>
          <w:lang w:val="en-GB"/>
        </w:rPr>
        <w:t xml:space="preserve"> (Weber et al., 2012). All in all, more research is needed on the role played by HRM in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 performance.</w:t>
      </w:r>
    </w:p>
    <w:p w14:paraId="00F44538" w14:textId="77777777" w:rsidR="00945A7D" w:rsidRPr="0040294D" w:rsidRDefault="00945A7D" w:rsidP="00FD2A48">
      <w:pPr>
        <w:spacing w:line="480" w:lineRule="auto"/>
        <w:ind w:firstLine="284"/>
        <w:jc w:val="both"/>
        <w:rPr>
          <w:color w:val="000000" w:themeColor="text1"/>
          <w:lang w:val="en-GB"/>
        </w:rPr>
      </w:pPr>
    </w:p>
    <w:p w14:paraId="2F0E25E4" w14:textId="21ABF71A" w:rsidR="00FD2A48" w:rsidRPr="0040294D" w:rsidRDefault="00FD2A48" w:rsidP="00FD2A48">
      <w:pPr>
        <w:spacing w:line="480" w:lineRule="auto"/>
        <w:jc w:val="both"/>
        <w:rPr>
          <w:b/>
          <w:i/>
          <w:color w:val="000000" w:themeColor="text1"/>
          <w:lang w:val="en-GB"/>
        </w:rPr>
      </w:pPr>
      <w:r w:rsidRPr="0040294D">
        <w:rPr>
          <w:b/>
          <w:i/>
          <w:color w:val="000000" w:themeColor="text1"/>
          <w:lang w:val="en-GB"/>
        </w:rPr>
        <w:t xml:space="preserve">Curvilinear Effect of Acquirer </w:t>
      </w:r>
      <w:r w:rsidR="00835F34">
        <w:rPr>
          <w:b/>
          <w:i/>
          <w:color w:val="000000" w:themeColor="text1"/>
          <w:lang w:val="en-GB"/>
        </w:rPr>
        <w:t>HRM-quality</w:t>
      </w:r>
      <w:r w:rsidRPr="0040294D">
        <w:rPr>
          <w:b/>
          <w:i/>
          <w:color w:val="000000" w:themeColor="text1"/>
          <w:lang w:val="en-GB"/>
        </w:rPr>
        <w:t xml:space="preserve"> on </w:t>
      </w:r>
      <w:r w:rsidR="00FA1DA4">
        <w:rPr>
          <w:b/>
          <w:i/>
          <w:color w:val="000000" w:themeColor="text1"/>
          <w:lang w:val="en-GB"/>
        </w:rPr>
        <w:t>Cross-</w:t>
      </w:r>
      <w:r w:rsidR="00187E65">
        <w:rPr>
          <w:b/>
          <w:i/>
          <w:color w:val="000000" w:themeColor="text1"/>
          <w:lang w:val="en-GB"/>
        </w:rPr>
        <w:t>Border Acquisition</w:t>
      </w:r>
      <w:r w:rsidR="00187E65" w:rsidRPr="0040294D">
        <w:rPr>
          <w:b/>
          <w:i/>
          <w:color w:val="000000" w:themeColor="text1"/>
          <w:lang w:val="en-GB"/>
        </w:rPr>
        <w:t xml:space="preserve"> </w:t>
      </w:r>
      <w:r w:rsidRPr="0040294D">
        <w:rPr>
          <w:b/>
          <w:i/>
          <w:color w:val="000000" w:themeColor="text1"/>
          <w:lang w:val="en-GB"/>
        </w:rPr>
        <w:t>Performance</w:t>
      </w:r>
    </w:p>
    <w:p w14:paraId="4CD066D5" w14:textId="590CD3DD" w:rsidR="00FD2A48" w:rsidRPr="0040294D" w:rsidRDefault="00FD2A48" w:rsidP="0016611A">
      <w:pPr>
        <w:spacing w:line="480" w:lineRule="auto"/>
        <w:jc w:val="both"/>
        <w:rPr>
          <w:color w:val="000000" w:themeColor="text1"/>
          <w:lang w:val="en-GB"/>
        </w:rPr>
      </w:pPr>
      <w:r w:rsidRPr="0040294D">
        <w:rPr>
          <w:bCs/>
          <w:color w:val="000000" w:themeColor="text1"/>
          <w:lang w:val="en-GB"/>
        </w:rPr>
        <w:t xml:space="preserve">Generally, </w:t>
      </w:r>
      <w:r w:rsidRPr="0040294D">
        <w:rPr>
          <w:color w:val="000000" w:themeColor="text1"/>
          <w:lang w:val="en-GB"/>
        </w:rPr>
        <w:t>high-quality HRM practices (which we use</w:t>
      </w:r>
      <w:r w:rsidR="008437C5" w:rsidRPr="0040294D">
        <w:rPr>
          <w:color w:val="000000" w:themeColor="text1"/>
          <w:lang w:val="en-GB"/>
        </w:rPr>
        <w:t>d</w:t>
      </w:r>
      <w:r w:rsidRPr="0040294D">
        <w:rPr>
          <w:color w:val="000000" w:themeColor="text1"/>
          <w:lang w:val="en-GB"/>
        </w:rPr>
        <w:t xml:space="preserve"> as a proxy for </w:t>
      </w:r>
      <w:r w:rsidR="00FA1DA4">
        <w:rPr>
          <w:color w:val="000000" w:themeColor="text1"/>
          <w:lang w:val="en-GB"/>
        </w:rPr>
        <w:t>HRM-quality</w:t>
      </w:r>
      <w:r w:rsidRPr="0040294D">
        <w:rPr>
          <w:color w:val="000000" w:themeColor="text1"/>
          <w:lang w:val="en-GB"/>
        </w:rPr>
        <w:t xml:space="preserve">) have been found to </w:t>
      </w:r>
      <w:r w:rsidR="00311954" w:rsidRPr="0040294D">
        <w:rPr>
          <w:color w:val="000000" w:themeColor="text1"/>
          <w:lang w:val="en-GB"/>
        </w:rPr>
        <w:t>facilitate</w:t>
      </w:r>
      <w:r w:rsidRPr="0040294D">
        <w:rPr>
          <w:color w:val="000000" w:themeColor="text1"/>
          <w:lang w:val="en-GB"/>
        </w:rPr>
        <w:t xml:space="preserve"> organizational success (</w:t>
      </w:r>
      <w:proofErr w:type="spellStart"/>
      <w:r w:rsidRPr="0040294D">
        <w:rPr>
          <w:color w:val="000000" w:themeColor="text1"/>
          <w:lang w:val="en-GB"/>
        </w:rPr>
        <w:t>Huselid</w:t>
      </w:r>
      <w:proofErr w:type="spellEnd"/>
      <w:r w:rsidRPr="0040294D">
        <w:rPr>
          <w:color w:val="000000" w:themeColor="text1"/>
          <w:lang w:val="en-GB"/>
        </w:rPr>
        <w:t>, 1995) and robustness (</w:t>
      </w:r>
      <w:proofErr w:type="spellStart"/>
      <w:r w:rsidR="00DF57ED" w:rsidRPr="0040294D">
        <w:rPr>
          <w:color w:val="000000" w:themeColor="text1"/>
          <w:lang w:val="en-GB"/>
        </w:rPr>
        <w:t>Tzabbar</w:t>
      </w:r>
      <w:proofErr w:type="spellEnd"/>
      <w:r w:rsidR="00DF57ED" w:rsidRPr="0040294D">
        <w:rPr>
          <w:color w:val="000000" w:themeColor="text1"/>
          <w:lang w:val="en-GB"/>
        </w:rPr>
        <w:t xml:space="preserve"> et al., 2017</w:t>
      </w:r>
      <w:r w:rsidRPr="0040294D">
        <w:rPr>
          <w:color w:val="000000" w:themeColor="text1"/>
          <w:lang w:val="en-GB"/>
        </w:rPr>
        <w:t xml:space="preserve">). In principle, we </w:t>
      </w:r>
      <w:r w:rsidR="008437C5" w:rsidRPr="0040294D">
        <w:rPr>
          <w:color w:val="000000" w:themeColor="text1"/>
          <w:lang w:val="en-GB"/>
        </w:rPr>
        <w:t xml:space="preserve">would </w:t>
      </w:r>
      <w:r w:rsidRPr="0040294D">
        <w:rPr>
          <w:color w:val="000000" w:themeColor="text1"/>
          <w:lang w:val="en-GB"/>
        </w:rPr>
        <w:t xml:space="preserve">expect this to apply to </w:t>
      </w:r>
      <w:r w:rsidR="00311954" w:rsidRPr="0040294D">
        <w:rPr>
          <w:color w:val="000000" w:themeColor="text1"/>
          <w:lang w:val="en-GB"/>
        </w:rPr>
        <w:t xml:space="preserve">both </w:t>
      </w:r>
      <w:r w:rsidR="008437C5" w:rsidRPr="0040294D">
        <w:rPr>
          <w:color w:val="000000" w:themeColor="text1"/>
          <w:lang w:val="en-GB"/>
        </w:rPr>
        <w:t>domestic</w:t>
      </w:r>
      <w:r w:rsidR="00311954" w:rsidRPr="0040294D">
        <w:rPr>
          <w:color w:val="000000" w:themeColor="text1"/>
          <w:lang w:val="en-GB"/>
        </w:rPr>
        <w:t xml:space="preserve"> and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s, due to the </w:t>
      </w:r>
      <w:r w:rsidRPr="0040294D">
        <w:rPr>
          <w:color w:val="000000" w:themeColor="text1"/>
          <w:lang w:val="en-GB"/>
        </w:rPr>
        <w:lastRenderedPageBreak/>
        <w:t>critical role played by HRM in such operations (</w:t>
      </w:r>
      <w:proofErr w:type="spellStart"/>
      <w:r w:rsidRPr="0040294D">
        <w:rPr>
          <w:color w:val="000000" w:themeColor="text1"/>
          <w:lang w:val="en-GB" w:eastAsia="zh-CN"/>
        </w:rPr>
        <w:t>Minbaeva</w:t>
      </w:r>
      <w:proofErr w:type="spellEnd"/>
      <w:r w:rsidRPr="0040294D">
        <w:rPr>
          <w:color w:val="000000" w:themeColor="text1"/>
          <w:lang w:val="en-GB" w:eastAsia="zh-CN"/>
        </w:rPr>
        <w:t xml:space="preserve">, Pedersen, </w:t>
      </w:r>
      <w:proofErr w:type="spellStart"/>
      <w:r w:rsidRPr="0040294D">
        <w:rPr>
          <w:color w:val="000000" w:themeColor="text1"/>
          <w:lang w:val="en-GB" w:eastAsia="zh-CN"/>
        </w:rPr>
        <w:t>Björkman</w:t>
      </w:r>
      <w:proofErr w:type="spellEnd"/>
      <w:r w:rsidRPr="0040294D">
        <w:rPr>
          <w:color w:val="000000" w:themeColor="text1"/>
          <w:lang w:val="en-GB" w:eastAsia="zh-CN"/>
        </w:rPr>
        <w:t>, Fey, and Park, 2014).</w:t>
      </w:r>
    </w:p>
    <w:p w14:paraId="7205CC66" w14:textId="42FB4B5D" w:rsidR="00FD2A48" w:rsidRPr="0040294D" w:rsidRDefault="00FD2A48" w:rsidP="0016611A">
      <w:pPr>
        <w:pStyle w:val="NormalWeb"/>
        <w:spacing w:before="0" w:beforeAutospacing="0" w:after="0" w:afterAutospacing="0" w:line="480" w:lineRule="auto"/>
        <w:ind w:firstLine="284"/>
        <w:jc w:val="both"/>
        <w:rPr>
          <w:rFonts w:eastAsia="Times New Roman"/>
          <w:color w:val="000000" w:themeColor="text1"/>
          <w:lang w:eastAsia="zh-CN"/>
        </w:rPr>
      </w:pPr>
      <w:r w:rsidRPr="0040294D">
        <w:rPr>
          <w:rFonts w:eastAsia="Times New Roman"/>
          <w:color w:val="000000" w:themeColor="text1"/>
          <w:lang w:eastAsia="zh-CN"/>
        </w:rPr>
        <w:t xml:space="preserve">Yet </w:t>
      </w:r>
      <w:r w:rsidRPr="0040294D">
        <w:rPr>
          <w:color w:val="000000" w:themeColor="text1"/>
        </w:rPr>
        <w:t xml:space="preserve">the relationship between </w:t>
      </w:r>
      <w:r w:rsidR="00FA1DA4">
        <w:rPr>
          <w:color w:val="000000" w:themeColor="text1"/>
        </w:rPr>
        <w:t>HRM-quality</w:t>
      </w:r>
      <w:r w:rsidRPr="0040294D">
        <w:rPr>
          <w:color w:val="000000" w:themeColor="text1"/>
        </w:rPr>
        <w:t xml:space="preserve"> and </w:t>
      </w:r>
      <w:r w:rsidR="008437C5" w:rsidRPr="0040294D">
        <w:rPr>
          <w:color w:val="000000" w:themeColor="text1"/>
        </w:rPr>
        <w:t xml:space="preserve">the likelihood of </w:t>
      </w:r>
      <w:r w:rsidRPr="0040294D">
        <w:rPr>
          <w:color w:val="000000" w:themeColor="text1"/>
        </w:rPr>
        <w:t xml:space="preserve">acquisition failure may not be as linear as might be expected at first sight. Most importantly, whilst high </w:t>
      </w:r>
      <w:r w:rsidR="00FA1DA4">
        <w:rPr>
          <w:color w:val="000000" w:themeColor="text1"/>
        </w:rPr>
        <w:t>HRM-quality</w:t>
      </w:r>
      <w:r w:rsidRPr="0040294D">
        <w:rPr>
          <w:color w:val="000000" w:themeColor="text1"/>
        </w:rPr>
        <w:t xml:space="preserve"> is indisputably associated with numerous benefits or enablers</w:t>
      </w:r>
      <w:r w:rsidR="0040294D">
        <w:rPr>
          <w:color w:val="000000" w:themeColor="text1"/>
        </w:rPr>
        <w:t>—</w:t>
      </w:r>
      <w:r w:rsidRPr="0040294D">
        <w:rPr>
          <w:color w:val="000000" w:themeColor="text1"/>
        </w:rPr>
        <w:t>related to various dynamics during the post-acquisition integration phase</w:t>
      </w:r>
      <w:r w:rsidR="0040294D">
        <w:rPr>
          <w:color w:val="000000" w:themeColor="text1"/>
        </w:rPr>
        <w:t>—</w:t>
      </w:r>
      <w:r w:rsidRPr="0040294D">
        <w:rPr>
          <w:color w:val="000000" w:themeColor="text1"/>
        </w:rPr>
        <w:t xml:space="preserve">high HRM standards simultaneously </w:t>
      </w:r>
      <w:r w:rsidR="008437C5" w:rsidRPr="0040294D">
        <w:rPr>
          <w:color w:val="000000" w:themeColor="text1"/>
        </w:rPr>
        <w:t xml:space="preserve">constitute </w:t>
      </w:r>
      <w:r w:rsidRPr="0040294D">
        <w:rPr>
          <w:color w:val="000000" w:themeColor="text1"/>
        </w:rPr>
        <w:t xml:space="preserve">considerable costs and barriers </w:t>
      </w:r>
      <w:r w:rsidRPr="0040294D">
        <w:rPr>
          <w:rFonts w:eastAsia="Times New Roman"/>
          <w:color w:val="000000" w:themeColor="text1"/>
          <w:lang w:eastAsia="zh-CN"/>
        </w:rPr>
        <w:t xml:space="preserve">that </w:t>
      </w:r>
      <w:r w:rsidR="0016611A">
        <w:rPr>
          <w:rFonts w:eastAsia="Times New Roman"/>
          <w:color w:val="000000" w:themeColor="text1"/>
          <w:lang w:eastAsia="zh-CN"/>
        </w:rPr>
        <w:t>might</w:t>
      </w:r>
      <w:r w:rsidRPr="0040294D">
        <w:rPr>
          <w:rFonts w:eastAsia="Times New Roman"/>
          <w:color w:val="000000" w:themeColor="text1"/>
          <w:lang w:eastAsia="zh-CN"/>
        </w:rPr>
        <w:t xml:space="preserve"> derail the acquisition process. We argue that there is a tipping point where these start to dominate the linearly increasing benefits/enablers of average-to-high </w:t>
      </w:r>
      <w:r w:rsidR="00FA1DA4">
        <w:rPr>
          <w:rFonts w:eastAsia="Times New Roman"/>
          <w:color w:val="000000" w:themeColor="text1"/>
          <w:lang w:eastAsia="zh-CN"/>
        </w:rPr>
        <w:t>HRM-quality</w:t>
      </w:r>
      <w:r w:rsidRPr="0040294D">
        <w:rPr>
          <w:rFonts w:eastAsia="Times New Roman"/>
          <w:color w:val="000000" w:themeColor="text1"/>
          <w:lang w:eastAsia="zh-CN"/>
        </w:rPr>
        <w:t>, eliciting a higher likelihood of acquisition failure.</w:t>
      </w:r>
    </w:p>
    <w:p w14:paraId="637F48C8" w14:textId="393F040D" w:rsidR="00FD2A48" w:rsidRPr="0040294D" w:rsidRDefault="00FD2A48" w:rsidP="0016611A">
      <w:pPr>
        <w:pStyle w:val="NormalWeb"/>
        <w:spacing w:before="0" w:beforeAutospacing="0" w:after="0" w:afterAutospacing="0" w:line="480" w:lineRule="auto"/>
        <w:ind w:firstLine="284"/>
        <w:jc w:val="both"/>
        <w:rPr>
          <w:rFonts w:eastAsia="Times New Roman"/>
          <w:color w:val="000000" w:themeColor="text1"/>
          <w:lang w:eastAsia="zh-CN"/>
        </w:rPr>
      </w:pPr>
      <w:r w:rsidRPr="0040294D">
        <w:rPr>
          <w:rFonts w:eastAsia="Times New Roman"/>
          <w:color w:val="000000" w:themeColor="text1"/>
          <w:lang w:eastAsia="zh-CN"/>
        </w:rPr>
        <w:t xml:space="preserve">For example, high </w:t>
      </w:r>
      <w:r w:rsidR="00FA1DA4">
        <w:rPr>
          <w:rFonts w:eastAsia="Times New Roman"/>
          <w:color w:val="000000" w:themeColor="text1"/>
          <w:lang w:eastAsia="zh-CN"/>
        </w:rPr>
        <w:t>HRM-quality</w:t>
      </w:r>
      <w:r w:rsidRPr="0040294D">
        <w:rPr>
          <w:rFonts w:eastAsia="Times New Roman"/>
          <w:color w:val="000000" w:themeColor="text1"/>
          <w:lang w:eastAsia="zh-CN"/>
        </w:rPr>
        <w:t xml:space="preserve"> involves a highly individuali</w:t>
      </w:r>
      <w:r w:rsidR="001E599F">
        <w:rPr>
          <w:rFonts w:eastAsia="Times New Roman"/>
          <w:color w:val="000000" w:themeColor="text1"/>
          <w:lang w:eastAsia="zh-CN"/>
        </w:rPr>
        <w:t>s</w:t>
      </w:r>
      <w:r w:rsidRPr="0040294D">
        <w:rPr>
          <w:rFonts w:eastAsia="Times New Roman"/>
          <w:color w:val="000000" w:themeColor="text1"/>
          <w:lang w:eastAsia="zh-CN"/>
        </w:rPr>
        <w:t>ed approach to employees and a strong</w:t>
      </w:r>
      <w:r w:rsidR="0016611A">
        <w:rPr>
          <w:rFonts w:eastAsia="Times New Roman"/>
          <w:color w:val="000000" w:themeColor="text1"/>
          <w:lang w:eastAsia="zh-CN"/>
        </w:rPr>
        <w:t xml:space="preserve"> emphasis on well-being, stress-reduction, conflict-avoidance, consensus-</w:t>
      </w:r>
      <w:r w:rsidRPr="0040294D">
        <w:rPr>
          <w:rFonts w:eastAsia="Times New Roman"/>
          <w:color w:val="000000" w:themeColor="text1"/>
          <w:lang w:eastAsia="zh-CN"/>
        </w:rPr>
        <w:t xml:space="preserve">building, </w:t>
      </w:r>
      <w:r w:rsidRPr="00FF3FE9">
        <w:rPr>
          <w:rFonts w:eastAsia="Times New Roman"/>
          <w:color w:val="000000" w:themeColor="text1"/>
          <w:lang w:eastAsia="zh-CN"/>
        </w:rPr>
        <w:t>etc.;</w:t>
      </w:r>
      <w:r w:rsidRPr="0040294D">
        <w:rPr>
          <w:rFonts w:eastAsia="Times New Roman"/>
          <w:color w:val="000000" w:themeColor="text1"/>
          <w:lang w:eastAsia="zh-CN"/>
        </w:rPr>
        <w:t xml:space="preserve"> within the context of post-acquisition integration, these may make the process very costly and lengthy</w:t>
      </w:r>
      <w:r w:rsidR="0016611A">
        <w:rPr>
          <w:rFonts w:eastAsia="Times New Roman"/>
          <w:color w:val="000000" w:themeColor="text1"/>
          <w:lang w:eastAsia="zh-CN"/>
        </w:rPr>
        <w:t>,</w:t>
      </w:r>
      <w:r w:rsidRPr="0040294D">
        <w:rPr>
          <w:rFonts w:eastAsia="Times New Roman"/>
          <w:color w:val="000000" w:themeColor="text1"/>
          <w:lang w:eastAsia="zh-CN"/>
        </w:rPr>
        <w:t xml:space="preserve"> even substantially delay the synergies and knowledge transfer expected from the acquisition. Thus, at some point, added benefits/enablers related to, for instance, employee motivation, productivity, or internal and external reputation</w:t>
      </w:r>
      <w:r w:rsidR="0040294D">
        <w:rPr>
          <w:rFonts w:eastAsia="Times New Roman"/>
          <w:color w:val="000000" w:themeColor="text1"/>
          <w:lang w:eastAsia="zh-CN"/>
        </w:rPr>
        <w:t>—</w:t>
      </w:r>
      <w:r w:rsidRPr="0040294D">
        <w:rPr>
          <w:rFonts w:eastAsia="Times New Roman"/>
          <w:color w:val="000000" w:themeColor="text1"/>
          <w:lang w:eastAsia="zh-CN"/>
        </w:rPr>
        <w:t xml:space="preserve">outcomes of a highly </w:t>
      </w:r>
      <w:r w:rsidR="00945A7D" w:rsidRPr="0040294D">
        <w:rPr>
          <w:rFonts w:eastAsia="Times New Roman"/>
          <w:color w:val="000000" w:themeColor="text1"/>
          <w:lang w:eastAsia="zh-CN"/>
        </w:rPr>
        <w:t>individuali</w:t>
      </w:r>
      <w:r w:rsidR="00945A7D">
        <w:rPr>
          <w:rFonts w:eastAsia="Times New Roman"/>
          <w:color w:val="000000" w:themeColor="text1"/>
          <w:lang w:eastAsia="zh-CN"/>
        </w:rPr>
        <w:t>z</w:t>
      </w:r>
      <w:r w:rsidR="00945A7D" w:rsidRPr="0040294D">
        <w:rPr>
          <w:rFonts w:eastAsia="Times New Roman"/>
          <w:color w:val="000000" w:themeColor="text1"/>
          <w:lang w:eastAsia="zh-CN"/>
        </w:rPr>
        <w:t xml:space="preserve">ed </w:t>
      </w:r>
      <w:r w:rsidRPr="0040294D">
        <w:rPr>
          <w:rFonts w:eastAsia="Times New Roman"/>
          <w:color w:val="000000" w:themeColor="text1"/>
          <w:lang w:eastAsia="zh-CN"/>
        </w:rPr>
        <w:t>and caring approach</w:t>
      </w:r>
      <w:r w:rsidR="0040294D">
        <w:rPr>
          <w:rFonts w:eastAsia="Times New Roman"/>
          <w:color w:val="000000" w:themeColor="text1"/>
          <w:lang w:eastAsia="zh-CN"/>
        </w:rPr>
        <w:t>—</w:t>
      </w:r>
      <w:r w:rsidR="00971127" w:rsidRPr="0040294D">
        <w:rPr>
          <w:rFonts w:eastAsia="Times New Roman"/>
          <w:color w:val="000000" w:themeColor="text1"/>
          <w:lang w:eastAsia="zh-CN"/>
        </w:rPr>
        <w:t>will be</w:t>
      </w:r>
      <w:r w:rsidRPr="0040294D">
        <w:rPr>
          <w:rFonts w:eastAsia="Times New Roman"/>
          <w:color w:val="000000" w:themeColor="text1"/>
          <w:lang w:eastAsia="zh-CN"/>
        </w:rPr>
        <w:t xml:space="preserve"> worth less than exponential costs/barriers.</w:t>
      </w:r>
    </w:p>
    <w:p w14:paraId="251817DE" w14:textId="5EAB0DE9" w:rsidR="00FD2A48" w:rsidRPr="0040294D" w:rsidRDefault="00FD2A48" w:rsidP="009759C9">
      <w:pPr>
        <w:spacing w:line="480" w:lineRule="auto"/>
        <w:ind w:firstLine="284"/>
        <w:jc w:val="both"/>
        <w:rPr>
          <w:color w:val="000000" w:themeColor="text1"/>
          <w:lang w:val="en-GB" w:eastAsia="zh-CN"/>
        </w:rPr>
      </w:pPr>
      <w:r w:rsidRPr="0040294D">
        <w:rPr>
          <w:color w:val="000000" w:themeColor="text1"/>
          <w:lang w:val="en-GB"/>
        </w:rPr>
        <w:t>In line with the</w:t>
      </w:r>
      <w:r w:rsidR="0040294D">
        <w:rPr>
          <w:color w:val="000000" w:themeColor="text1"/>
          <w:lang w:val="en-GB"/>
        </w:rPr>
        <w:t xml:space="preserve"> ‘</w:t>
      </w:r>
      <w:r w:rsidRPr="0040294D">
        <w:rPr>
          <w:rStyle w:val="Emphasis"/>
          <w:color w:val="000000" w:themeColor="text1"/>
          <w:lang w:val="en-GB"/>
        </w:rPr>
        <w:t>too-much-of-a-good-thing</w:t>
      </w:r>
      <w:r w:rsidR="0040294D">
        <w:rPr>
          <w:rStyle w:val="Emphasis"/>
          <w:i w:val="0"/>
          <w:color w:val="000000" w:themeColor="text1"/>
          <w:lang w:val="en-GB"/>
        </w:rPr>
        <w:t>’</w:t>
      </w:r>
      <w:r w:rsidRPr="0040294D">
        <w:rPr>
          <w:color w:val="000000" w:themeColor="text1"/>
          <w:lang w:val="en-GB"/>
        </w:rPr>
        <w:t xml:space="preserve"> </w:t>
      </w:r>
      <w:r w:rsidRPr="0040294D">
        <w:rPr>
          <w:color w:val="000000" w:themeColor="text1"/>
          <w:lang w:val="en-GB" w:eastAsia="zh-CN"/>
        </w:rPr>
        <w:t>phenomen</w:t>
      </w:r>
      <w:r w:rsidR="00971127" w:rsidRPr="0040294D">
        <w:rPr>
          <w:color w:val="000000" w:themeColor="text1"/>
          <w:lang w:val="en-GB" w:eastAsia="zh-CN"/>
        </w:rPr>
        <w:t>on</w:t>
      </w:r>
      <w:r w:rsidRPr="0040294D">
        <w:rPr>
          <w:color w:val="000000" w:themeColor="text1"/>
          <w:lang w:val="en-GB"/>
        </w:rPr>
        <w:t xml:space="preserve"> (</w:t>
      </w:r>
      <w:proofErr w:type="spellStart"/>
      <w:r w:rsidRPr="0040294D">
        <w:rPr>
          <w:color w:val="000000" w:themeColor="text1"/>
          <w:lang w:val="en-GB" w:eastAsia="zh-CN"/>
        </w:rPr>
        <w:t>Antonakis</w:t>
      </w:r>
      <w:proofErr w:type="spellEnd"/>
      <w:r w:rsidRPr="0040294D">
        <w:rPr>
          <w:color w:val="000000" w:themeColor="text1"/>
          <w:lang w:val="en-GB" w:eastAsia="zh-CN"/>
        </w:rPr>
        <w:t xml:space="preserve"> et al., 2017; Grant and Schwartz, 2011; </w:t>
      </w:r>
      <w:r w:rsidRPr="0040294D">
        <w:rPr>
          <w:color w:val="000000" w:themeColor="text1"/>
          <w:shd w:val="clear" w:color="auto" w:fill="FFFFFF"/>
          <w:lang w:val="en-GB"/>
        </w:rPr>
        <w:t xml:space="preserve">König et al., 2018; </w:t>
      </w:r>
      <w:r w:rsidRPr="0040294D">
        <w:rPr>
          <w:color w:val="000000" w:themeColor="text1"/>
          <w:lang w:val="en-GB" w:eastAsia="zh-CN"/>
        </w:rPr>
        <w:t xml:space="preserve">Pierce and </w:t>
      </w:r>
      <w:proofErr w:type="spellStart"/>
      <w:r w:rsidRPr="0040294D">
        <w:rPr>
          <w:color w:val="000000" w:themeColor="text1"/>
          <w:lang w:val="en-GB" w:eastAsia="zh-CN"/>
        </w:rPr>
        <w:t>Aguinis</w:t>
      </w:r>
      <w:proofErr w:type="spellEnd"/>
      <w:r w:rsidRPr="0040294D">
        <w:rPr>
          <w:color w:val="000000" w:themeColor="text1"/>
          <w:lang w:val="en-GB" w:eastAsia="zh-CN"/>
        </w:rPr>
        <w:t xml:space="preserve">, 2013), that we introduce as a boundary condition of HRM theory, we suggest that the majority of positive HRM practices </w:t>
      </w:r>
      <w:r w:rsidR="00971127" w:rsidRPr="0040294D">
        <w:rPr>
          <w:color w:val="000000" w:themeColor="text1"/>
          <w:lang w:val="en-GB" w:eastAsia="zh-CN"/>
        </w:rPr>
        <w:t xml:space="preserve">will </w:t>
      </w:r>
      <w:r w:rsidRPr="0040294D">
        <w:rPr>
          <w:color w:val="000000" w:themeColor="text1"/>
          <w:lang w:val="en-GB" w:eastAsia="zh-CN"/>
        </w:rPr>
        <w:t>backfire if excessive efforts are made.</w:t>
      </w:r>
      <w:r w:rsidR="001517A9">
        <w:rPr>
          <w:color w:val="000000" w:themeColor="text1"/>
          <w:lang w:val="en-GB" w:eastAsia="zh-CN"/>
        </w:rPr>
        <w:t xml:space="preserve"> This phenomenon occurs </w:t>
      </w:r>
      <w:r w:rsidR="007A6F22">
        <w:rPr>
          <w:color w:val="000000" w:themeColor="text1"/>
          <w:lang w:val="en-GB" w:eastAsia="zh-CN"/>
        </w:rPr>
        <w:t xml:space="preserve">also </w:t>
      </w:r>
      <w:r w:rsidR="001517A9">
        <w:rPr>
          <w:color w:val="000000" w:themeColor="text1"/>
          <w:lang w:val="en-GB" w:eastAsia="zh-CN"/>
        </w:rPr>
        <w:t xml:space="preserve">in other </w:t>
      </w:r>
      <w:r w:rsidR="0016611A">
        <w:rPr>
          <w:color w:val="000000" w:themeColor="text1"/>
          <w:lang w:val="en-GB" w:eastAsia="zh-CN"/>
        </w:rPr>
        <w:t xml:space="preserve">organizational </w:t>
      </w:r>
      <w:r w:rsidR="006753A2">
        <w:rPr>
          <w:color w:val="000000" w:themeColor="text1"/>
          <w:lang w:val="en-GB" w:eastAsia="zh-CN"/>
        </w:rPr>
        <w:t>functions</w:t>
      </w:r>
      <w:r w:rsidR="001517A9">
        <w:rPr>
          <w:color w:val="000000" w:themeColor="text1"/>
          <w:lang w:val="en-GB" w:eastAsia="zh-CN"/>
        </w:rPr>
        <w:t>, for example in research and development (</w:t>
      </w:r>
      <w:r w:rsidR="001517A9">
        <w:rPr>
          <w:lang w:val="en-GB"/>
        </w:rPr>
        <w:t>Jones</w:t>
      </w:r>
      <w:r w:rsidR="001517A9" w:rsidRPr="001517A9">
        <w:rPr>
          <w:lang w:val="en-GB"/>
        </w:rPr>
        <w:t xml:space="preserve"> </w:t>
      </w:r>
      <w:r w:rsidR="00D32AB9">
        <w:rPr>
          <w:lang w:val="en-GB"/>
        </w:rPr>
        <w:t>and</w:t>
      </w:r>
      <w:r w:rsidR="001517A9" w:rsidRPr="001517A9">
        <w:rPr>
          <w:lang w:val="en-GB"/>
        </w:rPr>
        <w:t xml:space="preserve"> </w:t>
      </w:r>
      <w:r w:rsidR="001517A9">
        <w:rPr>
          <w:lang w:val="en-GB"/>
        </w:rPr>
        <w:t xml:space="preserve">Williams, </w:t>
      </w:r>
      <w:r w:rsidR="001517A9" w:rsidRPr="001517A9">
        <w:rPr>
          <w:lang w:val="en-GB"/>
        </w:rPr>
        <w:t>2000</w:t>
      </w:r>
      <w:r w:rsidR="001517A9">
        <w:rPr>
          <w:color w:val="000000" w:themeColor="text1"/>
          <w:lang w:val="en-GB" w:eastAsia="zh-CN"/>
        </w:rPr>
        <w:t xml:space="preserve">), when excessive attention is given to certain activities and functions. The principle of </w:t>
      </w:r>
      <w:r w:rsidR="007B0F1A">
        <w:rPr>
          <w:color w:val="000000" w:themeColor="text1"/>
          <w:lang w:val="en-GB" w:eastAsia="zh-CN"/>
        </w:rPr>
        <w:t>‘</w:t>
      </w:r>
      <w:r w:rsidR="001517A9" w:rsidRPr="0040294D">
        <w:rPr>
          <w:rStyle w:val="Emphasis"/>
          <w:color w:val="000000" w:themeColor="text1"/>
          <w:lang w:val="en-GB"/>
        </w:rPr>
        <w:t>too-much-of-a-good-thing</w:t>
      </w:r>
      <w:r w:rsidR="001517A9">
        <w:rPr>
          <w:rStyle w:val="Emphasis"/>
          <w:i w:val="0"/>
          <w:color w:val="000000" w:themeColor="text1"/>
          <w:lang w:val="en-GB"/>
        </w:rPr>
        <w:t>’</w:t>
      </w:r>
      <w:r w:rsidR="007B0F1A">
        <w:rPr>
          <w:rStyle w:val="Emphasis"/>
          <w:i w:val="0"/>
          <w:color w:val="000000" w:themeColor="text1"/>
          <w:lang w:val="en-GB"/>
        </w:rPr>
        <w:t xml:space="preserve"> </w:t>
      </w:r>
      <w:r w:rsidR="001517A9">
        <w:rPr>
          <w:color w:val="000000" w:themeColor="text1"/>
          <w:lang w:val="en-GB" w:eastAsia="zh-CN"/>
        </w:rPr>
        <w:t xml:space="preserve">was presented as </w:t>
      </w:r>
      <w:r w:rsidR="00CA6C44" w:rsidRPr="00945A7D">
        <w:rPr>
          <w:color w:val="000000" w:themeColor="text1"/>
          <w:lang w:val="en-GB" w:eastAsia="zh-CN"/>
        </w:rPr>
        <w:t>‘</w:t>
      </w:r>
      <w:r w:rsidR="001517A9" w:rsidRPr="00CF520F">
        <w:rPr>
          <w:i/>
          <w:color w:val="000000" w:themeColor="text1"/>
          <w:lang w:val="en-GB" w:eastAsia="zh-CN"/>
        </w:rPr>
        <w:t>effect accounts for an apparent paradox in organizational life: ordinarily beneficial antecedents causing harm when taken too far</w:t>
      </w:r>
      <w:r w:rsidR="00CA6C44" w:rsidRPr="00945A7D">
        <w:rPr>
          <w:color w:val="000000" w:themeColor="text1"/>
          <w:lang w:val="en-GB" w:eastAsia="zh-CN"/>
        </w:rPr>
        <w:t>’</w:t>
      </w:r>
      <w:r w:rsidR="001517A9">
        <w:rPr>
          <w:color w:val="000000" w:themeColor="text1"/>
          <w:lang w:val="en-GB" w:eastAsia="zh-CN"/>
        </w:rPr>
        <w:t xml:space="preserve"> (</w:t>
      </w:r>
      <w:r w:rsidR="001517A9" w:rsidRPr="0040294D">
        <w:rPr>
          <w:color w:val="000000" w:themeColor="text1"/>
          <w:lang w:val="en-GB" w:eastAsia="zh-CN"/>
        </w:rPr>
        <w:t xml:space="preserve">Pierce and </w:t>
      </w:r>
      <w:proofErr w:type="spellStart"/>
      <w:r w:rsidR="001517A9" w:rsidRPr="0040294D">
        <w:rPr>
          <w:color w:val="000000" w:themeColor="text1"/>
          <w:lang w:val="en-GB" w:eastAsia="zh-CN"/>
        </w:rPr>
        <w:t>Aguinis</w:t>
      </w:r>
      <w:proofErr w:type="spellEnd"/>
      <w:r w:rsidR="001517A9" w:rsidRPr="0040294D">
        <w:rPr>
          <w:color w:val="000000" w:themeColor="text1"/>
          <w:lang w:val="en-GB" w:eastAsia="zh-CN"/>
        </w:rPr>
        <w:t>, 2013</w:t>
      </w:r>
      <w:r w:rsidR="009A470F">
        <w:rPr>
          <w:color w:val="000000" w:themeColor="text1"/>
          <w:lang w:val="en-GB" w:eastAsia="zh-CN"/>
        </w:rPr>
        <w:t xml:space="preserve">, </w:t>
      </w:r>
      <w:r w:rsidR="009A470F" w:rsidRPr="009A470F">
        <w:rPr>
          <w:color w:val="000000" w:themeColor="text1"/>
          <w:lang w:val="en-GB" w:eastAsia="zh-CN"/>
        </w:rPr>
        <w:t>p.</w:t>
      </w:r>
      <w:r w:rsidR="009A470F">
        <w:rPr>
          <w:color w:val="000000" w:themeColor="text1"/>
          <w:lang w:val="en-GB" w:eastAsia="zh-CN"/>
        </w:rPr>
        <w:t> 314</w:t>
      </w:r>
      <w:r w:rsidR="001517A9" w:rsidRPr="0040294D">
        <w:rPr>
          <w:color w:val="000000" w:themeColor="text1"/>
          <w:lang w:val="en-GB" w:eastAsia="zh-CN"/>
        </w:rPr>
        <w:t>)</w:t>
      </w:r>
      <w:r w:rsidR="001517A9" w:rsidRPr="007B0F1A">
        <w:rPr>
          <w:color w:val="000000" w:themeColor="text1"/>
          <w:lang w:val="en-GB" w:eastAsia="zh-CN"/>
        </w:rPr>
        <w:t>.</w:t>
      </w:r>
      <w:r w:rsidRPr="0040294D">
        <w:rPr>
          <w:color w:val="000000" w:themeColor="text1"/>
          <w:lang w:val="en-GB" w:eastAsia="zh-CN"/>
        </w:rPr>
        <w:t xml:space="preserve"> </w:t>
      </w:r>
      <w:r w:rsidR="001517A9">
        <w:rPr>
          <w:color w:val="000000" w:themeColor="text1"/>
          <w:lang w:val="en-GB" w:eastAsia="zh-CN"/>
        </w:rPr>
        <w:t xml:space="preserve">A recent </w:t>
      </w:r>
      <w:r w:rsidR="001517A9">
        <w:rPr>
          <w:color w:val="000000" w:themeColor="text1"/>
          <w:lang w:val="en-GB" w:eastAsia="zh-CN"/>
        </w:rPr>
        <w:lastRenderedPageBreak/>
        <w:t>example of over-emphasis on HRM activit</w:t>
      </w:r>
      <w:r w:rsidR="0016611A">
        <w:rPr>
          <w:color w:val="000000" w:themeColor="text1"/>
          <w:lang w:val="en-GB" w:eastAsia="zh-CN"/>
        </w:rPr>
        <w:t>y is excessive use of e-</w:t>
      </w:r>
      <w:r w:rsidR="001517A9">
        <w:rPr>
          <w:color w:val="000000" w:themeColor="text1"/>
          <w:lang w:val="en-GB" w:eastAsia="zh-CN"/>
        </w:rPr>
        <w:t>recruitment (</w:t>
      </w:r>
      <w:proofErr w:type="spellStart"/>
      <w:r w:rsidR="001517A9" w:rsidRPr="001517A9">
        <w:rPr>
          <w:lang w:val="en-GB"/>
        </w:rPr>
        <w:t>Intindola</w:t>
      </w:r>
      <w:proofErr w:type="spellEnd"/>
      <w:r w:rsidR="001517A9" w:rsidRPr="001517A9">
        <w:rPr>
          <w:lang w:val="en-GB"/>
        </w:rPr>
        <w:t xml:space="preserve">, Lewis, </w:t>
      </w:r>
      <w:proofErr w:type="spellStart"/>
      <w:r w:rsidR="001517A9" w:rsidRPr="001517A9">
        <w:rPr>
          <w:lang w:val="en-GB"/>
        </w:rPr>
        <w:t>Flinchbaugh</w:t>
      </w:r>
      <w:proofErr w:type="spellEnd"/>
      <w:r w:rsidR="001517A9" w:rsidRPr="001517A9">
        <w:rPr>
          <w:lang w:val="en-GB"/>
        </w:rPr>
        <w:t xml:space="preserve">, </w:t>
      </w:r>
      <w:r w:rsidR="001517A9">
        <w:rPr>
          <w:lang w:val="en-GB"/>
        </w:rPr>
        <w:t>and</w:t>
      </w:r>
      <w:r w:rsidR="001517A9" w:rsidRPr="001517A9">
        <w:rPr>
          <w:lang w:val="en-GB"/>
        </w:rPr>
        <w:t xml:space="preserve"> Rogers, 2019</w:t>
      </w:r>
      <w:r w:rsidR="001517A9">
        <w:rPr>
          <w:color w:val="000000" w:themeColor="text1"/>
          <w:lang w:val="en-GB" w:eastAsia="zh-CN"/>
        </w:rPr>
        <w:t xml:space="preserve">). </w:t>
      </w:r>
      <w:r w:rsidR="0016611A">
        <w:rPr>
          <w:color w:val="000000" w:themeColor="text1"/>
          <w:lang w:val="en-GB" w:eastAsia="zh-CN"/>
        </w:rPr>
        <w:t>Further</w:t>
      </w:r>
      <w:r w:rsidRPr="0040294D">
        <w:rPr>
          <w:color w:val="000000" w:themeColor="text1"/>
          <w:lang w:val="en-GB" w:eastAsia="zh-CN"/>
        </w:rPr>
        <w:t>, paying extensive attention to individual issues may lead to a loss of</w:t>
      </w:r>
      <w:r w:rsidRPr="0040294D">
        <w:rPr>
          <w:color w:val="000000" w:themeColor="text1"/>
          <w:lang w:val="en-GB"/>
        </w:rPr>
        <w:t xml:space="preserve"> operational focus. Being too</w:t>
      </w:r>
      <w:r w:rsidR="0040294D">
        <w:rPr>
          <w:color w:val="000000" w:themeColor="text1"/>
          <w:lang w:val="en-GB"/>
        </w:rPr>
        <w:t xml:space="preserve"> ‘</w:t>
      </w:r>
      <w:r w:rsidRPr="0040294D">
        <w:rPr>
          <w:color w:val="000000" w:themeColor="text1"/>
          <w:lang w:val="en-GB"/>
        </w:rPr>
        <w:t>soft</w:t>
      </w:r>
      <w:r w:rsidR="0040294D">
        <w:rPr>
          <w:color w:val="000000" w:themeColor="text1"/>
          <w:lang w:val="en-GB"/>
        </w:rPr>
        <w:t>’</w:t>
      </w:r>
      <w:r w:rsidR="00971127" w:rsidRPr="0040294D">
        <w:rPr>
          <w:color w:val="000000" w:themeColor="text1"/>
          <w:lang w:val="en-GB"/>
        </w:rPr>
        <w:t>,</w:t>
      </w:r>
      <w:r w:rsidRPr="0040294D">
        <w:rPr>
          <w:color w:val="000000" w:themeColor="text1"/>
          <w:lang w:val="en-GB"/>
        </w:rPr>
        <w:t xml:space="preserve"> or investing too much in </w:t>
      </w:r>
      <w:r w:rsidR="00313467" w:rsidRPr="0040294D">
        <w:rPr>
          <w:color w:val="000000" w:themeColor="text1"/>
          <w:lang w:val="en-GB"/>
        </w:rPr>
        <w:t xml:space="preserve">HRM action </w:t>
      </w:r>
      <w:r w:rsidRPr="0040294D">
        <w:rPr>
          <w:color w:val="000000" w:themeColor="text1"/>
          <w:lang w:val="en-GB"/>
        </w:rPr>
        <w:t>support mechanisms at the expense of the actual purpose of organizational activity, may well hinder performance. Recent research in management science and social psychology mobili</w:t>
      </w:r>
      <w:r w:rsidR="001E599F">
        <w:rPr>
          <w:color w:val="000000" w:themeColor="text1"/>
          <w:lang w:val="en-GB"/>
        </w:rPr>
        <w:t>s</w:t>
      </w:r>
      <w:r w:rsidRPr="0040294D">
        <w:rPr>
          <w:color w:val="000000" w:themeColor="text1"/>
          <w:lang w:val="en-GB"/>
        </w:rPr>
        <w:t>ed</w:t>
      </w:r>
      <w:r w:rsidR="00971127" w:rsidRPr="0040294D">
        <w:rPr>
          <w:color w:val="000000" w:themeColor="text1"/>
          <w:lang w:val="en-GB"/>
        </w:rPr>
        <w:t xml:space="preserve"> the</w:t>
      </w:r>
      <w:r w:rsidR="0040294D">
        <w:rPr>
          <w:color w:val="000000" w:themeColor="text1"/>
          <w:lang w:val="en-GB"/>
        </w:rPr>
        <w:t xml:space="preserve"> ‘</w:t>
      </w:r>
      <w:r w:rsidRPr="0040294D">
        <w:rPr>
          <w:rStyle w:val="Emphasis"/>
          <w:color w:val="000000" w:themeColor="text1"/>
          <w:lang w:val="en-GB"/>
        </w:rPr>
        <w:t>too-much-of-a-good-thing</w:t>
      </w:r>
      <w:r w:rsidR="0040294D">
        <w:rPr>
          <w:rStyle w:val="Emphasis"/>
          <w:i w:val="0"/>
          <w:color w:val="000000" w:themeColor="text1"/>
          <w:lang w:val="en-GB"/>
        </w:rPr>
        <w:t>’</w:t>
      </w:r>
      <w:r w:rsidRPr="0040294D">
        <w:rPr>
          <w:rStyle w:val="Emphasis"/>
          <w:i w:val="0"/>
          <w:color w:val="000000" w:themeColor="text1"/>
          <w:lang w:val="en-GB"/>
        </w:rPr>
        <w:t xml:space="preserve"> phenomen</w:t>
      </w:r>
      <w:r w:rsidR="00971127" w:rsidRPr="0040294D">
        <w:rPr>
          <w:rStyle w:val="Emphasis"/>
          <w:i w:val="0"/>
          <w:color w:val="000000" w:themeColor="text1"/>
          <w:lang w:val="en-GB"/>
        </w:rPr>
        <w:t>on</w:t>
      </w:r>
      <w:r w:rsidRPr="0040294D">
        <w:rPr>
          <w:rStyle w:val="Emphasis"/>
          <w:i w:val="0"/>
          <w:color w:val="000000" w:themeColor="text1"/>
          <w:lang w:val="en-GB"/>
        </w:rPr>
        <w:t xml:space="preserve"> and found inverted U-shaped patterns. König </w:t>
      </w:r>
      <w:r w:rsidR="00945A7D">
        <w:rPr>
          <w:rStyle w:val="Emphasis"/>
          <w:i w:val="0"/>
          <w:color w:val="000000" w:themeColor="text1"/>
          <w:lang w:val="en-GB"/>
        </w:rPr>
        <w:t>et al.</w:t>
      </w:r>
      <w:r w:rsidRPr="0040294D">
        <w:rPr>
          <w:rStyle w:val="Emphasis"/>
          <w:i w:val="0"/>
          <w:color w:val="000000" w:themeColor="text1"/>
          <w:lang w:val="en-GB"/>
        </w:rPr>
        <w:t xml:space="preserve"> (2018) showed that </w:t>
      </w:r>
      <w:r w:rsidR="00971127" w:rsidRPr="0040294D">
        <w:rPr>
          <w:rStyle w:val="Emphasis"/>
          <w:i w:val="0"/>
          <w:color w:val="000000" w:themeColor="text1"/>
          <w:lang w:val="en-GB"/>
        </w:rPr>
        <w:t xml:space="preserve">a </w:t>
      </w:r>
      <w:r w:rsidRPr="0040294D">
        <w:rPr>
          <w:rStyle w:val="Emphasis"/>
          <w:i w:val="0"/>
          <w:color w:val="000000" w:themeColor="text1"/>
          <w:lang w:val="en-GB"/>
        </w:rPr>
        <w:t>CEO</w:t>
      </w:r>
      <w:r w:rsidR="00971127" w:rsidRPr="0040294D">
        <w:rPr>
          <w:rStyle w:val="Emphasis"/>
          <w:i w:val="0"/>
          <w:color w:val="000000" w:themeColor="text1"/>
          <w:lang w:val="en-GB"/>
        </w:rPr>
        <w:t>’</w:t>
      </w:r>
      <w:r w:rsidRPr="0040294D">
        <w:rPr>
          <w:rStyle w:val="Emphasis"/>
          <w:i w:val="0"/>
          <w:color w:val="000000" w:themeColor="text1"/>
          <w:lang w:val="en-GB"/>
        </w:rPr>
        <w:t xml:space="preserve">s </w:t>
      </w:r>
      <w:r w:rsidR="00971127" w:rsidRPr="0040294D">
        <w:rPr>
          <w:rStyle w:val="Emphasis"/>
          <w:i w:val="0"/>
          <w:color w:val="000000" w:themeColor="text1"/>
          <w:lang w:val="en-GB"/>
        </w:rPr>
        <w:t xml:space="preserve">sense of </w:t>
      </w:r>
      <w:r w:rsidRPr="0040294D">
        <w:rPr>
          <w:rStyle w:val="Emphasis"/>
          <w:i w:val="0"/>
          <w:color w:val="000000" w:themeColor="text1"/>
          <w:lang w:val="en-GB"/>
        </w:rPr>
        <w:t>empathy influence</w:t>
      </w:r>
      <w:r w:rsidR="005E52ED" w:rsidRPr="0040294D">
        <w:rPr>
          <w:rStyle w:val="Emphasis"/>
          <w:i w:val="0"/>
          <w:color w:val="000000" w:themeColor="text1"/>
          <w:lang w:val="en-GB"/>
        </w:rPr>
        <w:t>d</w:t>
      </w:r>
      <w:r w:rsidRPr="0040294D">
        <w:rPr>
          <w:rStyle w:val="Emphasis"/>
          <w:i w:val="0"/>
          <w:color w:val="000000" w:themeColor="text1"/>
          <w:lang w:val="en-GB"/>
        </w:rPr>
        <w:t xml:space="preserve"> their crisis management </w:t>
      </w:r>
      <w:r w:rsidR="009759C9" w:rsidRPr="0040294D">
        <w:rPr>
          <w:rStyle w:val="Emphasis"/>
          <w:i w:val="0"/>
          <w:color w:val="000000" w:themeColor="text1"/>
          <w:lang w:val="en-GB"/>
        </w:rPr>
        <w:t xml:space="preserve">effectiveness </w:t>
      </w:r>
      <w:r w:rsidRPr="0040294D">
        <w:rPr>
          <w:rStyle w:val="Emphasis"/>
          <w:i w:val="0"/>
          <w:color w:val="000000" w:themeColor="text1"/>
          <w:lang w:val="en-GB"/>
        </w:rPr>
        <w:t xml:space="preserve">in an inverted U-shaped pattern. Likewise, scholars have </w:t>
      </w:r>
      <w:r w:rsidR="00945A7D" w:rsidRPr="0040294D">
        <w:rPr>
          <w:rStyle w:val="Emphasis"/>
          <w:i w:val="0"/>
          <w:color w:val="000000" w:themeColor="text1"/>
          <w:lang w:val="en-GB"/>
        </w:rPr>
        <w:t>theori</w:t>
      </w:r>
      <w:r w:rsidR="00945A7D">
        <w:rPr>
          <w:rStyle w:val="Emphasis"/>
          <w:i w:val="0"/>
          <w:color w:val="000000" w:themeColor="text1"/>
          <w:lang w:val="en-GB"/>
        </w:rPr>
        <w:t>z</w:t>
      </w:r>
      <w:r w:rsidR="00945A7D" w:rsidRPr="0040294D">
        <w:rPr>
          <w:rStyle w:val="Emphasis"/>
          <w:i w:val="0"/>
          <w:color w:val="000000" w:themeColor="text1"/>
          <w:lang w:val="en-GB"/>
        </w:rPr>
        <w:t xml:space="preserve">ed </w:t>
      </w:r>
      <w:r w:rsidRPr="0040294D">
        <w:rPr>
          <w:rStyle w:val="Emphasis"/>
          <w:i w:val="0"/>
          <w:color w:val="000000" w:themeColor="text1"/>
          <w:lang w:val="en-GB"/>
        </w:rPr>
        <w:t>and empirically tested a nonlinear intelligence-leadership relationship (</w:t>
      </w:r>
      <w:proofErr w:type="spellStart"/>
      <w:r w:rsidRPr="0040294D">
        <w:rPr>
          <w:rStyle w:val="Emphasis"/>
          <w:i w:val="0"/>
          <w:color w:val="000000" w:themeColor="text1"/>
          <w:lang w:val="en-GB"/>
        </w:rPr>
        <w:t>Antonakis</w:t>
      </w:r>
      <w:proofErr w:type="spellEnd"/>
      <w:r w:rsidRPr="0040294D">
        <w:rPr>
          <w:rStyle w:val="Emphasis"/>
          <w:i w:val="0"/>
          <w:color w:val="000000" w:themeColor="text1"/>
          <w:lang w:val="en-GB"/>
        </w:rPr>
        <w:t xml:space="preserve"> et al., 2017; Simonton, 1985) suggest</w:t>
      </w:r>
      <w:r w:rsidR="005E52ED" w:rsidRPr="0040294D">
        <w:rPr>
          <w:rStyle w:val="Emphasis"/>
          <w:i w:val="0"/>
          <w:color w:val="000000" w:themeColor="text1"/>
          <w:lang w:val="en-GB"/>
        </w:rPr>
        <w:t xml:space="preserve">ing </w:t>
      </w:r>
      <w:r w:rsidRPr="0040294D">
        <w:rPr>
          <w:color w:val="000000" w:themeColor="text1"/>
          <w:lang w:val="en-GB"/>
        </w:rPr>
        <w:t xml:space="preserve">that the studies that failed to detect nonlinear effects may have been underpowered </w:t>
      </w:r>
      <w:r w:rsidRPr="0040294D">
        <w:rPr>
          <w:rStyle w:val="Emphasis"/>
          <w:i w:val="0"/>
          <w:color w:val="000000" w:themeColor="text1"/>
          <w:lang w:val="en-GB"/>
        </w:rPr>
        <w:t>(</w:t>
      </w:r>
      <w:proofErr w:type="spellStart"/>
      <w:r w:rsidRPr="0040294D">
        <w:rPr>
          <w:color w:val="000000" w:themeColor="text1"/>
          <w:lang w:val="en-GB"/>
        </w:rPr>
        <w:t>Ganzach</w:t>
      </w:r>
      <w:proofErr w:type="spellEnd"/>
      <w:r w:rsidRPr="0040294D">
        <w:rPr>
          <w:color w:val="000000" w:themeColor="text1"/>
          <w:lang w:val="en-GB"/>
        </w:rPr>
        <w:t xml:space="preserve">, </w:t>
      </w:r>
      <w:proofErr w:type="spellStart"/>
      <w:r w:rsidRPr="0040294D">
        <w:rPr>
          <w:color w:val="000000" w:themeColor="text1"/>
          <w:lang w:val="en-GB"/>
        </w:rPr>
        <w:t>Gotlibobski</w:t>
      </w:r>
      <w:proofErr w:type="spellEnd"/>
      <w:r w:rsidRPr="0040294D">
        <w:rPr>
          <w:color w:val="000000" w:themeColor="text1"/>
          <w:lang w:val="en-GB"/>
        </w:rPr>
        <w:t xml:space="preserve">, Greenberg, and </w:t>
      </w:r>
      <w:proofErr w:type="spellStart"/>
      <w:r w:rsidRPr="0040294D">
        <w:rPr>
          <w:color w:val="000000" w:themeColor="text1"/>
          <w:lang w:val="en-GB"/>
        </w:rPr>
        <w:t>Pazy</w:t>
      </w:r>
      <w:proofErr w:type="spellEnd"/>
      <w:r w:rsidRPr="0040294D">
        <w:rPr>
          <w:color w:val="000000" w:themeColor="text1"/>
          <w:lang w:val="en-GB"/>
        </w:rPr>
        <w:t xml:space="preserve">, 2013). </w:t>
      </w:r>
      <w:r w:rsidR="00D65FB9">
        <w:rPr>
          <w:color w:val="000000" w:themeColor="text1"/>
          <w:lang w:val="en-GB"/>
        </w:rPr>
        <w:t>Similarly,</w:t>
      </w:r>
      <w:r w:rsidRPr="0040294D">
        <w:rPr>
          <w:color w:val="000000" w:themeColor="text1"/>
          <w:lang w:val="en-GB"/>
        </w:rPr>
        <w:t xml:space="preserve"> over-investment in research and development is problematic (J</w:t>
      </w:r>
      <w:r w:rsidRPr="0040294D">
        <w:rPr>
          <w:color w:val="000000" w:themeColor="text1"/>
          <w:lang w:val="en-GB" w:eastAsia="zh-CN"/>
        </w:rPr>
        <w:t xml:space="preserve">ones and Williams, 2000). At the individual investment level, </w:t>
      </w:r>
      <w:r w:rsidR="00D65FB9" w:rsidRPr="0040294D">
        <w:rPr>
          <w:color w:val="000000" w:themeColor="text1"/>
          <w:lang w:val="en-GB" w:eastAsia="zh-CN"/>
        </w:rPr>
        <w:t xml:space="preserve">over-trusting could reduce team performance </w:t>
      </w:r>
      <w:r w:rsidR="00D65FB9">
        <w:rPr>
          <w:color w:val="000000" w:themeColor="text1"/>
          <w:lang w:val="en-GB" w:eastAsia="zh-CN"/>
        </w:rPr>
        <w:t>(</w:t>
      </w:r>
      <w:proofErr w:type="spellStart"/>
      <w:r w:rsidRPr="0040294D">
        <w:rPr>
          <w:color w:val="000000" w:themeColor="text1"/>
          <w:lang w:val="en-GB" w:eastAsia="zh-CN"/>
        </w:rPr>
        <w:t>Langfred</w:t>
      </w:r>
      <w:proofErr w:type="spellEnd"/>
      <w:r w:rsidR="00D65FB9">
        <w:rPr>
          <w:color w:val="000000" w:themeColor="text1"/>
          <w:lang w:val="en-GB" w:eastAsia="zh-CN"/>
        </w:rPr>
        <w:t>,</w:t>
      </w:r>
      <w:r w:rsidRPr="0040294D">
        <w:rPr>
          <w:color w:val="000000" w:themeColor="text1"/>
          <w:lang w:val="en-GB" w:eastAsia="zh-CN"/>
        </w:rPr>
        <w:t xml:space="preserve"> 2004).</w:t>
      </w:r>
    </w:p>
    <w:p w14:paraId="2858791D" w14:textId="2812344D" w:rsidR="00FD2A48" w:rsidRPr="0040294D" w:rsidRDefault="00FD2A48" w:rsidP="009759C9">
      <w:pPr>
        <w:spacing w:line="480" w:lineRule="auto"/>
        <w:ind w:firstLine="284"/>
        <w:jc w:val="both"/>
        <w:rPr>
          <w:color w:val="000000" w:themeColor="text1"/>
          <w:lang w:val="en-GB" w:eastAsia="zh-CN"/>
        </w:rPr>
      </w:pPr>
      <w:r w:rsidRPr="0040294D">
        <w:rPr>
          <w:color w:val="000000" w:themeColor="text1"/>
          <w:lang w:val="en-GB" w:eastAsia="zh-CN"/>
        </w:rPr>
        <w:t>A final supporti</w:t>
      </w:r>
      <w:r w:rsidR="0034044C" w:rsidRPr="0040294D">
        <w:rPr>
          <w:color w:val="000000" w:themeColor="text1"/>
          <w:lang w:val="en-GB" w:eastAsia="zh-CN"/>
        </w:rPr>
        <w:t>ng</w:t>
      </w:r>
      <w:r w:rsidRPr="0040294D">
        <w:rPr>
          <w:color w:val="000000" w:themeColor="text1"/>
          <w:lang w:val="en-GB" w:eastAsia="zh-CN"/>
        </w:rPr>
        <w:t xml:space="preserve"> example of our argument is that exponential costs/barriers also originate in expectancy violation </w:t>
      </w:r>
      <w:r w:rsidRPr="0040294D">
        <w:rPr>
          <w:color w:val="000000" w:themeColor="text1"/>
          <w:lang w:val="en-GB"/>
        </w:rPr>
        <w:t>(</w:t>
      </w:r>
      <w:proofErr w:type="spellStart"/>
      <w:r w:rsidRPr="0040294D">
        <w:rPr>
          <w:color w:val="000000" w:themeColor="text1"/>
          <w:lang w:val="en-GB"/>
        </w:rPr>
        <w:t>Graffin</w:t>
      </w:r>
      <w:proofErr w:type="spellEnd"/>
      <w:r w:rsidRPr="0040294D">
        <w:rPr>
          <w:color w:val="000000" w:themeColor="text1"/>
          <w:lang w:val="en-GB"/>
        </w:rPr>
        <w:t xml:space="preserve">, </w:t>
      </w:r>
      <w:proofErr w:type="spellStart"/>
      <w:r w:rsidRPr="0040294D">
        <w:rPr>
          <w:color w:val="000000" w:themeColor="text1"/>
          <w:lang w:val="en-GB"/>
        </w:rPr>
        <w:t>Haleblian</w:t>
      </w:r>
      <w:proofErr w:type="spellEnd"/>
      <w:r w:rsidRPr="0040294D">
        <w:rPr>
          <w:color w:val="000000" w:themeColor="text1"/>
          <w:lang w:val="en-GB"/>
        </w:rPr>
        <w:t>, and Kiley, 2016; Rhee and Valdez, 2009).</w:t>
      </w:r>
      <w:r w:rsidR="0040294D">
        <w:rPr>
          <w:color w:val="000000" w:themeColor="text1"/>
          <w:lang w:val="en-GB"/>
        </w:rPr>
        <w:t xml:space="preserve"> ‘</w:t>
      </w:r>
      <w:r w:rsidRPr="0040294D">
        <w:rPr>
          <w:color w:val="000000" w:themeColor="text1"/>
          <w:lang w:val="en-GB" w:eastAsia="zh-CN"/>
        </w:rPr>
        <w:t>Expectancy</w:t>
      </w:r>
      <w:r w:rsidR="0040294D">
        <w:rPr>
          <w:color w:val="000000" w:themeColor="text1"/>
          <w:lang w:val="en-GB" w:eastAsia="zh-CN"/>
        </w:rPr>
        <w:t>’</w:t>
      </w:r>
      <w:r w:rsidRPr="0040294D">
        <w:rPr>
          <w:color w:val="000000" w:themeColor="text1"/>
          <w:lang w:val="en-GB" w:eastAsia="zh-CN"/>
        </w:rPr>
        <w:t xml:space="preserve"> refers to a consistent pattern of </w:t>
      </w:r>
      <w:r w:rsidR="0040294D" w:rsidRPr="0040294D">
        <w:rPr>
          <w:color w:val="000000" w:themeColor="text1"/>
          <w:lang w:val="en-GB" w:eastAsia="zh-CN"/>
        </w:rPr>
        <w:t>behaviour</w:t>
      </w:r>
      <w:r w:rsidRPr="0040294D">
        <w:rPr>
          <w:color w:val="000000" w:themeColor="text1"/>
          <w:lang w:val="en-GB" w:eastAsia="zh-CN"/>
        </w:rPr>
        <w:t xml:space="preserve"> (</w:t>
      </w:r>
      <w:proofErr w:type="spellStart"/>
      <w:r w:rsidRPr="0040294D">
        <w:rPr>
          <w:color w:val="000000" w:themeColor="text1"/>
          <w:lang w:val="en-GB"/>
        </w:rPr>
        <w:t>Graffin</w:t>
      </w:r>
      <w:proofErr w:type="spellEnd"/>
      <w:r w:rsidRPr="0040294D">
        <w:rPr>
          <w:color w:val="000000" w:themeColor="text1"/>
          <w:lang w:val="en-GB"/>
        </w:rPr>
        <w:t xml:space="preserve"> et al., 2016). </w:t>
      </w:r>
      <w:r w:rsidRPr="0040294D">
        <w:rPr>
          <w:color w:val="000000" w:themeColor="text1"/>
          <w:lang w:val="en-GB" w:eastAsia="zh-CN"/>
        </w:rPr>
        <w:t xml:space="preserve">Owing to their track record, organizations known for their very high </w:t>
      </w:r>
      <w:r w:rsidR="00FA1DA4">
        <w:rPr>
          <w:color w:val="000000" w:themeColor="text1"/>
          <w:lang w:val="en-GB" w:eastAsia="zh-CN"/>
        </w:rPr>
        <w:t>HRM-quality</w:t>
      </w:r>
      <w:r w:rsidRPr="0040294D">
        <w:rPr>
          <w:color w:val="000000" w:themeColor="text1"/>
          <w:lang w:val="en-GB" w:eastAsia="zh-CN"/>
        </w:rPr>
        <w:t xml:space="preserve"> face high expectations among stakeholders</w:t>
      </w:r>
      <w:r w:rsidR="0040294D">
        <w:rPr>
          <w:color w:val="000000" w:themeColor="text1"/>
          <w:lang w:val="en-GB" w:eastAsia="zh-CN"/>
        </w:rPr>
        <w:t>—</w:t>
      </w:r>
      <w:r w:rsidRPr="0040294D">
        <w:rPr>
          <w:color w:val="000000" w:themeColor="text1"/>
          <w:lang w:val="en-GB" w:eastAsia="zh-CN"/>
        </w:rPr>
        <w:t>including acquisition target employees</w:t>
      </w:r>
      <w:r w:rsidR="0040294D">
        <w:rPr>
          <w:color w:val="000000" w:themeColor="text1"/>
          <w:lang w:val="en-GB" w:eastAsia="zh-CN"/>
        </w:rPr>
        <w:t>—</w:t>
      </w:r>
      <w:r w:rsidRPr="0040294D">
        <w:rPr>
          <w:color w:val="000000" w:themeColor="text1"/>
          <w:lang w:val="en-GB" w:eastAsia="zh-CN"/>
        </w:rPr>
        <w:t xml:space="preserve">as to how they </w:t>
      </w:r>
      <w:r w:rsidR="0034044C" w:rsidRPr="0040294D">
        <w:rPr>
          <w:color w:val="000000" w:themeColor="text1"/>
          <w:lang w:val="en-GB" w:eastAsia="zh-CN"/>
        </w:rPr>
        <w:t xml:space="preserve">will </w:t>
      </w:r>
      <w:r w:rsidRPr="0040294D">
        <w:rPr>
          <w:color w:val="000000" w:themeColor="text1"/>
          <w:lang w:val="en-GB" w:eastAsia="zh-CN"/>
        </w:rPr>
        <w:t xml:space="preserve">handle the human factor during the post-acquisition. However, </w:t>
      </w:r>
      <w:r w:rsidRPr="0040294D">
        <w:rPr>
          <w:color w:val="000000" w:themeColor="text1"/>
          <w:lang w:val="en-GB"/>
        </w:rPr>
        <w:t xml:space="preserve">given the complexity of acquisitions, even very high </w:t>
      </w:r>
      <w:r w:rsidR="00FA1DA4">
        <w:rPr>
          <w:color w:val="000000" w:themeColor="text1"/>
          <w:lang w:val="en-GB"/>
        </w:rPr>
        <w:t>HRM-quality</w:t>
      </w:r>
      <w:r w:rsidRPr="0040294D">
        <w:rPr>
          <w:color w:val="000000" w:themeColor="text1"/>
          <w:lang w:val="en-GB"/>
        </w:rPr>
        <w:t xml:space="preserve"> firms</w:t>
      </w:r>
      <w:r w:rsidR="0034044C" w:rsidRPr="0040294D">
        <w:rPr>
          <w:color w:val="000000" w:themeColor="text1"/>
          <w:lang w:val="en-GB"/>
        </w:rPr>
        <w:t xml:space="preserve"> can</w:t>
      </w:r>
      <w:r w:rsidRPr="0040294D">
        <w:rPr>
          <w:color w:val="000000" w:themeColor="text1"/>
          <w:lang w:val="en-GB"/>
        </w:rPr>
        <w:t xml:space="preserve"> make mistakes. </w:t>
      </w:r>
      <w:r w:rsidRPr="0040294D">
        <w:rPr>
          <w:color w:val="000000" w:themeColor="text1"/>
          <w:lang w:val="en-GB" w:eastAsia="zh-CN"/>
        </w:rPr>
        <w:t xml:space="preserve">Stakeholders will see both minor and major missteps as more severe expectancy violations than those made by organizations with a lesser </w:t>
      </w:r>
      <w:r w:rsidR="00FA1DA4">
        <w:rPr>
          <w:color w:val="000000" w:themeColor="text1"/>
          <w:lang w:val="en-GB" w:eastAsia="zh-CN"/>
        </w:rPr>
        <w:t>HRM-quality</w:t>
      </w:r>
      <w:r w:rsidRPr="0040294D">
        <w:rPr>
          <w:color w:val="000000" w:themeColor="text1"/>
          <w:lang w:val="en-GB" w:eastAsia="zh-CN"/>
        </w:rPr>
        <w:t xml:space="preserve"> (triggering stronger and more costly repercussions)</w:t>
      </w:r>
      <w:r w:rsidR="0040294D">
        <w:rPr>
          <w:color w:val="000000" w:themeColor="text1"/>
          <w:lang w:val="en-GB" w:eastAsia="zh-CN"/>
        </w:rPr>
        <w:t>—</w:t>
      </w:r>
      <w:r w:rsidRPr="0040294D">
        <w:rPr>
          <w:color w:val="000000" w:themeColor="text1"/>
          <w:lang w:val="en-GB" w:eastAsia="zh-CN"/>
        </w:rPr>
        <w:t>because of a larger inconsistency with how the firm is perceived.</w:t>
      </w:r>
    </w:p>
    <w:p w14:paraId="652B22BA" w14:textId="03AF82D5" w:rsidR="00FD2A48" w:rsidRPr="0040294D" w:rsidRDefault="00FD2A48" w:rsidP="009759C9">
      <w:pPr>
        <w:widowControl w:val="0"/>
        <w:spacing w:line="480" w:lineRule="auto"/>
        <w:ind w:firstLine="284"/>
        <w:jc w:val="both"/>
        <w:rPr>
          <w:color w:val="000000" w:themeColor="text1"/>
          <w:lang w:val="en-GB"/>
        </w:rPr>
      </w:pPr>
      <w:r w:rsidRPr="0040294D">
        <w:rPr>
          <w:color w:val="000000" w:themeColor="text1"/>
          <w:lang w:val="en-GB"/>
        </w:rPr>
        <w:t xml:space="preserve">There is also an exponential effect following each new violation. As explained by </w:t>
      </w:r>
      <w:proofErr w:type="spellStart"/>
      <w:r w:rsidRPr="00FF3FE9">
        <w:rPr>
          <w:color w:val="000000" w:themeColor="text1"/>
          <w:lang w:val="en-GB"/>
        </w:rPr>
        <w:t>Graffin</w:t>
      </w:r>
      <w:proofErr w:type="spellEnd"/>
      <w:r w:rsidRPr="00FF3FE9">
        <w:rPr>
          <w:color w:val="000000" w:themeColor="text1"/>
          <w:lang w:val="en-GB"/>
        </w:rPr>
        <w:t xml:space="preserve"> et al.</w:t>
      </w:r>
      <w:r w:rsidRPr="0040294D">
        <w:rPr>
          <w:color w:val="000000" w:themeColor="text1"/>
          <w:lang w:val="en-GB"/>
        </w:rPr>
        <w:t xml:space="preserve"> </w:t>
      </w:r>
      <w:r w:rsidRPr="0040294D">
        <w:rPr>
          <w:color w:val="000000" w:themeColor="text1"/>
          <w:lang w:val="en-GB"/>
        </w:rPr>
        <w:lastRenderedPageBreak/>
        <w:t>(2016, p. 235),</w:t>
      </w:r>
      <w:r w:rsidR="0040294D">
        <w:rPr>
          <w:color w:val="000000" w:themeColor="text1"/>
          <w:lang w:val="en-GB"/>
        </w:rPr>
        <w:t xml:space="preserve"> ‘</w:t>
      </w:r>
      <w:r w:rsidRPr="0040294D">
        <w:rPr>
          <w:i/>
          <w:color w:val="000000" w:themeColor="text1"/>
          <w:lang w:val="en-GB"/>
        </w:rPr>
        <w:t>violations lead to increased scrutiny for the violator and cause observers to seek additional information</w:t>
      </w:r>
      <w:r w:rsidRPr="0040294D">
        <w:rPr>
          <w:color w:val="000000" w:themeColor="text1"/>
          <w:lang w:val="en-GB"/>
        </w:rPr>
        <w:t>.</w:t>
      </w:r>
      <w:r w:rsidR="0040294D">
        <w:rPr>
          <w:color w:val="000000" w:themeColor="text1"/>
          <w:lang w:val="en-GB"/>
        </w:rPr>
        <w:t>’</w:t>
      </w:r>
      <w:r w:rsidRPr="0040294D">
        <w:rPr>
          <w:color w:val="000000" w:themeColor="text1"/>
          <w:lang w:val="en-GB"/>
        </w:rPr>
        <w:t xml:space="preserve"> In other words, high expectations</w:t>
      </w:r>
      <w:r w:rsidR="0040294D">
        <w:rPr>
          <w:color w:val="000000" w:themeColor="text1"/>
          <w:lang w:val="en-GB"/>
        </w:rPr>
        <w:t xml:space="preserve"> ‘</w:t>
      </w:r>
      <w:r w:rsidRPr="0040294D">
        <w:rPr>
          <w:i/>
          <w:color w:val="000000" w:themeColor="text1"/>
          <w:lang w:val="en-GB"/>
        </w:rPr>
        <w:t xml:space="preserve">give prominence to </w:t>
      </w:r>
      <w:r w:rsidRPr="0040294D">
        <w:rPr>
          <w:color w:val="000000" w:themeColor="text1"/>
          <w:lang w:val="en-GB"/>
        </w:rPr>
        <w:t>[the acquirer’s]</w:t>
      </w:r>
      <w:r w:rsidRPr="0040294D">
        <w:rPr>
          <w:i/>
          <w:color w:val="000000" w:themeColor="text1"/>
          <w:lang w:val="en-GB"/>
        </w:rPr>
        <w:t xml:space="preserve"> errors</w:t>
      </w:r>
      <w:r w:rsidR="0040294D">
        <w:rPr>
          <w:color w:val="000000" w:themeColor="text1"/>
          <w:lang w:val="en-GB"/>
        </w:rPr>
        <w:t>’</w:t>
      </w:r>
      <w:r w:rsidRPr="0040294D">
        <w:rPr>
          <w:color w:val="000000" w:themeColor="text1"/>
          <w:lang w:val="en-GB"/>
        </w:rPr>
        <w:t xml:space="preserve"> (Rhee and Valdez, 2009, p. 158); thus</w:t>
      </w:r>
      <w:r w:rsidR="0034044C" w:rsidRPr="0040294D">
        <w:rPr>
          <w:color w:val="000000" w:themeColor="text1"/>
          <w:lang w:val="en-GB"/>
        </w:rPr>
        <w:t>,</w:t>
      </w:r>
      <w:r w:rsidRPr="0040294D">
        <w:rPr>
          <w:color w:val="000000" w:themeColor="text1"/>
          <w:lang w:val="en-GB"/>
        </w:rPr>
        <w:t xml:space="preserve"> </w:t>
      </w:r>
      <w:r w:rsidRPr="0040294D">
        <w:rPr>
          <w:color w:val="000000" w:themeColor="text1"/>
          <w:lang w:val="en-GB" w:eastAsia="zh-CN"/>
        </w:rPr>
        <w:t>employees may have a perception of contract breach leading to the intense emotional reaction often equated with the term</w:t>
      </w:r>
      <w:r w:rsidR="0040294D">
        <w:rPr>
          <w:color w:val="000000" w:themeColor="text1"/>
          <w:lang w:val="en-GB" w:eastAsia="zh-CN"/>
        </w:rPr>
        <w:t xml:space="preserve"> ‘</w:t>
      </w:r>
      <w:r w:rsidRPr="0040294D">
        <w:rPr>
          <w:i/>
          <w:color w:val="000000" w:themeColor="text1"/>
          <w:lang w:val="en-GB" w:eastAsia="zh-CN"/>
        </w:rPr>
        <w:t>psychological contract violation</w:t>
      </w:r>
      <w:r w:rsidR="0040294D">
        <w:rPr>
          <w:color w:val="000000" w:themeColor="text1"/>
          <w:lang w:val="en-GB" w:eastAsia="zh-CN"/>
        </w:rPr>
        <w:t>’</w:t>
      </w:r>
      <w:r w:rsidRPr="0040294D">
        <w:rPr>
          <w:color w:val="000000" w:themeColor="text1"/>
          <w:lang w:val="en-GB" w:eastAsia="zh-CN"/>
        </w:rPr>
        <w:t xml:space="preserve"> (Morrison and Robinson 1997; Rousseau, 1989). </w:t>
      </w:r>
      <w:r w:rsidRPr="0040294D">
        <w:rPr>
          <w:color w:val="000000" w:themeColor="text1"/>
          <w:lang w:val="en-GB"/>
        </w:rPr>
        <w:t>Very high</w:t>
      </w:r>
      <w:r w:rsidR="00026CAE" w:rsidRPr="0040294D">
        <w:rPr>
          <w:color w:val="000000" w:themeColor="text1"/>
          <w:lang w:val="en-GB"/>
        </w:rPr>
        <w:t>-</w:t>
      </w:r>
      <w:r w:rsidRPr="0040294D">
        <w:rPr>
          <w:color w:val="000000" w:themeColor="text1"/>
          <w:lang w:val="en-GB"/>
        </w:rPr>
        <w:t>quality HRM firms then become victims of their own success.</w:t>
      </w:r>
      <w:r w:rsidR="0040294D">
        <w:rPr>
          <w:color w:val="000000" w:themeColor="text1"/>
          <w:lang w:val="en-GB"/>
        </w:rPr>
        <w:t xml:space="preserve"> ‘</w:t>
      </w:r>
      <w:r w:rsidRPr="0040294D">
        <w:rPr>
          <w:color w:val="000000" w:themeColor="text1"/>
          <w:lang w:val="en-GB"/>
        </w:rPr>
        <w:t>Sanctions</w:t>
      </w:r>
      <w:r w:rsidR="0040294D">
        <w:rPr>
          <w:color w:val="000000" w:themeColor="text1"/>
          <w:lang w:val="en-GB"/>
        </w:rPr>
        <w:t>’</w:t>
      </w:r>
      <w:r w:rsidRPr="0040294D">
        <w:rPr>
          <w:color w:val="000000" w:themeColor="text1"/>
          <w:lang w:val="en-GB"/>
        </w:rPr>
        <w:t xml:space="preserve"> against these violations may take many different forms and have different degrees of seriousness:</w:t>
      </w:r>
      <w:r w:rsidRPr="0040294D" w:rsidDel="00EA43B5">
        <w:rPr>
          <w:color w:val="000000" w:themeColor="text1"/>
          <w:lang w:val="en-GB"/>
        </w:rPr>
        <w:t xml:space="preserve"> </w:t>
      </w:r>
      <w:r w:rsidRPr="0040294D">
        <w:rPr>
          <w:color w:val="000000" w:themeColor="text1"/>
          <w:lang w:val="en-GB"/>
        </w:rPr>
        <w:t>strikes, bad-mouthing, high employee turnover, avoidance of knowledge</w:t>
      </w:r>
      <w:r w:rsidR="005D5DA0">
        <w:rPr>
          <w:color w:val="000000" w:themeColor="text1"/>
          <w:lang w:val="en-GB"/>
        </w:rPr>
        <w:t>-</w:t>
      </w:r>
      <w:r w:rsidRPr="0040294D">
        <w:rPr>
          <w:color w:val="000000" w:themeColor="text1"/>
          <w:lang w:val="en-GB"/>
        </w:rPr>
        <w:t xml:space="preserve">sharing, conflicts, or even lawsuits, which </w:t>
      </w:r>
      <w:r w:rsidR="008D3FBF" w:rsidRPr="0040294D">
        <w:rPr>
          <w:color w:val="000000" w:themeColor="text1"/>
          <w:lang w:val="en-GB"/>
        </w:rPr>
        <w:t xml:space="preserve">may </w:t>
      </w:r>
      <w:r w:rsidRPr="0040294D">
        <w:rPr>
          <w:color w:val="000000" w:themeColor="text1"/>
          <w:lang w:val="en-GB"/>
        </w:rPr>
        <w:t xml:space="preserve">provoke increased costs. Finally, such sanctions </w:t>
      </w:r>
      <w:r w:rsidR="008D3FBF" w:rsidRPr="0040294D">
        <w:rPr>
          <w:color w:val="000000" w:themeColor="text1"/>
          <w:lang w:val="en-GB"/>
        </w:rPr>
        <w:t>are</w:t>
      </w:r>
      <w:r w:rsidRPr="0040294D">
        <w:rPr>
          <w:color w:val="000000" w:themeColor="text1"/>
          <w:lang w:val="en-GB"/>
        </w:rPr>
        <w:t xml:space="preserve"> inconsistent with the organizational identity of a high-quality HRM acquirer, which is </w:t>
      </w:r>
      <w:r w:rsidR="008D3FBF" w:rsidRPr="0040294D">
        <w:rPr>
          <w:color w:val="000000" w:themeColor="text1"/>
          <w:lang w:val="en-GB"/>
        </w:rPr>
        <w:t xml:space="preserve">partly </w:t>
      </w:r>
      <w:r w:rsidRPr="0040294D">
        <w:rPr>
          <w:color w:val="000000" w:themeColor="text1"/>
          <w:lang w:val="en-GB"/>
        </w:rPr>
        <w:t>constructed around human-</w:t>
      </w:r>
      <w:r w:rsidR="00676341" w:rsidRPr="0040294D">
        <w:rPr>
          <w:color w:val="000000" w:themeColor="text1"/>
          <w:lang w:val="en-GB"/>
        </w:rPr>
        <w:t>centred</w:t>
      </w:r>
      <w:r w:rsidRPr="0040294D">
        <w:rPr>
          <w:color w:val="000000" w:themeColor="text1"/>
          <w:lang w:val="en-GB"/>
        </w:rPr>
        <w:t xml:space="preserve"> norms and values; </w:t>
      </w:r>
      <w:r w:rsidR="008D3FBF" w:rsidRPr="0040294D">
        <w:rPr>
          <w:color w:val="000000" w:themeColor="text1"/>
          <w:lang w:val="en-GB"/>
        </w:rPr>
        <w:t xml:space="preserve">thus, </w:t>
      </w:r>
      <w:r w:rsidRPr="0040294D">
        <w:rPr>
          <w:color w:val="000000" w:themeColor="text1"/>
          <w:lang w:val="en-GB"/>
        </w:rPr>
        <w:t xml:space="preserve">this may create a situation of organizational dissonance (MacLean and Behnam, 2010) </w:t>
      </w:r>
      <w:r w:rsidR="008D3FBF" w:rsidRPr="0040294D">
        <w:rPr>
          <w:color w:val="000000" w:themeColor="text1"/>
          <w:lang w:val="en-GB"/>
        </w:rPr>
        <w:t xml:space="preserve">further </w:t>
      </w:r>
      <w:r w:rsidRPr="0040294D">
        <w:rPr>
          <w:color w:val="000000" w:themeColor="text1"/>
          <w:lang w:val="en-GB"/>
        </w:rPr>
        <w:t>pushing toward</w:t>
      </w:r>
      <w:r w:rsidR="00CC299C">
        <w:rPr>
          <w:color w:val="000000" w:themeColor="text1"/>
          <w:lang w:val="en-GB"/>
        </w:rPr>
        <w:t>s</w:t>
      </w:r>
      <w:r w:rsidRPr="0040294D">
        <w:rPr>
          <w:color w:val="000000" w:themeColor="text1"/>
          <w:lang w:val="en-GB"/>
        </w:rPr>
        <w:t xml:space="preserve"> an acquisition divestment decision. Previous studies have highlighted low employee organizational identification with the post-acquisition organization as a contributing factor </w:t>
      </w:r>
      <w:r w:rsidR="009759C9">
        <w:rPr>
          <w:color w:val="000000" w:themeColor="text1"/>
          <w:lang w:val="en-GB"/>
        </w:rPr>
        <w:t>to the high acquisition failure-</w:t>
      </w:r>
      <w:r w:rsidRPr="0040294D">
        <w:rPr>
          <w:color w:val="000000" w:themeColor="text1"/>
          <w:lang w:val="en-GB"/>
        </w:rPr>
        <w:t>rate (Spoor and Chu, 2017).</w:t>
      </w:r>
    </w:p>
    <w:p w14:paraId="42E02791" w14:textId="43B8A0DF" w:rsidR="00FD2A48" w:rsidRPr="0040294D" w:rsidRDefault="00FD2A48" w:rsidP="009759C9">
      <w:pPr>
        <w:spacing w:line="480" w:lineRule="auto"/>
        <w:ind w:firstLine="284"/>
        <w:jc w:val="both"/>
        <w:rPr>
          <w:color w:val="000000" w:themeColor="text1"/>
          <w:lang w:val="en-GB"/>
        </w:rPr>
      </w:pPr>
      <w:r w:rsidRPr="0040294D">
        <w:rPr>
          <w:color w:val="000000" w:themeColor="text1"/>
          <w:lang w:val="en-GB"/>
        </w:rPr>
        <w:t>A</w:t>
      </w:r>
      <w:r w:rsidRPr="0040294D">
        <w:rPr>
          <w:color w:val="000000" w:themeColor="text1"/>
          <w:lang w:val="en-GB" w:eastAsia="zh-CN"/>
        </w:rPr>
        <w:t>t the other end of the spectrum, poor HRM practices will have a negative impact on organizational effectiveness, even more so during an acquisition process. Improving HRM practices, at least in the first instance, will lead to better acquisition performance. Th</w:t>
      </w:r>
      <w:r w:rsidR="008D3FBF" w:rsidRPr="0040294D">
        <w:rPr>
          <w:color w:val="000000" w:themeColor="text1"/>
          <w:lang w:val="en-GB" w:eastAsia="zh-CN"/>
        </w:rPr>
        <w:t>e</w:t>
      </w:r>
      <w:r w:rsidRPr="0040294D">
        <w:rPr>
          <w:color w:val="000000" w:themeColor="text1"/>
          <w:lang w:val="en-GB" w:eastAsia="zh-CN"/>
        </w:rPr>
        <w:t xml:space="preserve"> relationship </w:t>
      </w:r>
      <w:r w:rsidR="008D3FBF" w:rsidRPr="0040294D">
        <w:rPr>
          <w:color w:val="000000" w:themeColor="text1"/>
          <w:lang w:val="en-GB" w:eastAsia="zh-CN"/>
        </w:rPr>
        <w:t xml:space="preserve">between the two will </w:t>
      </w:r>
      <w:r w:rsidRPr="0040294D">
        <w:rPr>
          <w:color w:val="000000" w:themeColor="text1"/>
          <w:lang w:val="en-GB" w:eastAsia="zh-CN"/>
        </w:rPr>
        <w:t xml:space="preserve">be consistent as long as quality standards are not taken to a very high level. Indeed, if too much is being done, we </w:t>
      </w:r>
      <w:r w:rsidR="008D3FBF" w:rsidRPr="0040294D">
        <w:rPr>
          <w:color w:val="000000" w:themeColor="text1"/>
          <w:lang w:val="en-GB" w:eastAsia="zh-CN"/>
        </w:rPr>
        <w:t xml:space="preserve">may </w:t>
      </w:r>
      <w:r w:rsidRPr="0040294D">
        <w:rPr>
          <w:color w:val="000000" w:themeColor="text1"/>
          <w:lang w:val="en-GB" w:eastAsia="zh-CN"/>
        </w:rPr>
        <w:t xml:space="preserve">expect the trend to reverse (Pierce and </w:t>
      </w:r>
      <w:proofErr w:type="spellStart"/>
      <w:r w:rsidRPr="0040294D">
        <w:rPr>
          <w:color w:val="000000" w:themeColor="text1"/>
          <w:lang w:val="en-GB" w:eastAsia="zh-CN"/>
        </w:rPr>
        <w:t>Aguinis</w:t>
      </w:r>
      <w:proofErr w:type="spellEnd"/>
      <w:r w:rsidRPr="0040294D">
        <w:rPr>
          <w:color w:val="000000" w:themeColor="text1"/>
          <w:lang w:val="en-GB" w:eastAsia="zh-CN"/>
        </w:rPr>
        <w:t xml:space="preserve">, 2013) </w:t>
      </w:r>
      <w:r w:rsidR="008D3FBF" w:rsidRPr="0040294D">
        <w:rPr>
          <w:color w:val="000000" w:themeColor="text1"/>
          <w:lang w:val="en-GB" w:eastAsia="zh-CN"/>
        </w:rPr>
        <w:t>owing to t</w:t>
      </w:r>
      <w:r w:rsidRPr="0040294D">
        <w:rPr>
          <w:color w:val="000000" w:themeColor="text1"/>
          <w:lang w:val="en-GB" w:eastAsia="zh-CN"/>
        </w:rPr>
        <w:t xml:space="preserve">he underlying </w:t>
      </w:r>
      <w:r w:rsidRPr="0040294D">
        <w:rPr>
          <w:color w:val="000000" w:themeColor="text1"/>
          <w:lang w:val="en-GB"/>
        </w:rPr>
        <w:t xml:space="preserve">additive </w:t>
      </w:r>
      <w:r w:rsidR="001F550A" w:rsidRPr="0040294D">
        <w:rPr>
          <w:color w:val="000000" w:themeColor="text1"/>
          <w:lang w:val="en-GB"/>
        </w:rPr>
        <w:t xml:space="preserve">benefit/cost </w:t>
      </w:r>
      <w:r w:rsidRPr="0040294D">
        <w:rPr>
          <w:color w:val="000000" w:themeColor="text1"/>
          <w:lang w:val="en-GB"/>
        </w:rPr>
        <w:t>mechanism (</w:t>
      </w:r>
      <w:proofErr w:type="spellStart"/>
      <w:r w:rsidRPr="0040294D">
        <w:rPr>
          <w:color w:val="000000" w:themeColor="text1"/>
          <w:lang w:val="en-GB"/>
        </w:rPr>
        <w:t>Haans</w:t>
      </w:r>
      <w:proofErr w:type="spellEnd"/>
      <w:r w:rsidRPr="0040294D">
        <w:rPr>
          <w:color w:val="000000" w:themeColor="text1"/>
          <w:lang w:val="en-GB"/>
        </w:rPr>
        <w:t xml:space="preserve"> et al., 2016). </w:t>
      </w:r>
      <w:r w:rsidRPr="0040294D">
        <w:rPr>
          <w:color w:val="000000" w:themeColor="text1"/>
          <w:lang w:val="en-GB" w:eastAsia="zh-CN"/>
        </w:rPr>
        <w:t xml:space="preserve">Overall, the anticipated relationship is curvilinear, </w:t>
      </w:r>
      <w:r w:rsidR="00256A69" w:rsidRPr="0040294D">
        <w:rPr>
          <w:color w:val="000000" w:themeColor="text1"/>
          <w:lang w:val="en-GB" w:eastAsia="zh-CN"/>
        </w:rPr>
        <w:t>that is</w:t>
      </w:r>
      <w:r w:rsidRPr="0040294D">
        <w:rPr>
          <w:color w:val="000000" w:themeColor="text1"/>
          <w:lang w:val="en-GB" w:eastAsia="zh-CN"/>
        </w:rPr>
        <w:t xml:space="preserve">, </w:t>
      </w:r>
      <w:r w:rsidRPr="0040294D">
        <w:rPr>
          <w:color w:val="000000" w:themeColor="text1"/>
          <w:lang w:val="en-GB"/>
        </w:rPr>
        <w:t xml:space="preserve">an acquirer with either a low or a high level of </w:t>
      </w:r>
      <w:r w:rsidR="00FA1DA4">
        <w:rPr>
          <w:color w:val="000000" w:themeColor="text1"/>
          <w:lang w:val="en-GB"/>
        </w:rPr>
        <w:t>HRM-quality</w:t>
      </w:r>
      <w:r w:rsidR="009759C9">
        <w:rPr>
          <w:color w:val="000000" w:themeColor="text1"/>
          <w:lang w:val="en-GB"/>
        </w:rPr>
        <w:t xml:space="preserve"> has a high</w:t>
      </w:r>
      <w:r w:rsidRPr="0040294D">
        <w:rPr>
          <w:color w:val="000000" w:themeColor="text1"/>
          <w:lang w:val="en-GB"/>
        </w:rPr>
        <w:t xml:space="preserve"> likelihood of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 divestment</w:t>
      </w:r>
      <w:r w:rsidRPr="0040294D">
        <w:rPr>
          <w:iCs/>
          <w:color w:val="000000" w:themeColor="text1"/>
          <w:lang w:val="en-GB"/>
        </w:rPr>
        <w:t>.</w:t>
      </w:r>
      <w:r w:rsidRPr="0040294D">
        <w:rPr>
          <w:color w:val="000000" w:themeColor="text1"/>
          <w:lang w:val="en-GB" w:eastAsia="zh-CN"/>
        </w:rPr>
        <w:t xml:space="preserve"> </w:t>
      </w:r>
      <w:r w:rsidRPr="0040294D">
        <w:rPr>
          <w:color w:val="000000" w:themeColor="text1"/>
          <w:lang w:val="en-GB"/>
        </w:rPr>
        <w:t>We thus hypothesi</w:t>
      </w:r>
      <w:r w:rsidR="00CC299C">
        <w:rPr>
          <w:color w:val="000000" w:themeColor="text1"/>
          <w:lang w:val="en-GB"/>
        </w:rPr>
        <w:t>s</w:t>
      </w:r>
      <w:r w:rsidRPr="0040294D">
        <w:rPr>
          <w:color w:val="000000" w:themeColor="text1"/>
          <w:lang w:val="en-GB"/>
        </w:rPr>
        <w:t>e as follows:</w:t>
      </w:r>
    </w:p>
    <w:p w14:paraId="2C5AB207" w14:textId="605C3609" w:rsidR="00FD2A48" w:rsidRDefault="00FD2A48" w:rsidP="00FD2A48">
      <w:pPr>
        <w:spacing w:line="480" w:lineRule="auto"/>
        <w:ind w:left="851" w:right="855"/>
        <w:jc w:val="both"/>
        <w:rPr>
          <w:i/>
          <w:iCs/>
          <w:color w:val="000000" w:themeColor="text1"/>
          <w:lang w:val="en-GB"/>
        </w:rPr>
      </w:pPr>
      <w:r w:rsidRPr="0040294D">
        <w:rPr>
          <w:bCs/>
          <w:color w:val="000000" w:themeColor="text1"/>
          <w:lang w:val="en-GB"/>
        </w:rPr>
        <w:lastRenderedPageBreak/>
        <w:t xml:space="preserve">Hypothesis 1: </w:t>
      </w:r>
      <w:r w:rsidRPr="0040294D">
        <w:rPr>
          <w:i/>
          <w:iCs/>
          <w:color w:val="000000" w:themeColor="text1"/>
          <w:lang w:val="en-GB"/>
        </w:rPr>
        <w:t xml:space="preserve">The </w:t>
      </w:r>
      <w:r w:rsidR="00FA1DA4">
        <w:rPr>
          <w:i/>
          <w:iCs/>
          <w:color w:val="000000" w:themeColor="text1"/>
          <w:lang w:val="en-GB"/>
        </w:rPr>
        <w:t>HRM-quality</w:t>
      </w:r>
      <w:r w:rsidRPr="0040294D">
        <w:rPr>
          <w:i/>
          <w:iCs/>
          <w:color w:val="000000" w:themeColor="text1"/>
          <w:lang w:val="en-GB"/>
        </w:rPr>
        <w:t xml:space="preserve"> level of the acquirer has a U-shaped relationship with the likelihood </w:t>
      </w:r>
      <w:r w:rsidR="00FD37ED" w:rsidRPr="0040294D">
        <w:rPr>
          <w:i/>
          <w:iCs/>
          <w:color w:val="000000" w:themeColor="text1"/>
          <w:lang w:val="en-GB"/>
        </w:rPr>
        <w:t>of</w:t>
      </w:r>
      <w:r w:rsidRPr="0040294D">
        <w:rPr>
          <w:i/>
          <w:iCs/>
          <w:color w:val="000000" w:themeColor="text1"/>
          <w:lang w:val="en-GB"/>
        </w:rPr>
        <w:t xml:space="preserve"> divest</w:t>
      </w:r>
      <w:r w:rsidR="00FD37ED" w:rsidRPr="0040294D">
        <w:rPr>
          <w:i/>
          <w:iCs/>
          <w:color w:val="000000" w:themeColor="text1"/>
          <w:lang w:val="en-GB"/>
        </w:rPr>
        <w:t>ing</w:t>
      </w:r>
      <w:r w:rsidRPr="0040294D">
        <w:rPr>
          <w:i/>
          <w:iCs/>
          <w:color w:val="000000" w:themeColor="text1"/>
          <w:lang w:val="en-GB"/>
        </w:rPr>
        <w:t xml:space="preserve"> its subsequent </w:t>
      </w:r>
      <w:r w:rsidR="00FA1DA4">
        <w:rPr>
          <w:i/>
          <w:iCs/>
          <w:color w:val="000000" w:themeColor="text1"/>
          <w:lang w:val="en-GB"/>
        </w:rPr>
        <w:t>cross-border</w:t>
      </w:r>
      <w:r w:rsidR="00187E65">
        <w:rPr>
          <w:i/>
          <w:iCs/>
          <w:color w:val="000000" w:themeColor="text1"/>
          <w:lang w:val="en-GB"/>
        </w:rPr>
        <w:t xml:space="preserve"> </w:t>
      </w:r>
      <w:r w:rsidR="00FA1DA4">
        <w:rPr>
          <w:i/>
          <w:iCs/>
          <w:color w:val="000000" w:themeColor="text1"/>
          <w:lang w:val="en-GB"/>
        </w:rPr>
        <w:t>acquisition</w:t>
      </w:r>
      <w:r w:rsidRPr="0040294D">
        <w:rPr>
          <w:i/>
          <w:iCs/>
          <w:color w:val="000000" w:themeColor="text1"/>
          <w:lang w:val="en-GB"/>
        </w:rPr>
        <w:t>s.</w:t>
      </w:r>
    </w:p>
    <w:p w14:paraId="2668EC7B" w14:textId="77777777" w:rsidR="00F975E6" w:rsidRPr="0040294D" w:rsidRDefault="00F975E6" w:rsidP="00F975E6">
      <w:pPr>
        <w:spacing w:line="480" w:lineRule="auto"/>
        <w:ind w:right="855" w:firstLine="284"/>
        <w:jc w:val="both"/>
        <w:rPr>
          <w:iCs/>
          <w:color w:val="000000" w:themeColor="text1"/>
          <w:lang w:val="en-GB"/>
        </w:rPr>
      </w:pPr>
    </w:p>
    <w:p w14:paraId="1672EB33" w14:textId="4281DA25" w:rsidR="00FD2A48" w:rsidRPr="0040294D" w:rsidRDefault="00FD2A48" w:rsidP="00FD2A48">
      <w:pPr>
        <w:spacing w:line="480" w:lineRule="auto"/>
        <w:jc w:val="both"/>
        <w:rPr>
          <w:b/>
          <w:i/>
          <w:color w:val="000000" w:themeColor="text1"/>
          <w:lang w:val="en-GB"/>
        </w:rPr>
      </w:pPr>
      <w:r w:rsidRPr="0040294D">
        <w:rPr>
          <w:b/>
          <w:i/>
          <w:color w:val="000000" w:themeColor="text1"/>
          <w:lang w:val="en-GB"/>
        </w:rPr>
        <w:t xml:space="preserve">Moderating Effect of Acquirer’s </w:t>
      </w:r>
      <w:r w:rsidR="00FA1DA4">
        <w:rPr>
          <w:b/>
          <w:i/>
          <w:color w:val="000000" w:themeColor="text1"/>
          <w:lang w:val="en-GB"/>
        </w:rPr>
        <w:t>Financial</w:t>
      </w:r>
      <w:r w:rsidR="00187E65">
        <w:rPr>
          <w:b/>
          <w:i/>
          <w:color w:val="000000" w:themeColor="text1"/>
          <w:lang w:val="en-GB"/>
        </w:rPr>
        <w:t xml:space="preserve"> S</w:t>
      </w:r>
      <w:r w:rsidR="00FA1DA4">
        <w:rPr>
          <w:b/>
          <w:i/>
          <w:color w:val="000000" w:themeColor="text1"/>
          <w:lang w:val="en-GB"/>
        </w:rPr>
        <w:t>lack</w:t>
      </w:r>
    </w:p>
    <w:p w14:paraId="51B5B4AE" w14:textId="70ECC88F" w:rsidR="00FD2A48" w:rsidRPr="0040294D" w:rsidRDefault="00FD2A48" w:rsidP="009759C9">
      <w:pPr>
        <w:spacing w:line="480" w:lineRule="auto"/>
        <w:jc w:val="both"/>
        <w:rPr>
          <w:color w:val="000000" w:themeColor="text1"/>
          <w:lang w:val="en-GB" w:eastAsia="zh-CN"/>
        </w:rPr>
      </w:pPr>
      <w:r w:rsidRPr="0040294D">
        <w:rPr>
          <w:iCs/>
          <w:color w:val="000000" w:themeColor="text1"/>
          <w:lang w:val="en-GB"/>
        </w:rPr>
        <w:t xml:space="preserve">Whilst we theoretically established a U-shaped relationship between the level of </w:t>
      </w:r>
      <w:r w:rsidR="00FA1DA4">
        <w:rPr>
          <w:iCs/>
          <w:color w:val="000000" w:themeColor="text1"/>
          <w:lang w:val="en-GB"/>
        </w:rPr>
        <w:t>HRM-quality</w:t>
      </w:r>
      <w:r w:rsidRPr="0040294D">
        <w:rPr>
          <w:iCs/>
          <w:color w:val="000000" w:themeColor="text1"/>
          <w:lang w:val="en-GB"/>
        </w:rPr>
        <w:t xml:space="preserve"> of the acquirer and the likelihood </w:t>
      </w:r>
      <w:r w:rsidR="00FD37ED" w:rsidRPr="0040294D">
        <w:rPr>
          <w:iCs/>
          <w:color w:val="000000" w:themeColor="text1"/>
          <w:lang w:val="en-GB"/>
        </w:rPr>
        <w:t>of</w:t>
      </w:r>
      <w:r w:rsidRPr="0040294D">
        <w:rPr>
          <w:iCs/>
          <w:color w:val="000000" w:themeColor="text1"/>
          <w:lang w:val="en-GB"/>
        </w:rPr>
        <w:t xml:space="preserve"> divest</w:t>
      </w:r>
      <w:r w:rsidR="00FD37ED" w:rsidRPr="0040294D">
        <w:rPr>
          <w:iCs/>
          <w:color w:val="000000" w:themeColor="text1"/>
          <w:lang w:val="en-GB"/>
        </w:rPr>
        <w:t>ing</w:t>
      </w:r>
      <w:r w:rsidRPr="0040294D">
        <w:rPr>
          <w:iCs/>
          <w:color w:val="000000" w:themeColor="text1"/>
          <w:lang w:val="en-GB"/>
        </w:rPr>
        <w:t xml:space="preserve"> its subsequent </w:t>
      </w:r>
      <w:r w:rsidR="00FA1DA4">
        <w:rPr>
          <w:iCs/>
          <w:color w:val="000000" w:themeColor="text1"/>
          <w:lang w:val="en-GB"/>
        </w:rPr>
        <w:t>cross-border</w:t>
      </w:r>
      <w:r w:rsidR="00187E65">
        <w:rPr>
          <w:iCs/>
          <w:color w:val="000000" w:themeColor="text1"/>
          <w:lang w:val="en-GB"/>
        </w:rPr>
        <w:t xml:space="preserve"> </w:t>
      </w:r>
      <w:r w:rsidR="00FA1DA4">
        <w:rPr>
          <w:iCs/>
          <w:color w:val="000000" w:themeColor="text1"/>
          <w:lang w:val="en-GB"/>
        </w:rPr>
        <w:t>acquisition</w:t>
      </w:r>
      <w:r w:rsidRPr="0040294D">
        <w:rPr>
          <w:iCs/>
          <w:color w:val="000000" w:themeColor="text1"/>
          <w:lang w:val="en-GB"/>
        </w:rPr>
        <w:t xml:space="preserve">s, </w:t>
      </w:r>
      <w:r w:rsidRPr="0040294D">
        <w:rPr>
          <w:color w:val="000000" w:themeColor="text1"/>
          <w:lang w:val="en-GB" w:eastAsia="zh-CN"/>
        </w:rPr>
        <w:t>ascertaining</w:t>
      </w:r>
      <w:r w:rsidRPr="0040294D" w:rsidDel="00C45E2F">
        <w:rPr>
          <w:color w:val="000000" w:themeColor="text1"/>
          <w:lang w:val="en-GB" w:eastAsia="zh-CN"/>
        </w:rPr>
        <w:t xml:space="preserve"> </w:t>
      </w:r>
      <w:r w:rsidRPr="0040294D">
        <w:rPr>
          <w:color w:val="000000" w:themeColor="text1"/>
          <w:lang w:val="en-GB" w:eastAsia="zh-CN"/>
        </w:rPr>
        <w:t xml:space="preserve">the exact point at which </w:t>
      </w:r>
      <w:r w:rsidR="00FA1DA4">
        <w:rPr>
          <w:color w:val="000000" w:themeColor="text1"/>
          <w:lang w:val="en-GB" w:eastAsia="zh-CN"/>
        </w:rPr>
        <w:t>HRM-quality</w:t>
      </w:r>
      <w:r w:rsidRPr="0040294D">
        <w:rPr>
          <w:color w:val="000000" w:themeColor="text1"/>
          <w:lang w:val="en-GB" w:eastAsia="zh-CN"/>
        </w:rPr>
        <w:t xml:space="preserve"> is high enough</w:t>
      </w:r>
      <w:r w:rsidR="0040294D">
        <w:rPr>
          <w:color w:val="000000" w:themeColor="text1"/>
          <w:lang w:val="en-GB" w:eastAsia="zh-CN"/>
        </w:rPr>
        <w:t>—</w:t>
      </w:r>
      <w:r w:rsidRPr="0040294D">
        <w:rPr>
          <w:color w:val="000000" w:themeColor="text1"/>
          <w:lang w:val="en-GB" w:eastAsia="zh-CN"/>
        </w:rPr>
        <w:t>but not too high</w:t>
      </w:r>
      <w:r w:rsidR="0040294D">
        <w:rPr>
          <w:color w:val="000000" w:themeColor="text1"/>
          <w:lang w:val="en-GB" w:eastAsia="zh-CN"/>
        </w:rPr>
        <w:t>—</w:t>
      </w:r>
      <w:r w:rsidRPr="0040294D">
        <w:rPr>
          <w:color w:val="000000" w:themeColor="text1"/>
          <w:lang w:val="en-GB" w:eastAsia="zh-CN"/>
        </w:rPr>
        <w:t>is a complex balancing act: that is, acquirers are</w:t>
      </w:r>
      <w:r w:rsidR="0040294D">
        <w:rPr>
          <w:color w:val="000000" w:themeColor="text1"/>
          <w:lang w:val="en-GB" w:eastAsia="zh-CN"/>
        </w:rPr>
        <w:t xml:space="preserve"> ‘</w:t>
      </w:r>
      <w:r w:rsidRPr="0040294D">
        <w:rPr>
          <w:color w:val="000000" w:themeColor="text1"/>
          <w:lang w:val="en-GB" w:eastAsia="zh-CN"/>
        </w:rPr>
        <w:t>slackliners</w:t>
      </w:r>
      <w:r w:rsidR="0040294D">
        <w:rPr>
          <w:color w:val="000000" w:themeColor="text1"/>
          <w:lang w:val="en-GB" w:eastAsia="zh-CN"/>
        </w:rPr>
        <w:t>’</w:t>
      </w:r>
      <w:r w:rsidRPr="0040294D">
        <w:rPr>
          <w:color w:val="000000" w:themeColor="text1"/>
          <w:lang w:val="en-GB" w:eastAsia="zh-CN"/>
        </w:rPr>
        <w:t xml:space="preserve"> on a curvilinear connection. Various contingency factors may play a role as well (</w:t>
      </w:r>
      <w:r w:rsidRPr="0040294D">
        <w:rPr>
          <w:color w:val="000000" w:themeColor="text1"/>
          <w:lang w:val="en-GB"/>
        </w:rPr>
        <w:t>Correia, Cunha, and Scholten, 2013)</w:t>
      </w:r>
      <w:r w:rsidRPr="0040294D">
        <w:rPr>
          <w:color w:val="000000" w:themeColor="text1"/>
          <w:lang w:val="en-GB" w:eastAsia="zh-CN"/>
        </w:rPr>
        <w:t>.</w:t>
      </w:r>
    </w:p>
    <w:p w14:paraId="3ACDADC4" w14:textId="4C571774" w:rsidR="00836AE4" w:rsidRPr="0040294D" w:rsidRDefault="00FD2A48" w:rsidP="00C118BA">
      <w:pPr>
        <w:spacing w:line="480" w:lineRule="auto"/>
        <w:ind w:firstLine="284"/>
        <w:jc w:val="both"/>
        <w:rPr>
          <w:color w:val="000000" w:themeColor="text1"/>
          <w:lang w:val="en-GB" w:eastAsia="zh-CN"/>
        </w:rPr>
      </w:pPr>
      <w:r w:rsidRPr="0040294D">
        <w:rPr>
          <w:color w:val="000000" w:themeColor="text1"/>
          <w:lang w:val="en-GB" w:eastAsia="zh-CN"/>
        </w:rPr>
        <w:t xml:space="preserve">We introduce </w:t>
      </w:r>
      <w:r w:rsidR="00FA1DA4">
        <w:rPr>
          <w:color w:val="000000" w:themeColor="text1"/>
          <w:lang w:val="en-GB" w:eastAsia="zh-CN"/>
        </w:rPr>
        <w:t>financial</w:t>
      </w:r>
      <w:r w:rsidR="00FF3FE9">
        <w:rPr>
          <w:color w:val="000000" w:themeColor="text1"/>
          <w:lang w:val="en-GB" w:eastAsia="zh-CN"/>
        </w:rPr>
        <w:t xml:space="preserve"> </w:t>
      </w:r>
      <w:r w:rsidR="00FA1DA4">
        <w:rPr>
          <w:color w:val="000000" w:themeColor="text1"/>
          <w:lang w:val="en-GB" w:eastAsia="zh-CN"/>
        </w:rPr>
        <w:t>slack</w:t>
      </w:r>
      <w:r w:rsidRPr="0040294D">
        <w:rPr>
          <w:color w:val="000000" w:themeColor="text1"/>
          <w:lang w:val="en-GB" w:eastAsia="zh-CN"/>
        </w:rPr>
        <w:t xml:space="preserve"> (George, 2005</w:t>
      </w:r>
      <w:r w:rsidR="003C3A6E">
        <w:rPr>
          <w:color w:val="000000" w:themeColor="text1"/>
          <w:lang w:val="en-GB" w:eastAsia="zh-CN"/>
        </w:rPr>
        <w:t>;</w:t>
      </w:r>
      <w:r w:rsidR="00836AE4" w:rsidRPr="0040294D">
        <w:rPr>
          <w:color w:val="000000" w:themeColor="text1"/>
          <w:lang w:val="en-GB" w:eastAsia="zh-CN"/>
        </w:rPr>
        <w:t xml:space="preserve"> Mishina, 2004</w:t>
      </w:r>
      <w:r w:rsidRPr="0040294D">
        <w:rPr>
          <w:color w:val="000000" w:themeColor="text1"/>
          <w:lang w:val="en-GB" w:eastAsia="zh-CN"/>
        </w:rPr>
        <w:t>)</w:t>
      </w:r>
      <w:r w:rsidR="00313467" w:rsidRPr="0040294D">
        <w:rPr>
          <w:color w:val="000000" w:themeColor="text1"/>
          <w:lang w:val="en-GB" w:eastAsia="zh-CN"/>
        </w:rPr>
        <w:t>,</w:t>
      </w:r>
      <w:r w:rsidRPr="0040294D">
        <w:rPr>
          <w:color w:val="000000" w:themeColor="text1"/>
          <w:lang w:val="en-GB" w:eastAsia="zh-CN"/>
        </w:rPr>
        <w:t xml:space="preserve"> </w:t>
      </w:r>
      <w:r w:rsidR="00256A69" w:rsidRPr="0040294D">
        <w:rPr>
          <w:color w:val="000000" w:themeColor="text1"/>
          <w:lang w:val="en-GB" w:eastAsia="zh-CN"/>
        </w:rPr>
        <w:t>that is</w:t>
      </w:r>
      <w:r w:rsidRPr="0040294D">
        <w:rPr>
          <w:color w:val="000000" w:themeColor="text1"/>
          <w:lang w:val="en-GB" w:eastAsia="zh-CN"/>
        </w:rPr>
        <w:t>,</w:t>
      </w:r>
      <w:r w:rsidRPr="0040294D">
        <w:rPr>
          <w:bCs/>
          <w:color w:val="000000" w:themeColor="text1"/>
          <w:lang w:val="en-GB"/>
        </w:rPr>
        <w:t xml:space="preserve"> excess financial resources available to the acquirer,</w:t>
      </w:r>
      <w:r w:rsidRPr="0040294D">
        <w:rPr>
          <w:color w:val="000000" w:themeColor="text1"/>
          <w:lang w:val="en-GB" w:eastAsia="zh-CN"/>
        </w:rPr>
        <w:t xml:space="preserve"> and argue that it is a moderating variable that significantly influences the shape of the curve. </w:t>
      </w:r>
      <w:r w:rsidR="00D10F7F" w:rsidRPr="0040294D">
        <w:rPr>
          <w:bCs/>
          <w:color w:val="000000" w:themeColor="text1"/>
          <w:lang w:val="en-GB"/>
        </w:rPr>
        <w:t xml:space="preserve">Slack has been used to explain diverse organizational phenomena and was </w:t>
      </w:r>
      <w:r w:rsidRPr="0040294D">
        <w:rPr>
          <w:color w:val="000000" w:themeColor="text1"/>
          <w:lang w:val="en-GB"/>
        </w:rPr>
        <w:t xml:space="preserve">found to strongly affect firms’ acquisition decisions (Iyer and Miller, 2008). Accordingly, we </w:t>
      </w:r>
      <w:r w:rsidR="0035146A" w:rsidRPr="0040294D">
        <w:rPr>
          <w:color w:val="000000" w:themeColor="text1"/>
          <w:lang w:val="en-GB"/>
        </w:rPr>
        <w:t xml:space="preserve">would </w:t>
      </w:r>
      <w:r w:rsidRPr="0040294D">
        <w:rPr>
          <w:color w:val="000000" w:themeColor="text1"/>
          <w:lang w:val="en-GB"/>
        </w:rPr>
        <w:t xml:space="preserve">expect slack to </w:t>
      </w:r>
      <w:r w:rsidR="0035146A" w:rsidRPr="0040294D">
        <w:rPr>
          <w:color w:val="000000" w:themeColor="text1"/>
          <w:lang w:val="en-GB"/>
        </w:rPr>
        <w:t xml:space="preserve">play a role </w:t>
      </w:r>
      <w:r w:rsidRPr="0040294D">
        <w:rPr>
          <w:color w:val="000000" w:themeColor="text1"/>
          <w:lang w:val="en-GB"/>
        </w:rPr>
        <w:t xml:space="preserve">in acquisition </w:t>
      </w:r>
      <w:r w:rsidRPr="0040294D">
        <w:rPr>
          <w:i/>
          <w:color w:val="000000" w:themeColor="text1"/>
          <w:lang w:val="en-GB"/>
        </w:rPr>
        <w:t>divestment</w:t>
      </w:r>
      <w:r w:rsidRPr="0040294D">
        <w:rPr>
          <w:color w:val="000000" w:themeColor="text1"/>
          <w:lang w:val="en-GB"/>
        </w:rPr>
        <w:t xml:space="preserve"> decisions as well. Further, studying interaction with slack is particularly relevant considering that our theoretical framework contains an exponential cost logic (</w:t>
      </w:r>
      <w:proofErr w:type="spellStart"/>
      <w:r w:rsidRPr="0040294D">
        <w:rPr>
          <w:color w:val="000000" w:themeColor="text1"/>
          <w:lang w:val="en-GB"/>
        </w:rPr>
        <w:t>Haans</w:t>
      </w:r>
      <w:proofErr w:type="spellEnd"/>
      <w:r w:rsidRPr="0040294D">
        <w:rPr>
          <w:color w:val="000000" w:themeColor="text1"/>
          <w:lang w:val="en-GB"/>
        </w:rPr>
        <w:t xml:space="preserve"> </w:t>
      </w:r>
      <w:r w:rsidRPr="00FF3FE9">
        <w:rPr>
          <w:color w:val="000000" w:themeColor="text1"/>
          <w:lang w:val="en-GB"/>
        </w:rPr>
        <w:t xml:space="preserve">et al., </w:t>
      </w:r>
      <w:r w:rsidRPr="0040294D">
        <w:rPr>
          <w:color w:val="000000" w:themeColor="text1"/>
          <w:lang w:val="en-GB"/>
        </w:rPr>
        <w:t>2016).</w:t>
      </w:r>
    </w:p>
    <w:p w14:paraId="59D5270C" w14:textId="22D20FED" w:rsidR="00FD2A48" w:rsidRPr="0040294D" w:rsidRDefault="00FD2A48" w:rsidP="00C118BA">
      <w:pPr>
        <w:spacing w:line="480" w:lineRule="auto"/>
        <w:ind w:firstLine="284"/>
        <w:jc w:val="both"/>
        <w:rPr>
          <w:color w:val="000000" w:themeColor="text1"/>
          <w:lang w:val="en-GB" w:eastAsia="zh-CN"/>
        </w:rPr>
      </w:pPr>
      <w:r w:rsidRPr="0040294D">
        <w:rPr>
          <w:color w:val="000000" w:themeColor="text1"/>
          <w:lang w:val="en-GB" w:eastAsia="zh-CN"/>
        </w:rPr>
        <w:t xml:space="preserve">On the one hand, we contend that costs/barriers accompanying very high </w:t>
      </w:r>
      <w:r w:rsidR="00FA1DA4">
        <w:rPr>
          <w:color w:val="000000" w:themeColor="text1"/>
          <w:lang w:val="en-GB" w:eastAsia="zh-CN"/>
        </w:rPr>
        <w:t>HRM-quality</w:t>
      </w:r>
      <w:r w:rsidRPr="0040294D">
        <w:rPr>
          <w:color w:val="000000" w:themeColor="text1"/>
          <w:lang w:val="en-GB" w:eastAsia="zh-CN"/>
        </w:rPr>
        <w:t xml:space="preserve"> are more constraining and problematic in a situation of low </w:t>
      </w:r>
      <w:r w:rsidR="00FA1DA4">
        <w:rPr>
          <w:color w:val="000000" w:themeColor="text1"/>
          <w:lang w:val="en-GB" w:eastAsia="zh-CN"/>
        </w:rPr>
        <w:t>financial</w:t>
      </w:r>
      <w:r w:rsidR="00F975E6">
        <w:rPr>
          <w:color w:val="000000" w:themeColor="text1"/>
          <w:lang w:val="en-GB" w:eastAsia="zh-CN"/>
        </w:rPr>
        <w:t xml:space="preserve"> </w:t>
      </w:r>
      <w:r w:rsidR="00FA1DA4">
        <w:rPr>
          <w:color w:val="000000" w:themeColor="text1"/>
          <w:lang w:val="en-GB" w:eastAsia="zh-CN"/>
        </w:rPr>
        <w:t>slack</w:t>
      </w:r>
      <w:r w:rsidR="0040294D">
        <w:rPr>
          <w:color w:val="000000" w:themeColor="text1"/>
          <w:lang w:val="en-GB" w:eastAsia="zh-CN"/>
        </w:rPr>
        <w:t>—</w:t>
      </w:r>
      <w:r w:rsidRPr="0040294D">
        <w:rPr>
          <w:color w:val="000000" w:themeColor="text1"/>
          <w:lang w:val="en-GB" w:eastAsia="zh-CN"/>
        </w:rPr>
        <w:t>and severely complicate post-acquisition integration (</w:t>
      </w:r>
      <w:r w:rsidRPr="0040294D">
        <w:rPr>
          <w:color w:val="000000" w:themeColor="text1"/>
          <w:lang w:val="en-GB"/>
        </w:rPr>
        <w:t>Lakshman, 2011)</w:t>
      </w:r>
      <w:r w:rsidRPr="0040294D">
        <w:rPr>
          <w:color w:val="000000" w:themeColor="text1"/>
          <w:lang w:val="en-GB" w:eastAsia="zh-CN"/>
        </w:rPr>
        <w:t xml:space="preserve">. Also, </w:t>
      </w:r>
      <w:r w:rsidRPr="0040294D">
        <w:rPr>
          <w:bCs/>
          <w:color w:val="000000" w:themeColor="text1"/>
          <w:lang w:val="en-GB"/>
        </w:rPr>
        <w:t>constrained</w:t>
      </w:r>
      <w:r w:rsidRPr="0040294D">
        <w:rPr>
          <w:color w:val="000000" w:themeColor="text1"/>
          <w:lang w:val="en-GB"/>
        </w:rPr>
        <w:t xml:space="preserve"> resources may prevent the fulfilment of </w:t>
      </w:r>
      <w:r w:rsidR="00C118BA">
        <w:rPr>
          <w:color w:val="000000" w:themeColor="text1"/>
          <w:lang w:val="en-GB"/>
        </w:rPr>
        <w:t>organizational</w:t>
      </w:r>
      <w:r w:rsidRPr="0040294D">
        <w:rPr>
          <w:color w:val="000000" w:themeColor="text1"/>
          <w:lang w:val="en-GB"/>
        </w:rPr>
        <w:t xml:space="preserve"> obligations and may cause it to renege on its promises, which </w:t>
      </w:r>
      <w:r w:rsidRPr="0040294D">
        <w:rPr>
          <w:color w:val="000000" w:themeColor="text1"/>
          <w:lang w:val="en-GB" w:eastAsia="fr-FR"/>
        </w:rPr>
        <w:t xml:space="preserve">implies damage to </w:t>
      </w:r>
      <w:r w:rsidR="00C118BA">
        <w:rPr>
          <w:color w:val="000000" w:themeColor="text1"/>
          <w:lang w:val="en-GB" w:eastAsia="fr-FR"/>
        </w:rPr>
        <w:t xml:space="preserve">employment </w:t>
      </w:r>
      <w:r w:rsidRPr="0040294D">
        <w:rPr>
          <w:color w:val="000000" w:themeColor="text1"/>
          <w:lang w:val="en-GB" w:eastAsia="fr-FR"/>
        </w:rPr>
        <w:t>relationships. This, in turn, directly contributes to employee perception of psychological contract breach (Morrison and Robinson, 1997).</w:t>
      </w:r>
    </w:p>
    <w:p w14:paraId="6147E055" w14:textId="070C2196" w:rsidR="00FD2A48" w:rsidRPr="0040294D" w:rsidRDefault="00FD2A48" w:rsidP="00FD2A48">
      <w:pPr>
        <w:spacing w:line="480" w:lineRule="auto"/>
        <w:ind w:firstLine="284"/>
        <w:jc w:val="both"/>
        <w:rPr>
          <w:color w:val="000000" w:themeColor="text1"/>
          <w:lang w:val="en-GB" w:eastAsia="zh-CN"/>
        </w:rPr>
      </w:pPr>
      <w:r w:rsidRPr="0040294D">
        <w:rPr>
          <w:color w:val="000000" w:themeColor="text1"/>
          <w:lang w:val="en-GB" w:eastAsia="zh-CN"/>
        </w:rPr>
        <w:t xml:space="preserve">In </w:t>
      </w:r>
      <w:r w:rsidR="0035146A" w:rsidRPr="0040294D">
        <w:rPr>
          <w:color w:val="000000" w:themeColor="text1"/>
          <w:lang w:val="en-GB" w:eastAsia="zh-CN"/>
        </w:rPr>
        <w:t xml:space="preserve">such a </w:t>
      </w:r>
      <w:r w:rsidRPr="0040294D">
        <w:rPr>
          <w:color w:val="000000" w:themeColor="text1"/>
          <w:lang w:val="en-GB" w:eastAsia="zh-CN"/>
        </w:rPr>
        <w:t xml:space="preserve">situation, if the acquirer does not divest, it may either decide to make difficult trade-offs and cut costs in other areas to support the excessive costs required for retaining high </w:t>
      </w:r>
      <w:r w:rsidR="00FA1DA4">
        <w:rPr>
          <w:color w:val="000000" w:themeColor="text1"/>
          <w:lang w:val="en-GB" w:eastAsia="zh-CN"/>
        </w:rPr>
        <w:t>HRM-</w:t>
      </w:r>
      <w:r w:rsidR="00FA1DA4">
        <w:rPr>
          <w:color w:val="000000" w:themeColor="text1"/>
          <w:lang w:val="en-GB" w:eastAsia="zh-CN"/>
        </w:rPr>
        <w:lastRenderedPageBreak/>
        <w:t>quality</w:t>
      </w:r>
      <w:r w:rsidRPr="0040294D">
        <w:rPr>
          <w:color w:val="000000" w:themeColor="text1"/>
          <w:lang w:val="en-GB" w:eastAsia="zh-CN"/>
        </w:rPr>
        <w:t xml:space="preserve"> throughout the acquisition process</w:t>
      </w:r>
      <w:r w:rsidRPr="0040294D">
        <w:rPr>
          <w:color w:val="000000" w:themeColor="text1"/>
          <w:shd w:val="clear" w:color="auto" w:fill="FFFFFF"/>
          <w:lang w:val="en-GB"/>
        </w:rPr>
        <w:t xml:space="preserve"> (Gomes, Angwin, Peter, and </w:t>
      </w:r>
      <w:proofErr w:type="spellStart"/>
      <w:r w:rsidRPr="0040294D">
        <w:rPr>
          <w:color w:val="000000" w:themeColor="text1"/>
          <w:shd w:val="clear" w:color="auto" w:fill="FFFFFF"/>
          <w:lang w:val="en-GB"/>
        </w:rPr>
        <w:t>Mellahi</w:t>
      </w:r>
      <w:proofErr w:type="spellEnd"/>
      <w:r w:rsidRPr="0040294D">
        <w:rPr>
          <w:color w:val="000000" w:themeColor="text1"/>
          <w:shd w:val="clear" w:color="auto" w:fill="FFFFFF"/>
          <w:lang w:val="en-GB"/>
        </w:rPr>
        <w:t>, 2012)</w:t>
      </w:r>
      <w:r w:rsidRPr="0040294D">
        <w:rPr>
          <w:color w:val="000000" w:themeColor="text1"/>
          <w:lang w:val="en-GB" w:eastAsia="zh-CN"/>
        </w:rPr>
        <w:t xml:space="preserve"> or</w:t>
      </w:r>
      <w:r w:rsidR="0035146A" w:rsidRPr="0040294D">
        <w:rPr>
          <w:color w:val="000000" w:themeColor="text1"/>
          <w:lang w:val="en-GB" w:eastAsia="zh-CN"/>
        </w:rPr>
        <w:t>,</w:t>
      </w:r>
      <w:r w:rsidRPr="0040294D">
        <w:rPr>
          <w:color w:val="000000" w:themeColor="text1"/>
          <w:lang w:val="en-GB" w:eastAsia="zh-CN"/>
        </w:rPr>
        <w:t xml:space="preserve"> instead</w:t>
      </w:r>
      <w:r w:rsidR="0035146A" w:rsidRPr="0040294D">
        <w:rPr>
          <w:color w:val="000000" w:themeColor="text1"/>
          <w:lang w:val="en-GB" w:eastAsia="zh-CN"/>
        </w:rPr>
        <w:t>,</w:t>
      </w:r>
      <w:r w:rsidRPr="0040294D">
        <w:rPr>
          <w:color w:val="000000" w:themeColor="text1"/>
          <w:lang w:val="en-GB" w:eastAsia="zh-CN"/>
        </w:rPr>
        <w:t xml:space="preserve"> to lower its HRM standards. The first option may cause various operational problems and both alternatives are highly likely to cause employee discontentment (</w:t>
      </w:r>
      <w:r w:rsidRPr="0040294D">
        <w:rPr>
          <w:color w:val="000000" w:themeColor="text1"/>
          <w:lang w:val="en-GB"/>
        </w:rPr>
        <w:t xml:space="preserve">Correia </w:t>
      </w:r>
      <w:r w:rsidRPr="00FF3FE9">
        <w:rPr>
          <w:color w:val="000000" w:themeColor="text1"/>
          <w:lang w:val="en-GB"/>
        </w:rPr>
        <w:t>et al., 2013</w:t>
      </w:r>
      <w:r w:rsidRPr="0040294D">
        <w:rPr>
          <w:color w:val="000000" w:themeColor="text1"/>
          <w:lang w:val="en-GB"/>
        </w:rPr>
        <w:t>)</w:t>
      </w:r>
      <w:r w:rsidRPr="0040294D">
        <w:rPr>
          <w:color w:val="000000" w:themeColor="text1"/>
          <w:lang w:val="en-GB" w:eastAsia="zh-CN"/>
        </w:rPr>
        <w:t xml:space="preserve">. Stated differently, whatever the tactics of the </w:t>
      </w:r>
      <w:r w:rsidR="00313467" w:rsidRPr="0040294D">
        <w:rPr>
          <w:color w:val="000000" w:themeColor="text1"/>
          <w:lang w:val="en-GB" w:eastAsia="zh-CN"/>
        </w:rPr>
        <w:t>acquirer</w:t>
      </w:r>
      <w:r w:rsidRPr="0040294D">
        <w:rPr>
          <w:color w:val="000000" w:themeColor="text1"/>
          <w:lang w:val="en-GB" w:eastAsia="zh-CN"/>
        </w:rPr>
        <w:t xml:space="preserve">, we expect negative consequences that </w:t>
      </w:r>
      <w:r w:rsidR="0035146A" w:rsidRPr="0040294D">
        <w:rPr>
          <w:color w:val="000000" w:themeColor="text1"/>
          <w:lang w:val="en-GB" w:eastAsia="zh-CN"/>
        </w:rPr>
        <w:t xml:space="preserve">will </w:t>
      </w:r>
      <w:r w:rsidRPr="0040294D">
        <w:rPr>
          <w:color w:val="000000" w:themeColor="text1"/>
          <w:lang w:val="en-GB" w:eastAsia="zh-CN"/>
        </w:rPr>
        <w:t>further increase the likelihood of failure and divestment, amplifying the U-shaped relationship.</w:t>
      </w:r>
    </w:p>
    <w:p w14:paraId="1D760914" w14:textId="63F86E7B" w:rsidR="00FD2A48" w:rsidRPr="0040294D" w:rsidRDefault="00FD2A48" w:rsidP="00C118BA">
      <w:pPr>
        <w:spacing w:line="480" w:lineRule="auto"/>
        <w:ind w:firstLine="284"/>
        <w:jc w:val="both"/>
        <w:rPr>
          <w:color w:val="000000" w:themeColor="text1"/>
          <w:lang w:val="en-GB" w:eastAsia="zh-CN"/>
        </w:rPr>
      </w:pPr>
      <w:r w:rsidRPr="0040294D">
        <w:rPr>
          <w:color w:val="000000" w:themeColor="text1"/>
          <w:lang w:val="en-GB" w:eastAsia="zh-CN"/>
        </w:rPr>
        <w:t xml:space="preserve">On the other hand, in a situation of high </w:t>
      </w:r>
      <w:r w:rsidR="00FA1DA4">
        <w:rPr>
          <w:color w:val="000000" w:themeColor="text1"/>
          <w:lang w:val="en-GB" w:eastAsia="zh-CN"/>
        </w:rPr>
        <w:t>financial</w:t>
      </w:r>
      <w:r w:rsidR="00F975E6">
        <w:rPr>
          <w:color w:val="000000" w:themeColor="text1"/>
          <w:lang w:val="en-GB" w:eastAsia="zh-CN"/>
        </w:rPr>
        <w:t xml:space="preserve"> </w:t>
      </w:r>
      <w:r w:rsidR="00FA1DA4">
        <w:rPr>
          <w:color w:val="000000" w:themeColor="text1"/>
          <w:lang w:val="en-GB" w:eastAsia="zh-CN"/>
        </w:rPr>
        <w:t>slack</w:t>
      </w:r>
      <w:r w:rsidRPr="0040294D">
        <w:rPr>
          <w:color w:val="000000" w:themeColor="text1"/>
          <w:lang w:val="en-GB" w:eastAsia="zh-CN"/>
        </w:rPr>
        <w:t>, excessive costs/barriers are easily dealt with and high</w:t>
      </w:r>
      <w:r w:rsidR="00670064" w:rsidRPr="0040294D">
        <w:rPr>
          <w:color w:val="000000" w:themeColor="text1"/>
          <w:lang w:val="en-GB" w:eastAsia="zh-CN"/>
        </w:rPr>
        <w:t>-</w:t>
      </w:r>
      <w:r w:rsidRPr="0040294D">
        <w:rPr>
          <w:color w:val="000000" w:themeColor="text1"/>
          <w:lang w:val="en-GB" w:eastAsia="zh-CN"/>
        </w:rPr>
        <w:t xml:space="preserve">quality </w:t>
      </w:r>
      <w:r w:rsidR="00670064" w:rsidRPr="0040294D">
        <w:rPr>
          <w:color w:val="000000" w:themeColor="text1"/>
          <w:lang w:val="en-GB" w:eastAsia="zh-CN"/>
        </w:rPr>
        <w:t xml:space="preserve">HRM </w:t>
      </w:r>
      <w:r w:rsidRPr="0040294D">
        <w:rPr>
          <w:color w:val="000000" w:themeColor="text1"/>
          <w:lang w:val="en-GB" w:eastAsia="zh-CN"/>
        </w:rPr>
        <w:t xml:space="preserve">acquirers are less likely to divest than under low-slack conditions. Thus, we predict that </w:t>
      </w:r>
      <w:r w:rsidRPr="0040294D">
        <w:rPr>
          <w:color w:val="000000" w:themeColor="text1"/>
          <w:lang w:val="en-GB"/>
        </w:rPr>
        <w:t xml:space="preserve">a low level of </w:t>
      </w:r>
      <w:r w:rsidR="00FA1DA4">
        <w:rPr>
          <w:color w:val="000000" w:themeColor="text1"/>
          <w:lang w:val="en-GB"/>
        </w:rPr>
        <w:t>financial</w:t>
      </w:r>
      <w:r w:rsidR="00F975E6">
        <w:rPr>
          <w:color w:val="000000" w:themeColor="text1"/>
          <w:lang w:val="en-GB"/>
        </w:rPr>
        <w:t xml:space="preserve"> </w:t>
      </w:r>
      <w:r w:rsidR="00FA1DA4">
        <w:rPr>
          <w:color w:val="000000" w:themeColor="text1"/>
          <w:lang w:val="en-GB"/>
        </w:rPr>
        <w:t>slack</w:t>
      </w:r>
      <w:r w:rsidRPr="0040294D">
        <w:rPr>
          <w:color w:val="000000" w:themeColor="text1"/>
          <w:lang w:val="en-GB"/>
        </w:rPr>
        <w:t xml:space="preserve"> </w:t>
      </w:r>
      <w:r w:rsidR="0035146A" w:rsidRPr="0040294D">
        <w:rPr>
          <w:color w:val="000000" w:themeColor="text1"/>
          <w:lang w:val="en-GB"/>
        </w:rPr>
        <w:t xml:space="preserve">will </w:t>
      </w:r>
      <w:r w:rsidRPr="0040294D">
        <w:rPr>
          <w:color w:val="000000" w:themeColor="text1"/>
          <w:lang w:val="en-GB"/>
        </w:rPr>
        <w:t>amplif</w:t>
      </w:r>
      <w:r w:rsidR="0035146A" w:rsidRPr="0040294D">
        <w:rPr>
          <w:color w:val="000000" w:themeColor="text1"/>
          <w:lang w:val="en-GB"/>
        </w:rPr>
        <w:t>y</w:t>
      </w:r>
      <w:r w:rsidRPr="0040294D">
        <w:rPr>
          <w:color w:val="000000" w:themeColor="text1"/>
          <w:lang w:val="en-GB"/>
        </w:rPr>
        <w:t xml:space="preserve"> the U-shaped relationship</w:t>
      </w:r>
      <w:r w:rsidR="0035146A" w:rsidRPr="0040294D">
        <w:rPr>
          <w:color w:val="000000" w:themeColor="text1"/>
          <w:lang w:val="en-GB"/>
        </w:rPr>
        <w:t>,</w:t>
      </w:r>
      <w:r w:rsidRPr="0040294D">
        <w:rPr>
          <w:color w:val="000000" w:themeColor="text1"/>
          <w:lang w:val="en-GB"/>
        </w:rPr>
        <w:t xml:space="preserve"> whereas a high level of </w:t>
      </w:r>
      <w:r w:rsidR="00FA1DA4">
        <w:rPr>
          <w:color w:val="000000" w:themeColor="text1"/>
          <w:lang w:val="en-GB"/>
        </w:rPr>
        <w:t>financial</w:t>
      </w:r>
      <w:r w:rsidR="00F975E6">
        <w:rPr>
          <w:color w:val="000000" w:themeColor="text1"/>
          <w:lang w:val="en-GB"/>
        </w:rPr>
        <w:t xml:space="preserve"> </w:t>
      </w:r>
      <w:r w:rsidR="00FA1DA4">
        <w:rPr>
          <w:color w:val="000000" w:themeColor="text1"/>
          <w:lang w:val="en-GB"/>
        </w:rPr>
        <w:t>slack</w:t>
      </w:r>
      <w:r w:rsidRPr="0040294D">
        <w:rPr>
          <w:color w:val="000000" w:themeColor="text1"/>
          <w:lang w:val="en-GB"/>
        </w:rPr>
        <w:t xml:space="preserve"> </w:t>
      </w:r>
      <w:r w:rsidR="0035146A" w:rsidRPr="0040294D">
        <w:rPr>
          <w:color w:val="000000" w:themeColor="text1"/>
          <w:lang w:val="en-GB"/>
        </w:rPr>
        <w:t xml:space="preserve">will </w:t>
      </w:r>
      <w:r w:rsidRPr="0040294D">
        <w:rPr>
          <w:color w:val="000000" w:themeColor="text1"/>
          <w:lang w:val="en-GB"/>
        </w:rPr>
        <w:t>attenuate it.</w:t>
      </w:r>
    </w:p>
    <w:p w14:paraId="544702D4" w14:textId="36000772" w:rsidR="00FD2A48" w:rsidRPr="0040294D" w:rsidRDefault="00FD2A48" w:rsidP="00FD2A48">
      <w:pPr>
        <w:spacing w:line="480" w:lineRule="auto"/>
        <w:ind w:left="851" w:right="855"/>
        <w:jc w:val="both"/>
        <w:rPr>
          <w:i/>
          <w:iCs/>
          <w:color w:val="000000" w:themeColor="text1"/>
          <w:lang w:val="en-GB"/>
        </w:rPr>
      </w:pPr>
      <w:r w:rsidRPr="0040294D">
        <w:rPr>
          <w:bCs/>
          <w:color w:val="000000" w:themeColor="text1"/>
          <w:lang w:val="en-GB"/>
        </w:rPr>
        <w:t xml:space="preserve">Hypothesis 2: </w:t>
      </w:r>
      <w:r w:rsidRPr="0040294D">
        <w:rPr>
          <w:i/>
          <w:iCs/>
          <w:color w:val="000000" w:themeColor="text1"/>
          <w:lang w:val="en-GB"/>
        </w:rPr>
        <w:t xml:space="preserve">The level of </w:t>
      </w:r>
      <w:r w:rsidR="00FA1DA4">
        <w:rPr>
          <w:i/>
          <w:iCs/>
          <w:color w:val="000000" w:themeColor="text1"/>
          <w:lang w:val="en-GB"/>
        </w:rPr>
        <w:t>financial</w:t>
      </w:r>
      <w:r w:rsidR="00F80BED">
        <w:rPr>
          <w:i/>
          <w:iCs/>
          <w:color w:val="000000" w:themeColor="text1"/>
          <w:lang w:val="en-GB"/>
        </w:rPr>
        <w:t xml:space="preserve"> </w:t>
      </w:r>
      <w:r w:rsidR="00FA1DA4">
        <w:rPr>
          <w:i/>
          <w:iCs/>
          <w:color w:val="000000" w:themeColor="text1"/>
          <w:lang w:val="en-GB"/>
        </w:rPr>
        <w:t>slack</w:t>
      </w:r>
      <w:r w:rsidRPr="0040294D">
        <w:rPr>
          <w:i/>
          <w:iCs/>
          <w:color w:val="000000" w:themeColor="text1"/>
          <w:lang w:val="en-GB"/>
        </w:rPr>
        <w:t xml:space="preserve"> of the acquirer has a moderating effect on the U-shaped relationship between </w:t>
      </w:r>
      <w:r w:rsidR="00FA1DA4">
        <w:rPr>
          <w:i/>
          <w:iCs/>
          <w:color w:val="000000" w:themeColor="text1"/>
          <w:lang w:val="en-GB"/>
        </w:rPr>
        <w:t>HRM-quality</w:t>
      </w:r>
      <w:r w:rsidRPr="0040294D">
        <w:rPr>
          <w:i/>
          <w:iCs/>
          <w:color w:val="000000" w:themeColor="text1"/>
          <w:lang w:val="en-GB"/>
        </w:rPr>
        <w:t xml:space="preserve"> and the likelihood of </w:t>
      </w:r>
      <w:r w:rsidR="00FA1DA4">
        <w:rPr>
          <w:i/>
          <w:iCs/>
          <w:color w:val="000000" w:themeColor="text1"/>
          <w:lang w:val="en-GB"/>
        </w:rPr>
        <w:t>cross-border</w:t>
      </w:r>
      <w:r w:rsidR="00187E65">
        <w:rPr>
          <w:i/>
          <w:iCs/>
          <w:color w:val="000000" w:themeColor="text1"/>
          <w:lang w:val="en-GB"/>
        </w:rPr>
        <w:t xml:space="preserve"> </w:t>
      </w:r>
      <w:r w:rsidR="00FA1DA4">
        <w:rPr>
          <w:i/>
          <w:iCs/>
          <w:color w:val="000000" w:themeColor="text1"/>
          <w:lang w:val="en-GB"/>
        </w:rPr>
        <w:t>acquisition</w:t>
      </w:r>
      <w:r w:rsidRPr="0040294D">
        <w:rPr>
          <w:i/>
          <w:iCs/>
          <w:color w:val="000000" w:themeColor="text1"/>
          <w:lang w:val="en-GB"/>
        </w:rPr>
        <w:t xml:space="preserve"> divestment, whereby this relationship is stronger (weaker) when slack is low (high).</w:t>
      </w:r>
    </w:p>
    <w:p w14:paraId="33EB8EDF" w14:textId="44CB5F45" w:rsidR="00FD2A48" w:rsidRPr="0040294D" w:rsidRDefault="00FD2A48" w:rsidP="00F975E6">
      <w:pPr>
        <w:spacing w:line="480" w:lineRule="auto"/>
        <w:ind w:firstLine="284"/>
        <w:jc w:val="both"/>
        <w:outlineLvl w:val="0"/>
        <w:rPr>
          <w:lang w:val="en-GB"/>
        </w:rPr>
      </w:pPr>
      <w:r w:rsidRPr="0040294D">
        <w:rPr>
          <w:color w:val="000000" w:themeColor="text1"/>
          <w:lang w:val="en-GB" w:eastAsia="zh-CN"/>
        </w:rPr>
        <w:t xml:space="preserve">Figure 1 </w:t>
      </w:r>
      <w:r w:rsidR="00F975E6" w:rsidRPr="0040294D">
        <w:rPr>
          <w:color w:val="000000" w:themeColor="text1"/>
          <w:lang w:val="en-GB" w:eastAsia="zh-CN"/>
        </w:rPr>
        <w:t>summari</w:t>
      </w:r>
      <w:r w:rsidR="00F975E6">
        <w:rPr>
          <w:color w:val="000000" w:themeColor="text1"/>
          <w:lang w:val="en-GB" w:eastAsia="zh-CN"/>
        </w:rPr>
        <w:t>z</w:t>
      </w:r>
      <w:r w:rsidR="00F975E6" w:rsidRPr="0040294D">
        <w:rPr>
          <w:color w:val="000000" w:themeColor="text1"/>
          <w:lang w:val="en-GB" w:eastAsia="zh-CN"/>
        </w:rPr>
        <w:t xml:space="preserve">es </w:t>
      </w:r>
      <w:r w:rsidRPr="0040294D">
        <w:rPr>
          <w:color w:val="000000" w:themeColor="text1"/>
          <w:lang w:val="en-GB" w:eastAsia="zh-CN"/>
        </w:rPr>
        <w:t>the causal relationships that we establish</w:t>
      </w:r>
      <w:r w:rsidR="0035146A" w:rsidRPr="0040294D">
        <w:rPr>
          <w:color w:val="000000" w:themeColor="text1"/>
          <w:lang w:val="en-GB" w:eastAsia="zh-CN"/>
        </w:rPr>
        <w:t>ed</w:t>
      </w:r>
      <w:r w:rsidRPr="0040294D">
        <w:rPr>
          <w:color w:val="000000" w:themeColor="text1"/>
          <w:lang w:val="en-GB" w:eastAsia="zh-CN"/>
        </w:rPr>
        <w:t xml:space="preserve"> in our hypotheses, </w:t>
      </w:r>
      <w:r w:rsidR="0035146A" w:rsidRPr="0040294D">
        <w:rPr>
          <w:color w:val="000000" w:themeColor="text1"/>
          <w:lang w:val="en-GB" w:eastAsia="zh-CN"/>
        </w:rPr>
        <w:t>as</w:t>
      </w:r>
      <w:r w:rsidRPr="0040294D">
        <w:rPr>
          <w:color w:val="000000" w:themeColor="text1"/>
          <w:lang w:val="en-GB" w:eastAsia="zh-CN"/>
        </w:rPr>
        <w:t xml:space="preserve"> described above.</w:t>
      </w:r>
    </w:p>
    <w:p w14:paraId="77AE856C" w14:textId="65476576" w:rsidR="00FD2A48" w:rsidRPr="0040294D" w:rsidRDefault="00FD2A48" w:rsidP="00FD2A48">
      <w:pPr>
        <w:spacing w:line="480" w:lineRule="auto"/>
        <w:jc w:val="center"/>
        <w:rPr>
          <w:b/>
          <w:bCs/>
          <w:i/>
          <w:color w:val="000000" w:themeColor="text1"/>
          <w:lang w:val="en-GB"/>
        </w:rPr>
      </w:pPr>
      <w:r w:rsidRPr="0040294D">
        <w:rPr>
          <w:b/>
          <w:bCs/>
          <w:i/>
          <w:color w:val="000000" w:themeColor="text1"/>
          <w:lang w:val="en-GB"/>
        </w:rPr>
        <w:t>Insert Figure 1 About Here</w:t>
      </w:r>
    </w:p>
    <w:p w14:paraId="57C0976F" w14:textId="77777777" w:rsidR="00FF3FE9" w:rsidRPr="00CF520F" w:rsidRDefault="00FF3FE9" w:rsidP="00CF520F">
      <w:pPr>
        <w:spacing w:line="480" w:lineRule="auto"/>
        <w:ind w:firstLine="284"/>
        <w:jc w:val="both"/>
        <w:rPr>
          <w:bCs/>
          <w:color w:val="000000" w:themeColor="text1"/>
          <w:lang w:val="en-GB"/>
        </w:rPr>
      </w:pPr>
    </w:p>
    <w:p w14:paraId="7A0D56F5" w14:textId="1C888E19" w:rsidR="00FD2A48" w:rsidRPr="0040294D" w:rsidRDefault="00FD2A48" w:rsidP="00FD2A48">
      <w:pPr>
        <w:spacing w:line="480" w:lineRule="auto"/>
        <w:outlineLvl w:val="0"/>
        <w:rPr>
          <w:b/>
          <w:bCs/>
          <w:color w:val="000000" w:themeColor="text1"/>
          <w:sz w:val="28"/>
          <w:szCs w:val="28"/>
          <w:lang w:val="en-GB"/>
        </w:rPr>
      </w:pPr>
      <w:r w:rsidRPr="0040294D">
        <w:rPr>
          <w:b/>
          <w:bCs/>
          <w:color w:val="000000" w:themeColor="text1"/>
          <w:sz w:val="28"/>
          <w:szCs w:val="28"/>
          <w:lang w:val="en-GB"/>
        </w:rPr>
        <w:t>Research Method</w:t>
      </w:r>
    </w:p>
    <w:p w14:paraId="6CCDE445" w14:textId="77777777" w:rsidR="00FD2A48" w:rsidRPr="0040294D" w:rsidRDefault="00FD2A48" w:rsidP="00FD2A48">
      <w:pPr>
        <w:pStyle w:val="Listecouleur-Accent11"/>
        <w:spacing w:line="480" w:lineRule="auto"/>
        <w:ind w:left="0"/>
        <w:jc w:val="both"/>
        <w:rPr>
          <w:b/>
          <w:bCs/>
          <w:i/>
          <w:color w:val="000000" w:themeColor="text1"/>
        </w:rPr>
      </w:pPr>
      <w:r w:rsidRPr="0040294D">
        <w:rPr>
          <w:b/>
          <w:bCs/>
          <w:i/>
          <w:color w:val="000000" w:themeColor="text1"/>
        </w:rPr>
        <w:t>Sample and Event History Procedure</w:t>
      </w:r>
    </w:p>
    <w:p w14:paraId="31BB213B" w14:textId="5B8149C4" w:rsidR="00FD2A48" w:rsidRPr="0040294D" w:rsidRDefault="00FD2A48" w:rsidP="00C118BA">
      <w:pPr>
        <w:pStyle w:val="Listecouleur-Accent11"/>
        <w:widowControl w:val="0"/>
        <w:spacing w:line="480" w:lineRule="auto"/>
        <w:ind w:left="0"/>
        <w:jc w:val="both"/>
        <w:rPr>
          <w:color w:val="000000" w:themeColor="text1"/>
        </w:rPr>
      </w:pPr>
      <w:r w:rsidRPr="0040294D">
        <w:rPr>
          <w:bCs/>
          <w:color w:val="000000" w:themeColor="text1"/>
        </w:rPr>
        <w:t>In order to examine the hypotheses, we constituted a sample of 488 US acquisitions conducted by 59 French firm</w:t>
      </w:r>
      <w:r w:rsidRPr="0040294D">
        <w:rPr>
          <w:color w:val="000000" w:themeColor="text1"/>
        </w:rPr>
        <w:t xml:space="preserve">s during the period 2000–2016 and applied an event history procedure to this sample. We chose to focus on US acquisitions, since the US has consistently been the leading recipient of French direct </w:t>
      </w:r>
      <w:r w:rsidR="00C118BA">
        <w:rPr>
          <w:color w:val="000000" w:themeColor="text1"/>
        </w:rPr>
        <w:t xml:space="preserve">overseas </w:t>
      </w:r>
      <w:r w:rsidRPr="0040294D">
        <w:rPr>
          <w:color w:val="000000" w:themeColor="text1"/>
        </w:rPr>
        <w:t>investment. Besides, an exclusive focus on US acquisitions help</w:t>
      </w:r>
      <w:r w:rsidR="00BC71AA" w:rsidRPr="0040294D">
        <w:rPr>
          <w:color w:val="000000" w:themeColor="text1"/>
        </w:rPr>
        <w:t>ed</w:t>
      </w:r>
      <w:r w:rsidRPr="0040294D">
        <w:rPr>
          <w:color w:val="000000" w:themeColor="text1"/>
        </w:rPr>
        <w:t xml:space="preserve"> to</w:t>
      </w:r>
      <w:r w:rsidR="0040294D">
        <w:rPr>
          <w:color w:val="000000" w:themeColor="text1"/>
        </w:rPr>
        <w:t xml:space="preserve"> ‘</w:t>
      </w:r>
      <w:r w:rsidRPr="0040294D">
        <w:rPr>
          <w:i/>
          <w:color w:val="000000" w:themeColor="text1"/>
        </w:rPr>
        <w:t xml:space="preserve">avoid </w:t>
      </w:r>
      <w:r w:rsidRPr="0040294D">
        <w:rPr>
          <w:i/>
          <w:color w:val="000000" w:themeColor="text1"/>
        </w:rPr>
        <w:lastRenderedPageBreak/>
        <w:t>potentially confounding factors such as country risks and different institutional arrangements (e.g., legal and regulatory issues related to mergers and acquisitions)</w:t>
      </w:r>
      <w:r w:rsidR="0040294D">
        <w:rPr>
          <w:color w:val="000000" w:themeColor="text1"/>
        </w:rPr>
        <w:t>’</w:t>
      </w:r>
      <w:r w:rsidRPr="0040294D">
        <w:rPr>
          <w:color w:val="000000" w:themeColor="text1"/>
        </w:rPr>
        <w:t xml:space="preserve"> (Hayward and Shimizu, 2006, p. 545).</w:t>
      </w:r>
    </w:p>
    <w:p w14:paraId="72F69924" w14:textId="362F71B8" w:rsidR="00FD2A48" w:rsidRPr="0040294D" w:rsidRDefault="00C118BA" w:rsidP="00C118BA">
      <w:pPr>
        <w:pStyle w:val="Listecouleur-Accent11"/>
        <w:widowControl w:val="0"/>
        <w:spacing w:line="480" w:lineRule="auto"/>
        <w:ind w:left="0" w:firstLine="284"/>
        <w:jc w:val="both"/>
        <w:rPr>
          <w:bCs/>
          <w:color w:val="000000" w:themeColor="text1"/>
        </w:rPr>
      </w:pPr>
      <w:r>
        <w:rPr>
          <w:color w:val="000000" w:themeColor="text1"/>
        </w:rPr>
        <w:t>The</w:t>
      </w:r>
      <w:r w:rsidR="00FD2A48" w:rsidRPr="0040294D">
        <w:rPr>
          <w:color w:val="000000" w:themeColor="text1"/>
        </w:rPr>
        <w:t xml:space="preserve"> sample was obtained by using </w:t>
      </w:r>
      <w:r w:rsidR="00FD2A48" w:rsidRPr="0040294D">
        <w:rPr>
          <w:bCs/>
          <w:color w:val="000000" w:themeColor="text1"/>
        </w:rPr>
        <w:t xml:space="preserve">a two-step selection procedure. In the first step, we drew up </w:t>
      </w:r>
      <w:r w:rsidR="00BC71AA" w:rsidRPr="0040294D">
        <w:rPr>
          <w:bCs/>
          <w:color w:val="000000" w:themeColor="text1"/>
        </w:rPr>
        <w:t xml:space="preserve">an </w:t>
      </w:r>
      <w:r w:rsidR="00FD2A48" w:rsidRPr="0040294D">
        <w:rPr>
          <w:bCs/>
          <w:color w:val="000000" w:themeColor="text1"/>
        </w:rPr>
        <w:t xml:space="preserve">exhaustive list of French firms reported in the </w:t>
      </w:r>
      <w:proofErr w:type="spellStart"/>
      <w:r w:rsidR="00FD2A48" w:rsidRPr="0040294D">
        <w:rPr>
          <w:bCs/>
          <w:color w:val="000000" w:themeColor="text1"/>
        </w:rPr>
        <w:t>Vigeo</w:t>
      </w:r>
      <w:proofErr w:type="spellEnd"/>
      <w:r w:rsidR="00FD2A48" w:rsidRPr="0040294D">
        <w:rPr>
          <w:bCs/>
          <w:color w:val="000000" w:themeColor="text1"/>
        </w:rPr>
        <w:t xml:space="preserve"> database. </w:t>
      </w:r>
      <w:proofErr w:type="spellStart"/>
      <w:r w:rsidR="00FD2A48" w:rsidRPr="0040294D">
        <w:rPr>
          <w:color w:val="000000" w:themeColor="text1"/>
        </w:rPr>
        <w:t>Vigeo</w:t>
      </w:r>
      <w:proofErr w:type="spellEnd"/>
      <w:r w:rsidR="00FD2A48" w:rsidRPr="0040294D">
        <w:rPr>
          <w:color w:val="000000" w:themeColor="text1"/>
        </w:rPr>
        <w:t xml:space="preserve"> is a leading expert in ESG </w:t>
      </w:r>
      <w:r w:rsidR="00353983" w:rsidRPr="0040294D">
        <w:rPr>
          <w:color w:val="000000" w:themeColor="text1"/>
        </w:rPr>
        <w:t xml:space="preserve">(environmental, social and governance) </w:t>
      </w:r>
      <w:r w:rsidR="00FD2A48" w:rsidRPr="0040294D">
        <w:rPr>
          <w:color w:val="000000" w:themeColor="text1"/>
        </w:rPr>
        <w:t xml:space="preserve">ratings and extra-financial analysis of French firms (Avetisyan and </w:t>
      </w:r>
      <w:proofErr w:type="spellStart"/>
      <w:r w:rsidR="00FD2A48" w:rsidRPr="0040294D">
        <w:rPr>
          <w:color w:val="000000" w:themeColor="text1"/>
        </w:rPr>
        <w:t>Hockerts</w:t>
      </w:r>
      <w:proofErr w:type="spellEnd"/>
      <w:r w:rsidR="00FD2A48" w:rsidRPr="0040294D">
        <w:rPr>
          <w:color w:val="000000" w:themeColor="text1"/>
        </w:rPr>
        <w:t xml:space="preserve">, 2017; </w:t>
      </w:r>
      <w:proofErr w:type="spellStart"/>
      <w:r w:rsidR="00FD2A48" w:rsidRPr="0040294D">
        <w:rPr>
          <w:color w:val="000000" w:themeColor="text1"/>
        </w:rPr>
        <w:t>Déjean</w:t>
      </w:r>
      <w:proofErr w:type="spellEnd"/>
      <w:r w:rsidR="00FD2A48" w:rsidRPr="0040294D">
        <w:rPr>
          <w:color w:val="000000" w:themeColor="text1"/>
        </w:rPr>
        <w:t xml:space="preserve">, Gond, and </w:t>
      </w:r>
      <w:proofErr w:type="spellStart"/>
      <w:r w:rsidR="00FD2A48" w:rsidRPr="0040294D">
        <w:rPr>
          <w:color w:val="000000" w:themeColor="text1"/>
        </w:rPr>
        <w:t>Leca</w:t>
      </w:r>
      <w:proofErr w:type="spellEnd"/>
      <w:r w:rsidR="00FD2A48" w:rsidRPr="0040294D">
        <w:rPr>
          <w:color w:val="000000" w:themeColor="text1"/>
        </w:rPr>
        <w:t xml:space="preserve">, 2004). As a rating agency, </w:t>
      </w:r>
      <w:proofErr w:type="spellStart"/>
      <w:r w:rsidR="00FD2A48" w:rsidRPr="0040294D">
        <w:rPr>
          <w:color w:val="000000" w:themeColor="text1"/>
        </w:rPr>
        <w:t>Vigeo</w:t>
      </w:r>
      <w:proofErr w:type="spellEnd"/>
      <w:r w:rsidR="00FD2A48" w:rsidRPr="0040294D">
        <w:rPr>
          <w:color w:val="000000" w:themeColor="text1"/>
        </w:rPr>
        <w:t xml:space="preserve"> has the most comprehensive listing of French firms in its database and started compiling </w:t>
      </w:r>
      <w:r w:rsidR="00353983" w:rsidRPr="0040294D">
        <w:rPr>
          <w:color w:val="000000" w:themeColor="text1"/>
        </w:rPr>
        <w:t>Corporate Social Responsibility (</w:t>
      </w:r>
      <w:r w:rsidR="00FD2A48" w:rsidRPr="0040294D">
        <w:rPr>
          <w:color w:val="000000" w:themeColor="text1"/>
        </w:rPr>
        <w:t>CSR</w:t>
      </w:r>
      <w:r w:rsidR="00353983" w:rsidRPr="0040294D">
        <w:rPr>
          <w:color w:val="000000" w:themeColor="text1"/>
        </w:rPr>
        <w:t>) data,</w:t>
      </w:r>
      <w:r w:rsidR="00FD2A48" w:rsidRPr="0040294D">
        <w:rPr>
          <w:color w:val="000000" w:themeColor="text1"/>
        </w:rPr>
        <w:t xml:space="preserve"> including </w:t>
      </w:r>
      <w:r w:rsidR="00FA1DA4">
        <w:rPr>
          <w:color w:val="000000" w:themeColor="text1"/>
        </w:rPr>
        <w:t>HRM-quality</w:t>
      </w:r>
      <w:r w:rsidR="00353983" w:rsidRPr="0040294D">
        <w:rPr>
          <w:color w:val="000000" w:themeColor="text1"/>
        </w:rPr>
        <w:t>,</w:t>
      </w:r>
      <w:r w:rsidR="00FD2A48" w:rsidRPr="0040294D">
        <w:rPr>
          <w:color w:val="000000" w:themeColor="text1"/>
        </w:rPr>
        <w:t xml:space="preserve"> as early as 1999. </w:t>
      </w:r>
      <w:proofErr w:type="spellStart"/>
      <w:r>
        <w:rPr>
          <w:color w:val="000000" w:themeColor="text1"/>
        </w:rPr>
        <w:t>THis</w:t>
      </w:r>
      <w:proofErr w:type="spellEnd"/>
      <w:r w:rsidR="00FD2A48" w:rsidRPr="0040294D">
        <w:rPr>
          <w:color w:val="000000" w:themeColor="text1"/>
        </w:rPr>
        <w:t xml:space="preserve"> database has already been used in several empirical studies (Cavaco and </w:t>
      </w:r>
      <w:proofErr w:type="spellStart"/>
      <w:r w:rsidR="00FD2A48" w:rsidRPr="0040294D">
        <w:rPr>
          <w:color w:val="000000" w:themeColor="text1"/>
        </w:rPr>
        <w:t>Crifo</w:t>
      </w:r>
      <w:proofErr w:type="spellEnd"/>
      <w:r w:rsidR="00FD2A48" w:rsidRPr="0040294D">
        <w:rPr>
          <w:color w:val="000000" w:themeColor="text1"/>
        </w:rPr>
        <w:t xml:space="preserve">, 2014; </w:t>
      </w:r>
      <w:proofErr w:type="spellStart"/>
      <w:r w:rsidR="00FD2A48" w:rsidRPr="0040294D">
        <w:rPr>
          <w:color w:val="000000" w:themeColor="text1"/>
        </w:rPr>
        <w:t>Girerd</w:t>
      </w:r>
      <w:proofErr w:type="spellEnd"/>
      <w:r w:rsidR="00FD2A48" w:rsidRPr="0040294D">
        <w:rPr>
          <w:color w:val="000000" w:themeColor="text1"/>
        </w:rPr>
        <w:t>-Potin and Jimenez-</w:t>
      </w:r>
      <w:proofErr w:type="spellStart"/>
      <w:r w:rsidR="00FD2A48" w:rsidRPr="0040294D">
        <w:rPr>
          <w:color w:val="000000" w:themeColor="text1"/>
        </w:rPr>
        <w:t>Garcès</w:t>
      </w:r>
      <w:proofErr w:type="spellEnd"/>
      <w:r w:rsidR="00FD2A48" w:rsidRPr="0040294D">
        <w:rPr>
          <w:color w:val="000000" w:themeColor="text1"/>
        </w:rPr>
        <w:t xml:space="preserve">, 2014). </w:t>
      </w:r>
      <w:r>
        <w:rPr>
          <w:color w:val="000000" w:themeColor="text1"/>
        </w:rPr>
        <w:t>This focused</w:t>
      </w:r>
      <w:r w:rsidR="00FD2A48" w:rsidRPr="0040294D">
        <w:rPr>
          <w:color w:val="000000" w:themeColor="text1"/>
        </w:rPr>
        <w:t xml:space="preserve"> data collection </w:t>
      </w:r>
      <w:r>
        <w:rPr>
          <w:color w:val="000000" w:themeColor="text1"/>
        </w:rPr>
        <w:t>enabled us</w:t>
      </w:r>
      <w:r w:rsidR="00FD2A48" w:rsidRPr="0040294D">
        <w:rPr>
          <w:bCs/>
          <w:color w:val="000000" w:themeColor="text1"/>
        </w:rPr>
        <w:t xml:space="preserve"> to select potential acquirers </w:t>
      </w:r>
      <w:r w:rsidR="00BC71AA" w:rsidRPr="0040294D">
        <w:rPr>
          <w:bCs/>
          <w:color w:val="000000" w:themeColor="text1"/>
        </w:rPr>
        <w:t xml:space="preserve">about </w:t>
      </w:r>
      <w:r w:rsidR="00FD2A48" w:rsidRPr="0040294D">
        <w:rPr>
          <w:bCs/>
          <w:color w:val="000000" w:themeColor="text1"/>
        </w:rPr>
        <w:t xml:space="preserve">which information </w:t>
      </w:r>
      <w:r w:rsidR="00BC71AA" w:rsidRPr="0040294D">
        <w:rPr>
          <w:bCs/>
          <w:color w:val="000000" w:themeColor="text1"/>
        </w:rPr>
        <w:t xml:space="preserve">relating to </w:t>
      </w:r>
      <w:r w:rsidR="00FA1DA4">
        <w:rPr>
          <w:bCs/>
          <w:color w:val="000000" w:themeColor="text1"/>
        </w:rPr>
        <w:t>HRM-quality</w:t>
      </w:r>
      <w:r w:rsidR="00FD2A48" w:rsidRPr="0040294D">
        <w:rPr>
          <w:bCs/>
          <w:color w:val="000000" w:themeColor="text1"/>
        </w:rPr>
        <w:t xml:space="preserve"> level was available</w:t>
      </w:r>
      <w:r w:rsidR="0040294D">
        <w:rPr>
          <w:bCs/>
          <w:color w:val="000000" w:themeColor="text1"/>
        </w:rPr>
        <w:t>—</w:t>
      </w:r>
      <w:r w:rsidR="00FD2A48" w:rsidRPr="0040294D">
        <w:rPr>
          <w:bCs/>
          <w:color w:val="000000" w:themeColor="text1"/>
        </w:rPr>
        <w:t xml:space="preserve">and </w:t>
      </w:r>
      <w:r w:rsidR="00BC71AA" w:rsidRPr="0040294D">
        <w:rPr>
          <w:bCs/>
          <w:color w:val="000000" w:themeColor="text1"/>
        </w:rPr>
        <w:t xml:space="preserve">was </w:t>
      </w:r>
      <w:r w:rsidR="00FD2A48" w:rsidRPr="0040294D">
        <w:rPr>
          <w:bCs/>
          <w:color w:val="000000" w:themeColor="text1"/>
        </w:rPr>
        <w:t>rated.</w:t>
      </w:r>
    </w:p>
    <w:p w14:paraId="795DE991" w14:textId="58859F19" w:rsidR="00FD2A48" w:rsidRPr="0040294D" w:rsidRDefault="00FD2A48" w:rsidP="00607F07">
      <w:pPr>
        <w:spacing w:line="480" w:lineRule="auto"/>
        <w:ind w:firstLine="284"/>
        <w:jc w:val="both"/>
        <w:rPr>
          <w:color w:val="000000" w:themeColor="text1"/>
          <w:lang w:val="en-GB"/>
        </w:rPr>
      </w:pPr>
      <w:r w:rsidRPr="0040294D">
        <w:rPr>
          <w:color w:val="000000" w:themeColor="text1"/>
          <w:lang w:val="en-GB"/>
        </w:rPr>
        <w:t xml:space="preserve">In the second step, we checked whether </w:t>
      </w:r>
      <w:r w:rsidR="00C118BA">
        <w:rPr>
          <w:color w:val="000000" w:themeColor="text1"/>
          <w:lang w:val="en-GB"/>
        </w:rPr>
        <w:t>these</w:t>
      </w:r>
      <w:r w:rsidRPr="0040294D">
        <w:rPr>
          <w:color w:val="000000" w:themeColor="text1"/>
          <w:lang w:val="en-GB"/>
        </w:rPr>
        <w:t xml:space="preserve"> firm</w:t>
      </w:r>
      <w:r w:rsidR="00C118BA">
        <w:rPr>
          <w:color w:val="000000" w:themeColor="text1"/>
          <w:lang w:val="en-GB"/>
        </w:rPr>
        <w:t>s</w:t>
      </w:r>
      <w:r w:rsidRPr="0040294D">
        <w:rPr>
          <w:color w:val="000000" w:themeColor="text1"/>
          <w:lang w:val="en-GB"/>
        </w:rPr>
        <w:t xml:space="preserve"> had conducted at least one</w:t>
      </w:r>
      <w:r w:rsidR="00C118BA">
        <w:rPr>
          <w:color w:val="000000" w:themeColor="text1"/>
          <w:lang w:val="en-GB"/>
        </w:rPr>
        <w:t xml:space="preserve"> US</w:t>
      </w:r>
      <w:r w:rsidRPr="0040294D">
        <w:rPr>
          <w:color w:val="000000" w:themeColor="text1"/>
          <w:lang w:val="en-GB"/>
        </w:rPr>
        <w:t xml:space="preserve"> acquisition over the 2000–2016 period by using and triangulating information provided by various databases (</w:t>
      </w:r>
      <w:r w:rsidRPr="0040294D">
        <w:rPr>
          <w:i/>
          <w:color w:val="000000" w:themeColor="text1"/>
          <w:lang w:val="en-GB"/>
        </w:rPr>
        <w:t>SDC Platinum</w:t>
      </w:r>
      <w:r w:rsidRPr="0040294D">
        <w:rPr>
          <w:color w:val="000000" w:themeColor="text1"/>
          <w:lang w:val="en-GB"/>
        </w:rPr>
        <w:t xml:space="preserve">, </w:t>
      </w:r>
      <w:r w:rsidRPr="0040294D">
        <w:rPr>
          <w:i/>
          <w:color w:val="000000" w:themeColor="text1"/>
          <w:lang w:val="en-GB"/>
        </w:rPr>
        <w:t>Factiva</w:t>
      </w:r>
      <w:r w:rsidRPr="0040294D">
        <w:rPr>
          <w:color w:val="000000" w:themeColor="text1"/>
          <w:lang w:val="en-GB"/>
        </w:rPr>
        <w:t xml:space="preserve">, </w:t>
      </w:r>
      <w:proofErr w:type="spellStart"/>
      <w:r w:rsidRPr="0040294D">
        <w:rPr>
          <w:i/>
          <w:color w:val="000000" w:themeColor="text1"/>
          <w:lang w:val="en-GB"/>
        </w:rPr>
        <w:t>Mergerstat</w:t>
      </w:r>
      <w:proofErr w:type="spellEnd"/>
      <w:r w:rsidRPr="0040294D">
        <w:rPr>
          <w:color w:val="000000" w:themeColor="text1"/>
          <w:lang w:val="en-GB"/>
        </w:rPr>
        <w:t xml:space="preserve"> and the list of French acquisitions in the US drawn up by the Washington-based </w:t>
      </w:r>
      <w:r w:rsidRPr="0040294D">
        <w:rPr>
          <w:i/>
          <w:color w:val="000000" w:themeColor="text1"/>
          <w:lang w:val="en-GB"/>
        </w:rPr>
        <w:t xml:space="preserve">Poste </w:t>
      </w:r>
      <w:proofErr w:type="spellStart"/>
      <w:r w:rsidRPr="0040294D">
        <w:rPr>
          <w:i/>
          <w:color w:val="000000" w:themeColor="text1"/>
          <w:lang w:val="en-GB"/>
        </w:rPr>
        <w:t>d’Expansion</w:t>
      </w:r>
      <w:proofErr w:type="spellEnd"/>
      <w:r w:rsidRPr="0040294D">
        <w:rPr>
          <w:i/>
          <w:color w:val="000000" w:themeColor="text1"/>
          <w:lang w:val="en-GB"/>
        </w:rPr>
        <w:t xml:space="preserve"> </w:t>
      </w:r>
      <w:proofErr w:type="spellStart"/>
      <w:r w:rsidRPr="0040294D">
        <w:rPr>
          <w:i/>
          <w:color w:val="000000" w:themeColor="text1"/>
          <w:lang w:val="en-GB"/>
        </w:rPr>
        <w:t>Economique</w:t>
      </w:r>
      <w:proofErr w:type="spellEnd"/>
      <w:r w:rsidRPr="0040294D">
        <w:rPr>
          <w:i/>
          <w:color w:val="000000" w:themeColor="text1"/>
          <w:lang w:val="en-GB"/>
        </w:rPr>
        <w:t xml:space="preserve"> de </w:t>
      </w:r>
      <w:proofErr w:type="spellStart"/>
      <w:r w:rsidRPr="0040294D">
        <w:rPr>
          <w:i/>
          <w:color w:val="000000" w:themeColor="text1"/>
          <w:lang w:val="en-GB"/>
        </w:rPr>
        <w:t>l’Ambassade</w:t>
      </w:r>
      <w:proofErr w:type="spellEnd"/>
      <w:r w:rsidRPr="0040294D">
        <w:rPr>
          <w:i/>
          <w:color w:val="000000" w:themeColor="text1"/>
          <w:lang w:val="en-GB"/>
        </w:rPr>
        <w:t xml:space="preserve"> de France</w:t>
      </w:r>
      <w:r w:rsidRPr="0040294D">
        <w:rPr>
          <w:color w:val="000000" w:themeColor="text1"/>
          <w:lang w:val="en-GB"/>
        </w:rPr>
        <w:t xml:space="preserve">). </w:t>
      </w:r>
      <w:r w:rsidRPr="0040294D">
        <w:rPr>
          <w:bCs/>
          <w:color w:val="000000" w:themeColor="text1"/>
          <w:lang w:val="en-GB"/>
        </w:rPr>
        <w:t>We identif</w:t>
      </w:r>
      <w:r w:rsidR="00BC71AA" w:rsidRPr="0040294D">
        <w:rPr>
          <w:bCs/>
          <w:color w:val="000000" w:themeColor="text1"/>
          <w:lang w:val="en-GB"/>
        </w:rPr>
        <w:t>ied</w:t>
      </w:r>
      <w:r w:rsidRPr="0040294D">
        <w:rPr>
          <w:bCs/>
          <w:color w:val="000000" w:themeColor="text1"/>
          <w:lang w:val="en-GB"/>
        </w:rPr>
        <w:t xml:space="preserve"> US acquisitions undertaken by French firms </w:t>
      </w:r>
      <w:r w:rsidR="00BC71AA" w:rsidRPr="0040294D">
        <w:rPr>
          <w:bCs/>
          <w:color w:val="000000" w:themeColor="text1"/>
          <w:lang w:val="en-GB"/>
        </w:rPr>
        <w:t>from</w:t>
      </w:r>
      <w:r w:rsidRPr="0040294D">
        <w:rPr>
          <w:bCs/>
          <w:color w:val="000000" w:themeColor="text1"/>
          <w:lang w:val="en-GB"/>
        </w:rPr>
        <w:t xml:space="preserve"> 2000 </w:t>
      </w:r>
      <w:r w:rsidR="00BC71AA" w:rsidRPr="0040294D">
        <w:rPr>
          <w:bCs/>
          <w:color w:val="000000" w:themeColor="text1"/>
          <w:lang w:val="en-GB"/>
        </w:rPr>
        <w:t xml:space="preserve">onwards </w:t>
      </w:r>
      <w:r w:rsidRPr="0040294D">
        <w:rPr>
          <w:color w:val="000000" w:themeColor="text1"/>
          <w:lang w:val="en-GB"/>
        </w:rPr>
        <w:t>because (</w:t>
      </w:r>
      <w:proofErr w:type="spellStart"/>
      <w:r w:rsidRPr="0040294D">
        <w:rPr>
          <w:color w:val="000000" w:themeColor="text1"/>
          <w:lang w:val="en-GB"/>
        </w:rPr>
        <w:t>i</w:t>
      </w:r>
      <w:proofErr w:type="spellEnd"/>
      <w:r w:rsidRPr="0040294D">
        <w:rPr>
          <w:color w:val="000000" w:themeColor="text1"/>
          <w:lang w:val="en-GB"/>
        </w:rPr>
        <w:t xml:space="preserve">) the scores used to measure the independent variables (including the acquirer’s </w:t>
      </w:r>
      <w:r w:rsidR="00FA1DA4">
        <w:rPr>
          <w:color w:val="000000" w:themeColor="text1"/>
          <w:lang w:val="en-GB"/>
        </w:rPr>
        <w:t>HRM-quality</w:t>
      </w:r>
      <w:r w:rsidR="00BC71AA" w:rsidRPr="0040294D">
        <w:rPr>
          <w:color w:val="000000" w:themeColor="text1"/>
          <w:lang w:val="en-GB"/>
        </w:rPr>
        <w:t>,</w:t>
      </w:r>
      <w:r w:rsidRPr="0040294D">
        <w:rPr>
          <w:color w:val="000000" w:themeColor="text1"/>
          <w:lang w:val="en-GB"/>
        </w:rPr>
        <w:t xml:space="preserve"> see section on variables) </w:t>
      </w:r>
      <w:r w:rsidRPr="0040294D">
        <w:rPr>
          <w:bCs/>
          <w:color w:val="000000" w:themeColor="text1"/>
          <w:lang w:val="en-GB"/>
        </w:rPr>
        <w:t xml:space="preserve">were lagged by one year and (ii) the first </w:t>
      </w:r>
      <w:proofErr w:type="spellStart"/>
      <w:r w:rsidRPr="0040294D">
        <w:rPr>
          <w:bCs/>
          <w:color w:val="000000" w:themeColor="text1"/>
          <w:lang w:val="en-GB"/>
        </w:rPr>
        <w:t>Vigeo</w:t>
      </w:r>
      <w:proofErr w:type="spellEnd"/>
      <w:r w:rsidRPr="0040294D">
        <w:rPr>
          <w:bCs/>
          <w:color w:val="000000" w:themeColor="text1"/>
          <w:lang w:val="en-GB"/>
        </w:rPr>
        <w:t xml:space="preserve"> CSR data were compiled </w:t>
      </w:r>
      <w:r w:rsidR="00BC71AA" w:rsidRPr="0040294D">
        <w:rPr>
          <w:bCs/>
          <w:color w:val="000000" w:themeColor="text1"/>
          <w:lang w:val="en-GB"/>
        </w:rPr>
        <w:t>in</w:t>
      </w:r>
      <w:r w:rsidRPr="0040294D">
        <w:rPr>
          <w:bCs/>
          <w:color w:val="000000" w:themeColor="text1"/>
          <w:lang w:val="en-GB"/>
        </w:rPr>
        <w:t xml:space="preserve"> 1999. </w:t>
      </w:r>
      <w:r w:rsidRPr="0040294D">
        <w:rPr>
          <w:color w:val="000000" w:themeColor="text1"/>
          <w:lang w:val="en-GB"/>
        </w:rPr>
        <w:t xml:space="preserve">Consistent with several empirical studies on acquisitions and divestments (Hayward and Shimizu, 2006; Kaplan and </w:t>
      </w:r>
      <w:proofErr w:type="spellStart"/>
      <w:r w:rsidRPr="0040294D">
        <w:rPr>
          <w:color w:val="000000" w:themeColor="text1"/>
          <w:lang w:val="en-GB"/>
        </w:rPr>
        <w:t>Weisbach</w:t>
      </w:r>
      <w:proofErr w:type="spellEnd"/>
      <w:r w:rsidRPr="0040294D">
        <w:rPr>
          <w:color w:val="000000" w:themeColor="text1"/>
          <w:lang w:val="en-GB"/>
        </w:rPr>
        <w:t xml:space="preserve">, 1992; Kim, Finkelstein, and </w:t>
      </w:r>
      <w:proofErr w:type="spellStart"/>
      <w:r w:rsidRPr="0040294D">
        <w:rPr>
          <w:color w:val="000000" w:themeColor="text1"/>
          <w:lang w:val="en-GB"/>
        </w:rPr>
        <w:t>Haleblian</w:t>
      </w:r>
      <w:proofErr w:type="spellEnd"/>
      <w:r w:rsidRPr="0040294D">
        <w:rPr>
          <w:color w:val="000000" w:themeColor="text1"/>
          <w:lang w:val="en-GB"/>
        </w:rPr>
        <w:t xml:space="preserve">, 2015; </w:t>
      </w:r>
      <w:proofErr w:type="spellStart"/>
      <w:r w:rsidRPr="0040294D">
        <w:rPr>
          <w:color w:val="000000" w:themeColor="text1"/>
          <w:lang w:val="en-GB"/>
        </w:rPr>
        <w:t>Rabier</w:t>
      </w:r>
      <w:proofErr w:type="spellEnd"/>
      <w:r w:rsidRPr="0040294D">
        <w:rPr>
          <w:color w:val="000000" w:themeColor="text1"/>
          <w:lang w:val="en-GB"/>
        </w:rPr>
        <w:t xml:space="preserve">, 2017), we then removed all financial firms </w:t>
      </w:r>
      <w:r w:rsidR="00BC71AA" w:rsidRPr="0040294D">
        <w:rPr>
          <w:color w:val="000000" w:themeColor="text1"/>
          <w:lang w:val="en-GB"/>
        </w:rPr>
        <w:t>from the list</w:t>
      </w:r>
      <w:r w:rsidRPr="0040294D">
        <w:rPr>
          <w:color w:val="000000" w:themeColor="text1"/>
          <w:lang w:val="en-GB"/>
        </w:rPr>
        <w:t xml:space="preserve">. We excluded these financial acquirers since their acquisition motives and </w:t>
      </w:r>
      <w:proofErr w:type="spellStart"/>
      <w:r w:rsidR="00CC299C" w:rsidRPr="0040294D">
        <w:rPr>
          <w:color w:val="000000" w:themeColor="text1"/>
          <w:lang w:val="en-GB"/>
        </w:rPr>
        <w:t>behavior</w:t>
      </w:r>
      <w:proofErr w:type="spellEnd"/>
      <w:r w:rsidRPr="0040294D">
        <w:rPr>
          <w:color w:val="000000" w:themeColor="text1"/>
          <w:lang w:val="en-GB"/>
        </w:rPr>
        <w:t>, as well as their acquisition performance and divestment patterns, significantly differ from those of other industries. As noted by Hayward and Shimizu (2006, p. 545),</w:t>
      </w:r>
      <w:r w:rsidR="0040294D">
        <w:rPr>
          <w:color w:val="000000" w:themeColor="text1"/>
          <w:lang w:val="en-GB"/>
        </w:rPr>
        <w:t xml:space="preserve"> ‘</w:t>
      </w:r>
      <w:r w:rsidRPr="0040294D">
        <w:rPr>
          <w:i/>
          <w:color w:val="000000" w:themeColor="text1"/>
          <w:lang w:val="en-GB"/>
        </w:rPr>
        <w:t>financial buyers</w:t>
      </w:r>
      <w:r w:rsidRPr="0040294D">
        <w:rPr>
          <w:color w:val="000000" w:themeColor="text1"/>
          <w:lang w:val="en-GB"/>
        </w:rPr>
        <w:t xml:space="preserve"> </w:t>
      </w:r>
      <w:r w:rsidRPr="0040294D">
        <w:rPr>
          <w:color w:val="000000" w:themeColor="text1"/>
          <w:lang w:val="en-GB"/>
        </w:rPr>
        <w:lastRenderedPageBreak/>
        <w:t xml:space="preserve">[…] </w:t>
      </w:r>
      <w:r w:rsidRPr="0040294D">
        <w:rPr>
          <w:i/>
          <w:color w:val="000000" w:themeColor="text1"/>
          <w:lang w:val="en-GB"/>
        </w:rPr>
        <w:t>make acquisitions with the express purpose of exiting them</w:t>
      </w:r>
      <w:r w:rsidRPr="0040294D">
        <w:rPr>
          <w:color w:val="000000" w:themeColor="text1"/>
          <w:lang w:val="en-GB"/>
        </w:rPr>
        <w:t>.</w:t>
      </w:r>
      <w:r w:rsidR="0040294D">
        <w:rPr>
          <w:color w:val="000000" w:themeColor="text1"/>
          <w:lang w:val="en-GB"/>
        </w:rPr>
        <w:t>’</w:t>
      </w:r>
      <w:r w:rsidRPr="0040294D">
        <w:rPr>
          <w:color w:val="000000" w:themeColor="text1"/>
          <w:lang w:val="en-GB"/>
        </w:rPr>
        <w:t xml:space="preserve"> </w:t>
      </w:r>
      <w:r w:rsidR="00BC71AA" w:rsidRPr="0040294D">
        <w:rPr>
          <w:color w:val="000000" w:themeColor="text1"/>
          <w:lang w:val="en-GB"/>
        </w:rPr>
        <w:t xml:space="preserve">Through </w:t>
      </w:r>
      <w:r w:rsidRPr="0040294D">
        <w:rPr>
          <w:color w:val="000000" w:themeColor="text1"/>
          <w:lang w:val="en-GB"/>
        </w:rPr>
        <w:t xml:space="preserve">these screening processes, we identified 59 French firms </w:t>
      </w:r>
      <w:r w:rsidR="00BC71AA" w:rsidRPr="0040294D">
        <w:rPr>
          <w:color w:val="000000" w:themeColor="text1"/>
          <w:lang w:val="en-GB"/>
        </w:rPr>
        <w:t>that</w:t>
      </w:r>
      <w:r w:rsidRPr="0040294D">
        <w:rPr>
          <w:color w:val="000000" w:themeColor="text1"/>
          <w:lang w:val="en-GB"/>
        </w:rPr>
        <w:t xml:space="preserve"> conducted a total of </w:t>
      </w:r>
      <w:r w:rsidRPr="0040294D">
        <w:rPr>
          <w:bCs/>
          <w:color w:val="000000" w:themeColor="text1"/>
          <w:lang w:val="en-GB"/>
        </w:rPr>
        <w:t>488 US acquisitions.</w:t>
      </w:r>
    </w:p>
    <w:p w14:paraId="22D66AAB" w14:textId="21F1965A" w:rsidR="00FD2A48" w:rsidRDefault="00FD2A48" w:rsidP="00FD2A48">
      <w:pPr>
        <w:spacing w:line="480" w:lineRule="auto"/>
        <w:ind w:firstLine="284"/>
        <w:jc w:val="both"/>
        <w:rPr>
          <w:color w:val="000000" w:themeColor="text1"/>
          <w:lang w:val="en-GB"/>
        </w:rPr>
      </w:pPr>
      <w:r w:rsidRPr="0040294D">
        <w:rPr>
          <w:bCs/>
          <w:color w:val="000000" w:themeColor="text1"/>
          <w:lang w:val="en-GB"/>
        </w:rPr>
        <w:t>Applying an</w:t>
      </w:r>
      <w:r w:rsidRPr="0040294D">
        <w:rPr>
          <w:color w:val="000000" w:themeColor="text1"/>
          <w:lang w:val="en-GB"/>
        </w:rPr>
        <w:t xml:space="preserve"> event history procedure to these </w:t>
      </w:r>
      <w:r w:rsidRPr="0040294D">
        <w:rPr>
          <w:bCs/>
          <w:color w:val="000000" w:themeColor="text1"/>
          <w:lang w:val="en-GB"/>
        </w:rPr>
        <w:t>488 US acquisitions</w:t>
      </w:r>
      <w:r w:rsidRPr="0040294D">
        <w:rPr>
          <w:color w:val="000000" w:themeColor="text1"/>
          <w:lang w:val="en-GB"/>
        </w:rPr>
        <w:t>, we followed them up individually and year by year</w:t>
      </w:r>
      <w:r w:rsidRPr="0040294D" w:rsidDel="00717C13">
        <w:rPr>
          <w:color w:val="000000" w:themeColor="text1"/>
          <w:lang w:val="en-GB"/>
        </w:rPr>
        <w:t xml:space="preserve"> </w:t>
      </w:r>
      <w:r w:rsidRPr="0040294D">
        <w:rPr>
          <w:color w:val="000000" w:themeColor="text1"/>
          <w:lang w:val="en-GB"/>
        </w:rPr>
        <w:t xml:space="preserve">to </w:t>
      </w:r>
      <w:r w:rsidR="00BC71AA" w:rsidRPr="0040294D">
        <w:rPr>
          <w:color w:val="000000" w:themeColor="text1"/>
          <w:lang w:val="en-GB"/>
        </w:rPr>
        <w:t xml:space="preserve">find out </w:t>
      </w:r>
      <w:r w:rsidRPr="0040294D">
        <w:rPr>
          <w:color w:val="000000" w:themeColor="text1"/>
          <w:lang w:val="en-GB"/>
        </w:rPr>
        <w:t xml:space="preserve">whether they </w:t>
      </w:r>
      <w:r w:rsidR="00BC71AA" w:rsidRPr="0040294D">
        <w:rPr>
          <w:color w:val="000000" w:themeColor="text1"/>
          <w:lang w:val="en-GB"/>
        </w:rPr>
        <w:t xml:space="preserve">had been </w:t>
      </w:r>
      <w:r w:rsidRPr="0040294D">
        <w:rPr>
          <w:color w:val="000000" w:themeColor="text1"/>
          <w:lang w:val="en-GB"/>
        </w:rPr>
        <w:t xml:space="preserve">retained in the acquirer’s business portfolio, were divested, or went bankrupt before the end of the period </w:t>
      </w:r>
      <w:r w:rsidR="00BC71AA" w:rsidRPr="0040294D">
        <w:rPr>
          <w:color w:val="000000" w:themeColor="text1"/>
          <w:lang w:val="en-GB"/>
        </w:rPr>
        <w:t xml:space="preserve">that </w:t>
      </w:r>
      <w:r w:rsidRPr="0040294D">
        <w:rPr>
          <w:color w:val="000000" w:themeColor="text1"/>
          <w:lang w:val="en-GB"/>
        </w:rPr>
        <w:t xml:space="preserve">might be considered risky </w:t>
      </w:r>
      <w:r w:rsidRPr="00FF3FE9">
        <w:rPr>
          <w:color w:val="000000" w:themeColor="text1"/>
          <w:lang w:val="en-GB"/>
        </w:rPr>
        <w:t>(i.e.,</w:t>
      </w:r>
      <w:r w:rsidRPr="0040294D">
        <w:rPr>
          <w:color w:val="000000" w:themeColor="text1"/>
          <w:lang w:val="en-GB"/>
        </w:rPr>
        <w:t xml:space="preserve"> end of </w:t>
      </w:r>
      <w:r w:rsidR="00BC71AA" w:rsidRPr="0040294D">
        <w:rPr>
          <w:color w:val="000000" w:themeColor="text1"/>
          <w:lang w:val="en-GB"/>
        </w:rPr>
        <w:t xml:space="preserve">the </w:t>
      </w:r>
      <w:r w:rsidRPr="0040294D">
        <w:rPr>
          <w:color w:val="000000" w:themeColor="text1"/>
          <w:lang w:val="en-GB"/>
        </w:rPr>
        <w:t>year 2016). This resulted in a panel database consisting of 4,128 acquisition/year observations.</w:t>
      </w:r>
    </w:p>
    <w:p w14:paraId="4C21CACB" w14:textId="77777777" w:rsidR="00D571DF" w:rsidRPr="0040294D" w:rsidRDefault="00D571DF" w:rsidP="00FD2A48">
      <w:pPr>
        <w:spacing w:line="480" w:lineRule="auto"/>
        <w:ind w:firstLine="284"/>
        <w:jc w:val="both"/>
        <w:rPr>
          <w:color w:val="000000" w:themeColor="text1"/>
          <w:lang w:val="en-GB"/>
        </w:rPr>
      </w:pPr>
    </w:p>
    <w:p w14:paraId="6A6C61A8" w14:textId="2C31BDB4" w:rsidR="00FD2A48" w:rsidRPr="0040294D" w:rsidRDefault="00FD2A48" w:rsidP="00FD2A48">
      <w:pPr>
        <w:pStyle w:val="Listecouleur-Accent11"/>
        <w:spacing w:line="480" w:lineRule="auto"/>
        <w:ind w:left="0"/>
        <w:jc w:val="both"/>
        <w:rPr>
          <w:b/>
          <w:bCs/>
          <w:i/>
          <w:color w:val="000000" w:themeColor="text1"/>
        </w:rPr>
      </w:pPr>
      <w:r w:rsidRPr="0040294D">
        <w:rPr>
          <w:b/>
          <w:bCs/>
          <w:i/>
          <w:color w:val="000000" w:themeColor="text1"/>
        </w:rPr>
        <w:t>Variables</w:t>
      </w:r>
    </w:p>
    <w:p w14:paraId="5AEB6A15" w14:textId="0BC29EEE" w:rsidR="00FD2A48" w:rsidRPr="0040294D" w:rsidRDefault="00FD2A48" w:rsidP="00607F07">
      <w:pPr>
        <w:spacing w:line="480" w:lineRule="auto"/>
        <w:jc w:val="both"/>
        <w:rPr>
          <w:color w:val="000000" w:themeColor="text1"/>
          <w:lang w:val="en-GB"/>
        </w:rPr>
      </w:pPr>
      <w:r w:rsidRPr="0040294D">
        <w:rPr>
          <w:i/>
          <w:color w:val="000000" w:themeColor="text1"/>
          <w:lang w:val="en-GB"/>
        </w:rPr>
        <w:t>Dependent variable</w:t>
      </w:r>
      <w:r w:rsidRPr="0040294D">
        <w:rPr>
          <w:color w:val="000000" w:themeColor="text1"/>
          <w:lang w:val="en-GB"/>
        </w:rPr>
        <w:t xml:space="preserve">. </w:t>
      </w:r>
      <w:r w:rsidR="00607F07">
        <w:rPr>
          <w:color w:val="000000" w:themeColor="text1"/>
          <w:lang w:val="en-GB"/>
        </w:rPr>
        <w:t>W</w:t>
      </w:r>
      <w:r w:rsidRPr="0040294D">
        <w:rPr>
          <w:color w:val="000000" w:themeColor="text1"/>
          <w:lang w:val="en-GB"/>
        </w:rPr>
        <w:t>e investigate</w:t>
      </w:r>
      <w:r w:rsidR="007763BC" w:rsidRPr="0040294D">
        <w:rPr>
          <w:color w:val="000000" w:themeColor="text1"/>
          <w:lang w:val="en-GB"/>
        </w:rPr>
        <w:t>d</w:t>
      </w:r>
      <w:r w:rsidRPr="0040294D">
        <w:rPr>
          <w:color w:val="000000" w:themeColor="text1"/>
          <w:lang w:val="en-GB"/>
        </w:rPr>
        <w:t xml:space="preserve"> the impact of the acquirer’s </w:t>
      </w:r>
      <w:r w:rsidR="00FA1DA4">
        <w:rPr>
          <w:color w:val="000000" w:themeColor="text1"/>
          <w:lang w:val="en-GB"/>
        </w:rPr>
        <w:t>HRM-quality</w:t>
      </w:r>
      <w:r w:rsidRPr="0040294D">
        <w:rPr>
          <w:color w:val="000000" w:themeColor="text1"/>
          <w:lang w:val="en-GB"/>
        </w:rPr>
        <w:t xml:space="preserve"> on </w:t>
      </w:r>
      <w:r w:rsidR="007763BC" w:rsidRPr="0040294D">
        <w:rPr>
          <w:color w:val="000000" w:themeColor="text1"/>
          <w:lang w:val="en-GB"/>
        </w:rPr>
        <w:t xml:space="preserve">the </w:t>
      </w:r>
      <w:r w:rsidR="00FA1DA4">
        <w:rPr>
          <w:color w:val="000000" w:themeColor="text1"/>
          <w:lang w:val="en-GB"/>
        </w:rPr>
        <w:t>cross-border</w:t>
      </w:r>
      <w:r w:rsidR="00D571DF">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 failure. Measuring acquisition failure, and more generally acquisition performance, has been much debated. As highlighted by </w:t>
      </w:r>
      <w:proofErr w:type="spellStart"/>
      <w:r w:rsidRPr="0040294D">
        <w:rPr>
          <w:color w:val="000000" w:themeColor="text1"/>
          <w:lang w:val="en-GB"/>
        </w:rPr>
        <w:t>Zollo</w:t>
      </w:r>
      <w:proofErr w:type="spellEnd"/>
      <w:r w:rsidRPr="0040294D">
        <w:rPr>
          <w:color w:val="000000" w:themeColor="text1"/>
          <w:lang w:val="en-GB"/>
        </w:rPr>
        <w:t xml:space="preserve"> and Meier (2008, p. 55), among others,</w:t>
      </w:r>
      <w:r w:rsidR="0040294D">
        <w:rPr>
          <w:color w:val="000000" w:themeColor="text1"/>
          <w:lang w:val="en-GB"/>
        </w:rPr>
        <w:t xml:space="preserve"> ‘</w:t>
      </w:r>
      <w:r w:rsidRPr="0040294D">
        <w:rPr>
          <w:i/>
          <w:color w:val="000000" w:themeColor="text1"/>
          <w:lang w:val="en-GB"/>
        </w:rPr>
        <w:t>there is little or no agreement both across and within the disciplines on how to measure acquisition performance</w:t>
      </w:r>
      <w:r w:rsidRPr="0040294D">
        <w:rPr>
          <w:color w:val="000000" w:themeColor="text1"/>
          <w:lang w:val="en-GB"/>
        </w:rPr>
        <w:t>.</w:t>
      </w:r>
      <w:r w:rsidR="0040294D">
        <w:rPr>
          <w:color w:val="000000" w:themeColor="text1"/>
          <w:lang w:val="en-GB"/>
        </w:rPr>
        <w:t>’</w:t>
      </w:r>
      <w:r w:rsidRPr="0040294D">
        <w:rPr>
          <w:color w:val="000000" w:themeColor="text1"/>
          <w:lang w:val="en-GB"/>
        </w:rPr>
        <w:t xml:space="preserve"> Several </w:t>
      </w:r>
      <w:r w:rsidR="007763BC" w:rsidRPr="0040294D">
        <w:rPr>
          <w:color w:val="000000" w:themeColor="text1"/>
          <w:lang w:val="en-GB"/>
        </w:rPr>
        <w:t xml:space="preserve">types of </w:t>
      </w:r>
      <w:r w:rsidRPr="0040294D">
        <w:rPr>
          <w:color w:val="000000" w:themeColor="text1"/>
          <w:lang w:val="en-GB"/>
        </w:rPr>
        <w:t>measurement</w:t>
      </w:r>
      <w:r w:rsidR="0040294D">
        <w:rPr>
          <w:color w:val="000000" w:themeColor="text1"/>
          <w:lang w:val="en-GB"/>
        </w:rPr>
        <w:t>—</w:t>
      </w:r>
      <w:r w:rsidRPr="0040294D">
        <w:rPr>
          <w:color w:val="000000" w:themeColor="text1"/>
          <w:lang w:val="en-GB"/>
        </w:rPr>
        <w:t>subjective as well as objective, and long-term as well as short-term</w:t>
      </w:r>
      <w:r w:rsidR="0040294D">
        <w:rPr>
          <w:color w:val="000000" w:themeColor="text1"/>
          <w:lang w:val="en-GB"/>
        </w:rPr>
        <w:t>—</w:t>
      </w:r>
      <w:r w:rsidRPr="0040294D">
        <w:rPr>
          <w:color w:val="000000" w:themeColor="text1"/>
          <w:lang w:val="en-GB"/>
        </w:rPr>
        <w:t>have been applied (</w:t>
      </w:r>
      <w:r w:rsidRPr="0040294D">
        <w:rPr>
          <w:color w:val="000000" w:themeColor="text1"/>
          <w:lang w:val="en-GB" w:eastAsia="zh-CN"/>
        </w:rPr>
        <w:t>Papadakis and Thanos, 2010)</w:t>
      </w:r>
      <w:r w:rsidRPr="0040294D">
        <w:rPr>
          <w:color w:val="000000" w:themeColor="text1"/>
          <w:lang w:val="en-GB"/>
        </w:rPr>
        <w:t xml:space="preserve">. Consistent with our cross-border research context, we built on international business literature to measure acquisition performance. </w:t>
      </w:r>
      <w:r w:rsidR="00607F07">
        <w:rPr>
          <w:color w:val="000000" w:themeColor="text1"/>
          <w:lang w:val="en-GB"/>
        </w:rPr>
        <w:t>E</w:t>
      </w:r>
      <w:r w:rsidRPr="0040294D">
        <w:rPr>
          <w:color w:val="000000" w:themeColor="text1"/>
          <w:lang w:val="en-GB"/>
        </w:rPr>
        <w:t xml:space="preserve">mpirical studies on acquisitions have frequently </w:t>
      </w:r>
      <w:r w:rsidRPr="0040294D">
        <w:rPr>
          <w:bCs/>
          <w:color w:val="000000" w:themeColor="text1"/>
          <w:lang w:val="en-GB"/>
        </w:rPr>
        <w:t xml:space="preserve">used divestment likelihood as a measurement of </w:t>
      </w:r>
      <w:r w:rsidRPr="0040294D">
        <w:rPr>
          <w:color w:val="000000" w:themeColor="text1"/>
          <w:lang w:val="en-GB"/>
        </w:rPr>
        <w:t>acquisition failure</w:t>
      </w:r>
      <w:r w:rsidRPr="0040294D">
        <w:rPr>
          <w:bCs/>
          <w:color w:val="000000" w:themeColor="text1"/>
          <w:lang w:val="en-GB"/>
        </w:rPr>
        <w:t xml:space="preserve"> (</w:t>
      </w:r>
      <w:proofErr w:type="spellStart"/>
      <w:r w:rsidRPr="0040294D">
        <w:rPr>
          <w:bCs/>
          <w:color w:val="000000" w:themeColor="text1"/>
          <w:lang w:val="en-GB"/>
        </w:rPr>
        <w:t>Brauer</w:t>
      </w:r>
      <w:proofErr w:type="spellEnd"/>
      <w:r w:rsidRPr="0040294D">
        <w:rPr>
          <w:bCs/>
          <w:color w:val="000000" w:themeColor="text1"/>
          <w:lang w:val="en-GB"/>
        </w:rPr>
        <w:t xml:space="preserve"> and Wiersema, 2012; Hayward and Shimizu, 2006; </w:t>
      </w:r>
      <w:proofErr w:type="spellStart"/>
      <w:r w:rsidRPr="0040294D">
        <w:rPr>
          <w:bCs/>
          <w:color w:val="000000" w:themeColor="text1"/>
          <w:lang w:val="en-GB"/>
        </w:rPr>
        <w:t>Meschi</w:t>
      </w:r>
      <w:proofErr w:type="spellEnd"/>
      <w:r w:rsidRPr="0040294D">
        <w:rPr>
          <w:bCs/>
          <w:color w:val="000000" w:themeColor="text1"/>
          <w:lang w:val="en-GB"/>
        </w:rPr>
        <w:t xml:space="preserve"> and </w:t>
      </w:r>
      <w:proofErr w:type="spellStart"/>
      <w:r w:rsidRPr="0040294D">
        <w:rPr>
          <w:bCs/>
          <w:color w:val="000000" w:themeColor="text1"/>
          <w:lang w:val="en-GB"/>
        </w:rPr>
        <w:t>Métais</w:t>
      </w:r>
      <w:proofErr w:type="spellEnd"/>
      <w:r w:rsidRPr="0040294D">
        <w:rPr>
          <w:bCs/>
          <w:color w:val="000000" w:themeColor="text1"/>
          <w:lang w:val="en-GB"/>
        </w:rPr>
        <w:t>, 2015).</w:t>
      </w:r>
    </w:p>
    <w:p w14:paraId="145191BB" w14:textId="5C63E5EE" w:rsidR="00FD2A48" w:rsidRPr="0040294D" w:rsidRDefault="00FD2A48" w:rsidP="00DF57ED">
      <w:pPr>
        <w:spacing w:line="480" w:lineRule="auto"/>
        <w:ind w:firstLine="284"/>
        <w:jc w:val="both"/>
        <w:rPr>
          <w:color w:val="000000" w:themeColor="text1"/>
          <w:lang w:val="en-GB"/>
        </w:rPr>
      </w:pPr>
      <w:r w:rsidRPr="0040294D">
        <w:rPr>
          <w:bCs/>
          <w:color w:val="000000" w:themeColor="text1"/>
          <w:lang w:val="en-GB"/>
        </w:rPr>
        <w:t xml:space="preserve">Divestment is defined as an alteration of the firm’s productive asset portfolio; it is carried out by either spinning off or selling off unwanted assets (Rosenfeld, 1984). </w:t>
      </w:r>
      <w:r w:rsidR="003E301F" w:rsidRPr="0040294D">
        <w:rPr>
          <w:rStyle w:val="Emphasis"/>
          <w:i w:val="0"/>
          <w:color w:val="000000" w:themeColor="text1"/>
          <w:lang w:val="en-GB"/>
        </w:rPr>
        <w:t>I</w:t>
      </w:r>
      <w:r w:rsidR="003E301F" w:rsidRPr="0040294D">
        <w:rPr>
          <w:rStyle w:val="definition"/>
          <w:lang w:val="en-GB"/>
        </w:rPr>
        <w:t xml:space="preserve">n this </w:t>
      </w:r>
      <w:r w:rsidR="007763BC" w:rsidRPr="0040294D">
        <w:rPr>
          <w:rStyle w:val="definition"/>
          <w:lang w:val="en-GB"/>
        </w:rPr>
        <w:t>connection</w:t>
      </w:r>
      <w:r w:rsidR="003E301F" w:rsidRPr="0040294D">
        <w:rPr>
          <w:rStyle w:val="Emphasis"/>
          <w:i w:val="0"/>
          <w:color w:val="000000" w:themeColor="text1"/>
          <w:lang w:val="en-GB"/>
        </w:rPr>
        <w:t xml:space="preserve">, </w:t>
      </w:r>
      <w:r w:rsidRPr="0040294D">
        <w:rPr>
          <w:bCs/>
          <w:color w:val="000000" w:themeColor="text1"/>
          <w:lang w:val="en-GB"/>
        </w:rPr>
        <w:t>Benito and Welch (1997) stated that the detachment</w:t>
      </w:r>
      <w:r w:rsidR="00353983" w:rsidRPr="0040294D">
        <w:rPr>
          <w:bCs/>
          <w:color w:val="000000" w:themeColor="text1"/>
          <w:lang w:val="en-GB"/>
        </w:rPr>
        <w:t xml:space="preserve"> </w:t>
      </w:r>
      <w:r w:rsidRPr="0040294D">
        <w:rPr>
          <w:bCs/>
          <w:color w:val="000000" w:themeColor="text1"/>
          <w:lang w:val="en-GB"/>
        </w:rPr>
        <w:t>of international operations from global firms may be perceived as a failure. Consequently</w:t>
      </w:r>
      <w:r w:rsidRPr="0040294D">
        <w:rPr>
          <w:color w:val="000000" w:themeColor="text1"/>
          <w:lang w:val="en-GB"/>
        </w:rPr>
        <w:t>, consistent with prior international business research</w:t>
      </w:r>
      <w:r w:rsidRPr="0040294D">
        <w:rPr>
          <w:bCs/>
          <w:color w:val="000000" w:themeColor="text1"/>
          <w:lang w:val="en-GB"/>
        </w:rPr>
        <w:t xml:space="preserve">, we view </w:t>
      </w:r>
      <w:r w:rsidR="00FA1DA4">
        <w:rPr>
          <w:bCs/>
          <w:color w:val="000000" w:themeColor="text1"/>
          <w:lang w:val="en-GB"/>
        </w:rPr>
        <w:t>cross-border</w:t>
      </w:r>
      <w:r w:rsidR="00187E65">
        <w:rPr>
          <w:bCs/>
          <w:color w:val="000000" w:themeColor="text1"/>
          <w:lang w:val="en-GB"/>
        </w:rPr>
        <w:t xml:space="preserve"> </w:t>
      </w:r>
      <w:r w:rsidR="00FA1DA4">
        <w:rPr>
          <w:bCs/>
          <w:color w:val="000000" w:themeColor="text1"/>
          <w:lang w:val="en-GB"/>
        </w:rPr>
        <w:t>acquisition</w:t>
      </w:r>
      <w:r w:rsidRPr="0040294D">
        <w:rPr>
          <w:bCs/>
          <w:color w:val="000000" w:themeColor="text1"/>
          <w:lang w:val="en-GB"/>
        </w:rPr>
        <w:t xml:space="preserve"> divestment as a </w:t>
      </w:r>
      <w:r w:rsidRPr="0040294D">
        <w:rPr>
          <w:color w:val="000000" w:themeColor="text1"/>
          <w:lang w:val="en-GB"/>
        </w:rPr>
        <w:t>negative outcome (</w:t>
      </w:r>
      <w:proofErr w:type="spellStart"/>
      <w:r w:rsidRPr="0040294D">
        <w:rPr>
          <w:color w:val="000000" w:themeColor="text1"/>
          <w:lang w:val="en-GB"/>
        </w:rPr>
        <w:t>Zollo</w:t>
      </w:r>
      <w:proofErr w:type="spellEnd"/>
      <w:r w:rsidRPr="0040294D">
        <w:rPr>
          <w:color w:val="000000" w:themeColor="text1"/>
          <w:lang w:val="en-GB"/>
        </w:rPr>
        <w:t xml:space="preserve"> and Meier, 2008).</w:t>
      </w:r>
    </w:p>
    <w:p w14:paraId="18506E34" w14:textId="019F2AC4" w:rsidR="00FD2A48" w:rsidRPr="0040294D" w:rsidRDefault="00607F07" w:rsidP="00607F07">
      <w:pPr>
        <w:spacing w:line="480" w:lineRule="auto"/>
        <w:ind w:firstLine="284"/>
        <w:jc w:val="both"/>
        <w:rPr>
          <w:color w:val="000000" w:themeColor="text1"/>
          <w:lang w:val="en-GB"/>
        </w:rPr>
      </w:pPr>
      <w:r>
        <w:rPr>
          <w:bCs/>
          <w:color w:val="000000" w:themeColor="text1"/>
          <w:lang w:val="en-GB"/>
        </w:rPr>
        <w:lastRenderedPageBreak/>
        <w:t>W</w:t>
      </w:r>
      <w:r w:rsidR="00FD2A48" w:rsidRPr="0040294D">
        <w:rPr>
          <w:bCs/>
          <w:color w:val="000000" w:themeColor="text1"/>
          <w:lang w:val="en-GB"/>
        </w:rPr>
        <w:t xml:space="preserve">e measured the dependent variable by estimating a hazard rate of divestment for all acquisitions in the sample. The hazard rate is defined as the probability of an acquisition being divested within a time period (or period at risk) ranging from </w:t>
      </w:r>
      <w:r w:rsidR="00FD2A48" w:rsidRPr="0040294D">
        <w:rPr>
          <w:bCs/>
          <w:i/>
          <w:color w:val="000000" w:themeColor="text1"/>
          <w:lang w:val="en-GB"/>
        </w:rPr>
        <w:t>t</w:t>
      </w:r>
      <w:r w:rsidR="00FD2A48" w:rsidRPr="0040294D">
        <w:rPr>
          <w:bCs/>
          <w:color w:val="000000" w:themeColor="text1"/>
          <w:lang w:val="en-GB"/>
        </w:rPr>
        <w:t xml:space="preserve"> (with a lower bound corresponding to the acquisition date) to </w:t>
      </w:r>
      <w:r w:rsidR="00FD2A48" w:rsidRPr="0040294D">
        <w:rPr>
          <w:bCs/>
          <w:i/>
          <w:color w:val="000000" w:themeColor="text1"/>
          <w:lang w:val="en-GB"/>
        </w:rPr>
        <w:t>t</w:t>
      </w:r>
      <w:r w:rsidR="00FD2A48" w:rsidRPr="0040294D">
        <w:rPr>
          <w:bCs/>
          <w:color w:val="000000" w:themeColor="text1"/>
          <w:lang w:val="en-GB"/>
        </w:rPr>
        <w:t xml:space="preserve"> + </w:t>
      </w:r>
      <w:proofErr w:type="spellStart"/>
      <w:r w:rsidR="00FD2A48" w:rsidRPr="0040294D">
        <w:rPr>
          <w:bCs/>
          <w:color w:val="000000" w:themeColor="text1"/>
          <w:lang w:val="en-GB"/>
        </w:rPr>
        <w:t>Δ</w:t>
      </w:r>
      <w:r w:rsidR="00FD2A48" w:rsidRPr="0040294D">
        <w:rPr>
          <w:bCs/>
          <w:i/>
          <w:color w:val="000000" w:themeColor="text1"/>
          <w:lang w:val="en-GB"/>
        </w:rPr>
        <w:t>t</w:t>
      </w:r>
      <w:proofErr w:type="spellEnd"/>
      <w:r w:rsidR="00FD2A48" w:rsidRPr="0040294D">
        <w:rPr>
          <w:bCs/>
          <w:i/>
          <w:color w:val="000000" w:themeColor="text1"/>
          <w:lang w:val="en-GB"/>
        </w:rPr>
        <w:t xml:space="preserve"> </w:t>
      </w:r>
      <w:r w:rsidR="00FD2A48" w:rsidRPr="0040294D">
        <w:rPr>
          <w:bCs/>
          <w:color w:val="000000" w:themeColor="text1"/>
          <w:lang w:val="en-GB"/>
        </w:rPr>
        <w:t xml:space="preserve">(with an upper bound corresponding to the end of the period at risk in December 2016). To estimate this hazard rate of acquisition divestment, we first dummy-coded all acquisitions in the sample </w:t>
      </w:r>
      <w:r w:rsidR="00FD2A48" w:rsidRPr="0040294D">
        <w:rPr>
          <w:color w:val="000000" w:themeColor="text1"/>
          <w:lang w:val="en-GB"/>
        </w:rPr>
        <w:t xml:space="preserve">(1 for divested or bankrupted acquisitions and 0 for retained acquisitions): overall, 128 acquisitions were divested, amounting to a divestment rate of 26.2%. We then computed a duration </w:t>
      </w:r>
      <w:r w:rsidR="00EF10AC" w:rsidRPr="0040294D">
        <w:rPr>
          <w:lang w:val="en-GB"/>
        </w:rPr>
        <w:t>in years</w:t>
      </w:r>
      <w:r w:rsidR="00EF10AC" w:rsidRPr="0040294D">
        <w:rPr>
          <w:color w:val="000000" w:themeColor="text1"/>
          <w:lang w:val="en-GB"/>
        </w:rPr>
        <w:t xml:space="preserve"> </w:t>
      </w:r>
      <w:r w:rsidR="00FD2A48" w:rsidRPr="0040294D">
        <w:rPr>
          <w:color w:val="000000" w:themeColor="text1"/>
          <w:lang w:val="en-GB"/>
        </w:rPr>
        <w:t xml:space="preserve">for all acquisitions by comparing their acquisition date either with the divestment date </w:t>
      </w:r>
      <w:r w:rsidR="002E2B2B" w:rsidRPr="0040294D">
        <w:rPr>
          <w:color w:val="000000" w:themeColor="text1"/>
          <w:lang w:val="en-GB"/>
        </w:rPr>
        <w:t>(</w:t>
      </w:r>
      <w:r w:rsidR="00FD2A48" w:rsidRPr="0040294D">
        <w:rPr>
          <w:color w:val="000000" w:themeColor="text1"/>
          <w:lang w:val="en-GB"/>
        </w:rPr>
        <w:t>for divested acquisitions</w:t>
      </w:r>
      <w:r w:rsidR="002E2B2B" w:rsidRPr="0040294D">
        <w:rPr>
          <w:color w:val="000000" w:themeColor="text1"/>
          <w:lang w:val="en-GB"/>
        </w:rPr>
        <w:t>)</w:t>
      </w:r>
      <w:r w:rsidR="00FD2A48" w:rsidRPr="0040294D">
        <w:rPr>
          <w:color w:val="000000" w:themeColor="text1"/>
          <w:lang w:val="en-GB"/>
        </w:rPr>
        <w:t xml:space="preserve"> or with the end of the period at risk in December 2016 </w:t>
      </w:r>
      <w:r w:rsidR="002E2B2B" w:rsidRPr="0040294D">
        <w:rPr>
          <w:color w:val="000000" w:themeColor="text1"/>
          <w:lang w:val="en-GB"/>
        </w:rPr>
        <w:t>(</w:t>
      </w:r>
      <w:r w:rsidR="00FD2A48" w:rsidRPr="0040294D">
        <w:rPr>
          <w:color w:val="000000" w:themeColor="text1"/>
          <w:lang w:val="en-GB"/>
        </w:rPr>
        <w:t>for retained acquisitions</w:t>
      </w:r>
      <w:r w:rsidR="002E2B2B" w:rsidRPr="0040294D">
        <w:rPr>
          <w:color w:val="000000" w:themeColor="text1"/>
          <w:lang w:val="en-GB"/>
        </w:rPr>
        <w:t>)</w:t>
      </w:r>
      <w:r w:rsidR="00FD2A48" w:rsidRPr="0040294D">
        <w:rPr>
          <w:color w:val="000000" w:themeColor="text1"/>
          <w:lang w:val="en-GB"/>
        </w:rPr>
        <w:t>.</w:t>
      </w:r>
    </w:p>
    <w:p w14:paraId="60A08E5D" w14:textId="58DBD95F" w:rsidR="00FD2A48" w:rsidRPr="0040294D" w:rsidRDefault="00FD2A48" w:rsidP="00607F07">
      <w:pPr>
        <w:spacing w:line="480" w:lineRule="auto"/>
        <w:jc w:val="both"/>
        <w:rPr>
          <w:color w:val="000000" w:themeColor="text1"/>
          <w:lang w:val="en-GB"/>
        </w:rPr>
      </w:pPr>
      <w:r w:rsidRPr="0040294D">
        <w:rPr>
          <w:i/>
          <w:color w:val="000000" w:themeColor="text1"/>
          <w:lang w:val="en-GB"/>
        </w:rPr>
        <w:t>Independent variable</w:t>
      </w:r>
      <w:r w:rsidRPr="0040294D">
        <w:rPr>
          <w:color w:val="000000" w:themeColor="text1"/>
          <w:lang w:val="en-GB"/>
        </w:rPr>
        <w:t xml:space="preserve">. </w:t>
      </w:r>
      <w:r w:rsidRPr="0040294D">
        <w:rPr>
          <w:bCs/>
          <w:color w:val="000000" w:themeColor="text1"/>
          <w:lang w:val="en-GB"/>
        </w:rPr>
        <w:t xml:space="preserve">The level of </w:t>
      </w:r>
      <w:r w:rsidRPr="0040294D">
        <w:rPr>
          <w:bCs/>
          <w:i/>
          <w:color w:val="000000" w:themeColor="text1"/>
          <w:lang w:val="en-GB"/>
        </w:rPr>
        <w:t>acquirer</w:t>
      </w:r>
      <w:r w:rsidRPr="0040294D">
        <w:rPr>
          <w:bCs/>
          <w:color w:val="000000" w:themeColor="text1"/>
          <w:lang w:val="en-GB"/>
        </w:rPr>
        <w:t xml:space="preserve"> </w:t>
      </w:r>
      <w:r w:rsidR="00FA1DA4">
        <w:rPr>
          <w:bCs/>
          <w:i/>
          <w:color w:val="000000" w:themeColor="text1"/>
          <w:lang w:val="en-GB"/>
        </w:rPr>
        <w:t>HRM-quality</w:t>
      </w:r>
      <w:r w:rsidRPr="0040294D">
        <w:rPr>
          <w:bCs/>
          <w:color w:val="000000" w:themeColor="text1"/>
          <w:lang w:val="en-GB"/>
        </w:rPr>
        <w:t xml:space="preserve"> is our independent variable</w:t>
      </w:r>
      <w:r w:rsidR="00607F07">
        <w:rPr>
          <w:bCs/>
          <w:color w:val="000000" w:themeColor="text1"/>
          <w:lang w:val="en-GB"/>
        </w:rPr>
        <w:t>,</w:t>
      </w:r>
      <w:r w:rsidRPr="0040294D">
        <w:rPr>
          <w:bCs/>
          <w:color w:val="000000" w:themeColor="text1"/>
          <w:lang w:val="en-GB"/>
        </w:rPr>
        <w:t xml:space="preserve"> measured </w:t>
      </w:r>
      <w:r w:rsidR="00607F07">
        <w:rPr>
          <w:bCs/>
          <w:color w:val="000000" w:themeColor="text1"/>
          <w:lang w:val="en-GB"/>
        </w:rPr>
        <w:t>via</w:t>
      </w:r>
      <w:r w:rsidRPr="0040294D">
        <w:rPr>
          <w:bCs/>
          <w:color w:val="000000" w:themeColor="text1"/>
          <w:lang w:val="en-GB"/>
        </w:rPr>
        <w:t xml:space="preserve"> </w:t>
      </w:r>
      <w:proofErr w:type="spellStart"/>
      <w:r w:rsidRPr="0040294D">
        <w:rPr>
          <w:bCs/>
          <w:color w:val="000000" w:themeColor="text1"/>
          <w:lang w:val="en-GB"/>
        </w:rPr>
        <w:t>Vigeo</w:t>
      </w:r>
      <w:r w:rsidRPr="0040294D">
        <w:rPr>
          <w:color w:val="000000" w:themeColor="text1"/>
          <w:lang w:val="en-GB"/>
        </w:rPr>
        <w:t>’s</w:t>
      </w:r>
      <w:proofErr w:type="spellEnd"/>
      <w:r w:rsidRPr="0040294D">
        <w:rPr>
          <w:color w:val="000000" w:themeColor="text1"/>
          <w:lang w:val="en-GB"/>
        </w:rPr>
        <w:t xml:space="preserve"> ESG ratings. Every year, </w:t>
      </w:r>
      <w:proofErr w:type="spellStart"/>
      <w:r w:rsidRPr="0040294D">
        <w:rPr>
          <w:color w:val="000000" w:themeColor="text1"/>
          <w:lang w:val="en-GB"/>
        </w:rPr>
        <w:t>Vigeo</w:t>
      </w:r>
      <w:proofErr w:type="spellEnd"/>
      <w:r w:rsidRPr="0040294D">
        <w:rPr>
          <w:color w:val="000000" w:themeColor="text1"/>
          <w:lang w:val="en-GB"/>
        </w:rPr>
        <w:t xml:space="preserve"> assesses the practices and performance of French firms according to 38 ESG issues that are grouped into different scores. We collected the time-varying</w:t>
      </w:r>
      <w:r w:rsidR="0040294D">
        <w:rPr>
          <w:color w:val="000000" w:themeColor="text1"/>
          <w:lang w:val="en-GB"/>
        </w:rPr>
        <w:t xml:space="preserve"> ‘</w:t>
      </w:r>
      <w:r w:rsidRPr="0040294D">
        <w:rPr>
          <w:i/>
          <w:color w:val="000000" w:themeColor="text1"/>
          <w:lang w:val="en-GB"/>
        </w:rPr>
        <w:t>human resources</w:t>
      </w:r>
      <w:r w:rsidR="0040294D">
        <w:rPr>
          <w:color w:val="000000" w:themeColor="text1"/>
          <w:lang w:val="en-GB"/>
        </w:rPr>
        <w:t>’</w:t>
      </w:r>
      <w:r w:rsidRPr="0040294D">
        <w:rPr>
          <w:color w:val="000000" w:themeColor="text1"/>
          <w:lang w:val="en-GB"/>
        </w:rPr>
        <w:t xml:space="preserve"> score</w:t>
      </w:r>
      <w:r w:rsidR="00607F07">
        <w:rPr>
          <w:bCs/>
          <w:color w:val="000000" w:themeColor="text1"/>
          <w:lang w:val="en-GB"/>
        </w:rPr>
        <w:t>, which</w:t>
      </w:r>
      <w:r w:rsidRPr="0040294D">
        <w:rPr>
          <w:color w:val="000000" w:themeColor="text1"/>
          <w:lang w:val="en-GB"/>
        </w:rPr>
        <w:t xml:space="preserve"> </w:t>
      </w:r>
      <w:r w:rsidR="002E2B2B" w:rsidRPr="0040294D">
        <w:rPr>
          <w:color w:val="000000" w:themeColor="text1"/>
          <w:lang w:val="en-GB"/>
        </w:rPr>
        <w:t>consolidates</w:t>
      </w:r>
      <w:r w:rsidR="002E2B2B" w:rsidRPr="0040294D" w:rsidDel="002E2B2B">
        <w:rPr>
          <w:color w:val="000000" w:themeColor="text1"/>
          <w:lang w:val="en-GB"/>
        </w:rPr>
        <w:t xml:space="preserve"> </w:t>
      </w:r>
      <w:r w:rsidRPr="0040294D">
        <w:rPr>
          <w:color w:val="000000" w:themeColor="text1"/>
          <w:lang w:val="en-GB"/>
        </w:rPr>
        <w:t xml:space="preserve">data on </w:t>
      </w:r>
      <w:r w:rsidR="002E2B2B" w:rsidRPr="0040294D">
        <w:rPr>
          <w:color w:val="000000" w:themeColor="text1"/>
          <w:lang w:val="en-GB"/>
        </w:rPr>
        <w:t xml:space="preserve">the following topics: </w:t>
      </w:r>
      <w:r w:rsidRPr="0040294D">
        <w:rPr>
          <w:color w:val="000000" w:themeColor="text1"/>
          <w:lang w:val="en-GB"/>
        </w:rPr>
        <w:t xml:space="preserve">promotion of </w:t>
      </w:r>
      <w:r w:rsidR="00CC299C" w:rsidRPr="0040294D">
        <w:rPr>
          <w:color w:val="000000" w:themeColor="text1"/>
          <w:lang w:val="en-GB"/>
        </w:rPr>
        <w:t>labour</w:t>
      </w:r>
      <w:r w:rsidRPr="0040294D">
        <w:rPr>
          <w:color w:val="000000" w:themeColor="text1"/>
          <w:lang w:val="en-GB"/>
        </w:rPr>
        <w:t xml:space="preserve"> relations</w:t>
      </w:r>
      <w:r w:rsidR="002E2B2B" w:rsidRPr="0040294D">
        <w:rPr>
          <w:color w:val="000000" w:themeColor="text1"/>
          <w:lang w:val="en-GB"/>
        </w:rPr>
        <w:t>;</w:t>
      </w:r>
      <w:r w:rsidRPr="0040294D">
        <w:rPr>
          <w:color w:val="000000" w:themeColor="text1"/>
          <w:lang w:val="en-GB"/>
        </w:rPr>
        <w:t xml:space="preserve"> encourag</w:t>
      </w:r>
      <w:r w:rsidR="002E2B2B" w:rsidRPr="0040294D">
        <w:rPr>
          <w:color w:val="000000" w:themeColor="text1"/>
          <w:lang w:val="en-GB"/>
        </w:rPr>
        <w:t>ement of</w:t>
      </w:r>
      <w:r w:rsidRPr="0040294D">
        <w:rPr>
          <w:color w:val="000000" w:themeColor="text1"/>
          <w:lang w:val="en-GB"/>
        </w:rPr>
        <w:t xml:space="preserve"> employee participation</w:t>
      </w:r>
      <w:r w:rsidR="002E2B2B" w:rsidRPr="0040294D">
        <w:rPr>
          <w:color w:val="000000" w:themeColor="text1"/>
          <w:lang w:val="en-GB"/>
        </w:rPr>
        <w:t>;</w:t>
      </w:r>
      <w:r w:rsidRPr="0040294D">
        <w:rPr>
          <w:color w:val="000000" w:themeColor="text1"/>
          <w:lang w:val="en-GB"/>
        </w:rPr>
        <w:t xml:space="preserve"> career development</w:t>
      </w:r>
      <w:r w:rsidR="002E2B2B" w:rsidRPr="0040294D">
        <w:rPr>
          <w:color w:val="000000" w:themeColor="text1"/>
          <w:lang w:val="en-GB"/>
        </w:rPr>
        <w:t>;</w:t>
      </w:r>
      <w:r w:rsidRPr="0040294D">
        <w:rPr>
          <w:color w:val="000000" w:themeColor="text1"/>
          <w:lang w:val="en-GB"/>
        </w:rPr>
        <w:t xml:space="preserve"> responsible management of restructurings</w:t>
      </w:r>
      <w:r w:rsidR="002E2B2B" w:rsidRPr="0040294D">
        <w:rPr>
          <w:color w:val="000000" w:themeColor="text1"/>
          <w:lang w:val="en-GB"/>
        </w:rPr>
        <w:t>;</w:t>
      </w:r>
      <w:r w:rsidRPr="0040294D">
        <w:rPr>
          <w:color w:val="000000" w:themeColor="text1"/>
          <w:lang w:val="en-GB"/>
        </w:rPr>
        <w:t xml:space="preserve"> career management and promotion of employability</w:t>
      </w:r>
      <w:r w:rsidR="002E2B2B" w:rsidRPr="0040294D">
        <w:rPr>
          <w:color w:val="000000" w:themeColor="text1"/>
          <w:lang w:val="en-GB"/>
        </w:rPr>
        <w:t>;</w:t>
      </w:r>
      <w:r w:rsidRPr="0040294D">
        <w:rPr>
          <w:color w:val="000000" w:themeColor="text1"/>
          <w:lang w:val="en-GB"/>
        </w:rPr>
        <w:t xml:space="preserve"> quality of remuneration systems</w:t>
      </w:r>
      <w:r w:rsidR="002E2B2B" w:rsidRPr="0040294D">
        <w:rPr>
          <w:color w:val="000000" w:themeColor="text1"/>
          <w:lang w:val="en-GB"/>
        </w:rPr>
        <w:t>;</w:t>
      </w:r>
      <w:r w:rsidRPr="0040294D">
        <w:rPr>
          <w:color w:val="000000" w:themeColor="text1"/>
          <w:lang w:val="en-GB"/>
        </w:rPr>
        <w:t xml:space="preserve"> improvement of health and safety conditions</w:t>
      </w:r>
      <w:r w:rsidR="002E2B2B" w:rsidRPr="0040294D">
        <w:rPr>
          <w:color w:val="000000" w:themeColor="text1"/>
          <w:lang w:val="en-GB"/>
        </w:rPr>
        <w:t>;</w:t>
      </w:r>
      <w:r w:rsidRPr="0040294D">
        <w:rPr>
          <w:color w:val="000000" w:themeColor="text1"/>
          <w:lang w:val="en-GB"/>
        </w:rPr>
        <w:t xml:space="preserve"> </w:t>
      </w:r>
      <w:r w:rsidR="002E2B2B" w:rsidRPr="0040294D">
        <w:rPr>
          <w:color w:val="000000" w:themeColor="text1"/>
          <w:lang w:val="en-GB"/>
        </w:rPr>
        <w:t xml:space="preserve">and </w:t>
      </w:r>
      <w:r w:rsidR="00C1635A" w:rsidRPr="0040294D">
        <w:rPr>
          <w:color w:val="000000" w:themeColor="text1"/>
          <w:lang w:val="en-GB"/>
        </w:rPr>
        <w:t>observance</w:t>
      </w:r>
      <w:r w:rsidR="00C1635A" w:rsidRPr="0040294D" w:rsidDel="00C1635A">
        <w:rPr>
          <w:color w:val="000000" w:themeColor="text1"/>
          <w:lang w:val="en-GB"/>
        </w:rPr>
        <w:t xml:space="preserve"> </w:t>
      </w:r>
      <w:r w:rsidRPr="0040294D">
        <w:rPr>
          <w:color w:val="000000" w:themeColor="text1"/>
          <w:lang w:val="en-GB"/>
        </w:rPr>
        <w:t xml:space="preserve">and management of working hours. </w:t>
      </w:r>
      <w:r w:rsidR="00C1635A" w:rsidRPr="0040294D">
        <w:rPr>
          <w:color w:val="000000" w:themeColor="text1"/>
          <w:lang w:val="en-GB"/>
        </w:rPr>
        <w:t>Thus</w:t>
      </w:r>
      <w:r w:rsidRPr="0040294D">
        <w:rPr>
          <w:color w:val="000000" w:themeColor="text1"/>
          <w:lang w:val="en-GB"/>
        </w:rPr>
        <w:t xml:space="preserve">, this score provides an assessment of the acquirer’s </w:t>
      </w:r>
      <w:r w:rsidR="00FA1DA4">
        <w:rPr>
          <w:color w:val="000000" w:themeColor="text1"/>
          <w:lang w:val="en-GB"/>
        </w:rPr>
        <w:t>HRM-quality</w:t>
      </w:r>
      <w:r w:rsidRPr="0040294D">
        <w:rPr>
          <w:color w:val="000000" w:themeColor="text1"/>
          <w:lang w:val="en-GB"/>
        </w:rPr>
        <w:t xml:space="preserve"> and, more generally, of the acquirer’s social </w:t>
      </w:r>
      <w:proofErr w:type="spellStart"/>
      <w:r w:rsidR="00CC299C" w:rsidRPr="0040294D">
        <w:rPr>
          <w:color w:val="000000" w:themeColor="text1"/>
          <w:lang w:val="en-GB"/>
        </w:rPr>
        <w:t>behavior</w:t>
      </w:r>
      <w:proofErr w:type="spellEnd"/>
      <w:r w:rsidRPr="0040294D">
        <w:rPr>
          <w:color w:val="000000" w:themeColor="text1"/>
          <w:lang w:val="en-GB"/>
        </w:rPr>
        <w:t xml:space="preserve"> and performance. The time-varying</w:t>
      </w:r>
      <w:r w:rsidR="0040294D">
        <w:rPr>
          <w:color w:val="000000" w:themeColor="text1"/>
          <w:lang w:val="en-GB"/>
        </w:rPr>
        <w:t xml:space="preserve"> ‘</w:t>
      </w:r>
      <w:r w:rsidRPr="0040294D">
        <w:rPr>
          <w:i/>
          <w:color w:val="000000" w:themeColor="text1"/>
          <w:lang w:val="en-GB"/>
        </w:rPr>
        <w:t>human resources</w:t>
      </w:r>
      <w:r w:rsidR="0040294D">
        <w:rPr>
          <w:color w:val="000000" w:themeColor="text1"/>
          <w:lang w:val="en-GB"/>
        </w:rPr>
        <w:t>’</w:t>
      </w:r>
      <w:r w:rsidRPr="0040294D">
        <w:rPr>
          <w:color w:val="000000" w:themeColor="text1"/>
          <w:lang w:val="en-GB"/>
        </w:rPr>
        <w:t xml:space="preserve"> score</w:t>
      </w:r>
      <w:r w:rsidRPr="0040294D">
        <w:rPr>
          <w:bCs/>
          <w:color w:val="000000" w:themeColor="text1"/>
          <w:lang w:val="en-GB"/>
        </w:rPr>
        <w:t xml:space="preserve"> in </w:t>
      </w:r>
      <w:r w:rsidRPr="0040294D">
        <w:rPr>
          <w:color w:val="000000" w:themeColor="text1"/>
          <w:lang w:val="en-GB"/>
        </w:rPr>
        <w:t xml:space="preserve">the </w:t>
      </w:r>
      <w:proofErr w:type="spellStart"/>
      <w:r w:rsidRPr="0040294D">
        <w:rPr>
          <w:color w:val="000000" w:themeColor="text1"/>
          <w:lang w:val="en-GB"/>
        </w:rPr>
        <w:t>Vigeo</w:t>
      </w:r>
      <w:proofErr w:type="spellEnd"/>
      <w:r w:rsidRPr="0040294D">
        <w:rPr>
          <w:color w:val="000000" w:themeColor="text1"/>
          <w:lang w:val="en-GB"/>
        </w:rPr>
        <w:t xml:space="preserve"> database ranges from 0 (minimum) to 1 (maximum).</w:t>
      </w:r>
    </w:p>
    <w:p w14:paraId="0A827EF3" w14:textId="14DE8D7C" w:rsidR="00FD2A48" w:rsidRPr="0040294D" w:rsidRDefault="00FD2A48" w:rsidP="00607F07">
      <w:pPr>
        <w:spacing w:line="480" w:lineRule="auto"/>
        <w:jc w:val="both"/>
        <w:rPr>
          <w:bCs/>
          <w:color w:val="000000" w:themeColor="text1"/>
          <w:lang w:val="en-GB"/>
        </w:rPr>
      </w:pPr>
      <w:r w:rsidRPr="0040294D">
        <w:rPr>
          <w:bCs/>
          <w:i/>
          <w:color w:val="000000" w:themeColor="text1"/>
          <w:lang w:val="en-GB"/>
        </w:rPr>
        <w:t>Moderating variable</w:t>
      </w:r>
      <w:r w:rsidRPr="0040294D">
        <w:rPr>
          <w:bCs/>
          <w:color w:val="000000" w:themeColor="text1"/>
          <w:lang w:val="en-GB"/>
        </w:rPr>
        <w:t xml:space="preserve">. We measured </w:t>
      </w:r>
      <w:r w:rsidRPr="0040294D">
        <w:rPr>
          <w:bCs/>
          <w:i/>
          <w:color w:val="000000" w:themeColor="text1"/>
          <w:lang w:val="en-GB"/>
        </w:rPr>
        <w:t xml:space="preserve">acquirer </w:t>
      </w:r>
      <w:r w:rsidR="00FA1DA4">
        <w:rPr>
          <w:bCs/>
          <w:i/>
          <w:color w:val="000000" w:themeColor="text1"/>
          <w:lang w:val="en-GB"/>
        </w:rPr>
        <w:t>financial</w:t>
      </w:r>
      <w:r w:rsidR="00D571DF">
        <w:rPr>
          <w:bCs/>
          <w:i/>
          <w:color w:val="000000" w:themeColor="text1"/>
          <w:lang w:val="en-GB"/>
        </w:rPr>
        <w:t xml:space="preserve"> </w:t>
      </w:r>
      <w:r w:rsidR="00FA1DA4">
        <w:rPr>
          <w:bCs/>
          <w:i/>
          <w:color w:val="000000" w:themeColor="text1"/>
          <w:lang w:val="en-GB"/>
        </w:rPr>
        <w:t>slack</w:t>
      </w:r>
      <w:r w:rsidRPr="0040294D">
        <w:rPr>
          <w:bCs/>
          <w:color w:val="000000" w:themeColor="text1"/>
          <w:lang w:val="en-GB"/>
        </w:rPr>
        <w:t xml:space="preserve"> using the long-term debt-to-equity ratio. Consistent with prior studies on acquisitions (Finkelstein and </w:t>
      </w:r>
      <w:proofErr w:type="spellStart"/>
      <w:r w:rsidRPr="0040294D">
        <w:rPr>
          <w:bCs/>
          <w:color w:val="000000" w:themeColor="text1"/>
          <w:lang w:val="en-GB"/>
        </w:rPr>
        <w:t>Haleblian</w:t>
      </w:r>
      <w:proofErr w:type="spellEnd"/>
      <w:r w:rsidRPr="0040294D">
        <w:rPr>
          <w:bCs/>
          <w:color w:val="000000" w:themeColor="text1"/>
          <w:lang w:val="en-GB"/>
        </w:rPr>
        <w:t xml:space="preserve">, 2002; Hayward and Shimizu, 2006; </w:t>
      </w:r>
      <w:r w:rsidRPr="0040294D">
        <w:rPr>
          <w:color w:val="000000" w:themeColor="text1"/>
          <w:lang w:val="en-GB"/>
        </w:rPr>
        <w:t xml:space="preserve">Iyer and Miller, 2008; </w:t>
      </w:r>
      <w:r w:rsidRPr="0040294D">
        <w:rPr>
          <w:bCs/>
          <w:color w:val="000000" w:themeColor="text1"/>
          <w:lang w:val="en-GB"/>
        </w:rPr>
        <w:t xml:space="preserve">Shimizu, 2007), we viewed debt as a </w:t>
      </w:r>
      <w:r w:rsidR="00607F07">
        <w:rPr>
          <w:bCs/>
          <w:color w:val="000000" w:themeColor="text1"/>
          <w:lang w:val="en-GB"/>
        </w:rPr>
        <w:t>valid</w:t>
      </w:r>
      <w:r w:rsidRPr="0040294D">
        <w:rPr>
          <w:bCs/>
          <w:color w:val="000000" w:themeColor="text1"/>
          <w:lang w:val="en-GB"/>
        </w:rPr>
        <w:t xml:space="preserve"> indication of the acquirer’s potentially available financial resources that may be </w:t>
      </w:r>
      <w:r w:rsidRPr="0040294D">
        <w:rPr>
          <w:color w:val="000000" w:themeColor="text1"/>
          <w:lang w:val="en-GB" w:eastAsia="zh-CN"/>
        </w:rPr>
        <w:t xml:space="preserve">used to facilitate post-acquisition </w:t>
      </w:r>
      <w:r w:rsidRPr="0040294D">
        <w:rPr>
          <w:color w:val="000000" w:themeColor="text1"/>
          <w:lang w:val="en-GB" w:eastAsia="zh-CN"/>
        </w:rPr>
        <w:lastRenderedPageBreak/>
        <w:t>integration</w:t>
      </w:r>
      <w:r w:rsidRPr="0040294D">
        <w:rPr>
          <w:bCs/>
          <w:color w:val="000000" w:themeColor="text1"/>
          <w:lang w:val="en-GB"/>
        </w:rPr>
        <w:t xml:space="preserve">. </w:t>
      </w:r>
      <w:r w:rsidR="00607F07">
        <w:rPr>
          <w:bCs/>
          <w:color w:val="000000" w:themeColor="text1"/>
          <w:lang w:val="en-GB"/>
        </w:rPr>
        <w:t>W</w:t>
      </w:r>
      <w:r w:rsidRPr="0040294D">
        <w:rPr>
          <w:bCs/>
          <w:color w:val="000000" w:themeColor="text1"/>
          <w:lang w:val="en-GB"/>
        </w:rPr>
        <w:t>e calculated the debt ratio by only taking into account long-term debt</w:t>
      </w:r>
      <w:r w:rsidR="00C1635A" w:rsidRPr="0040294D">
        <w:rPr>
          <w:bCs/>
          <w:color w:val="000000" w:themeColor="text1"/>
          <w:lang w:val="en-GB"/>
        </w:rPr>
        <w:t>,</w:t>
      </w:r>
      <w:r w:rsidRPr="0040294D">
        <w:rPr>
          <w:bCs/>
          <w:color w:val="000000" w:themeColor="text1"/>
          <w:lang w:val="en-GB"/>
        </w:rPr>
        <w:t xml:space="preserve"> </w:t>
      </w:r>
      <w:r w:rsidR="00C1635A" w:rsidRPr="0040294D">
        <w:rPr>
          <w:bCs/>
          <w:color w:val="000000" w:themeColor="text1"/>
          <w:lang w:val="en-GB"/>
        </w:rPr>
        <w:t xml:space="preserve">since </w:t>
      </w:r>
      <w:r w:rsidRPr="0040294D">
        <w:rPr>
          <w:bCs/>
          <w:color w:val="000000" w:themeColor="text1"/>
          <w:lang w:val="en-GB"/>
        </w:rPr>
        <w:t xml:space="preserve">our aim was to measure a </w:t>
      </w:r>
      <w:r w:rsidR="00FA1DA4">
        <w:rPr>
          <w:bCs/>
          <w:color w:val="000000" w:themeColor="text1"/>
          <w:lang w:val="en-GB"/>
        </w:rPr>
        <w:t>financial</w:t>
      </w:r>
      <w:r w:rsidR="00D571DF">
        <w:rPr>
          <w:bCs/>
          <w:color w:val="000000" w:themeColor="text1"/>
          <w:lang w:val="en-GB"/>
        </w:rPr>
        <w:t xml:space="preserve"> </w:t>
      </w:r>
      <w:r w:rsidR="00FA1DA4">
        <w:rPr>
          <w:bCs/>
          <w:color w:val="000000" w:themeColor="text1"/>
          <w:lang w:val="en-GB"/>
        </w:rPr>
        <w:t>slack</w:t>
      </w:r>
      <w:r w:rsidRPr="0040294D">
        <w:rPr>
          <w:bCs/>
          <w:color w:val="000000" w:themeColor="text1"/>
          <w:lang w:val="en-GB"/>
        </w:rPr>
        <w:t xml:space="preserve"> ratio reflecting the acquirer’s capability to finance </w:t>
      </w:r>
      <w:r w:rsidRPr="0040294D">
        <w:rPr>
          <w:bCs/>
          <w:i/>
          <w:color w:val="000000" w:themeColor="text1"/>
          <w:lang w:val="en-GB"/>
        </w:rPr>
        <w:t>long-term</w:t>
      </w:r>
      <w:r w:rsidRPr="0040294D">
        <w:rPr>
          <w:bCs/>
          <w:color w:val="000000" w:themeColor="text1"/>
          <w:lang w:val="en-GB"/>
        </w:rPr>
        <w:t xml:space="preserve"> corporate needs</w:t>
      </w:r>
      <w:r w:rsidR="0040294D">
        <w:rPr>
          <w:bCs/>
          <w:color w:val="000000" w:themeColor="text1"/>
          <w:lang w:val="en-GB"/>
        </w:rPr>
        <w:t>—</w:t>
      </w:r>
      <w:r w:rsidRPr="0040294D">
        <w:rPr>
          <w:bCs/>
          <w:color w:val="000000" w:themeColor="text1"/>
          <w:lang w:val="en-GB"/>
        </w:rPr>
        <w:t xml:space="preserve">such as necessary </w:t>
      </w:r>
      <w:r w:rsidR="00C1635A" w:rsidRPr="0040294D">
        <w:rPr>
          <w:bCs/>
          <w:color w:val="000000" w:themeColor="text1"/>
          <w:lang w:val="en-GB"/>
        </w:rPr>
        <w:t xml:space="preserve">but </w:t>
      </w:r>
      <w:r w:rsidRPr="0040294D">
        <w:rPr>
          <w:bCs/>
          <w:color w:val="000000" w:themeColor="text1"/>
          <w:lang w:val="en-GB"/>
        </w:rPr>
        <w:t xml:space="preserve">unexpected expenses incurred by any post-acquisition integration. In the regression models, a positive (negative) coefficient for this variable will indicate a negative (positive) impact of </w:t>
      </w:r>
      <w:r w:rsidR="00FA1DA4">
        <w:rPr>
          <w:bCs/>
          <w:color w:val="000000" w:themeColor="text1"/>
          <w:lang w:val="en-GB"/>
        </w:rPr>
        <w:t>financial</w:t>
      </w:r>
      <w:r w:rsidR="00187E65">
        <w:rPr>
          <w:bCs/>
          <w:color w:val="000000" w:themeColor="text1"/>
          <w:lang w:val="en-GB"/>
        </w:rPr>
        <w:t xml:space="preserve"> </w:t>
      </w:r>
      <w:r w:rsidR="00FA1DA4">
        <w:rPr>
          <w:bCs/>
          <w:color w:val="000000" w:themeColor="text1"/>
          <w:lang w:val="en-GB"/>
        </w:rPr>
        <w:t>slack</w:t>
      </w:r>
      <w:r w:rsidRPr="0040294D">
        <w:rPr>
          <w:bCs/>
          <w:color w:val="000000" w:themeColor="text1"/>
          <w:lang w:val="en-GB"/>
        </w:rPr>
        <w:t xml:space="preserve"> on the dependent variable.</w:t>
      </w:r>
    </w:p>
    <w:p w14:paraId="4B4CD8BD" w14:textId="62608F93" w:rsidR="00FD2A48" w:rsidRPr="0040294D" w:rsidRDefault="00FD2A48" w:rsidP="00607F07">
      <w:pPr>
        <w:spacing w:line="480" w:lineRule="auto"/>
        <w:jc w:val="both"/>
        <w:rPr>
          <w:bCs/>
          <w:color w:val="000000" w:themeColor="text1"/>
          <w:lang w:val="en-GB"/>
        </w:rPr>
      </w:pPr>
      <w:r w:rsidRPr="0040294D">
        <w:rPr>
          <w:bCs/>
          <w:i/>
          <w:color w:val="000000" w:themeColor="text1"/>
          <w:lang w:val="en-GB"/>
        </w:rPr>
        <w:t>Control variables</w:t>
      </w:r>
      <w:r w:rsidRPr="0040294D">
        <w:rPr>
          <w:bCs/>
          <w:color w:val="000000" w:themeColor="text1"/>
          <w:lang w:val="en-GB"/>
        </w:rPr>
        <w:t xml:space="preserve">. The literature on acquisition performance and divestment has identified several variables at acquirer, acquisition, and acquired firm levels that may affect the probability of </w:t>
      </w:r>
      <w:r w:rsidR="00FA1DA4">
        <w:rPr>
          <w:bCs/>
          <w:color w:val="000000" w:themeColor="text1"/>
          <w:lang w:val="en-GB"/>
        </w:rPr>
        <w:t>cross-border</w:t>
      </w:r>
      <w:r w:rsidR="00187E65">
        <w:rPr>
          <w:bCs/>
          <w:color w:val="000000" w:themeColor="text1"/>
          <w:lang w:val="en-GB"/>
        </w:rPr>
        <w:t xml:space="preserve"> </w:t>
      </w:r>
      <w:r w:rsidR="00FA1DA4">
        <w:rPr>
          <w:bCs/>
          <w:color w:val="000000" w:themeColor="text1"/>
          <w:lang w:val="en-GB"/>
        </w:rPr>
        <w:t>acquisition</w:t>
      </w:r>
      <w:r w:rsidRPr="0040294D">
        <w:rPr>
          <w:bCs/>
          <w:color w:val="000000" w:themeColor="text1"/>
          <w:lang w:val="en-GB"/>
        </w:rPr>
        <w:t xml:space="preserve"> divestment (</w:t>
      </w:r>
      <w:proofErr w:type="spellStart"/>
      <w:r w:rsidRPr="0040294D">
        <w:rPr>
          <w:bCs/>
          <w:color w:val="000000" w:themeColor="text1"/>
          <w:lang w:val="en-GB"/>
        </w:rPr>
        <w:t>Brauer</w:t>
      </w:r>
      <w:proofErr w:type="spellEnd"/>
      <w:r w:rsidRPr="0040294D">
        <w:rPr>
          <w:bCs/>
          <w:color w:val="000000" w:themeColor="text1"/>
          <w:lang w:val="en-GB"/>
        </w:rPr>
        <w:t xml:space="preserve"> and Wiersema, 2012; Hayward and Shimizu, 2006; Kolev, 2016; </w:t>
      </w:r>
      <w:proofErr w:type="spellStart"/>
      <w:r w:rsidRPr="0040294D">
        <w:rPr>
          <w:bCs/>
          <w:color w:val="000000" w:themeColor="text1"/>
          <w:lang w:val="en-GB"/>
        </w:rPr>
        <w:t>Meschi</w:t>
      </w:r>
      <w:proofErr w:type="spellEnd"/>
      <w:r w:rsidRPr="0040294D">
        <w:rPr>
          <w:bCs/>
          <w:color w:val="000000" w:themeColor="text1"/>
          <w:lang w:val="en-GB"/>
        </w:rPr>
        <w:t xml:space="preserve"> and </w:t>
      </w:r>
      <w:proofErr w:type="spellStart"/>
      <w:r w:rsidRPr="0040294D">
        <w:rPr>
          <w:bCs/>
          <w:color w:val="000000" w:themeColor="text1"/>
          <w:lang w:val="en-GB"/>
        </w:rPr>
        <w:t>Métais</w:t>
      </w:r>
      <w:proofErr w:type="spellEnd"/>
      <w:r w:rsidRPr="0040294D">
        <w:rPr>
          <w:bCs/>
          <w:color w:val="000000" w:themeColor="text1"/>
          <w:lang w:val="en-GB"/>
        </w:rPr>
        <w:t>, 2015). As regards acquirer-level controls, we included a series of variables</w:t>
      </w:r>
      <w:r w:rsidR="00270D9E" w:rsidRPr="0040294D">
        <w:rPr>
          <w:bCs/>
          <w:color w:val="000000" w:themeColor="text1"/>
          <w:lang w:val="en-GB"/>
        </w:rPr>
        <w:t>,</w:t>
      </w:r>
      <w:r w:rsidRPr="0040294D">
        <w:rPr>
          <w:bCs/>
          <w:color w:val="000000" w:themeColor="text1"/>
          <w:lang w:val="en-GB"/>
        </w:rPr>
        <w:t xml:space="preserve"> pertaining to various dimensions of the acquirer’s experience</w:t>
      </w:r>
      <w:r w:rsidR="00270D9E" w:rsidRPr="0040294D">
        <w:rPr>
          <w:bCs/>
          <w:color w:val="000000" w:themeColor="text1"/>
          <w:lang w:val="en-GB"/>
        </w:rPr>
        <w:t>,</w:t>
      </w:r>
      <w:r w:rsidRPr="0040294D">
        <w:rPr>
          <w:bCs/>
          <w:color w:val="000000" w:themeColor="text1"/>
          <w:lang w:val="en-GB"/>
        </w:rPr>
        <w:t xml:space="preserve"> in the regression models: </w:t>
      </w:r>
      <w:r w:rsidRPr="0040294D">
        <w:rPr>
          <w:bCs/>
          <w:i/>
          <w:color w:val="000000" w:themeColor="text1"/>
          <w:lang w:val="en-GB"/>
        </w:rPr>
        <w:t xml:space="preserve">acquirer </w:t>
      </w:r>
      <w:r w:rsidR="00735613">
        <w:rPr>
          <w:bCs/>
          <w:i/>
          <w:color w:val="000000" w:themeColor="text1"/>
          <w:lang w:val="en-GB"/>
        </w:rPr>
        <w:t>internationalization</w:t>
      </w:r>
      <w:r w:rsidR="00735613" w:rsidRPr="0040294D">
        <w:rPr>
          <w:bCs/>
          <w:color w:val="000000" w:themeColor="text1"/>
          <w:lang w:val="en-GB"/>
        </w:rPr>
        <w:t xml:space="preserve"> </w:t>
      </w:r>
      <w:r w:rsidRPr="0040294D">
        <w:rPr>
          <w:bCs/>
          <w:color w:val="000000" w:themeColor="text1"/>
          <w:lang w:val="en-GB"/>
        </w:rPr>
        <w:t xml:space="preserve">(measured by the acquirer’s foreign sales-to-total sales ratio); </w:t>
      </w:r>
      <w:r w:rsidRPr="0040294D">
        <w:rPr>
          <w:bCs/>
          <w:i/>
          <w:color w:val="000000" w:themeColor="text1"/>
          <w:lang w:val="en-GB"/>
        </w:rPr>
        <w:t>acquirer experience with the US</w:t>
      </w:r>
      <w:r w:rsidRPr="0040294D">
        <w:rPr>
          <w:bCs/>
          <w:color w:val="000000" w:themeColor="text1"/>
          <w:lang w:val="en-GB"/>
        </w:rPr>
        <w:t xml:space="preserve"> (measured in number of years since the acquirer’s first entry into the US market, whatever the entry mode, logarithmically transformed); </w:t>
      </w:r>
      <w:r w:rsidRPr="0040294D">
        <w:rPr>
          <w:bCs/>
          <w:i/>
          <w:color w:val="000000" w:themeColor="text1"/>
          <w:lang w:val="en-GB"/>
        </w:rPr>
        <w:t>acquirer experience with US acquisitions</w:t>
      </w:r>
      <w:r w:rsidRPr="0040294D">
        <w:rPr>
          <w:bCs/>
          <w:color w:val="000000" w:themeColor="text1"/>
          <w:lang w:val="en-GB"/>
        </w:rPr>
        <w:t xml:space="preserve"> (measured by the cumulated number of US acquisitions conducted by the acquirer in the ten years preceding the focal acquisition, logarithmically transformed); and </w:t>
      </w:r>
      <w:r w:rsidRPr="0040294D">
        <w:rPr>
          <w:bCs/>
          <w:i/>
          <w:color w:val="000000" w:themeColor="text1"/>
          <w:lang w:val="en-GB"/>
        </w:rPr>
        <w:t>acquirer experience with US divestments</w:t>
      </w:r>
      <w:r w:rsidRPr="0040294D">
        <w:rPr>
          <w:bCs/>
          <w:color w:val="000000" w:themeColor="text1"/>
          <w:lang w:val="en-GB"/>
        </w:rPr>
        <w:t xml:space="preserve"> (measured by the cumulated number of US acquisitions that were divested </w:t>
      </w:r>
      <w:r w:rsidR="00607F07">
        <w:rPr>
          <w:bCs/>
          <w:color w:val="000000" w:themeColor="text1"/>
          <w:lang w:val="en-GB"/>
        </w:rPr>
        <w:t>within</w:t>
      </w:r>
      <w:r w:rsidRPr="0040294D">
        <w:rPr>
          <w:bCs/>
          <w:color w:val="000000" w:themeColor="text1"/>
          <w:lang w:val="en-GB"/>
        </w:rPr>
        <w:t xml:space="preserve"> ten years preceding the focal acquisition, logarithmically transformed).</w:t>
      </w:r>
    </w:p>
    <w:p w14:paraId="5E23A7CB" w14:textId="5D68B444" w:rsidR="00FD2A48" w:rsidRPr="0040294D" w:rsidRDefault="00FD2A48" w:rsidP="00607F07">
      <w:pPr>
        <w:spacing w:line="480" w:lineRule="auto"/>
        <w:ind w:firstLine="284"/>
        <w:jc w:val="both"/>
        <w:rPr>
          <w:bCs/>
          <w:color w:val="000000" w:themeColor="text1"/>
          <w:lang w:val="en-GB"/>
        </w:rPr>
      </w:pPr>
      <w:r w:rsidRPr="0040294D">
        <w:rPr>
          <w:bCs/>
          <w:color w:val="000000" w:themeColor="text1"/>
          <w:lang w:val="en-GB"/>
        </w:rPr>
        <w:t xml:space="preserve">In doing so, </w:t>
      </w:r>
      <w:r w:rsidR="00270D9E" w:rsidRPr="0040294D">
        <w:rPr>
          <w:bCs/>
          <w:color w:val="000000" w:themeColor="text1"/>
          <w:lang w:val="en-GB"/>
        </w:rPr>
        <w:t xml:space="preserve">while </w:t>
      </w:r>
      <w:r w:rsidRPr="0040294D">
        <w:rPr>
          <w:bCs/>
          <w:color w:val="000000" w:themeColor="text1"/>
          <w:lang w:val="en-GB"/>
        </w:rPr>
        <w:t xml:space="preserve">building on a rich literature about experiential learning and acquisition performance, we assumed that experienced acquirers had developed knowledge related to </w:t>
      </w:r>
      <w:r w:rsidR="00CB2B91">
        <w:rPr>
          <w:bCs/>
          <w:color w:val="000000" w:themeColor="text1"/>
          <w:lang w:val="en-GB"/>
        </w:rPr>
        <w:t>internationalization</w:t>
      </w:r>
      <w:r w:rsidRPr="0040294D">
        <w:rPr>
          <w:bCs/>
          <w:color w:val="000000" w:themeColor="text1"/>
          <w:lang w:val="en-GB"/>
        </w:rPr>
        <w:t>, acquisition, and the host country</w:t>
      </w:r>
      <w:r w:rsidR="00270D9E" w:rsidRPr="0040294D">
        <w:rPr>
          <w:bCs/>
          <w:color w:val="000000" w:themeColor="text1"/>
          <w:lang w:val="en-GB"/>
        </w:rPr>
        <w:t xml:space="preserve"> over time</w:t>
      </w:r>
      <w:r w:rsidRPr="0040294D">
        <w:rPr>
          <w:bCs/>
          <w:color w:val="000000" w:themeColor="text1"/>
          <w:lang w:val="en-GB"/>
        </w:rPr>
        <w:t>. This knowledge allowed them to better manage the complex acquisition stages (due diligence and target evaluation, deal negotiation, transaction, and post-acquisition integration) and thus reduce early acquisition divestment</w:t>
      </w:r>
      <w:r w:rsidR="00607F07">
        <w:rPr>
          <w:bCs/>
          <w:color w:val="000000" w:themeColor="text1"/>
          <w:lang w:val="en-GB"/>
        </w:rPr>
        <w:t xml:space="preserve"> </w:t>
      </w:r>
      <w:r w:rsidR="00607F07" w:rsidRPr="0040294D">
        <w:rPr>
          <w:bCs/>
          <w:color w:val="000000" w:themeColor="text1"/>
          <w:lang w:val="en-GB"/>
        </w:rPr>
        <w:t>likelihood</w:t>
      </w:r>
      <w:r w:rsidRPr="0040294D">
        <w:rPr>
          <w:bCs/>
          <w:color w:val="000000" w:themeColor="text1"/>
          <w:lang w:val="en-GB"/>
        </w:rPr>
        <w:t>.</w:t>
      </w:r>
    </w:p>
    <w:p w14:paraId="18E90E7C" w14:textId="77777777" w:rsidR="00FD2A48" w:rsidRPr="0040294D" w:rsidRDefault="00FD2A48" w:rsidP="00FD2A48">
      <w:pPr>
        <w:spacing w:line="480" w:lineRule="auto"/>
        <w:ind w:firstLine="284"/>
        <w:jc w:val="both"/>
        <w:rPr>
          <w:bCs/>
          <w:color w:val="000000" w:themeColor="text1"/>
          <w:lang w:val="en-GB"/>
        </w:rPr>
      </w:pPr>
      <w:r w:rsidRPr="0040294D">
        <w:rPr>
          <w:bCs/>
          <w:color w:val="000000" w:themeColor="text1"/>
          <w:lang w:val="en-GB"/>
        </w:rPr>
        <w:lastRenderedPageBreak/>
        <w:t xml:space="preserve">The last experience control, </w:t>
      </w:r>
      <w:r w:rsidRPr="0040294D">
        <w:rPr>
          <w:bCs/>
          <w:i/>
          <w:color w:val="000000" w:themeColor="text1"/>
          <w:lang w:val="en-GB"/>
        </w:rPr>
        <w:t>acquirer experience with US divestments</w:t>
      </w:r>
      <w:r w:rsidRPr="0040294D">
        <w:rPr>
          <w:bCs/>
          <w:color w:val="000000" w:themeColor="text1"/>
          <w:lang w:val="en-GB"/>
        </w:rPr>
        <w:t>, may be interpreted differently from the other experience controls, for when its level is high, it signals a wave of divestments and sell-offs (</w:t>
      </w:r>
      <w:proofErr w:type="spellStart"/>
      <w:r w:rsidRPr="0040294D">
        <w:rPr>
          <w:bCs/>
          <w:color w:val="000000" w:themeColor="text1"/>
          <w:lang w:val="en-GB"/>
        </w:rPr>
        <w:t>Brauer</w:t>
      </w:r>
      <w:proofErr w:type="spellEnd"/>
      <w:r w:rsidRPr="0040294D">
        <w:rPr>
          <w:bCs/>
          <w:color w:val="000000" w:themeColor="text1"/>
          <w:lang w:val="en-GB"/>
        </w:rPr>
        <w:t xml:space="preserve"> and Wiersema, 2012), which can be part of a broader refocusing and/or debt reduction strategy being progressively implemented by the acquirer. As a consequence, in this specific strategic context the likelihood of further divestments is high.</w:t>
      </w:r>
    </w:p>
    <w:p w14:paraId="3FDD6890" w14:textId="6BF5ADCD" w:rsidR="00FD2A48" w:rsidRPr="0040294D" w:rsidRDefault="00FD2A48" w:rsidP="00FD2A48">
      <w:pPr>
        <w:spacing w:line="480" w:lineRule="auto"/>
        <w:ind w:firstLine="284"/>
        <w:jc w:val="both"/>
        <w:rPr>
          <w:bCs/>
          <w:color w:val="000000" w:themeColor="text1"/>
          <w:lang w:val="en-GB"/>
        </w:rPr>
      </w:pPr>
      <w:r w:rsidRPr="0040294D">
        <w:rPr>
          <w:bCs/>
          <w:color w:val="000000" w:themeColor="text1"/>
          <w:lang w:val="en-GB"/>
        </w:rPr>
        <w:t xml:space="preserve">Second, we controlled for acquirer performance with </w:t>
      </w:r>
      <w:r w:rsidRPr="0040294D">
        <w:rPr>
          <w:i/>
          <w:color w:val="000000" w:themeColor="text1"/>
          <w:lang w:val="en-GB"/>
        </w:rPr>
        <w:t>acquirer ROA</w:t>
      </w:r>
      <w:r w:rsidRPr="0040294D">
        <w:rPr>
          <w:color w:val="000000" w:themeColor="text1"/>
          <w:lang w:val="en-GB"/>
        </w:rPr>
        <w:t xml:space="preserve"> </w:t>
      </w:r>
      <w:r w:rsidRPr="0040294D">
        <w:rPr>
          <w:bCs/>
          <w:color w:val="000000" w:themeColor="text1"/>
          <w:lang w:val="en-GB"/>
        </w:rPr>
        <w:t>(</w:t>
      </w:r>
      <w:r w:rsidR="00D43A93" w:rsidRPr="0040294D">
        <w:rPr>
          <w:bCs/>
          <w:color w:val="000000" w:themeColor="text1"/>
          <w:lang w:val="en-GB"/>
        </w:rPr>
        <w:t>return on assets</w:t>
      </w:r>
      <w:r w:rsidR="00270D9E" w:rsidRPr="0040294D">
        <w:rPr>
          <w:bCs/>
          <w:color w:val="000000" w:themeColor="text1"/>
          <w:lang w:val="en-GB"/>
        </w:rPr>
        <w:t xml:space="preserve"> </w:t>
      </w:r>
      <w:r w:rsidRPr="0040294D">
        <w:rPr>
          <w:bCs/>
          <w:color w:val="000000" w:themeColor="text1"/>
          <w:lang w:val="en-GB"/>
        </w:rPr>
        <w:t xml:space="preserve">measured by the acquirer’s net profit-to-total assets ratio). When selecting this performance control, and to avoid any risk of collinearity, we estimated </w:t>
      </w:r>
      <w:r w:rsidRPr="0040294D">
        <w:rPr>
          <w:i/>
          <w:color w:val="000000" w:themeColor="text1"/>
          <w:lang w:val="en-GB"/>
        </w:rPr>
        <w:t>acquirer ROA</w:t>
      </w:r>
      <w:r w:rsidRPr="0040294D">
        <w:rPr>
          <w:bCs/>
          <w:color w:val="000000" w:themeColor="text1"/>
          <w:lang w:val="en-GB"/>
        </w:rPr>
        <w:t xml:space="preserve"> on the basis of financial data that were distinct from those used for other moderating and control variables.</w:t>
      </w:r>
    </w:p>
    <w:p w14:paraId="2C013B06" w14:textId="735E1604" w:rsidR="00FD2A48" w:rsidRPr="0040294D" w:rsidRDefault="00FD2A48" w:rsidP="00FD2A48">
      <w:pPr>
        <w:spacing w:line="480" w:lineRule="auto"/>
        <w:ind w:firstLine="284"/>
        <w:jc w:val="both"/>
        <w:rPr>
          <w:color w:val="000000" w:themeColor="text1"/>
          <w:lang w:val="en-GB"/>
        </w:rPr>
      </w:pPr>
      <w:r w:rsidRPr="0040294D">
        <w:rPr>
          <w:bCs/>
          <w:color w:val="000000" w:themeColor="text1"/>
          <w:lang w:val="en-GB"/>
        </w:rPr>
        <w:t xml:space="preserve">Finally, we included a governance control, </w:t>
      </w:r>
      <w:r w:rsidRPr="0040294D">
        <w:rPr>
          <w:bCs/>
          <w:i/>
          <w:color w:val="000000" w:themeColor="text1"/>
          <w:lang w:val="en-GB"/>
        </w:rPr>
        <w:t>acquirer CEO change</w:t>
      </w:r>
      <w:r w:rsidRPr="0040294D">
        <w:rPr>
          <w:bCs/>
          <w:color w:val="000000" w:themeColor="text1"/>
          <w:lang w:val="en-GB"/>
        </w:rPr>
        <w:t xml:space="preserve"> (dummy-coded variable with 1 when the acquiring firm’s CEO changed </w:t>
      </w:r>
      <w:r w:rsidRPr="0040294D">
        <w:rPr>
          <w:color w:val="000000" w:themeColor="text1"/>
          <w:lang w:val="en-GB"/>
        </w:rPr>
        <w:t>in the two years preceding the divestment date</w:t>
      </w:r>
      <w:r w:rsidR="00A73127" w:rsidRPr="0040294D">
        <w:rPr>
          <w:color w:val="000000" w:themeColor="text1"/>
          <w:lang w:val="en-GB"/>
        </w:rPr>
        <w:t>,</w:t>
      </w:r>
      <w:r w:rsidRPr="0040294D">
        <w:rPr>
          <w:color w:val="000000" w:themeColor="text1"/>
          <w:lang w:val="en-GB"/>
        </w:rPr>
        <w:t xml:space="preserve"> for divested acquisitions, or the period at risk ending in December 2016</w:t>
      </w:r>
      <w:r w:rsidR="00A73127" w:rsidRPr="0040294D">
        <w:rPr>
          <w:color w:val="000000" w:themeColor="text1"/>
          <w:lang w:val="en-GB"/>
        </w:rPr>
        <w:t>,</w:t>
      </w:r>
      <w:r w:rsidRPr="0040294D">
        <w:rPr>
          <w:color w:val="000000" w:themeColor="text1"/>
          <w:lang w:val="en-GB"/>
        </w:rPr>
        <w:t xml:space="preserve"> for retained acquisitions, and 0 otherwise). This variable accounts for the higher divestment probability that can be observed during the short period following the hiring of a new CEO, who quickly reviews the firm’s portfolio of acquisitions, divests it of poorly-performing acquisitions and attributes responsibility for these failures on his/her predecessor(s) (</w:t>
      </w:r>
      <w:r w:rsidRPr="0040294D">
        <w:rPr>
          <w:bCs/>
          <w:color w:val="000000" w:themeColor="text1"/>
          <w:lang w:val="en-GB"/>
        </w:rPr>
        <w:t>Hayward and Shimizu, 2006)</w:t>
      </w:r>
      <w:r w:rsidRPr="0040294D">
        <w:rPr>
          <w:color w:val="000000" w:themeColor="text1"/>
          <w:lang w:val="en-GB"/>
        </w:rPr>
        <w:t>.</w:t>
      </w:r>
    </w:p>
    <w:p w14:paraId="46421F6F" w14:textId="3344BEAF" w:rsidR="00FD2A48" w:rsidRPr="0040294D" w:rsidRDefault="00FD2A48" w:rsidP="001F33E5">
      <w:pPr>
        <w:spacing w:line="480" w:lineRule="auto"/>
        <w:ind w:firstLine="284"/>
        <w:jc w:val="both"/>
        <w:rPr>
          <w:bCs/>
          <w:color w:val="000000" w:themeColor="text1"/>
          <w:lang w:val="en-GB"/>
        </w:rPr>
      </w:pPr>
      <w:r w:rsidRPr="0040294D">
        <w:rPr>
          <w:bCs/>
          <w:color w:val="000000" w:themeColor="text1"/>
          <w:lang w:val="en-GB"/>
        </w:rPr>
        <w:t xml:space="preserve">As regards acquisition-level controls, we included </w:t>
      </w:r>
      <w:r w:rsidRPr="0040294D">
        <w:rPr>
          <w:bCs/>
          <w:i/>
          <w:color w:val="000000" w:themeColor="text1"/>
          <w:lang w:val="en-GB"/>
        </w:rPr>
        <w:t>relative size</w:t>
      </w:r>
      <w:r w:rsidRPr="0040294D">
        <w:rPr>
          <w:bCs/>
          <w:color w:val="000000" w:themeColor="text1"/>
          <w:lang w:val="en-GB"/>
        </w:rPr>
        <w:t xml:space="preserve"> (measured by dividing the acquiring firm’s total sales by the acquire</w:t>
      </w:r>
      <w:r w:rsidR="00F6468E" w:rsidRPr="0040294D">
        <w:rPr>
          <w:bCs/>
          <w:color w:val="000000" w:themeColor="text1"/>
          <w:lang w:val="en-GB"/>
        </w:rPr>
        <w:t>d firm</w:t>
      </w:r>
      <w:r w:rsidRPr="0040294D">
        <w:rPr>
          <w:bCs/>
          <w:color w:val="000000" w:themeColor="text1"/>
          <w:lang w:val="en-GB"/>
        </w:rPr>
        <w:t xml:space="preserve">’s total sales) as the first control. The second one, </w:t>
      </w:r>
      <w:r w:rsidRPr="0040294D">
        <w:rPr>
          <w:bCs/>
          <w:i/>
          <w:color w:val="000000" w:themeColor="text1"/>
          <w:lang w:val="en-GB"/>
        </w:rPr>
        <w:t>transaction price</w:t>
      </w:r>
      <w:r w:rsidRPr="0040294D">
        <w:rPr>
          <w:bCs/>
          <w:color w:val="000000" w:themeColor="text1"/>
          <w:lang w:val="en-GB"/>
        </w:rPr>
        <w:t xml:space="preserve"> (measured in </w:t>
      </w:r>
      <w:r w:rsidR="00101431" w:rsidRPr="0040294D">
        <w:rPr>
          <w:bCs/>
          <w:color w:val="000000" w:themeColor="text1"/>
          <w:lang w:val="en-GB"/>
        </w:rPr>
        <w:t xml:space="preserve">million </w:t>
      </w:r>
      <w:r w:rsidRPr="0040294D">
        <w:rPr>
          <w:bCs/>
          <w:color w:val="000000" w:themeColor="text1"/>
          <w:lang w:val="en-GB"/>
        </w:rPr>
        <w:t xml:space="preserve">US$, logarithmically transformed), is another indication of acquisition size and its significance for the acquirer. The rationale underlying its positive effect on the likelihood of acquisition divestment is similar to that of the </w:t>
      </w:r>
      <w:r w:rsidRPr="0040294D">
        <w:rPr>
          <w:bCs/>
          <w:i/>
          <w:color w:val="000000" w:themeColor="text1"/>
          <w:lang w:val="en-GB"/>
        </w:rPr>
        <w:t>relative size</w:t>
      </w:r>
      <w:r w:rsidRPr="0040294D">
        <w:rPr>
          <w:bCs/>
          <w:color w:val="000000" w:themeColor="text1"/>
          <w:lang w:val="en-GB"/>
        </w:rPr>
        <w:t xml:space="preserve"> variable. The last acquisition-level control is called </w:t>
      </w:r>
      <w:r w:rsidRPr="0040294D">
        <w:rPr>
          <w:bCs/>
          <w:i/>
          <w:color w:val="000000" w:themeColor="text1"/>
          <w:lang w:val="en-GB"/>
        </w:rPr>
        <w:t>acquirer-to-acquired firm relatedness</w:t>
      </w:r>
      <w:r w:rsidRPr="0040294D">
        <w:rPr>
          <w:bCs/>
          <w:color w:val="000000" w:themeColor="text1"/>
          <w:lang w:val="en-GB"/>
        </w:rPr>
        <w:t xml:space="preserve">. This variable allows us to account for the higher divestment probability that is often reported when acquisitions are conducted in sectors unrelated to the acquirer’s core business. We measured this control variable using the </w:t>
      </w:r>
      <w:r w:rsidRPr="0040294D">
        <w:rPr>
          <w:bCs/>
          <w:color w:val="000000" w:themeColor="text1"/>
          <w:lang w:val="en-GB"/>
        </w:rPr>
        <w:lastRenderedPageBreak/>
        <w:t>Anand and Singh’s (1997) and Bergh’s (1997) five-point ordinal scaling procedure</w:t>
      </w:r>
      <w:r w:rsidR="001D2890" w:rsidRPr="0040294D">
        <w:rPr>
          <w:bCs/>
          <w:color w:val="000000" w:themeColor="text1"/>
          <w:lang w:val="en-GB"/>
        </w:rPr>
        <w:t>.</w:t>
      </w:r>
      <w:r w:rsidR="00306869" w:rsidRPr="0040294D">
        <w:rPr>
          <w:bCs/>
          <w:color w:val="000000" w:themeColor="text1"/>
          <w:lang w:val="en-GB"/>
        </w:rPr>
        <w:t xml:space="preserve"> </w:t>
      </w:r>
      <w:r w:rsidRPr="0040294D">
        <w:rPr>
          <w:bCs/>
          <w:color w:val="000000" w:themeColor="text1"/>
          <w:lang w:val="en-GB"/>
        </w:rPr>
        <w:t>This scale ranges from 0 (if the four-digit SIC codes of the acquirer and the acquired firm are completely different) to 4 (if the SIC codes are identical).</w:t>
      </w:r>
    </w:p>
    <w:p w14:paraId="71BCBF63" w14:textId="77777777" w:rsidR="00FD2A48" w:rsidRPr="0040294D" w:rsidRDefault="00FD2A48" w:rsidP="00FD2A48">
      <w:pPr>
        <w:spacing w:line="480" w:lineRule="auto"/>
        <w:ind w:firstLine="284"/>
        <w:jc w:val="both"/>
        <w:rPr>
          <w:bCs/>
          <w:color w:val="000000" w:themeColor="text1"/>
          <w:lang w:val="en-GB"/>
        </w:rPr>
      </w:pPr>
      <w:r w:rsidRPr="0040294D">
        <w:rPr>
          <w:bCs/>
          <w:color w:val="000000" w:themeColor="text1"/>
          <w:lang w:val="en-GB"/>
        </w:rPr>
        <w:t>We finally controlled for unobserved effects related to the acquired firm industry (</w:t>
      </w:r>
      <w:r w:rsidRPr="0040294D">
        <w:rPr>
          <w:bCs/>
          <w:i/>
          <w:color w:val="000000" w:themeColor="text1"/>
          <w:lang w:val="en-GB"/>
        </w:rPr>
        <w:t>acquired firm industry effects</w:t>
      </w:r>
      <w:r w:rsidRPr="0040294D">
        <w:rPr>
          <w:bCs/>
          <w:color w:val="000000" w:themeColor="text1"/>
          <w:lang w:val="en-GB"/>
        </w:rPr>
        <w:t>) and acquisition year (</w:t>
      </w:r>
      <w:r w:rsidRPr="0040294D">
        <w:rPr>
          <w:bCs/>
          <w:i/>
          <w:color w:val="000000" w:themeColor="text1"/>
          <w:lang w:val="en-GB"/>
        </w:rPr>
        <w:t>acquisition year effects</w:t>
      </w:r>
      <w:r w:rsidRPr="0040294D">
        <w:rPr>
          <w:bCs/>
          <w:color w:val="000000" w:themeColor="text1"/>
          <w:lang w:val="en-GB"/>
        </w:rPr>
        <w:t>). To this aim, we included dummy-coded acquired firm industries (identified by their two-digit SIC code in our sample) and acquisition years in all Cox regression models.</w:t>
      </w:r>
    </w:p>
    <w:p w14:paraId="71071F8A" w14:textId="77777777" w:rsidR="00FD2A48" w:rsidRPr="0040294D" w:rsidRDefault="00FD2A48" w:rsidP="00FD2A48">
      <w:pPr>
        <w:spacing w:line="480" w:lineRule="auto"/>
        <w:ind w:firstLine="284"/>
        <w:jc w:val="both"/>
        <w:rPr>
          <w:bCs/>
          <w:color w:val="000000" w:themeColor="text1"/>
          <w:lang w:val="en-GB"/>
        </w:rPr>
      </w:pPr>
      <w:r w:rsidRPr="0040294D">
        <w:rPr>
          <w:bCs/>
          <w:color w:val="000000" w:themeColor="text1"/>
          <w:lang w:val="en-GB"/>
        </w:rPr>
        <w:t xml:space="preserve">All the independent and moderating variables, as well as the control variables (except for </w:t>
      </w:r>
      <w:r w:rsidRPr="0040294D">
        <w:rPr>
          <w:bCs/>
          <w:i/>
          <w:color w:val="000000" w:themeColor="text1"/>
          <w:lang w:val="en-GB"/>
        </w:rPr>
        <w:t>acquirer CEO change</w:t>
      </w:r>
      <w:r w:rsidRPr="0040294D">
        <w:rPr>
          <w:bCs/>
          <w:color w:val="000000" w:themeColor="text1"/>
          <w:lang w:val="en-GB"/>
        </w:rPr>
        <w:t>,</w:t>
      </w:r>
      <w:r w:rsidRPr="0040294D">
        <w:rPr>
          <w:bCs/>
          <w:i/>
          <w:color w:val="000000" w:themeColor="text1"/>
          <w:lang w:val="en-GB"/>
        </w:rPr>
        <w:t xml:space="preserve"> relative size</w:t>
      </w:r>
      <w:r w:rsidRPr="0040294D">
        <w:rPr>
          <w:bCs/>
          <w:color w:val="000000" w:themeColor="text1"/>
          <w:lang w:val="en-GB"/>
        </w:rPr>
        <w:t>,</w:t>
      </w:r>
      <w:r w:rsidRPr="0040294D">
        <w:rPr>
          <w:bCs/>
          <w:i/>
          <w:color w:val="000000" w:themeColor="text1"/>
          <w:lang w:val="en-GB"/>
        </w:rPr>
        <w:t xml:space="preserve"> transaction price</w:t>
      </w:r>
      <w:r w:rsidRPr="0040294D">
        <w:rPr>
          <w:bCs/>
          <w:color w:val="000000" w:themeColor="text1"/>
          <w:lang w:val="en-GB"/>
        </w:rPr>
        <w:t>,</w:t>
      </w:r>
      <w:r w:rsidRPr="0040294D">
        <w:rPr>
          <w:bCs/>
          <w:i/>
          <w:color w:val="000000" w:themeColor="text1"/>
          <w:lang w:val="en-GB"/>
        </w:rPr>
        <w:t xml:space="preserve"> acquirer-to-acquired firm relatedness</w:t>
      </w:r>
      <w:r w:rsidRPr="0040294D">
        <w:rPr>
          <w:bCs/>
          <w:color w:val="000000" w:themeColor="text1"/>
          <w:lang w:val="en-GB"/>
        </w:rPr>
        <w:t xml:space="preserve">, </w:t>
      </w:r>
      <w:r w:rsidRPr="0040294D">
        <w:rPr>
          <w:bCs/>
          <w:i/>
          <w:color w:val="000000" w:themeColor="text1"/>
          <w:lang w:val="en-GB"/>
        </w:rPr>
        <w:t>acquired firm industry effects</w:t>
      </w:r>
      <w:r w:rsidRPr="0040294D">
        <w:rPr>
          <w:bCs/>
          <w:color w:val="000000" w:themeColor="text1"/>
          <w:lang w:val="en-GB"/>
        </w:rPr>
        <w:t xml:space="preserve"> and </w:t>
      </w:r>
      <w:r w:rsidRPr="0040294D">
        <w:rPr>
          <w:bCs/>
          <w:i/>
          <w:color w:val="000000" w:themeColor="text1"/>
          <w:lang w:val="en-GB"/>
        </w:rPr>
        <w:t>acquisition year effects</w:t>
      </w:r>
      <w:r w:rsidRPr="0040294D">
        <w:rPr>
          <w:bCs/>
          <w:color w:val="000000" w:themeColor="text1"/>
          <w:lang w:val="en-GB"/>
        </w:rPr>
        <w:t xml:space="preserve">) are time-varying and lagged one year. Consistent with other empirical studies applying an event history procedure to acquisitions, we estimated the upper bound value of all time-varying covariates in the year prior to either the date of the acquisition divestment (for divested acquisitions) or the end of the period at risk (for retained acquisitions). This one-year lag allowed to account for the time period that is necessary and incompressible for </w:t>
      </w:r>
      <w:r w:rsidRPr="00FF3FE9">
        <w:rPr>
          <w:bCs/>
          <w:color w:val="000000" w:themeColor="text1"/>
          <w:lang w:val="en-GB"/>
        </w:rPr>
        <w:t>corporate (i.e., organizational</w:t>
      </w:r>
      <w:r w:rsidRPr="0040294D">
        <w:rPr>
          <w:bCs/>
          <w:color w:val="000000" w:themeColor="text1"/>
          <w:lang w:val="en-GB"/>
        </w:rPr>
        <w:t>, human, financial…) decisions, investments, and actions to fully produce their effects within the focal acquirer.</w:t>
      </w:r>
    </w:p>
    <w:p w14:paraId="4EB33208" w14:textId="77777777" w:rsidR="008D4D59" w:rsidRPr="0040294D" w:rsidRDefault="008D4D59" w:rsidP="00FD2A48">
      <w:pPr>
        <w:spacing w:line="480" w:lineRule="auto"/>
        <w:jc w:val="both"/>
        <w:rPr>
          <w:bCs/>
          <w:color w:val="000000" w:themeColor="text1"/>
          <w:lang w:val="en-GB"/>
        </w:rPr>
      </w:pPr>
    </w:p>
    <w:p w14:paraId="15BB97FA" w14:textId="77777777" w:rsidR="00FD2A48" w:rsidRPr="0040294D" w:rsidRDefault="00FD2A48" w:rsidP="00FD2A48">
      <w:pPr>
        <w:spacing w:line="480" w:lineRule="auto"/>
        <w:jc w:val="both"/>
        <w:rPr>
          <w:b/>
          <w:i/>
          <w:color w:val="000000" w:themeColor="text1"/>
          <w:lang w:val="en-GB"/>
        </w:rPr>
      </w:pPr>
      <w:r w:rsidRPr="0040294D">
        <w:rPr>
          <w:b/>
          <w:i/>
          <w:color w:val="000000" w:themeColor="text1"/>
          <w:lang w:val="en-GB"/>
        </w:rPr>
        <w:t>Econometric Estimation Method</w:t>
      </w:r>
    </w:p>
    <w:p w14:paraId="58C215DB" w14:textId="0B19D217" w:rsidR="00FD2A48" w:rsidRPr="0040294D" w:rsidRDefault="00FD2A48" w:rsidP="00FD2A48">
      <w:pPr>
        <w:spacing w:line="480" w:lineRule="auto"/>
        <w:jc w:val="both"/>
        <w:rPr>
          <w:color w:val="000000" w:themeColor="text1"/>
          <w:lang w:val="en-GB" w:eastAsia="fr-FR"/>
        </w:rPr>
      </w:pPr>
      <w:r w:rsidRPr="0040294D">
        <w:rPr>
          <w:color w:val="000000" w:themeColor="text1"/>
          <w:lang w:val="en-GB"/>
        </w:rPr>
        <w:t xml:space="preserve">We </w:t>
      </w:r>
      <w:r w:rsidRPr="0040294D">
        <w:rPr>
          <w:bCs/>
          <w:color w:val="000000" w:themeColor="text1"/>
          <w:lang w:val="en-GB"/>
        </w:rPr>
        <w:t xml:space="preserve">used a </w:t>
      </w:r>
      <w:r w:rsidRPr="0040294D">
        <w:rPr>
          <w:color w:val="000000" w:themeColor="text1"/>
          <w:lang w:val="en-GB" w:eastAsia="fr-FR"/>
        </w:rPr>
        <w:t>semi-parametric Cox proportional hazards model</w:t>
      </w:r>
      <w:r w:rsidRPr="0040294D">
        <w:rPr>
          <w:color w:val="000000" w:themeColor="text1"/>
          <w:lang w:val="en-GB"/>
        </w:rPr>
        <w:t xml:space="preserve"> to examine the </w:t>
      </w:r>
      <w:r w:rsidR="00CB2B91" w:rsidRPr="0040294D">
        <w:rPr>
          <w:color w:val="000000" w:themeColor="text1"/>
          <w:lang w:val="en-GB"/>
        </w:rPr>
        <w:t>hypothesi</w:t>
      </w:r>
      <w:r w:rsidR="00CB2B91">
        <w:rPr>
          <w:color w:val="000000" w:themeColor="text1"/>
          <w:lang w:val="en-GB"/>
        </w:rPr>
        <w:t>z</w:t>
      </w:r>
      <w:r w:rsidR="00CB2B91" w:rsidRPr="0040294D">
        <w:rPr>
          <w:color w:val="000000" w:themeColor="text1"/>
          <w:lang w:val="en-GB"/>
        </w:rPr>
        <w:t xml:space="preserve">ed </w:t>
      </w:r>
      <w:r w:rsidRPr="0040294D">
        <w:rPr>
          <w:color w:val="000000" w:themeColor="text1"/>
          <w:lang w:val="en-GB"/>
        </w:rPr>
        <w:t>curvilinear impact</w:t>
      </w:r>
      <w:r w:rsidRPr="0040294D">
        <w:rPr>
          <w:bCs/>
          <w:color w:val="000000" w:themeColor="text1"/>
          <w:lang w:val="en-GB"/>
        </w:rPr>
        <w:t xml:space="preserve"> of the acquirer’s </w:t>
      </w:r>
      <w:r w:rsidR="00FA1DA4">
        <w:rPr>
          <w:bCs/>
          <w:color w:val="000000" w:themeColor="text1"/>
          <w:lang w:val="en-GB"/>
        </w:rPr>
        <w:t>HRM-quality</w:t>
      </w:r>
      <w:r w:rsidRPr="0040294D">
        <w:rPr>
          <w:bCs/>
          <w:color w:val="000000" w:themeColor="text1"/>
          <w:lang w:val="en-GB"/>
        </w:rPr>
        <w:t xml:space="preserve"> level on the hazard rate of acquisition divestment. This model is often recommended for research in the fields of strategy and HRM</w:t>
      </w:r>
      <w:r w:rsidR="00806B22" w:rsidRPr="0040294D">
        <w:rPr>
          <w:bCs/>
          <w:color w:val="000000" w:themeColor="text1"/>
          <w:lang w:val="en-GB"/>
        </w:rPr>
        <w:t>. The model</w:t>
      </w:r>
      <w:r w:rsidRPr="0040294D">
        <w:rPr>
          <w:bCs/>
          <w:color w:val="000000" w:themeColor="text1"/>
          <w:lang w:val="en-GB"/>
        </w:rPr>
        <w:t xml:space="preserve"> relies on a survival modelling approach (Bertrand and </w:t>
      </w:r>
      <w:proofErr w:type="spellStart"/>
      <w:r w:rsidRPr="0040294D">
        <w:rPr>
          <w:bCs/>
          <w:color w:val="000000" w:themeColor="text1"/>
          <w:lang w:val="en-GB"/>
        </w:rPr>
        <w:t>Lumineau</w:t>
      </w:r>
      <w:proofErr w:type="spellEnd"/>
      <w:r w:rsidRPr="0040294D">
        <w:rPr>
          <w:bCs/>
          <w:color w:val="000000" w:themeColor="text1"/>
          <w:lang w:val="en-GB"/>
        </w:rPr>
        <w:t>, 2016), for it is both flexible and conservative.</w:t>
      </w:r>
    </w:p>
    <w:p w14:paraId="28CD49B4" w14:textId="5EDF6F00" w:rsidR="00FD2A48" w:rsidRPr="0040294D" w:rsidRDefault="009F2FBD" w:rsidP="00FD2A48">
      <w:pPr>
        <w:spacing w:line="480" w:lineRule="auto"/>
        <w:ind w:firstLine="284"/>
        <w:jc w:val="both"/>
        <w:rPr>
          <w:color w:val="000000" w:themeColor="text1"/>
          <w:lang w:val="en-GB" w:eastAsia="fr-FR"/>
        </w:rPr>
      </w:pPr>
      <w:r w:rsidRPr="0040294D">
        <w:rPr>
          <w:color w:val="000000" w:themeColor="text1"/>
          <w:lang w:val="en-GB" w:eastAsia="fr-FR"/>
        </w:rPr>
        <w:lastRenderedPageBreak/>
        <w:t>Our sample</w:t>
      </w:r>
      <w:r w:rsidRPr="0040294D" w:rsidDel="009F2FBD">
        <w:rPr>
          <w:color w:val="000000" w:themeColor="text1"/>
          <w:lang w:val="en-GB" w:eastAsia="fr-FR"/>
        </w:rPr>
        <w:t xml:space="preserve"> </w:t>
      </w:r>
      <w:r w:rsidRPr="0040294D">
        <w:rPr>
          <w:color w:val="000000" w:themeColor="text1"/>
          <w:lang w:val="en-GB" w:eastAsia="fr-FR"/>
        </w:rPr>
        <w:t>contains a number of</w:t>
      </w:r>
      <w:r w:rsidR="00FD2A48" w:rsidRPr="0040294D">
        <w:rPr>
          <w:color w:val="000000" w:themeColor="text1"/>
          <w:lang w:val="en-GB" w:eastAsia="fr-FR"/>
        </w:rPr>
        <w:t xml:space="preserve"> US acquisitions by the same French acquirers, </w:t>
      </w:r>
      <w:r w:rsidRPr="0040294D">
        <w:rPr>
          <w:color w:val="000000" w:themeColor="text1"/>
          <w:lang w:val="en-GB" w:eastAsia="fr-FR"/>
        </w:rPr>
        <w:t xml:space="preserve">which might create </w:t>
      </w:r>
      <w:r w:rsidR="00FD2A48" w:rsidRPr="0040294D">
        <w:rPr>
          <w:color w:val="000000" w:themeColor="text1"/>
          <w:lang w:val="en-GB" w:eastAsia="fr-FR"/>
        </w:rPr>
        <w:t>a bias as a result of the potential dependence of acquisition/year observations of the same acquiring firm. We accounted for this potential dependence by estimating robust standard errors that were clustered by acquirer.</w:t>
      </w:r>
    </w:p>
    <w:p w14:paraId="6088F809" w14:textId="77777777" w:rsidR="00A16A7E" w:rsidRPr="0040294D" w:rsidRDefault="00A16A7E" w:rsidP="00FD2A48">
      <w:pPr>
        <w:spacing w:line="480" w:lineRule="auto"/>
        <w:jc w:val="both"/>
        <w:outlineLvl w:val="0"/>
        <w:rPr>
          <w:color w:val="000000" w:themeColor="text1"/>
          <w:lang w:val="en-GB"/>
        </w:rPr>
      </w:pPr>
    </w:p>
    <w:p w14:paraId="6C9FF2E5" w14:textId="77777777" w:rsidR="00FD2A48" w:rsidRPr="0040294D" w:rsidRDefault="00FD2A48" w:rsidP="00FD2A48">
      <w:pPr>
        <w:spacing w:line="480" w:lineRule="auto"/>
        <w:outlineLvl w:val="0"/>
        <w:rPr>
          <w:b/>
          <w:color w:val="000000" w:themeColor="text1"/>
          <w:lang w:val="en-GB"/>
        </w:rPr>
      </w:pPr>
      <w:r w:rsidRPr="0040294D">
        <w:rPr>
          <w:b/>
          <w:color w:val="000000" w:themeColor="text1"/>
          <w:lang w:val="en-GB"/>
        </w:rPr>
        <w:t>Results</w:t>
      </w:r>
    </w:p>
    <w:p w14:paraId="4F36224B" w14:textId="77777777" w:rsidR="00FD2A48" w:rsidRPr="0040294D" w:rsidRDefault="00FD2A48" w:rsidP="00FD2A48">
      <w:pPr>
        <w:spacing w:line="480" w:lineRule="auto"/>
        <w:jc w:val="both"/>
        <w:rPr>
          <w:b/>
          <w:i/>
          <w:color w:val="000000" w:themeColor="text1"/>
          <w:lang w:val="en-GB"/>
        </w:rPr>
      </w:pPr>
      <w:r w:rsidRPr="0040294D">
        <w:rPr>
          <w:b/>
          <w:i/>
          <w:color w:val="000000" w:themeColor="text1"/>
          <w:lang w:val="en-GB"/>
        </w:rPr>
        <w:t>Test of Hypotheses</w:t>
      </w:r>
    </w:p>
    <w:p w14:paraId="6ACE6EAF" w14:textId="5732E9CB" w:rsidR="00FD2A48" w:rsidRPr="0040294D" w:rsidRDefault="00FD2A48" w:rsidP="001F33E5">
      <w:pPr>
        <w:spacing w:line="480" w:lineRule="auto"/>
        <w:jc w:val="both"/>
        <w:rPr>
          <w:color w:val="000000" w:themeColor="text1"/>
          <w:lang w:val="en-GB" w:eastAsia="fr-FR"/>
        </w:rPr>
      </w:pPr>
      <w:r w:rsidRPr="0040294D">
        <w:rPr>
          <w:color w:val="000000" w:themeColor="text1"/>
          <w:lang w:val="en-GB"/>
        </w:rPr>
        <w:t>Table 1 presents the correlation matrix and descriptive statistics</w:t>
      </w:r>
      <w:r w:rsidR="001F33E5">
        <w:rPr>
          <w:color w:val="000000" w:themeColor="text1"/>
          <w:lang w:val="en-GB"/>
        </w:rPr>
        <w:t>,</w:t>
      </w:r>
      <w:r w:rsidRPr="0040294D">
        <w:rPr>
          <w:color w:val="000000" w:themeColor="text1"/>
          <w:lang w:val="en-GB"/>
        </w:rPr>
        <w:t xml:space="preserve"> report</w:t>
      </w:r>
      <w:r w:rsidR="001F33E5">
        <w:rPr>
          <w:color w:val="000000" w:themeColor="text1"/>
          <w:lang w:val="en-GB"/>
        </w:rPr>
        <w:t>ing</w:t>
      </w:r>
      <w:r w:rsidRPr="0040294D">
        <w:rPr>
          <w:color w:val="000000" w:themeColor="text1"/>
          <w:lang w:val="en-GB"/>
        </w:rPr>
        <w:t xml:space="preserve"> a number of high coefficients between variables. To check whether these high correlation coefficients could induce collinearity bias in the subsequent Cox regression models, we calculated variance inflation factors for all independent and control variables using a traditional multiple regression model. All variance inflation factors were well below </w:t>
      </w:r>
      <w:r w:rsidRPr="0040294D">
        <w:rPr>
          <w:color w:val="000000" w:themeColor="text1"/>
          <w:lang w:val="en-GB" w:eastAsia="fr-FR"/>
        </w:rPr>
        <w:t>10 (the mean variance inflation factor was equal to 1.38</w:t>
      </w:r>
      <w:r w:rsidR="00066F26" w:rsidRPr="0040294D">
        <w:rPr>
          <w:color w:val="000000" w:themeColor="text1"/>
          <w:lang w:val="en-GB" w:eastAsia="fr-FR"/>
        </w:rPr>
        <w:t>,</w:t>
      </w:r>
      <w:r w:rsidRPr="0040294D">
        <w:rPr>
          <w:color w:val="000000" w:themeColor="text1"/>
          <w:lang w:val="en-GB" w:eastAsia="fr-FR"/>
        </w:rPr>
        <w:t xml:space="preserve"> with 2.31 as the highest factor for </w:t>
      </w:r>
      <w:r w:rsidRPr="0040294D">
        <w:rPr>
          <w:bCs/>
          <w:i/>
          <w:color w:val="000000" w:themeColor="text1"/>
          <w:lang w:val="en-GB"/>
        </w:rPr>
        <w:t>acquirer experience with US acquisitions</w:t>
      </w:r>
      <w:r w:rsidRPr="0040294D">
        <w:rPr>
          <w:color w:val="000000" w:themeColor="text1"/>
          <w:lang w:val="en-GB" w:eastAsia="fr-FR"/>
        </w:rPr>
        <w:t>), which is the common threshold used to detect collinearity issues.</w:t>
      </w:r>
    </w:p>
    <w:p w14:paraId="0C792ECE" w14:textId="77777777" w:rsidR="00FD2A48" w:rsidRPr="0040294D" w:rsidRDefault="00FD2A48" w:rsidP="00FD2A48">
      <w:pPr>
        <w:spacing w:line="480" w:lineRule="auto"/>
        <w:jc w:val="center"/>
        <w:rPr>
          <w:b/>
          <w:bCs/>
          <w:i/>
          <w:color w:val="000000" w:themeColor="text1"/>
          <w:lang w:val="en-GB"/>
        </w:rPr>
      </w:pPr>
      <w:r w:rsidRPr="0040294D">
        <w:rPr>
          <w:b/>
          <w:bCs/>
          <w:i/>
          <w:color w:val="000000" w:themeColor="text1"/>
          <w:lang w:val="en-GB"/>
        </w:rPr>
        <w:t>Insert Table 1 About Here</w:t>
      </w:r>
    </w:p>
    <w:p w14:paraId="200558CC" w14:textId="7557F359" w:rsidR="00FD2A48" w:rsidRPr="0040294D" w:rsidRDefault="00FD2A48" w:rsidP="00FD2A48">
      <w:pPr>
        <w:spacing w:line="480" w:lineRule="auto"/>
        <w:ind w:firstLine="284"/>
        <w:jc w:val="both"/>
        <w:rPr>
          <w:bCs/>
          <w:color w:val="000000" w:themeColor="text1"/>
          <w:lang w:val="en-GB"/>
        </w:rPr>
      </w:pPr>
      <w:r w:rsidRPr="0040294D">
        <w:rPr>
          <w:bCs/>
          <w:color w:val="000000" w:themeColor="text1"/>
          <w:lang w:val="en-GB"/>
        </w:rPr>
        <w:t>Table 2 presents the Cox regression models. Model 1 is restricted to control variables. Model 2 examines the direct effects of the independent, moderating variables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 xml:space="preserve"> and </w:t>
      </w:r>
      <w:r w:rsidRPr="0040294D">
        <w:rPr>
          <w:bCs/>
          <w:i/>
          <w:color w:val="000000" w:themeColor="text1"/>
          <w:lang w:val="en-GB"/>
        </w:rPr>
        <w:t xml:space="preserve">acquirer </w:t>
      </w:r>
      <w:r w:rsidR="00FA1DA4">
        <w:rPr>
          <w:bCs/>
          <w:i/>
          <w:color w:val="000000" w:themeColor="text1"/>
          <w:lang w:val="en-GB"/>
        </w:rPr>
        <w:t>financial</w:t>
      </w:r>
      <w:r w:rsidR="00187E65">
        <w:rPr>
          <w:bCs/>
          <w:i/>
          <w:color w:val="000000" w:themeColor="text1"/>
          <w:lang w:val="en-GB"/>
        </w:rPr>
        <w:t xml:space="preserve"> </w:t>
      </w:r>
      <w:r w:rsidR="00FA1DA4">
        <w:rPr>
          <w:bCs/>
          <w:i/>
          <w:color w:val="000000" w:themeColor="text1"/>
          <w:lang w:val="en-GB"/>
        </w:rPr>
        <w:t>slack</w:t>
      </w:r>
      <w:r w:rsidRPr="0040294D">
        <w:rPr>
          <w:bCs/>
          <w:color w:val="000000" w:themeColor="text1"/>
          <w:lang w:val="en-GB"/>
        </w:rPr>
        <w:t>,</w:t>
      </w:r>
      <w:r w:rsidRPr="0040294D">
        <w:rPr>
          <w:bCs/>
          <w:i/>
          <w:color w:val="000000" w:themeColor="text1"/>
          <w:lang w:val="en-GB"/>
        </w:rPr>
        <w:t xml:space="preserve"> </w:t>
      </w:r>
      <w:r w:rsidRPr="0040294D">
        <w:rPr>
          <w:bCs/>
          <w:color w:val="000000" w:themeColor="text1"/>
          <w:lang w:val="en-GB"/>
        </w:rPr>
        <w:t xml:space="preserve">respectively). Model 3 examines the curvilinear effect of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 xml:space="preserve"> by including its squared term. Model 4 examines the interaction between </w:t>
      </w:r>
      <w:r w:rsidRPr="0040294D">
        <w:rPr>
          <w:bCs/>
          <w:i/>
          <w:color w:val="000000" w:themeColor="text1"/>
          <w:lang w:val="en-GB"/>
        </w:rPr>
        <w:t>acquirer slack</w:t>
      </w:r>
      <w:r w:rsidRPr="0040294D">
        <w:rPr>
          <w:bCs/>
          <w:color w:val="000000" w:themeColor="text1"/>
          <w:lang w:val="en-GB"/>
        </w:rPr>
        <w:t xml:space="preserve"> and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 xml:space="preserve">. Model 5 examines the interaction between </w:t>
      </w:r>
      <w:r w:rsidRPr="0040294D">
        <w:rPr>
          <w:bCs/>
          <w:i/>
          <w:color w:val="000000" w:themeColor="text1"/>
          <w:lang w:val="en-GB"/>
        </w:rPr>
        <w:t xml:space="preserve">acquirer </w:t>
      </w:r>
      <w:r w:rsidR="00FA1DA4">
        <w:rPr>
          <w:bCs/>
          <w:i/>
          <w:color w:val="000000" w:themeColor="text1"/>
          <w:lang w:val="en-GB"/>
        </w:rPr>
        <w:t>financial</w:t>
      </w:r>
      <w:r w:rsidR="00187E65">
        <w:rPr>
          <w:bCs/>
          <w:i/>
          <w:color w:val="000000" w:themeColor="text1"/>
          <w:lang w:val="en-GB"/>
        </w:rPr>
        <w:t xml:space="preserve"> </w:t>
      </w:r>
      <w:r w:rsidR="00FA1DA4">
        <w:rPr>
          <w:bCs/>
          <w:i/>
          <w:color w:val="000000" w:themeColor="text1"/>
          <w:lang w:val="en-GB"/>
        </w:rPr>
        <w:t>slack</w:t>
      </w:r>
      <w:r w:rsidRPr="0040294D">
        <w:rPr>
          <w:bCs/>
          <w:color w:val="000000" w:themeColor="text1"/>
          <w:lang w:val="en-GB"/>
        </w:rPr>
        <w:t xml:space="preserve"> and the squared term of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w:t>
      </w:r>
    </w:p>
    <w:p w14:paraId="082C5A49" w14:textId="77777777" w:rsidR="00FD2A48" w:rsidRPr="0040294D" w:rsidRDefault="00FD2A48" w:rsidP="00FD2A48">
      <w:pPr>
        <w:spacing w:line="480" w:lineRule="auto"/>
        <w:jc w:val="center"/>
        <w:rPr>
          <w:b/>
          <w:bCs/>
          <w:i/>
          <w:color w:val="000000" w:themeColor="text1"/>
          <w:lang w:val="en-GB"/>
        </w:rPr>
      </w:pPr>
      <w:r w:rsidRPr="0040294D">
        <w:rPr>
          <w:b/>
          <w:bCs/>
          <w:i/>
          <w:color w:val="000000" w:themeColor="text1"/>
          <w:lang w:val="en-GB"/>
        </w:rPr>
        <w:t>Insert Table 2 About Here</w:t>
      </w:r>
    </w:p>
    <w:p w14:paraId="54A20A0A" w14:textId="3BDC0A51" w:rsidR="00306869" w:rsidRPr="0040294D" w:rsidRDefault="00FD2A48" w:rsidP="00306869">
      <w:pPr>
        <w:spacing w:line="480" w:lineRule="auto"/>
        <w:ind w:firstLine="284"/>
        <w:jc w:val="both"/>
        <w:rPr>
          <w:bCs/>
          <w:color w:val="000000" w:themeColor="text1"/>
          <w:lang w:val="en-GB"/>
        </w:rPr>
      </w:pPr>
      <w:r w:rsidRPr="0040294D">
        <w:rPr>
          <w:bCs/>
          <w:color w:val="000000" w:themeColor="text1"/>
          <w:lang w:val="en-GB"/>
        </w:rPr>
        <w:t xml:space="preserve">Table 2 shows that all Cox regression models are statistically significant at </w:t>
      </w:r>
      <w:r w:rsidRPr="0040294D">
        <w:rPr>
          <w:i/>
          <w:color w:val="000000" w:themeColor="text1"/>
          <w:lang w:val="en-GB"/>
        </w:rPr>
        <w:t>p</w:t>
      </w:r>
      <w:r w:rsidRPr="0040294D">
        <w:rPr>
          <w:color w:val="000000" w:themeColor="text1"/>
          <w:lang w:val="en-GB"/>
        </w:rPr>
        <w:t xml:space="preserve"> &lt; 0.001. Models 3 </w:t>
      </w:r>
      <w:r w:rsidR="00561F56" w:rsidRPr="0040294D">
        <w:rPr>
          <w:color w:val="000000" w:themeColor="text1"/>
          <w:lang w:val="en-GB"/>
        </w:rPr>
        <w:t xml:space="preserve">&amp; </w:t>
      </w:r>
      <w:r w:rsidRPr="0040294D">
        <w:rPr>
          <w:color w:val="000000" w:themeColor="text1"/>
          <w:lang w:val="en-GB"/>
        </w:rPr>
        <w:t xml:space="preserve">4 allowed us to examine Hypothesis 1, which predicted that </w:t>
      </w:r>
      <w:r w:rsidRPr="0040294D">
        <w:rPr>
          <w:iCs/>
          <w:color w:val="000000" w:themeColor="text1"/>
          <w:lang w:val="en-GB"/>
        </w:rPr>
        <w:t xml:space="preserve">the level of </w:t>
      </w:r>
      <w:r w:rsidR="00FA1DA4">
        <w:rPr>
          <w:iCs/>
          <w:color w:val="000000" w:themeColor="text1"/>
          <w:lang w:val="en-GB"/>
        </w:rPr>
        <w:t>HRM-quality</w:t>
      </w:r>
      <w:r w:rsidRPr="0040294D">
        <w:rPr>
          <w:iCs/>
          <w:color w:val="000000" w:themeColor="text1"/>
          <w:lang w:val="en-GB"/>
        </w:rPr>
        <w:t xml:space="preserve"> of the </w:t>
      </w:r>
      <w:r w:rsidRPr="0040294D">
        <w:rPr>
          <w:iCs/>
          <w:color w:val="000000" w:themeColor="text1"/>
          <w:lang w:val="en-GB"/>
        </w:rPr>
        <w:lastRenderedPageBreak/>
        <w:t xml:space="preserve">acquiring firm would have a U-shaped relationship with the likelihood </w:t>
      </w:r>
      <w:r w:rsidR="00FD37ED" w:rsidRPr="0040294D">
        <w:rPr>
          <w:iCs/>
          <w:color w:val="000000" w:themeColor="text1"/>
          <w:lang w:val="en-GB"/>
        </w:rPr>
        <w:t>of</w:t>
      </w:r>
      <w:r w:rsidRPr="0040294D">
        <w:rPr>
          <w:iCs/>
          <w:color w:val="000000" w:themeColor="text1"/>
          <w:lang w:val="en-GB"/>
        </w:rPr>
        <w:t xml:space="preserve"> divest</w:t>
      </w:r>
      <w:r w:rsidR="00FD37ED" w:rsidRPr="0040294D">
        <w:rPr>
          <w:iCs/>
          <w:color w:val="000000" w:themeColor="text1"/>
          <w:lang w:val="en-GB"/>
        </w:rPr>
        <w:t>ing</w:t>
      </w:r>
      <w:r w:rsidRPr="0040294D">
        <w:rPr>
          <w:iCs/>
          <w:color w:val="000000" w:themeColor="text1"/>
          <w:lang w:val="en-GB"/>
        </w:rPr>
        <w:t xml:space="preserve"> its </w:t>
      </w:r>
      <w:r w:rsidR="00FA1DA4">
        <w:rPr>
          <w:iCs/>
          <w:color w:val="000000" w:themeColor="text1"/>
          <w:lang w:val="en-GB"/>
        </w:rPr>
        <w:t>cross-border</w:t>
      </w:r>
      <w:r w:rsidR="00187E65">
        <w:rPr>
          <w:iCs/>
          <w:color w:val="000000" w:themeColor="text1"/>
          <w:lang w:val="en-GB"/>
        </w:rPr>
        <w:t xml:space="preserve"> </w:t>
      </w:r>
      <w:r w:rsidR="00FA1DA4">
        <w:rPr>
          <w:iCs/>
          <w:color w:val="000000" w:themeColor="text1"/>
          <w:lang w:val="en-GB"/>
        </w:rPr>
        <w:t>acquisition</w:t>
      </w:r>
      <w:r w:rsidRPr="0040294D">
        <w:rPr>
          <w:iCs/>
          <w:color w:val="000000" w:themeColor="text1"/>
          <w:lang w:val="en-GB"/>
        </w:rPr>
        <w:t xml:space="preserve">s. Coefficient estimates in both models indicate a negative and significant (at </w:t>
      </w:r>
      <w:r w:rsidRPr="0040294D">
        <w:rPr>
          <w:i/>
          <w:color w:val="000000" w:themeColor="text1"/>
          <w:lang w:val="en-GB"/>
        </w:rPr>
        <w:t>p</w:t>
      </w:r>
      <w:r w:rsidRPr="0040294D">
        <w:rPr>
          <w:color w:val="000000" w:themeColor="text1"/>
          <w:lang w:val="en-GB"/>
        </w:rPr>
        <w:t xml:space="preserve"> &lt; 0.05) </w:t>
      </w:r>
      <w:r w:rsidRPr="0040294D">
        <w:rPr>
          <w:iCs/>
          <w:color w:val="000000" w:themeColor="text1"/>
          <w:lang w:val="en-GB"/>
        </w:rPr>
        <w:t xml:space="preserve">effect for </w:t>
      </w:r>
      <w:r w:rsidRPr="0040294D">
        <w:rPr>
          <w:bCs/>
          <w:i/>
          <w:color w:val="000000" w:themeColor="text1"/>
          <w:lang w:val="en-GB"/>
        </w:rPr>
        <w:t xml:space="preserve">acquirer </w:t>
      </w:r>
      <w:r w:rsidR="00FA1DA4">
        <w:rPr>
          <w:bCs/>
          <w:i/>
          <w:color w:val="000000" w:themeColor="text1"/>
          <w:lang w:val="en-GB"/>
        </w:rPr>
        <w:t>HRM-quality</w:t>
      </w:r>
      <w:r w:rsidR="00AD0519" w:rsidRPr="0040294D">
        <w:rPr>
          <w:bCs/>
          <w:color w:val="000000" w:themeColor="text1"/>
          <w:lang w:val="en-GB"/>
        </w:rPr>
        <w:t>,</w:t>
      </w:r>
      <w:r w:rsidRPr="0040294D">
        <w:rPr>
          <w:bCs/>
          <w:color w:val="000000" w:themeColor="text1"/>
          <w:lang w:val="en-GB"/>
        </w:rPr>
        <w:t xml:space="preserve"> and </w:t>
      </w:r>
      <w:r w:rsidRPr="0040294D">
        <w:rPr>
          <w:iCs/>
          <w:color w:val="000000" w:themeColor="text1"/>
          <w:lang w:val="en-GB"/>
        </w:rPr>
        <w:t xml:space="preserve">a positive and significant (at </w:t>
      </w:r>
      <w:r w:rsidRPr="0040294D">
        <w:rPr>
          <w:i/>
          <w:color w:val="000000" w:themeColor="text1"/>
          <w:lang w:val="en-GB"/>
        </w:rPr>
        <w:t>p</w:t>
      </w:r>
      <w:r w:rsidRPr="0040294D">
        <w:rPr>
          <w:color w:val="000000" w:themeColor="text1"/>
          <w:lang w:val="en-GB"/>
        </w:rPr>
        <w:t xml:space="preserve"> &lt; 0.05) </w:t>
      </w:r>
      <w:r w:rsidRPr="0040294D">
        <w:rPr>
          <w:iCs/>
          <w:color w:val="000000" w:themeColor="text1"/>
          <w:lang w:val="en-GB"/>
        </w:rPr>
        <w:t xml:space="preserve">effect for </w:t>
      </w:r>
      <w:r w:rsidRPr="0040294D">
        <w:rPr>
          <w:bCs/>
          <w:color w:val="000000" w:themeColor="text1"/>
          <w:lang w:val="en-GB"/>
        </w:rPr>
        <w:t>its squared term. The combination of these two significant, opposite effects points to the presence of a curvilinear relationship with a U shape.</w:t>
      </w:r>
    </w:p>
    <w:p w14:paraId="289063A2" w14:textId="7142E560" w:rsidR="00FD2A48" w:rsidRPr="0040294D" w:rsidRDefault="00FD2A48" w:rsidP="00306869">
      <w:pPr>
        <w:spacing w:line="480" w:lineRule="auto"/>
        <w:ind w:firstLine="284"/>
        <w:jc w:val="both"/>
        <w:rPr>
          <w:bCs/>
          <w:color w:val="000000" w:themeColor="text1"/>
          <w:lang w:val="en-GB"/>
        </w:rPr>
      </w:pPr>
      <w:r w:rsidRPr="0040294D">
        <w:rPr>
          <w:bCs/>
          <w:color w:val="000000" w:themeColor="text1"/>
          <w:lang w:val="en-GB"/>
        </w:rPr>
        <w:t xml:space="preserve">Figure 2 proposes a graphical </w:t>
      </w:r>
      <w:r w:rsidRPr="0040294D">
        <w:rPr>
          <w:color w:val="000000" w:themeColor="text1"/>
          <w:lang w:val="en-GB" w:eastAsia="ja-JP"/>
        </w:rPr>
        <w:t xml:space="preserve">analysis of the curvilinear distribution of acquisition divestment probabilities by level of </w:t>
      </w:r>
      <w:r w:rsidRPr="0040294D">
        <w:rPr>
          <w:color w:val="000000" w:themeColor="text1"/>
          <w:lang w:val="en-GB"/>
        </w:rPr>
        <w:t xml:space="preserve">acquirer </w:t>
      </w:r>
      <w:r w:rsidR="00FA1DA4">
        <w:rPr>
          <w:color w:val="000000" w:themeColor="text1"/>
          <w:lang w:val="en-GB"/>
        </w:rPr>
        <w:t>HRM-quality</w:t>
      </w:r>
      <w:r w:rsidRPr="0040294D">
        <w:rPr>
          <w:color w:val="000000" w:themeColor="text1"/>
          <w:lang w:val="en-GB"/>
        </w:rPr>
        <w:t>,</w:t>
      </w:r>
      <w:r w:rsidRPr="0040294D">
        <w:rPr>
          <w:color w:val="000000" w:themeColor="text1"/>
          <w:lang w:val="en-GB" w:eastAsia="ja-JP"/>
        </w:rPr>
        <w:t xml:space="preserve"> scaled with different ranges of standard deviations. Acquisition divestment probabilities displayed in Figure 2 correspond to Kaplan-Meier estimate</w:t>
      </w:r>
      <w:r w:rsidR="00806B22" w:rsidRPr="0040294D">
        <w:rPr>
          <w:color w:val="000000" w:themeColor="text1"/>
          <w:lang w:val="en-GB" w:eastAsia="ja-JP"/>
        </w:rPr>
        <w:t>s</w:t>
      </w:r>
      <w:r w:rsidRPr="0040294D">
        <w:rPr>
          <w:color w:val="000000" w:themeColor="text1"/>
          <w:lang w:val="en-GB" w:eastAsia="ja-JP"/>
        </w:rPr>
        <w:t xml:space="preserve"> of hazard rates</w:t>
      </w:r>
      <w:r w:rsidR="00806B22" w:rsidRPr="0040294D">
        <w:rPr>
          <w:color w:val="000000" w:themeColor="text1"/>
          <w:lang w:val="en-GB" w:eastAsia="ja-JP"/>
        </w:rPr>
        <w:t xml:space="preserve"> </w:t>
      </w:r>
      <w:r w:rsidRPr="0040294D">
        <w:rPr>
          <w:color w:val="000000" w:themeColor="text1"/>
          <w:lang w:val="en-GB" w:eastAsia="ja-JP"/>
        </w:rPr>
        <w:t>at the end of the period at risk.</w:t>
      </w:r>
    </w:p>
    <w:p w14:paraId="464B11C5" w14:textId="77777777" w:rsidR="00FD2A48" w:rsidRPr="0040294D" w:rsidRDefault="00FD2A48" w:rsidP="00FD2A48">
      <w:pPr>
        <w:spacing w:line="480" w:lineRule="auto"/>
        <w:jc w:val="center"/>
        <w:rPr>
          <w:b/>
          <w:bCs/>
          <w:i/>
          <w:color w:val="000000" w:themeColor="text1"/>
          <w:lang w:val="en-GB"/>
        </w:rPr>
      </w:pPr>
      <w:r w:rsidRPr="0040294D">
        <w:rPr>
          <w:b/>
          <w:bCs/>
          <w:i/>
          <w:color w:val="000000" w:themeColor="text1"/>
          <w:lang w:val="en-GB"/>
        </w:rPr>
        <w:t>Insert Figure 2 About Here</w:t>
      </w:r>
    </w:p>
    <w:p w14:paraId="48F59D30" w14:textId="10E27643" w:rsidR="00FD2A48" w:rsidRPr="0040294D" w:rsidRDefault="00FD2A48" w:rsidP="00FD2A48">
      <w:pPr>
        <w:spacing w:line="480" w:lineRule="auto"/>
        <w:ind w:firstLine="284"/>
        <w:jc w:val="both"/>
        <w:rPr>
          <w:bCs/>
          <w:color w:val="000000" w:themeColor="text1"/>
          <w:lang w:val="en-GB"/>
        </w:rPr>
      </w:pPr>
      <w:r w:rsidRPr="0040294D">
        <w:rPr>
          <w:color w:val="000000" w:themeColor="text1"/>
          <w:lang w:val="en-GB"/>
        </w:rPr>
        <w:t>Figure 2 indicates that a</w:t>
      </w:r>
      <w:r w:rsidR="006B54F3">
        <w:rPr>
          <w:color w:val="000000" w:themeColor="text1"/>
          <w:lang w:val="en-GB"/>
        </w:rPr>
        <w:t>cquirers at both extremes (very-low and very-</w:t>
      </w:r>
      <w:r w:rsidRPr="0040294D">
        <w:rPr>
          <w:color w:val="000000" w:themeColor="text1"/>
          <w:lang w:val="en-GB"/>
        </w:rPr>
        <w:t xml:space="preserve">high levels of </w:t>
      </w:r>
      <w:r w:rsidR="00FA1DA4">
        <w:rPr>
          <w:color w:val="000000" w:themeColor="text1"/>
          <w:lang w:val="en-GB"/>
        </w:rPr>
        <w:t>HRM-quality</w:t>
      </w:r>
      <w:r w:rsidRPr="0040294D">
        <w:rPr>
          <w:color w:val="000000" w:themeColor="text1"/>
          <w:lang w:val="en-GB"/>
        </w:rPr>
        <w:t xml:space="preserve">) report positive effects on the hazard rate of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 divestment. However, the likelihood of divesting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s decreas</w:t>
      </w:r>
      <w:r w:rsidR="00D01DCC" w:rsidRPr="0040294D">
        <w:rPr>
          <w:color w:val="000000" w:themeColor="text1"/>
          <w:lang w:val="en-GB"/>
        </w:rPr>
        <w:t>es</w:t>
      </w:r>
      <w:r w:rsidRPr="0040294D">
        <w:rPr>
          <w:color w:val="000000" w:themeColor="text1"/>
          <w:lang w:val="en-GB"/>
        </w:rPr>
        <w:t xml:space="preserve"> for acquirers with very high </w:t>
      </w:r>
      <w:r w:rsidR="00FA1DA4">
        <w:rPr>
          <w:color w:val="000000" w:themeColor="text1"/>
          <w:lang w:val="en-GB"/>
        </w:rPr>
        <w:t>HRM-quality</w:t>
      </w:r>
      <w:r w:rsidRPr="0040294D">
        <w:rPr>
          <w:color w:val="000000" w:themeColor="text1"/>
          <w:lang w:val="en-GB"/>
        </w:rPr>
        <w:t xml:space="preserve"> (above one standard deviation plus the mean). When comparing acquisition divestment probabilities </w:t>
      </w:r>
      <w:r w:rsidR="00D01DCC" w:rsidRPr="0040294D">
        <w:rPr>
          <w:color w:val="000000" w:themeColor="text1"/>
          <w:lang w:val="en-GB"/>
        </w:rPr>
        <w:t xml:space="preserve">for both extremes </w:t>
      </w:r>
      <w:r w:rsidRPr="0040294D">
        <w:rPr>
          <w:color w:val="000000" w:themeColor="text1"/>
          <w:lang w:val="en-GB"/>
        </w:rPr>
        <w:t xml:space="preserve">at the end of the period at risk, </w:t>
      </w:r>
      <w:r w:rsidR="00D01DCC" w:rsidRPr="0040294D">
        <w:rPr>
          <w:color w:val="000000" w:themeColor="text1"/>
          <w:lang w:val="en-GB"/>
        </w:rPr>
        <w:t>one striking result is</w:t>
      </w:r>
      <w:r w:rsidRPr="0040294D">
        <w:rPr>
          <w:color w:val="000000" w:themeColor="text1"/>
          <w:lang w:val="en-GB"/>
        </w:rPr>
        <w:t xml:space="preserve"> that acquirers with very low </w:t>
      </w:r>
      <w:r w:rsidR="00FA1DA4">
        <w:rPr>
          <w:color w:val="000000" w:themeColor="text1"/>
          <w:lang w:val="en-GB"/>
        </w:rPr>
        <w:t>HRM-quality</w:t>
      </w:r>
      <w:r w:rsidRPr="0040294D">
        <w:rPr>
          <w:color w:val="000000" w:themeColor="text1"/>
          <w:lang w:val="en-GB"/>
        </w:rPr>
        <w:t xml:space="preserve"> are as likely </w:t>
      </w:r>
      <w:r w:rsidR="00D01DCC" w:rsidRPr="0040294D">
        <w:rPr>
          <w:color w:val="000000" w:themeColor="text1"/>
          <w:lang w:val="en-GB"/>
        </w:rPr>
        <w:t xml:space="preserve">(= 35%) </w:t>
      </w:r>
      <w:r w:rsidRPr="0040294D">
        <w:rPr>
          <w:color w:val="000000" w:themeColor="text1"/>
          <w:lang w:val="en-GB"/>
        </w:rPr>
        <w:t xml:space="preserve">to divest their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s as acquirers with very high </w:t>
      </w:r>
      <w:r w:rsidR="00FA1DA4">
        <w:rPr>
          <w:color w:val="000000" w:themeColor="text1"/>
          <w:lang w:val="en-GB"/>
        </w:rPr>
        <w:t>HRM-quality</w:t>
      </w:r>
      <w:r w:rsidRPr="0040294D">
        <w:rPr>
          <w:color w:val="000000" w:themeColor="text1"/>
          <w:lang w:val="en-GB"/>
        </w:rPr>
        <w:t xml:space="preserve"> (= 32%). </w:t>
      </w:r>
      <w:r w:rsidRPr="0040294D">
        <w:rPr>
          <w:color w:val="000000" w:themeColor="text1"/>
          <w:lang w:val="en-GB" w:eastAsia="ja-JP"/>
        </w:rPr>
        <w:t xml:space="preserve">Significant and opposite coefficient estimates for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 xml:space="preserve"> and its squared term, as well as the U-shaped distribution presented in Figure 2, support Hypothesis 1.</w:t>
      </w:r>
    </w:p>
    <w:p w14:paraId="119C267D" w14:textId="2FB43E88" w:rsidR="00FD2A48" w:rsidRPr="0040294D" w:rsidRDefault="00FD2A48" w:rsidP="006B54F3">
      <w:pPr>
        <w:spacing w:line="480" w:lineRule="auto"/>
        <w:ind w:firstLine="284"/>
        <w:jc w:val="both"/>
        <w:rPr>
          <w:color w:val="000000" w:themeColor="text1"/>
          <w:lang w:val="en-GB" w:eastAsia="zh-CN"/>
        </w:rPr>
      </w:pPr>
      <w:r w:rsidRPr="0040294D">
        <w:rPr>
          <w:color w:val="000000" w:themeColor="text1"/>
          <w:lang w:val="en-GB"/>
        </w:rPr>
        <w:t xml:space="preserve">Models 4 </w:t>
      </w:r>
      <w:r w:rsidR="00FF3FE9">
        <w:rPr>
          <w:color w:val="000000" w:themeColor="text1"/>
          <w:lang w:val="en-GB"/>
        </w:rPr>
        <w:t xml:space="preserve">and </w:t>
      </w:r>
      <w:r w:rsidRPr="0040294D">
        <w:rPr>
          <w:color w:val="000000" w:themeColor="text1"/>
          <w:lang w:val="en-GB"/>
        </w:rPr>
        <w:t xml:space="preserve">5 examine Hypothesis 2, </w:t>
      </w:r>
      <w:r w:rsidR="006B54F3">
        <w:rPr>
          <w:color w:val="000000" w:themeColor="text1"/>
          <w:lang w:val="en-GB"/>
        </w:rPr>
        <w:t>regarding the</w:t>
      </w:r>
      <w:r w:rsidRPr="0040294D">
        <w:rPr>
          <w:iCs/>
          <w:color w:val="000000" w:themeColor="text1"/>
          <w:lang w:val="en-GB"/>
        </w:rPr>
        <w:t xml:space="preserve"> moderating effect on the U-shaped relationship between </w:t>
      </w:r>
      <w:r w:rsidR="00FA1DA4">
        <w:rPr>
          <w:iCs/>
          <w:color w:val="000000" w:themeColor="text1"/>
          <w:lang w:val="en-GB"/>
        </w:rPr>
        <w:t>HRM-quality</w:t>
      </w:r>
      <w:r w:rsidRPr="0040294D">
        <w:rPr>
          <w:iCs/>
          <w:color w:val="000000" w:themeColor="text1"/>
          <w:lang w:val="en-GB"/>
        </w:rPr>
        <w:t xml:space="preserve"> and the probability of </w:t>
      </w:r>
      <w:r w:rsidR="00FA1DA4">
        <w:rPr>
          <w:iCs/>
          <w:color w:val="000000" w:themeColor="text1"/>
          <w:lang w:val="en-GB"/>
        </w:rPr>
        <w:t>cross-border</w:t>
      </w:r>
      <w:r w:rsidR="00187E65">
        <w:rPr>
          <w:iCs/>
          <w:color w:val="000000" w:themeColor="text1"/>
          <w:lang w:val="en-GB"/>
        </w:rPr>
        <w:t xml:space="preserve"> </w:t>
      </w:r>
      <w:r w:rsidR="00FA1DA4">
        <w:rPr>
          <w:iCs/>
          <w:color w:val="000000" w:themeColor="text1"/>
          <w:lang w:val="en-GB"/>
        </w:rPr>
        <w:t>acquisition</w:t>
      </w:r>
      <w:r w:rsidRPr="0040294D">
        <w:rPr>
          <w:iCs/>
          <w:color w:val="000000" w:themeColor="text1"/>
          <w:lang w:val="en-GB"/>
        </w:rPr>
        <w:t xml:space="preserve"> divestment. </w:t>
      </w:r>
      <w:r w:rsidR="006B54F3">
        <w:rPr>
          <w:iCs/>
          <w:color w:val="000000" w:themeColor="text1"/>
          <w:lang w:val="en-GB"/>
        </w:rPr>
        <w:t>W</w:t>
      </w:r>
      <w:r w:rsidRPr="0040294D">
        <w:rPr>
          <w:iCs/>
          <w:color w:val="000000" w:themeColor="text1"/>
          <w:lang w:val="en-GB"/>
        </w:rPr>
        <w:t xml:space="preserve">e </w:t>
      </w:r>
      <w:r w:rsidR="00735613" w:rsidRPr="00CA6C44">
        <w:rPr>
          <w:iCs/>
          <w:color w:val="000000" w:themeColor="text1"/>
          <w:lang w:val="en-GB"/>
        </w:rPr>
        <w:t>hypothesi</w:t>
      </w:r>
      <w:r w:rsidR="00735613">
        <w:rPr>
          <w:iCs/>
          <w:color w:val="000000" w:themeColor="text1"/>
          <w:lang w:val="en-GB"/>
        </w:rPr>
        <w:t>z</w:t>
      </w:r>
      <w:r w:rsidR="00735613" w:rsidRPr="00CA6C44">
        <w:rPr>
          <w:iCs/>
          <w:color w:val="000000" w:themeColor="text1"/>
          <w:lang w:val="en-GB"/>
        </w:rPr>
        <w:t xml:space="preserve">ed </w:t>
      </w:r>
      <w:r w:rsidRPr="00CA6C44">
        <w:rPr>
          <w:iCs/>
          <w:color w:val="000000" w:themeColor="text1"/>
          <w:lang w:val="en-GB"/>
        </w:rPr>
        <w:t>that</w:t>
      </w:r>
      <w:r w:rsidRPr="0040294D">
        <w:rPr>
          <w:iCs/>
          <w:color w:val="000000" w:themeColor="text1"/>
          <w:lang w:val="en-GB"/>
        </w:rPr>
        <w:t xml:space="preserve"> </w:t>
      </w:r>
      <w:r w:rsidRPr="0040294D">
        <w:rPr>
          <w:color w:val="000000" w:themeColor="text1"/>
          <w:lang w:val="en-GB"/>
        </w:rPr>
        <w:t xml:space="preserve">a low level of </w:t>
      </w:r>
      <w:r w:rsidR="00FA1DA4">
        <w:rPr>
          <w:color w:val="000000" w:themeColor="text1"/>
          <w:lang w:val="en-GB"/>
        </w:rPr>
        <w:t>financial</w:t>
      </w:r>
      <w:r w:rsidR="00187E65">
        <w:rPr>
          <w:color w:val="000000" w:themeColor="text1"/>
          <w:lang w:val="en-GB"/>
        </w:rPr>
        <w:t xml:space="preserve"> </w:t>
      </w:r>
      <w:r w:rsidR="00FA1DA4">
        <w:rPr>
          <w:color w:val="000000" w:themeColor="text1"/>
          <w:lang w:val="en-GB"/>
        </w:rPr>
        <w:t>slack</w:t>
      </w:r>
      <w:r w:rsidRPr="0040294D">
        <w:rPr>
          <w:color w:val="000000" w:themeColor="text1"/>
          <w:lang w:val="en-GB"/>
        </w:rPr>
        <w:t xml:space="preserve"> would amplify the U-shaped relationship</w:t>
      </w:r>
      <w:r w:rsidR="00D01DCC" w:rsidRPr="0040294D">
        <w:rPr>
          <w:color w:val="000000" w:themeColor="text1"/>
          <w:lang w:val="en-GB"/>
        </w:rPr>
        <w:t>,</w:t>
      </w:r>
      <w:r w:rsidRPr="0040294D">
        <w:rPr>
          <w:color w:val="000000" w:themeColor="text1"/>
          <w:lang w:val="en-GB"/>
        </w:rPr>
        <w:t xml:space="preserve"> whereas a high level would weaken it</w:t>
      </w:r>
      <w:r w:rsidRPr="0040294D">
        <w:rPr>
          <w:color w:val="000000" w:themeColor="text1"/>
          <w:lang w:val="en-GB" w:eastAsia="zh-CN"/>
        </w:rPr>
        <w:t>.</w:t>
      </w:r>
    </w:p>
    <w:p w14:paraId="2E7D3A0A" w14:textId="4368E658" w:rsidR="00FD2A48" w:rsidRPr="0040294D" w:rsidRDefault="00FD2A48" w:rsidP="00FD2A48">
      <w:pPr>
        <w:spacing w:line="480" w:lineRule="auto"/>
        <w:ind w:firstLine="284"/>
        <w:jc w:val="both"/>
        <w:rPr>
          <w:color w:val="000000" w:themeColor="text1"/>
          <w:lang w:val="en-GB" w:eastAsia="ja-JP"/>
        </w:rPr>
      </w:pPr>
      <w:r w:rsidRPr="0040294D">
        <w:rPr>
          <w:color w:val="000000" w:themeColor="text1"/>
          <w:lang w:val="en-GB" w:eastAsia="zh-CN"/>
        </w:rPr>
        <w:lastRenderedPageBreak/>
        <w:t xml:space="preserve">First, Model 4 shows that there is no significant moderating effect of the acquirer’s </w:t>
      </w:r>
      <w:r w:rsidR="00FA1DA4">
        <w:rPr>
          <w:color w:val="000000" w:themeColor="text1"/>
          <w:lang w:val="en-GB" w:eastAsia="zh-CN"/>
        </w:rPr>
        <w:t>financial</w:t>
      </w:r>
      <w:r w:rsidR="00187E65">
        <w:rPr>
          <w:color w:val="000000" w:themeColor="text1"/>
          <w:lang w:val="en-GB" w:eastAsia="zh-CN"/>
        </w:rPr>
        <w:t xml:space="preserve"> </w:t>
      </w:r>
      <w:r w:rsidR="00FA1DA4">
        <w:rPr>
          <w:color w:val="000000" w:themeColor="text1"/>
          <w:lang w:val="en-GB" w:eastAsia="zh-CN"/>
        </w:rPr>
        <w:t>slack</w:t>
      </w:r>
      <w:r w:rsidRPr="0040294D">
        <w:rPr>
          <w:color w:val="000000" w:themeColor="text1"/>
          <w:lang w:val="en-GB" w:eastAsia="zh-CN"/>
        </w:rPr>
        <w:t xml:space="preserve"> on the </w:t>
      </w:r>
      <w:r w:rsidRPr="0040294D">
        <w:rPr>
          <w:i/>
          <w:color w:val="000000" w:themeColor="text1"/>
          <w:lang w:val="en-GB" w:eastAsia="zh-CN"/>
        </w:rPr>
        <w:t>linear</w:t>
      </w:r>
      <w:r w:rsidRPr="0040294D">
        <w:rPr>
          <w:color w:val="000000" w:themeColor="text1"/>
          <w:lang w:val="en-GB" w:eastAsia="zh-CN"/>
        </w:rPr>
        <w:t xml:space="preserve"> relationship </w:t>
      </w:r>
      <w:r w:rsidRPr="0040294D">
        <w:rPr>
          <w:iCs/>
          <w:color w:val="000000" w:themeColor="text1"/>
          <w:lang w:val="en-GB"/>
        </w:rPr>
        <w:t xml:space="preserve">between </w:t>
      </w:r>
      <w:r w:rsidR="00FA1DA4">
        <w:rPr>
          <w:iCs/>
          <w:color w:val="000000" w:themeColor="text1"/>
          <w:lang w:val="en-GB"/>
        </w:rPr>
        <w:t>HRM-quality</w:t>
      </w:r>
      <w:r w:rsidRPr="0040294D">
        <w:rPr>
          <w:iCs/>
          <w:color w:val="000000" w:themeColor="text1"/>
          <w:lang w:val="en-GB"/>
        </w:rPr>
        <w:t xml:space="preserve"> and the probability of </w:t>
      </w:r>
      <w:r w:rsidR="00FA1DA4">
        <w:rPr>
          <w:iCs/>
          <w:color w:val="000000" w:themeColor="text1"/>
          <w:lang w:val="en-GB"/>
        </w:rPr>
        <w:t>cross-border</w:t>
      </w:r>
      <w:r w:rsidR="00187E65">
        <w:rPr>
          <w:iCs/>
          <w:color w:val="000000" w:themeColor="text1"/>
          <w:lang w:val="en-GB"/>
        </w:rPr>
        <w:t xml:space="preserve"> </w:t>
      </w:r>
      <w:r w:rsidR="00FA1DA4">
        <w:rPr>
          <w:iCs/>
          <w:color w:val="000000" w:themeColor="text1"/>
          <w:lang w:val="en-GB"/>
        </w:rPr>
        <w:t>acquisition</w:t>
      </w:r>
      <w:r w:rsidRPr="0040294D">
        <w:rPr>
          <w:iCs/>
          <w:color w:val="000000" w:themeColor="text1"/>
          <w:lang w:val="en-GB"/>
        </w:rPr>
        <w:t xml:space="preserve"> divestment. Second, Model 5 reports a positive and significant (at </w:t>
      </w:r>
      <w:r w:rsidRPr="0040294D">
        <w:rPr>
          <w:i/>
          <w:color w:val="000000" w:themeColor="text1"/>
          <w:lang w:val="en-GB"/>
        </w:rPr>
        <w:t>p</w:t>
      </w:r>
      <w:r w:rsidRPr="0040294D">
        <w:rPr>
          <w:color w:val="000000" w:themeColor="text1"/>
          <w:lang w:val="en-GB"/>
        </w:rPr>
        <w:t xml:space="preserve"> &lt; 0.001) </w:t>
      </w:r>
      <w:r w:rsidRPr="0040294D">
        <w:rPr>
          <w:iCs/>
          <w:color w:val="000000" w:themeColor="text1"/>
          <w:lang w:val="en-GB"/>
        </w:rPr>
        <w:t xml:space="preserve">coefficient estimate for the squared term of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 xml:space="preserve"> when interacted with </w:t>
      </w:r>
      <w:r w:rsidRPr="0040294D">
        <w:rPr>
          <w:bCs/>
          <w:i/>
          <w:color w:val="000000" w:themeColor="text1"/>
          <w:lang w:val="en-GB"/>
        </w:rPr>
        <w:t xml:space="preserve">acquirer </w:t>
      </w:r>
      <w:r w:rsidR="00FA1DA4">
        <w:rPr>
          <w:bCs/>
          <w:i/>
          <w:color w:val="000000" w:themeColor="text1"/>
          <w:lang w:val="en-GB"/>
        </w:rPr>
        <w:t>financial</w:t>
      </w:r>
      <w:r w:rsidR="00187E65">
        <w:rPr>
          <w:bCs/>
          <w:i/>
          <w:color w:val="000000" w:themeColor="text1"/>
          <w:lang w:val="en-GB"/>
        </w:rPr>
        <w:t xml:space="preserve"> </w:t>
      </w:r>
      <w:r w:rsidR="00FA1DA4">
        <w:rPr>
          <w:bCs/>
          <w:i/>
          <w:color w:val="000000" w:themeColor="text1"/>
          <w:lang w:val="en-GB"/>
        </w:rPr>
        <w:t>slack</w:t>
      </w:r>
      <w:r w:rsidRPr="0040294D">
        <w:rPr>
          <w:bCs/>
          <w:color w:val="000000" w:themeColor="text1"/>
          <w:lang w:val="en-GB"/>
        </w:rPr>
        <w:t xml:space="preserve">. In order to better understand </w:t>
      </w:r>
      <w:r w:rsidRPr="00CA6C44">
        <w:rPr>
          <w:bCs/>
          <w:color w:val="000000" w:themeColor="text1"/>
          <w:lang w:val="en-GB"/>
        </w:rPr>
        <w:t>and visuali</w:t>
      </w:r>
      <w:r w:rsidR="001E599F" w:rsidRPr="00CA6C44">
        <w:rPr>
          <w:bCs/>
          <w:color w:val="000000" w:themeColor="text1"/>
          <w:lang w:val="en-GB"/>
        </w:rPr>
        <w:t>s</w:t>
      </w:r>
      <w:r w:rsidRPr="00CA6C44">
        <w:rPr>
          <w:bCs/>
          <w:color w:val="000000" w:themeColor="text1"/>
          <w:lang w:val="en-GB"/>
        </w:rPr>
        <w:t>e this</w:t>
      </w:r>
      <w:r w:rsidRPr="0040294D">
        <w:rPr>
          <w:bCs/>
          <w:color w:val="000000" w:themeColor="text1"/>
          <w:lang w:val="en-GB"/>
        </w:rPr>
        <w:t xml:space="preserve"> interaction effect, Figure 3 presents two</w:t>
      </w:r>
      <w:r w:rsidRPr="0040294D">
        <w:rPr>
          <w:color w:val="000000" w:themeColor="text1"/>
          <w:lang w:val="en-GB" w:eastAsia="ja-JP"/>
        </w:rPr>
        <w:t xml:space="preserve"> curvilinear distributions of acquisition divestment probabilities, which are plotted at low and high levels of </w:t>
      </w:r>
      <w:r w:rsidR="00FA1DA4">
        <w:rPr>
          <w:color w:val="000000" w:themeColor="text1"/>
          <w:lang w:val="en-GB" w:eastAsia="ja-JP"/>
        </w:rPr>
        <w:t>financial</w:t>
      </w:r>
      <w:r w:rsidR="00187E65">
        <w:rPr>
          <w:color w:val="000000" w:themeColor="text1"/>
          <w:lang w:val="en-GB" w:eastAsia="ja-JP"/>
        </w:rPr>
        <w:t xml:space="preserve"> </w:t>
      </w:r>
      <w:r w:rsidR="00FA1DA4">
        <w:rPr>
          <w:color w:val="000000" w:themeColor="text1"/>
          <w:lang w:val="en-GB" w:eastAsia="ja-JP"/>
        </w:rPr>
        <w:t>slack</w:t>
      </w:r>
      <w:r w:rsidRPr="0040294D">
        <w:rPr>
          <w:color w:val="000000" w:themeColor="text1"/>
          <w:lang w:val="en-GB" w:eastAsia="ja-JP"/>
        </w:rPr>
        <w:t xml:space="preserve"> (corresponding to long-term debt-to-equity ratio &gt; 1 and &lt; 1 for low slack and high slack, respectively).</w:t>
      </w:r>
    </w:p>
    <w:p w14:paraId="1528670E" w14:textId="77777777" w:rsidR="00FD2A48" w:rsidRPr="0040294D" w:rsidRDefault="00FD2A48" w:rsidP="00FD2A48">
      <w:pPr>
        <w:spacing w:line="480" w:lineRule="auto"/>
        <w:jc w:val="center"/>
        <w:rPr>
          <w:bCs/>
          <w:color w:val="000000" w:themeColor="text1"/>
          <w:lang w:val="en-GB"/>
        </w:rPr>
      </w:pPr>
      <w:r w:rsidRPr="0040294D">
        <w:rPr>
          <w:b/>
          <w:bCs/>
          <w:i/>
          <w:color w:val="000000" w:themeColor="text1"/>
          <w:lang w:val="en-GB"/>
        </w:rPr>
        <w:t>Insert Figure 3 About Here</w:t>
      </w:r>
    </w:p>
    <w:p w14:paraId="4A063A42" w14:textId="0E0F6657" w:rsidR="00FD2A48" w:rsidRPr="0040294D" w:rsidRDefault="00FD2A48" w:rsidP="00FD2A48">
      <w:pPr>
        <w:autoSpaceDE w:val="0"/>
        <w:autoSpaceDN w:val="0"/>
        <w:adjustRightInd w:val="0"/>
        <w:spacing w:line="480" w:lineRule="auto"/>
        <w:ind w:firstLine="284"/>
        <w:jc w:val="both"/>
        <w:rPr>
          <w:color w:val="000000" w:themeColor="text1"/>
          <w:lang w:val="en-GB"/>
        </w:rPr>
      </w:pPr>
      <w:r w:rsidRPr="0040294D">
        <w:rPr>
          <w:color w:val="000000" w:themeColor="text1"/>
          <w:lang w:val="en-GB"/>
        </w:rPr>
        <w:t xml:space="preserve">Several observations can be drawn from Figure 3. First, the </w:t>
      </w:r>
      <w:r w:rsidRPr="0040294D">
        <w:rPr>
          <w:color w:val="000000" w:themeColor="text1"/>
          <w:lang w:val="en-GB" w:eastAsia="ja-JP"/>
        </w:rPr>
        <w:t xml:space="preserve">distribution of acquisition divestment probabilities at a low level of </w:t>
      </w:r>
      <w:r w:rsidR="00FA1DA4">
        <w:rPr>
          <w:color w:val="000000" w:themeColor="text1"/>
          <w:lang w:val="en-GB"/>
        </w:rPr>
        <w:t>financial</w:t>
      </w:r>
      <w:r w:rsidR="00187E65">
        <w:rPr>
          <w:color w:val="000000" w:themeColor="text1"/>
          <w:lang w:val="en-GB"/>
        </w:rPr>
        <w:t xml:space="preserve"> </w:t>
      </w:r>
      <w:r w:rsidR="00FA1DA4">
        <w:rPr>
          <w:color w:val="000000" w:themeColor="text1"/>
          <w:lang w:val="en-GB"/>
        </w:rPr>
        <w:t>slack</w:t>
      </w:r>
      <w:r w:rsidRPr="0040294D">
        <w:rPr>
          <w:color w:val="000000" w:themeColor="text1"/>
          <w:lang w:val="en-GB"/>
        </w:rPr>
        <w:t xml:space="preserve"> follows a U-shaped relationship. When compared with the distribution in Figure 2, this illustrates a curvilinear effect that is amplified by the low level of </w:t>
      </w:r>
      <w:r w:rsidR="00FA1DA4">
        <w:rPr>
          <w:color w:val="000000" w:themeColor="text1"/>
          <w:lang w:val="en-GB"/>
        </w:rPr>
        <w:t>financial</w:t>
      </w:r>
      <w:r w:rsidR="00187E65">
        <w:rPr>
          <w:color w:val="000000" w:themeColor="text1"/>
          <w:lang w:val="en-GB"/>
        </w:rPr>
        <w:t xml:space="preserve"> </w:t>
      </w:r>
      <w:r w:rsidR="00FA1DA4">
        <w:rPr>
          <w:color w:val="000000" w:themeColor="text1"/>
          <w:lang w:val="en-GB"/>
        </w:rPr>
        <w:t>slack</w:t>
      </w:r>
      <w:r w:rsidRPr="0040294D">
        <w:rPr>
          <w:color w:val="000000" w:themeColor="text1"/>
          <w:lang w:val="en-GB"/>
        </w:rPr>
        <w:t>.</w:t>
      </w:r>
      <w:r w:rsidRPr="0040294D" w:rsidDel="00410536">
        <w:rPr>
          <w:color w:val="000000" w:themeColor="text1"/>
          <w:lang w:val="en-GB"/>
        </w:rPr>
        <w:t xml:space="preserve"> </w:t>
      </w:r>
      <w:r w:rsidRPr="0040294D">
        <w:rPr>
          <w:color w:val="000000" w:themeColor="text1"/>
          <w:lang w:val="en-GB"/>
        </w:rPr>
        <w:t xml:space="preserve">At a low level of </w:t>
      </w:r>
      <w:r w:rsidR="00FA1DA4">
        <w:rPr>
          <w:color w:val="000000" w:themeColor="text1"/>
          <w:lang w:val="en-GB"/>
        </w:rPr>
        <w:t>HRM-quality</w:t>
      </w:r>
      <w:r w:rsidRPr="0040294D">
        <w:rPr>
          <w:color w:val="000000" w:themeColor="text1"/>
          <w:lang w:val="en-GB"/>
        </w:rPr>
        <w:t xml:space="preserve">, acquirers with a low level of </w:t>
      </w:r>
      <w:r w:rsidR="00FA1DA4">
        <w:rPr>
          <w:color w:val="000000" w:themeColor="text1"/>
          <w:lang w:val="en-GB"/>
        </w:rPr>
        <w:t>financial</w:t>
      </w:r>
      <w:r w:rsidR="00187E65">
        <w:rPr>
          <w:color w:val="000000" w:themeColor="text1"/>
          <w:lang w:val="en-GB"/>
        </w:rPr>
        <w:t xml:space="preserve"> </w:t>
      </w:r>
      <w:r w:rsidR="00FA1DA4">
        <w:rPr>
          <w:color w:val="000000" w:themeColor="text1"/>
          <w:lang w:val="en-GB"/>
        </w:rPr>
        <w:t>slack</w:t>
      </w:r>
      <w:r w:rsidRPr="0040294D">
        <w:rPr>
          <w:color w:val="000000" w:themeColor="text1"/>
          <w:lang w:val="en-GB"/>
        </w:rPr>
        <w:t xml:space="preserve"> are more likely to divest their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s than any acquirers in the sample ( = 83% in Figure 3 and = 35% for any acquirers in Figure 2). At a high level of </w:t>
      </w:r>
      <w:r w:rsidR="00FA1DA4">
        <w:rPr>
          <w:color w:val="000000" w:themeColor="text1"/>
          <w:lang w:val="en-GB"/>
        </w:rPr>
        <w:t>HRM-quality</w:t>
      </w:r>
      <w:r w:rsidRPr="0040294D">
        <w:rPr>
          <w:color w:val="000000" w:themeColor="text1"/>
          <w:lang w:val="en-GB"/>
        </w:rPr>
        <w:t xml:space="preserve">, the likelihood that firms will divest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s is more than </w:t>
      </w:r>
      <w:r w:rsidR="00BB1C11" w:rsidRPr="0040294D">
        <w:rPr>
          <w:color w:val="000000" w:themeColor="text1"/>
          <w:lang w:val="en-GB"/>
        </w:rPr>
        <w:t>twice as high</w:t>
      </w:r>
      <w:r w:rsidRPr="0040294D">
        <w:rPr>
          <w:color w:val="000000" w:themeColor="text1"/>
          <w:lang w:val="en-GB"/>
        </w:rPr>
        <w:t xml:space="preserve"> for acquirers with a low level of </w:t>
      </w:r>
      <w:r w:rsidR="00FA1DA4">
        <w:rPr>
          <w:color w:val="000000" w:themeColor="text1"/>
          <w:lang w:val="en-GB"/>
        </w:rPr>
        <w:t>financial</w:t>
      </w:r>
      <w:r w:rsidR="00187E65">
        <w:rPr>
          <w:color w:val="000000" w:themeColor="text1"/>
          <w:lang w:val="en-GB"/>
        </w:rPr>
        <w:t xml:space="preserve"> </w:t>
      </w:r>
      <w:r w:rsidR="00FA1DA4">
        <w:rPr>
          <w:color w:val="000000" w:themeColor="text1"/>
          <w:lang w:val="en-GB"/>
        </w:rPr>
        <w:t>slack</w:t>
      </w:r>
      <w:r w:rsidRPr="0040294D">
        <w:rPr>
          <w:color w:val="000000" w:themeColor="text1"/>
          <w:lang w:val="en-GB"/>
        </w:rPr>
        <w:t xml:space="preserve"> than for any acquirers in the sample ( = 80% in Figure 3 and = 32% for any acquirers in Figure 2).</w:t>
      </w:r>
    </w:p>
    <w:p w14:paraId="6BF5DC54" w14:textId="2918A3F4" w:rsidR="00FD2A48" w:rsidRPr="0040294D" w:rsidRDefault="00FD2A48" w:rsidP="00FD2A48">
      <w:pPr>
        <w:autoSpaceDE w:val="0"/>
        <w:autoSpaceDN w:val="0"/>
        <w:adjustRightInd w:val="0"/>
        <w:spacing w:line="480" w:lineRule="auto"/>
        <w:ind w:firstLine="284"/>
        <w:jc w:val="both"/>
        <w:rPr>
          <w:color w:val="000000" w:themeColor="text1"/>
          <w:u w:val="single"/>
          <w:lang w:val="en-GB"/>
        </w:rPr>
      </w:pPr>
      <w:r w:rsidRPr="0040294D">
        <w:rPr>
          <w:color w:val="000000" w:themeColor="text1"/>
          <w:lang w:val="en-GB"/>
        </w:rPr>
        <w:t xml:space="preserve">Second, the </w:t>
      </w:r>
      <w:r w:rsidRPr="0040294D">
        <w:rPr>
          <w:color w:val="000000" w:themeColor="text1"/>
          <w:lang w:val="en-GB" w:eastAsia="ja-JP"/>
        </w:rPr>
        <w:t xml:space="preserve">distribution of acquisition divestment probabilities at a high level of </w:t>
      </w:r>
      <w:r w:rsidR="00FA1DA4">
        <w:rPr>
          <w:color w:val="000000" w:themeColor="text1"/>
          <w:lang w:val="en-GB"/>
        </w:rPr>
        <w:t>financial</w:t>
      </w:r>
      <w:r w:rsidR="00187E65">
        <w:rPr>
          <w:color w:val="000000" w:themeColor="text1"/>
          <w:lang w:val="en-GB"/>
        </w:rPr>
        <w:t xml:space="preserve"> </w:t>
      </w:r>
      <w:r w:rsidR="00FA1DA4">
        <w:rPr>
          <w:color w:val="000000" w:themeColor="text1"/>
          <w:lang w:val="en-GB"/>
        </w:rPr>
        <w:t>slack</w:t>
      </w:r>
      <w:r w:rsidRPr="0040294D">
        <w:rPr>
          <w:color w:val="000000" w:themeColor="text1"/>
          <w:lang w:val="en-GB"/>
        </w:rPr>
        <w:t xml:space="preserve"> follows a slightly inverted U-shaped relationship, indicating a low likelihood of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 divestment for acquirers at low and high levels of </w:t>
      </w:r>
      <w:r w:rsidR="00FA1DA4">
        <w:rPr>
          <w:color w:val="000000" w:themeColor="text1"/>
          <w:lang w:val="en-GB"/>
        </w:rPr>
        <w:t>HRM-quality</w:t>
      </w:r>
      <w:r w:rsidRPr="0040294D">
        <w:rPr>
          <w:color w:val="000000" w:themeColor="text1"/>
          <w:lang w:val="en-GB"/>
        </w:rPr>
        <w:t xml:space="preserve">. </w:t>
      </w:r>
      <w:r w:rsidRPr="0040294D">
        <w:rPr>
          <w:color w:val="000000" w:themeColor="text1"/>
          <w:lang w:val="en-GB" w:eastAsia="ja-JP"/>
        </w:rPr>
        <w:t>These observations therefore partly support Hypothesis 2.</w:t>
      </w:r>
    </w:p>
    <w:p w14:paraId="76AA33C4" w14:textId="68BD3E0F" w:rsidR="00E95750" w:rsidRDefault="00FD2A48" w:rsidP="00E95750">
      <w:pPr>
        <w:spacing w:line="480" w:lineRule="auto"/>
        <w:ind w:firstLine="284"/>
        <w:jc w:val="both"/>
        <w:rPr>
          <w:bCs/>
          <w:color w:val="000000" w:themeColor="text1"/>
          <w:lang w:val="en-GB"/>
        </w:rPr>
      </w:pPr>
      <w:r w:rsidRPr="0040294D">
        <w:rPr>
          <w:color w:val="000000" w:themeColor="text1"/>
          <w:lang w:val="en-GB"/>
        </w:rPr>
        <w:t xml:space="preserve">As regards control variables, Table 2 reports significant coefficient estimates for </w:t>
      </w:r>
      <w:r w:rsidRPr="0040294D">
        <w:rPr>
          <w:bCs/>
          <w:i/>
          <w:color w:val="000000" w:themeColor="text1"/>
          <w:lang w:val="en-GB"/>
        </w:rPr>
        <w:t xml:space="preserve">acquirer </w:t>
      </w:r>
      <w:r w:rsidR="00735613">
        <w:rPr>
          <w:bCs/>
          <w:i/>
          <w:color w:val="000000" w:themeColor="text1"/>
          <w:lang w:val="en-GB"/>
        </w:rPr>
        <w:t>internationalization</w:t>
      </w:r>
      <w:r w:rsidR="00735613" w:rsidRPr="0040294D">
        <w:rPr>
          <w:bCs/>
          <w:color w:val="000000" w:themeColor="text1"/>
          <w:lang w:val="en-GB"/>
        </w:rPr>
        <w:t xml:space="preserve"> </w:t>
      </w:r>
      <w:r w:rsidRPr="0040294D">
        <w:rPr>
          <w:bCs/>
          <w:color w:val="000000" w:themeColor="text1"/>
          <w:lang w:val="en-GB"/>
        </w:rPr>
        <w:t>(</w:t>
      </w:r>
      <w:r w:rsidRPr="0040294D">
        <w:rPr>
          <w:iCs/>
          <w:color w:val="000000" w:themeColor="text1"/>
          <w:lang w:val="en-GB"/>
        </w:rPr>
        <w:t xml:space="preserve">at </w:t>
      </w:r>
      <w:r w:rsidRPr="0040294D">
        <w:rPr>
          <w:i/>
          <w:color w:val="000000" w:themeColor="text1"/>
          <w:lang w:val="en-GB"/>
        </w:rPr>
        <w:t>p</w:t>
      </w:r>
      <w:r w:rsidRPr="0040294D">
        <w:rPr>
          <w:color w:val="000000" w:themeColor="text1"/>
          <w:lang w:val="en-GB"/>
        </w:rPr>
        <w:t> &lt; 0.01 across all models</w:t>
      </w:r>
      <w:r w:rsidRPr="0040294D">
        <w:rPr>
          <w:bCs/>
          <w:color w:val="000000" w:themeColor="text1"/>
          <w:lang w:val="en-GB"/>
        </w:rPr>
        <w:t xml:space="preserve">), </w:t>
      </w:r>
      <w:r w:rsidRPr="0040294D">
        <w:rPr>
          <w:i/>
          <w:color w:val="000000" w:themeColor="text1"/>
          <w:lang w:val="en-GB"/>
        </w:rPr>
        <w:t xml:space="preserve">acquirer experience with US divestments </w:t>
      </w:r>
      <w:r w:rsidRPr="0040294D">
        <w:rPr>
          <w:bCs/>
          <w:color w:val="000000" w:themeColor="text1"/>
          <w:lang w:val="en-GB"/>
        </w:rPr>
        <w:t>(</w:t>
      </w:r>
      <w:r w:rsidRPr="0040294D">
        <w:rPr>
          <w:iCs/>
          <w:color w:val="000000" w:themeColor="text1"/>
          <w:lang w:val="en-GB"/>
        </w:rPr>
        <w:t xml:space="preserve">at </w:t>
      </w:r>
      <w:r w:rsidRPr="0040294D">
        <w:rPr>
          <w:i/>
          <w:color w:val="000000" w:themeColor="text1"/>
          <w:lang w:val="en-GB"/>
        </w:rPr>
        <w:lastRenderedPageBreak/>
        <w:t>p</w:t>
      </w:r>
      <w:r w:rsidRPr="0040294D">
        <w:rPr>
          <w:color w:val="000000" w:themeColor="text1"/>
          <w:lang w:val="en-GB"/>
        </w:rPr>
        <w:t xml:space="preserve"> &lt; 0.05 only in </w:t>
      </w:r>
      <w:r w:rsidR="00954E5E" w:rsidRPr="0040294D">
        <w:rPr>
          <w:color w:val="000000" w:themeColor="text1"/>
          <w:lang w:val="en-GB"/>
        </w:rPr>
        <w:t>M</w:t>
      </w:r>
      <w:r w:rsidRPr="0040294D">
        <w:rPr>
          <w:color w:val="000000" w:themeColor="text1"/>
          <w:lang w:val="en-GB"/>
        </w:rPr>
        <w:t xml:space="preserve">odels 3, 4 </w:t>
      </w:r>
      <w:r w:rsidR="00561F56" w:rsidRPr="0040294D">
        <w:rPr>
          <w:color w:val="000000" w:themeColor="text1"/>
          <w:lang w:val="en-GB"/>
        </w:rPr>
        <w:t xml:space="preserve">&amp; </w:t>
      </w:r>
      <w:r w:rsidRPr="0040294D">
        <w:rPr>
          <w:color w:val="000000" w:themeColor="text1"/>
          <w:lang w:val="en-GB"/>
        </w:rPr>
        <w:t>5</w:t>
      </w:r>
      <w:r w:rsidRPr="0040294D">
        <w:rPr>
          <w:bCs/>
          <w:color w:val="000000" w:themeColor="text1"/>
          <w:lang w:val="en-GB"/>
        </w:rPr>
        <w:t>),</w:t>
      </w:r>
      <w:r w:rsidRPr="0040294D">
        <w:rPr>
          <w:color w:val="000000" w:themeColor="text1"/>
          <w:lang w:val="en-GB"/>
        </w:rPr>
        <w:t xml:space="preserve"> </w:t>
      </w:r>
      <w:r w:rsidRPr="0040294D">
        <w:rPr>
          <w:i/>
          <w:color w:val="000000" w:themeColor="text1"/>
          <w:lang w:val="en-GB"/>
        </w:rPr>
        <w:t>acquirer ROA</w:t>
      </w:r>
      <w:r w:rsidRPr="0040294D">
        <w:rPr>
          <w:color w:val="000000" w:themeColor="text1"/>
          <w:lang w:val="en-GB"/>
        </w:rPr>
        <w:t xml:space="preserve"> </w:t>
      </w:r>
      <w:r w:rsidRPr="0040294D">
        <w:rPr>
          <w:bCs/>
          <w:color w:val="000000" w:themeColor="text1"/>
          <w:lang w:val="en-GB"/>
        </w:rPr>
        <w:t>(</w:t>
      </w:r>
      <w:r w:rsidRPr="0040294D">
        <w:rPr>
          <w:iCs/>
          <w:color w:val="000000" w:themeColor="text1"/>
          <w:lang w:val="en-GB"/>
        </w:rPr>
        <w:t xml:space="preserve">at </w:t>
      </w:r>
      <w:r w:rsidRPr="0040294D">
        <w:rPr>
          <w:i/>
          <w:color w:val="000000" w:themeColor="text1"/>
          <w:lang w:val="en-GB"/>
        </w:rPr>
        <w:t>p</w:t>
      </w:r>
      <w:r w:rsidRPr="0040294D">
        <w:rPr>
          <w:color w:val="000000" w:themeColor="text1"/>
          <w:lang w:val="en-GB"/>
        </w:rPr>
        <w:t> &lt; 0.01 across all models</w:t>
      </w:r>
      <w:r w:rsidRPr="0040294D">
        <w:rPr>
          <w:bCs/>
          <w:color w:val="000000" w:themeColor="text1"/>
          <w:lang w:val="en-GB"/>
        </w:rPr>
        <w:t xml:space="preserve">), </w:t>
      </w:r>
      <w:r w:rsidRPr="0040294D">
        <w:rPr>
          <w:bCs/>
          <w:i/>
          <w:color w:val="000000" w:themeColor="text1"/>
          <w:lang w:val="en-GB"/>
        </w:rPr>
        <w:t>acquirer CEO change</w:t>
      </w:r>
      <w:r w:rsidRPr="0040294D">
        <w:rPr>
          <w:bCs/>
          <w:color w:val="000000" w:themeColor="text1"/>
          <w:lang w:val="en-GB"/>
        </w:rPr>
        <w:t xml:space="preserve"> (</w:t>
      </w:r>
      <w:r w:rsidRPr="0040294D">
        <w:rPr>
          <w:iCs/>
          <w:color w:val="000000" w:themeColor="text1"/>
          <w:lang w:val="en-GB"/>
        </w:rPr>
        <w:t xml:space="preserve">at </w:t>
      </w:r>
      <w:r w:rsidRPr="0040294D">
        <w:rPr>
          <w:i/>
          <w:color w:val="000000" w:themeColor="text1"/>
          <w:lang w:val="en-GB"/>
        </w:rPr>
        <w:t>p</w:t>
      </w:r>
      <w:r w:rsidRPr="0040294D">
        <w:rPr>
          <w:color w:val="000000" w:themeColor="text1"/>
          <w:lang w:val="en-GB"/>
        </w:rPr>
        <w:t xml:space="preserve"> &lt; 0.001 across all models) and </w:t>
      </w:r>
      <w:r w:rsidRPr="0040294D">
        <w:rPr>
          <w:bCs/>
          <w:i/>
          <w:color w:val="000000" w:themeColor="text1"/>
          <w:lang w:val="en-GB"/>
        </w:rPr>
        <w:t>relative size</w:t>
      </w:r>
      <w:r w:rsidRPr="0040294D">
        <w:rPr>
          <w:bCs/>
          <w:color w:val="000000" w:themeColor="text1"/>
          <w:lang w:val="en-GB"/>
        </w:rPr>
        <w:t xml:space="preserve"> (</w:t>
      </w:r>
      <w:r w:rsidRPr="0040294D">
        <w:rPr>
          <w:iCs/>
          <w:color w:val="000000" w:themeColor="text1"/>
          <w:lang w:val="en-GB"/>
        </w:rPr>
        <w:t xml:space="preserve">at </w:t>
      </w:r>
      <w:r w:rsidRPr="0040294D">
        <w:rPr>
          <w:i/>
          <w:color w:val="000000" w:themeColor="text1"/>
          <w:lang w:val="en-GB"/>
        </w:rPr>
        <w:t>p</w:t>
      </w:r>
      <w:r w:rsidRPr="0040294D">
        <w:rPr>
          <w:color w:val="000000" w:themeColor="text1"/>
          <w:lang w:val="en-GB"/>
        </w:rPr>
        <w:t> &lt; 0.001 across all models</w:t>
      </w:r>
      <w:r w:rsidRPr="0040294D">
        <w:rPr>
          <w:bCs/>
          <w:color w:val="000000" w:themeColor="text1"/>
          <w:lang w:val="en-GB"/>
        </w:rPr>
        <w:t>). More precisely, and in keeping with extant literature on acquisition performance and divestment (</w:t>
      </w:r>
      <w:proofErr w:type="spellStart"/>
      <w:r w:rsidRPr="0040294D">
        <w:rPr>
          <w:bCs/>
          <w:color w:val="000000" w:themeColor="text1"/>
          <w:lang w:val="en-GB"/>
        </w:rPr>
        <w:t>Brauer</w:t>
      </w:r>
      <w:proofErr w:type="spellEnd"/>
      <w:r w:rsidRPr="0040294D">
        <w:rPr>
          <w:bCs/>
          <w:color w:val="000000" w:themeColor="text1"/>
          <w:lang w:val="en-GB"/>
        </w:rPr>
        <w:t xml:space="preserve"> and Wiersema, 2012; Hayward and Shimizu, 2006; </w:t>
      </w:r>
      <w:proofErr w:type="spellStart"/>
      <w:r w:rsidRPr="0040294D">
        <w:rPr>
          <w:bCs/>
          <w:color w:val="000000" w:themeColor="text1"/>
          <w:lang w:val="en-GB"/>
        </w:rPr>
        <w:t>Meschi</w:t>
      </w:r>
      <w:proofErr w:type="spellEnd"/>
      <w:r w:rsidRPr="0040294D">
        <w:rPr>
          <w:bCs/>
          <w:color w:val="000000" w:themeColor="text1"/>
          <w:lang w:val="en-GB"/>
        </w:rPr>
        <w:t xml:space="preserve"> and </w:t>
      </w:r>
      <w:proofErr w:type="spellStart"/>
      <w:r w:rsidRPr="0040294D">
        <w:rPr>
          <w:bCs/>
          <w:color w:val="000000" w:themeColor="text1"/>
          <w:lang w:val="en-GB"/>
        </w:rPr>
        <w:t>Métais</w:t>
      </w:r>
      <w:proofErr w:type="spellEnd"/>
      <w:r w:rsidRPr="0040294D">
        <w:rPr>
          <w:bCs/>
          <w:color w:val="000000" w:themeColor="text1"/>
          <w:lang w:val="en-GB"/>
        </w:rPr>
        <w:t xml:space="preserve">, 2015), our results indicate that a lower (higher) probability of </w:t>
      </w:r>
      <w:r w:rsidR="00FA1DA4">
        <w:rPr>
          <w:bCs/>
          <w:color w:val="000000" w:themeColor="text1"/>
          <w:lang w:val="en-GB"/>
        </w:rPr>
        <w:t>cross-border</w:t>
      </w:r>
      <w:r w:rsidR="00187E65">
        <w:rPr>
          <w:bCs/>
          <w:color w:val="000000" w:themeColor="text1"/>
          <w:lang w:val="en-GB"/>
        </w:rPr>
        <w:t xml:space="preserve"> </w:t>
      </w:r>
      <w:r w:rsidR="00FA1DA4">
        <w:rPr>
          <w:bCs/>
          <w:color w:val="000000" w:themeColor="text1"/>
          <w:lang w:val="en-GB"/>
        </w:rPr>
        <w:t>acquisition</w:t>
      </w:r>
      <w:r w:rsidRPr="0040294D">
        <w:rPr>
          <w:bCs/>
          <w:color w:val="000000" w:themeColor="text1"/>
          <w:lang w:val="en-GB"/>
        </w:rPr>
        <w:t xml:space="preserve"> divestment may be observed (</w:t>
      </w:r>
      <w:proofErr w:type="spellStart"/>
      <w:r w:rsidRPr="0040294D">
        <w:rPr>
          <w:bCs/>
          <w:color w:val="000000" w:themeColor="text1"/>
          <w:lang w:val="en-GB"/>
        </w:rPr>
        <w:t>i</w:t>
      </w:r>
      <w:proofErr w:type="spellEnd"/>
      <w:r w:rsidRPr="0040294D">
        <w:rPr>
          <w:bCs/>
          <w:color w:val="000000" w:themeColor="text1"/>
          <w:lang w:val="en-GB"/>
        </w:rPr>
        <w:t>) for acquirers with strong (low) international experience that deliver high (low) economic profitability, and have a stable (unstable) leadership, and (ii) for smaller (larger) acquisitions.</w:t>
      </w:r>
    </w:p>
    <w:p w14:paraId="3863C46A" w14:textId="77777777" w:rsidR="00FD2A48" w:rsidRPr="0040294D" w:rsidRDefault="00FD2A48" w:rsidP="00FD2A48">
      <w:pPr>
        <w:spacing w:line="480" w:lineRule="auto"/>
        <w:jc w:val="both"/>
        <w:rPr>
          <w:b/>
          <w:i/>
          <w:color w:val="000000" w:themeColor="text1"/>
          <w:lang w:val="en-GB"/>
        </w:rPr>
      </w:pPr>
      <w:r w:rsidRPr="0040294D">
        <w:rPr>
          <w:b/>
          <w:i/>
          <w:color w:val="000000" w:themeColor="text1"/>
          <w:lang w:val="en-GB"/>
        </w:rPr>
        <w:t>Robustness Checks</w:t>
      </w:r>
    </w:p>
    <w:p w14:paraId="6672F7D6" w14:textId="4CE26814" w:rsidR="00FD2A48" w:rsidRPr="0040294D" w:rsidRDefault="006B54F3" w:rsidP="006B54F3">
      <w:pPr>
        <w:spacing w:line="480" w:lineRule="auto"/>
        <w:jc w:val="both"/>
        <w:rPr>
          <w:bCs/>
          <w:color w:val="000000" w:themeColor="text1"/>
          <w:lang w:val="en-GB"/>
        </w:rPr>
      </w:pPr>
      <w:r>
        <w:rPr>
          <w:bCs/>
          <w:color w:val="000000" w:themeColor="text1"/>
          <w:lang w:val="en-GB"/>
        </w:rPr>
        <w:t>T</w:t>
      </w:r>
      <w:r w:rsidR="00FD2A48" w:rsidRPr="0040294D">
        <w:rPr>
          <w:bCs/>
          <w:color w:val="000000" w:themeColor="text1"/>
          <w:lang w:val="en-GB"/>
        </w:rPr>
        <w:t>o check the robustness of the previous results</w:t>
      </w:r>
      <w:r>
        <w:rPr>
          <w:bCs/>
          <w:color w:val="000000" w:themeColor="text1"/>
          <w:lang w:val="en-GB"/>
        </w:rPr>
        <w:t>, f</w:t>
      </w:r>
      <w:r w:rsidR="00FD2A48" w:rsidRPr="0040294D">
        <w:rPr>
          <w:bCs/>
          <w:color w:val="000000" w:themeColor="text1"/>
          <w:lang w:val="en-GB"/>
        </w:rPr>
        <w:t xml:space="preserve">irst, in addition to </w:t>
      </w:r>
      <w:r w:rsidR="00FD2A48" w:rsidRPr="0040294D">
        <w:rPr>
          <w:bCs/>
          <w:i/>
          <w:color w:val="000000" w:themeColor="text1"/>
          <w:lang w:val="en-GB"/>
        </w:rPr>
        <w:t>acquired firm industry effects</w:t>
      </w:r>
      <w:r w:rsidR="00FD2A48" w:rsidRPr="0040294D">
        <w:rPr>
          <w:bCs/>
          <w:color w:val="000000" w:themeColor="text1"/>
          <w:lang w:val="en-GB"/>
        </w:rPr>
        <w:t xml:space="preserve"> and </w:t>
      </w:r>
      <w:r w:rsidR="00FD2A48" w:rsidRPr="0040294D">
        <w:rPr>
          <w:bCs/>
          <w:i/>
          <w:color w:val="000000" w:themeColor="text1"/>
          <w:lang w:val="en-GB"/>
        </w:rPr>
        <w:t>acquisition year effects</w:t>
      </w:r>
      <w:r w:rsidR="00FD2A48" w:rsidRPr="0040294D">
        <w:rPr>
          <w:bCs/>
          <w:color w:val="000000" w:themeColor="text1"/>
          <w:lang w:val="en-GB"/>
        </w:rPr>
        <w:t>, we included a new variable (</w:t>
      </w:r>
      <w:r w:rsidR="00FD2A48" w:rsidRPr="0040294D">
        <w:rPr>
          <w:bCs/>
          <w:i/>
          <w:color w:val="000000" w:themeColor="text1"/>
          <w:lang w:val="en-GB"/>
        </w:rPr>
        <w:t>acquirer effects</w:t>
      </w:r>
      <w:r w:rsidR="00FD2A48" w:rsidRPr="0040294D">
        <w:rPr>
          <w:bCs/>
          <w:color w:val="000000" w:themeColor="text1"/>
          <w:lang w:val="en-GB"/>
        </w:rPr>
        <w:t>) in the statistical analysis to account for acquirer-level heterogeneity (see Table 3). For the sake of par</w:t>
      </w:r>
      <w:r w:rsidR="001F1849" w:rsidRPr="0040294D">
        <w:rPr>
          <w:bCs/>
          <w:color w:val="000000" w:themeColor="text1"/>
          <w:lang w:val="en-GB"/>
        </w:rPr>
        <w:t>s</w:t>
      </w:r>
      <w:r w:rsidR="00FD2A48" w:rsidRPr="0040294D">
        <w:rPr>
          <w:bCs/>
          <w:color w:val="000000" w:themeColor="text1"/>
          <w:lang w:val="en-GB"/>
        </w:rPr>
        <w:t xml:space="preserve">imony, Table 3 only reports a new </w:t>
      </w:r>
      <w:r w:rsidR="00954E5E" w:rsidRPr="0040294D">
        <w:rPr>
          <w:bCs/>
          <w:color w:val="000000" w:themeColor="text1"/>
          <w:lang w:val="en-GB"/>
        </w:rPr>
        <w:t>M</w:t>
      </w:r>
      <w:r w:rsidR="00FD2A48" w:rsidRPr="0040294D">
        <w:rPr>
          <w:bCs/>
          <w:color w:val="000000" w:themeColor="text1"/>
          <w:lang w:val="en-GB"/>
        </w:rPr>
        <w:t xml:space="preserve">odel 5 examining the interaction between </w:t>
      </w:r>
      <w:r w:rsidR="00FD2A48" w:rsidRPr="0040294D">
        <w:rPr>
          <w:bCs/>
          <w:i/>
          <w:color w:val="000000" w:themeColor="text1"/>
          <w:lang w:val="en-GB"/>
        </w:rPr>
        <w:t xml:space="preserve">acquirer </w:t>
      </w:r>
      <w:r w:rsidR="00FA1DA4">
        <w:rPr>
          <w:bCs/>
          <w:i/>
          <w:color w:val="000000" w:themeColor="text1"/>
          <w:lang w:val="en-GB"/>
        </w:rPr>
        <w:t>financial</w:t>
      </w:r>
      <w:r w:rsidR="00187E65">
        <w:rPr>
          <w:bCs/>
          <w:i/>
          <w:color w:val="000000" w:themeColor="text1"/>
          <w:lang w:val="en-GB"/>
        </w:rPr>
        <w:t xml:space="preserve"> </w:t>
      </w:r>
      <w:r w:rsidR="00FA1DA4">
        <w:rPr>
          <w:bCs/>
          <w:i/>
          <w:color w:val="000000" w:themeColor="text1"/>
          <w:lang w:val="en-GB"/>
        </w:rPr>
        <w:t>slack</w:t>
      </w:r>
      <w:r w:rsidR="00FD2A48" w:rsidRPr="0040294D">
        <w:rPr>
          <w:bCs/>
          <w:color w:val="000000" w:themeColor="text1"/>
          <w:lang w:val="en-GB"/>
        </w:rPr>
        <w:t xml:space="preserve"> and the squared term of </w:t>
      </w:r>
      <w:r w:rsidR="00FD2A48" w:rsidRPr="0040294D">
        <w:rPr>
          <w:bCs/>
          <w:i/>
          <w:color w:val="000000" w:themeColor="text1"/>
          <w:lang w:val="en-GB"/>
        </w:rPr>
        <w:t xml:space="preserve">acquirer </w:t>
      </w:r>
      <w:r w:rsidR="00FA1DA4">
        <w:rPr>
          <w:bCs/>
          <w:i/>
          <w:color w:val="000000" w:themeColor="text1"/>
          <w:lang w:val="en-GB"/>
        </w:rPr>
        <w:t>HRM-quality</w:t>
      </w:r>
      <w:r w:rsidR="00954E5E" w:rsidRPr="0040294D">
        <w:rPr>
          <w:bCs/>
          <w:color w:val="000000" w:themeColor="text1"/>
          <w:lang w:val="en-GB"/>
        </w:rPr>
        <w:t>,</w:t>
      </w:r>
      <w:r w:rsidR="00FD2A48" w:rsidRPr="0040294D">
        <w:rPr>
          <w:bCs/>
          <w:color w:val="000000" w:themeColor="text1"/>
          <w:lang w:val="en-GB"/>
        </w:rPr>
        <w:t xml:space="preserve"> and controlling for</w:t>
      </w:r>
      <w:r w:rsidR="00FD2A48" w:rsidRPr="0040294D">
        <w:rPr>
          <w:bCs/>
          <w:i/>
          <w:color w:val="000000" w:themeColor="text1"/>
          <w:lang w:val="en-GB"/>
        </w:rPr>
        <w:t xml:space="preserve"> acquirer effects </w:t>
      </w:r>
      <w:r w:rsidR="00FD2A48" w:rsidRPr="0040294D">
        <w:rPr>
          <w:bCs/>
          <w:color w:val="000000" w:themeColor="text1"/>
          <w:lang w:val="en-GB"/>
        </w:rPr>
        <w:t xml:space="preserve">(all other Cox regression models are available upon request). Results in Table 3 are similar to those presented in </w:t>
      </w:r>
      <w:r w:rsidR="00954E5E" w:rsidRPr="0040294D">
        <w:rPr>
          <w:bCs/>
          <w:color w:val="000000" w:themeColor="text1"/>
          <w:lang w:val="en-GB"/>
        </w:rPr>
        <w:t>M</w:t>
      </w:r>
      <w:r w:rsidR="00FD2A48" w:rsidRPr="0040294D">
        <w:rPr>
          <w:bCs/>
          <w:color w:val="000000" w:themeColor="text1"/>
          <w:lang w:val="en-GB"/>
        </w:rPr>
        <w:t xml:space="preserve">odel 5 in Table 2. </w:t>
      </w:r>
      <w:r>
        <w:rPr>
          <w:bCs/>
          <w:color w:val="000000" w:themeColor="text1"/>
          <w:lang w:val="en-GB"/>
        </w:rPr>
        <w:t>We</w:t>
      </w:r>
      <w:r w:rsidR="00FD2A48" w:rsidRPr="0040294D">
        <w:rPr>
          <w:bCs/>
          <w:color w:val="000000" w:themeColor="text1"/>
          <w:lang w:val="en-GB"/>
        </w:rPr>
        <w:t xml:space="preserve"> observe</w:t>
      </w:r>
      <w:r>
        <w:rPr>
          <w:bCs/>
          <w:color w:val="000000" w:themeColor="text1"/>
          <w:lang w:val="en-GB"/>
        </w:rPr>
        <w:t>d</w:t>
      </w:r>
      <w:r w:rsidR="00FD2A48" w:rsidRPr="0040294D">
        <w:rPr>
          <w:bCs/>
          <w:color w:val="000000" w:themeColor="text1"/>
          <w:lang w:val="en-GB"/>
        </w:rPr>
        <w:t xml:space="preserve"> the same</w:t>
      </w:r>
      <w:r w:rsidR="00FD2A48" w:rsidRPr="0040294D">
        <w:rPr>
          <w:iCs/>
          <w:color w:val="000000" w:themeColor="text1"/>
          <w:lang w:val="en-GB"/>
        </w:rPr>
        <w:t xml:space="preserve"> positive and significant (at </w:t>
      </w:r>
      <w:r w:rsidR="00FD2A48" w:rsidRPr="0040294D">
        <w:rPr>
          <w:i/>
          <w:color w:val="000000" w:themeColor="text1"/>
          <w:lang w:val="en-GB"/>
        </w:rPr>
        <w:t>p</w:t>
      </w:r>
      <w:r w:rsidR="00FD2A48" w:rsidRPr="0040294D">
        <w:rPr>
          <w:color w:val="000000" w:themeColor="text1"/>
          <w:lang w:val="en-GB"/>
        </w:rPr>
        <w:t xml:space="preserve"> &lt; 0.05) </w:t>
      </w:r>
      <w:r w:rsidR="00FD2A48" w:rsidRPr="0040294D">
        <w:rPr>
          <w:iCs/>
          <w:color w:val="000000" w:themeColor="text1"/>
          <w:lang w:val="en-GB"/>
        </w:rPr>
        <w:t xml:space="preserve">coefficient estimate for the squared term of </w:t>
      </w:r>
      <w:r w:rsidR="00FD2A48" w:rsidRPr="0040294D">
        <w:rPr>
          <w:bCs/>
          <w:i/>
          <w:color w:val="000000" w:themeColor="text1"/>
          <w:lang w:val="en-GB"/>
        </w:rPr>
        <w:t xml:space="preserve">acquirer </w:t>
      </w:r>
      <w:r w:rsidR="00FA1DA4">
        <w:rPr>
          <w:bCs/>
          <w:i/>
          <w:color w:val="000000" w:themeColor="text1"/>
          <w:lang w:val="en-GB"/>
        </w:rPr>
        <w:t>HRM-quality</w:t>
      </w:r>
      <w:r w:rsidR="00FD2A48" w:rsidRPr="0040294D">
        <w:rPr>
          <w:bCs/>
          <w:color w:val="000000" w:themeColor="text1"/>
          <w:lang w:val="en-GB"/>
        </w:rPr>
        <w:t xml:space="preserve"> when interacted with </w:t>
      </w:r>
      <w:r w:rsidR="00FD2A48" w:rsidRPr="0040294D">
        <w:rPr>
          <w:bCs/>
          <w:i/>
          <w:color w:val="000000" w:themeColor="text1"/>
          <w:lang w:val="en-GB"/>
        </w:rPr>
        <w:t xml:space="preserve">acquirer </w:t>
      </w:r>
      <w:r w:rsidR="00FA1DA4">
        <w:rPr>
          <w:bCs/>
          <w:i/>
          <w:color w:val="000000" w:themeColor="text1"/>
          <w:lang w:val="en-GB"/>
        </w:rPr>
        <w:t>financial</w:t>
      </w:r>
      <w:r w:rsidR="00187E65">
        <w:rPr>
          <w:bCs/>
          <w:i/>
          <w:color w:val="000000" w:themeColor="text1"/>
          <w:lang w:val="en-GB"/>
        </w:rPr>
        <w:t xml:space="preserve"> </w:t>
      </w:r>
      <w:r w:rsidR="00FA1DA4">
        <w:rPr>
          <w:bCs/>
          <w:i/>
          <w:color w:val="000000" w:themeColor="text1"/>
          <w:lang w:val="en-GB"/>
        </w:rPr>
        <w:t>slack</w:t>
      </w:r>
      <w:r w:rsidR="00FD2A48" w:rsidRPr="0040294D">
        <w:rPr>
          <w:bCs/>
          <w:color w:val="000000" w:themeColor="text1"/>
          <w:lang w:val="en-GB"/>
        </w:rPr>
        <w:t>.</w:t>
      </w:r>
    </w:p>
    <w:p w14:paraId="639ACB12" w14:textId="77777777" w:rsidR="00FD2A48" w:rsidRPr="0040294D" w:rsidRDefault="00FD2A48" w:rsidP="00FD2A48">
      <w:pPr>
        <w:spacing w:line="480" w:lineRule="auto"/>
        <w:jc w:val="center"/>
        <w:rPr>
          <w:b/>
          <w:bCs/>
          <w:i/>
          <w:color w:val="000000" w:themeColor="text1"/>
          <w:lang w:val="en-GB"/>
        </w:rPr>
      </w:pPr>
      <w:r w:rsidRPr="0040294D">
        <w:rPr>
          <w:b/>
          <w:bCs/>
          <w:i/>
          <w:color w:val="000000" w:themeColor="text1"/>
          <w:lang w:val="en-GB"/>
        </w:rPr>
        <w:t>Insert Table 3 About Here</w:t>
      </w:r>
    </w:p>
    <w:p w14:paraId="446D54D2" w14:textId="7F31448E" w:rsidR="00FD2A48" w:rsidRPr="0040294D" w:rsidRDefault="00FD2A48" w:rsidP="006B54F3">
      <w:pPr>
        <w:spacing w:line="480" w:lineRule="auto"/>
        <w:ind w:firstLine="284"/>
        <w:jc w:val="both"/>
        <w:rPr>
          <w:color w:val="000000" w:themeColor="text1"/>
          <w:lang w:val="en-GB"/>
        </w:rPr>
      </w:pPr>
      <w:r w:rsidRPr="0040294D">
        <w:rPr>
          <w:bCs/>
          <w:color w:val="000000" w:themeColor="text1"/>
          <w:lang w:val="en-GB"/>
        </w:rPr>
        <w:t>Second, consistent with other empirical studies (</w:t>
      </w:r>
      <w:proofErr w:type="spellStart"/>
      <w:r w:rsidRPr="0040294D">
        <w:rPr>
          <w:bCs/>
          <w:color w:val="000000" w:themeColor="text1"/>
          <w:lang w:val="en-GB"/>
        </w:rPr>
        <w:t>Brauer</w:t>
      </w:r>
      <w:proofErr w:type="spellEnd"/>
      <w:r w:rsidRPr="0040294D">
        <w:rPr>
          <w:bCs/>
          <w:color w:val="000000" w:themeColor="text1"/>
          <w:lang w:val="en-GB"/>
        </w:rPr>
        <w:t xml:space="preserve"> and Wiersema, 2012; Hayward and Shimizu, 2006; </w:t>
      </w:r>
      <w:proofErr w:type="spellStart"/>
      <w:r w:rsidRPr="0040294D">
        <w:rPr>
          <w:bCs/>
          <w:color w:val="000000" w:themeColor="text1"/>
          <w:lang w:val="en-GB"/>
        </w:rPr>
        <w:t>Meschi</w:t>
      </w:r>
      <w:proofErr w:type="spellEnd"/>
      <w:r w:rsidRPr="0040294D">
        <w:rPr>
          <w:bCs/>
          <w:color w:val="000000" w:themeColor="text1"/>
          <w:lang w:val="en-GB"/>
        </w:rPr>
        <w:t xml:space="preserve"> and </w:t>
      </w:r>
      <w:proofErr w:type="spellStart"/>
      <w:r w:rsidRPr="0040294D">
        <w:rPr>
          <w:bCs/>
          <w:color w:val="000000" w:themeColor="text1"/>
          <w:lang w:val="en-GB"/>
        </w:rPr>
        <w:t>Métais</w:t>
      </w:r>
      <w:proofErr w:type="spellEnd"/>
      <w:r w:rsidRPr="0040294D">
        <w:rPr>
          <w:bCs/>
          <w:color w:val="000000" w:themeColor="text1"/>
          <w:lang w:val="en-GB"/>
        </w:rPr>
        <w:t xml:space="preserve">, 2015), we assumed that acquisition divestment may be viewed as </w:t>
      </w:r>
      <w:r w:rsidRPr="0040294D">
        <w:rPr>
          <w:color w:val="000000" w:themeColor="text1"/>
          <w:lang w:val="en-GB"/>
        </w:rPr>
        <w:t xml:space="preserve">acquisition failure. However, this assumption </w:t>
      </w:r>
      <w:r w:rsidR="008C3683" w:rsidRPr="0040294D">
        <w:rPr>
          <w:color w:val="000000" w:themeColor="text1"/>
          <w:lang w:val="en-GB"/>
        </w:rPr>
        <w:t xml:space="preserve">has been </w:t>
      </w:r>
      <w:r w:rsidRPr="0040294D">
        <w:rPr>
          <w:color w:val="000000" w:themeColor="text1"/>
          <w:lang w:val="en-GB"/>
        </w:rPr>
        <w:t>debated in the acquisition literature</w:t>
      </w:r>
      <w:r w:rsidR="008C3683" w:rsidRPr="0040294D">
        <w:rPr>
          <w:color w:val="000000" w:themeColor="text1"/>
          <w:lang w:val="en-GB"/>
        </w:rPr>
        <w:t>,</w:t>
      </w:r>
      <w:r w:rsidRPr="0040294D">
        <w:rPr>
          <w:color w:val="000000" w:themeColor="text1"/>
          <w:lang w:val="en-GB"/>
        </w:rPr>
        <w:t xml:space="preserve"> with some recent research contending that acquisition performance (and divestment) should be assessed with regard to the </w:t>
      </w:r>
      <w:r w:rsidR="00FF3FE9">
        <w:rPr>
          <w:color w:val="000000" w:themeColor="text1"/>
          <w:lang w:val="en-GB"/>
        </w:rPr>
        <w:t>firm</w:t>
      </w:r>
      <w:r w:rsidRPr="0040294D">
        <w:rPr>
          <w:color w:val="000000" w:themeColor="text1"/>
          <w:lang w:val="en-GB"/>
        </w:rPr>
        <w:t>’s initial motive for the acquisition (</w:t>
      </w:r>
      <w:proofErr w:type="spellStart"/>
      <w:r w:rsidRPr="0040294D">
        <w:rPr>
          <w:color w:val="000000" w:themeColor="text1"/>
          <w:lang w:val="en-GB"/>
        </w:rPr>
        <w:t>Rabier</w:t>
      </w:r>
      <w:proofErr w:type="spellEnd"/>
      <w:r w:rsidRPr="0040294D">
        <w:rPr>
          <w:color w:val="000000" w:themeColor="text1"/>
          <w:lang w:val="en-GB"/>
        </w:rPr>
        <w:t xml:space="preserve">, 2017). In order to mitigate this possible measurement bias, we conducted additional tests using the </w:t>
      </w:r>
      <w:r w:rsidRPr="0040294D">
        <w:rPr>
          <w:bCs/>
          <w:i/>
          <w:color w:val="000000" w:themeColor="text1"/>
          <w:lang w:val="en-GB"/>
        </w:rPr>
        <w:t>acquirer-to-acquired firm relatedness</w:t>
      </w:r>
      <w:r w:rsidRPr="0040294D">
        <w:rPr>
          <w:color w:val="000000" w:themeColor="text1"/>
          <w:lang w:val="en-GB"/>
        </w:rPr>
        <w:t xml:space="preserve"> variable as a proxy to identify acquirers</w:t>
      </w:r>
      <w:r w:rsidR="00053B88" w:rsidRPr="0040294D">
        <w:rPr>
          <w:color w:val="000000" w:themeColor="text1"/>
          <w:lang w:val="en-GB"/>
        </w:rPr>
        <w:t>’</w:t>
      </w:r>
      <w:r w:rsidRPr="0040294D">
        <w:rPr>
          <w:color w:val="000000" w:themeColor="text1"/>
          <w:lang w:val="en-GB"/>
        </w:rPr>
        <w:t xml:space="preserve"> motives. On this basis, we first split the sample </w:t>
      </w:r>
      <w:r w:rsidRPr="0040294D">
        <w:rPr>
          <w:color w:val="000000" w:themeColor="text1"/>
          <w:lang w:val="en-GB"/>
        </w:rPr>
        <w:lastRenderedPageBreak/>
        <w:t>of 488 acquisitions between those conducted by acquirers aiming to enter or diversify into a new business (corresponding to the lowest scores</w:t>
      </w:r>
      <w:r w:rsidRPr="00FF3FE9">
        <w:rPr>
          <w:color w:val="000000" w:themeColor="text1"/>
          <w:lang w:val="en-GB"/>
        </w:rPr>
        <w:t>, i.e., 0</w:t>
      </w:r>
      <w:r w:rsidRPr="0040294D">
        <w:rPr>
          <w:color w:val="000000" w:themeColor="text1"/>
          <w:lang w:val="en-GB"/>
        </w:rPr>
        <w:t xml:space="preserve"> to 2, in the relatedness scale) and those conducted by acquirers aiming to strengthen their core business (corresponding to the highest scores, </w:t>
      </w:r>
      <w:r w:rsidRPr="00FF3FE9">
        <w:rPr>
          <w:color w:val="000000" w:themeColor="text1"/>
          <w:lang w:val="en-GB"/>
        </w:rPr>
        <w:t>i.e., 3</w:t>
      </w:r>
      <w:r w:rsidRPr="0040294D">
        <w:rPr>
          <w:color w:val="000000" w:themeColor="text1"/>
          <w:lang w:val="en-GB"/>
        </w:rPr>
        <w:t xml:space="preserve"> to 4). </w:t>
      </w:r>
      <w:r w:rsidR="00053B88" w:rsidRPr="0040294D">
        <w:rPr>
          <w:color w:val="000000" w:themeColor="text1"/>
          <w:lang w:val="en-GB"/>
        </w:rPr>
        <w:t xml:space="preserve">As regards </w:t>
      </w:r>
      <w:r w:rsidRPr="0040294D">
        <w:rPr>
          <w:color w:val="000000" w:themeColor="text1"/>
          <w:lang w:val="en-GB"/>
        </w:rPr>
        <w:t xml:space="preserve">this second subsample, we </w:t>
      </w:r>
      <w:r w:rsidR="00053B88" w:rsidRPr="0040294D">
        <w:rPr>
          <w:color w:val="000000" w:themeColor="text1"/>
          <w:lang w:val="en-GB"/>
        </w:rPr>
        <w:t xml:space="preserve">may </w:t>
      </w:r>
      <w:r w:rsidRPr="0040294D">
        <w:rPr>
          <w:color w:val="000000" w:themeColor="text1"/>
          <w:lang w:val="en-GB"/>
        </w:rPr>
        <w:t xml:space="preserve">argue that a majority of acquisitions was undertaken by French firms seeking to quickly </w:t>
      </w:r>
      <w:r w:rsidR="00053B88" w:rsidRPr="0040294D">
        <w:rPr>
          <w:color w:val="000000" w:themeColor="text1"/>
          <w:lang w:val="en-GB"/>
        </w:rPr>
        <w:t xml:space="preserve">gain </w:t>
      </w:r>
      <w:r w:rsidRPr="0040294D">
        <w:rPr>
          <w:color w:val="000000" w:themeColor="text1"/>
          <w:lang w:val="en-GB"/>
        </w:rPr>
        <w:t xml:space="preserve">access </w:t>
      </w:r>
      <w:r w:rsidR="00053B88" w:rsidRPr="0040294D">
        <w:rPr>
          <w:color w:val="000000" w:themeColor="text1"/>
          <w:lang w:val="en-GB"/>
        </w:rPr>
        <w:t xml:space="preserve">to, </w:t>
      </w:r>
      <w:r w:rsidRPr="0040294D">
        <w:rPr>
          <w:color w:val="000000" w:themeColor="text1"/>
          <w:lang w:val="en-GB"/>
        </w:rPr>
        <w:t xml:space="preserve">and expand into the US market. </w:t>
      </w:r>
      <w:r w:rsidR="00053B88" w:rsidRPr="0040294D">
        <w:rPr>
          <w:color w:val="000000" w:themeColor="text1"/>
          <w:lang w:val="en-GB"/>
        </w:rPr>
        <w:t>Given</w:t>
      </w:r>
      <w:r w:rsidRPr="0040294D">
        <w:rPr>
          <w:color w:val="000000" w:themeColor="text1"/>
          <w:lang w:val="en-GB"/>
        </w:rPr>
        <w:t xml:space="preserve"> this specific foreign expansion motive, </w:t>
      </w:r>
      <w:r w:rsidR="00053B88" w:rsidRPr="0040294D">
        <w:rPr>
          <w:color w:val="000000" w:themeColor="text1"/>
          <w:lang w:val="en-GB"/>
        </w:rPr>
        <w:t xml:space="preserve">divestment of a </w:t>
      </w:r>
      <w:r w:rsidRPr="0040294D">
        <w:rPr>
          <w:color w:val="000000" w:themeColor="text1"/>
          <w:lang w:val="en-GB"/>
        </w:rPr>
        <w:t>US acquisition indicat</w:t>
      </w:r>
      <w:r w:rsidR="00053B88" w:rsidRPr="0040294D">
        <w:rPr>
          <w:color w:val="000000" w:themeColor="text1"/>
          <w:lang w:val="en-GB"/>
        </w:rPr>
        <w:t>es</w:t>
      </w:r>
      <w:r w:rsidRPr="0040294D">
        <w:rPr>
          <w:color w:val="000000" w:themeColor="text1"/>
          <w:lang w:val="en-GB"/>
        </w:rPr>
        <w:t xml:space="preserve"> that the US market entry strategy of the French acquiring firm </w:t>
      </w:r>
      <w:r w:rsidR="00053B88" w:rsidRPr="0040294D">
        <w:rPr>
          <w:color w:val="000000" w:themeColor="text1"/>
          <w:lang w:val="en-GB"/>
        </w:rPr>
        <w:t>has failed</w:t>
      </w:r>
      <w:r w:rsidRPr="0040294D">
        <w:rPr>
          <w:color w:val="000000" w:themeColor="text1"/>
          <w:lang w:val="en-GB"/>
        </w:rPr>
        <w:t>.</w:t>
      </w:r>
    </w:p>
    <w:p w14:paraId="315BC99E" w14:textId="41E228C4" w:rsidR="00FD2A48" w:rsidRPr="0040294D" w:rsidRDefault="00FD2A48" w:rsidP="006B54F3">
      <w:pPr>
        <w:spacing w:line="480" w:lineRule="auto"/>
        <w:ind w:firstLine="284"/>
        <w:jc w:val="both"/>
        <w:rPr>
          <w:color w:val="000000" w:themeColor="text1"/>
          <w:lang w:val="en-GB"/>
        </w:rPr>
      </w:pPr>
      <w:r w:rsidRPr="0040294D">
        <w:rPr>
          <w:color w:val="000000" w:themeColor="text1"/>
          <w:lang w:val="en-GB"/>
        </w:rPr>
        <w:t xml:space="preserve">We then re-ran </w:t>
      </w:r>
      <w:r w:rsidR="00053B88" w:rsidRPr="0040294D">
        <w:rPr>
          <w:bCs/>
          <w:color w:val="000000" w:themeColor="text1"/>
          <w:lang w:val="en-GB"/>
        </w:rPr>
        <w:t>M</w:t>
      </w:r>
      <w:r w:rsidRPr="0040294D">
        <w:rPr>
          <w:bCs/>
          <w:color w:val="000000" w:themeColor="text1"/>
          <w:lang w:val="en-GB"/>
        </w:rPr>
        <w:t xml:space="preserve">odel 5 for both sub-samples and reported similar results </w:t>
      </w:r>
      <w:r w:rsidR="00053B88" w:rsidRPr="0040294D">
        <w:rPr>
          <w:bCs/>
          <w:color w:val="000000" w:themeColor="text1"/>
          <w:lang w:val="en-GB"/>
        </w:rPr>
        <w:t xml:space="preserve">concerning </w:t>
      </w:r>
      <w:r w:rsidRPr="0040294D">
        <w:rPr>
          <w:bCs/>
          <w:color w:val="000000" w:themeColor="text1"/>
          <w:lang w:val="en-GB"/>
        </w:rPr>
        <w:t xml:space="preserve">the direct and interaction effects </w:t>
      </w:r>
      <w:r w:rsidRPr="0040294D">
        <w:rPr>
          <w:iCs/>
          <w:color w:val="000000" w:themeColor="text1"/>
          <w:lang w:val="en-GB"/>
        </w:rPr>
        <w:t xml:space="preserve">of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 xml:space="preserve"> and </w:t>
      </w:r>
      <w:r w:rsidRPr="0040294D">
        <w:rPr>
          <w:bCs/>
          <w:i/>
          <w:color w:val="000000" w:themeColor="text1"/>
          <w:lang w:val="en-GB"/>
        </w:rPr>
        <w:t xml:space="preserve">acquirer </w:t>
      </w:r>
      <w:r w:rsidR="00FA1DA4">
        <w:rPr>
          <w:bCs/>
          <w:i/>
          <w:color w:val="000000" w:themeColor="text1"/>
          <w:lang w:val="en-GB"/>
        </w:rPr>
        <w:t>financial</w:t>
      </w:r>
      <w:r w:rsidR="00187E65">
        <w:rPr>
          <w:bCs/>
          <w:i/>
          <w:color w:val="000000" w:themeColor="text1"/>
          <w:lang w:val="en-GB"/>
        </w:rPr>
        <w:t xml:space="preserve"> </w:t>
      </w:r>
      <w:r w:rsidR="00FA1DA4">
        <w:rPr>
          <w:bCs/>
          <w:i/>
          <w:color w:val="000000" w:themeColor="text1"/>
          <w:lang w:val="en-GB"/>
        </w:rPr>
        <w:t>slack</w:t>
      </w:r>
      <w:r w:rsidRPr="0040294D">
        <w:rPr>
          <w:bCs/>
          <w:color w:val="000000" w:themeColor="text1"/>
          <w:lang w:val="en-GB"/>
        </w:rPr>
        <w:t xml:space="preserve"> across the two models (see Table 4). Finally, we checked whether coefficient estimates for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 xml:space="preserve"> and </w:t>
      </w:r>
      <w:r w:rsidRPr="0040294D">
        <w:rPr>
          <w:bCs/>
          <w:i/>
          <w:color w:val="000000" w:themeColor="text1"/>
          <w:lang w:val="en-GB"/>
        </w:rPr>
        <w:t xml:space="preserve">acquirer </w:t>
      </w:r>
      <w:r w:rsidR="00FA1DA4">
        <w:rPr>
          <w:bCs/>
          <w:i/>
          <w:color w:val="000000" w:themeColor="text1"/>
          <w:lang w:val="en-GB"/>
        </w:rPr>
        <w:t>financial</w:t>
      </w:r>
      <w:r w:rsidR="00187E65">
        <w:rPr>
          <w:bCs/>
          <w:i/>
          <w:color w:val="000000" w:themeColor="text1"/>
          <w:lang w:val="en-GB"/>
        </w:rPr>
        <w:t xml:space="preserve"> </w:t>
      </w:r>
      <w:r w:rsidR="00FA1DA4">
        <w:rPr>
          <w:bCs/>
          <w:i/>
          <w:color w:val="000000" w:themeColor="text1"/>
          <w:lang w:val="en-GB"/>
        </w:rPr>
        <w:t>slack</w:t>
      </w:r>
      <w:r w:rsidRPr="0040294D">
        <w:rPr>
          <w:bCs/>
          <w:color w:val="000000" w:themeColor="text1"/>
          <w:lang w:val="en-GB"/>
        </w:rPr>
        <w:t xml:space="preserve"> </w:t>
      </w:r>
      <w:r w:rsidR="00053B88" w:rsidRPr="0040294D">
        <w:rPr>
          <w:bCs/>
          <w:color w:val="000000" w:themeColor="text1"/>
          <w:lang w:val="en-GB"/>
        </w:rPr>
        <w:t xml:space="preserve">might </w:t>
      </w:r>
      <w:r w:rsidRPr="0040294D">
        <w:rPr>
          <w:bCs/>
          <w:color w:val="000000" w:themeColor="text1"/>
          <w:lang w:val="en-GB"/>
        </w:rPr>
        <w:t xml:space="preserve">not </w:t>
      </w:r>
      <w:r w:rsidR="00053B88" w:rsidRPr="0040294D">
        <w:rPr>
          <w:bCs/>
          <w:color w:val="000000" w:themeColor="text1"/>
          <w:lang w:val="en-GB"/>
        </w:rPr>
        <w:t xml:space="preserve">be </w:t>
      </w:r>
      <w:r w:rsidRPr="0040294D">
        <w:rPr>
          <w:bCs/>
          <w:color w:val="000000" w:themeColor="text1"/>
          <w:lang w:val="en-GB"/>
        </w:rPr>
        <w:t>different across the two models by estimating a single Cox regression model for the entire sample with the inclusion of interaction effects between the two independent variables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 xml:space="preserve"> and </w:t>
      </w:r>
      <w:r w:rsidRPr="0040294D">
        <w:rPr>
          <w:bCs/>
          <w:i/>
          <w:color w:val="000000" w:themeColor="text1"/>
          <w:lang w:val="en-GB"/>
        </w:rPr>
        <w:t xml:space="preserve">acquirer </w:t>
      </w:r>
      <w:r w:rsidR="00FA1DA4">
        <w:rPr>
          <w:bCs/>
          <w:i/>
          <w:color w:val="000000" w:themeColor="text1"/>
          <w:lang w:val="en-GB"/>
        </w:rPr>
        <w:t>financial</w:t>
      </w:r>
      <w:r w:rsidR="00187E65">
        <w:rPr>
          <w:bCs/>
          <w:i/>
          <w:color w:val="000000" w:themeColor="text1"/>
          <w:lang w:val="en-GB"/>
        </w:rPr>
        <w:t xml:space="preserve"> </w:t>
      </w:r>
      <w:r w:rsidR="00FA1DA4">
        <w:rPr>
          <w:bCs/>
          <w:i/>
          <w:color w:val="000000" w:themeColor="text1"/>
          <w:lang w:val="en-GB"/>
        </w:rPr>
        <w:t>slack</w:t>
      </w:r>
      <w:r w:rsidRPr="0040294D">
        <w:rPr>
          <w:bCs/>
          <w:color w:val="000000" w:themeColor="text1"/>
          <w:lang w:val="en-GB"/>
        </w:rPr>
        <w:t xml:space="preserve">) and a new dummy-coded relatedness variable (with 1 for acquisitions with </w:t>
      </w:r>
      <w:r w:rsidRPr="0040294D">
        <w:rPr>
          <w:color w:val="000000" w:themeColor="text1"/>
          <w:lang w:val="en-GB"/>
        </w:rPr>
        <w:t>high scores and 0 for</w:t>
      </w:r>
      <w:r w:rsidRPr="0040294D">
        <w:rPr>
          <w:bCs/>
          <w:color w:val="000000" w:themeColor="text1"/>
          <w:lang w:val="en-GB"/>
        </w:rPr>
        <w:t xml:space="preserve"> acquisitions with</w:t>
      </w:r>
      <w:r w:rsidRPr="0040294D">
        <w:rPr>
          <w:color w:val="000000" w:themeColor="text1"/>
          <w:lang w:val="en-GB"/>
        </w:rPr>
        <w:t xml:space="preserve"> low scores). We did not find any significant interaction effects, indicat</w:t>
      </w:r>
      <w:r w:rsidR="006B54F3">
        <w:rPr>
          <w:color w:val="000000" w:themeColor="text1"/>
          <w:lang w:val="en-GB"/>
        </w:rPr>
        <w:t>ing</w:t>
      </w:r>
      <w:r w:rsidRPr="0040294D">
        <w:rPr>
          <w:color w:val="000000" w:themeColor="text1"/>
          <w:lang w:val="en-GB"/>
        </w:rPr>
        <w:t xml:space="preserve"> no significant differences </w:t>
      </w:r>
      <w:r w:rsidR="00297A37" w:rsidRPr="0040294D">
        <w:rPr>
          <w:color w:val="000000" w:themeColor="text1"/>
          <w:lang w:val="en-GB"/>
        </w:rPr>
        <w:t xml:space="preserve">between the two categories of acquirer motives as regards </w:t>
      </w:r>
      <w:r w:rsidRPr="0040294D">
        <w:rPr>
          <w:color w:val="000000" w:themeColor="text1"/>
          <w:lang w:val="en-GB"/>
        </w:rPr>
        <w:t xml:space="preserve">the impact of </w:t>
      </w:r>
      <w:r w:rsidRPr="0040294D">
        <w:rPr>
          <w:bCs/>
          <w:i/>
          <w:color w:val="000000" w:themeColor="text1"/>
          <w:lang w:val="en-GB"/>
        </w:rPr>
        <w:t xml:space="preserve">acquirer </w:t>
      </w:r>
      <w:r w:rsidR="00FA1DA4">
        <w:rPr>
          <w:bCs/>
          <w:i/>
          <w:color w:val="000000" w:themeColor="text1"/>
          <w:lang w:val="en-GB"/>
        </w:rPr>
        <w:t>HRM-quality</w:t>
      </w:r>
      <w:r w:rsidRPr="0040294D">
        <w:rPr>
          <w:bCs/>
          <w:color w:val="000000" w:themeColor="text1"/>
          <w:lang w:val="en-GB"/>
        </w:rPr>
        <w:t xml:space="preserve"> and </w:t>
      </w:r>
      <w:r w:rsidRPr="0040294D">
        <w:rPr>
          <w:bCs/>
          <w:i/>
          <w:color w:val="000000" w:themeColor="text1"/>
          <w:lang w:val="en-GB"/>
        </w:rPr>
        <w:t xml:space="preserve">acquirer </w:t>
      </w:r>
      <w:r w:rsidR="00FA1DA4">
        <w:rPr>
          <w:bCs/>
          <w:i/>
          <w:color w:val="000000" w:themeColor="text1"/>
          <w:lang w:val="en-GB"/>
        </w:rPr>
        <w:t>financial</w:t>
      </w:r>
      <w:r w:rsidR="00187E65">
        <w:rPr>
          <w:bCs/>
          <w:i/>
          <w:color w:val="000000" w:themeColor="text1"/>
          <w:lang w:val="en-GB"/>
        </w:rPr>
        <w:t xml:space="preserve"> </w:t>
      </w:r>
      <w:r w:rsidR="00FA1DA4">
        <w:rPr>
          <w:bCs/>
          <w:i/>
          <w:color w:val="000000" w:themeColor="text1"/>
          <w:lang w:val="en-GB"/>
        </w:rPr>
        <w:t>slack</w:t>
      </w:r>
      <w:r w:rsidRPr="0040294D">
        <w:rPr>
          <w:color w:val="000000" w:themeColor="text1"/>
          <w:lang w:val="en-GB"/>
        </w:rPr>
        <w:t xml:space="preserve"> on the acquisition divestment probability</w:t>
      </w:r>
      <w:r w:rsidR="00297A37" w:rsidRPr="0040294D">
        <w:rPr>
          <w:color w:val="000000" w:themeColor="text1"/>
          <w:lang w:val="en-GB"/>
        </w:rPr>
        <w:t>.</w:t>
      </w:r>
      <w:r w:rsidRPr="0040294D">
        <w:rPr>
          <w:color w:val="000000" w:themeColor="text1"/>
          <w:lang w:val="en-GB"/>
        </w:rPr>
        <w:t xml:space="preserve"> </w:t>
      </w:r>
    </w:p>
    <w:p w14:paraId="29527742" w14:textId="77777777" w:rsidR="00FD2A48" w:rsidRPr="0040294D" w:rsidRDefault="00FD2A48" w:rsidP="00FD2A48">
      <w:pPr>
        <w:spacing w:line="480" w:lineRule="auto"/>
        <w:jc w:val="center"/>
        <w:rPr>
          <w:b/>
          <w:bCs/>
          <w:i/>
          <w:color w:val="000000" w:themeColor="text1"/>
          <w:lang w:val="en-GB"/>
        </w:rPr>
      </w:pPr>
      <w:r w:rsidRPr="0040294D">
        <w:rPr>
          <w:b/>
          <w:bCs/>
          <w:i/>
          <w:color w:val="000000" w:themeColor="text1"/>
          <w:lang w:val="en-GB"/>
        </w:rPr>
        <w:t>Insert Table 4 About Here</w:t>
      </w:r>
    </w:p>
    <w:p w14:paraId="6F9DC8D4" w14:textId="597C4DF1" w:rsidR="00FD2A48" w:rsidRPr="0040294D" w:rsidRDefault="00FD2A48" w:rsidP="00FD2A48">
      <w:pPr>
        <w:spacing w:line="480" w:lineRule="auto"/>
        <w:outlineLvl w:val="0"/>
        <w:rPr>
          <w:b/>
          <w:color w:val="000000" w:themeColor="text1"/>
          <w:sz w:val="28"/>
          <w:szCs w:val="28"/>
          <w:lang w:val="en-GB"/>
        </w:rPr>
      </w:pPr>
      <w:r w:rsidRPr="0040294D">
        <w:rPr>
          <w:b/>
          <w:color w:val="000000" w:themeColor="text1"/>
          <w:sz w:val="28"/>
          <w:szCs w:val="28"/>
          <w:lang w:val="en-GB"/>
        </w:rPr>
        <w:t>Discussion</w:t>
      </w:r>
    </w:p>
    <w:p w14:paraId="132E679A" w14:textId="23726EB8" w:rsidR="00FD2A48" w:rsidRPr="0040294D" w:rsidRDefault="00FD2A48" w:rsidP="003E7AD0">
      <w:pPr>
        <w:widowControl w:val="0"/>
        <w:spacing w:line="480" w:lineRule="auto"/>
        <w:jc w:val="both"/>
        <w:rPr>
          <w:color w:val="000000" w:themeColor="text1"/>
          <w:shd w:val="clear" w:color="auto" w:fill="FFFFFF"/>
          <w:lang w:val="en-GB"/>
        </w:rPr>
      </w:pPr>
      <w:r w:rsidRPr="0040294D">
        <w:rPr>
          <w:color w:val="000000" w:themeColor="text1"/>
          <w:lang w:val="en-GB"/>
        </w:rPr>
        <w:t xml:space="preserve">Intrigued by the commonly accepted assumption </w:t>
      </w:r>
      <w:r w:rsidR="00E20D1C" w:rsidRPr="0040294D">
        <w:rPr>
          <w:color w:val="000000" w:themeColor="text1"/>
          <w:lang w:val="en-GB"/>
        </w:rPr>
        <w:t xml:space="preserve">about </w:t>
      </w:r>
      <w:r w:rsidRPr="0040294D">
        <w:rPr>
          <w:color w:val="000000" w:themeColor="text1"/>
          <w:lang w:val="en-GB"/>
        </w:rPr>
        <w:t>a linear positive relationship</w:t>
      </w:r>
      <w:r w:rsidR="00FE2E04" w:rsidRPr="0040294D">
        <w:rPr>
          <w:color w:val="000000" w:themeColor="text1"/>
          <w:lang w:val="en-GB"/>
        </w:rPr>
        <w:t xml:space="preserve"> between HRM and organizational performance</w:t>
      </w:r>
      <w:r w:rsidRPr="0040294D">
        <w:rPr>
          <w:color w:val="000000" w:themeColor="text1"/>
          <w:lang w:val="en-GB"/>
        </w:rPr>
        <w:t xml:space="preserve">, </w:t>
      </w:r>
      <w:r w:rsidR="00255B94" w:rsidRPr="0040294D">
        <w:rPr>
          <w:color w:val="000000" w:themeColor="text1"/>
          <w:lang w:val="en-GB"/>
        </w:rPr>
        <w:t xml:space="preserve">which runs counter to </w:t>
      </w:r>
      <w:r w:rsidRPr="0040294D">
        <w:rPr>
          <w:color w:val="000000" w:themeColor="text1"/>
          <w:lang w:val="en-GB"/>
        </w:rPr>
        <w:t xml:space="preserve">some contradictory evidence, we investigated how </w:t>
      </w:r>
      <w:r w:rsidR="003E7AD0" w:rsidRPr="0040294D">
        <w:rPr>
          <w:color w:val="000000" w:themeColor="text1"/>
          <w:lang w:val="en-GB"/>
        </w:rPr>
        <w:t>acquirers</w:t>
      </w:r>
      <w:r w:rsidRPr="0040294D">
        <w:rPr>
          <w:color w:val="000000" w:themeColor="text1"/>
          <w:lang w:val="en-GB"/>
        </w:rPr>
        <w:t xml:space="preserve">’ aggregate </w:t>
      </w:r>
      <w:r w:rsidR="00FA1DA4">
        <w:rPr>
          <w:color w:val="000000" w:themeColor="text1"/>
          <w:lang w:val="en-GB"/>
        </w:rPr>
        <w:t>HRM-quality</w:t>
      </w:r>
      <w:r w:rsidRPr="0040294D">
        <w:rPr>
          <w:color w:val="000000" w:themeColor="text1"/>
          <w:lang w:val="en-GB"/>
        </w:rPr>
        <w:t xml:space="preserve"> affects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 performance. Building on the</w:t>
      </w:r>
      <w:r w:rsidR="0040294D">
        <w:rPr>
          <w:color w:val="000000" w:themeColor="text1"/>
          <w:lang w:val="en-GB"/>
        </w:rPr>
        <w:t xml:space="preserve"> ‘</w:t>
      </w:r>
      <w:r w:rsidRPr="0040294D">
        <w:rPr>
          <w:i/>
          <w:color w:val="000000" w:themeColor="text1"/>
          <w:lang w:val="en-GB"/>
        </w:rPr>
        <w:t>too-much-of-a-good-thing</w:t>
      </w:r>
      <w:r w:rsidR="0040294D">
        <w:rPr>
          <w:color w:val="000000" w:themeColor="text1"/>
          <w:lang w:val="en-GB"/>
        </w:rPr>
        <w:t>’</w:t>
      </w:r>
      <w:r w:rsidRPr="0040294D">
        <w:rPr>
          <w:color w:val="000000" w:themeColor="text1"/>
          <w:lang w:val="en-GB"/>
        </w:rPr>
        <w:t xml:space="preserve"> phenomen</w:t>
      </w:r>
      <w:r w:rsidR="00971127" w:rsidRPr="0040294D">
        <w:rPr>
          <w:color w:val="000000" w:themeColor="text1"/>
          <w:lang w:val="en-GB"/>
        </w:rPr>
        <w:t>on</w:t>
      </w:r>
      <w:r w:rsidRPr="0040294D">
        <w:rPr>
          <w:color w:val="000000" w:themeColor="text1"/>
          <w:lang w:val="en-GB"/>
        </w:rPr>
        <w:t xml:space="preserve"> (Pierce and </w:t>
      </w:r>
      <w:proofErr w:type="spellStart"/>
      <w:r w:rsidRPr="0040294D">
        <w:rPr>
          <w:color w:val="000000" w:themeColor="text1"/>
          <w:lang w:val="en-GB"/>
        </w:rPr>
        <w:t>Aguinis</w:t>
      </w:r>
      <w:proofErr w:type="spellEnd"/>
      <w:r w:rsidRPr="0040294D">
        <w:rPr>
          <w:color w:val="000000" w:themeColor="text1"/>
          <w:lang w:val="en-GB"/>
        </w:rPr>
        <w:t xml:space="preserve">, 2013) and the </w:t>
      </w:r>
      <w:r w:rsidRPr="0040294D">
        <w:rPr>
          <w:color w:val="000000" w:themeColor="text1"/>
          <w:lang w:val="en-GB"/>
        </w:rPr>
        <w:lastRenderedPageBreak/>
        <w:t>additive benefit/cost mechanism explaining certain curvilinear relationships (</w:t>
      </w:r>
      <w:proofErr w:type="spellStart"/>
      <w:r w:rsidRPr="0040294D">
        <w:rPr>
          <w:color w:val="000000" w:themeColor="text1"/>
          <w:lang w:val="en-GB"/>
        </w:rPr>
        <w:t>Haans</w:t>
      </w:r>
      <w:proofErr w:type="spellEnd"/>
      <w:r w:rsidRPr="0040294D">
        <w:rPr>
          <w:color w:val="000000" w:themeColor="text1"/>
          <w:lang w:val="en-GB"/>
        </w:rPr>
        <w:t xml:space="preserve"> </w:t>
      </w:r>
      <w:r w:rsidRPr="00FF3FE9">
        <w:rPr>
          <w:color w:val="000000" w:themeColor="text1"/>
          <w:lang w:val="en-GB"/>
        </w:rPr>
        <w:t>et al.,</w:t>
      </w:r>
      <w:r w:rsidRPr="0040294D">
        <w:rPr>
          <w:color w:val="000000" w:themeColor="text1"/>
          <w:lang w:val="en-GB"/>
        </w:rPr>
        <w:t xml:space="preserve"> 2016), we </w:t>
      </w:r>
      <w:r w:rsidR="003E7AD0" w:rsidRPr="0040294D">
        <w:rPr>
          <w:color w:val="000000" w:themeColor="text1"/>
          <w:lang w:val="en-GB"/>
        </w:rPr>
        <w:t>argued</w:t>
      </w:r>
      <w:r w:rsidRPr="0040294D">
        <w:rPr>
          <w:color w:val="000000" w:themeColor="text1"/>
          <w:lang w:val="en-GB"/>
        </w:rPr>
        <w:t xml:space="preserve"> that very high </w:t>
      </w:r>
      <w:r w:rsidR="00FA1DA4">
        <w:rPr>
          <w:color w:val="000000" w:themeColor="text1"/>
          <w:lang w:val="en-GB"/>
        </w:rPr>
        <w:t>HRM-quality</w:t>
      </w:r>
      <w:r w:rsidRPr="0040294D">
        <w:rPr>
          <w:color w:val="000000" w:themeColor="text1"/>
          <w:lang w:val="en-GB"/>
        </w:rPr>
        <w:t xml:space="preserve"> </w:t>
      </w:r>
      <w:r w:rsidR="00E20D1C" w:rsidRPr="0040294D">
        <w:rPr>
          <w:color w:val="000000" w:themeColor="text1"/>
          <w:lang w:val="en-GB"/>
        </w:rPr>
        <w:t xml:space="preserve">would </w:t>
      </w:r>
      <w:r w:rsidRPr="0040294D">
        <w:rPr>
          <w:color w:val="000000" w:themeColor="text1"/>
          <w:lang w:val="en-GB"/>
        </w:rPr>
        <w:t xml:space="preserve">increase </w:t>
      </w:r>
      <w:r w:rsidR="00E20D1C" w:rsidRPr="0040294D">
        <w:rPr>
          <w:color w:val="000000" w:themeColor="text1"/>
          <w:lang w:val="en-GB"/>
        </w:rPr>
        <w:t xml:space="preserve">the likelihood of </w:t>
      </w:r>
      <w:r w:rsidRPr="0040294D">
        <w:rPr>
          <w:color w:val="000000" w:themeColor="text1"/>
          <w:lang w:val="en-GB"/>
        </w:rPr>
        <w:t xml:space="preserve">acquisition divestment. </w:t>
      </w:r>
      <w:r w:rsidR="003E7AD0" w:rsidRPr="0040294D">
        <w:rPr>
          <w:color w:val="000000" w:themeColor="text1"/>
          <w:lang w:val="en-GB"/>
        </w:rPr>
        <w:t xml:space="preserve">In examining the curvilinear relationship between the acquirer’s </w:t>
      </w:r>
      <w:r w:rsidR="00FA1DA4">
        <w:rPr>
          <w:color w:val="000000" w:themeColor="text1"/>
          <w:lang w:val="en-GB"/>
        </w:rPr>
        <w:t>HRM-quality</w:t>
      </w:r>
      <w:r w:rsidR="003E7AD0" w:rsidRPr="0040294D">
        <w:rPr>
          <w:color w:val="000000" w:themeColor="text1"/>
          <w:lang w:val="en-GB"/>
        </w:rPr>
        <w:t xml:space="preserve"> and subsequent acquisition </w:t>
      </w:r>
      <w:r w:rsidR="00275B91" w:rsidRPr="0040294D">
        <w:rPr>
          <w:color w:val="000000" w:themeColor="text1"/>
          <w:lang w:val="en-GB"/>
        </w:rPr>
        <w:t>failure/</w:t>
      </w:r>
      <w:r w:rsidR="003E7AD0" w:rsidRPr="0040294D">
        <w:rPr>
          <w:color w:val="000000" w:themeColor="text1"/>
          <w:lang w:val="en-GB"/>
        </w:rPr>
        <w:t>divestment likelihood, w</w:t>
      </w:r>
      <w:r w:rsidR="00B2527B" w:rsidRPr="0040294D">
        <w:rPr>
          <w:color w:val="000000" w:themeColor="text1"/>
          <w:lang w:val="en-GB"/>
        </w:rPr>
        <w:t xml:space="preserve">e answered recent calls </w:t>
      </w:r>
      <w:r w:rsidR="00B2527B" w:rsidRPr="0040294D">
        <w:rPr>
          <w:color w:val="000000" w:themeColor="text1"/>
          <w:shd w:val="clear" w:color="auto" w:fill="FFFFFF"/>
          <w:lang w:val="en-GB"/>
        </w:rPr>
        <w:t xml:space="preserve">pointing out the need for methodological rigor </w:t>
      </w:r>
      <w:r w:rsidR="00E20D1C" w:rsidRPr="0040294D">
        <w:rPr>
          <w:color w:val="000000" w:themeColor="text1"/>
          <w:shd w:val="clear" w:color="auto" w:fill="FFFFFF"/>
          <w:lang w:val="en-GB"/>
        </w:rPr>
        <w:t>when exploring</w:t>
      </w:r>
      <w:r w:rsidR="00B2527B" w:rsidRPr="0040294D">
        <w:rPr>
          <w:color w:val="000000" w:themeColor="text1"/>
          <w:shd w:val="clear" w:color="auto" w:fill="FFFFFF"/>
          <w:lang w:val="en-GB"/>
        </w:rPr>
        <w:t xml:space="preserve"> HRM theory </w:t>
      </w:r>
      <w:r w:rsidR="003E7AD0" w:rsidRPr="0040294D">
        <w:rPr>
          <w:color w:val="000000" w:themeColor="text1"/>
          <w:shd w:val="clear" w:color="auto" w:fill="FFFFFF"/>
          <w:lang w:val="en-GB"/>
        </w:rPr>
        <w:t xml:space="preserve">and its boundary conditions </w:t>
      </w:r>
      <w:r w:rsidR="00B2527B" w:rsidRPr="0040294D">
        <w:rPr>
          <w:color w:val="000000" w:themeColor="text1"/>
          <w:shd w:val="clear" w:color="auto" w:fill="FFFFFF"/>
          <w:lang w:val="en-GB"/>
        </w:rPr>
        <w:t>(</w:t>
      </w:r>
      <w:proofErr w:type="spellStart"/>
      <w:r w:rsidR="00B2527B" w:rsidRPr="0040294D">
        <w:rPr>
          <w:color w:val="000000" w:themeColor="text1"/>
          <w:lang w:val="en-GB"/>
        </w:rPr>
        <w:t>Saridakis</w:t>
      </w:r>
      <w:proofErr w:type="spellEnd"/>
      <w:r w:rsidR="00B2527B" w:rsidRPr="0040294D">
        <w:rPr>
          <w:color w:val="000000" w:themeColor="text1"/>
          <w:lang w:val="en-GB"/>
        </w:rPr>
        <w:t xml:space="preserve">, Lai, </w:t>
      </w:r>
      <w:r w:rsidR="00C408A9" w:rsidRPr="0040294D">
        <w:rPr>
          <w:color w:val="000000" w:themeColor="text1"/>
          <w:lang w:val="en-GB"/>
        </w:rPr>
        <w:t>and</w:t>
      </w:r>
      <w:r w:rsidR="00B2527B" w:rsidRPr="0040294D">
        <w:rPr>
          <w:color w:val="000000" w:themeColor="text1"/>
          <w:lang w:val="en-GB"/>
        </w:rPr>
        <w:t xml:space="preserve"> Cooper, 2017).</w:t>
      </w:r>
    </w:p>
    <w:p w14:paraId="764938B6" w14:textId="26CE6A34" w:rsidR="00FD2A48" w:rsidRPr="0040294D" w:rsidRDefault="00FD2A48" w:rsidP="006B54F3">
      <w:pPr>
        <w:spacing w:line="480" w:lineRule="auto"/>
        <w:ind w:firstLine="284"/>
        <w:jc w:val="both"/>
        <w:rPr>
          <w:color w:val="000000" w:themeColor="text1"/>
          <w:lang w:val="en-GB"/>
        </w:rPr>
      </w:pPr>
      <w:r w:rsidRPr="0040294D">
        <w:rPr>
          <w:color w:val="000000" w:themeColor="text1"/>
          <w:lang w:val="en-GB"/>
        </w:rPr>
        <w:t xml:space="preserve">Our findings confirm the existence of a curvilinear relationship. They show that acquisition failures are not </w:t>
      </w:r>
      <w:r w:rsidR="00AA5225" w:rsidRPr="0040294D">
        <w:rPr>
          <w:color w:val="000000" w:themeColor="text1"/>
          <w:lang w:val="en-GB"/>
        </w:rPr>
        <w:t xml:space="preserve">exclusively </w:t>
      </w:r>
      <w:r w:rsidRPr="0040294D">
        <w:rPr>
          <w:color w:val="000000" w:themeColor="text1"/>
          <w:lang w:val="en-GB"/>
        </w:rPr>
        <w:t xml:space="preserve">associated with a poor level of </w:t>
      </w:r>
      <w:r w:rsidR="00FA1DA4">
        <w:rPr>
          <w:color w:val="000000" w:themeColor="text1"/>
          <w:lang w:val="en-GB"/>
        </w:rPr>
        <w:t>HRM-quality</w:t>
      </w:r>
      <w:r w:rsidRPr="0040294D">
        <w:rPr>
          <w:color w:val="000000" w:themeColor="text1"/>
          <w:lang w:val="en-GB"/>
        </w:rPr>
        <w:t xml:space="preserve">, but also with a very high level of </w:t>
      </w:r>
      <w:r w:rsidR="00FA1DA4">
        <w:rPr>
          <w:color w:val="000000" w:themeColor="text1"/>
          <w:lang w:val="en-GB"/>
        </w:rPr>
        <w:t>HRM-quality</w:t>
      </w:r>
      <w:r w:rsidR="0040294D">
        <w:rPr>
          <w:color w:val="000000" w:themeColor="text1"/>
          <w:lang w:val="en-GB"/>
        </w:rPr>
        <w:t>—</w:t>
      </w:r>
      <w:r w:rsidR="006B54F3">
        <w:rPr>
          <w:color w:val="000000" w:themeColor="text1"/>
          <w:lang w:val="en-GB"/>
        </w:rPr>
        <w:t>namely under</w:t>
      </w:r>
      <w:r w:rsidRPr="0040294D">
        <w:rPr>
          <w:color w:val="000000" w:themeColor="text1"/>
          <w:lang w:val="en-GB"/>
        </w:rPr>
        <w:t xml:space="preserve"> both extremes. Moreover, the results reveal that the curvilinear effect is amplified by a low level of </w:t>
      </w:r>
      <w:r w:rsidR="00FA1DA4">
        <w:rPr>
          <w:color w:val="000000" w:themeColor="text1"/>
          <w:lang w:val="en-GB"/>
        </w:rPr>
        <w:t>financial</w:t>
      </w:r>
      <w:r w:rsidR="00187E65">
        <w:rPr>
          <w:color w:val="000000" w:themeColor="text1"/>
          <w:lang w:val="en-GB"/>
        </w:rPr>
        <w:t xml:space="preserve"> </w:t>
      </w:r>
      <w:r w:rsidR="00FA1DA4">
        <w:rPr>
          <w:color w:val="000000" w:themeColor="text1"/>
          <w:lang w:val="en-GB"/>
        </w:rPr>
        <w:t>slack</w:t>
      </w:r>
      <w:r w:rsidR="0089364E" w:rsidRPr="0040294D">
        <w:rPr>
          <w:color w:val="000000" w:themeColor="text1"/>
          <w:lang w:val="en-GB"/>
        </w:rPr>
        <w:t xml:space="preserve"> (George, 2005; Mishina </w:t>
      </w:r>
      <w:r w:rsidR="0089364E" w:rsidRPr="00FF3FE9">
        <w:rPr>
          <w:color w:val="000000" w:themeColor="text1"/>
          <w:lang w:val="en-GB"/>
        </w:rPr>
        <w:t>et al.,</w:t>
      </w:r>
      <w:r w:rsidR="0089364E" w:rsidRPr="0040294D">
        <w:rPr>
          <w:color w:val="000000" w:themeColor="text1"/>
          <w:lang w:val="en-GB"/>
        </w:rPr>
        <w:t xml:space="preserve"> 2004), </w:t>
      </w:r>
      <w:r w:rsidRPr="0040294D">
        <w:rPr>
          <w:color w:val="000000" w:themeColor="text1"/>
          <w:lang w:val="en-GB"/>
        </w:rPr>
        <w:t>whereas</w:t>
      </w:r>
      <w:r w:rsidRPr="0040294D" w:rsidDel="002E3852">
        <w:rPr>
          <w:color w:val="000000" w:themeColor="text1"/>
          <w:lang w:val="en-GB"/>
        </w:rPr>
        <w:t xml:space="preserve"> </w:t>
      </w:r>
      <w:r w:rsidRPr="0040294D">
        <w:rPr>
          <w:color w:val="000000" w:themeColor="text1"/>
          <w:lang w:val="en-GB"/>
        </w:rPr>
        <w:t xml:space="preserve">there is a significant decrease in the likelihood of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Pr="0040294D">
        <w:rPr>
          <w:color w:val="000000" w:themeColor="text1"/>
          <w:lang w:val="en-GB"/>
        </w:rPr>
        <w:t xml:space="preserve"> divestment under conditions of high </w:t>
      </w:r>
      <w:r w:rsidR="00FA1DA4">
        <w:rPr>
          <w:color w:val="000000" w:themeColor="text1"/>
          <w:lang w:val="en-GB"/>
        </w:rPr>
        <w:t>financial</w:t>
      </w:r>
      <w:r w:rsidR="00187E65">
        <w:rPr>
          <w:color w:val="000000" w:themeColor="text1"/>
          <w:lang w:val="en-GB"/>
        </w:rPr>
        <w:t xml:space="preserve"> </w:t>
      </w:r>
      <w:r w:rsidR="00FA1DA4">
        <w:rPr>
          <w:color w:val="000000" w:themeColor="text1"/>
          <w:lang w:val="en-GB"/>
        </w:rPr>
        <w:t>slack</w:t>
      </w:r>
      <w:r w:rsidRPr="0040294D">
        <w:rPr>
          <w:color w:val="000000" w:themeColor="text1"/>
          <w:lang w:val="en-GB"/>
        </w:rPr>
        <w:t>.</w:t>
      </w:r>
    </w:p>
    <w:p w14:paraId="06C117D2" w14:textId="77777777" w:rsidR="001D7325" w:rsidRPr="0040294D" w:rsidRDefault="001D7325" w:rsidP="00FD2A48">
      <w:pPr>
        <w:spacing w:line="480" w:lineRule="auto"/>
        <w:jc w:val="both"/>
        <w:rPr>
          <w:i/>
          <w:iCs/>
          <w:color w:val="000000" w:themeColor="text1"/>
          <w:lang w:val="en-GB"/>
        </w:rPr>
      </w:pPr>
    </w:p>
    <w:p w14:paraId="29359EA3" w14:textId="77777777" w:rsidR="00FD2A48" w:rsidRPr="0040294D" w:rsidRDefault="00FD2A48" w:rsidP="00FD2A48">
      <w:pPr>
        <w:spacing w:line="480" w:lineRule="auto"/>
        <w:jc w:val="both"/>
        <w:rPr>
          <w:b/>
          <w:i/>
          <w:iCs/>
          <w:color w:val="000000" w:themeColor="text1"/>
          <w:lang w:val="en-GB"/>
        </w:rPr>
      </w:pPr>
      <w:r w:rsidRPr="0040294D">
        <w:rPr>
          <w:b/>
          <w:i/>
          <w:iCs/>
          <w:color w:val="000000" w:themeColor="text1"/>
          <w:lang w:val="en-GB"/>
        </w:rPr>
        <w:t>Theoretical Contributions</w:t>
      </w:r>
    </w:p>
    <w:p w14:paraId="7AC97438" w14:textId="2F7082DC" w:rsidR="00EE621D" w:rsidRPr="0040294D" w:rsidRDefault="00C10109" w:rsidP="00C10109">
      <w:pPr>
        <w:widowControl w:val="0"/>
        <w:spacing w:line="480" w:lineRule="auto"/>
        <w:jc w:val="both"/>
        <w:rPr>
          <w:color w:val="000000" w:themeColor="text1"/>
          <w:lang w:val="en-GB"/>
        </w:rPr>
      </w:pPr>
      <w:r>
        <w:rPr>
          <w:color w:val="000000" w:themeColor="text1"/>
          <w:lang w:val="en-GB"/>
        </w:rPr>
        <w:t>We offer</w:t>
      </w:r>
      <w:r w:rsidR="00FD2A48" w:rsidRPr="0040294D">
        <w:rPr>
          <w:color w:val="000000" w:themeColor="text1"/>
          <w:lang w:val="en-GB"/>
        </w:rPr>
        <w:t xml:space="preserve"> important contributions to several literature streams. </w:t>
      </w:r>
      <w:r w:rsidR="00275B91" w:rsidRPr="0040294D">
        <w:rPr>
          <w:color w:val="000000" w:themeColor="text1"/>
          <w:lang w:val="en-GB"/>
        </w:rPr>
        <w:t xml:space="preserve">First, from the HRM perspective, it is generally accepted that </w:t>
      </w:r>
      <w:r w:rsidR="006379D8" w:rsidRPr="0040294D">
        <w:rPr>
          <w:color w:val="000000" w:themeColor="text1"/>
          <w:lang w:val="en-GB"/>
        </w:rPr>
        <w:t>high</w:t>
      </w:r>
      <w:r w:rsidR="00026CAE" w:rsidRPr="0040294D">
        <w:rPr>
          <w:color w:val="000000" w:themeColor="text1"/>
          <w:lang w:val="en-GB"/>
        </w:rPr>
        <w:t>-</w:t>
      </w:r>
      <w:r w:rsidR="006379D8" w:rsidRPr="0040294D">
        <w:rPr>
          <w:color w:val="000000" w:themeColor="text1"/>
          <w:lang w:val="en-GB"/>
        </w:rPr>
        <w:t>quality</w:t>
      </w:r>
      <w:r w:rsidR="00FD2A48" w:rsidRPr="0040294D">
        <w:rPr>
          <w:color w:val="000000" w:themeColor="text1"/>
          <w:lang w:val="en-GB"/>
        </w:rPr>
        <w:t xml:space="preserve"> HRM leads to a better use of human capital and improved organizational learning (</w:t>
      </w:r>
      <w:proofErr w:type="spellStart"/>
      <w:r w:rsidR="00FD2A48" w:rsidRPr="0040294D">
        <w:rPr>
          <w:color w:val="000000" w:themeColor="text1"/>
          <w:lang w:val="en-GB"/>
        </w:rPr>
        <w:t>D</w:t>
      </w:r>
      <w:r w:rsidR="00FD2A48" w:rsidRPr="0040294D">
        <w:rPr>
          <w:color w:val="000000" w:themeColor="text1"/>
          <w:lang w:val="en-GB" w:eastAsia="zh-CN"/>
        </w:rPr>
        <w:t>ikova</w:t>
      </w:r>
      <w:proofErr w:type="spellEnd"/>
      <w:r w:rsidR="00FD2A48" w:rsidRPr="0040294D">
        <w:rPr>
          <w:color w:val="000000" w:themeColor="text1"/>
          <w:lang w:val="en-GB" w:eastAsia="zh-CN"/>
        </w:rPr>
        <w:t>, Sahib</w:t>
      </w:r>
      <w:r>
        <w:rPr>
          <w:color w:val="000000" w:themeColor="text1"/>
          <w:lang w:val="en-GB" w:eastAsia="zh-CN"/>
        </w:rPr>
        <w:t xml:space="preserve">, and Van </w:t>
      </w:r>
      <w:proofErr w:type="spellStart"/>
      <w:r>
        <w:rPr>
          <w:color w:val="000000" w:themeColor="text1"/>
          <w:lang w:val="en-GB" w:eastAsia="zh-CN"/>
        </w:rPr>
        <w:t>Witteloostuijn</w:t>
      </w:r>
      <w:proofErr w:type="spellEnd"/>
      <w:r>
        <w:rPr>
          <w:color w:val="000000" w:themeColor="text1"/>
          <w:lang w:val="en-GB" w:eastAsia="zh-CN"/>
        </w:rPr>
        <w:t>, 2010), thus</w:t>
      </w:r>
      <w:r w:rsidR="00FD2A48" w:rsidRPr="0040294D">
        <w:rPr>
          <w:color w:val="000000" w:themeColor="text1"/>
          <w:lang w:val="en-GB"/>
        </w:rPr>
        <w:t xml:space="preserve"> a positive, significant impact of high</w:t>
      </w:r>
      <w:r w:rsidR="00026CAE" w:rsidRPr="0040294D">
        <w:rPr>
          <w:color w:val="000000" w:themeColor="text1"/>
          <w:lang w:val="en-GB"/>
        </w:rPr>
        <w:t>-</w:t>
      </w:r>
      <w:r w:rsidR="00FD2A48" w:rsidRPr="0040294D">
        <w:rPr>
          <w:color w:val="000000" w:themeColor="text1"/>
          <w:lang w:val="en-GB"/>
        </w:rPr>
        <w:t>quality HRM practices on organizational success (</w:t>
      </w:r>
      <w:proofErr w:type="spellStart"/>
      <w:r w:rsidR="00FD2A48" w:rsidRPr="0040294D">
        <w:rPr>
          <w:color w:val="000000" w:themeColor="text1"/>
          <w:lang w:val="en-GB"/>
        </w:rPr>
        <w:t>Huselid</w:t>
      </w:r>
      <w:proofErr w:type="spellEnd"/>
      <w:r w:rsidR="00FD2A48" w:rsidRPr="0040294D">
        <w:rPr>
          <w:color w:val="000000" w:themeColor="text1"/>
          <w:lang w:val="en-GB"/>
        </w:rPr>
        <w:t xml:space="preserve">, 1995; </w:t>
      </w:r>
      <w:proofErr w:type="spellStart"/>
      <w:r w:rsidR="00FD2A48" w:rsidRPr="00FF3FE9">
        <w:rPr>
          <w:color w:val="000000" w:themeColor="text1"/>
          <w:lang w:val="en-GB"/>
        </w:rPr>
        <w:t>Tzabbar</w:t>
      </w:r>
      <w:proofErr w:type="spellEnd"/>
      <w:r w:rsidR="00FD2A48" w:rsidRPr="00FF3FE9">
        <w:rPr>
          <w:color w:val="000000" w:themeColor="text1"/>
          <w:lang w:val="en-GB"/>
        </w:rPr>
        <w:t xml:space="preserve"> et al., 2017</w:t>
      </w:r>
      <w:r w:rsidR="00FD2A48" w:rsidRPr="0040294D">
        <w:rPr>
          <w:color w:val="000000" w:themeColor="text1"/>
          <w:lang w:val="en-GB"/>
        </w:rPr>
        <w:t xml:space="preserve">). </w:t>
      </w:r>
      <w:r w:rsidR="00275B91" w:rsidRPr="0040294D">
        <w:rPr>
          <w:color w:val="000000" w:themeColor="text1"/>
          <w:shd w:val="clear" w:color="auto" w:fill="FFFFFF"/>
          <w:lang w:val="en-GB"/>
        </w:rPr>
        <w:t xml:space="preserve">This </w:t>
      </w:r>
      <w:r w:rsidR="00903256" w:rsidRPr="0040294D">
        <w:rPr>
          <w:color w:val="000000" w:themeColor="text1"/>
          <w:shd w:val="clear" w:color="auto" w:fill="FFFFFF"/>
          <w:lang w:val="en-GB"/>
        </w:rPr>
        <w:t xml:space="preserve">general </w:t>
      </w:r>
      <w:r w:rsidR="00FA1DA4">
        <w:rPr>
          <w:color w:val="000000" w:themeColor="text1"/>
          <w:shd w:val="clear" w:color="auto" w:fill="FFFFFF"/>
          <w:lang w:val="en-GB"/>
        </w:rPr>
        <w:t>HRM-quality</w:t>
      </w:r>
      <w:r w:rsidR="00903256" w:rsidRPr="0040294D">
        <w:rPr>
          <w:color w:val="000000" w:themeColor="text1"/>
          <w:shd w:val="clear" w:color="auto" w:fill="FFFFFF"/>
          <w:lang w:val="en-GB"/>
        </w:rPr>
        <w:t xml:space="preserve">-organizational performance </w:t>
      </w:r>
      <w:r w:rsidR="00B2527B" w:rsidRPr="0040294D">
        <w:rPr>
          <w:color w:val="000000" w:themeColor="text1"/>
          <w:shd w:val="clear" w:color="auto" w:fill="FFFFFF"/>
          <w:lang w:val="en-GB"/>
        </w:rPr>
        <w:t>link</w:t>
      </w:r>
      <w:r w:rsidR="000C4601">
        <w:rPr>
          <w:color w:val="000000" w:themeColor="text1"/>
          <w:shd w:val="clear" w:color="auto" w:fill="FFFFFF"/>
          <w:lang w:val="en-GB"/>
        </w:rPr>
        <w:t xml:space="preserve"> </w:t>
      </w:r>
      <w:r w:rsidR="00275B91" w:rsidRPr="0040294D">
        <w:rPr>
          <w:color w:val="000000" w:themeColor="text1"/>
          <w:shd w:val="clear" w:color="auto" w:fill="FFFFFF"/>
          <w:lang w:val="en-GB"/>
        </w:rPr>
        <w:t>is mostly explained by</w:t>
      </w:r>
      <w:r w:rsidR="00B2527B" w:rsidRPr="0040294D">
        <w:rPr>
          <w:color w:val="000000" w:themeColor="text1"/>
          <w:shd w:val="clear" w:color="auto" w:fill="FFFFFF"/>
          <w:lang w:val="en-GB"/>
        </w:rPr>
        <w:t xml:space="preserve"> the role of HRM in the management of sociocultural aspect</w:t>
      </w:r>
      <w:r w:rsidR="00275B91" w:rsidRPr="0040294D">
        <w:rPr>
          <w:color w:val="000000" w:themeColor="text1"/>
          <w:shd w:val="clear" w:color="auto" w:fill="FFFFFF"/>
          <w:lang w:val="en-GB"/>
        </w:rPr>
        <w:t>s, which</w:t>
      </w:r>
      <w:r w:rsidR="00B2527B" w:rsidRPr="0040294D">
        <w:rPr>
          <w:color w:val="000000" w:themeColor="text1"/>
          <w:shd w:val="clear" w:color="auto" w:fill="FFFFFF"/>
          <w:lang w:val="en-GB"/>
        </w:rPr>
        <w:t xml:space="preserve"> </w:t>
      </w:r>
      <w:r>
        <w:rPr>
          <w:color w:val="000000" w:themeColor="text1"/>
          <w:shd w:val="clear" w:color="auto" w:fill="FFFFFF"/>
          <w:lang w:val="en-GB"/>
        </w:rPr>
        <w:t>are</w:t>
      </w:r>
      <w:r w:rsidR="00A40C1B" w:rsidRPr="0040294D">
        <w:rPr>
          <w:color w:val="000000" w:themeColor="text1"/>
          <w:shd w:val="clear" w:color="auto" w:fill="FFFFFF"/>
          <w:lang w:val="en-GB"/>
        </w:rPr>
        <w:t xml:space="preserve"> </w:t>
      </w:r>
      <w:r w:rsidR="00B2527B" w:rsidRPr="0040294D">
        <w:rPr>
          <w:color w:val="000000" w:themeColor="text1"/>
          <w:shd w:val="clear" w:color="auto" w:fill="FFFFFF"/>
          <w:lang w:val="en-GB"/>
        </w:rPr>
        <w:t xml:space="preserve">critical in </w:t>
      </w:r>
      <w:r w:rsidR="00275B91" w:rsidRPr="0040294D">
        <w:rPr>
          <w:color w:val="000000" w:themeColor="text1"/>
          <w:shd w:val="clear" w:color="auto" w:fill="FFFFFF"/>
          <w:lang w:val="en-GB"/>
        </w:rPr>
        <w:t>acquisitions</w:t>
      </w:r>
      <w:r w:rsidR="00B2527B" w:rsidRPr="0040294D">
        <w:rPr>
          <w:color w:val="000000" w:themeColor="text1"/>
          <w:shd w:val="clear" w:color="auto" w:fill="FFFFFF"/>
          <w:lang w:val="en-GB"/>
        </w:rPr>
        <w:t xml:space="preserve"> (</w:t>
      </w:r>
      <w:r w:rsidR="00B2527B" w:rsidRPr="0040294D">
        <w:rPr>
          <w:color w:val="000000" w:themeColor="text1"/>
          <w:lang w:val="en-GB"/>
        </w:rPr>
        <w:t xml:space="preserve">Sarala, </w:t>
      </w:r>
      <w:proofErr w:type="spellStart"/>
      <w:r w:rsidR="00B2527B" w:rsidRPr="0040294D">
        <w:rPr>
          <w:color w:val="000000" w:themeColor="text1"/>
          <w:lang w:val="en-GB"/>
        </w:rPr>
        <w:t>Junni</w:t>
      </w:r>
      <w:proofErr w:type="spellEnd"/>
      <w:r w:rsidR="00B2527B" w:rsidRPr="0040294D">
        <w:rPr>
          <w:color w:val="000000" w:themeColor="text1"/>
          <w:lang w:val="en-GB"/>
        </w:rPr>
        <w:t xml:space="preserve">, Cooper, </w:t>
      </w:r>
      <w:r w:rsidR="00275B91" w:rsidRPr="0040294D">
        <w:rPr>
          <w:color w:val="000000" w:themeColor="text1"/>
          <w:lang w:val="en-GB"/>
        </w:rPr>
        <w:t xml:space="preserve">and </w:t>
      </w:r>
      <w:proofErr w:type="spellStart"/>
      <w:r w:rsidR="00B2527B" w:rsidRPr="0040294D">
        <w:rPr>
          <w:color w:val="000000" w:themeColor="text1"/>
          <w:lang w:val="en-GB"/>
        </w:rPr>
        <w:t>Tarba</w:t>
      </w:r>
      <w:proofErr w:type="spellEnd"/>
      <w:r w:rsidR="00B2527B" w:rsidRPr="0040294D">
        <w:rPr>
          <w:color w:val="000000" w:themeColor="text1"/>
          <w:lang w:val="en-GB"/>
        </w:rPr>
        <w:t>, 2016).</w:t>
      </w:r>
    </w:p>
    <w:p w14:paraId="775C9491" w14:textId="502FB638" w:rsidR="00B2527B" w:rsidRPr="0040294D" w:rsidRDefault="00FD2A48" w:rsidP="00DF57ED">
      <w:pPr>
        <w:widowControl w:val="0"/>
        <w:spacing w:line="480" w:lineRule="auto"/>
        <w:ind w:firstLine="284"/>
        <w:jc w:val="both"/>
        <w:rPr>
          <w:color w:val="000000" w:themeColor="text1"/>
          <w:lang w:val="en-GB"/>
        </w:rPr>
      </w:pPr>
      <w:r w:rsidRPr="0040294D">
        <w:rPr>
          <w:color w:val="000000" w:themeColor="text1"/>
          <w:lang w:val="en-GB"/>
        </w:rPr>
        <w:t>Yet th</w:t>
      </w:r>
      <w:r w:rsidR="00275B91" w:rsidRPr="0040294D">
        <w:rPr>
          <w:color w:val="000000" w:themeColor="text1"/>
          <w:lang w:val="en-GB"/>
        </w:rPr>
        <w:t xml:space="preserve">e direct </w:t>
      </w:r>
      <w:r w:rsidRPr="0040294D">
        <w:rPr>
          <w:color w:val="000000" w:themeColor="text1"/>
          <w:lang w:val="en-GB"/>
        </w:rPr>
        <w:t xml:space="preserve">link </w:t>
      </w:r>
      <w:r w:rsidR="00275B91" w:rsidRPr="0040294D">
        <w:rPr>
          <w:color w:val="000000" w:themeColor="text1"/>
          <w:lang w:val="en-GB"/>
        </w:rPr>
        <w:t xml:space="preserve">observed in our research is </w:t>
      </w:r>
      <w:r w:rsidRPr="0040294D">
        <w:rPr>
          <w:color w:val="000000" w:themeColor="text1"/>
          <w:lang w:val="en-GB"/>
        </w:rPr>
        <w:t xml:space="preserve">not </w:t>
      </w:r>
      <w:r w:rsidR="00275B91" w:rsidRPr="0040294D">
        <w:rPr>
          <w:color w:val="000000" w:themeColor="text1"/>
          <w:lang w:val="en-GB"/>
        </w:rPr>
        <w:t xml:space="preserve">so </w:t>
      </w:r>
      <w:r w:rsidRPr="0040294D">
        <w:rPr>
          <w:color w:val="000000" w:themeColor="text1"/>
          <w:lang w:val="en-GB"/>
        </w:rPr>
        <w:t xml:space="preserve">strong, and the curvilinear nature of </w:t>
      </w:r>
      <w:r w:rsidR="00275B91" w:rsidRPr="0040294D">
        <w:rPr>
          <w:color w:val="000000" w:themeColor="text1"/>
          <w:lang w:val="en-GB"/>
        </w:rPr>
        <w:t>this link</w:t>
      </w:r>
      <w:r w:rsidRPr="0040294D">
        <w:rPr>
          <w:color w:val="000000" w:themeColor="text1"/>
          <w:lang w:val="en-GB"/>
        </w:rPr>
        <w:t xml:space="preserve"> offers a plausible </w:t>
      </w:r>
      <w:r w:rsidR="00275B91" w:rsidRPr="0040294D">
        <w:rPr>
          <w:color w:val="000000" w:themeColor="text1"/>
          <w:lang w:val="en-GB"/>
        </w:rPr>
        <w:t xml:space="preserve">alternative </w:t>
      </w:r>
      <w:r w:rsidRPr="0040294D">
        <w:rPr>
          <w:color w:val="000000" w:themeColor="text1"/>
          <w:lang w:val="en-GB"/>
        </w:rPr>
        <w:t xml:space="preserve">explanation. </w:t>
      </w:r>
      <w:r w:rsidR="00DF57ED">
        <w:rPr>
          <w:color w:val="000000" w:themeColor="text1"/>
          <w:lang w:val="en-GB"/>
        </w:rPr>
        <w:t>W</w:t>
      </w:r>
      <w:r w:rsidRPr="0040294D">
        <w:rPr>
          <w:color w:val="000000" w:themeColor="text1"/>
          <w:lang w:val="en-GB"/>
        </w:rPr>
        <w:t>e help decipher the black</w:t>
      </w:r>
      <w:r w:rsidR="006F1F77">
        <w:rPr>
          <w:color w:val="000000" w:themeColor="text1"/>
          <w:lang w:val="en-GB"/>
        </w:rPr>
        <w:t xml:space="preserve"> </w:t>
      </w:r>
      <w:r w:rsidRPr="0040294D">
        <w:rPr>
          <w:color w:val="000000" w:themeColor="text1"/>
          <w:lang w:val="en-GB"/>
        </w:rPr>
        <w:t xml:space="preserve">box of the connection between HRM and firm performance, </w:t>
      </w:r>
      <w:r w:rsidR="00A40C1B" w:rsidRPr="0040294D">
        <w:rPr>
          <w:color w:val="000000" w:themeColor="text1"/>
          <w:shd w:val="clear" w:color="auto" w:fill="FFFFFF"/>
          <w:lang w:val="en-GB"/>
        </w:rPr>
        <w:t>expand</w:t>
      </w:r>
      <w:r w:rsidR="00DF57ED">
        <w:rPr>
          <w:color w:val="000000" w:themeColor="text1"/>
          <w:shd w:val="clear" w:color="auto" w:fill="FFFFFF"/>
          <w:lang w:val="en-GB"/>
        </w:rPr>
        <w:t>ing</w:t>
      </w:r>
      <w:r w:rsidR="00A40C1B" w:rsidRPr="0040294D">
        <w:rPr>
          <w:color w:val="000000" w:themeColor="text1"/>
          <w:shd w:val="clear" w:color="auto" w:fill="FFFFFF"/>
          <w:lang w:val="en-GB"/>
        </w:rPr>
        <w:t xml:space="preserve"> </w:t>
      </w:r>
      <w:r w:rsidR="00B2527B" w:rsidRPr="0040294D">
        <w:rPr>
          <w:color w:val="000000" w:themeColor="text1"/>
          <w:shd w:val="clear" w:color="auto" w:fill="FFFFFF"/>
          <w:lang w:val="en-GB"/>
        </w:rPr>
        <w:t>HRM theor</w:t>
      </w:r>
      <w:r w:rsidR="0089364E" w:rsidRPr="0040294D">
        <w:rPr>
          <w:color w:val="000000" w:themeColor="text1"/>
          <w:shd w:val="clear" w:color="auto" w:fill="FFFFFF"/>
          <w:lang w:val="en-GB"/>
        </w:rPr>
        <w:t>y (Guest, 2001)</w:t>
      </w:r>
      <w:r w:rsidR="00B2527B" w:rsidRPr="0040294D">
        <w:rPr>
          <w:color w:val="000000" w:themeColor="text1"/>
          <w:shd w:val="clear" w:color="auto" w:fill="FFFFFF"/>
          <w:lang w:val="en-GB"/>
        </w:rPr>
        <w:t xml:space="preserve"> by </w:t>
      </w:r>
      <w:r w:rsidR="00A40C1B" w:rsidRPr="0040294D">
        <w:rPr>
          <w:color w:val="000000" w:themeColor="text1"/>
          <w:shd w:val="clear" w:color="auto" w:fill="FFFFFF"/>
          <w:lang w:val="en-GB"/>
        </w:rPr>
        <w:t>including</w:t>
      </w:r>
      <w:r w:rsidR="00B2527B" w:rsidRPr="0040294D">
        <w:rPr>
          <w:color w:val="000000" w:themeColor="text1"/>
          <w:shd w:val="clear" w:color="auto" w:fill="FFFFFF"/>
          <w:lang w:val="en-GB"/>
        </w:rPr>
        <w:t xml:space="preserve"> the</w:t>
      </w:r>
      <w:r w:rsidR="0040294D">
        <w:rPr>
          <w:color w:val="000000" w:themeColor="text1"/>
          <w:shd w:val="clear" w:color="auto" w:fill="FFFFFF"/>
          <w:lang w:val="en-GB"/>
        </w:rPr>
        <w:t xml:space="preserve"> ‘</w:t>
      </w:r>
      <w:r w:rsidR="0089364E" w:rsidRPr="0040294D">
        <w:rPr>
          <w:i/>
          <w:color w:val="000000" w:themeColor="text1"/>
          <w:lang w:val="en-GB"/>
        </w:rPr>
        <w:t>too-</w:t>
      </w:r>
      <w:r w:rsidR="0089364E" w:rsidRPr="0040294D">
        <w:rPr>
          <w:i/>
          <w:color w:val="000000" w:themeColor="text1"/>
          <w:lang w:val="en-GB"/>
        </w:rPr>
        <w:lastRenderedPageBreak/>
        <w:t>much-of-a-good-thing</w:t>
      </w:r>
      <w:r w:rsidR="0040294D">
        <w:rPr>
          <w:color w:val="000000" w:themeColor="text1"/>
          <w:lang w:val="en-GB"/>
        </w:rPr>
        <w:t>’</w:t>
      </w:r>
      <w:r w:rsidR="0089364E" w:rsidRPr="0040294D">
        <w:rPr>
          <w:color w:val="000000" w:themeColor="text1"/>
          <w:lang w:val="en-GB"/>
        </w:rPr>
        <w:t xml:space="preserve"> phenomenon</w:t>
      </w:r>
      <w:r w:rsidR="00B2527B" w:rsidRPr="0040294D">
        <w:rPr>
          <w:color w:val="000000" w:themeColor="text1"/>
          <w:shd w:val="clear" w:color="auto" w:fill="FFFFFF"/>
          <w:lang w:val="en-GB"/>
        </w:rPr>
        <w:t xml:space="preserve"> </w:t>
      </w:r>
      <w:r w:rsidR="00B53CE8" w:rsidRPr="0040294D">
        <w:rPr>
          <w:color w:val="000000" w:themeColor="text1"/>
          <w:shd w:val="clear" w:color="auto" w:fill="FFFFFF"/>
          <w:lang w:val="en-GB"/>
        </w:rPr>
        <w:t xml:space="preserve">as a boundary condition </w:t>
      </w:r>
      <w:r w:rsidR="00B2527B" w:rsidRPr="0040294D">
        <w:rPr>
          <w:color w:val="000000" w:themeColor="text1"/>
          <w:shd w:val="clear" w:color="auto" w:fill="FFFFFF"/>
          <w:lang w:val="en-GB"/>
        </w:rPr>
        <w:t xml:space="preserve">to </w:t>
      </w:r>
      <w:r w:rsidR="0089364E" w:rsidRPr="0040294D">
        <w:rPr>
          <w:color w:val="000000" w:themeColor="text1"/>
          <w:shd w:val="clear" w:color="auto" w:fill="FFFFFF"/>
          <w:lang w:val="en-GB"/>
        </w:rPr>
        <w:t xml:space="preserve">help </w:t>
      </w:r>
      <w:r w:rsidR="00903256" w:rsidRPr="0040294D">
        <w:rPr>
          <w:color w:val="000000" w:themeColor="text1"/>
          <w:shd w:val="clear" w:color="auto" w:fill="FFFFFF"/>
          <w:lang w:val="en-GB"/>
        </w:rPr>
        <w:t xml:space="preserve">uncover and </w:t>
      </w:r>
      <w:r w:rsidR="0089364E" w:rsidRPr="0040294D">
        <w:rPr>
          <w:color w:val="000000" w:themeColor="text1"/>
          <w:shd w:val="clear" w:color="auto" w:fill="FFFFFF"/>
          <w:lang w:val="en-GB"/>
        </w:rPr>
        <w:t xml:space="preserve">explain </w:t>
      </w:r>
      <w:r w:rsidR="00B2527B" w:rsidRPr="0040294D">
        <w:rPr>
          <w:color w:val="000000" w:themeColor="text1"/>
          <w:shd w:val="clear" w:color="auto" w:fill="FFFFFF"/>
          <w:lang w:val="en-GB"/>
        </w:rPr>
        <w:t xml:space="preserve">the curvilinear </w:t>
      </w:r>
      <w:r w:rsidR="0089364E" w:rsidRPr="0040294D">
        <w:rPr>
          <w:color w:val="000000" w:themeColor="text1"/>
          <w:shd w:val="clear" w:color="auto" w:fill="FFFFFF"/>
          <w:lang w:val="en-GB"/>
        </w:rPr>
        <w:t>HRM</w:t>
      </w:r>
      <w:r w:rsidR="005D5DA0">
        <w:rPr>
          <w:color w:val="000000" w:themeColor="text1"/>
          <w:shd w:val="clear" w:color="auto" w:fill="FFFFFF"/>
          <w:lang w:val="en-GB"/>
        </w:rPr>
        <w:t>-</w:t>
      </w:r>
      <w:r w:rsidR="0089364E" w:rsidRPr="0040294D">
        <w:rPr>
          <w:color w:val="000000" w:themeColor="text1"/>
          <w:shd w:val="clear" w:color="auto" w:fill="FFFFFF"/>
          <w:lang w:val="en-GB"/>
        </w:rPr>
        <w:t>firm performance</w:t>
      </w:r>
      <w:r w:rsidR="005D5DA0">
        <w:rPr>
          <w:color w:val="000000" w:themeColor="text1"/>
          <w:shd w:val="clear" w:color="auto" w:fill="FFFFFF"/>
          <w:lang w:val="en-GB"/>
        </w:rPr>
        <w:t xml:space="preserve"> </w:t>
      </w:r>
      <w:r w:rsidR="005D5DA0" w:rsidRPr="0040294D">
        <w:rPr>
          <w:color w:val="000000" w:themeColor="text1"/>
          <w:shd w:val="clear" w:color="auto" w:fill="FFFFFF"/>
          <w:lang w:val="en-GB"/>
        </w:rPr>
        <w:t>relationship</w:t>
      </w:r>
      <w:r w:rsidR="00B2527B" w:rsidRPr="0040294D">
        <w:rPr>
          <w:color w:val="000000" w:themeColor="text1"/>
          <w:shd w:val="clear" w:color="auto" w:fill="FFFFFF"/>
          <w:lang w:val="en-GB"/>
        </w:rPr>
        <w:t xml:space="preserve">. </w:t>
      </w:r>
      <w:r w:rsidR="0089364E" w:rsidRPr="0040294D">
        <w:rPr>
          <w:color w:val="000000" w:themeColor="text1"/>
          <w:shd w:val="clear" w:color="auto" w:fill="FFFFFF"/>
          <w:lang w:val="en-GB"/>
        </w:rPr>
        <w:t xml:space="preserve">This is of particular importance </w:t>
      </w:r>
      <w:r w:rsidR="00D05ABB" w:rsidRPr="0040294D">
        <w:rPr>
          <w:color w:val="000000" w:themeColor="text1"/>
          <w:shd w:val="clear" w:color="auto" w:fill="FFFFFF"/>
          <w:lang w:val="en-GB"/>
        </w:rPr>
        <w:t xml:space="preserve">considering the immense influence frequently attributed to </w:t>
      </w:r>
      <w:r w:rsidR="00937DDA" w:rsidRPr="0040294D">
        <w:rPr>
          <w:color w:val="000000" w:themeColor="text1"/>
          <w:shd w:val="clear" w:color="auto" w:fill="FFFFFF"/>
          <w:lang w:val="en-GB"/>
        </w:rPr>
        <w:t>the human factor in generating performance</w:t>
      </w:r>
      <w:r w:rsidR="0089364E" w:rsidRPr="0040294D">
        <w:rPr>
          <w:color w:val="000000" w:themeColor="text1"/>
          <w:shd w:val="clear" w:color="auto" w:fill="FFFFFF"/>
          <w:lang w:val="en-GB"/>
        </w:rPr>
        <w:t xml:space="preserve">. </w:t>
      </w:r>
      <w:r w:rsidR="00B2527B" w:rsidRPr="0040294D">
        <w:rPr>
          <w:color w:val="000000" w:themeColor="text1"/>
          <w:shd w:val="clear" w:color="auto" w:fill="FFFFFF"/>
          <w:lang w:val="en-GB"/>
        </w:rPr>
        <w:t xml:space="preserve">Another addition to the theory is the identification of </w:t>
      </w:r>
      <w:r w:rsidR="00532562" w:rsidRPr="0040294D">
        <w:rPr>
          <w:bCs/>
          <w:color w:val="000000" w:themeColor="text1"/>
          <w:lang w:val="en-GB"/>
        </w:rPr>
        <w:t>excess financial resources potentially available to the firm</w:t>
      </w:r>
      <w:r w:rsidR="00B2527B" w:rsidRPr="0040294D">
        <w:rPr>
          <w:color w:val="000000" w:themeColor="text1"/>
          <w:shd w:val="clear" w:color="auto" w:fill="FFFFFF"/>
          <w:lang w:val="en-GB"/>
        </w:rPr>
        <w:t xml:space="preserve"> as a moderating factor </w:t>
      </w:r>
      <w:r w:rsidR="00D05ABB" w:rsidRPr="0040294D">
        <w:rPr>
          <w:color w:val="000000" w:themeColor="text1"/>
          <w:shd w:val="clear" w:color="auto" w:fill="FFFFFF"/>
          <w:lang w:val="en-GB"/>
        </w:rPr>
        <w:t>of</w:t>
      </w:r>
      <w:r w:rsidR="00B2527B" w:rsidRPr="0040294D">
        <w:rPr>
          <w:color w:val="000000" w:themeColor="text1"/>
          <w:shd w:val="clear" w:color="auto" w:fill="FFFFFF"/>
          <w:lang w:val="en-GB"/>
        </w:rPr>
        <w:t xml:space="preserve"> this </w:t>
      </w:r>
      <w:r w:rsidR="00532562" w:rsidRPr="0040294D">
        <w:rPr>
          <w:color w:val="000000" w:themeColor="text1"/>
          <w:shd w:val="clear" w:color="auto" w:fill="FFFFFF"/>
          <w:lang w:val="en-GB"/>
        </w:rPr>
        <w:t xml:space="preserve">curvilinear </w:t>
      </w:r>
      <w:r w:rsidR="00B2527B" w:rsidRPr="0040294D">
        <w:rPr>
          <w:color w:val="000000" w:themeColor="text1"/>
          <w:shd w:val="clear" w:color="auto" w:fill="FFFFFF"/>
          <w:lang w:val="en-GB"/>
        </w:rPr>
        <w:t>relationship.</w:t>
      </w:r>
    </w:p>
    <w:p w14:paraId="152B256F" w14:textId="4453339B" w:rsidR="00B53CE8" w:rsidRPr="0040294D" w:rsidRDefault="00B53CE8" w:rsidP="00C10109">
      <w:pPr>
        <w:widowControl w:val="0"/>
        <w:spacing w:line="480" w:lineRule="auto"/>
        <w:ind w:firstLine="284"/>
        <w:jc w:val="both"/>
        <w:rPr>
          <w:lang w:val="en-GB"/>
        </w:rPr>
      </w:pPr>
      <w:r w:rsidRPr="0040294D">
        <w:rPr>
          <w:color w:val="000000" w:themeColor="text1"/>
          <w:shd w:val="clear" w:color="auto" w:fill="FFFFFF"/>
          <w:lang w:val="en-GB"/>
        </w:rPr>
        <w:t>Second</w:t>
      </w:r>
      <w:r w:rsidR="00FD2A48" w:rsidRPr="0040294D">
        <w:rPr>
          <w:color w:val="000000" w:themeColor="text1"/>
          <w:shd w:val="clear" w:color="auto" w:fill="FFFFFF"/>
          <w:lang w:val="en-GB"/>
        </w:rPr>
        <w:t xml:space="preserve">, </w:t>
      </w:r>
      <w:r w:rsidR="00FD2A48" w:rsidRPr="0040294D">
        <w:rPr>
          <w:color w:val="000000" w:themeColor="text1"/>
          <w:lang w:val="en-GB"/>
        </w:rPr>
        <w:t xml:space="preserve">we extend the literature on acquisition performance by providing </w:t>
      </w:r>
      <w:r w:rsidR="00FD2A48" w:rsidRPr="0040294D">
        <w:rPr>
          <w:color w:val="000000" w:themeColor="text1"/>
          <w:shd w:val="clear" w:color="auto" w:fill="FFFFFF"/>
          <w:lang w:val="en-GB"/>
        </w:rPr>
        <w:t>counterintuitive, intriguing insights concerning</w:t>
      </w:r>
      <w:r w:rsidR="00FD2A48" w:rsidRPr="0040294D">
        <w:rPr>
          <w:color w:val="000000" w:themeColor="text1"/>
          <w:lang w:val="en-GB"/>
        </w:rPr>
        <w:t xml:space="preserve"> the impact of the acquirer’s </w:t>
      </w:r>
      <w:r w:rsidR="00FD2A48" w:rsidRPr="0040294D">
        <w:rPr>
          <w:i/>
          <w:color w:val="000000" w:themeColor="text1"/>
          <w:lang w:val="en-GB"/>
        </w:rPr>
        <w:t>aggregate</w:t>
      </w:r>
      <w:r w:rsidR="00FD2A48" w:rsidRPr="0040294D">
        <w:rPr>
          <w:color w:val="000000" w:themeColor="text1"/>
          <w:lang w:val="en-GB"/>
        </w:rPr>
        <w:t xml:space="preserve"> </w:t>
      </w:r>
      <w:r w:rsidR="00FA1DA4">
        <w:rPr>
          <w:color w:val="000000" w:themeColor="text1"/>
          <w:lang w:val="en-GB"/>
        </w:rPr>
        <w:t>HRM-quality</w:t>
      </w:r>
      <w:r w:rsidR="00FD2A48" w:rsidRPr="0040294D">
        <w:rPr>
          <w:color w:val="000000" w:themeColor="text1"/>
          <w:lang w:val="en-GB"/>
        </w:rPr>
        <w:t xml:space="preserve"> on </w:t>
      </w:r>
      <w:r w:rsidR="00FA1DA4">
        <w:rPr>
          <w:color w:val="000000" w:themeColor="text1"/>
          <w:lang w:val="en-GB"/>
        </w:rPr>
        <w:t>cross-border</w:t>
      </w:r>
      <w:r w:rsidR="00187E65">
        <w:rPr>
          <w:color w:val="000000" w:themeColor="text1"/>
          <w:lang w:val="en-GB"/>
        </w:rPr>
        <w:t xml:space="preserve"> </w:t>
      </w:r>
      <w:r w:rsidR="00FA1DA4">
        <w:rPr>
          <w:color w:val="000000" w:themeColor="text1"/>
          <w:lang w:val="en-GB"/>
        </w:rPr>
        <w:t>acquisition</w:t>
      </w:r>
      <w:r w:rsidR="00FD2A48" w:rsidRPr="0040294D">
        <w:rPr>
          <w:color w:val="000000" w:themeColor="text1"/>
          <w:lang w:val="en-GB"/>
        </w:rPr>
        <w:t xml:space="preserve"> divestment. Our findings</w:t>
      </w:r>
      <w:r w:rsidR="00FD2A48" w:rsidRPr="0040294D">
        <w:rPr>
          <w:color w:val="000000" w:themeColor="text1"/>
          <w:shd w:val="clear" w:color="auto" w:fill="FFFFFF"/>
          <w:lang w:val="en-GB"/>
        </w:rPr>
        <w:t xml:space="preserve"> </w:t>
      </w:r>
      <w:r w:rsidR="00FD2A48" w:rsidRPr="0040294D">
        <w:rPr>
          <w:color w:val="000000" w:themeColor="text1"/>
          <w:lang w:val="en-GB"/>
        </w:rPr>
        <w:t>challenge common assumptions about the abovementioned crucial role attributed to HRM in this particular context.</w:t>
      </w:r>
      <w:r w:rsidR="00556EA8" w:rsidRPr="0040294D">
        <w:rPr>
          <w:color w:val="000000" w:themeColor="text1"/>
          <w:lang w:val="en-GB"/>
        </w:rPr>
        <w:t xml:space="preserve"> </w:t>
      </w:r>
      <w:r w:rsidRPr="0040294D">
        <w:rPr>
          <w:color w:val="000000" w:themeColor="text1"/>
          <w:lang w:val="en-GB"/>
        </w:rPr>
        <w:t>Earlier studies were either focus</w:t>
      </w:r>
      <w:r w:rsidR="004D015B" w:rsidRPr="0040294D">
        <w:rPr>
          <w:color w:val="000000" w:themeColor="text1"/>
          <w:lang w:val="en-GB"/>
        </w:rPr>
        <w:t>ed</w:t>
      </w:r>
      <w:r w:rsidRPr="0040294D">
        <w:rPr>
          <w:color w:val="000000" w:themeColor="text1"/>
          <w:lang w:val="en-GB"/>
        </w:rPr>
        <w:t xml:space="preserve"> on the role of culture in the </w:t>
      </w:r>
      <w:r w:rsidR="004D015B" w:rsidRPr="0040294D">
        <w:rPr>
          <w:color w:val="000000" w:themeColor="text1"/>
          <w:lang w:val="en-GB"/>
        </w:rPr>
        <w:t>acquisition</w:t>
      </w:r>
      <w:r w:rsidRPr="0040294D">
        <w:rPr>
          <w:color w:val="000000" w:themeColor="text1"/>
          <w:lang w:val="en-GB"/>
        </w:rPr>
        <w:t xml:space="preserve"> outcome (</w:t>
      </w:r>
      <w:proofErr w:type="spellStart"/>
      <w:r w:rsidRPr="0040294D">
        <w:rPr>
          <w:color w:val="000000" w:themeColor="text1"/>
          <w:lang w:val="en-GB"/>
        </w:rPr>
        <w:t>Dikova</w:t>
      </w:r>
      <w:proofErr w:type="spellEnd"/>
      <w:r w:rsidRPr="0040294D">
        <w:rPr>
          <w:color w:val="000000" w:themeColor="text1"/>
          <w:lang w:val="en-GB"/>
        </w:rPr>
        <w:t xml:space="preserve"> and Sahib</w:t>
      </w:r>
      <w:r w:rsidR="00A40C1B" w:rsidRPr="0040294D">
        <w:rPr>
          <w:color w:val="000000" w:themeColor="text1"/>
          <w:lang w:val="en-GB"/>
        </w:rPr>
        <w:t>,</w:t>
      </w:r>
      <w:r w:rsidRPr="0040294D">
        <w:rPr>
          <w:color w:val="000000" w:themeColor="text1"/>
          <w:lang w:val="en-GB"/>
        </w:rPr>
        <w:t xml:space="preserve"> 2013; Liu and </w:t>
      </w:r>
      <w:proofErr w:type="spellStart"/>
      <w:r w:rsidRPr="0040294D">
        <w:rPr>
          <w:color w:val="000000" w:themeColor="text1"/>
          <w:lang w:val="en-GB"/>
        </w:rPr>
        <w:t>Woywode</w:t>
      </w:r>
      <w:proofErr w:type="spellEnd"/>
      <w:r w:rsidRPr="0040294D">
        <w:rPr>
          <w:color w:val="000000" w:themeColor="text1"/>
          <w:lang w:val="en-GB"/>
        </w:rPr>
        <w:t>, 2013)</w:t>
      </w:r>
      <w:r w:rsidR="00A40C1B" w:rsidRPr="0040294D">
        <w:rPr>
          <w:color w:val="000000" w:themeColor="text1"/>
          <w:lang w:val="en-GB"/>
        </w:rPr>
        <w:t>,</w:t>
      </w:r>
      <w:r w:rsidRPr="0040294D">
        <w:rPr>
          <w:color w:val="000000" w:themeColor="text1"/>
          <w:lang w:val="en-GB"/>
        </w:rPr>
        <w:t xml:space="preserve"> or on single </w:t>
      </w:r>
      <w:r w:rsidR="00A40C1B" w:rsidRPr="0040294D">
        <w:rPr>
          <w:color w:val="000000" w:themeColor="text1"/>
          <w:lang w:val="en-GB"/>
        </w:rPr>
        <w:t xml:space="preserve">HRM practices </w:t>
      </w:r>
      <w:r w:rsidR="0061467C" w:rsidRPr="00FF3FE9">
        <w:rPr>
          <w:color w:val="000000" w:themeColor="text1"/>
          <w:lang w:val="en-GB"/>
        </w:rPr>
        <w:t>(e.g.</w:t>
      </w:r>
      <w:r w:rsidR="00532562" w:rsidRPr="00FF3FE9">
        <w:rPr>
          <w:color w:val="000000" w:themeColor="text1"/>
          <w:lang w:val="en-GB"/>
        </w:rPr>
        <w:t>,</w:t>
      </w:r>
      <w:r w:rsidR="0061467C" w:rsidRPr="00FF3FE9">
        <w:rPr>
          <w:color w:val="000000" w:themeColor="text1"/>
          <w:lang w:val="en-GB"/>
        </w:rPr>
        <w:t xml:space="preserve"> </w:t>
      </w:r>
      <w:proofErr w:type="spellStart"/>
      <w:r w:rsidR="0061467C" w:rsidRPr="00FF3FE9">
        <w:rPr>
          <w:color w:val="000000" w:themeColor="text1"/>
          <w:lang w:val="en-GB"/>
        </w:rPr>
        <w:t>Teerikangas</w:t>
      </w:r>
      <w:proofErr w:type="spellEnd"/>
      <w:r w:rsidR="0061467C" w:rsidRPr="0040294D">
        <w:rPr>
          <w:color w:val="000000" w:themeColor="text1"/>
          <w:lang w:val="en-GB"/>
        </w:rPr>
        <w:t>, Very, and Pisano, 2011 on the role of</w:t>
      </w:r>
      <w:r w:rsidR="0040294D">
        <w:rPr>
          <w:color w:val="000000" w:themeColor="text1"/>
          <w:lang w:val="en-GB"/>
        </w:rPr>
        <w:t xml:space="preserve"> ‘</w:t>
      </w:r>
      <w:r w:rsidR="0061467C" w:rsidRPr="0040294D">
        <w:rPr>
          <w:i/>
          <w:color w:val="000000" w:themeColor="text1"/>
          <w:lang w:val="en-GB"/>
        </w:rPr>
        <w:t>integration managers</w:t>
      </w:r>
      <w:r w:rsidR="0040294D">
        <w:rPr>
          <w:color w:val="000000" w:themeColor="text1"/>
          <w:lang w:val="en-GB"/>
        </w:rPr>
        <w:t>’</w:t>
      </w:r>
      <w:r w:rsidR="0061467C" w:rsidRPr="0040294D">
        <w:rPr>
          <w:color w:val="000000" w:themeColor="text1"/>
          <w:lang w:val="en-GB"/>
        </w:rPr>
        <w:t xml:space="preserve">) </w:t>
      </w:r>
      <w:r w:rsidR="00A40C1B" w:rsidRPr="0040294D">
        <w:rPr>
          <w:color w:val="000000" w:themeColor="text1"/>
          <w:lang w:val="en-GB"/>
        </w:rPr>
        <w:t>and</w:t>
      </w:r>
      <w:r w:rsidR="0061467C" w:rsidRPr="0040294D">
        <w:rPr>
          <w:color w:val="000000" w:themeColor="text1"/>
          <w:lang w:val="en-GB"/>
        </w:rPr>
        <w:t xml:space="preserve"> </w:t>
      </w:r>
      <w:r w:rsidR="00A40C1B" w:rsidRPr="0040294D">
        <w:rPr>
          <w:color w:val="000000" w:themeColor="text1"/>
          <w:lang w:val="en-GB"/>
        </w:rPr>
        <w:t xml:space="preserve">the </w:t>
      </w:r>
      <w:r w:rsidRPr="0040294D">
        <w:rPr>
          <w:color w:val="000000" w:themeColor="text1"/>
          <w:lang w:val="en-GB"/>
        </w:rPr>
        <w:t>co</w:t>
      </w:r>
      <w:r w:rsidR="0061467C" w:rsidRPr="0040294D">
        <w:rPr>
          <w:color w:val="000000" w:themeColor="text1"/>
          <w:lang w:val="en-GB"/>
        </w:rPr>
        <w:t xml:space="preserve">mbination </w:t>
      </w:r>
      <w:r w:rsidR="00A40C1B" w:rsidRPr="0040294D">
        <w:rPr>
          <w:color w:val="000000" w:themeColor="text1"/>
          <w:lang w:val="en-GB"/>
        </w:rPr>
        <w:t xml:space="preserve">or </w:t>
      </w:r>
      <w:r w:rsidR="0061467C" w:rsidRPr="0040294D">
        <w:rPr>
          <w:color w:val="000000" w:themeColor="text1"/>
          <w:lang w:val="en-GB"/>
        </w:rPr>
        <w:t xml:space="preserve">complementarity </w:t>
      </w:r>
      <w:r w:rsidRPr="0040294D">
        <w:rPr>
          <w:color w:val="000000" w:themeColor="text1"/>
          <w:lang w:val="en-GB"/>
        </w:rPr>
        <w:t xml:space="preserve">of some </w:t>
      </w:r>
      <w:r w:rsidR="00A40C1B" w:rsidRPr="0040294D">
        <w:rPr>
          <w:color w:val="000000" w:themeColor="text1"/>
          <w:lang w:val="en-GB"/>
        </w:rPr>
        <w:t xml:space="preserve">of these </w:t>
      </w:r>
      <w:r w:rsidRPr="0040294D">
        <w:rPr>
          <w:color w:val="000000" w:themeColor="text1"/>
          <w:lang w:val="en-GB"/>
        </w:rPr>
        <w:t>practices</w:t>
      </w:r>
      <w:r w:rsidR="0061467C" w:rsidRPr="0040294D">
        <w:rPr>
          <w:color w:val="000000" w:themeColor="text1"/>
          <w:lang w:val="en-GB"/>
        </w:rPr>
        <w:t xml:space="preserve"> (</w:t>
      </w:r>
      <w:proofErr w:type="spellStart"/>
      <w:r w:rsidR="0061467C" w:rsidRPr="0040294D">
        <w:rPr>
          <w:color w:val="000000" w:themeColor="text1"/>
          <w:lang w:val="en-GB"/>
        </w:rPr>
        <w:t>Brueller</w:t>
      </w:r>
      <w:proofErr w:type="spellEnd"/>
      <w:r w:rsidR="0061467C" w:rsidRPr="0040294D">
        <w:rPr>
          <w:color w:val="000000" w:themeColor="text1"/>
          <w:lang w:val="en-GB"/>
        </w:rPr>
        <w:t xml:space="preserve">, </w:t>
      </w:r>
      <w:proofErr w:type="spellStart"/>
      <w:r w:rsidR="0061467C" w:rsidRPr="0040294D">
        <w:rPr>
          <w:color w:val="000000" w:themeColor="text1"/>
          <w:lang w:val="en-GB"/>
        </w:rPr>
        <w:t>Carmeli</w:t>
      </w:r>
      <w:proofErr w:type="spellEnd"/>
      <w:r w:rsidR="0061467C" w:rsidRPr="0040294D">
        <w:rPr>
          <w:color w:val="000000" w:themeColor="text1"/>
          <w:lang w:val="en-GB"/>
        </w:rPr>
        <w:t xml:space="preserve">, </w:t>
      </w:r>
      <w:r w:rsidR="00AF520A" w:rsidRPr="0040294D">
        <w:rPr>
          <w:color w:val="000000" w:themeColor="text1"/>
          <w:lang w:val="en-GB"/>
        </w:rPr>
        <w:t xml:space="preserve">and </w:t>
      </w:r>
      <w:r w:rsidR="0061467C" w:rsidRPr="0040294D">
        <w:rPr>
          <w:color w:val="000000" w:themeColor="text1"/>
          <w:lang w:val="en-GB"/>
        </w:rPr>
        <w:t>Markman, 2018)</w:t>
      </w:r>
      <w:r w:rsidR="00A40C1B" w:rsidRPr="0040294D">
        <w:rPr>
          <w:color w:val="000000" w:themeColor="text1"/>
          <w:lang w:val="en-GB"/>
        </w:rPr>
        <w:t>,</w:t>
      </w:r>
      <w:r w:rsidR="0061467C" w:rsidRPr="0040294D">
        <w:rPr>
          <w:color w:val="000000" w:themeColor="text1"/>
          <w:lang w:val="en-GB"/>
        </w:rPr>
        <w:t xml:space="preserve"> to uncover the dynamics of </w:t>
      </w:r>
      <w:r w:rsidR="00AF520A" w:rsidRPr="0040294D">
        <w:rPr>
          <w:color w:val="000000" w:themeColor="text1"/>
          <w:lang w:val="en-GB"/>
        </w:rPr>
        <w:t>acquisition</w:t>
      </w:r>
      <w:r w:rsidR="0061467C" w:rsidRPr="0040294D">
        <w:rPr>
          <w:color w:val="000000" w:themeColor="text1"/>
          <w:lang w:val="en-GB"/>
        </w:rPr>
        <w:t xml:space="preserve"> performance.</w:t>
      </w:r>
      <w:r w:rsidR="002A5313" w:rsidRPr="0040294D">
        <w:rPr>
          <w:color w:val="000000" w:themeColor="text1"/>
          <w:lang w:val="en-GB"/>
        </w:rPr>
        <w:t xml:space="preserve"> In contrast, our </w:t>
      </w:r>
      <w:r w:rsidR="00A40C1B" w:rsidRPr="0040294D">
        <w:rPr>
          <w:color w:val="000000" w:themeColor="text1"/>
          <w:lang w:val="en-GB"/>
        </w:rPr>
        <w:t xml:space="preserve">work </w:t>
      </w:r>
      <w:r w:rsidR="002A5313" w:rsidRPr="0040294D">
        <w:rPr>
          <w:color w:val="000000" w:themeColor="text1"/>
          <w:lang w:val="en-GB"/>
        </w:rPr>
        <w:t xml:space="preserve">offers a more holistic approach by looking at aggregate </w:t>
      </w:r>
      <w:r w:rsidR="00FA1DA4">
        <w:rPr>
          <w:color w:val="000000" w:themeColor="text1"/>
          <w:lang w:val="en-GB"/>
        </w:rPr>
        <w:t>HRM-quality</w:t>
      </w:r>
      <w:r w:rsidR="002A5313" w:rsidRPr="0040294D">
        <w:rPr>
          <w:color w:val="000000" w:themeColor="text1"/>
          <w:lang w:val="en-GB"/>
        </w:rPr>
        <w:t xml:space="preserve"> </w:t>
      </w:r>
      <w:r w:rsidR="00E14321" w:rsidRPr="0040294D">
        <w:rPr>
          <w:color w:val="000000" w:themeColor="text1"/>
          <w:lang w:val="en-GB"/>
        </w:rPr>
        <w:t xml:space="preserve">and </w:t>
      </w:r>
      <w:r w:rsidR="002A5313" w:rsidRPr="0040294D">
        <w:rPr>
          <w:color w:val="000000" w:themeColor="text1"/>
          <w:lang w:val="en-GB"/>
        </w:rPr>
        <w:t xml:space="preserve">also </w:t>
      </w:r>
      <w:r w:rsidR="00E14321" w:rsidRPr="0040294D">
        <w:rPr>
          <w:color w:val="000000" w:themeColor="text1"/>
          <w:lang w:val="en-GB"/>
        </w:rPr>
        <w:t xml:space="preserve">by </w:t>
      </w:r>
      <w:r w:rsidR="002A5313" w:rsidRPr="0040294D">
        <w:rPr>
          <w:color w:val="000000" w:themeColor="text1"/>
          <w:lang w:val="en-GB"/>
        </w:rPr>
        <w:t>introduc</w:t>
      </w:r>
      <w:r w:rsidR="00E14321" w:rsidRPr="0040294D">
        <w:rPr>
          <w:color w:val="000000" w:themeColor="text1"/>
          <w:lang w:val="en-GB"/>
        </w:rPr>
        <w:t>ing</w:t>
      </w:r>
      <w:r w:rsidR="002A5313" w:rsidRPr="0040294D">
        <w:rPr>
          <w:color w:val="000000" w:themeColor="text1"/>
          <w:lang w:val="en-GB"/>
        </w:rPr>
        <w:t xml:space="preserve"> a moderating variable.</w:t>
      </w:r>
    </w:p>
    <w:p w14:paraId="5F0AE10A" w14:textId="5BC17A46" w:rsidR="008870C0" w:rsidRPr="0040294D" w:rsidRDefault="00AF520A" w:rsidP="00C10109">
      <w:pPr>
        <w:autoSpaceDE w:val="0"/>
        <w:autoSpaceDN w:val="0"/>
        <w:adjustRightInd w:val="0"/>
        <w:spacing w:line="480" w:lineRule="auto"/>
        <w:ind w:firstLine="284"/>
        <w:jc w:val="both"/>
        <w:rPr>
          <w:color w:val="000000" w:themeColor="text1"/>
          <w:lang w:val="en-GB"/>
        </w:rPr>
      </w:pPr>
      <w:r w:rsidRPr="0040294D">
        <w:rPr>
          <w:lang w:val="en-GB"/>
        </w:rPr>
        <w:t>Third</w:t>
      </w:r>
      <w:r w:rsidR="00376083" w:rsidRPr="0040294D">
        <w:rPr>
          <w:lang w:val="en-GB"/>
        </w:rPr>
        <w:t xml:space="preserve">, we </w:t>
      </w:r>
      <w:r w:rsidR="00902DE0" w:rsidRPr="0040294D">
        <w:rPr>
          <w:lang w:val="en-GB"/>
        </w:rPr>
        <w:t>provide insights</w:t>
      </w:r>
      <w:r w:rsidR="00376083" w:rsidRPr="0040294D">
        <w:rPr>
          <w:lang w:val="en-GB"/>
        </w:rPr>
        <w:t xml:space="preserve"> </w:t>
      </w:r>
      <w:r w:rsidR="00E14321" w:rsidRPr="0040294D">
        <w:rPr>
          <w:lang w:val="en-GB"/>
        </w:rPr>
        <w:t>in</w:t>
      </w:r>
      <w:r w:rsidR="00376083" w:rsidRPr="0040294D">
        <w:rPr>
          <w:lang w:val="en-GB"/>
        </w:rPr>
        <w:t>to the</w:t>
      </w:r>
      <w:r w:rsidR="0040294D">
        <w:rPr>
          <w:lang w:val="en-GB"/>
        </w:rPr>
        <w:t xml:space="preserve"> ‘</w:t>
      </w:r>
      <w:r w:rsidR="00376083" w:rsidRPr="0040294D">
        <w:rPr>
          <w:lang w:val="en-GB"/>
        </w:rPr>
        <w:t>slack</w:t>
      </w:r>
      <w:r w:rsidR="0040294D">
        <w:rPr>
          <w:lang w:val="en-GB"/>
        </w:rPr>
        <w:t>’</w:t>
      </w:r>
      <w:r w:rsidR="00376083" w:rsidRPr="0040294D">
        <w:rPr>
          <w:lang w:val="en-GB"/>
        </w:rPr>
        <w:t xml:space="preserve"> literature by further unpacking the </w:t>
      </w:r>
      <w:r w:rsidR="00522B89" w:rsidRPr="0040294D">
        <w:rPr>
          <w:lang w:val="en-GB"/>
        </w:rPr>
        <w:t>still too</w:t>
      </w:r>
      <w:r w:rsidR="005D5DA0">
        <w:rPr>
          <w:lang w:val="en-GB"/>
        </w:rPr>
        <w:t>-</w:t>
      </w:r>
      <w:r w:rsidR="00522B89" w:rsidRPr="0040294D">
        <w:rPr>
          <w:lang w:val="en-GB"/>
        </w:rPr>
        <w:t>poorly</w:t>
      </w:r>
      <w:r w:rsidR="005D5DA0">
        <w:rPr>
          <w:lang w:val="en-GB"/>
        </w:rPr>
        <w:t>-</w:t>
      </w:r>
      <w:r w:rsidR="00522B89" w:rsidRPr="0040294D">
        <w:rPr>
          <w:lang w:val="en-GB"/>
        </w:rPr>
        <w:t>understood relationship</w:t>
      </w:r>
      <w:r w:rsidR="00376083" w:rsidRPr="0040294D">
        <w:rPr>
          <w:lang w:val="en-GB"/>
        </w:rPr>
        <w:t xml:space="preserve"> between slack resources and firm performance. Prior studies were not conclusive </w:t>
      </w:r>
      <w:r w:rsidR="00E14321" w:rsidRPr="0040294D">
        <w:rPr>
          <w:lang w:val="en-GB"/>
        </w:rPr>
        <w:t xml:space="preserve">as to </w:t>
      </w:r>
      <w:r w:rsidR="00376083" w:rsidRPr="0040294D">
        <w:rPr>
          <w:lang w:val="en-GB"/>
        </w:rPr>
        <w:t xml:space="preserve">whether abundance or scarcity of slack resources is most beneficial to firm </w:t>
      </w:r>
      <w:r w:rsidR="00376083" w:rsidRPr="00FF3FE9">
        <w:rPr>
          <w:lang w:val="en-GB"/>
        </w:rPr>
        <w:t>performance (e.g., Bradley et al.,</w:t>
      </w:r>
      <w:r w:rsidR="00926B16" w:rsidRPr="00FF3FE9">
        <w:rPr>
          <w:lang w:val="en-GB"/>
        </w:rPr>
        <w:t xml:space="preserve"> 2011</w:t>
      </w:r>
      <w:r w:rsidR="00926B16" w:rsidRPr="0040294D">
        <w:rPr>
          <w:lang w:val="en-GB"/>
        </w:rPr>
        <w:t xml:space="preserve">; </w:t>
      </w:r>
      <w:proofErr w:type="spellStart"/>
      <w:r w:rsidR="00926B16" w:rsidRPr="0040294D">
        <w:rPr>
          <w:lang w:val="en-GB"/>
        </w:rPr>
        <w:t>Venacker</w:t>
      </w:r>
      <w:proofErr w:type="spellEnd"/>
      <w:r w:rsidR="00926B16" w:rsidRPr="0040294D">
        <w:rPr>
          <w:lang w:val="en-GB"/>
        </w:rPr>
        <w:t xml:space="preserve">, </w:t>
      </w:r>
      <w:proofErr w:type="spellStart"/>
      <w:r w:rsidR="00926B16" w:rsidRPr="0040294D">
        <w:rPr>
          <w:lang w:val="en-GB"/>
        </w:rPr>
        <w:t>Collewaert</w:t>
      </w:r>
      <w:proofErr w:type="spellEnd"/>
      <w:r w:rsidRPr="0040294D">
        <w:rPr>
          <w:lang w:val="en-GB"/>
        </w:rPr>
        <w:t>, and</w:t>
      </w:r>
      <w:r w:rsidR="00926B16" w:rsidRPr="0040294D">
        <w:rPr>
          <w:lang w:val="en-GB"/>
        </w:rPr>
        <w:t xml:space="preserve"> </w:t>
      </w:r>
      <w:proofErr w:type="spellStart"/>
      <w:r w:rsidR="00926B16" w:rsidRPr="0040294D">
        <w:rPr>
          <w:lang w:val="en-GB"/>
        </w:rPr>
        <w:t>Paeleman</w:t>
      </w:r>
      <w:proofErr w:type="spellEnd"/>
      <w:r w:rsidR="00926B16" w:rsidRPr="0040294D">
        <w:rPr>
          <w:lang w:val="en-GB"/>
        </w:rPr>
        <w:t>, 2013) a</w:t>
      </w:r>
      <w:r w:rsidR="00376083" w:rsidRPr="0040294D">
        <w:rPr>
          <w:lang w:val="en-GB"/>
        </w:rPr>
        <w:t>nd argued for an inverted U‐shaped relationship between slack resources and firm performance to reconcile these opposite views (Bourgeois,</w:t>
      </w:r>
      <w:r w:rsidR="001A7B7B" w:rsidRPr="0040294D">
        <w:rPr>
          <w:lang w:val="en-GB"/>
        </w:rPr>
        <w:t xml:space="preserve"> 1981; George</w:t>
      </w:r>
      <w:r w:rsidR="00E14321" w:rsidRPr="0040294D">
        <w:rPr>
          <w:lang w:val="en-GB"/>
        </w:rPr>
        <w:t>,</w:t>
      </w:r>
      <w:r w:rsidR="001A7B7B" w:rsidRPr="0040294D">
        <w:rPr>
          <w:lang w:val="en-GB"/>
        </w:rPr>
        <w:t xml:space="preserve"> 2005; Tan and Peng</w:t>
      </w:r>
      <w:r w:rsidR="00E14321" w:rsidRPr="0040294D">
        <w:rPr>
          <w:lang w:val="en-GB"/>
        </w:rPr>
        <w:t>,</w:t>
      </w:r>
      <w:r w:rsidR="001A7B7B" w:rsidRPr="0040294D">
        <w:rPr>
          <w:lang w:val="en-GB"/>
        </w:rPr>
        <w:t xml:space="preserve"> 2003)</w:t>
      </w:r>
      <w:r w:rsidR="00C00845" w:rsidRPr="0040294D">
        <w:rPr>
          <w:lang w:val="en-GB"/>
        </w:rPr>
        <w:t xml:space="preserve">. </w:t>
      </w:r>
      <w:r w:rsidR="00471D7E" w:rsidRPr="0040294D">
        <w:rPr>
          <w:lang w:val="en-GB"/>
        </w:rPr>
        <w:t>Although</w:t>
      </w:r>
      <w:r w:rsidR="00C00845" w:rsidRPr="0040294D">
        <w:rPr>
          <w:lang w:val="en-GB"/>
        </w:rPr>
        <w:t xml:space="preserve"> recently researchers </w:t>
      </w:r>
      <w:r w:rsidR="00E14321" w:rsidRPr="0040294D">
        <w:rPr>
          <w:lang w:val="en-GB"/>
        </w:rPr>
        <w:t xml:space="preserve">have </w:t>
      </w:r>
      <w:r w:rsidR="00C00845" w:rsidRPr="0040294D">
        <w:rPr>
          <w:lang w:val="en-GB"/>
        </w:rPr>
        <w:t xml:space="preserve">devoted increasing attention to </w:t>
      </w:r>
      <w:r w:rsidR="00902DE0" w:rsidRPr="0040294D">
        <w:rPr>
          <w:i/>
          <w:lang w:val="en-GB"/>
        </w:rPr>
        <w:t xml:space="preserve">when, where, </w:t>
      </w:r>
      <w:r w:rsidR="00902DE0" w:rsidRPr="0040294D">
        <w:rPr>
          <w:lang w:val="en-GB"/>
        </w:rPr>
        <w:t>and</w:t>
      </w:r>
      <w:r w:rsidR="00902DE0" w:rsidRPr="0040294D">
        <w:rPr>
          <w:i/>
          <w:lang w:val="en-GB"/>
        </w:rPr>
        <w:t xml:space="preserve"> how</w:t>
      </w:r>
      <w:r w:rsidR="00902DE0" w:rsidRPr="0040294D">
        <w:rPr>
          <w:lang w:val="en-GB"/>
        </w:rPr>
        <w:t xml:space="preserve"> value is extracted from slack resources</w:t>
      </w:r>
      <w:r w:rsidR="00471D7E" w:rsidRPr="0040294D">
        <w:rPr>
          <w:lang w:val="en-GB"/>
        </w:rPr>
        <w:t xml:space="preserve">, much remains to be learned about factors that may condition the slack-performance relationship. </w:t>
      </w:r>
      <w:r w:rsidR="00376083" w:rsidRPr="0040294D">
        <w:rPr>
          <w:lang w:val="en-GB"/>
        </w:rPr>
        <w:t xml:space="preserve">We </w:t>
      </w:r>
      <w:r w:rsidR="00C10109">
        <w:rPr>
          <w:lang w:val="en-GB"/>
        </w:rPr>
        <w:t>manifest</w:t>
      </w:r>
      <w:r w:rsidR="003E51B9" w:rsidRPr="0040294D">
        <w:rPr>
          <w:lang w:val="en-GB"/>
        </w:rPr>
        <w:t xml:space="preserve"> </w:t>
      </w:r>
      <w:r w:rsidR="00376083" w:rsidRPr="0040294D">
        <w:rPr>
          <w:lang w:val="en-GB"/>
        </w:rPr>
        <w:t xml:space="preserve">the importance of </w:t>
      </w:r>
      <w:r w:rsidR="00FA1DA4">
        <w:rPr>
          <w:lang w:val="en-GB"/>
        </w:rPr>
        <w:t>financial</w:t>
      </w:r>
      <w:r w:rsidR="00187E65">
        <w:rPr>
          <w:lang w:val="en-GB"/>
        </w:rPr>
        <w:t xml:space="preserve"> </w:t>
      </w:r>
      <w:r w:rsidR="00FA1DA4">
        <w:rPr>
          <w:lang w:val="en-GB"/>
        </w:rPr>
        <w:t>slack</w:t>
      </w:r>
      <w:r w:rsidR="00376083" w:rsidRPr="0040294D">
        <w:rPr>
          <w:lang w:val="en-GB"/>
        </w:rPr>
        <w:t xml:space="preserve"> for the </w:t>
      </w:r>
      <w:r w:rsidR="003E51B9" w:rsidRPr="0040294D">
        <w:rPr>
          <w:lang w:val="en-GB"/>
        </w:rPr>
        <w:t>acquisition</w:t>
      </w:r>
      <w:r w:rsidR="00376083" w:rsidRPr="0040294D">
        <w:rPr>
          <w:lang w:val="en-GB"/>
        </w:rPr>
        <w:t xml:space="preserve"> outcome.</w:t>
      </w:r>
      <w:r w:rsidR="008870C0">
        <w:rPr>
          <w:lang w:val="en-GB"/>
        </w:rPr>
        <w:t xml:space="preserve"> The maybe </w:t>
      </w:r>
      <w:r w:rsidR="008870C0">
        <w:rPr>
          <w:lang w:val="en-GB"/>
        </w:rPr>
        <w:lastRenderedPageBreak/>
        <w:t xml:space="preserve">most noteworthy contribution is the finding that even </w:t>
      </w:r>
      <w:r w:rsidR="006D3120">
        <w:rPr>
          <w:lang w:val="en-GB"/>
        </w:rPr>
        <w:t>acquirers already possessing</w:t>
      </w:r>
      <w:r w:rsidR="008870C0">
        <w:rPr>
          <w:lang w:val="en-GB"/>
        </w:rPr>
        <w:t xml:space="preserve"> a high level of HRM-quality</w:t>
      </w:r>
      <w:r w:rsidR="006D3120">
        <w:rPr>
          <w:lang w:val="en-GB"/>
        </w:rPr>
        <w:t xml:space="preserve"> greatly benefit from slack in the acquisition context. </w:t>
      </w:r>
      <w:r w:rsidR="00791B79">
        <w:rPr>
          <w:lang w:val="en-GB"/>
        </w:rPr>
        <w:t>In fact, t</w:t>
      </w:r>
      <w:r w:rsidR="008870C0" w:rsidRPr="0040294D">
        <w:rPr>
          <w:color w:val="000000" w:themeColor="text1"/>
          <w:lang w:val="en-GB"/>
        </w:rPr>
        <w:t xml:space="preserve">he likelihood that </w:t>
      </w:r>
      <w:r w:rsidR="006D3120">
        <w:rPr>
          <w:color w:val="000000" w:themeColor="text1"/>
          <w:lang w:val="en-GB"/>
        </w:rPr>
        <w:t xml:space="preserve">such </w:t>
      </w:r>
      <w:r w:rsidR="008870C0" w:rsidRPr="0040294D">
        <w:rPr>
          <w:color w:val="000000" w:themeColor="text1"/>
          <w:lang w:val="en-GB"/>
        </w:rPr>
        <w:t xml:space="preserve">firms will divest </w:t>
      </w:r>
      <w:r w:rsidR="008870C0">
        <w:rPr>
          <w:color w:val="000000" w:themeColor="text1"/>
          <w:lang w:val="en-GB"/>
        </w:rPr>
        <w:t>cross-border</w:t>
      </w:r>
      <w:r w:rsidR="00187E65">
        <w:rPr>
          <w:color w:val="000000" w:themeColor="text1"/>
          <w:lang w:val="en-GB"/>
        </w:rPr>
        <w:t xml:space="preserve"> </w:t>
      </w:r>
      <w:r w:rsidR="008870C0">
        <w:rPr>
          <w:color w:val="000000" w:themeColor="text1"/>
          <w:lang w:val="en-GB"/>
        </w:rPr>
        <w:t>acquisition</w:t>
      </w:r>
      <w:r w:rsidR="008870C0" w:rsidRPr="0040294D">
        <w:rPr>
          <w:color w:val="000000" w:themeColor="text1"/>
          <w:lang w:val="en-GB"/>
        </w:rPr>
        <w:t xml:space="preserve">s is more than twice as high for acquirers with a low level of </w:t>
      </w:r>
      <w:r w:rsidR="008870C0">
        <w:rPr>
          <w:color w:val="000000" w:themeColor="text1"/>
          <w:lang w:val="en-GB"/>
        </w:rPr>
        <w:t>financial</w:t>
      </w:r>
      <w:r w:rsidR="00187E65">
        <w:rPr>
          <w:color w:val="000000" w:themeColor="text1"/>
          <w:lang w:val="en-GB"/>
        </w:rPr>
        <w:t xml:space="preserve"> </w:t>
      </w:r>
      <w:r w:rsidR="008870C0">
        <w:rPr>
          <w:color w:val="000000" w:themeColor="text1"/>
          <w:lang w:val="en-GB"/>
        </w:rPr>
        <w:t>slack</w:t>
      </w:r>
      <w:r w:rsidR="006D3120">
        <w:rPr>
          <w:color w:val="000000" w:themeColor="text1"/>
          <w:lang w:val="en-GB"/>
        </w:rPr>
        <w:t xml:space="preserve"> than for any acquirers in our</w:t>
      </w:r>
      <w:r w:rsidR="008870C0" w:rsidRPr="0040294D">
        <w:rPr>
          <w:color w:val="000000" w:themeColor="text1"/>
          <w:lang w:val="en-GB"/>
        </w:rPr>
        <w:t xml:space="preserve"> sample.</w:t>
      </w:r>
    </w:p>
    <w:p w14:paraId="47EA1DF7" w14:textId="61C1FD0F" w:rsidR="008870C0" w:rsidRPr="0040294D" w:rsidRDefault="00791B79" w:rsidP="00C10109">
      <w:pPr>
        <w:widowControl w:val="0"/>
        <w:spacing w:line="480" w:lineRule="auto"/>
        <w:ind w:firstLine="284"/>
        <w:jc w:val="both"/>
        <w:rPr>
          <w:color w:val="000000" w:themeColor="text1"/>
          <w:lang w:val="en-GB"/>
        </w:rPr>
      </w:pPr>
      <w:r>
        <w:rPr>
          <w:lang w:val="en-GB"/>
        </w:rPr>
        <w:t>Furthermore, we know from p</w:t>
      </w:r>
      <w:r w:rsidR="008870C0">
        <w:rPr>
          <w:lang w:val="en-GB"/>
        </w:rPr>
        <w:t>rior studies that financial</w:t>
      </w:r>
      <w:r w:rsidR="00187E65">
        <w:rPr>
          <w:lang w:val="en-GB"/>
        </w:rPr>
        <w:t xml:space="preserve"> </w:t>
      </w:r>
      <w:r w:rsidR="008870C0">
        <w:rPr>
          <w:lang w:val="en-GB"/>
        </w:rPr>
        <w:t>slack can moderate the link between several performance drivers and various organizational performance indicators (</w:t>
      </w:r>
      <w:r>
        <w:rPr>
          <w:lang w:val="en-GB"/>
        </w:rPr>
        <w:t>Aguilera-</w:t>
      </w:r>
      <w:proofErr w:type="spellStart"/>
      <w:r>
        <w:rPr>
          <w:lang w:val="en-GB"/>
        </w:rPr>
        <w:t>Caracuel</w:t>
      </w:r>
      <w:proofErr w:type="spellEnd"/>
      <w:r>
        <w:rPr>
          <w:lang w:val="en-GB"/>
        </w:rPr>
        <w:t xml:space="preserve"> et al.</w:t>
      </w:r>
      <w:r w:rsidR="00A07DC9">
        <w:rPr>
          <w:lang w:val="en-GB"/>
        </w:rPr>
        <w:t xml:space="preserve">, 2015; </w:t>
      </w:r>
      <w:proofErr w:type="spellStart"/>
      <w:r w:rsidR="00A07DC9">
        <w:rPr>
          <w:lang w:val="en-GB"/>
        </w:rPr>
        <w:t>Kohtamäki</w:t>
      </w:r>
      <w:proofErr w:type="spellEnd"/>
      <w:r w:rsidR="00A07DC9">
        <w:rPr>
          <w:lang w:val="en-GB"/>
        </w:rPr>
        <w:t xml:space="preserve"> et al.</w:t>
      </w:r>
      <w:r w:rsidR="008870C0">
        <w:rPr>
          <w:lang w:val="en-GB"/>
        </w:rPr>
        <w:t>, 2019). We contribute new knowledge by arguing and empirically demonstrating that financial</w:t>
      </w:r>
      <w:r w:rsidR="00187E65">
        <w:rPr>
          <w:lang w:val="en-GB"/>
        </w:rPr>
        <w:t xml:space="preserve"> </w:t>
      </w:r>
      <w:r w:rsidR="008870C0">
        <w:rPr>
          <w:lang w:val="en-GB"/>
        </w:rPr>
        <w:t xml:space="preserve">slack makes </w:t>
      </w:r>
      <w:r w:rsidR="008870C0" w:rsidRPr="00544FC8">
        <w:rPr>
          <w:i/>
          <w:lang w:val="en-GB"/>
        </w:rPr>
        <w:t>overinvestment</w:t>
      </w:r>
      <w:r w:rsidR="008870C0">
        <w:rPr>
          <w:lang w:val="en-GB"/>
        </w:rPr>
        <w:t xml:space="preserve"> in a key performance driver (HR</w:t>
      </w:r>
      <w:r w:rsidR="00187E65">
        <w:rPr>
          <w:lang w:val="en-GB"/>
        </w:rPr>
        <w:t>M</w:t>
      </w:r>
      <w:r w:rsidR="008870C0">
        <w:rPr>
          <w:lang w:val="en-GB"/>
        </w:rPr>
        <w:t xml:space="preserve">-quality) less detrimental, but does not prevent a diminishing-results effect (on acquisition outcome). There is little prior (dis)confirmatory evidence </w:t>
      </w:r>
      <w:r w:rsidR="00C10109">
        <w:rPr>
          <w:lang w:val="en-GB"/>
        </w:rPr>
        <w:t>for that</w:t>
      </w:r>
      <w:r w:rsidR="008870C0">
        <w:rPr>
          <w:lang w:val="en-GB"/>
        </w:rPr>
        <w:t>, and we hope to inspire future scrutiny of other investment targets, beyond the HR function.</w:t>
      </w:r>
    </w:p>
    <w:p w14:paraId="793D362A" w14:textId="7C40BD89" w:rsidR="007D075F" w:rsidRPr="0040294D" w:rsidRDefault="0061467C" w:rsidP="00C10109">
      <w:pPr>
        <w:spacing w:line="480" w:lineRule="auto"/>
        <w:ind w:firstLine="284"/>
        <w:jc w:val="both"/>
        <w:outlineLvl w:val="0"/>
        <w:rPr>
          <w:color w:val="000000" w:themeColor="text1"/>
          <w:lang w:val="en-GB"/>
        </w:rPr>
      </w:pPr>
      <w:r w:rsidRPr="0040294D">
        <w:rPr>
          <w:color w:val="000000" w:themeColor="text1"/>
          <w:lang w:val="en-GB"/>
        </w:rPr>
        <w:t>W</w:t>
      </w:r>
      <w:r w:rsidR="007D075F" w:rsidRPr="0040294D">
        <w:rPr>
          <w:color w:val="000000" w:themeColor="text1"/>
          <w:lang w:val="en-GB"/>
        </w:rPr>
        <w:t xml:space="preserve">e </w:t>
      </w:r>
      <w:r w:rsidR="00902DE0" w:rsidRPr="0040294D">
        <w:rPr>
          <w:color w:val="000000" w:themeColor="text1"/>
          <w:lang w:val="en-GB"/>
        </w:rPr>
        <w:t>a</w:t>
      </w:r>
      <w:r w:rsidR="002A5313" w:rsidRPr="0040294D">
        <w:rPr>
          <w:color w:val="000000" w:themeColor="text1"/>
          <w:lang w:val="en-GB"/>
        </w:rPr>
        <w:t xml:space="preserve">lso </w:t>
      </w:r>
      <w:r w:rsidR="003E51B9" w:rsidRPr="0040294D">
        <w:rPr>
          <w:color w:val="000000" w:themeColor="text1"/>
          <w:lang w:val="en-GB"/>
        </w:rPr>
        <w:t>a</w:t>
      </w:r>
      <w:r w:rsidR="00902DE0" w:rsidRPr="0040294D">
        <w:rPr>
          <w:color w:val="000000" w:themeColor="text1"/>
          <w:lang w:val="en-GB"/>
        </w:rPr>
        <w:t>dvance current</w:t>
      </w:r>
      <w:r w:rsidR="007D075F" w:rsidRPr="0040294D">
        <w:rPr>
          <w:color w:val="000000" w:themeColor="text1"/>
          <w:lang w:val="en-GB"/>
        </w:rPr>
        <w:t xml:space="preserve"> studies using Resource-Based</w:t>
      </w:r>
      <w:r w:rsidR="006F1F77">
        <w:rPr>
          <w:color w:val="000000" w:themeColor="text1"/>
          <w:lang w:val="en-GB"/>
        </w:rPr>
        <w:t xml:space="preserve"> </w:t>
      </w:r>
      <w:r w:rsidR="007D075F" w:rsidRPr="0040294D">
        <w:rPr>
          <w:color w:val="000000" w:themeColor="text1"/>
          <w:lang w:val="en-GB"/>
        </w:rPr>
        <w:t xml:space="preserve">View (RBV) (Barney, 1991), </w:t>
      </w:r>
      <w:r w:rsidR="002B5ADD" w:rsidRPr="0040294D">
        <w:rPr>
          <w:color w:val="000000" w:themeColor="text1"/>
          <w:lang w:val="en-GB"/>
        </w:rPr>
        <w:t xml:space="preserve">by exploring </w:t>
      </w:r>
      <w:r w:rsidR="007D075F" w:rsidRPr="0040294D">
        <w:rPr>
          <w:color w:val="000000" w:themeColor="text1"/>
          <w:lang w:val="en-GB"/>
        </w:rPr>
        <w:t xml:space="preserve">the role of resources </w:t>
      </w:r>
      <w:r w:rsidR="00644B16" w:rsidRPr="0040294D">
        <w:rPr>
          <w:color w:val="000000" w:themeColor="text1"/>
          <w:lang w:val="en-GB"/>
        </w:rPr>
        <w:t xml:space="preserve">possessed by </w:t>
      </w:r>
      <w:r w:rsidR="007D075F" w:rsidRPr="0040294D">
        <w:rPr>
          <w:color w:val="000000" w:themeColor="text1"/>
          <w:lang w:val="en-GB"/>
        </w:rPr>
        <w:t>acquiring and target firm</w:t>
      </w:r>
      <w:r w:rsidR="00644B16" w:rsidRPr="0040294D">
        <w:rPr>
          <w:color w:val="000000" w:themeColor="text1"/>
          <w:lang w:val="en-GB"/>
        </w:rPr>
        <w:t>s</w:t>
      </w:r>
      <w:r w:rsidR="007D075F" w:rsidRPr="0040294D">
        <w:rPr>
          <w:color w:val="000000" w:themeColor="text1"/>
          <w:lang w:val="en-GB"/>
        </w:rPr>
        <w:t xml:space="preserve"> in determining acquisition performance outcome</w:t>
      </w:r>
      <w:r w:rsidR="00644B16" w:rsidRPr="0040294D">
        <w:rPr>
          <w:color w:val="000000" w:themeColor="text1"/>
          <w:lang w:val="en-GB"/>
        </w:rPr>
        <w:t>s</w:t>
      </w:r>
      <w:r w:rsidR="007D075F" w:rsidRPr="0040294D">
        <w:rPr>
          <w:color w:val="000000" w:themeColor="text1"/>
          <w:lang w:val="en-GB"/>
        </w:rPr>
        <w:t xml:space="preserve"> (</w:t>
      </w:r>
      <w:r w:rsidR="007D075F" w:rsidRPr="0040294D">
        <w:rPr>
          <w:rStyle w:val="normaltextrun"/>
          <w:lang w:val="en-GB"/>
        </w:rPr>
        <w:t xml:space="preserve">Buckley, Elia, and </w:t>
      </w:r>
      <w:proofErr w:type="spellStart"/>
      <w:r w:rsidR="007D075F" w:rsidRPr="0040294D">
        <w:rPr>
          <w:rStyle w:val="spellingerror"/>
          <w:lang w:val="en-GB"/>
        </w:rPr>
        <w:t>Kafouros</w:t>
      </w:r>
      <w:proofErr w:type="spellEnd"/>
      <w:r w:rsidR="007D075F" w:rsidRPr="0040294D">
        <w:rPr>
          <w:rStyle w:val="normaltextrun"/>
          <w:lang w:val="en-GB"/>
        </w:rPr>
        <w:t xml:space="preserve">, 2010; </w:t>
      </w:r>
      <w:r w:rsidR="007D075F" w:rsidRPr="0040294D">
        <w:rPr>
          <w:bCs/>
          <w:lang w:val="en-GB"/>
        </w:rPr>
        <w:t xml:space="preserve">Kling, </w:t>
      </w:r>
      <w:proofErr w:type="spellStart"/>
      <w:r w:rsidR="007D075F" w:rsidRPr="0040294D">
        <w:rPr>
          <w:bCs/>
          <w:lang w:val="en-GB"/>
        </w:rPr>
        <w:t>Ghobadian</w:t>
      </w:r>
      <w:proofErr w:type="spellEnd"/>
      <w:r w:rsidR="007D075F" w:rsidRPr="0040294D">
        <w:rPr>
          <w:bCs/>
          <w:lang w:val="en-GB"/>
        </w:rPr>
        <w:t xml:space="preserve">, </w:t>
      </w:r>
      <w:proofErr w:type="spellStart"/>
      <w:r w:rsidR="007D075F" w:rsidRPr="0040294D">
        <w:rPr>
          <w:bCs/>
          <w:lang w:val="en-GB"/>
        </w:rPr>
        <w:t>Hitt</w:t>
      </w:r>
      <w:proofErr w:type="spellEnd"/>
      <w:r w:rsidR="007D075F" w:rsidRPr="0040294D">
        <w:rPr>
          <w:bCs/>
          <w:lang w:val="en-GB"/>
        </w:rPr>
        <w:t xml:space="preserve">, Weitzel, and </w:t>
      </w:r>
      <w:proofErr w:type="spellStart"/>
      <w:r w:rsidR="007D075F" w:rsidRPr="0040294D">
        <w:rPr>
          <w:bCs/>
          <w:lang w:val="en-GB"/>
        </w:rPr>
        <w:t>O’Regan</w:t>
      </w:r>
      <w:proofErr w:type="spellEnd"/>
      <w:r w:rsidR="007D075F" w:rsidRPr="0040294D">
        <w:rPr>
          <w:bCs/>
          <w:lang w:val="en-GB"/>
        </w:rPr>
        <w:t>, 2014</w:t>
      </w:r>
      <w:r w:rsidR="007D075F" w:rsidRPr="0040294D">
        <w:rPr>
          <w:rStyle w:val="normaltextrun"/>
          <w:lang w:val="en-GB"/>
        </w:rPr>
        <w:t>)</w:t>
      </w:r>
      <w:r w:rsidR="00644B16" w:rsidRPr="0040294D">
        <w:rPr>
          <w:rStyle w:val="normaltextrun"/>
          <w:lang w:val="en-GB"/>
        </w:rPr>
        <w:t>.</w:t>
      </w:r>
      <w:r w:rsidR="007D075F" w:rsidRPr="0040294D">
        <w:rPr>
          <w:rStyle w:val="normaltextrun"/>
          <w:lang w:val="en-GB"/>
        </w:rPr>
        <w:t xml:space="preserve"> </w:t>
      </w:r>
      <w:r w:rsidR="00644B16" w:rsidRPr="0040294D">
        <w:rPr>
          <w:color w:val="000000" w:themeColor="text1"/>
          <w:lang w:val="en-GB"/>
        </w:rPr>
        <w:t>We</w:t>
      </w:r>
      <w:r w:rsidR="007D075F" w:rsidRPr="0040294D">
        <w:rPr>
          <w:color w:val="000000" w:themeColor="text1"/>
          <w:lang w:val="en-GB"/>
        </w:rPr>
        <w:t xml:space="preserve"> </w:t>
      </w:r>
      <w:r w:rsidR="002B5ADD" w:rsidRPr="0040294D">
        <w:rPr>
          <w:color w:val="000000" w:themeColor="text1"/>
          <w:lang w:val="en-GB"/>
        </w:rPr>
        <w:t xml:space="preserve">show </w:t>
      </w:r>
      <w:r w:rsidR="007D075F" w:rsidRPr="0040294D">
        <w:rPr>
          <w:color w:val="000000" w:themeColor="text1"/>
          <w:lang w:val="en-GB"/>
        </w:rPr>
        <w:t xml:space="preserve">that </w:t>
      </w:r>
      <w:r w:rsidR="00644B16" w:rsidRPr="0040294D">
        <w:rPr>
          <w:color w:val="000000" w:themeColor="text1"/>
          <w:lang w:val="en-GB"/>
        </w:rPr>
        <w:t xml:space="preserve">an </w:t>
      </w:r>
      <w:r w:rsidR="007D075F" w:rsidRPr="0040294D">
        <w:rPr>
          <w:color w:val="000000" w:themeColor="text1"/>
          <w:lang w:val="en-GB"/>
        </w:rPr>
        <w:t xml:space="preserve">acquirer’s excess financial resources decrease </w:t>
      </w:r>
      <w:r w:rsidR="00644B16" w:rsidRPr="0040294D">
        <w:rPr>
          <w:color w:val="000000" w:themeColor="text1"/>
          <w:lang w:val="en-GB"/>
        </w:rPr>
        <w:t xml:space="preserve">the probability of </w:t>
      </w:r>
      <w:r w:rsidR="007D075F" w:rsidRPr="0040294D">
        <w:rPr>
          <w:color w:val="000000" w:themeColor="text1"/>
          <w:lang w:val="en-GB"/>
        </w:rPr>
        <w:t>acquisition failure.</w:t>
      </w:r>
    </w:p>
    <w:p w14:paraId="5F12BEFC" w14:textId="2E307A06" w:rsidR="00FD2A48" w:rsidRPr="0040294D" w:rsidRDefault="0061467C" w:rsidP="00B16149">
      <w:pPr>
        <w:widowControl w:val="0"/>
        <w:spacing w:line="480" w:lineRule="auto"/>
        <w:ind w:firstLine="284"/>
        <w:jc w:val="both"/>
        <w:rPr>
          <w:color w:val="000000" w:themeColor="text1"/>
          <w:lang w:val="en-GB"/>
        </w:rPr>
      </w:pPr>
      <w:r w:rsidRPr="0040294D">
        <w:rPr>
          <w:color w:val="000000" w:themeColor="text1"/>
          <w:lang w:val="en-GB"/>
        </w:rPr>
        <w:t>B</w:t>
      </w:r>
      <w:r w:rsidR="00FD2A48" w:rsidRPr="0040294D">
        <w:rPr>
          <w:color w:val="000000" w:themeColor="text1"/>
          <w:lang w:val="en-GB"/>
        </w:rPr>
        <w:t xml:space="preserve">earing in mind that high-quality HRM is CSR </w:t>
      </w:r>
      <w:r w:rsidR="00C10109">
        <w:rPr>
          <w:color w:val="000000" w:themeColor="text1"/>
          <w:lang w:val="en-GB"/>
        </w:rPr>
        <w:t>related</w:t>
      </w:r>
      <w:r w:rsidR="001D7325" w:rsidRPr="0040294D">
        <w:rPr>
          <w:color w:val="000000" w:themeColor="text1"/>
          <w:lang w:val="en-GB"/>
        </w:rPr>
        <w:t xml:space="preserve"> </w:t>
      </w:r>
      <w:r w:rsidR="00FD2A48" w:rsidRPr="0040294D">
        <w:rPr>
          <w:color w:val="000000" w:themeColor="text1"/>
          <w:lang w:val="en-GB"/>
        </w:rPr>
        <w:t>(Kolk, 2016;</w:t>
      </w:r>
      <w:r w:rsidR="001D7325" w:rsidRPr="0040294D">
        <w:rPr>
          <w:color w:val="000000" w:themeColor="text1"/>
          <w:lang w:val="en-GB"/>
        </w:rPr>
        <w:t xml:space="preserve"> </w:t>
      </w:r>
      <w:proofErr w:type="spellStart"/>
      <w:r w:rsidR="001D7325" w:rsidRPr="0040294D">
        <w:rPr>
          <w:color w:val="000000" w:themeColor="text1"/>
          <w:lang w:val="en-GB"/>
        </w:rPr>
        <w:t>Voegtlin</w:t>
      </w:r>
      <w:proofErr w:type="spellEnd"/>
      <w:r w:rsidR="001D7325" w:rsidRPr="0040294D">
        <w:rPr>
          <w:color w:val="000000" w:themeColor="text1"/>
          <w:lang w:val="en-GB"/>
        </w:rPr>
        <w:t xml:space="preserve"> and Greenwood, 2016</w:t>
      </w:r>
      <w:r w:rsidR="00FD2A48" w:rsidRPr="0040294D">
        <w:rPr>
          <w:color w:val="000000" w:themeColor="text1"/>
          <w:lang w:val="en-GB"/>
        </w:rPr>
        <w:t>), we add supporti</w:t>
      </w:r>
      <w:r w:rsidR="0034044C" w:rsidRPr="0040294D">
        <w:rPr>
          <w:color w:val="000000" w:themeColor="text1"/>
          <w:lang w:val="en-GB"/>
        </w:rPr>
        <w:t>ng</w:t>
      </w:r>
      <w:r w:rsidR="00FD2A48" w:rsidRPr="0040294D">
        <w:rPr>
          <w:color w:val="000000" w:themeColor="text1"/>
          <w:lang w:val="en-GB"/>
        </w:rPr>
        <w:t xml:space="preserve"> knowledge to the contingency perspective on the relationship between CSR and organizational performance (</w:t>
      </w:r>
      <w:proofErr w:type="spellStart"/>
      <w:r w:rsidR="00FD2A48" w:rsidRPr="0040294D">
        <w:rPr>
          <w:iCs/>
          <w:color w:val="000000" w:themeColor="text1"/>
          <w:lang w:val="en-GB"/>
        </w:rPr>
        <w:t>Tzabbar</w:t>
      </w:r>
      <w:proofErr w:type="spellEnd"/>
      <w:r w:rsidR="00FD2A48" w:rsidRPr="0040294D">
        <w:rPr>
          <w:iCs/>
          <w:color w:val="000000" w:themeColor="text1"/>
          <w:lang w:val="en-GB"/>
        </w:rPr>
        <w:t xml:space="preserve"> </w:t>
      </w:r>
      <w:r w:rsidR="00FD2A48" w:rsidRPr="00FF3FE9">
        <w:rPr>
          <w:iCs/>
          <w:color w:val="000000" w:themeColor="text1"/>
          <w:lang w:val="en-GB"/>
        </w:rPr>
        <w:t>et al.,</w:t>
      </w:r>
      <w:r w:rsidR="00FD2A48" w:rsidRPr="0040294D">
        <w:rPr>
          <w:iCs/>
          <w:color w:val="000000" w:themeColor="text1"/>
          <w:lang w:val="en-GB"/>
        </w:rPr>
        <w:t xml:space="preserve"> 2017</w:t>
      </w:r>
      <w:r w:rsidR="00FD2A48" w:rsidRPr="0040294D">
        <w:rPr>
          <w:color w:val="000000" w:themeColor="text1"/>
          <w:lang w:val="en-GB"/>
        </w:rPr>
        <w:t xml:space="preserve">). </w:t>
      </w:r>
      <w:r w:rsidR="00644B16" w:rsidRPr="0040294D">
        <w:rPr>
          <w:color w:val="000000" w:themeColor="text1"/>
          <w:lang w:val="en-GB"/>
        </w:rPr>
        <w:t>More s</w:t>
      </w:r>
      <w:r w:rsidR="00FD2A48" w:rsidRPr="0040294D">
        <w:rPr>
          <w:color w:val="000000" w:themeColor="text1"/>
          <w:lang w:val="en-GB"/>
        </w:rPr>
        <w:t xml:space="preserve">pecifically, we complement previous research </w:t>
      </w:r>
      <w:r w:rsidR="00644B16" w:rsidRPr="0040294D">
        <w:rPr>
          <w:color w:val="000000" w:themeColor="text1"/>
          <w:lang w:val="en-GB"/>
        </w:rPr>
        <w:t xml:space="preserve">demonstrating </w:t>
      </w:r>
      <w:r w:rsidR="00FD2A48" w:rsidRPr="0040294D">
        <w:rPr>
          <w:color w:val="000000" w:themeColor="text1"/>
          <w:lang w:val="en-GB"/>
        </w:rPr>
        <w:t xml:space="preserve">a curvilinear relationship between CSR and financial performance (Barnet and Salomon, 2006, 2012; Brammer and Millington, 2008) by </w:t>
      </w:r>
      <w:r w:rsidR="00B66755" w:rsidRPr="0040294D">
        <w:rPr>
          <w:color w:val="000000" w:themeColor="text1"/>
          <w:lang w:val="en-GB"/>
        </w:rPr>
        <w:t>dealing with</w:t>
      </w:r>
      <w:r w:rsidR="00B66755" w:rsidRPr="0040294D" w:rsidDel="00B66755">
        <w:rPr>
          <w:color w:val="000000" w:themeColor="text1"/>
          <w:lang w:val="en-GB"/>
        </w:rPr>
        <w:t xml:space="preserve"> </w:t>
      </w:r>
      <w:r w:rsidR="00FD2A48" w:rsidRPr="0040294D">
        <w:rPr>
          <w:color w:val="000000" w:themeColor="text1"/>
          <w:lang w:val="en-GB"/>
        </w:rPr>
        <w:t>the acquisition context (Buckley and Munjal, 2017)</w:t>
      </w:r>
      <w:r w:rsidR="0040294D">
        <w:rPr>
          <w:color w:val="000000" w:themeColor="text1"/>
          <w:lang w:val="en-GB" w:eastAsia="zh-CN"/>
        </w:rPr>
        <w:t>—</w:t>
      </w:r>
      <w:r w:rsidR="00FD2A48" w:rsidRPr="0040294D">
        <w:rPr>
          <w:color w:val="000000" w:themeColor="text1"/>
          <w:lang w:val="en-GB"/>
        </w:rPr>
        <w:t>acquisition performance being closely tied to financial performance</w:t>
      </w:r>
      <w:r w:rsidR="0040294D">
        <w:rPr>
          <w:color w:val="000000" w:themeColor="text1"/>
          <w:lang w:val="en-GB" w:eastAsia="zh-CN"/>
        </w:rPr>
        <w:t>—</w:t>
      </w:r>
      <w:r w:rsidR="00FD2A48" w:rsidRPr="0040294D">
        <w:rPr>
          <w:color w:val="000000" w:themeColor="text1"/>
          <w:lang w:val="en-GB"/>
        </w:rPr>
        <w:t xml:space="preserve">and </w:t>
      </w:r>
      <w:r w:rsidR="00FA1DA4">
        <w:rPr>
          <w:color w:val="000000" w:themeColor="text1"/>
          <w:lang w:val="en-GB"/>
        </w:rPr>
        <w:t>HRM-quality</w:t>
      </w:r>
      <w:r w:rsidR="00FD2A48" w:rsidRPr="0040294D">
        <w:rPr>
          <w:color w:val="000000" w:themeColor="text1"/>
          <w:lang w:val="en-GB"/>
        </w:rPr>
        <w:t>.</w:t>
      </w:r>
      <w:r w:rsidR="00C00845" w:rsidRPr="0040294D">
        <w:rPr>
          <w:color w:val="000000" w:themeColor="text1"/>
          <w:lang w:val="en-GB"/>
        </w:rPr>
        <w:t xml:space="preserve"> </w:t>
      </w:r>
      <w:r w:rsidR="00FD2A48" w:rsidRPr="0040294D">
        <w:rPr>
          <w:color w:val="000000" w:themeColor="text1"/>
          <w:lang w:val="en-GB"/>
        </w:rPr>
        <w:t xml:space="preserve">Interestingly, our results apparently contradict those earlier findings, which had revealed stronger financial returns in connection with either low or high levels </w:t>
      </w:r>
      <w:r w:rsidR="00FD2A48" w:rsidRPr="0040294D">
        <w:rPr>
          <w:color w:val="000000" w:themeColor="text1"/>
          <w:lang w:val="en-GB"/>
        </w:rPr>
        <w:lastRenderedPageBreak/>
        <w:t xml:space="preserve">of CSR than with moderate levels. </w:t>
      </w:r>
      <w:r w:rsidR="00C10109">
        <w:rPr>
          <w:color w:val="000000" w:themeColor="text1"/>
          <w:lang w:val="en-GB"/>
        </w:rPr>
        <w:t>O</w:t>
      </w:r>
      <w:r w:rsidR="00FD2A48" w:rsidRPr="0040294D">
        <w:rPr>
          <w:color w:val="000000" w:themeColor="text1"/>
          <w:lang w:val="en-GB"/>
        </w:rPr>
        <w:t xml:space="preserve">ne explanation is that, unlike </w:t>
      </w:r>
      <w:r w:rsidR="00B66755" w:rsidRPr="0040294D">
        <w:rPr>
          <w:color w:val="000000" w:themeColor="text1"/>
          <w:lang w:val="en-GB"/>
        </w:rPr>
        <w:t xml:space="preserve">with </w:t>
      </w:r>
      <w:r w:rsidR="00FA1DA4">
        <w:rPr>
          <w:color w:val="000000" w:themeColor="text1"/>
          <w:lang w:val="en-GB"/>
        </w:rPr>
        <w:t>HRM-quality</w:t>
      </w:r>
      <w:r w:rsidR="00FD2A48" w:rsidRPr="0040294D">
        <w:rPr>
          <w:color w:val="000000" w:themeColor="text1"/>
          <w:lang w:val="en-GB"/>
        </w:rPr>
        <w:t xml:space="preserve">, </w:t>
      </w:r>
      <w:r w:rsidR="00F07119" w:rsidRPr="0040294D">
        <w:rPr>
          <w:color w:val="000000" w:themeColor="text1"/>
          <w:lang w:val="en-GB"/>
        </w:rPr>
        <w:t xml:space="preserve">aspects </w:t>
      </w:r>
      <w:r w:rsidR="00FD2A48" w:rsidRPr="0040294D">
        <w:rPr>
          <w:color w:val="000000" w:themeColor="text1"/>
          <w:lang w:val="en-GB"/>
        </w:rPr>
        <w:t>such as environmental responsibility (Barnet</w:t>
      </w:r>
      <w:r w:rsidR="0040483B">
        <w:rPr>
          <w:color w:val="000000" w:themeColor="text1"/>
          <w:lang w:val="en-GB"/>
        </w:rPr>
        <w:t>t</w:t>
      </w:r>
      <w:r w:rsidR="00FD2A48" w:rsidRPr="0040294D">
        <w:rPr>
          <w:color w:val="000000" w:themeColor="text1"/>
          <w:lang w:val="en-GB"/>
        </w:rPr>
        <w:t xml:space="preserve"> and Salomon, 2006) and charitable giving (Brammer and Millington, 2008) mainly enhance financial performance through mediating effects on corporate reputation (</w:t>
      </w:r>
      <w:proofErr w:type="spellStart"/>
      <w:r w:rsidR="00FD2A48" w:rsidRPr="0040294D">
        <w:rPr>
          <w:color w:val="000000" w:themeColor="text1"/>
          <w:lang w:val="en-GB"/>
        </w:rPr>
        <w:t>Surroca</w:t>
      </w:r>
      <w:proofErr w:type="spellEnd"/>
      <w:r w:rsidR="00FD2A48" w:rsidRPr="0040294D">
        <w:rPr>
          <w:color w:val="000000" w:themeColor="text1"/>
          <w:lang w:val="en-GB"/>
        </w:rPr>
        <w:t xml:space="preserve">, </w:t>
      </w:r>
      <w:proofErr w:type="spellStart"/>
      <w:r w:rsidR="00FD2A48" w:rsidRPr="0040294D">
        <w:rPr>
          <w:color w:val="000000" w:themeColor="text1"/>
          <w:lang w:val="en-GB"/>
        </w:rPr>
        <w:t>Tribó</w:t>
      </w:r>
      <w:proofErr w:type="spellEnd"/>
      <w:r w:rsidR="00FD2A48" w:rsidRPr="0040294D">
        <w:rPr>
          <w:color w:val="000000" w:themeColor="text1"/>
          <w:lang w:val="en-GB"/>
        </w:rPr>
        <w:t>, and Waddock, 2010) and capacity to influence stakeholders (Barnett and Salomon, 2012).</w:t>
      </w:r>
      <w:r w:rsidR="00C10109">
        <w:rPr>
          <w:color w:val="000000" w:themeColor="text1"/>
          <w:lang w:val="en-GB"/>
        </w:rPr>
        <w:t xml:space="preserve"> </w:t>
      </w:r>
      <w:r w:rsidR="00FD2A48" w:rsidRPr="0040294D">
        <w:rPr>
          <w:color w:val="000000" w:themeColor="text1"/>
          <w:lang w:val="en-GB"/>
        </w:rPr>
        <w:t xml:space="preserve">From a more practical stance, we contribute to the </w:t>
      </w:r>
      <w:r w:rsidR="003E51B9" w:rsidRPr="0040294D">
        <w:rPr>
          <w:color w:val="000000" w:themeColor="text1"/>
          <w:lang w:val="en-GB"/>
        </w:rPr>
        <w:t>CSR</w:t>
      </w:r>
      <w:r w:rsidR="00FD2A48" w:rsidRPr="0040294D">
        <w:rPr>
          <w:color w:val="000000" w:themeColor="text1"/>
          <w:lang w:val="en-GB"/>
        </w:rPr>
        <w:t xml:space="preserve"> literature by applying ESG ratings</w:t>
      </w:r>
      <w:r w:rsidR="009576C3" w:rsidRPr="0040294D">
        <w:rPr>
          <w:color w:val="000000" w:themeColor="text1"/>
          <w:lang w:val="en-GB"/>
        </w:rPr>
        <w:t xml:space="preserve"> and demonstrating their relevance to studies outside </w:t>
      </w:r>
      <w:r w:rsidR="0040483B">
        <w:rPr>
          <w:color w:val="000000" w:themeColor="text1"/>
          <w:lang w:val="en-GB"/>
        </w:rPr>
        <w:t xml:space="preserve">their </w:t>
      </w:r>
      <w:r w:rsidR="009576C3" w:rsidRPr="0040294D">
        <w:rPr>
          <w:color w:val="000000" w:themeColor="text1"/>
          <w:lang w:val="en-GB"/>
        </w:rPr>
        <w:t>traditional research context</w:t>
      </w:r>
      <w:r w:rsidR="004F5A6D">
        <w:rPr>
          <w:color w:val="000000" w:themeColor="text1"/>
          <w:lang w:val="en-GB"/>
        </w:rPr>
        <w:t>.</w:t>
      </w:r>
    </w:p>
    <w:p w14:paraId="6D35C494" w14:textId="77777777" w:rsidR="00FD2A48" w:rsidRPr="0040294D" w:rsidRDefault="00FD2A48" w:rsidP="00FD2A48">
      <w:pPr>
        <w:widowControl w:val="0"/>
        <w:spacing w:line="480" w:lineRule="auto"/>
        <w:ind w:firstLine="284"/>
        <w:jc w:val="both"/>
        <w:rPr>
          <w:color w:val="000000" w:themeColor="text1"/>
          <w:lang w:val="en-GB" w:eastAsia="zh-CN"/>
        </w:rPr>
      </w:pPr>
      <w:r w:rsidRPr="0040294D">
        <w:rPr>
          <w:color w:val="000000" w:themeColor="text1"/>
          <w:lang w:val="en-GB"/>
        </w:rPr>
        <w:t xml:space="preserve">Finally, in terms of our data analysis, we answer </w:t>
      </w:r>
      <w:proofErr w:type="spellStart"/>
      <w:r w:rsidRPr="0040294D">
        <w:rPr>
          <w:color w:val="000000" w:themeColor="text1"/>
          <w:lang w:val="en-GB" w:eastAsia="zh-CN"/>
        </w:rPr>
        <w:t>Meglio</w:t>
      </w:r>
      <w:proofErr w:type="spellEnd"/>
      <w:r w:rsidRPr="0040294D">
        <w:rPr>
          <w:color w:val="000000" w:themeColor="text1"/>
          <w:lang w:val="en-GB" w:eastAsia="zh-CN"/>
        </w:rPr>
        <w:t xml:space="preserve"> and </w:t>
      </w:r>
      <w:proofErr w:type="spellStart"/>
      <w:r w:rsidRPr="0040294D">
        <w:rPr>
          <w:color w:val="000000" w:themeColor="text1"/>
          <w:lang w:val="en-GB" w:eastAsia="zh-CN"/>
        </w:rPr>
        <w:t>Risberg’s</w:t>
      </w:r>
      <w:proofErr w:type="spellEnd"/>
      <w:r w:rsidRPr="0040294D">
        <w:rPr>
          <w:color w:val="000000" w:themeColor="text1"/>
          <w:lang w:val="en-GB" w:eastAsia="zh-CN"/>
        </w:rPr>
        <w:t xml:space="preserve"> (2010) call to employ a less conventional methodology to gain a robust understanding of the critical role played by organizational functions in the success or failure of acquisitions.</w:t>
      </w:r>
    </w:p>
    <w:p w14:paraId="6249303D" w14:textId="77777777" w:rsidR="009576C3" w:rsidRPr="0040294D" w:rsidRDefault="009576C3" w:rsidP="00FD2A48">
      <w:pPr>
        <w:widowControl w:val="0"/>
        <w:spacing w:line="480" w:lineRule="auto"/>
        <w:jc w:val="both"/>
        <w:rPr>
          <w:color w:val="000000" w:themeColor="text1"/>
          <w:lang w:val="en-GB"/>
        </w:rPr>
      </w:pPr>
    </w:p>
    <w:p w14:paraId="58482A3E" w14:textId="5C4BC81F" w:rsidR="00FD2A48" w:rsidRPr="0040294D" w:rsidRDefault="00FD2A48" w:rsidP="00FD2A48">
      <w:pPr>
        <w:widowControl w:val="0"/>
        <w:spacing w:line="480" w:lineRule="auto"/>
        <w:jc w:val="both"/>
        <w:rPr>
          <w:b/>
          <w:i/>
          <w:iCs/>
          <w:color w:val="000000" w:themeColor="text1"/>
          <w:lang w:val="en-GB" w:eastAsia="zh-CN"/>
        </w:rPr>
      </w:pPr>
      <w:r w:rsidRPr="0040294D">
        <w:rPr>
          <w:b/>
          <w:i/>
          <w:iCs/>
          <w:color w:val="000000" w:themeColor="text1"/>
          <w:lang w:val="en-GB" w:eastAsia="zh-CN"/>
        </w:rPr>
        <w:t>Managerial Implications</w:t>
      </w:r>
    </w:p>
    <w:p w14:paraId="71035BC4" w14:textId="7C3E0A26" w:rsidR="00211DA1" w:rsidRPr="0040294D" w:rsidRDefault="00C10109" w:rsidP="00C10109">
      <w:pPr>
        <w:widowControl w:val="0"/>
        <w:spacing w:line="480" w:lineRule="auto"/>
        <w:jc w:val="both"/>
        <w:rPr>
          <w:color w:val="000000" w:themeColor="text1"/>
          <w:lang w:val="en-GB"/>
        </w:rPr>
      </w:pPr>
      <w:r>
        <w:rPr>
          <w:color w:val="000000" w:themeColor="text1"/>
          <w:lang w:val="en-GB"/>
        </w:rPr>
        <w:t>We also</w:t>
      </w:r>
      <w:r w:rsidR="00FD2A48" w:rsidRPr="0040294D">
        <w:rPr>
          <w:color w:val="000000" w:themeColor="text1"/>
          <w:lang w:val="en-GB"/>
        </w:rPr>
        <w:t xml:space="preserve"> pro</w:t>
      </w:r>
      <w:r>
        <w:rPr>
          <w:color w:val="000000" w:themeColor="text1"/>
          <w:lang w:val="en-GB"/>
        </w:rPr>
        <w:t>vide</w:t>
      </w:r>
      <w:r w:rsidR="00FD2A48" w:rsidRPr="0040294D">
        <w:rPr>
          <w:color w:val="000000" w:themeColor="text1"/>
          <w:lang w:val="en-GB"/>
        </w:rPr>
        <w:t xml:space="preserve"> valuable new insights for practitioners. Common advice to those managing acquisitions is to strive for HRM excellence if success is to be attained. We, however, offer a more balanced view of </w:t>
      </w:r>
      <w:r w:rsidR="00D324C1" w:rsidRPr="0040294D">
        <w:rPr>
          <w:color w:val="000000" w:themeColor="text1"/>
          <w:lang w:val="en-GB"/>
        </w:rPr>
        <w:t xml:space="preserve">the role of </w:t>
      </w:r>
      <w:r w:rsidR="00FA1DA4">
        <w:rPr>
          <w:color w:val="000000" w:themeColor="text1"/>
          <w:lang w:val="en-GB"/>
        </w:rPr>
        <w:t>HRM-quality</w:t>
      </w:r>
      <w:r w:rsidR="00FD2A48" w:rsidRPr="0040294D">
        <w:rPr>
          <w:color w:val="000000" w:themeColor="text1"/>
          <w:lang w:val="en-GB"/>
        </w:rPr>
        <w:t xml:space="preserve"> in acquisitions</w:t>
      </w:r>
      <w:r w:rsidR="00D324C1" w:rsidRPr="0040294D">
        <w:rPr>
          <w:color w:val="000000" w:themeColor="text1"/>
          <w:lang w:val="en-GB"/>
        </w:rPr>
        <w:t>,</w:t>
      </w:r>
      <w:r w:rsidR="00FD2A48" w:rsidRPr="0040294D">
        <w:rPr>
          <w:color w:val="000000" w:themeColor="text1"/>
          <w:lang w:val="en-GB"/>
        </w:rPr>
        <w:t xml:space="preserve"> and thus </w:t>
      </w:r>
      <w:r>
        <w:rPr>
          <w:color w:val="000000" w:themeColor="text1"/>
          <w:lang w:val="en-GB"/>
        </w:rPr>
        <w:t>adding</w:t>
      </w:r>
      <w:r w:rsidR="00FD2A48" w:rsidRPr="0040294D">
        <w:rPr>
          <w:color w:val="000000" w:themeColor="text1"/>
          <w:lang w:val="en-GB"/>
        </w:rPr>
        <w:t xml:space="preserve"> a nuanced recommendation</w:t>
      </w:r>
      <w:r w:rsidR="00D324C1" w:rsidRPr="0040294D">
        <w:rPr>
          <w:color w:val="000000" w:themeColor="text1"/>
          <w:lang w:val="en-GB"/>
        </w:rPr>
        <w:t>,</w:t>
      </w:r>
      <w:r w:rsidR="00211DA1" w:rsidRPr="0040294D">
        <w:rPr>
          <w:color w:val="000000" w:themeColor="text1"/>
          <w:lang w:val="en-GB"/>
        </w:rPr>
        <w:t xml:space="preserve"> arguing that </w:t>
      </w:r>
      <w:r w:rsidR="00211DA1" w:rsidRPr="0040294D">
        <w:rPr>
          <w:i/>
          <w:color w:val="000000" w:themeColor="text1"/>
          <w:lang w:val="en-GB"/>
        </w:rPr>
        <w:t>more</w:t>
      </w:r>
      <w:r w:rsidR="00211DA1" w:rsidRPr="0040294D">
        <w:rPr>
          <w:color w:val="000000" w:themeColor="text1"/>
          <w:lang w:val="en-GB"/>
        </w:rPr>
        <w:t xml:space="preserve"> </w:t>
      </w:r>
      <w:r w:rsidR="00D324C1" w:rsidRPr="0040294D">
        <w:rPr>
          <w:color w:val="000000" w:themeColor="text1"/>
          <w:lang w:val="en-GB"/>
        </w:rPr>
        <w:t xml:space="preserve">is </w:t>
      </w:r>
      <w:r w:rsidR="00211DA1" w:rsidRPr="0040294D">
        <w:rPr>
          <w:color w:val="000000" w:themeColor="text1"/>
          <w:lang w:val="en-GB"/>
        </w:rPr>
        <w:t xml:space="preserve">not always </w:t>
      </w:r>
      <w:r w:rsidR="00211DA1" w:rsidRPr="0040294D">
        <w:rPr>
          <w:i/>
          <w:color w:val="000000" w:themeColor="text1"/>
          <w:lang w:val="en-GB"/>
        </w:rPr>
        <w:t>better</w:t>
      </w:r>
      <w:r w:rsidR="003E51B9" w:rsidRPr="0040294D">
        <w:rPr>
          <w:color w:val="000000" w:themeColor="text1"/>
          <w:lang w:val="en-GB"/>
        </w:rPr>
        <w:t>.</w:t>
      </w:r>
    </w:p>
    <w:p w14:paraId="003C0E83" w14:textId="5CECF9C1" w:rsidR="00EE621D" w:rsidRPr="0040294D" w:rsidRDefault="00FD2A48" w:rsidP="00616215">
      <w:pPr>
        <w:spacing w:line="480" w:lineRule="auto"/>
        <w:ind w:firstLine="284"/>
        <w:jc w:val="both"/>
        <w:rPr>
          <w:color w:val="000000" w:themeColor="text1"/>
          <w:lang w:val="en-GB" w:eastAsia="zh-CN"/>
        </w:rPr>
      </w:pPr>
      <w:r w:rsidRPr="0040294D">
        <w:rPr>
          <w:color w:val="000000" w:themeColor="text1"/>
          <w:lang w:val="en-GB" w:eastAsia="zh-CN"/>
        </w:rPr>
        <w:t xml:space="preserve">Furthermore, we draw attention to the importance of considering </w:t>
      </w:r>
      <w:r w:rsidRPr="0040294D">
        <w:rPr>
          <w:bCs/>
          <w:color w:val="000000" w:themeColor="text1"/>
          <w:lang w:val="en-GB"/>
        </w:rPr>
        <w:t xml:space="preserve">HRM initiatives in tandem with excess financial resources available to the acquirer at every stage of the acquisition process. </w:t>
      </w:r>
      <w:r w:rsidRPr="0040294D">
        <w:rPr>
          <w:color w:val="000000" w:themeColor="text1"/>
          <w:lang w:val="en-GB"/>
        </w:rPr>
        <w:t xml:space="preserve">These guidelines should assist </w:t>
      </w:r>
      <w:r w:rsidRPr="0040294D">
        <w:rPr>
          <w:color w:val="000000" w:themeColor="text1"/>
          <w:lang w:val="en-GB" w:eastAsia="zh-CN"/>
        </w:rPr>
        <w:t>acquiring firms as they balance on the slackline</w:t>
      </w:r>
      <w:r w:rsidR="00211DA1" w:rsidRPr="0040294D">
        <w:rPr>
          <w:color w:val="000000" w:themeColor="text1"/>
          <w:lang w:val="en-GB" w:eastAsia="zh-CN"/>
        </w:rPr>
        <w:t>. Our message is that</w:t>
      </w:r>
      <w:r w:rsidR="004770EC" w:rsidRPr="0040294D">
        <w:rPr>
          <w:color w:val="000000" w:themeColor="text1"/>
          <w:lang w:val="en-GB" w:eastAsia="zh-CN"/>
        </w:rPr>
        <w:t xml:space="preserve"> </w:t>
      </w:r>
      <w:r w:rsidR="00F83B3D" w:rsidRPr="0040294D">
        <w:rPr>
          <w:color w:val="000000" w:themeColor="text1"/>
          <w:lang w:val="en-GB" w:eastAsia="zh-CN"/>
        </w:rPr>
        <w:t>hav</w:t>
      </w:r>
      <w:r w:rsidR="00D324C1" w:rsidRPr="0040294D">
        <w:rPr>
          <w:color w:val="000000" w:themeColor="text1"/>
          <w:lang w:val="en-GB" w:eastAsia="zh-CN"/>
        </w:rPr>
        <w:t xml:space="preserve">ing </w:t>
      </w:r>
      <w:r w:rsidR="00FA1DA4">
        <w:rPr>
          <w:color w:val="000000" w:themeColor="text1"/>
          <w:lang w:val="en-GB" w:eastAsia="zh-CN"/>
        </w:rPr>
        <w:t>financial</w:t>
      </w:r>
      <w:r w:rsidR="00187E65">
        <w:rPr>
          <w:color w:val="000000" w:themeColor="text1"/>
          <w:lang w:val="en-GB" w:eastAsia="zh-CN"/>
        </w:rPr>
        <w:t xml:space="preserve"> </w:t>
      </w:r>
      <w:r w:rsidR="00FA1DA4">
        <w:rPr>
          <w:color w:val="000000" w:themeColor="text1"/>
          <w:lang w:val="en-GB" w:eastAsia="zh-CN"/>
        </w:rPr>
        <w:t>slack</w:t>
      </w:r>
      <w:r w:rsidR="00211DA1" w:rsidRPr="0040294D">
        <w:rPr>
          <w:color w:val="000000" w:themeColor="text1"/>
          <w:lang w:val="en-GB" w:eastAsia="zh-CN"/>
        </w:rPr>
        <w:t xml:space="preserve"> does not </w:t>
      </w:r>
      <w:r w:rsidR="00F07119" w:rsidRPr="0040294D">
        <w:rPr>
          <w:color w:val="000000" w:themeColor="text1"/>
          <w:lang w:val="en-GB" w:eastAsia="zh-CN"/>
        </w:rPr>
        <w:t xml:space="preserve">necessarily </w:t>
      </w:r>
      <w:r w:rsidR="00211DA1" w:rsidRPr="0040294D">
        <w:rPr>
          <w:color w:val="000000" w:themeColor="text1"/>
          <w:lang w:val="en-GB" w:eastAsia="zh-CN"/>
        </w:rPr>
        <w:t xml:space="preserve">mean that HRM </w:t>
      </w:r>
      <w:r w:rsidR="00D324C1" w:rsidRPr="0040294D">
        <w:rPr>
          <w:color w:val="000000" w:themeColor="text1"/>
          <w:lang w:val="en-GB" w:eastAsia="zh-CN"/>
        </w:rPr>
        <w:t xml:space="preserve">will </w:t>
      </w:r>
      <w:r w:rsidR="00F07119" w:rsidRPr="0040294D">
        <w:rPr>
          <w:color w:val="000000" w:themeColor="text1"/>
          <w:lang w:val="en-GB" w:eastAsia="zh-CN"/>
        </w:rPr>
        <w:t>have</w:t>
      </w:r>
      <w:r w:rsidR="00211DA1" w:rsidRPr="0040294D">
        <w:rPr>
          <w:color w:val="000000" w:themeColor="text1"/>
          <w:lang w:val="en-GB" w:eastAsia="zh-CN"/>
        </w:rPr>
        <w:t xml:space="preserve"> to </w:t>
      </w:r>
      <w:r w:rsidR="00F07119" w:rsidRPr="0040294D">
        <w:rPr>
          <w:color w:val="000000" w:themeColor="text1"/>
          <w:lang w:val="en-GB" w:eastAsia="zh-CN"/>
        </w:rPr>
        <w:t>take advantage of</w:t>
      </w:r>
      <w:r w:rsidR="00F07119" w:rsidRPr="0040294D" w:rsidDel="00F07119">
        <w:rPr>
          <w:color w:val="000000" w:themeColor="text1"/>
          <w:lang w:val="en-GB" w:eastAsia="zh-CN"/>
        </w:rPr>
        <w:t xml:space="preserve"> </w:t>
      </w:r>
      <w:r w:rsidR="00211DA1" w:rsidRPr="0040294D">
        <w:rPr>
          <w:color w:val="000000" w:themeColor="text1"/>
          <w:lang w:val="en-GB" w:eastAsia="zh-CN"/>
        </w:rPr>
        <w:t xml:space="preserve">it. </w:t>
      </w:r>
      <w:r w:rsidR="005968B8" w:rsidRPr="0040294D">
        <w:rPr>
          <w:color w:val="000000" w:themeColor="text1"/>
          <w:lang w:val="en-GB" w:eastAsia="zh-CN"/>
        </w:rPr>
        <w:t xml:space="preserve">There is a risk that </w:t>
      </w:r>
      <w:r w:rsidR="00D324C1" w:rsidRPr="0040294D">
        <w:rPr>
          <w:color w:val="000000" w:themeColor="text1"/>
          <w:lang w:val="en-GB" w:eastAsia="zh-CN"/>
        </w:rPr>
        <w:t xml:space="preserve">an </w:t>
      </w:r>
      <w:r w:rsidR="005968B8" w:rsidRPr="0040294D">
        <w:rPr>
          <w:color w:val="000000" w:themeColor="text1"/>
          <w:lang w:val="en-GB" w:eastAsia="zh-CN"/>
        </w:rPr>
        <w:t xml:space="preserve">excessive level of </w:t>
      </w:r>
      <w:r w:rsidR="00FA1DA4">
        <w:rPr>
          <w:color w:val="000000" w:themeColor="text1"/>
          <w:lang w:val="en-GB" w:eastAsia="zh-CN"/>
        </w:rPr>
        <w:t>financial</w:t>
      </w:r>
      <w:r w:rsidR="00187E65">
        <w:rPr>
          <w:color w:val="000000" w:themeColor="text1"/>
          <w:lang w:val="en-GB" w:eastAsia="zh-CN"/>
        </w:rPr>
        <w:t xml:space="preserve"> </w:t>
      </w:r>
      <w:r w:rsidR="00FA1DA4">
        <w:rPr>
          <w:color w:val="000000" w:themeColor="text1"/>
          <w:lang w:val="en-GB" w:eastAsia="zh-CN"/>
        </w:rPr>
        <w:t>slack</w:t>
      </w:r>
      <w:r w:rsidR="005968B8" w:rsidRPr="0040294D">
        <w:rPr>
          <w:color w:val="000000" w:themeColor="text1"/>
          <w:lang w:val="en-GB" w:eastAsia="zh-CN"/>
        </w:rPr>
        <w:t xml:space="preserve"> could be used for </w:t>
      </w:r>
      <w:r w:rsidR="004770EC" w:rsidRPr="0040294D">
        <w:rPr>
          <w:color w:val="000000" w:themeColor="text1"/>
          <w:lang w:val="en-GB" w:eastAsia="zh-CN"/>
        </w:rPr>
        <w:t xml:space="preserve">HRM </w:t>
      </w:r>
      <w:r w:rsidR="005968B8" w:rsidRPr="0040294D">
        <w:rPr>
          <w:color w:val="000000" w:themeColor="text1"/>
          <w:lang w:val="en-GB" w:eastAsia="zh-CN"/>
        </w:rPr>
        <w:t xml:space="preserve">initiatives </w:t>
      </w:r>
      <w:r w:rsidR="00D324C1" w:rsidRPr="0040294D">
        <w:rPr>
          <w:color w:val="000000" w:themeColor="text1"/>
          <w:lang w:val="en-GB" w:eastAsia="zh-CN"/>
        </w:rPr>
        <w:t xml:space="preserve">that </w:t>
      </w:r>
      <w:r w:rsidR="005968B8" w:rsidRPr="0040294D">
        <w:rPr>
          <w:color w:val="000000" w:themeColor="text1"/>
          <w:lang w:val="en-GB" w:eastAsia="zh-CN"/>
        </w:rPr>
        <w:t>are closely aligned with employees</w:t>
      </w:r>
      <w:r w:rsidR="00D324C1" w:rsidRPr="0040294D">
        <w:rPr>
          <w:color w:val="000000" w:themeColor="text1"/>
          <w:lang w:val="en-GB" w:eastAsia="zh-CN"/>
        </w:rPr>
        <w:t>’</w:t>
      </w:r>
      <w:r w:rsidR="005968B8" w:rsidRPr="0040294D">
        <w:rPr>
          <w:color w:val="000000" w:themeColor="text1"/>
          <w:lang w:val="en-GB" w:eastAsia="zh-CN"/>
        </w:rPr>
        <w:t xml:space="preserve"> own preferences yet not with organizational goals. </w:t>
      </w:r>
      <w:r w:rsidR="004770EC" w:rsidRPr="0040294D">
        <w:rPr>
          <w:color w:val="000000" w:themeColor="text1"/>
          <w:lang w:val="en-GB" w:eastAsia="zh-CN"/>
        </w:rPr>
        <w:t>Thus, slack</w:t>
      </w:r>
      <w:r w:rsidR="00211DA1" w:rsidRPr="0040294D">
        <w:rPr>
          <w:color w:val="000000" w:themeColor="text1"/>
          <w:lang w:val="en-GB" w:eastAsia="zh-CN"/>
        </w:rPr>
        <w:t xml:space="preserve"> could be </w:t>
      </w:r>
      <w:r w:rsidR="004770EC" w:rsidRPr="0040294D">
        <w:rPr>
          <w:color w:val="000000" w:themeColor="text1"/>
          <w:lang w:val="en-GB" w:eastAsia="zh-CN"/>
        </w:rPr>
        <w:t>maintained for other organizational needs</w:t>
      </w:r>
      <w:r w:rsidR="00211DA1" w:rsidRPr="0040294D">
        <w:rPr>
          <w:color w:val="000000" w:themeColor="text1"/>
          <w:lang w:val="en-GB" w:eastAsia="zh-CN"/>
        </w:rPr>
        <w:t>.</w:t>
      </w:r>
    </w:p>
    <w:p w14:paraId="6D17FED7" w14:textId="255A1848" w:rsidR="005968B8" w:rsidRPr="0040294D" w:rsidRDefault="00314E24" w:rsidP="00143794">
      <w:pPr>
        <w:spacing w:line="480" w:lineRule="auto"/>
        <w:ind w:firstLine="284"/>
        <w:jc w:val="both"/>
        <w:rPr>
          <w:color w:val="000000" w:themeColor="text1"/>
          <w:lang w:val="en-GB" w:eastAsia="zh-CN"/>
        </w:rPr>
      </w:pPr>
      <w:r w:rsidRPr="0040294D">
        <w:rPr>
          <w:color w:val="000000" w:themeColor="text1"/>
          <w:lang w:val="en-GB" w:eastAsia="zh-CN"/>
        </w:rPr>
        <w:t>Besides, o</w:t>
      </w:r>
      <w:r w:rsidR="001A7B7B" w:rsidRPr="0040294D">
        <w:rPr>
          <w:color w:val="000000" w:themeColor="text1"/>
          <w:lang w:val="en-GB" w:eastAsia="zh-CN"/>
        </w:rPr>
        <w:t xml:space="preserve">ur findings </w:t>
      </w:r>
      <w:r w:rsidR="004770EC" w:rsidRPr="0040294D">
        <w:rPr>
          <w:color w:val="000000" w:themeColor="text1"/>
          <w:lang w:val="en-GB" w:eastAsia="zh-CN"/>
        </w:rPr>
        <w:t xml:space="preserve">invite practitioners to </w:t>
      </w:r>
      <w:r w:rsidR="00211DA1" w:rsidRPr="0040294D">
        <w:rPr>
          <w:color w:val="000000" w:themeColor="text1"/>
          <w:lang w:val="en-GB" w:eastAsia="zh-CN"/>
        </w:rPr>
        <w:t>strive for high</w:t>
      </w:r>
      <w:r w:rsidR="00026CAE" w:rsidRPr="0040294D">
        <w:rPr>
          <w:color w:val="000000" w:themeColor="text1"/>
          <w:lang w:val="en-GB" w:eastAsia="zh-CN"/>
        </w:rPr>
        <w:t>-</w:t>
      </w:r>
      <w:r w:rsidR="00211DA1" w:rsidRPr="0040294D">
        <w:rPr>
          <w:color w:val="000000" w:themeColor="text1"/>
          <w:lang w:val="en-GB" w:eastAsia="zh-CN"/>
        </w:rPr>
        <w:t>quality HR</w:t>
      </w:r>
      <w:r w:rsidR="00616215">
        <w:rPr>
          <w:color w:val="000000" w:themeColor="text1"/>
          <w:lang w:val="en-GB" w:eastAsia="zh-CN"/>
        </w:rPr>
        <w:t>M</w:t>
      </w:r>
      <w:r w:rsidR="00211DA1" w:rsidRPr="0040294D">
        <w:rPr>
          <w:color w:val="000000" w:themeColor="text1"/>
          <w:lang w:val="en-GB" w:eastAsia="zh-CN"/>
        </w:rPr>
        <w:t xml:space="preserve"> practices</w:t>
      </w:r>
      <w:r w:rsidR="004770EC" w:rsidRPr="0040294D">
        <w:rPr>
          <w:color w:val="000000" w:themeColor="text1"/>
          <w:lang w:val="en-GB" w:eastAsia="zh-CN"/>
        </w:rPr>
        <w:t xml:space="preserve"> </w:t>
      </w:r>
      <w:r w:rsidR="004C40A8" w:rsidRPr="0040294D">
        <w:rPr>
          <w:color w:val="000000" w:themeColor="text1"/>
          <w:lang w:val="en-GB" w:eastAsia="zh-CN"/>
        </w:rPr>
        <w:t>that do not require</w:t>
      </w:r>
      <w:r w:rsidR="004770EC" w:rsidRPr="0040294D">
        <w:rPr>
          <w:color w:val="000000" w:themeColor="text1"/>
          <w:lang w:val="en-GB" w:eastAsia="zh-CN"/>
        </w:rPr>
        <w:t xml:space="preserve"> </w:t>
      </w:r>
      <w:r w:rsidR="00F07119" w:rsidRPr="0040294D">
        <w:rPr>
          <w:color w:val="000000" w:themeColor="text1"/>
          <w:lang w:val="en-GB" w:eastAsia="zh-CN"/>
        </w:rPr>
        <w:t xml:space="preserve">a </w:t>
      </w:r>
      <w:r w:rsidR="004C40A8" w:rsidRPr="0040294D">
        <w:rPr>
          <w:color w:val="000000" w:themeColor="text1"/>
          <w:lang w:val="en-GB" w:eastAsia="zh-CN"/>
        </w:rPr>
        <w:t>high</w:t>
      </w:r>
      <w:r w:rsidR="004770EC" w:rsidRPr="0040294D">
        <w:rPr>
          <w:color w:val="000000" w:themeColor="text1"/>
          <w:lang w:val="en-GB" w:eastAsia="zh-CN"/>
        </w:rPr>
        <w:t xml:space="preserve"> </w:t>
      </w:r>
      <w:r w:rsidR="00F07119" w:rsidRPr="0040294D">
        <w:rPr>
          <w:color w:val="000000" w:themeColor="text1"/>
          <w:lang w:val="en-GB" w:eastAsia="zh-CN"/>
        </w:rPr>
        <w:t xml:space="preserve">level of </w:t>
      </w:r>
      <w:r w:rsidR="004770EC" w:rsidRPr="0040294D">
        <w:rPr>
          <w:color w:val="000000" w:themeColor="text1"/>
          <w:lang w:val="en-GB" w:eastAsia="zh-CN"/>
        </w:rPr>
        <w:t>slack</w:t>
      </w:r>
      <w:r w:rsidR="00BC3B94" w:rsidRPr="0040294D">
        <w:rPr>
          <w:color w:val="000000" w:themeColor="text1"/>
          <w:lang w:val="en-GB" w:eastAsia="zh-CN"/>
        </w:rPr>
        <w:t>,</w:t>
      </w:r>
      <w:r w:rsidR="00211DA1" w:rsidRPr="0040294D">
        <w:rPr>
          <w:color w:val="000000" w:themeColor="text1"/>
          <w:lang w:val="en-GB" w:eastAsia="zh-CN"/>
        </w:rPr>
        <w:t xml:space="preserve"> </w:t>
      </w:r>
      <w:r w:rsidR="00BC3B94" w:rsidRPr="0040294D">
        <w:rPr>
          <w:color w:val="000000" w:themeColor="text1"/>
          <w:lang w:val="en-GB" w:eastAsia="zh-CN"/>
        </w:rPr>
        <w:t>f</w:t>
      </w:r>
      <w:r w:rsidR="00211DA1" w:rsidRPr="0040294D">
        <w:rPr>
          <w:color w:val="000000" w:themeColor="text1"/>
          <w:lang w:val="en-GB" w:eastAsia="zh-CN"/>
        </w:rPr>
        <w:t xml:space="preserve">or example, </w:t>
      </w:r>
      <w:r w:rsidR="00143794">
        <w:rPr>
          <w:color w:val="000000" w:themeColor="text1"/>
          <w:lang w:val="en-GB" w:eastAsia="zh-CN"/>
        </w:rPr>
        <w:t>introducing</w:t>
      </w:r>
      <w:r w:rsidR="00211DA1" w:rsidRPr="0040294D">
        <w:rPr>
          <w:color w:val="000000" w:themeColor="text1"/>
          <w:lang w:val="en-GB" w:eastAsia="zh-CN"/>
        </w:rPr>
        <w:t xml:space="preserve"> a mentorship program</w:t>
      </w:r>
      <w:r w:rsidR="00CC299C">
        <w:rPr>
          <w:color w:val="000000" w:themeColor="text1"/>
          <w:lang w:val="en-GB" w:eastAsia="zh-CN"/>
        </w:rPr>
        <w:t>me</w:t>
      </w:r>
      <w:r w:rsidR="00211DA1" w:rsidRPr="0040294D">
        <w:rPr>
          <w:color w:val="000000" w:themeColor="text1"/>
          <w:lang w:val="en-GB" w:eastAsia="zh-CN"/>
        </w:rPr>
        <w:t xml:space="preserve"> where</w:t>
      </w:r>
      <w:r w:rsidR="00BC3B94" w:rsidRPr="0040294D">
        <w:rPr>
          <w:color w:val="000000" w:themeColor="text1"/>
          <w:lang w:val="en-GB" w:eastAsia="zh-CN"/>
        </w:rPr>
        <w:t>by</w:t>
      </w:r>
      <w:r w:rsidR="00211DA1" w:rsidRPr="0040294D">
        <w:rPr>
          <w:color w:val="000000" w:themeColor="text1"/>
          <w:lang w:val="en-GB" w:eastAsia="zh-CN"/>
        </w:rPr>
        <w:t xml:space="preserve"> mentors </w:t>
      </w:r>
      <w:r w:rsidR="00211DA1" w:rsidRPr="0040294D">
        <w:rPr>
          <w:color w:val="000000" w:themeColor="text1"/>
          <w:lang w:val="en-GB" w:eastAsia="zh-CN"/>
        </w:rPr>
        <w:lastRenderedPageBreak/>
        <w:t xml:space="preserve">from </w:t>
      </w:r>
      <w:r w:rsidRPr="0040294D">
        <w:rPr>
          <w:color w:val="000000" w:themeColor="text1"/>
          <w:lang w:val="en-GB" w:eastAsia="zh-CN"/>
        </w:rPr>
        <w:t xml:space="preserve">the </w:t>
      </w:r>
      <w:r w:rsidR="00211DA1" w:rsidRPr="0040294D">
        <w:rPr>
          <w:color w:val="000000" w:themeColor="text1"/>
          <w:lang w:val="en-GB" w:eastAsia="zh-CN"/>
        </w:rPr>
        <w:t xml:space="preserve">acquiring company support </w:t>
      </w:r>
      <w:r w:rsidR="00D324C1" w:rsidRPr="0040294D">
        <w:rPr>
          <w:color w:val="000000" w:themeColor="text1"/>
          <w:lang w:val="en-GB" w:eastAsia="zh-CN"/>
        </w:rPr>
        <w:t xml:space="preserve">mentees within </w:t>
      </w:r>
      <w:r w:rsidRPr="0040294D">
        <w:rPr>
          <w:color w:val="000000" w:themeColor="text1"/>
          <w:lang w:val="en-GB" w:eastAsia="zh-CN"/>
        </w:rPr>
        <w:t xml:space="preserve">the </w:t>
      </w:r>
      <w:r w:rsidR="00211DA1" w:rsidRPr="0040294D">
        <w:rPr>
          <w:color w:val="000000" w:themeColor="text1"/>
          <w:lang w:val="en-GB" w:eastAsia="zh-CN"/>
        </w:rPr>
        <w:t xml:space="preserve">acquired </w:t>
      </w:r>
      <w:r w:rsidR="003E51B9" w:rsidRPr="0040294D">
        <w:rPr>
          <w:color w:val="000000" w:themeColor="text1"/>
          <w:lang w:val="en-GB" w:eastAsia="zh-CN"/>
        </w:rPr>
        <w:t xml:space="preserve">firm </w:t>
      </w:r>
      <w:r w:rsidR="00211DA1" w:rsidRPr="0040294D">
        <w:rPr>
          <w:color w:val="000000" w:themeColor="text1"/>
          <w:lang w:val="en-GB" w:eastAsia="zh-CN"/>
        </w:rPr>
        <w:t xml:space="preserve">during </w:t>
      </w:r>
      <w:r w:rsidRPr="0040294D">
        <w:rPr>
          <w:color w:val="000000" w:themeColor="text1"/>
          <w:lang w:val="en-GB" w:eastAsia="zh-CN"/>
        </w:rPr>
        <w:t xml:space="preserve">the </w:t>
      </w:r>
      <w:r w:rsidR="00211DA1" w:rsidRPr="0040294D">
        <w:rPr>
          <w:color w:val="000000" w:themeColor="text1"/>
          <w:lang w:val="en-GB" w:eastAsia="zh-CN"/>
        </w:rPr>
        <w:t>post-acquisition phase</w:t>
      </w:r>
      <w:r w:rsidR="00F31BC9" w:rsidRPr="0040294D">
        <w:rPr>
          <w:color w:val="000000" w:themeColor="text1"/>
          <w:lang w:val="en-GB" w:eastAsia="zh-CN"/>
        </w:rPr>
        <w:t>,</w:t>
      </w:r>
      <w:r w:rsidR="004C40A8" w:rsidRPr="0040294D">
        <w:rPr>
          <w:color w:val="000000" w:themeColor="text1"/>
          <w:lang w:val="en-GB" w:eastAsia="zh-CN"/>
        </w:rPr>
        <w:t xml:space="preserve"> and vice-versa</w:t>
      </w:r>
      <w:r w:rsidR="00211DA1" w:rsidRPr="0040294D">
        <w:rPr>
          <w:color w:val="000000" w:themeColor="text1"/>
          <w:lang w:val="en-GB" w:eastAsia="zh-CN"/>
        </w:rPr>
        <w:t>. These type</w:t>
      </w:r>
      <w:r w:rsidR="003E51B9" w:rsidRPr="0040294D">
        <w:rPr>
          <w:color w:val="000000" w:themeColor="text1"/>
          <w:lang w:val="en-GB" w:eastAsia="zh-CN"/>
        </w:rPr>
        <w:t>s</w:t>
      </w:r>
      <w:r w:rsidR="00211DA1" w:rsidRPr="0040294D">
        <w:rPr>
          <w:color w:val="000000" w:themeColor="text1"/>
          <w:lang w:val="en-GB" w:eastAsia="zh-CN"/>
        </w:rPr>
        <w:t xml:space="preserve"> of </w:t>
      </w:r>
      <w:r w:rsidR="00F31BC9" w:rsidRPr="0040294D">
        <w:rPr>
          <w:color w:val="000000" w:themeColor="text1"/>
          <w:lang w:val="en-GB" w:eastAsia="zh-CN"/>
        </w:rPr>
        <w:t>initiative</w:t>
      </w:r>
      <w:r w:rsidR="00211DA1" w:rsidRPr="0040294D">
        <w:rPr>
          <w:color w:val="000000" w:themeColor="text1"/>
          <w:lang w:val="en-GB" w:eastAsia="zh-CN"/>
        </w:rPr>
        <w:t xml:space="preserve"> are usually not costly but lead to high</w:t>
      </w:r>
      <w:r w:rsidR="00BC3B94" w:rsidRPr="0040294D">
        <w:rPr>
          <w:color w:val="000000" w:themeColor="text1"/>
          <w:lang w:val="en-GB" w:eastAsia="zh-CN"/>
        </w:rPr>
        <w:t>-</w:t>
      </w:r>
      <w:r w:rsidR="00211DA1" w:rsidRPr="0040294D">
        <w:rPr>
          <w:color w:val="000000" w:themeColor="text1"/>
          <w:lang w:val="en-GB" w:eastAsia="zh-CN"/>
        </w:rPr>
        <w:t>performance</w:t>
      </w:r>
      <w:r w:rsidR="00143794">
        <w:rPr>
          <w:color w:val="000000" w:themeColor="text1"/>
          <w:lang w:val="en-GB" w:eastAsia="zh-CN"/>
        </w:rPr>
        <w:t>-</w:t>
      </w:r>
      <w:r w:rsidR="004770EC" w:rsidRPr="0040294D">
        <w:rPr>
          <w:color w:val="000000" w:themeColor="text1"/>
          <w:lang w:val="en-GB" w:eastAsia="zh-CN"/>
        </w:rPr>
        <w:t>work</w:t>
      </w:r>
      <w:r w:rsidR="00143794">
        <w:rPr>
          <w:color w:val="000000" w:themeColor="text1"/>
          <w:lang w:val="en-GB" w:eastAsia="zh-CN"/>
        </w:rPr>
        <w:t>-</w:t>
      </w:r>
      <w:r w:rsidR="004770EC" w:rsidRPr="0040294D">
        <w:rPr>
          <w:color w:val="000000" w:themeColor="text1"/>
          <w:lang w:val="en-GB" w:eastAsia="zh-CN"/>
        </w:rPr>
        <w:t>practices</w:t>
      </w:r>
      <w:r w:rsidR="00211DA1" w:rsidRPr="0040294D">
        <w:rPr>
          <w:color w:val="000000" w:themeColor="text1"/>
          <w:lang w:val="en-GB" w:eastAsia="zh-CN"/>
        </w:rPr>
        <w:t>.</w:t>
      </w:r>
      <w:r w:rsidR="004770EC" w:rsidRPr="0040294D">
        <w:rPr>
          <w:color w:val="000000" w:themeColor="text1"/>
          <w:lang w:val="en-GB" w:eastAsia="zh-CN"/>
        </w:rPr>
        <w:t xml:space="preserve"> Practitioners </w:t>
      </w:r>
      <w:r w:rsidR="00BC3B94" w:rsidRPr="0040294D">
        <w:rPr>
          <w:color w:val="000000" w:themeColor="text1"/>
          <w:lang w:val="en-GB" w:eastAsia="zh-CN"/>
        </w:rPr>
        <w:t xml:space="preserve">might </w:t>
      </w:r>
      <w:r w:rsidR="004770EC" w:rsidRPr="0040294D">
        <w:rPr>
          <w:color w:val="000000" w:themeColor="text1"/>
          <w:lang w:val="en-GB" w:eastAsia="zh-CN"/>
        </w:rPr>
        <w:t>also think about the optimal slack</w:t>
      </w:r>
      <w:r w:rsidR="0040294D">
        <w:rPr>
          <w:color w:val="000000" w:themeColor="text1"/>
          <w:lang w:val="en-GB" w:eastAsia="zh-CN"/>
        </w:rPr>
        <w:t>—</w:t>
      </w:r>
      <w:r w:rsidR="004770EC" w:rsidRPr="0040294D">
        <w:rPr>
          <w:color w:val="000000" w:themeColor="text1"/>
          <w:lang w:val="en-GB" w:eastAsia="zh-CN"/>
        </w:rPr>
        <w:t>the point at which financial resources will have the maximum pos</w:t>
      </w:r>
      <w:r w:rsidR="004C40A8" w:rsidRPr="0040294D">
        <w:rPr>
          <w:color w:val="000000" w:themeColor="text1"/>
          <w:lang w:val="en-GB" w:eastAsia="zh-CN"/>
        </w:rPr>
        <w:t>itive</w:t>
      </w:r>
      <w:r w:rsidR="004770EC" w:rsidRPr="0040294D">
        <w:rPr>
          <w:color w:val="000000" w:themeColor="text1"/>
          <w:lang w:val="en-GB" w:eastAsia="zh-CN"/>
        </w:rPr>
        <w:t xml:space="preserve"> </w:t>
      </w:r>
      <w:r w:rsidR="00BC3B94" w:rsidRPr="0040294D">
        <w:rPr>
          <w:color w:val="000000" w:themeColor="text1"/>
          <w:lang w:val="en-GB" w:eastAsia="zh-CN"/>
        </w:rPr>
        <w:t xml:space="preserve">impact </w:t>
      </w:r>
      <w:r w:rsidR="004770EC" w:rsidRPr="0040294D">
        <w:rPr>
          <w:color w:val="000000" w:themeColor="text1"/>
          <w:lang w:val="en-GB" w:eastAsia="zh-CN"/>
        </w:rPr>
        <w:t xml:space="preserve">on </w:t>
      </w:r>
      <w:r w:rsidR="003E51B9" w:rsidRPr="0040294D">
        <w:rPr>
          <w:color w:val="000000" w:themeColor="text1"/>
          <w:lang w:val="en-GB" w:eastAsia="zh-CN"/>
        </w:rPr>
        <w:t>acquisition</w:t>
      </w:r>
      <w:r w:rsidR="004770EC" w:rsidRPr="0040294D">
        <w:rPr>
          <w:color w:val="000000" w:themeColor="text1"/>
          <w:lang w:val="en-GB" w:eastAsia="zh-CN"/>
        </w:rPr>
        <w:t xml:space="preserve"> performance.</w:t>
      </w:r>
    </w:p>
    <w:p w14:paraId="3CE6188B" w14:textId="77777777" w:rsidR="00306869" w:rsidRPr="0040294D" w:rsidRDefault="00306869" w:rsidP="00EE621D">
      <w:pPr>
        <w:spacing w:line="480" w:lineRule="auto"/>
        <w:ind w:firstLine="284"/>
        <w:jc w:val="both"/>
        <w:rPr>
          <w:color w:val="000000" w:themeColor="text1"/>
          <w:lang w:val="en-GB" w:eastAsia="zh-CN"/>
        </w:rPr>
      </w:pPr>
    </w:p>
    <w:p w14:paraId="4D3D678C" w14:textId="77777777" w:rsidR="00FD2A48" w:rsidRPr="0040294D" w:rsidRDefault="00FD2A48" w:rsidP="00FD2A48">
      <w:pPr>
        <w:spacing w:line="480" w:lineRule="auto"/>
        <w:jc w:val="both"/>
        <w:rPr>
          <w:b/>
          <w:i/>
          <w:iCs/>
          <w:color w:val="000000" w:themeColor="text1"/>
          <w:lang w:val="en-GB" w:eastAsia="zh-CN"/>
        </w:rPr>
      </w:pPr>
      <w:r w:rsidRPr="0040294D">
        <w:rPr>
          <w:b/>
          <w:i/>
          <w:iCs/>
          <w:color w:val="000000" w:themeColor="text1"/>
          <w:lang w:val="en-GB" w:eastAsia="zh-CN"/>
        </w:rPr>
        <w:t>Limitations and Future Research Agenda</w:t>
      </w:r>
    </w:p>
    <w:p w14:paraId="307FBF9D" w14:textId="53686290" w:rsidR="005B19C9" w:rsidRDefault="005B19C9" w:rsidP="00616215">
      <w:pPr>
        <w:spacing w:line="480" w:lineRule="auto"/>
        <w:jc w:val="both"/>
        <w:rPr>
          <w:color w:val="000000" w:themeColor="text1"/>
          <w:lang w:val="en-GB"/>
        </w:rPr>
      </w:pPr>
      <w:r>
        <w:rPr>
          <w:color w:val="000000" w:themeColor="text1"/>
          <w:lang w:val="en-GB"/>
        </w:rPr>
        <w:t xml:space="preserve">This </w:t>
      </w:r>
      <w:r w:rsidR="00616215">
        <w:rPr>
          <w:color w:val="000000" w:themeColor="text1"/>
          <w:lang w:val="en-GB"/>
        </w:rPr>
        <w:t>study</w:t>
      </w:r>
      <w:r>
        <w:rPr>
          <w:color w:val="000000" w:themeColor="text1"/>
          <w:lang w:val="en-GB"/>
        </w:rPr>
        <w:t xml:space="preserve"> has some limitations, which are important to acknowledge in order to better understand and contextualize our findings. First, w</w:t>
      </w:r>
      <w:r w:rsidRPr="0040294D">
        <w:rPr>
          <w:color w:val="000000" w:themeColor="text1"/>
          <w:lang w:val="en-GB"/>
        </w:rPr>
        <w:t>e limited our geographical focus to US acquisitions undertaken by French firms. Any generali</w:t>
      </w:r>
      <w:r>
        <w:rPr>
          <w:color w:val="000000" w:themeColor="text1"/>
          <w:lang w:val="en-GB"/>
        </w:rPr>
        <w:t>s</w:t>
      </w:r>
      <w:r w:rsidRPr="0040294D">
        <w:rPr>
          <w:color w:val="000000" w:themeColor="text1"/>
          <w:lang w:val="en-GB"/>
        </w:rPr>
        <w:t>ation of our findings to other regions of the world should thus be made with caution. Future research aiming to cover a wider diversity of national practices is encouraged.</w:t>
      </w:r>
    </w:p>
    <w:p w14:paraId="2FE6C3BA" w14:textId="77777777" w:rsidR="005B19C9" w:rsidRDefault="005B19C9" w:rsidP="005B19C9">
      <w:pPr>
        <w:spacing w:line="480" w:lineRule="auto"/>
        <w:ind w:firstLine="284"/>
        <w:jc w:val="both"/>
        <w:rPr>
          <w:color w:val="000000" w:themeColor="text1"/>
          <w:lang w:val="en-GB"/>
        </w:rPr>
      </w:pPr>
      <w:r>
        <w:rPr>
          <w:color w:val="000000" w:themeColor="text1"/>
          <w:lang w:val="en-GB"/>
        </w:rPr>
        <w:t xml:space="preserve">Second, prior studies have stressed the importance of linking acquisition motives to acquisition performance </w:t>
      </w:r>
      <w:r w:rsidRPr="0040294D">
        <w:rPr>
          <w:color w:val="000000" w:themeColor="text1"/>
          <w:lang w:val="en-GB"/>
        </w:rPr>
        <w:t>(</w:t>
      </w:r>
      <w:proofErr w:type="spellStart"/>
      <w:r>
        <w:rPr>
          <w:color w:val="000000" w:themeColor="text1"/>
          <w:lang w:val="en-GB"/>
        </w:rPr>
        <w:t>Haleblian</w:t>
      </w:r>
      <w:proofErr w:type="spellEnd"/>
      <w:r>
        <w:rPr>
          <w:color w:val="000000" w:themeColor="text1"/>
          <w:lang w:val="en-GB"/>
        </w:rPr>
        <w:t xml:space="preserve"> </w:t>
      </w:r>
      <w:r w:rsidRPr="00BA6223">
        <w:rPr>
          <w:color w:val="000000" w:themeColor="text1"/>
          <w:lang w:val="en-GB"/>
        </w:rPr>
        <w:t>et al</w:t>
      </w:r>
      <w:r>
        <w:rPr>
          <w:color w:val="000000" w:themeColor="text1"/>
          <w:lang w:val="en-GB"/>
        </w:rPr>
        <w:t xml:space="preserve">., 2009; </w:t>
      </w:r>
      <w:proofErr w:type="spellStart"/>
      <w:r w:rsidRPr="0040294D">
        <w:rPr>
          <w:color w:val="000000" w:themeColor="text1"/>
          <w:lang w:val="en-GB"/>
        </w:rPr>
        <w:t>Rabier</w:t>
      </w:r>
      <w:proofErr w:type="spellEnd"/>
      <w:r w:rsidRPr="0040294D">
        <w:rPr>
          <w:color w:val="000000" w:themeColor="text1"/>
          <w:lang w:val="en-GB"/>
        </w:rPr>
        <w:t>, 2017)</w:t>
      </w:r>
      <w:r>
        <w:rPr>
          <w:color w:val="000000" w:themeColor="text1"/>
          <w:lang w:val="en-GB"/>
        </w:rPr>
        <w:t xml:space="preserve">. Consistent with this literature, using acquisition divestment as an indication of acquisition failure should be done </w:t>
      </w:r>
      <w:r w:rsidRPr="0040294D">
        <w:rPr>
          <w:color w:val="000000" w:themeColor="text1"/>
          <w:lang w:val="en-GB"/>
        </w:rPr>
        <w:t xml:space="preserve">with regard to the </w:t>
      </w:r>
      <w:r>
        <w:rPr>
          <w:color w:val="000000" w:themeColor="text1"/>
          <w:lang w:val="en-GB"/>
        </w:rPr>
        <w:t>firm</w:t>
      </w:r>
      <w:r w:rsidRPr="0040294D">
        <w:rPr>
          <w:color w:val="000000" w:themeColor="text1"/>
          <w:lang w:val="en-GB"/>
        </w:rPr>
        <w:t>’s initial motive for the acquisition</w:t>
      </w:r>
      <w:r>
        <w:rPr>
          <w:color w:val="000000" w:themeColor="text1"/>
          <w:lang w:val="en-GB"/>
        </w:rPr>
        <w:t xml:space="preserve">. Divesting an acquisition may be interpreted differently if the acquirer’s initial motive was to achieve operating or financial synergies, to diversify into a new business, to expand into a foreign market or to gain access to new technology and knowledge. In order to account for this possible interpretation bias, further research on the link between acquisition divestment and acquisition performance should be conducted using an in-depth and fine-grained analysis of acquirer’s motives at both extremes of the acquisition’s lifecycle, </w:t>
      </w:r>
      <w:r w:rsidRPr="000249A2">
        <w:rPr>
          <w:color w:val="000000" w:themeColor="text1"/>
          <w:lang w:val="en-GB"/>
        </w:rPr>
        <w:t>i.e.,</w:t>
      </w:r>
      <w:r>
        <w:rPr>
          <w:color w:val="000000" w:themeColor="text1"/>
          <w:lang w:val="en-GB"/>
        </w:rPr>
        <w:t xml:space="preserve"> at the initial acquisition and final divestment stages.</w:t>
      </w:r>
    </w:p>
    <w:p w14:paraId="42EF7A4E" w14:textId="38BC9194" w:rsidR="005B19C9" w:rsidRDefault="005B19C9" w:rsidP="00B16149">
      <w:pPr>
        <w:spacing w:line="480" w:lineRule="auto"/>
        <w:ind w:firstLine="284"/>
        <w:jc w:val="both"/>
        <w:rPr>
          <w:color w:val="000000" w:themeColor="text1"/>
          <w:lang w:val="en-GB"/>
        </w:rPr>
      </w:pPr>
      <w:r>
        <w:rPr>
          <w:color w:val="000000" w:themeColor="text1"/>
          <w:lang w:val="en-GB"/>
        </w:rPr>
        <w:t xml:space="preserve">Third, and linked to the previous limitation, firms aiming to access assets and knowledge that they do not own may rely on either acquisitions or strategic (equity or non-equity) alliances. The distinction between these two growth modes has been greatly discussed in prior research which has </w:t>
      </w:r>
      <w:r>
        <w:rPr>
          <w:color w:val="000000" w:themeColor="text1"/>
          <w:lang w:val="en-GB"/>
        </w:rPr>
        <w:lastRenderedPageBreak/>
        <w:t>highlighted the main comparative advantages of acquisitions and strategic alliances (</w:t>
      </w:r>
      <w:proofErr w:type="spellStart"/>
      <w:r>
        <w:rPr>
          <w:color w:val="000000" w:themeColor="text1"/>
          <w:lang w:val="en-GB"/>
        </w:rPr>
        <w:t>Reuer</w:t>
      </w:r>
      <w:proofErr w:type="spellEnd"/>
      <w:r>
        <w:rPr>
          <w:color w:val="000000" w:themeColor="text1"/>
          <w:lang w:val="en-GB"/>
        </w:rPr>
        <w:t xml:space="preserve"> and </w:t>
      </w:r>
      <w:proofErr w:type="spellStart"/>
      <w:r>
        <w:rPr>
          <w:color w:val="000000" w:themeColor="text1"/>
          <w:lang w:val="en-GB"/>
        </w:rPr>
        <w:t>Koza</w:t>
      </w:r>
      <w:proofErr w:type="spellEnd"/>
      <w:r w:rsidR="00B16149">
        <w:rPr>
          <w:color w:val="000000" w:themeColor="text1"/>
          <w:lang w:val="en-GB"/>
        </w:rPr>
        <w:t>, 2000</w:t>
      </w:r>
      <w:r>
        <w:rPr>
          <w:color w:val="000000" w:themeColor="text1"/>
          <w:lang w:val="en-GB"/>
        </w:rPr>
        <w:t xml:space="preserve"> </w:t>
      </w:r>
      <w:r w:rsidR="00B16149">
        <w:rPr>
          <w:color w:val="000000" w:themeColor="text1"/>
          <w:lang w:val="en-GB"/>
        </w:rPr>
        <w:t>vs.</w:t>
      </w:r>
      <w:r>
        <w:rPr>
          <w:color w:val="000000" w:themeColor="text1"/>
          <w:lang w:val="en-GB"/>
        </w:rPr>
        <w:t xml:space="preserve"> </w:t>
      </w:r>
      <w:proofErr w:type="spellStart"/>
      <w:r>
        <w:rPr>
          <w:color w:val="000000" w:themeColor="text1"/>
          <w:lang w:val="en-GB"/>
        </w:rPr>
        <w:t>Hennart</w:t>
      </w:r>
      <w:proofErr w:type="spellEnd"/>
      <w:r>
        <w:rPr>
          <w:color w:val="000000" w:themeColor="text1"/>
          <w:lang w:val="en-GB"/>
        </w:rPr>
        <w:t xml:space="preserve"> and Reddy</w:t>
      </w:r>
      <w:r w:rsidR="00B16149">
        <w:rPr>
          <w:color w:val="000000" w:themeColor="text1"/>
          <w:lang w:val="en-GB"/>
        </w:rPr>
        <w:t>, 2000</w:t>
      </w:r>
      <w:r>
        <w:rPr>
          <w:color w:val="000000" w:themeColor="text1"/>
          <w:lang w:val="en-GB"/>
        </w:rPr>
        <w:t xml:space="preserve"> </w:t>
      </w:r>
      <w:r w:rsidR="00B16149">
        <w:rPr>
          <w:color w:val="000000" w:themeColor="text1"/>
          <w:lang w:val="en-GB"/>
        </w:rPr>
        <w:t>debate</w:t>
      </w:r>
      <w:r>
        <w:rPr>
          <w:color w:val="000000" w:themeColor="text1"/>
          <w:lang w:val="en-GB"/>
        </w:rPr>
        <w:t xml:space="preserve">). </w:t>
      </w:r>
      <w:r w:rsidR="00B16149">
        <w:rPr>
          <w:color w:val="000000" w:themeColor="text1"/>
          <w:lang w:val="en-GB"/>
        </w:rPr>
        <w:t>In the</w:t>
      </w:r>
      <w:r>
        <w:rPr>
          <w:color w:val="000000" w:themeColor="text1"/>
          <w:lang w:val="en-GB"/>
        </w:rPr>
        <w:t xml:space="preserve"> context of </w:t>
      </w:r>
      <w:r w:rsidRPr="000249A2">
        <w:rPr>
          <w:bCs/>
          <w:color w:val="000000" w:themeColor="text1"/>
          <w:lang w:val="en-US"/>
        </w:rPr>
        <w:t>US acquisitions</w:t>
      </w:r>
      <w:r>
        <w:rPr>
          <w:bCs/>
          <w:color w:val="000000" w:themeColor="text1"/>
          <w:lang w:val="en-US"/>
        </w:rPr>
        <w:t xml:space="preserve">, </w:t>
      </w:r>
      <w:r>
        <w:rPr>
          <w:color w:val="000000" w:themeColor="text1"/>
          <w:lang w:val="en-GB"/>
        </w:rPr>
        <w:t>it is highly likely that the 59 French firms in our sample initially compared these two growth modes and finally opted for acquiring a US firm. Consequently, the acquisition decision is endogenous and self-selected by our sample</w:t>
      </w:r>
      <w:r w:rsidR="004A1B58">
        <w:rPr>
          <w:color w:val="000000" w:themeColor="text1"/>
          <w:lang w:val="en-GB"/>
        </w:rPr>
        <w:t xml:space="preserve"> firms</w:t>
      </w:r>
      <w:r>
        <w:rPr>
          <w:color w:val="000000" w:themeColor="text1"/>
          <w:lang w:val="en-GB"/>
        </w:rPr>
        <w:t>. While we controlled for several</w:t>
      </w:r>
      <w:r w:rsidRPr="0040294D">
        <w:rPr>
          <w:bCs/>
          <w:color w:val="000000" w:themeColor="text1"/>
          <w:lang w:val="en-GB"/>
        </w:rPr>
        <w:t xml:space="preserve"> variables at acquirer, acquis</w:t>
      </w:r>
      <w:r>
        <w:rPr>
          <w:bCs/>
          <w:color w:val="000000" w:themeColor="text1"/>
          <w:lang w:val="en-GB"/>
        </w:rPr>
        <w:t xml:space="preserve">ition, and acquired firm levels, our data did not allow us to account for the potential influence </w:t>
      </w:r>
      <w:r>
        <w:rPr>
          <w:color w:val="000000" w:themeColor="text1"/>
          <w:lang w:val="en-GB"/>
        </w:rPr>
        <w:t xml:space="preserve">of this endogeneity on </w:t>
      </w:r>
      <w:r w:rsidRPr="0040294D">
        <w:rPr>
          <w:bCs/>
          <w:color w:val="000000" w:themeColor="text1"/>
          <w:lang w:val="en-GB"/>
        </w:rPr>
        <w:t xml:space="preserve">the probability of </w:t>
      </w:r>
      <w:r>
        <w:rPr>
          <w:bCs/>
          <w:color w:val="000000" w:themeColor="text1"/>
          <w:lang w:val="en-GB"/>
        </w:rPr>
        <w:t>acquisition</w:t>
      </w:r>
      <w:r w:rsidRPr="0040294D">
        <w:rPr>
          <w:bCs/>
          <w:color w:val="000000" w:themeColor="text1"/>
          <w:lang w:val="en-GB"/>
        </w:rPr>
        <w:t xml:space="preserve"> divestment</w:t>
      </w:r>
      <w:r>
        <w:rPr>
          <w:bCs/>
          <w:color w:val="000000" w:themeColor="text1"/>
          <w:lang w:val="en-GB"/>
        </w:rPr>
        <w:t>. Consequently, a promising direction for future research would be to identify and compare the selection determinants and divestment probabilities for acquisitions and strategic alliances.</w:t>
      </w:r>
    </w:p>
    <w:p w14:paraId="7833E3F7" w14:textId="6279B784" w:rsidR="005B19C9" w:rsidRPr="0040294D" w:rsidRDefault="005B19C9" w:rsidP="00B16149">
      <w:pPr>
        <w:spacing w:line="480" w:lineRule="auto"/>
        <w:ind w:firstLine="284"/>
        <w:jc w:val="both"/>
        <w:rPr>
          <w:color w:val="000000" w:themeColor="text1"/>
          <w:lang w:val="en-GB"/>
        </w:rPr>
      </w:pPr>
      <w:r>
        <w:rPr>
          <w:color w:val="000000" w:themeColor="text1"/>
          <w:lang w:val="en-GB"/>
        </w:rPr>
        <w:t xml:space="preserve">Last, </w:t>
      </w:r>
      <w:r w:rsidR="00B16149">
        <w:rPr>
          <w:bCs/>
          <w:color w:val="000000" w:themeColor="text1"/>
          <w:lang w:val="en-GB"/>
        </w:rPr>
        <w:t>measuring</w:t>
      </w:r>
      <w:r w:rsidRPr="0040294D">
        <w:rPr>
          <w:bCs/>
          <w:color w:val="000000" w:themeColor="text1"/>
          <w:lang w:val="en-GB"/>
        </w:rPr>
        <w:t xml:space="preserve"> </w:t>
      </w:r>
      <w:r w:rsidRPr="0040294D">
        <w:rPr>
          <w:bCs/>
          <w:i/>
          <w:color w:val="000000" w:themeColor="text1"/>
          <w:lang w:val="en-GB"/>
        </w:rPr>
        <w:t>acquirer</w:t>
      </w:r>
      <w:r w:rsidRPr="0040294D">
        <w:rPr>
          <w:bCs/>
          <w:color w:val="000000" w:themeColor="text1"/>
          <w:lang w:val="en-GB"/>
        </w:rPr>
        <w:t xml:space="preserve"> </w:t>
      </w:r>
      <w:r>
        <w:rPr>
          <w:bCs/>
          <w:i/>
          <w:color w:val="000000" w:themeColor="text1"/>
          <w:lang w:val="en-GB"/>
        </w:rPr>
        <w:t>HRM-quality</w:t>
      </w:r>
      <w:r w:rsidRPr="0040294D">
        <w:rPr>
          <w:bCs/>
          <w:color w:val="000000" w:themeColor="text1"/>
          <w:lang w:val="en-GB"/>
        </w:rPr>
        <w:t xml:space="preserve"> </w:t>
      </w:r>
      <w:r>
        <w:rPr>
          <w:bCs/>
          <w:color w:val="000000" w:themeColor="text1"/>
          <w:lang w:val="en-GB"/>
        </w:rPr>
        <w:t xml:space="preserve">independent </w:t>
      </w:r>
      <w:r w:rsidRPr="0040294D">
        <w:rPr>
          <w:bCs/>
          <w:color w:val="000000" w:themeColor="text1"/>
          <w:lang w:val="en-GB"/>
        </w:rPr>
        <w:t>variable</w:t>
      </w:r>
      <w:r w:rsidRPr="0040294D">
        <w:rPr>
          <w:color w:val="000000" w:themeColor="text1"/>
          <w:lang w:val="en-GB"/>
        </w:rPr>
        <w:t xml:space="preserve"> </w:t>
      </w:r>
      <w:r w:rsidR="00B16149">
        <w:rPr>
          <w:color w:val="000000" w:themeColor="text1"/>
          <w:lang w:val="en-GB"/>
        </w:rPr>
        <w:t>originated from a high-</w:t>
      </w:r>
      <w:r w:rsidR="00B16149" w:rsidRPr="0040294D">
        <w:rPr>
          <w:color w:val="000000" w:themeColor="text1"/>
          <w:lang w:val="en-GB"/>
        </w:rPr>
        <w:t>credibility</w:t>
      </w:r>
      <w:r w:rsidR="00B16149">
        <w:rPr>
          <w:color w:val="000000" w:themeColor="text1"/>
          <w:lang w:val="en-GB"/>
        </w:rPr>
        <w:t xml:space="preserve"> rating agency</w:t>
      </w:r>
      <w:r w:rsidRPr="0040294D">
        <w:rPr>
          <w:color w:val="000000" w:themeColor="text1"/>
          <w:lang w:val="en-GB"/>
        </w:rPr>
        <w:t xml:space="preserve">, and its database has the most comprehensive listing of French firms; nonetheless, ESG criteria used to measure </w:t>
      </w:r>
      <w:r>
        <w:rPr>
          <w:color w:val="000000" w:themeColor="text1"/>
          <w:lang w:val="en-GB"/>
        </w:rPr>
        <w:t>HRM-quality</w:t>
      </w:r>
      <w:r w:rsidRPr="0040294D">
        <w:rPr>
          <w:color w:val="000000" w:themeColor="text1"/>
          <w:lang w:val="en-GB"/>
        </w:rPr>
        <w:t xml:space="preserve"> levels may not be optimal. </w:t>
      </w:r>
      <w:r>
        <w:rPr>
          <w:color w:val="000000" w:themeColor="text1"/>
          <w:lang w:val="en-GB"/>
        </w:rPr>
        <w:t xml:space="preserve">Moreover, the HRM-quality score we used aggregates several HRM components and </w:t>
      </w:r>
      <w:r w:rsidRPr="0040294D">
        <w:rPr>
          <w:color w:val="000000" w:themeColor="text1"/>
          <w:lang w:val="en-GB"/>
        </w:rPr>
        <w:t xml:space="preserve">one needs to be mindful of </w:t>
      </w:r>
      <w:r>
        <w:rPr>
          <w:color w:val="000000" w:themeColor="text1"/>
          <w:lang w:val="en-GB"/>
        </w:rPr>
        <w:t xml:space="preserve">the use of </w:t>
      </w:r>
      <w:r w:rsidR="004A1B58">
        <w:rPr>
          <w:color w:val="000000" w:themeColor="text1"/>
          <w:lang w:val="en-GB"/>
        </w:rPr>
        <w:t xml:space="preserve">such </w:t>
      </w:r>
      <w:r>
        <w:rPr>
          <w:color w:val="000000" w:themeColor="text1"/>
          <w:lang w:val="en-GB"/>
        </w:rPr>
        <w:t xml:space="preserve">an aggregated score </w:t>
      </w:r>
      <w:r w:rsidRPr="0040294D">
        <w:rPr>
          <w:color w:val="000000" w:themeColor="text1"/>
          <w:lang w:val="en-GB"/>
        </w:rPr>
        <w:t xml:space="preserve">when interpreting our findings. A natural extension of this research would be to inquire whether a similar curvilinear relationship can be found for disaggregated </w:t>
      </w:r>
      <w:r>
        <w:rPr>
          <w:color w:val="000000" w:themeColor="text1"/>
          <w:lang w:val="en-GB"/>
        </w:rPr>
        <w:t>HRM-quality</w:t>
      </w:r>
      <w:r w:rsidRPr="0040294D">
        <w:rPr>
          <w:color w:val="000000" w:themeColor="text1"/>
          <w:lang w:val="en-GB"/>
        </w:rPr>
        <w:t xml:space="preserve"> components. Thus, we encourage other</w:t>
      </w:r>
      <w:r>
        <w:rPr>
          <w:color w:val="000000" w:themeColor="text1"/>
          <w:lang w:val="en-GB"/>
        </w:rPr>
        <w:t xml:space="preserve"> scholars</w:t>
      </w:r>
      <w:r w:rsidRPr="0040294D">
        <w:rPr>
          <w:color w:val="000000" w:themeColor="text1"/>
          <w:lang w:val="en-GB"/>
        </w:rPr>
        <w:t xml:space="preserve"> to explore the impact of individual-level </w:t>
      </w:r>
      <w:r>
        <w:rPr>
          <w:color w:val="000000" w:themeColor="text1"/>
          <w:lang w:val="en-GB"/>
        </w:rPr>
        <w:t>HRM-quality</w:t>
      </w:r>
      <w:r w:rsidRPr="0040294D">
        <w:rPr>
          <w:color w:val="000000" w:themeColor="text1"/>
          <w:lang w:val="en-GB"/>
        </w:rPr>
        <w:t xml:space="preserve"> </w:t>
      </w:r>
      <w:r>
        <w:rPr>
          <w:color w:val="000000" w:themeColor="text1"/>
          <w:lang w:val="en-GB"/>
        </w:rPr>
        <w:t>components</w:t>
      </w:r>
      <w:r w:rsidRPr="0040294D">
        <w:rPr>
          <w:color w:val="000000" w:themeColor="text1"/>
          <w:lang w:val="en-GB"/>
        </w:rPr>
        <w:t xml:space="preserve"> (</w:t>
      </w:r>
      <w:r>
        <w:rPr>
          <w:color w:val="000000" w:themeColor="text1"/>
          <w:lang w:val="en-GB"/>
        </w:rPr>
        <w:t>e.g.,</w:t>
      </w:r>
      <w:r w:rsidRPr="0040294D">
        <w:rPr>
          <w:color w:val="000000" w:themeColor="text1"/>
          <w:lang w:val="en-GB"/>
        </w:rPr>
        <w:t xml:space="preserve"> </w:t>
      </w:r>
      <w:r>
        <w:rPr>
          <w:color w:val="000000" w:themeColor="text1"/>
          <w:lang w:val="en-GB"/>
        </w:rPr>
        <w:t>selection/</w:t>
      </w:r>
      <w:r w:rsidRPr="0040294D">
        <w:rPr>
          <w:color w:val="000000" w:themeColor="text1"/>
          <w:lang w:val="en-GB"/>
        </w:rPr>
        <w:t>remuneration</w:t>
      </w:r>
      <w:r>
        <w:rPr>
          <w:color w:val="000000" w:themeColor="text1"/>
          <w:lang w:val="en-GB"/>
        </w:rPr>
        <w:t>/</w:t>
      </w:r>
      <w:r w:rsidRPr="0040294D">
        <w:rPr>
          <w:color w:val="000000" w:themeColor="text1"/>
          <w:lang w:val="en-GB"/>
        </w:rPr>
        <w:t>training) or mediators of the ability-motivation-opportunity framework on acquisition outcomes. Likewise, in future research, other forms of slack (</w:t>
      </w:r>
      <w:r w:rsidRPr="00BA6223">
        <w:rPr>
          <w:color w:val="000000" w:themeColor="text1"/>
          <w:lang w:val="en-GB"/>
        </w:rPr>
        <w:t>i</w:t>
      </w:r>
      <w:r w:rsidRPr="00E229C3">
        <w:rPr>
          <w:color w:val="000000" w:themeColor="text1"/>
          <w:lang w:val="en-GB"/>
        </w:rPr>
        <w:t>.</w:t>
      </w:r>
      <w:r w:rsidRPr="00BA6223">
        <w:rPr>
          <w:color w:val="000000" w:themeColor="text1"/>
          <w:lang w:val="en-GB"/>
        </w:rPr>
        <w:t>e</w:t>
      </w:r>
      <w:r w:rsidRPr="00E229C3">
        <w:rPr>
          <w:color w:val="000000" w:themeColor="text1"/>
          <w:lang w:val="en-GB"/>
        </w:rPr>
        <w:t>.</w:t>
      </w:r>
      <w:r w:rsidRPr="0040294D">
        <w:rPr>
          <w:color w:val="000000" w:themeColor="text1"/>
          <w:lang w:val="en-GB"/>
        </w:rPr>
        <w:t>, innovational or managerial slack) could be considered as moderating variables. Finally, it would be of interest to explore whether the curvilinear relationship persists beyond the case of acquisitions and applies to other types of foreign direct investment (</w:t>
      </w:r>
      <w:r w:rsidRPr="00BA6223">
        <w:rPr>
          <w:color w:val="000000" w:themeColor="text1"/>
          <w:lang w:val="en-GB"/>
        </w:rPr>
        <w:t>i</w:t>
      </w:r>
      <w:r w:rsidRPr="00E229C3">
        <w:rPr>
          <w:color w:val="000000" w:themeColor="text1"/>
          <w:lang w:val="en-GB"/>
        </w:rPr>
        <w:t>.</w:t>
      </w:r>
      <w:r w:rsidRPr="00BA6223">
        <w:rPr>
          <w:color w:val="000000" w:themeColor="text1"/>
          <w:lang w:val="en-GB"/>
        </w:rPr>
        <w:t>e</w:t>
      </w:r>
      <w:r w:rsidRPr="00E229C3">
        <w:rPr>
          <w:color w:val="000000" w:themeColor="text1"/>
          <w:lang w:val="en-GB"/>
        </w:rPr>
        <w:t>.</w:t>
      </w:r>
      <w:r w:rsidRPr="0040294D">
        <w:rPr>
          <w:color w:val="000000" w:themeColor="text1"/>
          <w:lang w:val="en-GB"/>
        </w:rPr>
        <w:t>, wholly-owned subsidiaries or joint ventures).</w:t>
      </w:r>
    </w:p>
    <w:p w14:paraId="79BD6E91" w14:textId="77777777" w:rsidR="005B19C9" w:rsidRPr="0040294D" w:rsidRDefault="005B19C9" w:rsidP="005B19C9">
      <w:pPr>
        <w:spacing w:line="480" w:lineRule="auto"/>
        <w:ind w:firstLine="284"/>
        <w:jc w:val="both"/>
        <w:rPr>
          <w:color w:val="000000" w:themeColor="text1"/>
          <w:lang w:val="en-GB"/>
        </w:rPr>
      </w:pPr>
      <w:r w:rsidRPr="0040294D">
        <w:rPr>
          <w:color w:val="000000" w:themeColor="text1"/>
          <w:lang w:val="en-GB"/>
        </w:rPr>
        <w:lastRenderedPageBreak/>
        <w:t>In conclusion, we believe that understanding</w:t>
      </w:r>
      <w:r w:rsidRPr="0040294D" w:rsidDel="00324916">
        <w:rPr>
          <w:color w:val="000000" w:themeColor="text1"/>
          <w:lang w:val="en-GB"/>
        </w:rPr>
        <w:t xml:space="preserve"> </w:t>
      </w:r>
      <w:r w:rsidRPr="0040294D">
        <w:rPr>
          <w:color w:val="000000" w:themeColor="text1"/>
          <w:lang w:val="en-GB"/>
        </w:rPr>
        <w:t>why under- or overinvestment in HRM may not be optimal can provide abundant opportunities for research contributions to both HRM and acquisition literatures.</w:t>
      </w:r>
    </w:p>
    <w:p w14:paraId="1F510563" w14:textId="77777777" w:rsidR="005B19C9" w:rsidRPr="00CF520F" w:rsidRDefault="005B19C9" w:rsidP="001F1CDF">
      <w:pPr>
        <w:spacing w:line="480" w:lineRule="auto"/>
        <w:rPr>
          <w:color w:val="000000" w:themeColor="text1"/>
          <w:lang w:val="en-GB"/>
        </w:rPr>
      </w:pPr>
    </w:p>
    <w:p w14:paraId="47491200" w14:textId="7347A9FB" w:rsidR="001F1CDF" w:rsidRPr="0040294D" w:rsidRDefault="001F1CDF" w:rsidP="001F1CDF">
      <w:pPr>
        <w:spacing w:line="480" w:lineRule="auto"/>
        <w:rPr>
          <w:b/>
          <w:color w:val="000000" w:themeColor="text1"/>
          <w:sz w:val="28"/>
          <w:szCs w:val="28"/>
          <w:lang w:val="en-GB"/>
        </w:rPr>
      </w:pPr>
      <w:r w:rsidRPr="0040294D">
        <w:rPr>
          <w:b/>
          <w:color w:val="000000" w:themeColor="text1"/>
          <w:sz w:val="28"/>
          <w:szCs w:val="28"/>
          <w:lang w:val="en-GB"/>
        </w:rPr>
        <w:t>References</w:t>
      </w:r>
    </w:p>
    <w:p w14:paraId="5C3D2198" w14:textId="77777777" w:rsidR="002918F3" w:rsidRDefault="002918F3" w:rsidP="002918F3">
      <w:pPr>
        <w:spacing w:before="60" w:after="60"/>
        <w:ind w:left="567" w:hanging="567"/>
        <w:jc w:val="both"/>
        <w:rPr>
          <w:color w:val="000000" w:themeColor="text1"/>
          <w:lang w:val="en-GB"/>
        </w:rPr>
      </w:pPr>
      <w:r w:rsidRPr="0040294D">
        <w:rPr>
          <w:color w:val="000000" w:themeColor="text1"/>
          <w:lang w:val="en-GB"/>
        </w:rPr>
        <w:t xml:space="preserve">Aguilera, R. V., and </w:t>
      </w:r>
      <w:proofErr w:type="spellStart"/>
      <w:r w:rsidRPr="0040294D">
        <w:rPr>
          <w:color w:val="000000" w:themeColor="text1"/>
          <w:lang w:val="en-GB"/>
        </w:rPr>
        <w:t>Dencker</w:t>
      </w:r>
      <w:proofErr w:type="spellEnd"/>
      <w:r w:rsidRPr="0040294D">
        <w:rPr>
          <w:color w:val="000000" w:themeColor="text1"/>
          <w:lang w:val="en-GB"/>
        </w:rPr>
        <w:t xml:space="preserve">, J. C. (2004). ‘The role of human resource management in cross-border mergers and acquisitions’, </w:t>
      </w:r>
      <w:r w:rsidRPr="0040294D">
        <w:rPr>
          <w:i/>
          <w:color w:val="000000" w:themeColor="text1"/>
          <w:lang w:val="en-GB"/>
        </w:rPr>
        <w:t>International Journal of Human Resource Management</w:t>
      </w:r>
      <w:r w:rsidRPr="0040294D">
        <w:rPr>
          <w:color w:val="000000" w:themeColor="text1"/>
          <w:lang w:val="en-GB"/>
        </w:rPr>
        <w:t>,</w:t>
      </w:r>
      <w:r>
        <w:rPr>
          <w:color w:val="000000" w:themeColor="text1"/>
          <w:lang w:val="en-GB"/>
        </w:rPr>
        <w:t> </w:t>
      </w:r>
      <w:r w:rsidRPr="0040294D">
        <w:rPr>
          <w:b/>
          <w:bCs/>
          <w:iCs/>
          <w:color w:val="000000" w:themeColor="text1"/>
          <w:lang w:val="en-GB"/>
        </w:rPr>
        <w:t>15</w:t>
      </w:r>
      <w:r w:rsidRPr="0040294D">
        <w:rPr>
          <w:color w:val="000000" w:themeColor="text1"/>
          <w:lang w:val="en-GB"/>
        </w:rPr>
        <w:t>, pp. 1355</w:t>
      </w:r>
      <w:r w:rsidRPr="0040294D">
        <w:rPr>
          <w:color w:val="000000" w:themeColor="text1"/>
          <w:lang w:val="en-GB" w:eastAsia="fr-FR"/>
        </w:rPr>
        <w:t>–</w:t>
      </w:r>
      <w:r w:rsidRPr="0040294D">
        <w:rPr>
          <w:color w:val="000000" w:themeColor="text1"/>
          <w:lang w:val="en-GB"/>
        </w:rPr>
        <w:t>1370.</w:t>
      </w:r>
    </w:p>
    <w:p w14:paraId="303E9AE9" w14:textId="66B0AB8D" w:rsidR="002918F3" w:rsidRPr="0040294D" w:rsidRDefault="002918F3" w:rsidP="002918F3">
      <w:pPr>
        <w:spacing w:before="60" w:after="60"/>
        <w:ind w:left="567" w:hanging="567"/>
        <w:jc w:val="both"/>
        <w:rPr>
          <w:color w:val="000000" w:themeColor="text1"/>
          <w:lang w:val="en-GB"/>
        </w:rPr>
      </w:pPr>
      <w:r>
        <w:rPr>
          <w:lang w:val="en-GB"/>
        </w:rPr>
        <w:t>Aguilera-</w:t>
      </w:r>
      <w:proofErr w:type="spellStart"/>
      <w:r>
        <w:rPr>
          <w:lang w:val="en-GB"/>
        </w:rPr>
        <w:t>Caracuel</w:t>
      </w:r>
      <w:proofErr w:type="spellEnd"/>
      <w:r>
        <w:rPr>
          <w:lang w:val="en-GB"/>
        </w:rPr>
        <w:t xml:space="preserve">, J., Guerrero-Villegas, J., Vidal-Salazar, M. D., and Delgado-Márquez, B. L. (2015). ‘International cultural diversification and corporate social performance in multinational enterprises: The role of slack financial resources’, </w:t>
      </w:r>
      <w:r w:rsidRPr="000A0D73">
        <w:rPr>
          <w:i/>
          <w:lang w:val="en-GB"/>
        </w:rPr>
        <w:t>Management International Review</w:t>
      </w:r>
      <w:r>
        <w:rPr>
          <w:lang w:val="en-GB"/>
        </w:rPr>
        <w:t>, </w:t>
      </w:r>
      <w:r w:rsidRPr="000A0D73">
        <w:rPr>
          <w:b/>
          <w:lang w:val="en-GB"/>
        </w:rPr>
        <w:t>55</w:t>
      </w:r>
      <w:r>
        <w:rPr>
          <w:lang w:val="en-GB"/>
        </w:rPr>
        <w:t xml:space="preserve">, </w:t>
      </w:r>
      <w:r w:rsidR="00D21648">
        <w:rPr>
          <w:lang w:val="en-GB"/>
        </w:rPr>
        <w:t xml:space="preserve">pp. </w:t>
      </w:r>
      <w:r>
        <w:rPr>
          <w:lang w:val="en-GB"/>
        </w:rPr>
        <w:t>323</w:t>
      </w:r>
      <w:r w:rsidRPr="0040294D">
        <w:rPr>
          <w:color w:val="000000" w:themeColor="text1"/>
          <w:lang w:val="en-GB" w:eastAsia="fr-FR"/>
        </w:rPr>
        <w:t>–</w:t>
      </w:r>
      <w:r>
        <w:rPr>
          <w:lang w:val="en-GB"/>
        </w:rPr>
        <w:t>353.</w:t>
      </w:r>
    </w:p>
    <w:p w14:paraId="6CC9BC8D" w14:textId="77777777" w:rsidR="002918F3" w:rsidRPr="0040294D" w:rsidRDefault="002918F3" w:rsidP="002918F3">
      <w:pPr>
        <w:spacing w:before="60" w:after="60"/>
        <w:ind w:left="567" w:hanging="567"/>
        <w:jc w:val="both"/>
        <w:rPr>
          <w:color w:val="000000" w:themeColor="text1"/>
          <w:shd w:val="clear" w:color="auto" w:fill="FFFFFF"/>
          <w:lang w:val="en-GB"/>
        </w:rPr>
      </w:pPr>
      <w:proofErr w:type="spellStart"/>
      <w:r w:rsidRPr="0040294D">
        <w:rPr>
          <w:color w:val="000000" w:themeColor="text1"/>
          <w:shd w:val="clear" w:color="auto" w:fill="FFFFFF"/>
          <w:lang w:val="en-GB"/>
        </w:rPr>
        <w:t>Ahammad</w:t>
      </w:r>
      <w:proofErr w:type="spellEnd"/>
      <w:r w:rsidRPr="0040294D">
        <w:rPr>
          <w:color w:val="000000" w:themeColor="text1"/>
          <w:shd w:val="clear" w:color="auto" w:fill="FFFFFF"/>
          <w:lang w:val="en-GB"/>
        </w:rPr>
        <w:t xml:space="preserve">, M. F., </w:t>
      </w:r>
      <w:proofErr w:type="spellStart"/>
      <w:r w:rsidRPr="0040294D">
        <w:rPr>
          <w:color w:val="000000" w:themeColor="text1"/>
          <w:shd w:val="clear" w:color="auto" w:fill="FFFFFF"/>
          <w:lang w:val="en-GB"/>
        </w:rPr>
        <w:t>Tarba</w:t>
      </w:r>
      <w:proofErr w:type="spellEnd"/>
      <w:r w:rsidRPr="0040294D">
        <w:rPr>
          <w:color w:val="000000" w:themeColor="text1"/>
          <w:shd w:val="clear" w:color="auto" w:fill="FFFFFF"/>
          <w:lang w:val="en-GB"/>
        </w:rPr>
        <w:t>, S. Y., Liu, Y., and Glaister, K. W. (2016). ‘Knowledge transfer and cross-border acquisition performance: The impact of cultural distance and employee retention’,</w:t>
      </w:r>
      <w:r w:rsidRPr="0040294D">
        <w:rPr>
          <w:rStyle w:val="apple-converted-space"/>
          <w:color w:val="000000" w:themeColor="text1"/>
          <w:shd w:val="clear" w:color="auto" w:fill="FFFFFF"/>
          <w:lang w:val="en-GB"/>
        </w:rPr>
        <w:t> </w:t>
      </w:r>
      <w:r w:rsidRPr="0040294D">
        <w:rPr>
          <w:i/>
          <w:iCs/>
          <w:color w:val="000000" w:themeColor="text1"/>
          <w:shd w:val="clear" w:color="auto" w:fill="FFFFFF"/>
          <w:lang w:val="en-GB"/>
        </w:rPr>
        <w:t>International Business Review</w:t>
      </w:r>
      <w:r w:rsidRPr="0040294D">
        <w:rPr>
          <w:color w:val="000000" w:themeColor="text1"/>
          <w:shd w:val="clear" w:color="auto" w:fill="FFFFFF"/>
          <w:lang w:val="en-GB"/>
        </w:rPr>
        <w:t>,</w:t>
      </w:r>
      <w:r w:rsidRPr="0040294D">
        <w:rPr>
          <w:rStyle w:val="apple-converted-space"/>
          <w:color w:val="000000" w:themeColor="text1"/>
          <w:shd w:val="clear" w:color="auto" w:fill="FFFFFF"/>
          <w:lang w:val="en-GB"/>
        </w:rPr>
        <w:t> </w:t>
      </w:r>
      <w:r w:rsidRPr="0040294D">
        <w:rPr>
          <w:b/>
          <w:bCs/>
          <w:iCs/>
          <w:color w:val="000000" w:themeColor="text1"/>
          <w:shd w:val="clear" w:color="auto" w:fill="FFFFFF"/>
          <w:lang w:val="en-GB"/>
        </w:rPr>
        <w:t>25</w:t>
      </w:r>
      <w:r w:rsidRPr="0040294D">
        <w:rPr>
          <w:color w:val="000000" w:themeColor="text1"/>
          <w:shd w:val="clear" w:color="auto" w:fill="FFFFFF"/>
          <w:lang w:val="en-GB"/>
        </w:rPr>
        <w:t xml:space="preserve">, </w:t>
      </w:r>
      <w:r w:rsidRPr="0040294D">
        <w:rPr>
          <w:color w:val="000000" w:themeColor="text1"/>
          <w:lang w:val="en-GB"/>
        </w:rPr>
        <w:t>pp.</w:t>
      </w:r>
      <w:r w:rsidRPr="0040294D">
        <w:rPr>
          <w:color w:val="000000" w:themeColor="text1"/>
          <w:shd w:val="clear" w:color="auto" w:fill="FFFFFF"/>
          <w:lang w:val="en-GB"/>
        </w:rPr>
        <w:t xml:space="preserve"> 66</w:t>
      </w:r>
      <w:r w:rsidRPr="0040294D">
        <w:rPr>
          <w:color w:val="000000" w:themeColor="text1"/>
          <w:lang w:val="en-GB" w:eastAsia="fr-FR"/>
        </w:rPr>
        <w:t>–</w:t>
      </w:r>
      <w:r w:rsidRPr="0040294D">
        <w:rPr>
          <w:color w:val="000000" w:themeColor="text1"/>
          <w:shd w:val="clear" w:color="auto" w:fill="FFFFFF"/>
          <w:lang w:val="en-GB"/>
        </w:rPr>
        <w:t>75.</w:t>
      </w:r>
    </w:p>
    <w:p w14:paraId="12535A3F" w14:textId="77777777" w:rsidR="002918F3" w:rsidRPr="0040294D" w:rsidRDefault="002918F3" w:rsidP="002918F3">
      <w:pPr>
        <w:spacing w:before="60" w:after="60"/>
        <w:ind w:left="567" w:hanging="567"/>
        <w:jc w:val="both"/>
        <w:rPr>
          <w:color w:val="000000" w:themeColor="text1"/>
          <w:shd w:val="clear" w:color="auto" w:fill="FFFFFF"/>
          <w:lang w:val="en-GB"/>
        </w:rPr>
      </w:pPr>
      <w:r w:rsidRPr="0040294D">
        <w:rPr>
          <w:color w:val="000000" w:themeColor="text1"/>
          <w:shd w:val="clear" w:color="auto" w:fill="FFFFFF"/>
          <w:lang w:val="en-GB"/>
        </w:rPr>
        <w:t xml:space="preserve">Anand, J., and Singh, H. (1997). ‘Asset redeployment, acquisitions and corporate strategy in declining industries’, </w:t>
      </w:r>
      <w:r w:rsidRPr="0040294D">
        <w:rPr>
          <w:i/>
          <w:iCs/>
          <w:color w:val="000000" w:themeColor="text1"/>
          <w:lang w:val="en-GB"/>
        </w:rPr>
        <w:t>Strategic Management Journal</w:t>
      </w:r>
      <w:r w:rsidRPr="0040294D">
        <w:rPr>
          <w:color w:val="000000" w:themeColor="text1"/>
          <w:shd w:val="clear" w:color="auto" w:fill="FFFFFF"/>
          <w:lang w:val="en-GB"/>
        </w:rPr>
        <w:t>,</w:t>
      </w:r>
      <w:r w:rsidRPr="0040294D">
        <w:rPr>
          <w:rStyle w:val="apple-converted-space"/>
          <w:color w:val="000000" w:themeColor="text1"/>
          <w:shd w:val="clear" w:color="auto" w:fill="FFFFFF"/>
          <w:lang w:val="en-GB"/>
        </w:rPr>
        <w:t> </w:t>
      </w:r>
      <w:r w:rsidRPr="0040294D">
        <w:rPr>
          <w:b/>
          <w:bCs/>
          <w:color w:val="000000" w:themeColor="text1"/>
          <w:lang w:val="en-GB"/>
        </w:rPr>
        <w:t>18</w:t>
      </w:r>
      <w:r w:rsidRPr="0040294D">
        <w:rPr>
          <w:color w:val="000000" w:themeColor="text1"/>
          <w:shd w:val="clear" w:color="auto" w:fill="FFFFFF"/>
          <w:lang w:val="en-GB"/>
        </w:rPr>
        <w:t xml:space="preserve">, </w:t>
      </w:r>
      <w:r w:rsidRPr="0040294D">
        <w:rPr>
          <w:color w:val="000000" w:themeColor="text1"/>
          <w:lang w:val="en-GB"/>
        </w:rPr>
        <w:t xml:space="preserve">pp. </w:t>
      </w:r>
      <w:r w:rsidRPr="0040294D">
        <w:rPr>
          <w:color w:val="000000" w:themeColor="text1"/>
          <w:shd w:val="clear" w:color="auto" w:fill="FFFFFF"/>
          <w:lang w:val="en-GB"/>
        </w:rPr>
        <w:t>99</w:t>
      </w:r>
      <w:r w:rsidRPr="0040294D">
        <w:rPr>
          <w:color w:val="000000" w:themeColor="text1"/>
          <w:lang w:val="en-GB" w:eastAsia="fr-FR"/>
        </w:rPr>
        <w:t>–</w:t>
      </w:r>
      <w:r w:rsidRPr="0040294D">
        <w:rPr>
          <w:color w:val="000000" w:themeColor="text1"/>
          <w:shd w:val="clear" w:color="auto" w:fill="FFFFFF"/>
          <w:lang w:val="en-GB"/>
        </w:rPr>
        <w:t>118.</w:t>
      </w:r>
    </w:p>
    <w:p w14:paraId="22B9E174" w14:textId="77777777" w:rsidR="002918F3" w:rsidRPr="0040294D" w:rsidRDefault="002918F3" w:rsidP="002918F3">
      <w:pPr>
        <w:spacing w:before="60" w:after="60"/>
        <w:ind w:left="567" w:hanging="567"/>
        <w:jc w:val="both"/>
        <w:rPr>
          <w:color w:val="000000" w:themeColor="text1"/>
          <w:shd w:val="clear" w:color="auto" w:fill="FFFFFF"/>
          <w:lang w:val="en-GB"/>
        </w:rPr>
      </w:pPr>
      <w:r w:rsidRPr="00171E30">
        <w:rPr>
          <w:lang w:val="en-GB"/>
        </w:rPr>
        <w:t xml:space="preserve">Angwin, D. N., </w:t>
      </w:r>
      <w:proofErr w:type="spellStart"/>
      <w:r w:rsidRPr="00171E30">
        <w:rPr>
          <w:lang w:val="en-GB"/>
        </w:rPr>
        <w:t>Mellahi</w:t>
      </w:r>
      <w:proofErr w:type="spellEnd"/>
      <w:r w:rsidRPr="00171E30">
        <w:rPr>
          <w:lang w:val="en-GB"/>
        </w:rPr>
        <w:t xml:space="preserve">, K., Gomes, E., and Peter, E. (2016). </w:t>
      </w:r>
      <w:r w:rsidRPr="0040294D">
        <w:rPr>
          <w:lang w:val="en-GB"/>
        </w:rPr>
        <w:t>‘How communication approaches impact mergers and acquisitions outcomes’, </w:t>
      </w:r>
      <w:r w:rsidRPr="0040294D">
        <w:rPr>
          <w:i/>
          <w:iCs/>
          <w:lang w:val="en-GB"/>
        </w:rPr>
        <w:t>The International Journal of Human Resource Management</w:t>
      </w:r>
      <w:r w:rsidRPr="0040294D">
        <w:rPr>
          <w:lang w:val="en-GB"/>
        </w:rPr>
        <w:t>, </w:t>
      </w:r>
      <w:r w:rsidRPr="0040294D">
        <w:rPr>
          <w:b/>
          <w:iCs/>
          <w:lang w:val="en-GB"/>
        </w:rPr>
        <w:t>27</w:t>
      </w:r>
      <w:r w:rsidRPr="0040294D">
        <w:rPr>
          <w:lang w:val="en-GB"/>
        </w:rPr>
        <w:t>, pp. 2370</w:t>
      </w:r>
      <w:r w:rsidRPr="0040294D">
        <w:rPr>
          <w:color w:val="000000" w:themeColor="text1"/>
          <w:lang w:val="en-GB" w:eastAsia="fr-FR"/>
        </w:rPr>
        <w:t>–</w:t>
      </w:r>
      <w:r w:rsidRPr="0040294D">
        <w:rPr>
          <w:lang w:val="en-GB"/>
        </w:rPr>
        <w:t>2397.</w:t>
      </w:r>
    </w:p>
    <w:p w14:paraId="500AEC51" w14:textId="77777777" w:rsidR="002918F3" w:rsidRPr="0040294D" w:rsidRDefault="002918F3" w:rsidP="002918F3">
      <w:pPr>
        <w:spacing w:before="60" w:after="60"/>
        <w:ind w:left="567" w:hanging="567"/>
        <w:jc w:val="both"/>
        <w:rPr>
          <w:color w:val="000000" w:themeColor="text1"/>
          <w:shd w:val="clear" w:color="auto" w:fill="FFFFFF"/>
          <w:lang w:val="en-GB"/>
        </w:rPr>
      </w:pPr>
      <w:proofErr w:type="spellStart"/>
      <w:r w:rsidRPr="0040294D">
        <w:rPr>
          <w:color w:val="000000" w:themeColor="text1"/>
          <w:shd w:val="clear" w:color="auto" w:fill="FFFFFF"/>
          <w:lang w:val="en-GB"/>
        </w:rPr>
        <w:t>Antonakis</w:t>
      </w:r>
      <w:proofErr w:type="spellEnd"/>
      <w:r w:rsidRPr="0040294D">
        <w:rPr>
          <w:color w:val="000000" w:themeColor="text1"/>
          <w:shd w:val="clear" w:color="auto" w:fill="FFFFFF"/>
          <w:lang w:val="en-GB"/>
        </w:rPr>
        <w:t xml:space="preserve">, J., House, R. J., and Simonton, D. K. (2017). ‘Can super smart leaders suffer from too much of a good thing? The curvilinear effect of intelligence on perceived leadership </w:t>
      </w:r>
      <w:proofErr w:type="spellStart"/>
      <w:r w:rsidRPr="0040294D">
        <w:rPr>
          <w:color w:val="000000" w:themeColor="text1"/>
          <w:shd w:val="clear" w:color="auto" w:fill="FFFFFF"/>
          <w:lang w:val="en-GB"/>
        </w:rPr>
        <w:t>behavior</w:t>
      </w:r>
      <w:proofErr w:type="spellEnd"/>
      <w:r w:rsidRPr="0040294D">
        <w:rPr>
          <w:color w:val="000000" w:themeColor="text1"/>
          <w:shd w:val="clear" w:color="auto" w:fill="FFFFFF"/>
          <w:lang w:val="en-GB"/>
        </w:rPr>
        <w:t>’,</w:t>
      </w:r>
      <w:r w:rsidRPr="0040294D">
        <w:rPr>
          <w:rStyle w:val="apple-converted-space"/>
          <w:color w:val="000000" w:themeColor="text1"/>
          <w:shd w:val="clear" w:color="auto" w:fill="FFFFFF"/>
          <w:lang w:val="en-GB"/>
        </w:rPr>
        <w:t> </w:t>
      </w:r>
      <w:r w:rsidRPr="0040294D">
        <w:rPr>
          <w:i/>
          <w:iCs/>
          <w:color w:val="000000" w:themeColor="text1"/>
          <w:lang w:val="en-GB"/>
        </w:rPr>
        <w:t>Journal of Applied Psychology</w:t>
      </w:r>
      <w:r w:rsidRPr="0040294D">
        <w:rPr>
          <w:color w:val="000000" w:themeColor="text1"/>
          <w:shd w:val="clear" w:color="auto" w:fill="FFFFFF"/>
          <w:lang w:val="en-GB"/>
        </w:rPr>
        <w:t>,</w:t>
      </w:r>
      <w:r w:rsidRPr="0040294D">
        <w:rPr>
          <w:rStyle w:val="apple-converted-space"/>
          <w:color w:val="000000" w:themeColor="text1"/>
          <w:shd w:val="clear" w:color="auto" w:fill="FFFFFF"/>
          <w:lang w:val="en-GB"/>
        </w:rPr>
        <w:t> </w:t>
      </w:r>
      <w:r w:rsidRPr="0040294D">
        <w:rPr>
          <w:b/>
          <w:bCs/>
          <w:color w:val="000000" w:themeColor="text1"/>
          <w:lang w:val="en-GB"/>
        </w:rPr>
        <w:t>102</w:t>
      </w:r>
      <w:r w:rsidRPr="0040294D">
        <w:rPr>
          <w:color w:val="000000" w:themeColor="text1"/>
          <w:shd w:val="clear" w:color="auto" w:fill="FFFFFF"/>
          <w:lang w:val="en-GB"/>
        </w:rPr>
        <w:t xml:space="preserve">, </w:t>
      </w:r>
      <w:r w:rsidRPr="0040294D">
        <w:rPr>
          <w:color w:val="000000" w:themeColor="text1"/>
          <w:lang w:val="en-GB"/>
        </w:rPr>
        <w:t xml:space="preserve">pp. </w:t>
      </w:r>
      <w:r w:rsidRPr="0040294D">
        <w:rPr>
          <w:color w:val="000000" w:themeColor="text1"/>
          <w:shd w:val="clear" w:color="auto" w:fill="FFFFFF"/>
          <w:lang w:val="en-GB"/>
        </w:rPr>
        <w:t>1003</w:t>
      </w:r>
      <w:r w:rsidRPr="0040294D">
        <w:rPr>
          <w:color w:val="000000" w:themeColor="text1"/>
          <w:lang w:val="en-GB" w:eastAsia="fr-FR"/>
        </w:rPr>
        <w:t>–</w:t>
      </w:r>
      <w:r w:rsidRPr="0040294D">
        <w:rPr>
          <w:color w:val="000000" w:themeColor="text1"/>
          <w:shd w:val="clear" w:color="auto" w:fill="FFFFFF"/>
          <w:lang w:val="en-GB"/>
        </w:rPr>
        <w:t>1021.</w:t>
      </w:r>
    </w:p>
    <w:p w14:paraId="4E18BCB6" w14:textId="77777777" w:rsidR="002918F3" w:rsidRPr="0040294D" w:rsidRDefault="002918F3" w:rsidP="002918F3">
      <w:pPr>
        <w:spacing w:before="60" w:after="60"/>
        <w:ind w:left="567" w:hanging="567"/>
        <w:jc w:val="both"/>
        <w:rPr>
          <w:rStyle w:val="Strong"/>
          <w:b w:val="0"/>
          <w:bCs w:val="0"/>
          <w:color w:val="000000" w:themeColor="text1"/>
          <w:lang w:val="en-GB"/>
        </w:rPr>
      </w:pPr>
      <w:r w:rsidRPr="0040294D">
        <w:rPr>
          <w:color w:val="000000" w:themeColor="text1"/>
          <w:lang w:val="en-GB"/>
        </w:rPr>
        <w:t xml:space="preserve">Avetisyan, E., and </w:t>
      </w:r>
      <w:proofErr w:type="spellStart"/>
      <w:r w:rsidRPr="0040294D">
        <w:rPr>
          <w:color w:val="000000" w:themeColor="text1"/>
          <w:lang w:val="en-GB"/>
        </w:rPr>
        <w:t>Hockerts</w:t>
      </w:r>
      <w:proofErr w:type="spellEnd"/>
      <w:r w:rsidRPr="0040294D">
        <w:rPr>
          <w:color w:val="000000" w:themeColor="text1"/>
          <w:lang w:val="en-GB"/>
        </w:rPr>
        <w:t>, K. (2017). ‘The Consolidation of the ESG rating industry as an enactment of institutional retrogression’, </w:t>
      </w:r>
      <w:r w:rsidRPr="0040294D">
        <w:rPr>
          <w:i/>
          <w:color w:val="000000" w:themeColor="text1"/>
          <w:lang w:val="en-GB"/>
        </w:rPr>
        <w:t>Business Strategy and the Environment</w:t>
      </w:r>
      <w:r w:rsidRPr="0040294D">
        <w:rPr>
          <w:color w:val="000000" w:themeColor="text1"/>
          <w:lang w:val="en-GB"/>
        </w:rPr>
        <w:t>, </w:t>
      </w:r>
      <w:r w:rsidRPr="0040294D">
        <w:rPr>
          <w:b/>
          <w:bCs/>
          <w:iCs/>
          <w:color w:val="000000" w:themeColor="text1"/>
          <w:lang w:val="en-GB"/>
        </w:rPr>
        <w:t>26</w:t>
      </w:r>
      <w:r w:rsidRPr="0040294D">
        <w:rPr>
          <w:color w:val="000000" w:themeColor="text1"/>
          <w:lang w:val="en-GB"/>
        </w:rPr>
        <w:t>, pp. 316</w:t>
      </w:r>
      <w:r w:rsidRPr="0040294D">
        <w:rPr>
          <w:color w:val="000000" w:themeColor="text1"/>
          <w:lang w:val="en-GB" w:eastAsia="fr-FR"/>
        </w:rPr>
        <w:t>–</w:t>
      </w:r>
      <w:r w:rsidRPr="0040294D">
        <w:rPr>
          <w:color w:val="000000" w:themeColor="text1"/>
          <w:lang w:val="en-GB"/>
        </w:rPr>
        <w:t>330.</w:t>
      </w:r>
    </w:p>
    <w:p w14:paraId="260C716E" w14:textId="0A626FFE" w:rsidR="002918F3" w:rsidRPr="0040294D" w:rsidRDefault="002918F3" w:rsidP="002918F3">
      <w:pPr>
        <w:spacing w:before="60" w:after="60"/>
        <w:ind w:left="567" w:hanging="567"/>
        <w:jc w:val="both"/>
        <w:rPr>
          <w:color w:val="000000" w:themeColor="text1"/>
          <w:lang w:val="en-GB"/>
        </w:rPr>
      </w:pPr>
      <w:proofErr w:type="spellStart"/>
      <w:r w:rsidRPr="0040294D">
        <w:rPr>
          <w:rStyle w:val="Strong"/>
          <w:b w:val="0"/>
          <w:color w:val="000000" w:themeColor="text1"/>
          <w:bdr w:val="none" w:sz="0" w:space="0" w:color="auto" w:frame="1"/>
          <w:lang w:val="en-GB"/>
        </w:rPr>
        <w:t>Bagdadli</w:t>
      </w:r>
      <w:proofErr w:type="spellEnd"/>
      <w:r w:rsidRPr="0040294D">
        <w:rPr>
          <w:color w:val="000000" w:themeColor="text1"/>
          <w:lang w:val="en-GB"/>
        </w:rPr>
        <w:t xml:space="preserve">, S., Hayton, J. C., and </w:t>
      </w:r>
      <w:proofErr w:type="spellStart"/>
      <w:r w:rsidRPr="0040294D">
        <w:rPr>
          <w:color w:val="000000" w:themeColor="text1"/>
          <w:lang w:val="en-GB"/>
        </w:rPr>
        <w:t>Perfido</w:t>
      </w:r>
      <w:proofErr w:type="spellEnd"/>
      <w:r w:rsidRPr="0040294D">
        <w:rPr>
          <w:color w:val="000000" w:themeColor="text1"/>
          <w:lang w:val="en-GB"/>
        </w:rPr>
        <w:t xml:space="preserve">, O. (2014). </w:t>
      </w:r>
      <w:bookmarkStart w:id="0" w:name="Result_1"/>
      <w:r w:rsidRPr="0040294D">
        <w:rPr>
          <w:color w:val="000000" w:themeColor="text1"/>
          <w:lang w:val="en-GB"/>
        </w:rPr>
        <w:t>‘</w:t>
      </w:r>
      <w:r w:rsidRPr="0040294D">
        <w:rPr>
          <w:color w:val="000000" w:themeColor="text1"/>
          <w:bdr w:val="none" w:sz="0" w:space="0" w:color="auto" w:frame="1"/>
          <w:lang w:val="en-GB"/>
        </w:rPr>
        <w:t>Reconsidering the role of HR in M&amp;As: What can be learned from practice</w:t>
      </w:r>
      <w:bookmarkEnd w:id="0"/>
      <w:r w:rsidRPr="0040294D">
        <w:rPr>
          <w:color w:val="000000" w:themeColor="text1"/>
          <w:bdr w:val="none" w:sz="0" w:space="0" w:color="auto" w:frame="1"/>
          <w:lang w:val="en-GB"/>
        </w:rPr>
        <w:t xml:space="preserve">’, </w:t>
      </w:r>
      <w:r w:rsidRPr="0040294D">
        <w:rPr>
          <w:i/>
          <w:color w:val="000000" w:themeColor="text1"/>
          <w:lang w:val="en-GB"/>
        </w:rPr>
        <w:t>Human Resource Management</w:t>
      </w:r>
      <w:r w:rsidRPr="0040294D">
        <w:rPr>
          <w:color w:val="000000" w:themeColor="text1"/>
          <w:lang w:val="en-GB"/>
        </w:rPr>
        <w:t>,</w:t>
      </w:r>
      <w:r w:rsidR="00D21648">
        <w:rPr>
          <w:color w:val="000000" w:themeColor="text1"/>
          <w:lang w:val="en-GB"/>
        </w:rPr>
        <w:t> </w:t>
      </w:r>
      <w:r w:rsidRPr="0040294D">
        <w:rPr>
          <w:b/>
          <w:bCs/>
          <w:iCs/>
          <w:color w:val="000000" w:themeColor="text1"/>
          <w:lang w:val="en-GB"/>
        </w:rPr>
        <w:t>53</w:t>
      </w:r>
      <w:r w:rsidRPr="0040294D">
        <w:rPr>
          <w:color w:val="000000" w:themeColor="text1"/>
          <w:lang w:val="en-GB"/>
        </w:rPr>
        <w:t>, pp. 1005</w:t>
      </w:r>
      <w:r w:rsidRPr="0040294D">
        <w:rPr>
          <w:color w:val="000000" w:themeColor="text1"/>
          <w:lang w:val="en-GB" w:eastAsia="fr-FR"/>
        </w:rPr>
        <w:t>–</w:t>
      </w:r>
      <w:r w:rsidRPr="0040294D">
        <w:rPr>
          <w:color w:val="000000" w:themeColor="text1"/>
          <w:lang w:val="en-GB"/>
        </w:rPr>
        <w:t>1025.</w:t>
      </w:r>
    </w:p>
    <w:p w14:paraId="46683E3C" w14:textId="7C5124A3" w:rsidR="002918F3" w:rsidRPr="0040294D" w:rsidRDefault="002918F3" w:rsidP="002918F3">
      <w:pPr>
        <w:widowControl w:val="0"/>
        <w:spacing w:before="60" w:after="60"/>
        <w:ind w:left="567" w:hanging="567"/>
        <w:jc w:val="both"/>
        <w:rPr>
          <w:color w:val="000000" w:themeColor="text1"/>
          <w:lang w:val="en-GB"/>
        </w:rPr>
      </w:pPr>
      <w:r w:rsidRPr="0040294D">
        <w:rPr>
          <w:color w:val="000000" w:themeColor="text1"/>
          <w:lang w:val="en-GB"/>
        </w:rPr>
        <w:t xml:space="preserve">Barnett, M. L., and Salomon, R. M. (2006). ‘Beyond dichotomy: The curvilinear relationship between social responsibility and financial performance’, </w:t>
      </w:r>
      <w:r w:rsidRPr="0040294D">
        <w:rPr>
          <w:i/>
          <w:color w:val="000000" w:themeColor="text1"/>
          <w:lang w:val="en-GB"/>
        </w:rPr>
        <w:t>Strategic Management Journal</w:t>
      </w:r>
      <w:r w:rsidRPr="0040294D">
        <w:rPr>
          <w:color w:val="000000" w:themeColor="text1"/>
          <w:lang w:val="en-GB"/>
        </w:rPr>
        <w:t>,</w:t>
      </w:r>
      <w:r w:rsidR="00D21648">
        <w:rPr>
          <w:color w:val="000000" w:themeColor="text1"/>
          <w:lang w:val="en-GB"/>
        </w:rPr>
        <w:t> </w:t>
      </w:r>
      <w:r w:rsidRPr="0040294D">
        <w:rPr>
          <w:b/>
          <w:bCs/>
          <w:iCs/>
          <w:color w:val="000000" w:themeColor="text1"/>
          <w:lang w:val="en-GB"/>
        </w:rPr>
        <w:t>27</w:t>
      </w:r>
      <w:r w:rsidRPr="0040294D">
        <w:rPr>
          <w:color w:val="000000" w:themeColor="text1"/>
          <w:lang w:val="en-GB"/>
        </w:rPr>
        <w:t>, pp. 1101</w:t>
      </w:r>
      <w:r w:rsidRPr="0040294D">
        <w:rPr>
          <w:color w:val="000000" w:themeColor="text1"/>
          <w:lang w:val="en-GB" w:eastAsia="fr-FR"/>
        </w:rPr>
        <w:t>–</w:t>
      </w:r>
      <w:r w:rsidRPr="0040294D">
        <w:rPr>
          <w:color w:val="000000" w:themeColor="text1"/>
          <w:lang w:val="en-GB"/>
        </w:rPr>
        <w:t>1122.</w:t>
      </w:r>
    </w:p>
    <w:p w14:paraId="28286342" w14:textId="6A95F5DA" w:rsidR="002918F3" w:rsidRPr="0040294D" w:rsidRDefault="002918F3" w:rsidP="002918F3">
      <w:pPr>
        <w:widowControl w:val="0"/>
        <w:spacing w:before="60" w:after="60"/>
        <w:ind w:left="567" w:hanging="567"/>
        <w:jc w:val="both"/>
        <w:rPr>
          <w:color w:val="000000" w:themeColor="text1"/>
          <w:lang w:val="en-GB"/>
        </w:rPr>
      </w:pPr>
      <w:r w:rsidRPr="0040294D">
        <w:rPr>
          <w:color w:val="000000" w:themeColor="text1"/>
          <w:lang w:val="en-GB"/>
        </w:rPr>
        <w:t xml:space="preserve">Barnett, M. L., and Salomon, R. M. (2012). ‘Does it pay to be </w:t>
      </w:r>
      <w:r w:rsidRPr="0040294D">
        <w:rPr>
          <w:i/>
          <w:color w:val="000000" w:themeColor="text1"/>
          <w:lang w:val="en-GB"/>
        </w:rPr>
        <w:t>really</w:t>
      </w:r>
      <w:r w:rsidRPr="0040294D">
        <w:rPr>
          <w:color w:val="000000" w:themeColor="text1"/>
          <w:lang w:val="en-GB"/>
        </w:rPr>
        <w:t xml:space="preserve"> good? Addressing the shape of the relationship between social and financial performance’, </w:t>
      </w:r>
      <w:r w:rsidRPr="0040294D">
        <w:rPr>
          <w:i/>
          <w:color w:val="000000" w:themeColor="text1"/>
          <w:lang w:val="en-GB"/>
        </w:rPr>
        <w:t>Strategic Management Journal</w:t>
      </w:r>
      <w:r w:rsidRPr="0040294D">
        <w:rPr>
          <w:color w:val="000000" w:themeColor="text1"/>
          <w:lang w:val="en-GB"/>
        </w:rPr>
        <w:t>,</w:t>
      </w:r>
      <w:r w:rsidR="00D21648">
        <w:rPr>
          <w:color w:val="000000" w:themeColor="text1"/>
          <w:lang w:val="en-GB"/>
        </w:rPr>
        <w:t> </w:t>
      </w:r>
      <w:r w:rsidRPr="0040294D">
        <w:rPr>
          <w:b/>
          <w:bCs/>
          <w:iCs/>
          <w:color w:val="000000" w:themeColor="text1"/>
          <w:lang w:val="en-GB"/>
        </w:rPr>
        <w:t>33</w:t>
      </w:r>
      <w:r w:rsidRPr="0040294D">
        <w:rPr>
          <w:color w:val="000000" w:themeColor="text1"/>
          <w:lang w:val="en-GB"/>
        </w:rPr>
        <w:t>, pp. 1304</w:t>
      </w:r>
      <w:r w:rsidRPr="0040294D">
        <w:rPr>
          <w:color w:val="000000" w:themeColor="text1"/>
          <w:lang w:val="en-GB" w:eastAsia="fr-FR"/>
        </w:rPr>
        <w:t>–</w:t>
      </w:r>
      <w:r w:rsidRPr="0040294D">
        <w:rPr>
          <w:color w:val="000000" w:themeColor="text1"/>
          <w:lang w:val="en-GB"/>
        </w:rPr>
        <w:t>1320.</w:t>
      </w:r>
    </w:p>
    <w:p w14:paraId="30749E30" w14:textId="77777777" w:rsidR="002918F3" w:rsidRPr="0040294D" w:rsidRDefault="002918F3" w:rsidP="002918F3">
      <w:pPr>
        <w:widowControl w:val="0"/>
        <w:spacing w:before="60" w:after="60"/>
        <w:ind w:left="567" w:hanging="567"/>
        <w:jc w:val="both"/>
        <w:rPr>
          <w:color w:val="000000" w:themeColor="text1"/>
          <w:lang w:val="en-GB"/>
        </w:rPr>
      </w:pPr>
      <w:r w:rsidRPr="0040294D">
        <w:rPr>
          <w:color w:val="000000" w:themeColor="text1"/>
          <w:lang w:val="en-GB"/>
        </w:rPr>
        <w:t>Barney, J. (1991). ‘Firm resources and sustained competitive advantage.’ </w:t>
      </w:r>
      <w:r w:rsidRPr="0040294D">
        <w:rPr>
          <w:i/>
          <w:iCs/>
          <w:color w:val="000000" w:themeColor="text1"/>
          <w:lang w:val="en-GB"/>
        </w:rPr>
        <w:t>Journal of Management</w:t>
      </w:r>
      <w:r w:rsidRPr="0040294D">
        <w:rPr>
          <w:color w:val="000000" w:themeColor="text1"/>
          <w:lang w:val="en-GB"/>
        </w:rPr>
        <w:t>, </w:t>
      </w:r>
      <w:r w:rsidRPr="0040294D">
        <w:rPr>
          <w:b/>
          <w:bCs/>
          <w:color w:val="000000" w:themeColor="text1"/>
          <w:lang w:val="en-GB"/>
        </w:rPr>
        <w:t>17</w:t>
      </w:r>
      <w:r>
        <w:rPr>
          <w:color w:val="000000" w:themeColor="text1"/>
          <w:lang w:val="en-GB"/>
        </w:rPr>
        <w:t>, pp. 99</w:t>
      </w:r>
      <w:r w:rsidRPr="0040294D">
        <w:rPr>
          <w:color w:val="000000" w:themeColor="text1"/>
          <w:lang w:val="en-GB" w:eastAsia="fr-FR"/>
        </w:rPr>
        <w:t>–</w:t>
      </w:r>
      <w:r w:rsidRPr="0040294D">
        <w:rPr>
          <w:color w:val="000000" w:themeColor="text1"/>
          <w:lang w:val="en-GB"/>
        </w:rPr>
        <w:t>120.</w:t>
      </w:r>
    </w:p>
    <w:p w14:paraId="04E56EA8" w14:textId="77777777" w:rsidR="002918F3" w:rsidRPr="0040294D" w:rsidRDefault="002918F3" w:rsidP="002918F3">
      <w:pPr>
        <w:widowControl w:val="0"/>
        <w:spacing w:before="60" w:after="60"/>
        <w:ind w:left="567" w:hanging="567"/>
        <w:jc w:val="both"/>
        <w:rPr>
          <w:color w:val="000000" w:themeColor="text1"/>
          <w:lang w:val="en-GB"/>
        </w:rPr>
      </w:pPr>
      <w:r w:rsidRPr="0040294D">
        <w:rPr>
          <w:color w:val="000000" w:themeColor="text1"/>
          <w:lang w:val="en-GB"/>
        </w:rPr>
        <w:t>Baruch, Y. (1997). ‘Evaluating quality and reputation of human resource management</w:t>
      </w:r>
      <w:r>
        <w:rPr>
          <w:color w:val="222222"/>
          <w:shd w:val="clear" w:color="auto" w:fill="FFFFFF"/>
          <w:lang w:val="en-GB"/>
        </w:rPr>
        <w:t xml:space="preserve">’, </w:t>
      </w:r>
      <w:r w:rsidRPr="0040294D">
        <w:rPr>
          <w:i/>
          <w:iCs/>
          <w:color w:val="222222"/>
          <w:lang w:val="en-GB"/>
        </w:rPr>
        <w:t>Personnel Review</w:t>
      </w:r>
      <w:r w:rsidRPr="0040294D">
        <w:rPr>
          <w:color w:val="222222"/>
          <w:shd w:val="clear" w:color="auto" w:fill="FFFFFF"/>
          <w:lang w:val="en-GB"/>
        </w:rPr>
        <w:t>,</w:t>
      </w:r>
      <w:r w:rsidRPr="0040294D">
        <w:rPr>
          <w:rStyle w:val="apple-converted-space"/>
          <w:color w:val="222222"/>
          <w:shd w:val="clear" w:color="auto" w:fill="FFFFFF"/>
          <w:lang w:val="en-GB"/>
        </w:rPr>
        <w:t> </w:t>
      </w:r>
      <w:r w:rsidRPr="0040294D">
        <w:rPr>
          <w:b/>
          <w:iCs/>
          <w:color w:val="222222"/>
          <w:lang w:val="en-GB"/>
        </w:rPr>
        <w:t>26</w:t>
      </w:r>
      <w:r w:rsidRPr="0040294D">
        <w:rPr>
          <w:color w:val="222222"/>
          <w:shd w:val="clear" w:color="auto" w:fill="FFFFFF"/>
          <w:lang w:val="en-GB"/>
        </w:rPr>
        <w:t>, pp.</w:t>
      </w:r>
      <w:r w:rsidRPr="0040294D">
        <w:rPr>
          <w:color w:val="222222"/>
          <w:sz w:val="20"/>
          <w:szCs w:val="20"/>
          <w:shd w:val="clear" w:color="auto" w:fill="FFFFFF"/>
          <w:lang w:val="en-GB"/>
        </w:rPr>
        <w:t xml:space="preserve"> </w:t>
      </w:r>
      <w:r w:rsidRPr="0040294D">
        <w:rPr>
          <w:color w:val="222222"/>
          <w:shd w:val="clear" w:color="auto" w:fill="FFFFFF"/>
          <w:lang w:val="en-GB"/>
        </w:rPr>
        <w:t>377</w:t>
      </w:r>
      <w:r w:rsidRPr="0040294D">
        <w:rPr>
          <w:color w:val="000000" w:themeColor="text1"/>
          <w:lang w:val="en-GB" w:eastAsia="fr-FR"/>
        </w:rPr>
        <w:t>–</w:t>
      </w:r>
      <w:r w:rsidRPr="0040294D">
        <w:rPr>
          <w:color w:val="222222"/>
          <w:shd w:val="clear" w:color="auto" w:fill="FFFFFF"/>
          <w:lang w:val="en-GB"/>
        </w:rPr>
        <w:t>394.</w:t>
      </w:r>
    </w:p>
    <w:p w14:paraId="70D2E6FD" w14:textId="2E060C0D"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lastRenderedPageBreak/>
        <w:t xml:space="preserve">Bauer, F., and </w:t>
      </w:r>
      <w:proofErr w:type="spellStart"/>
      <w:r w:rsidRPr="0040294D">
        <w:rPr>
          <w:color w:val="000000" w:themeColor="text1"/>
          <w:lang w:val="en-GB"/>
        </w:rPr>
        <w:t>Matzler</w:t>
      </w:r>
      <w:proofErr w:type="spellEnd"/>
      <w:r w:rsidRPr="0040294D">
        <w:rPr>
          <w:color w:val="000000" w:themeColor="text1"/>
          <w:lang w:val="en-GB"/>
        </w:rPr>
        <w:t xml:space="preserve">, K. (2014). ‘Antecedents of M&amp;A success: The role of strategic complementarity, cultural fit, and degree and speed of integration’, </w:t>
      </w:r>
      <w:r w:rsidRPr="0040294D">
        <w:rPr>
          <w:i/>
          <w:color w:val="000000" w:themeColor="text1"/>
          <w:lang w:val="en-GB"/>
        </w:rPr>
        <w:t>Strategic Management Journal</w:t>
      </w:r>
      <w:r w:rsidRPr="0040294D">
        <w:rPr>
          <w:color w:val="000000" w:themeColor="text1"/>
          <w:lang w:val="en-GB"/>
        </w:rPr>
        <w:t>,</w:t>
      </w:r>
      <w:r w:rsidR="00D404ED" w:rsidRPr="00CF520F">
        <w:rPr>
          <w:color w:val="000000" w:themeColor="text1"/>
          <w:lang w:val="en-GB"/>
        </w:rPr>
        <w:t> </w:t>
      </w:r>
      <w:r w:rsidRPr="0040294D">
        <w:rPr>
          <w:b/>
          <w:bCs/>
          <w:iCs/>
          <w:color w:val="000000" w:themeColor="text1"/>
          <w:lang w:val="en-GB"/>
        </w:rPr>
        <w:t>35</w:t>
      </w:r>
      <w:r w:rsidRPr="0040294D">
        <w:rPr>
          <w:color w:val="000000" w:themeColor="text1"/>
          <w:lang w:val="en-GB"/>
        </w:rPr>
        <w:t>, pp. 269</w:t>
      </w:r>
      <w:r w:rsidRPr="0040294D">
        <w:rPr>
          <w:color w:val="000000" w:themeColor="text1"/>
          <w:lang w:val="en-GB" w:eastAsia="fr-FR"/>
        </w:rPr>
        <w:t>–</w:t>
      </w:r>
      <w:r w:rsidRPr="0040294D">
        <w:rPr>
          <w:color w:val="000000" w:themeColor="text1"/>
          <w:lang w:val="en-GB"/>
        </w:rPr>
        <w:t>291.</w:t>
      </w:r>
    </w:p>
    <w:p w14:paraId="65F46E72" w14:textId="093D606B" w:rsidR="002918F3" w:rsidRDefault="002918F3" w:rsidP="002918F3">
      <w:pPr>
        <w:spacing w:before="60" w:after="60"/>
        <w:ind w:left="567" w:hanging="567"/>
        <w:jc w:val="both"/>
        <w:rPr>
          <w:color w:val="000000" w:themeColor="text1"/>
          <w:shd w:val="clear" w:color="auto" w:fill="FFFFFF"/>
        </w:rPr>
      </w:pPr>
      <w:r w:rsidRPr="0040294D">
        <w:rPr>
          <w:color w:val="000000" w:themeColor="text1"/>
          <w:shd w:val="clear" w:color="auto" w:fill="FFFFFF"/>
          <w:lang w:val="en-GB"/>
        </w:rPr>
        <w:t xml:space="preserve">Benito, G. R., and Welch, L. S. (1997). </w:t>
      </w:r>
      <w:r w:rsidRPr="00E95750">
        <w:rPr>
          <w:color w:val="000000" w:themeColor="text1"/>
          <w:shd w:val="clear" w:color="auto" w:fill="FFFFFF"/>
        </w:rPr>
        <w:t>‘De-internationalisation’,</w:t>
      </w:r>
      <w:r w:rsidRPr="00E95750">
        <w:rPr>
          <w:iCs/>
          <w:color w:val="000000" w:themeColor="text1"/>
        </w:rPr>
        <w:t xml:space="preserve"> </w:t>
      </w:r>
      <w:r w:rsidRPr="00E95750">
        <w:rPr>
          <w:i/>
          <w:iCs/>
          <w:color w:val="000000" w:themeColor="text1"/>
        </w:rPr>
        <w:t xml:space="preserve">Management International </w:t>
      </w:r>
      <w:proofErr w:type="spellStart"/>
      <w:r w:rsidRPr="00E95750">
        <w:rPr>
          <w:i/>
          <w:iCs/>
          <w:color w:val="000000" w:themeColor="text1"/>
        </w:rPr>
        <w:t>Review</w:t>
      </w:r>
      <w:proofErr w:type="spellEnd"/>
      <w:r w:rsidRPr="00E95750">
        <w:rPr>
          <w:color w:val="000000" w:themeColor="text1"/>
          <w:shd w:val="clear" w:color="auto" w:fill="FFFFFF"/>
        </w:rPr>
        <w:t>,</w:t>
      </w:r>
      <w:r w:rsidR="00D404ED">
        <w:rPr>
          <w:color w:val="000000" w:themeColor="text1"/>
          <w:shd w:val="clear" w:color="auto" w:fill="FFFFFF"/>
        </w:rPr>
        <w:t> </w:t>
      </w:r>
      <w:r w:rsidRPr="00E95750">
        <w:rPr>
          <w:b/>
          <w:color w:val="000000" w:themeColor="text1"/>
          <w:shd w:val="clear" w:color="auto" w:fill="FFFFFF"/>
        </w:rPr>
        <w:t>37</w:t>
      </w:r>
      <w:r w:rsidRPr="00E95750">
        <w:rPr>
          <w:color w:val="000000" w:themeColor="text1"/>
          <w:shd w:val="clear" w:color="auto" w:fill="FFFFFF"/>
        </w:rPr>
        <w:t xml:space="preserve">, </w:t>
      </w:r>
      <w:r w:rsidRPr="00E95750">
        <w:rPr>
          <w:color w:val="000000" w:themeColor="text1"/>
        </w:rPr>
        <w:t xml:space="preserve">pp. </w:t>
      </w:r>
      <w:r w:rsidRPr="00E95750">
        <w:rPr>
          <w:color w:val="000000" w:themeColor="text1"/>
          <w:shd w:val="clear" w:color="auto" w:fill="FFFFFF"/>
        </w:rPr>
        <w:t>7</w:t>
      </w:r>
      <w:r w:rsidRPr="00E95750">
        <w:rPr>
          <w:color w:val="000000" w:themeColor="text1"/>
          <w:lang w:eastAsia="fr-FR"/>
        </w:rPr>
        <w:t>–</w:t>
      </w:r>
      <w:r w:rsidRPr="00E95750">
        <w:rPr>
          <w:color w:val="000000" w:themeColor="text1"/>
          <w:shd w:val="clear" w:color="auto" w:fill="FFFFFF"/>
        </w:rPr>
        <w:t>25.</w:t>
      </w:r>
    </w:p>
    <w:p w14:paraId="7D8FD7B7" w14:textId="1D600892" w:rsidR="00ED069F" w:rsidRPr="00CF520F" w:rsidRDefault="00ED069F" w:rsidP="002918F3">
      <w:pPr>
        <w:spacing w:before="60" w:after="60"/>
        <w:ind w:left="567" w:hanging="567"/>
        <w:jc w:val="both"/>
        <w:rPr>
          <w:color w:val="000000" w:themeColor="text1"/>
          <w:shd w:val="clear" w:color="auto" w:fill="FFFFFF"/>
          <w:lang w:val="en-US"/>
        </w:rPr>
      </w:pPr>
      <w:r w:rsidRPr="00CF520F">
        <w:rPr>
          <w:color w:val="000000" w:themeColor="text1"/>
          <w:shd w:val="clear" w:color="auto" w:fill="FFFFFF"/>
          <w:lang w:val="en-US"/>
        </w:rPr>
        <w:t xml:space="preserve">Bentley, F. S., and Kehoe, </w:t>
      </w:r>
      <w:r>
        <w:rPr>
          <w:color w:val="000000" w:themeColor="text1"/>
          <w:shd w:val="clear" w:color="auto" w:fill="FFFFFF"/>
          <w:lang w:val="en-US"/>
        </w:rPr>
        <w:t xml:space="preserve">R. R. (2020). ‘Give them some slack—They’re trying to change! The </w:t>
      </w:r>
      <w:proofErr w:type="spellStart"/>
      <w:r>
        <w:rPr>
          <w:color w:val="000000" w:themeColor="text1"/>
          <w:shd w:val="clear" w:color="auto" w:fill="FFFFFF"/>
          <w:lang w:val="en-US"/>
        </w:rPr>
        <w:t>benfits</w:t>
      </w:r>
      <w:proofErr w:type="spellEnd"/>
      <w:r>
        <w:rPr>
          <w:color w:val="000000" w:themeColor="text1"/>
          <w:shd w:val="clear" w:color="auto" w:fill="FFFFFF"/>
          <w:lang w:val="en-US"/>
        </w:rPr>
        <w:t xml:space="preserve"> of excess cash, excess employees, and increased human capital in the strategic change context’, </w:t>
      </w:r>
      <w:r w:rsidRPr="00CF520F">
        <w:rPr>
          <w:i/>
          <w:color w:val="000000" w:themeColor="text1"/>
          <w:shd w:val="clear" w:color="auto" w:fill="FFFFFF"/>
          <w:lang w:val="en-US"/>
        </w:rPr>
        <w:t>Academy of Management Journal</w:t>
      </w:r>
      <w:r>
        <w:rPr>
          <w:color w:val="000000" w:themeColor="text1"/>
          <w:shd w:val="clear" w:color="auto" w:fill="FFFFFF"/>
          <w:lang w:val="en-US"/>
        </w:rPr>
        <w:t>, </w:t>
      </w:r>
      <w:r w:rsidRPr="00CF520F">
        <w:rPr>
          <w:b/>
          <w:color w:val="000000" w:themeColor="text1"/>
          <w:shd w:val="clear" w:color="auto" w:fill="FFFFFF"/>
          <w:lang w:val="en-US"/>
        </w:rPr>
        <w:t>63</w:t>
      </w:r>
      <w:r>
        <w:rPr>
          <w:color w:val="000000" w:themeColor="text1"/>
          <w:shd w:val="clear" w:color="auto" w:fill="FFFFFF"/>
          <w:lang w:val="en-US"/>
        </w:rPr>
        <w:t>, pp. 181</w:t>
      </w:r>
      <w:r w:rsidR="00BB09FF" w:rsidRPr="00CF520F">
        <w:rPr>
          <w:color w:val="000000" w:themeColor="text1"/>
          <w:lang w:val="en-US" w:eastAsia="fr-FR"/>
        </w:rPr>
        <w:t>–</w:t>
      </w:r>
      <w:r>
        <w:rPr>
          <w:color w:val="000000" w:themeColor="text1"/>
          <w:shd w:val="clear" w:color="auto" w:fill="FFFFFF"/>
          <w:lang w:val="en-US"/>
        </w:rPr>
        <w:t>204.</w:t>
      </w:r>
    </w:p>
    <w:p w14:paraId="6D3DF30A"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shd w:val="clear" w:color="auto" w:fill="FFFFFF"/>
          <w:lang w:val="en-GB"/>
        </w:rPr>
        <w:t>Bergh, D. D. (1997). ‘Predicting divestiture of unrelated acquisitions: An integrative model of ex ante conditions’,</w:t>
      </w:r>
      <w:r>
        <w:rPr>
          <w:rStyle w:val="apple-converted-space"/>
          <w:color w:val="000000" w:themeColor="text1"/>
          <w:shd w:val="clear" w:color="auto" w:fill="FFFFFF"/>
          <w:lang w:val="en-GB"/>
        </w:rPr>
        <w:t xml:space="preserve"> </w:t>
      </w:r>
      <w:r w:rsidRPr="0040294D">
        <w:rPr>
          <w:i/>
          <w:iCs/>
          <w:color w:val="000000" w:themeColor="text1"/>
          <w:lang w:val="en-GB"/>
        </w:rPr>
        <w:t>Strategic Management Journal</w:t>
      </w:r>
      <w:r w:rsidRPr="0040294D">
        <w:rPr>
          <w:color w:val="000000" w:themeColor="text1"/>
          <w:shd w:val="clear" w:color="auto" w:fill="FFFFFF"/>
          <w:lang w:val="en-GB"/>
        </w:rPr>
        <w:t>,</w:t>
      </w:r>
      <w:r w:rsidRPr="0040294D">
        <w:rPr>
          <w:rStyle w:val="apple-converted-space"/>
          <w:color w:val="000000" w:themeColor="text1"/>
          <w:shd w:val="clear" w:color="auto" w:fill="FFFFFF"/>
          <w:lang w:val="en-GB"/>
        </w:rPr>
        <w:t> </w:t>
      </w:r>
      <w:r w:rsidRPr="0040294D">
        <w:rPr>
          <w:b/>
          <w:bCs/>
          <w:color w:val="000000" w:themeColor="text1"/>
          <w:lang w:val="en-GB"/>
        </w:rPr>
        <w:t>18</w:t>
      </w:r>
      <w:r w:rsidRPr="0040294D">
        <w:rPr>
          <w:color w:val="000000" w:themeColor="text1"/>
          <w:shd w:val="clear" w:color="auto" w:fill="FFFFFF"/>
          <w:lang w:val="en-GB"/>
        </w:rPr>
        <w:t xml:space="preserve">, </w:t>
      </w:r>
      <w:r w:rsidRPr="0040294D">
        <w:rPr>
          <w:color w:val="000000" w:themeColor="text1"/>
          <w:lang w:val="en-GB"/>
        </w:rPr>
        <w:t xml:space="preserve">pp. </w:t>
      </w:r>
      <w:r w:rsidRPr="0040294D">
        <w:rPr>
          <w:color w:val="000000" w:themeColor="text1"/>
          <w:shd w:val="clear" w:color="auto" w:fill="FFFFFF"/>
          <w:lang w:val="en-GB"/>
        </w:rPr>
        <w:t>715</w:t>
      </w:r>
      <w:r w:rsidRPr="0040294D">
        <w:rPr>
          <w:b/>
          <w:color w:val="000000" w:themeColor="text1"/>
          <w:lang w:val="en-GB" w:eastAsia="fr-FR"/>
        </w:rPr>
        <w:t>–</w:t>
      </w:r>
      <w:r w:rsidRPr="0040294D">
        <w:rPr>
          <w:color w:val="000000" w:themeColor="text1"/>
          <w:shd w:val="clear" w:color="auto" w:fill="FFFFFF"/>
          <w:lang w:val="en-GB"/>
        </w:rPr>
        <w:t>731.</w:t>
      </w:r>
    </w:p>
    <w:p w14:paraId="7CA1A87C"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shd w:val="clear" w:color="auto" w:fill="FFFFFF"/>
          <w:lang w:val="en-GB"/>
        </w:rPr>
        <w:t xml:space="preserve">Bertrand, O., and </w:t>
      </w:r>
      <w:proofErr w:type="spellStart"/>
      <w:r w:rsidRPr="0040294D">
        <w:rPr>
          <w:color w:val="000000" w:themeColor="text1"/>
          <w:shd w:val="clear" w:color="auto" w:fill="FFFFFF"/>
          <w:lang w:val="en-GB"/>
        </w:rPr>
        <w:t>Lumineau</w:t>
      </w:r>
      <w:proofErr w:type="spellEnd"/>
      <w:r w:rsidRPr="0040294D">
        <w:rPr>
          <w:color w:val="000000" w:themeColor="text1"/>
          <w:shd w:val="clear" w:color="auto" w:fill="FFFFFF"/>
          <w:lang w:val="en-GB"/>
        </w:rPr>
        <w:t>, F. (2016). ‘Partners in crime: The effects of diversity on the longevity of cartels’,</w:t>
      </w:r>
      <w:r w:rsidRPr="0040294D">
        <w:rPr>
          <w:rStyle w:val="apple-converted-space"/>
          <w:color w:val="000000" w:themeColor="text1"/>
          <w:shd w:val="clear" w:color="auto" w:fill="FFFFFF"/>
          <w:lang w:val="en-GB"/>
        </w:rPr>
        <w:t> </w:t>
      </w:r>
      <w:r w:rsidRPr="0040294D">
        <w:rPr>
          <w:i/>
          <w:iCs/>
          <w:color w:val="000000" w:themeColor="text1"/>
          <w:lang w:val="en-GB"/>
        </w:rPr>
        <w:t>Academy of Management Journal</w:t>
      </w:r>
      <w:r w:rsidRPr="0040294D">
        <w:rPr>
          <w:color w:val="000000" w:themeColor="text1"/>
          <w:shd w:val="clear" w:color="auto" w:fill="FFFFFF"/>
          <w:lang w:val="en-GB"/>
        </w:rPr>
        <w:t>,</w:t>
      </w:r>
      <w:r w:rsidRPr="0040294D">
        <w:rPr>
          <w:rStyle w:val="apple-converted-space"/>
          <w:color w:val="000000" w:themeColor="text1"/>
          <w:shd w:val="clear" w:color="auto" w:fill="FFFFFF"/>
          <w:lang w:val="en-GB"/>
        </w:rPr>
        <w:t> </w:t>
      </w:r>
      <w:r w:rsidRPr="0040294D">
        <w:rPr>
          <w:b/>
          <w:bCs/>
          <w:color w:val="000000" w:themeColor="text1"/>
          <w:lang w:val="en-GB"/>
        </w:rPr>
        <w:t>59</w:t>
      </w:r>
      <w:r w:rsidRPr="0040294D">
        <w:rPr>
          <w:color w:val="000000" w:themeColor="text1"/>
          <w:shd w:val="clear" w:color="auto" w:fill="FFFFFF"/>
          <w:lang w:val="en-GB"/>
        </w:rPr>
        <w:t xml:space="preserve">, </w:t>
      </w:r>
      <w:r w:rsidRPr="0040294D">
        <w:rPr>
          <w:color w:val="000000" w:themeColor="text1"/>
          <w:lang w:val="en-GB"/>
        </w:rPr>
        <w:t xml:space="preserve">pp. </w:t>
      </w:r>
      <w:r w:rsidRPr="0040294D">
        <w:rPr>
          <w:color w:val="000000" w:themeColor="text1"/>
          <w:shd w:val="clear" w:color="auto" w:fill="FFFFFF"/>
          <w:lang w:val="en-GB"/>
        </w:rPr>
        <w:t>983</w:t>
      </w:r>
      <w:r w:rsidRPr="0040294D">
        <w:rPr>
          <w:b/>
          <w:color w:val="000000" w:themeColor="text1"/>
          <w:lang w:val="en-GB" w:eastAsia="fr-FR"/>
        </w:rPr>
        <w:t>–</w:t>
      </w:r>
      <w:r w:rsidRPr="0040294D">
        <w:rPr>
          <w:color w:val="000000" w:themeColor="text1"/>
          <w:shd w:val="clear" w:color="auto" w:fill="FFFFFF"/>
          <w:lang w:val="en-GB"/>
        </w:rPr>
        <w:t>1008.</w:t>
      </w:r>
    </w:p>
    <w:p w14:paraId="60C9A5F0"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Birkinshaw</w:t>
      </w:r>
      <w:proofErr w:type="spellEnd"/>
      <w:r w:rsidRPr="0040294D">
        <w:rPr>
          <w:color w:val="000000" w:themeColor="text1"/>
          <w:lang w:val="en-GB"/>
        </w:rPr>
        <w:t xml:space="preserve">, J., </w:t>
      </w:r>
      <w:proofErr w:type="spellStart"/>
      <w:r w:rsidRPr="0040294D">
        <w:rPr>
          <w:color w:val="000000" w:themeColor="text1"/>
          <w:lang w:val="en-GB"/>
        </w:rPr>
        <w:t>Bresman</w:t>
      </w:r>
      <w:proofErr w:type="spellEnd"/>
      <w:r w:rsidRPr="0040294D">
        <w:rPr>
          <w:color w:val="000000" w:themeColor="text1"/>
          <w:lang w:val="en-GB"/>
        </w:rPr>
        <w:t xml:space="preserve">, H., and </w:t>
      </w:r>
      <w:proofErr w:type="spellStart"/>
      <w:r w:rsidRPr="0040294D">
        <w:rPr>
          <w:color w:val="000000" w:themeColor="text1"/>
          <w:lang w:val="en-GB"/>
        </w:rPr>
        <w:t>Håkanson</w:t>
      </w:r>
      <w:proofErr w:type="spellEnd"/>
      <w:r w:rsidRPr="0040294D">
        <w:rPr>
          <w:color w:val="000000" w:themeColor="text1"/>
          <w:lang w:val="en-GB"/>
        </w:rPr>
        <w:t xml:space="preserve">, L. (2000). ‘Managing the post-acquisition integration process: How the human integration and task integration processes interact to foster value creation’, </w:t>
      </w:r>
      <w:r w:rsidRPr="0040294D">
        <w:rPr>
          <w:i/>
          <w:color w:val="000000" w:themeColor="text1"/>
          <w:lang w:val="en-GB"/>
        </w:rPr>
        <w:t>Journal of Management Studies</w:t>
      </w:r>
      <w:r w:rsidRPr="0040294D">
        <w:rPr>
          <w:color w:val="000000" w:themeColor="text1"/>
          <w:lang w:val="en-GB"/>
        </w:rPr>
        <w:t xml:space="preserve">, </w:t>
      </w:r>
      <w:r w:rsidRPr="0040294D">
        <w:rPr>
          <w:b/>
          <w:bCs/>
          <w:iCs/>
          <w:color w:val="000000" w:themeColor="text1"/>
          <w:lang w:val="en-GB"/>
        </w:rPr>
        <w:t>37</w:t>
      </w:r>
      <w:r w:rsidRPr="0040294D">
        <w:rPr>
          <w:color w:val="000000" w:themeColor="text1"/>
          <w:lang w:val="en-GB"/>
        </w:rPr>
        <w:t>, pp. 395</w:t>
      </w:r>
      <w:r w:rsidRPr="0040294D">
        <w:rPr>
          <w:color w:val="000000" w:themeColor="text1"/>
          <w:lang w:val="en-GB" w:eastAsia="fr-FR"/>
        </w:rPr>
        <w:t>–</w:t>
      </w:r>
      <w:r w:rsidRPr="0040294D">
        <w:rPr>
          <w:color w:val="000000" w:themeColor="text1"/>
          <w:lang w:val="en-GB"/>
        </w:rPr>
        <w:t>425.</w:t>
      </w:r>
    </w:p>
    <w:p w14:paraId="32EFE2FF"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Bourgeois, L. J. (1981). ‘On the measurement of organizational slack’. </w:t>
      </w:r>
      <w:r w:rsidRPr="0040294D">
        <w:rPr>
          <w:i/>
          <w:color w:val="000000" w:themeColor="text1"/>
          <w:shd w:val="clear" w:color="auto" w:fill="FFFFFF"/>
          <w:lang w:val="en-GB"/>
        </w:rPr>
        <w:t>Academy of Management Review,</w:t>
      </w:r>
      <w:r>
        <w:rPr>
          <w:i/>
          <w:color w:val="000000" w:themeColor="text1"/>
          <w:shd w:val="clear" w:color="auto" w:fill="FFFFFF"/>
          <w:lang w:val="en-GB"/>
        </w:rPr>
        <w:t xml:space="preserve"> </w:t>
      </w:r>
      <w:r w:rsidRPr="0040294D">
        <w:rPr>
          <w:b/>
          <w:color w:val="000000" w:themeColor="text1"/>
          <w:lang w:val="en-GB"/>
        </w:rPr>
        <w:t>6</w:t>
      </w:r>
      <w:r w:rsidRPr="0040294D">
        <w:rPr>
          <w:color w:val="000000" w:themeColor="text1"/>
          <w:lang w:val="en-GB"/>
        </w:rPr>
        <w:t>, pp.29–39.</w:t>
      </w:r>
    </w:p>
    <w:p w14:paraId="45920F43" w14:textId="77777777" w:rsidR="002918F3" w:rsidRPr="0040294D" w:rsidRDefault="002918F3" w:rsidP="002918F3">
      <w:pPr>
        <w:spacing w:before="60" w:after="60"/>
        <w:ind w:left="567" w:hanging="567"/>
        <w:jc w:val="both"/>
        <w:rPr>
          <w:color w:val="000000" w:themeColor="text1"/>
          <w:shd w:val="clear" w:color="auto" w:fill="FFFFFF"/>
          <w:lang w:val="en-GB"/>
        </w:rPr>
      </w:pPr>
      <w:r w:rsidRPr="0040294D">
        <w:rPr>
          <w:color w:val="000000" w:themeColor="text1"/>
          <w:shd w:val="clear" w:color="auto" w:fill="FFFFFF"/>
          <w:lang w:val="en-GB"/>
        </w:rPr>
        <w:t xml:space="preserve">Bradley, S. W., Shepherd, D. A. and </w:t>
      </w:r>
      <w:proofErr w:type="spellStart"/>
      <w:r w:rsidRPr="0040294D">
        <w:rPr>
          <w:color w:val="000000" w:themeColor="text1"/>
          <w:shd w:val="clear" w:color="auto" w:fill="FFFFFF"/>
          <w:lang w:val="en-GB"/>
        </w:rPr>
        <w:t>Wiklund</w:t>
      </w:r>
      <w:proofErr w:type="spellEnd"/>
      <w:r w:rsidRPr="0040294D">
        <w:rPr>
          <w:color w:val="000000" w:themeColor="text1"/>
          <w:shd w:val="clear" w:color="auto" w:fill="FFFFFF"/>
          <w:lang w:val="en-GB"/>
        </w:rPr>
        <w:t xml:space="preserve">, J. (2011). ‘The importance of slack for new </w:t>
      </w:r>
      <w:proofErr w:type="spellStart"/>
      <w:r w:rsidRPr="0040294D">
        <w:rPr>
          <w:color w:val="000000" w:themeColor="text1"/>
          <w:shd w:val="clear" w:color="auto" w:fill="FFFFFF"/>
          <w:lang w:val="en-GB"/>
        </w:rPr>
        <w:t>organizationsfacing</w:t>
      </w:r>
      <w:proofErr w:type="spellEnd"/>
      <w:r>
        <w:rPr>
          <w:color w:val="000000" w:themeColor="text1"/>
          <w:shd w:val="clear" w:color="auto" w:fill="FFFFFF"/>
          <w:lang w:val="en-GB"/>
        </w:rPr>
        <w:t xml:space="preserve"> ‘</w:t>
      </w:r>
      <w:r w:rsidRPr="0040294D">
        <w:rPr>
          <w:color w:val="000000" w:themeColor="text1"/>
          <w:shd w:val="clear" w:color="auto" w:fill="FFFFFF"/>
          <w:lang w:val="en-GB"/>
        </w:rPr>
        <w:t>tough</w:t>
      </w:r>
      <w:r>
        <w:rPr>
          <w:color w:val="000000" w:themeColor="text1"/>
          <w:shd w:val="clear" w:color="auto" w:fill="FFFFFF"/>
          <w:lang w:val="en-GB"/>
        </w:rPr>
        <w:t>’</w:t>
      </w:r>
      <w:r w:rsidRPr="0040294D">
        <w:rPr>
          <w:color w:val="000000" w:themeColor="text1"/>
          <w:shd w:val="clear" w:color="auto" w:fill="FFFFFF"/>
          <w:lang w:val="en-GB"/>
        </w:rPr>
        <w:t xml:space="preserve"> environments’. </w:t>
      </w:r>
      <w:r w:rsidRPr="0040294D">
        <w:rPr>
          <w:i/>
          <w:color w:val="000000" w:themeColor="text1"/>
          <w:shd w:val="clear" w:color="auto" w:fill="FFFFFF"/>
          <w:lang w:val="en-GB"/>
        </w:rPr>
        <w:t>Journal of Management Studies</w:t>
      </w:r>
      <w:r w:rsidRPr="0040294D">
        <w:rPr>
          <w:color w:val="000000" w:themeColor="text1"/>
          <w:shd w:val="clear" w:color="auto" w:fill="FFFFFF"/>
          <w:lang w:val="en-GB"/>
        </w:rPr>
        <w:t xml:space="preserve">, </w:t>
      </w:r>
      <w:r w:rsidRPr="0040294D">
        <w:rPr>
          <w:b/>
          <w:color w:val="000000" w:themeColor="text1"/>
          <w:shd w:val="clear" w:color="auto" w:fill="FFFFFF"/>
          <w:lang w:val="en-GB"/>
        </w:rPr>
        <w:t>48</w:t>
      </w:r>
      <w:r w:rsidRPr="0040294D">
        <w:rPr>
          <w:color w:val="000000" w:themeColor="text1"/>
          <w:shd w:val="clear" w:color="auto" w:fill="FFFFFF"/>
          <w:lang w:val="en-GB"/>
        </w:rPr>
        <w:t>, pp. 1071–97.</w:t>
      </w:r>
    </w:p>
    <w:p w14:paraId="0F6056F5" w14:textId="0EADC7CA" w:rsidR="002918F3" w:rsidRPr="0040294D" w:rsidRDefault="002918F3" w:rsidP="002918F3">
      <w:pPr>
        <w:widowControl w:val="0"/>
        <w:spacing w:before="60" w:after="60"/>
        <w:ind w:left="567" w:hanging="567"/>
        <w:jc w:val="both"/>
        <w:rPr>
          <w:color w:val="000000" w:themeColor="text1"/>
          <w:lang w:val="en-GB"/>
        </w:rPr>
      </w:pPr>
      <w:r w:rsidRPr="0040294D">
        <w:rPr>
          <w:color w:val="000000" w:themeColor="text1"/>
          <w:lang w:val="en-GB"/>
        </w:rPr>
        <w:t xml:space="preserve">Brammer, S., and Millington, A. (2008). ‘Does it pay to be different? An analysis of the relationship between corporate social and financial performance’, </w:t>
      </w:r>
      <w:r w:rsidRPr="0040294D">
        <w:rPr>
          <w:i/>
          <w:color w:val="000000" w:themeColor="text1"/>
          <w:lang w:val="en-GB"/>
        </w:rPr>
        <w:t>Strategic Management Journal</w:t>
      </w:r>
      <w:r w:rsidRPr="0040294D">
        <w:rPr>
          <w:color w:val="000000" w:themeColor="text1"/>
          <w:lang w:val="en-GB"/>
        </w:rPr>
        <w:t>,</w:t>
      </w:r>
      <w:r w:rsidR="00ED069F">
        <w:rPr>
          <w:color w:val="000000" w:themeColor="text1"/>
          <w:lang w:val="en-GB"/>
        </w:rPr>
        <w:t> </w:t>
      </w:r>
      <w:r w:rsidRPr="0040294D">
        <w:rPr>
          <w:b/>
          <w:bCs/>
          <w:iCs/>
          <w:color w:val="000000" w:themeColor="text1"/>
          <w:lang w:val="en-GB"/>
        </w:rPr>
        <w:t>29</w:t>
      </w:r>
      <w:r w:rsidRPr="0040294D">
        <w:rPr>
          <w:color w:val="000000" w:themeColor="text1"/>
          <w:lang w:val="en-GB"/>
        </w:rPr>
        <w:t>, pp. 1325</w:t>
      </w:r>
      <w:r w:rsidRPr="0040294D">
        <w:rPr>
          <w:color w:val="000000" w:themeColor="text1"/>
          <w:lang w:val="en-GB" w:eastAsia="fr-FR"/>
        </w:rPr>
        <w:t>–</w:t>
      </w:r>
      <w:r w:rsidRPr="0040294D">
        <w:rPr>
          <w:color w:val="000000" w:themeColor="text1"/>
          <w:lang w:val="en-GB"/>
        </w:rPr>
        <w:t>1343.</w:t>
      </w:r>
    </w:p>
    <w:p w14:paraId="7DF4B1C4" w14:textId="46D0D45E" w:rsidR="002918F3" w:rsidRPr="0040294D" w:rsidRDefault="002918F3" w:rsidP="002918F3">
      <w:pPr>
        <w:spacing w:before="60" w:after="60"/>
        <w:ind w:left="567" w:hanging="567"/>
        <w:jc w:val="both"/>
        <w:rPr>
          <w:lang w:val="en-GB"/>
        </w:rPr>
      </w:pPr>
      <w:proofErr w:type="spellStart"/>
      <w:r w:rsidRPr="0040294D">
        <w:rPr>
          <w:color w:val="000000" w:themeColor="text1"/>
          <w:lang w:val="en-GB"/>
        </w:rPr>
        <w:t>Brauer</w:t>
      </w:r>
      <w:proofErr w:type="spellEnd"/>
      <w:r w:rsidRPr="0040294D">
        <w:rPr>
          <w:color w:val="000000" w:themeColor="text1"/>
          <w:lang w:val="en-GB"/>
        </w:rPr>
        <w:t xml:space="preserve">, M.F., and Wiersema, M. (2012). ‘Industry divestiture waves: How a firm’s position influences investors returns’, </w:t>
      </w:r>
      <w:r w:rsidRPr="0040294D">
        <w:rPr>
          <w:i/>
          <w:lang w:val="en-GB"/>
        </w:rPr>
        <w:t>Academy of Management Journal</w:t>
      </w:r>
      <w:r w:rsidRPr="0040294D">
        <w:rPr>
          <w:lang w:val="en-GB"/>
        </w:rPr>
        <w:t>,</w:t>
      </w:r>
      <w:r w:rsidR="00ED069F">
        <w:rPr>
          <w:lang w:val="en-GB"/>
        </w:rPr>
        <w:t> </w:t>
      </w:r>
      <w:r w:rsidRPr="0040294D">
        <w:rPr>
          <w:b/>
          <w:lang w:val="en-GB"/>
        </w:rPr>
        <w:t>55</w:t>
      </w:r>
      <w:r w:rsidRPr="0040294D">
        <w:rPr>
          <w:lang w:val="en-GB"/>
        </w:rPr>
        <w:t>, pp. 1472</w:t>
      </w:r>
      <w:r w:rsidRPr="0040294D">
        <w:rPr>
          <w:color w:val="000000" w:themeColor="text1"/>
          <w:lang w:val="en-GB" w:eastAsia="fr-FR"/>
        </w:rPr>
        <w:t>–</w:t>
      </w:r>
      <w:r w:rsidRPr="0040294D">
        <w:rPr>
          <w:lang w:val="en-GB"/>
        </w:rPr>
        <w:t>1492.</w:t>
      </w:r>
    </w:p>
    <w:p w14:paraId="2F54B852" w14:textId="77777777" w:rsidR="002918F3" w:rsidRPr="0040294D" w:rsidRDefault="002918F3" w:rsidP="002918F3">
      <w:pPr>
        <w:widowControl w:val="0"/>
        <w:spacing w:before="60" w:after="60"/>
        <w:ind w:left="567" w:hanging="567"/>
        <w:jc w:val="both"/>
        <w:rPr>
          <w:lang w:val="en-GB"/>
        </w:rPr>
      </w:pPr>
      <w:proofErr w:type="spellStart"/>
      <w:r w:rsidRPr="0040294D">
        <w:rPr>
          <w:lang w:val="en-GB"/>
        </w:rPr>
        <w:t>Brueller</w:t>
      </w:r>
      <w:proofErr w:type="spellEnd"/>
      <w:r w:rsidRPr="0040294D">
        <w:rPr>
          <w:lang w:val="en-GB"/>
        </w:rPr>
        <w:t xml:space="preserve">, N. N., </w:t>
      </w:r>
      <w:proofErr w:type="spellStart"/>
      <w:r w:rsidRPr="0040294D">
        <w:rPr>
          <w:lang w:val="en-GB"/>
        </w:rPr>
        <w:t>Carmeli</w:t>
      </w:r>
      <w:proofErr w:type="spellEnd"/>
      <w:r w:rsidRPr="0040294D">
        <w:rPr>
          <w:lang w:val="en-GB"/>
        </w:rPr>
        <w:t xml:space="preserve">, A., and Markman, G. D. (2018). ‘Linking merger and acquisition strategies to </w:t>
      </w:r>
      <w:proofErr w:type="spellStart"/>
      <w:r w:rsidRPr="0040294D">
        <w:rPr>
          <w:lang w:val="en-GB"/>
        </w:rPr>
        <w:t>postmerger</w:t>
      </w:r>
      <w:proofErr w:type="spellEnd"/>
      <w:r w:rsidRPr="0040294D">
        <w:rPr>
          <w:lang w:val="en-GB"/>
        </w:rPr>
        <w:t xml:space="preserve"> integration: a configurational perspective of human resource management’. </w:t>
      </w:r>
      <w:r w:rsidRPr="0040294D">
        <w:rPr>
          <w:i/>
          <w:iCs/>
          <w:lang w:val="en-GB"/>
        </w:rPr>
        <w:t>Journal of Management</w:t>
      </w:r>
      <w:r w:rsidRPr="0040294D">
        <w:rPr>
          <w:lang w:val="en-GB"/>
        </w:rPr>
        <w:t>, </w:t>
      </w:r>
      <w:r w:rsidRPr="0040294D">
        <w:rPr>
          <w:b/>
          <w:iCs/>
          <w:lang w:val="en-GB"/>
        </w:rPr>
        <w:t>44</w:t>
      </w:r>
      <w:r>
        <w:rPr>
          <w:lang w:val="en-GB"/>
        </w:rPr>
        <w:t>, pp. 1793</w:t>
      </w:r>
      <w:r w:rsidRPr="0040294D">
        <w:rPr>
          <w:color w:val="000000" w:themeColor="text1"/>
          <w:lang w:val="en-GB" w:eastAsia="fr-FR"/>
        </w:rPr>
        <w:t>–</w:t>
      </w:r>
      <w:r w:rsidRPr="0040294D">
        <w:rPr>
          <w:lang w:val="en-GB"/>
        </w:rPr>
        <w:t>1818.</w:t>
      </w:r>
    </w:p>
    <w:p w14:paraId="602FEF0A" w14:textId="5CC5D95D" w:rsidR="002918F3" w:rsidRPr="0040294D" w:rsidRDefault="002918F3" w:rsidP="002918F3">
      <w:pPr>
        <w:widowControl w:val="0"/>
        <w:spacing w:before="60" w:after="60"/>
        <w:ind w:left="567" w:hanging="567"/>
        <w:jc w:val="both"/>
        <w:rPr>
          <w:color w:val="000000" w:themeColor="text1"/>
          <w:lang w:val="en-GB"/>
        </w:rPr>
      </w:pPr>
      <w:r w:rsidRPr="0040294D">
        <w:rPr>
          <w:rStyle w:val="normaltextrun"/>
          <w:lang w:val="en-GB"/>
        </w:rPr>
        <w:t>Buckley, P., Elia, S. and</w:t>
      </w:r>
      <w:r w:rsidRPr="0040294D">
        <w:rPr>
          <w:rStyle w:val="apple-converted-space"/>
          <w:lang w:val="en-GB"/>
        </w:rPr>
        <w:t> </w:t>
      </w:r>
      <w:proofErr w:type="spellStart"/>
      <w:r w:rsidRPr="0040294D">
        <w:rPr>
          <w:rStyle w:val="spellingerror"/>
          <w:lang w:val="en-GB"/>
        </w:rPr>
        <w:t>Kafouros</w:t>
      </w:r>
      <w:proofErr w:type="spellEnd"/>
      <w:r w:rsidRPr="0040294D">
        <w:rPr>
          <w:rStyle w:val="normaltextrun"/>
          <w:lang w:val="en-GB"/>
        </w:rPr>
        <w:t xml:space="preserve">, M. (2010). </w:t>
      </w:r>
      <w:r w:rsidR="00B0248E">
        <w:rPr>
          <w:rStyle w:val="normaltextrun"/>
          <w:lang w:val="en-GB"/>
        </w:rPr>
        <w:t>‘</w:t>
      </w:r>
      <w:r w:rsidRPr="0040294D">
        <w:rPr>
          <w:rStyle w:val="normaltextrun"/>
          <w:lang w:val="en-GB"/>
        </w:rPr>
        <w:t>Acquisitions from emerging countries: What factors influence the performance of target firms in advanced countries?</w:t>
      </w:r>
      <w:r w:rsidR="00B0248E">
        <w:rPr>
          <w:rStyle w:val="normaltextrun"/>
          <w:lang w:val="en-GB"/>
        </w:rPr>
        <w:t>’,</w:t>
      </w:r>
      <w:r w:rsidRPr="0040294D">
        <w:rPr>
          <w:rStyle w:val="normaltextrun"/>
          <w:lang w:val="en-GB"/>
        </w:rPr>
        <w:t xml:space="preserve"> </w:t>
      </w:r>
      <w:r w:rsidRPr="0040294D">
        <w:rPr>
          <w:rStyle w:val="normaltextrun"/>
          <w:i/>
          <w:lang w:val="en-GB"/>
        </w:rPr>
        <w:t>European Journal of International Management</w:t>
      </w:r>
      <w:r w:rsidRPr="0040294D">
        <w:rPr>
          <w:rStyle w:val="normaltextrun"/>
          <w:lang w:val="en-GB"/>
        </w:rPr>
        <w:t>,</w:t>
      </w:r>
      <w:r w:rsidR="00B0248E">
        <w:rPr>
          <w:rStyle w:val="normaltextrun"/>
          <w:lang w:val="en-GB"/>
        </w:rPr>
        <w:t> </w:t>
      </w:r>
      <w:r w:rsidRPr="0040294D">
        <w:rPr>
          <w:rStyle w:val="normaltextrun"/>
          <w:b/>
          <w:lang w:val="en-GB"/>
        </w:rPr>
        <w:t>4</w:t>
      </w:r>
      <w:r w:rsidRPr="0040294D">
        <w:rPr>
          <w:rStyle w:val="normaltextrun"/>
          <w:lang w:val="en-GB"/>
        </w:rPr>
        <w:t>, pp. 30</w:t>
      </w:r>
      <w:r w:rsidRPr="0040294D">
        <w:rPr>
          <w:color w:val="000000" w:themeColor="text1"/>
          <w:lang w:val="en-GB" w:eastAsia="fr-FR"/>
        </w:rPr>
        <w:t>–</w:t>
      </w:r>
      <w:r w:rsidRPr="0040294D">
        <w:rPr>
          <w:rStyle w:val="normaltextrun"/>
          <w:lang w:val="en-GB"/>
        </w:rPr>
        <w:t>42.</w:t>
      </w:r>
    </w:p>
    <w:p w14:paraId="29F236E3"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Buckley, P. J., and Munjal, S. (2017). ‘The role of local context in the cross</w:t>
      </w:r>
      <w:r w:rsidRPr="0040294D">
        <w:rPr>
          <w:rFonts w:ascii="Cambria Math" w:hAnsi="Cambria Math" w:cs="Cambria Math"/>
          <w:color w:val="000000" w:themeColor="text1"/>
          <w:lang w:val="en-GB"/>
        </w:rPr>
        <w:t>‐</w:t>
      </w:r>
      <w:r w:rsidRPr="0040294D">
        <w:rPr>
          <w:color w:val="000000" w:themeColor="text1"/>
          <w:lang w:val="en-GB"/>
        </w:rPr>
        <w:t>border acquisitions by emerging economy multinational enterprises’,</w:t>
      </w:r>
      <w:r>
        <w:rPr>
          <w:color w:val="000000" w:themeColor="text1"/>
          <w:lang w:val="en-GB"/>
        </w:rPr>
        <w:t xml:space="preserve"> </w:t>
      </w:r>
      <w:r w:rsidRPr="0040294D">
        <w:rPr>
          <w:i/>
          <w:iCs/>
          <w:color w:val="000000" w:themeColor="text1"/>
          <w:lang w:val="en-GB"/>
        </w:rPr>
        <w:t>British Journal of Management</w:t>
      </w:r>
      <w:r w:rsidRPr="0040294D">
        <w:rPr>
          <w:color w:val="000000" w:themeColor="text1"/>
          <w:lang w:val="en-GB"/>
        </w:rPr>
        <w:t>, </w:t>
      </w:r>
      <w:r w:rsidRPr="0040294D">
        <w:rPr>
          <w:b/>
          <w:bCs/>
          <w:color w:val="000000" w:themeColor="text1"/>
          <w:lang w:val="en-GB"/>
        </w:rPr>
        <w:t>28</w:t>
      </w:r>
      <w:r w:rsidRPr="0040294D">
        <w:rPr>
          <w:color w:val="000000" w:themeColor="text1"/>
          <w:lang w:val="en-GB"/>
        </w:rPr>
        <w:t>, pp. 372</w:t>
      </w:r>
      <w:r w:rsidRPr="0040294D">
        <w:rPr>
          <w:color w:val="000000" w:themeColor="text1"/>
          <w:lang w:val="en-GB" w:eastAsia="fr-FR"/>
        </w:rPr>
        <w:t>–</w:t>
      </w:r>
      <w:r w:rsidRPr="0040294D">
        <w:rPr>
          <w:color w:val="000000" w:themeColor="text1"/>
          <w:lang w:val="en-GB"/>
        </w:rPr>
        <w:t>389.</w:t>
      </w:r>
    </w:p>
    <w:p w14:paraId="4C307DA7"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Buono</w:t>
      </w:r>
      <w:proofErr w:type="spellEnd"/>
      <w:r w:rsidRPr="0040294D">
        <w:rPr>
          <w:color w:val="000000" w:themeColor="text1"/>
          <w:lang w:val="en-GB"/>
        </w:rPr>
        <w:t xml:space="preserve">, A. F., and Bowditch, J. L. (1989). </w:t>
      </w:r>
      <w:r w:rsidRPr="0040294D">
        <w:rPr>
          <w:i/>
          <w:color w:val="000000" w:themeColor="text1"/>
          <w:lang w:val="en-GB"/>
        </w:rPr>
        <w:t xml:space="preserve">The </w:t>
      </w:r>
      <w:r>
        <w:rPr>
          <w:i/>
          <w:color w:val="000000" w:themeColor="text1"/>
          <w:lang w:val="en-GB"/>
        </w:rPr>
        <w:t>H</w:t>
      </w:r>
      <w:r w:rsidRPr="0040294D">
        <w:rPr>
          <w:i/>
          <w:color w:val="000000" w:themeColor="text1"/>
          <w:lang w:val="en-GB"/>
        </w:rPr>
        <w:t xml:space="preserve">uman </w:t>
      </w:r>
      <w:r>
        <w:rPr>
          <w:i/>
          <w:color w:val="000000" w:themeColor="text1"/>
          <w:lang w:val="en-GB"/>
        </w:rPr>
        <w:t>S</w:t>
      </w:r>
      <w:r w:rsidRPr="0040294D">
        <w:rPr>
          <w:i/>
          <w:color w:val="000000" w:themeColor="text1"/>
          <w:lang w:val="en-GB"/>
        </w:rPr>
        <w:t xml:space="preserve">ide of </w:t>
      </w:r>
      <w:r>
        <w:rPr>
          <w:i/>
          <w:color w:val="000000" w:themeColor="text1"/>
          <w:lang w:val="en-GB"/>
        </w:rPr>
        <w:t>M</w:t>
      </w:r>
      <w:r w:rsidRPr="0040294D">
        <w:rPr>
          <w:i/>
          <w:color w:val="000000" w:themeColor="text1"/>
          <w:lang w:val="en-GB"/>
        </w:rPr>
        <w:t xml:space="preserve">ergers and </w:t>
      </w:r>
      <w:r>
        <w:rPr>
          <w:i/>
          <w:color w:val="000000" w:themeColor="text1"/>
          <w:lang w:val="en-GB"/>
        </w:rPr>
        <w:t>A</w:t>
      </w:r>
      <w:r w:rsidRPr="0040294D">
        <w:rPr>
          <w:i/>
          <w:color w:val="000000" w:themeColor="text1"/>
          <w:lang w:val="en-GB"/>
        </w:rPr>
        <w:t xml:space="preserve">cquisitions: Managing </w:t>
      </w:r>
      <w:r>
        <w:rPr>
          <w:i/>
          <w:color w:val="000000" w:themeColor="text1"/>
          <w:lang w:val="en-GB"/>
        </w:rPr>
        <w:t>C</w:t>
      </w:r>
      <w:r w:rsidRPr="0040294D">
        <w:rPr>
          <w:i/>
          <w:color w:val="000000" w:themeColor="text1"/>
          <w:lang w:val="en-GB"/>
        </w:rPr>
        <w:t xml:space="preserve">ollisions </w:t>
      </w:r>
      <w:r>
        <w:rPr>
          <w:i/>
          <w:color w:val="000000" w:themeColor="text1"/>
          <w:lang w:val="en-GB"/>
        </w:rPr>
        <w:t>B</w:t>
      </w:r>
      <w:r w:rsidRPr="0040294D">
        <w:rPr>
          <w:i/>
          <w:color w:val="000000" w:themeColor="text1"/>
          <w:lang w:val="en-GB"/>
        </w:rPr>
        <w:t xml:space="preserve">etween </w:t>
      </w:r>
      <w:r>
        <w:rPr>
          <w:i/>
          <w:color w:val="000000" w:themeColor="text1"/>
          <w:lang w:val="en-GB"/>
        </w:rPr>
        <w:t>P</w:t>
      </w:r>
      <w:r w:rsidRPr="0040294D">
        <w:rPr>
          <w:i/>
          <w:color w:val="000000" w:themeColor="text1"/>
          <w:lang w:val="en-GB"/>
        </w:rPr>
        <w:t xml:space="preserve">eople, </w:t>
      </w:r>
      <w:r>
        <w:rPr>
          <w:i/>
          <w:color w:val="000000" w:themeColor="text1"/>
          <w:lang w:val="en-GB"/>
        </w:rPr>
        <w:t>C</w:t>
      </w:r>
      <w:r w:rsidRPr="0040294D">
        <w:rPr>
          <w:i/>
          <w:color w:val="000000" w:themeColor="text1"/>
          <w:lang w:val="en-GB"/>
        </w:rPr>
        <w:t xml:space="preserve">ultures, and </w:t>
      </w:r>
      <w:r>
        <w:rPr>
          <w:i/>
          <w:color w:val="000000" w:themeColor="text1"/>
          <w:lang w:val="en-GB"/>
        </w:rPr>
        <w:t>O</w:t>
      </w:r>
      <w:r w:rsidRPr="0040294D">
        <w:rPr>
          <w:i/>
          <w:color w:val="000000" w:themeColor="text1"/>
          <w:lang w:val="en-GB"/>
        </w:rPr>
        <w:t>rganizations</w:t>
      </w:r>
      <w:r w:rsidRPr="0040294D">
        <w:rPr>
          <w:color w:val="000000" w:themeColor="text1"/>
          <w:lang w:val="en-GB"/>
        </w:rPr>
        <w:t>. San Francisco, CA: Jossey-Bass.</w:t>
      </w:r>
    </w:p>
    <w:p w14:paraId="0BE43CDA"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Cavaco, S., and </w:t>
      </w:r>
      <w:proofErr w:type="spellStart"/>
      <w:r w:rsidRPr="0040294D">
        <w:rPr>
          <w:color w:val="000000" w:themeColor="text1"/>
          <w:lang w:val="en-GB"/>
        </w:rPr>
        <w:t>Crifo</w:t>
      </w:r>
      <w:proofErr w:type="spellEnd"/>
      <w:r w:rsidRPr="0040294D">
        <w:rPr>
          <w:color w:val="000000" w:themeColor="text1"/>
          <w:lang w:val="en-GB"/>
        </w:rPr>
        <w:t xml:space="preserve">, P. (2014). ‘CSR and financial performance: Complementarity between environmental, social and business behaviours’, </w:t>
      </w:r>
      <w:r w:rsidRPr="0040294D">
        <w:rPr>
          <w:i/>
          <w:color w:val="000000" w:themeColor="text1"/>
          <w:lang w:val="en-GB"/>
        </w:rPr>
        <w:t>Applied Economics</w:t>
      </w:r>
      <w:r w:rsidRPr="0040294D">
        <w:rPr>
          <w:color w:val="000000" w:themeColor="text1"/>
          <w:lang w:val="en-GB"/>
        </w:rPr>
        <w:t>,</w:t>
      </w:r>
      <w:r>
        <w:rPr>
          <w:color w:val="000000" w:themeColor="text1"/>
          <w:lang w:val="en-GB"/>
        </w:rPr>
        <w:t> </w:t>
      </w:r>
      <w:r w:rsidRPr="0040294D">
        <w:rPr>
          <w:b/>
          <w:bCs/>
          <w:iCs/>
          <w:color w:val="000000" w:themeColor="text1"/>
          <w:lang w:val="en-GB"/>
        </w:rPr>
        <w:t>46</w:t>
      </w:r>
      <w:r w:rsidRPr="0040294D">
        <w:rPr>
          <w:color w:val="000000" w:themeColor="text1"/>
          <w:lang w:val="en-GB"/>
        </w:rPr>
        <w:t>, pp. 3323</w:t>
      </w:r>
      <w:r w:rsidRPr="0040294D">
        <w:rPr>
          <w:color w:val="000000" w:themeColor="text1"/>
          <w:lang w:val="en-GB" w:eastAsia="fr-FR"/>
        </w:rPr>
        <w:t>–</w:t>
      </w:r>
      <w:r w:rsidRPr="0040294D">
        <w:rPr>
          <w:color w:val="000000" w:themeColor="text1"/>
          <w:lang w:val="en-GB"/>
        </w:rPr>
        <w:t>3338.</w:t>
      </w:r>
    </w:p>
    <w:p w14:paraId="4DFF30F7"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Chakrabarti, R., Gupta-Mukherjee, S., and Jayaraman, N. (2009). ‘Mars-Venus marriages: Culture and cross-border M&amp;A’, </w:t>
      </w:r>
      <w:r w:rsidRPr="0040294D">
        <w:rPr>
          <w:i/>
          <w:color w:val="000000" w:themeColor="text1"/>
          <w:lang w:val="en-GB"/>
        </w:rPr>
        <w:t>Journal of International Business Studies</w:t>
      </w:r>
      <w:r w:rsidRPr="0040294D">
        <w:rPr>
          <w:color w:val="000000" w:themeColor="text1"/>
          <w:lang w:val="en-GB"/>
        </w:rPr>
        <w:t>,</w:t>
      </w:r>
      <w:r>
        <w:rPr>
          <w:color w:val="000000" w:themeColor="text1"/>
          <w:lang w:val="en-GB"/>
        </w:rPr>
        <w:t> </w:t>
      </w:r>
      <w:r w:rsidRPr="0040294D">
        <w:rPr>
          <w:b/>
          <w:bCs/>
          <w:iCs/>
          <w:color w:val="000000" w:themeColor="text1"/>
          <w:lang w:val="en-GB"/>
        </w:rPr>
        <w:t>40</w:t>
      </w:r>
      <w:r w:rsidRPr="0040294D">
        <w:rPr>
          <w:color w:val="000000" w:themeColor="text1"/>
          <w:lang w:val="en-GB"/>
        </w:rPr>
        <w:t>, pp. 216</w:t>
      </w:r>
      <w:r w:rsidRPr="0040294D">
        <w:rPr>
          <w:color w:val="000000" w:themeColor="text1"/>
          <w:lang w:val="en-GB" w:eastAsia="fr-FR"/>
        </w:rPr>
        <w:t>–</w:t>
      </w:r>
      <w:r w:rsidRPr="0040294D">
        <w:rPr>
          <w:color w:val="000000" w:themeColor="text1"/>
          <w:lang w:val="en-GB"/>
        </w:rPr>
        <w:t>236.</w:t>
      </w:r>
    </w:p>
    <w:p w14:paraId="52064F4B"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Chatterjee, S., </w:t>
      </w:r>
      <w:proofErr w:type="spellStart"/>
      <w:r w:rsidRPr="0040294D">
        <w:rPr>
          <w:color w:val="000000" w:themeColor="text1"/>
          <w:lang w:val="en-GB"/>
        </w:rPr>
        <w:t>Lubatkin</w:t>
      </w:r>
      <w:proofErr w:type="spellEnd"/>
      <w:r w:rsidRPr="0040294D">
        <w:rPr>
          <w:color w:val="000000" w:themeColor="text1"/>
          <w:lang w:val="en-GB"/>
        </w:rPr>
        <w:t xml:space="preserve">, M. H., Schweiger, D. M., and Weber, Y. (1992). ‘Cultural differences and shareholders value: Explaining the variability in the performance of related acquisitions’, </w:t>
      </w:r>
      <w:r w:rsidRPr="0040294D">
        <w:rPr>
          <w:i/>
          <w:color w:val="000000" w:themeColor="text1"/>
          <w:lang w:val="en-GB"/>
        </w:rPr>
        <w:t>Strategic Management Journal</w:t>
      </w:r>
      <w:r w:rsidRPr="0040294D">
        <w:rPr>
          <w:color w:val="000000" w:themeColor="text1"/>
          <w:lang w:val="en-GB"/>
        </w:rPr>
        <w:t>,</w:t>
      </w:r>
      <w:r>
        <w:rPr>
          <w:b/>
          <w:i/>
          <w:color w:val="000000" w:themeColor="text1"/>
          <w:lang w:val="en-GB"/>
        </w:rPr>
        <w:t> </w:t>
      </w:r>
      <w:r w:rsidRPr="0040294D">
        <w:rPr>
          <w:b/>
          <w:bCs/>
          <w:iCs/>
          <w:color w:val="000000" w:themeColor="text1"/>
          <w:lang w:val="en-GB"/>
        </w:rPr>
        <w:t>13</w:t>
      </w:r>
      <w:r w:rsidRPr="0040294D">
        <w:rPr>
          <w:color w:val="000000" w:themeColor="text1"/>
          <w:lang w:val="en-GB"/>
        </w:rPr>
        <w:t>, pp. 319</w:t>
      </w:r>
      <w:r w:rsidRPr="0040294D">
        <w:rPr>
          <w:color w:val="000000" w:themeColor="text1"/>
          <w:lang w:val="en-GB" w:eastAsia="fr-FR"/>
        </w:rPr>
        <w:t>–</w:t>
      </w:r>
      <w:r w:rsidRPr="0040294D">
        <w:rPr>
          <w:color w:val="000000" w:themeColor="text1"/>
          <w:lang w:val="en-GB"/>
        </w:rPr>
        <w:t>334.</w:t>
      </w:r>
    </w:p>
    <w:p w14:paraId="571CC8BC" w14:textId="77777777" w:rsidR="002918F3" w:rsidRPr="0040294D" w:rsidRDefault="002918F3" w:rsidP="002918F3">
      <w:pPr>
        <w:spacing w:before="60" w:after="60"/>
        <w:ind w:left="567" w:hanging="567"/>
        <w:jc w:val="both"/>
        <w:rPr>
          <w:lang w:val="en-GB"/>
        </w:rPr>
      </w:pPr>
      <w:r w:rsidRPr="0040294D">
        <w:rPr>
          <w:lang w:val="en-GB"/>
        </w:rPr>
        <w:lastRenderedPageBreak/>
        <w:t xml:space="preserve">Colombo, G., Conca, V., Buongiorno, M. and </w:t>
      </w:r>
      <w:proofErr w:type="spellStart"/>
      <w:r w:rsidRPr="0040294D">
        <w:rPr>
          <w:lang w:val="en-GB"/>
        </w:rPr>
        <w:t>Gnan</w:t>
      </w:r>
      <w:proofErr w:type="spellEnd"/>
      <w:r w:rsidRPr="0040294D">
        <w:rPr>
          <w:lang w:val="en-GB"/>
        </w:rPr>
        <w:t xml:space="preserve">, L. (2007). ‘Integrating </w:t>
      </w:r>
      <w:r>
        <w:rPr>
          <w:lang w:val="en-GB"/>
        </w:rPr>
        <w:t>c</w:t>
      </w:r>
      <w:r w:rsidRPr="0040294D">
        <w:rPr>
          <w:lang w:val="en-GB"/>
        </w:rPr>
        <w:t>ross-</w:t>
      </w:r>
      <w:r>
        <w:rPr>
          <w:lang w:val="en-GB"/>
        </w:rPr>
        <w:t>b</w:t>
      </w:r>
      <w:r w:rsidRPr="0040294D">
        <w:rPr>
          <w:lang w:val="en-GB"/>
        </w:rPr>
        <w:t xml:space="preserve">order Acquisitions: A </w:t>
      </w:r>
      <w:r>
        <w:rPr>
          <w:lang w:val="en-GB"/>
        </w:rPr>
        <w:t>p</w:t>
      </w:r>
      <w:r w:rsidRPr="0040294D">
        <w:rPr>
          <w:lang w:val="en-GB"/>
        </w:rPr>
        <w:t xml:space="preserve">rocess-oriented </w:t>
      </w:r>
      <w:r>
        <w:rPr>
          <w:lang w:val="en-GB"/>
        </w:rPr>
        <w:t>a</w:t>
      </w:r>
      <w:r w:rsidRPr="0040294D">
        <w:rPr>
          <w:lang w:val="en-GB"/>
        </w:rPr>
        <w:t xml:space="preserve">pproach.’ </w:t>
      </w:r>
      <w:r w:rsidRPr="0040294D">
        <w:rPr>
          <w:i/>
          <w:iCs/>
          <w:lang w:val="en-GB"/>
        </w:rPr>
        <w:t>Long Range Planning</w:t>
      </w:r>
      <w:r w:rsidRPr="0040294D">
        <w:rPr>
          <w:lang w:val="en-GB"/>
        </w:rPr>
        <w:t>,</w:t>
      </w:r>
      <w:r>
        <w:rPr>
          <w:lang w:val="en-GB"/>
        </w:rPr>
        <w:t> </w:t>
      </w:r>
      <w:r w:rsidRPr="0040294D">
        <w:rPr>
          <w:b/>
          <w:bCs/>
          <w:lang w:val="en-GB"/>
        </w:rPr>
        <w:t>40</w:t>
      </w:r>
      <w:r>
        <w:rPr>
          <w:lang w:val="en-GB"/>
        </w:rPr>
        <w:t>, pp. 202</w:t>
      </w:r>
      <w:r w:rsidRPr="0040294D">
        <w:rPr>
          <w:color w:val="000000" w:themeColor="text1"/>
          <w:lang w:val="en-GB" w:eastAsia="fr-FR"/>
        </w:rPr>
        <w:t>–</w:t>
      </w:r>
      <w:r w:rsidRPr="0040294D">
        <w:rPr>
          <w:lang w:val="en-GB"/>
        </w:rPr>
        <w:t>222.</w:t>
      </w:r>
    </w:p>
    <w:p w14:paraId="064DC1FF" w14:textId="77777777" w:rsidR="002918F3" w:rsidRPr="0040294D" w:rsidRDefault="002918F3" w:rsidP="002918F3">
      <w:pPr>
        <w:spacing w:before="60" w:after="60"/>
        <w:ind w:left="567" w:hanging="567"/>
        <w:jc w:val="both"/>
        <w:rPr>
          <w:lang w:val="en-GB"/>
        </w:rPr>
      </w:pPr>
      <w:r w:rsidRPr="0040294D">
        <w:rPr>
          <w:lang w:val="en-GB"/>
        </w:rPr>
        <w:t xml:space="preserve">Combs, J., Liu, Y., Hall, A., and </w:t>
      </w:r>
      <w:proofErr w:type="spellStart"/>
      <w:r w:rsidRPr="0040294D">
        <w:rPr>
          <w:lang w:val="en-GB"/>
        </w:rPr>
        <w:t>Ketchen</w:t>
      </w:r>
      <w:proofErr w:type="spellEnd"/>
      <w:r w:rsidRPr="0040294D">
        <w:rPr>
          <w:lang w:val="en-GB"/>
        </w:rPr>
        <w:t>, D. (2006). How much do high-performance work practices matter? A meta-analysis of their effects on organizational performance</w:t>
      </w:r>
      <w:r>
        <w:rPr>
          <w:lang w:val="en-GB"/>
        </w:rPr>
        <w:t>’,</w:t>
      </w:r>
      <w:r w:rsidRPr="0040294D">
        <w:rPr>
          <w:lang w:val="en-GB"/>
        </w:rPr>
        <w:t xml:space="preserve"> </w:t>
      </w:r>
      <w:r w:rsidRPr="0040294D">
        <w:rPr>
          <w:i/>
          <w:iCs/>
          <w:lang w:val="en-GB"/>
        </w:rPr>
        <w:t>Personnel Psychology</w:t>
      </w:r>
      <w:r w:rsidRPr="0040294D">
        <w:rPr>
          <w:lang w:val="en-GB"/>
        </w:rPr>
        <w:t>,</w:t>
      </w:r>
      <w:r>
        <w:rPr>
          <w:lang w:val="en-GB"/>
        </w:rPr>
        <w:t> </w:t>
      </w:r>
      <w:r w:rsidRPr="0040294D">
        <w:rPr>
          <w:b/>
          <w:lang w:val="en-GB"/>
        </w:rPr>
        <w:t>59</w:t>
      </w:r>
      <w:r w:rsidRPr="0040294D">
        <w:rPr>
          <w:lang w:val="en-GB"/>
        </w:rPr>
        <w:t>, pp. 501–528.</w:t>
      </w:r>
    </w:p>
    <w:p w14:paraId="7018041D"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Correia, M. F., Cunha, R. C., and Scholten, M. (2013). ‘Impact of M&amp;As on organizational performance: The moderating role of HRM centrality’, </w:t>
      </w:r>
      <w:r w:rsidRPr="0040294D">
        <w:rPr>
          <w:i/>
          <w:color w:val="000000" w:themeColor="text1"/>
          <w:lang w:val="en-GB"/>
        </w:rPr>
        <w:t>European Management Journal</w:t>
      </w:r>
      <w:r w:rsidRPr="0040294D">
        <w:rPr>
          <w:color w:val="000000" w:themeColor="text1"/>
          <w:lang w:val="en-GB"/>
        </w:rPr>
        <w:t>, </w:t>
      </w:r>
      <w:r w:rsidRPr="0040294D">
        <w:rPr>
          <w:b/>
          <w:bCs/>
          <w:iCs/>
          <w:color w:val="000000" w:themeColor="text1"/>
          <w:lang w:val="en-GB"/>
        </w:rPr>
        <w:t>31</w:t>
      </w:r>
      <w:r w:rsidRPr="0040294D">
        <w:rPr>
          <w:color w:val="000000" w:themeColor="text1"/>
          <w:lang w:val="en-GB"/>
        </w:rPr>
        <w:t>, pp. 323</w:t>
      </w:r>
      <w:r w:rsidRPr="0040294D">
        <w:rPr>
          <w:color w:val="000000" w:themeColor="text1"/>
          <w:lang w:val="en-GB" w:eastAsia="fr-FR"/>
        </w:rPr>
        <w:t>–</w:t>
      </w:r>
      <w:r w:rsidRPr="0040294D">
        <w:rPr>
          <w:color w:val="000000" w:themeColor="text1"/>
          <w:lang w:val="en-GB"/>
        </w:rPr>
        <w:t>332.</w:t>
      </w:r>
    </w:p>
    <w:p w14:paraId="6462BA61"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Déjean</w:t>
      </w:r>
      <w:proofErr w:type="spellEnd"/>
      <w:r w:rsidRPr="0040294D">
        <w:rPr>
          <w:color w:val="000000" w:themeColor="text1"/>
          <w:lang w:val="en-GB"/>
        </w:rPr>
        <w:t xml:space="preserve">, F., Gond, J.-P., and </w:t>
      </w:r>
      <w:proofErr w:type="spellStart"/>
      <w:r w:rsidRPr="0040294D">
        <w:rPr>
          <w:color w:val="000000" w:themeColor="text1"/>
          <w:lang w:val="en-GB"/>
        </w:rPr>
        <w:t>Leca</w:t>
      </w:r>
      <w:proofErr w:type="spellEnd"/>
      <w:r w:rsidRPr="0040294D">
        <w:rPr>
          <w:color w:val="000000" w:themeColor="text1"/>
          <w:lang w:val="en-GB"/>
        </w:rPr>
        <w:t xml:space="preserve">, B. (2004). ‘Measuring the unmeasured: An institutional entrepreneur strategy in an emerging industry’, </w:t>
      </w:r>
      <w:r w:rsidRPr="0040294D">
        <w:rPr>
          <w:i/>
          <w:color w:val="000000" w:themeColor="text1"/>
          <w:lang w:val="en-GB"/>
        </w:rPr>
        <w:t>Human Relations</w:t>
      </w:r>
      <w:r w:rsidRPr="0040294D">
        <w:rPr>
          <w:color w:val="000000" w:themeColor="text1"/>
          <w:lang w:val="en-GB"/>
        </w:rPr>
        <w:t>,</w:t>
      </w:r>
      <w:r>
        <w:rPr>
          <w:color w:val="000000" w:themeColor="text1"/>
          <w:lang w:val="en-GB"/>
        </w:rPr>
        <w:t> </w:t>
      </w:r>
      <w:r w:rsidRPr="0040294D">
        <w:rPr>
          <w:b/>
          <w:bCs/>
          <w:iCs/>
          <w:color w:val="000000" w:themeColor="text1"/>
          <w:lang w:val="en-GB"/>
        </w:rPr>
        <w:t>57</w:t>
      </w:r>
      <w:r w:rsidRPr="0040294D">
        <w:rPr>
          <w:color w:val="000000" w:themeColor="text1"/>
          <w:lang w:val="en-GB"/>
        </w:rPr>
        <w:t>, pp. 741</w:t>
      </w:r>
      <w:r w:rsidRPr="0040294D">
        <w:rPr>
          <w:color w:val="000000" w:themeColor="text1"/>
          <w:lang w:val="en-GB" w:eastAsia="fr-FR"/>
        </w:rPr>
        <w:t>–</w:t>
      </w:r>
      <w:r w:rsidRPr="0040294D">
        <w:rPr>
          <w:color w:val="000000" w:themeColor="text1"/>
          <w:lang w:val="en-GB"/>
        </w:rPr>
        <w:t>764.</w:t>
      </w:r>
    </w:p>
    <w:p w14:paraId="3A95002B" w14:textId="77777777" w:rsidR="002918F3" w:rsidRPr="0040294D" w:rsidRDefault="002918F3" w:rsidP="002918F3">
      <w:pPr>
        <w:spacing w:before="60" w:after="60"/>
        <w:ind w:left="567" w:hanging="567"/>
        <w:jc w:val="both"/>
        <w:rPr>
          <w:color w:val="000000" w:themeColor="text1"/>
          <w:lang w:val="en-GB" w:eastAsia="zh-CN"/>
        </w:rPr>
      </w:pPr>
      <w:proofErr w:type="spellStart"/>
      <w:r w:rsidRPr="0040294D">
        <w:rPr>
          <w:color w:val="000000" w:themeColor="text1"/>
          <w:lang w:val="en-GB" w:eastAsia="zh-CN"/>
        </w:rPr>
        <w:t>Dikova</w:t>
      </w:r>
      <w:proofErr w:type="spellEnd"/>
      <w:r w:rsidRPr="0040294D">
        <w:rPr>
          <w:color w:val="000000" w:themeColor="text1"/>
          <w:lang w:val="en-GB" w:eastAsia="zh-CN"/>
        </w:rPr>
        <w:t xml:space="preserve">, D., Sahib, P. R., and Van </w:t>
      </w:r>
      <w:proofErr w:type="spellStart"/>
      <w:r w:rsidRPr="0040294D">
        <w:rPr>
          <w:color w:val="000000" w:themeColor="text1"/>
          <w:lang w:val="en-GB" w:eastAsia="zh-CN"/>
        </w:rPr>
        <w:t>Witteloostuijn</w:t>
      </w:r>
      <w:proofErr w:type="spellEnd"/>
      <w:r w:rsidRPr="0040294D">
        <w:rPr>
          <w:color w:val="000000" w:themeColor="text1"/>
          <w:lang w:val="en-GB" w:eastAsia="zh-CN"/>
        </w:rPr>
        <w:t>, A. (2010). ‘Cross-border acquisition abandonment and completion: The effect of institutional differences and organizational learning in the international business service industry, 1981</w:t>
      </w:r>
      <w:r w:rsidRPr="0040294D">
        <w:rPr>
          <w:color w:val="000000" w:themeColor="text1"/>
          <w:lang w:val="en-GB" w:eastAsia="fr-FR"/>
        </w:rPr>
        <w:t>–</w:t>
      </w:r>
      <w:r w:rsidRPr="0040294D">
        <w:rPr>
          <w:color w:val="000000" w:themeColor="text1"/>
          <w:lang w:val="en-GB" w:eastAsia="zh-CN"/>
        </w:rPr>
        <w:t xml:space="preserve">2001’, </w:t>
      </w:r>
      <w:r w:rsidRPr="0040294D">
        <w:rPr>
          <w:i/>
          <w:iCs/>
          <w:color w:val="000000" w:themeColor="text1"/>
          <w:lang w:val="en-GB" w:eastAsia="zh-CN"/>
        </w:rPr>
        <w:t>Journal of International Business Studies</w:t>
      </w:r>
      <w:r w:rsidRPr="0040294D">
        <w:rPr>
          <w:color w:val="000000" w:themeColor="text1"/>
          <w:lang w:val="en-GB" w:eastAsia="zh-CN"/>
        </w:rPr>
        <w:t>,</w:t>
      </w:r>
      <w:r>
        <w:rPr>
          <w:color w:val="000000" w:themeColor="text1"/>
          <w:lang w:val="en-GB" w:eastAsia="zh-CN"/>
        </w:rPr>
        <w:t> </w:t>
      </w:r>
      <w:r w:rsidRPr="0040294D">
        <w:rPr>
          <w:b/>
          <w:bCs/>
          <w:iCs/>
          <w:color w:val="000000" w:themeColor="text1"/>
          <w:lang w:val="en-GB" w:eastAsia="zh-CN"/>
        </w:rPr>
        <w:t>41</w:t>
      </w:r>
      <w:r w:rsidRPr="0040294D">
        <w:rPr>
          <w:color w:val="000000" w:themeColor="text1"/>
          <w:lang w:val="en-GB" w:eastAsia="zh-CN"/>
        </w:rPr>
        <w:t xml:space="preserve">, </w:t>
      </w:r>
      <w:r w:rsidRPr="0040294D">
        <w:rPr>
          <w:color w:val="000000" w:themeColor="text1"/>
          <w:lang w:val="en-GB"/>
        </w:rPr>
        <w:t xml:space="preserve">pp. </w:t>
      </w:r>
      <w:r w:rsidRPr="0040294D">
        <w:rPr>
          <w:color w:val="000000" w:themeColor="text1"/>
          <w:lang w:val="en-GB" w:eastAsia="zh-CN"/>
        </w:rPr>
        <w:t>223</w:t>
      </w:r>
      <w:r w:rsidRPr="0040294D">
        <w:rPr>
          <w:color w:val="000000" w:themeColor="text1"/>
          <w:lang w:val="en-GB" w:eastAsia="fr-FR"/>
        </w:rPr>
        <w:t>–</w:t>
      </w:r>
      <w:r w:rsidRPr="0040294D">
        <w:rPr>
          <w:color w:val="000000" w:themeColor="text1"/>
          <w:lang w:val="en-GB" w:eastAsia="zh-CN"/>
        </w:rPr>
        <w:t>245.</w:t>
      </w:r>
    </w:p>
    <w:p w14:paraId="01343ECD" w14:textId="77777777" w:rsidR="002918F3" w:rsidRPr="0040294D" w:rsidRDefault="002918F3" w:rsidP="002918F3">
      <w:pPr>
        <w:spacing w:before="60" w:after="60"/>
        <w:ind w:left="567" w:hanging="567"/>
        <w:jc w:val="both"/>
        <w:rPr>
          <w:color w:val="000000" w:themeColor="text1"/>
          <w:lang w:val="en-GB" w:eastAsia="zh-CN"/>
        </w:rPr>
      </w:pPr>
      <w:proofErr w:type="spellStart"/>
      <w:r w:rsidRPr="0040294D">
        <w:rPr>
          <w:color w:val="000000" w:themeColor="text1"/>
          <w:lang w:val="en-GB" w:eastAsia="zh-CN"/>
        </w:rPr>
        <w:t>Dikova</w:t>
      </w:r>
      <w:proofErr w:type="spellEnd"/>
      <w:r w:rsidRPr="0040294D">
        <w:rPr>
          <w:color w:val="000000" w:themeColor="text1"/>
          <w:lang w:val="en-GB" w:eastAsia="zh-CN"/>
        </w:rPr>
        <w:t xml:space="preserve">, D., and Sahib, P. R. (2013). </w:t>
      </w:r>
      <w:r>
        <w:rPr>
          <w:color w:val="000000" w:themeColor="text1"/>
          <w:lang w:val="en-GB" w:eastAsia="zh-CN"/>
        </w:rPr>
        <w:t>‘</w:t>
      </w:r>
      <w:r w:rsidRPr="0040294D">
        <w:rPr>
          <w:color w:val="000000" w:themeColor="text1"/>
          <w:lang w:val="en-GB" w:eastAsia="zh-CN"/>
        </w:rPr>
        <w:t>Is cultural distance a bane or a boon for cross-border acquisition performance?</w:t>
      </w:r>
      <w:r>
        <w:rPr>
          <w:color w:val="000000" w:themeColor="text1"/>
          <w:lang w:val="en-GB" w:eastAsia="zh-CN"/>
        </w:rPr>
        <w:t>’,</w:t>
      </w:r>
      <w:r w:rsidRPr="0040294D">
        <w:rPr>
          <w:color w:val="000000" w:themeColor="text1"/>
          <w:lang w:val="en-GB" w:eastAsia="zh-CN"/>
        </w:rPr>
        <w:t> </w:t>
      </w:r>
      <w:r w:rsidRPr="0040294D">
        <w:rPr>
          <w:i/>
          <w:color w:val="000000" w:themeColor="text1"/>
          <w:lang w:val="en-GB" w:eastAsia="zh-CN"/>
        </w:rPr>
        <w:t>Journal of World Business</w:t>
      </w:r>
      <w:r w:rsidRPr="0040294D">
        <w:rPr>
          <w:color w:val="000000" w:themeColor="text1"/>
          <w:lang w:val="en-GB" w:eastAsia="zh-CN"/>
        </w:rPr>
        <w:t>, </w:t>
      </w:r>
      <w:r w:rsidRPr="0040294D">
        <w:rPr>
          <w:b/>
          <w:color w:val="000000" w:themeColor="text1"/>
          <w:lang w:val="en-GB" w:eastAsia="zh-CN"/>
        </w:rPr>
        <w:t>48</w:t>
      </w:r>
      <w:r>
        <w:rPr>
          <w:color w:val="000000" w:themeColor="text1"/>
          <w:lang w:val="en-GB" w:eastAsia="zh-CN"/>
        </w:rPr>
        <w:t>, pp. 77</w:t>
      </w:r>
      <w:r w:rsidRPr="0040294D">
        <w:rPr>
          <w:color w:val="000000" w:themeColor="text1"/>
          <w:lang w:val="en-GB" w:eastAsia="fr-FR"/>
        </w:rPr>
        <w:t>–</w:t>
      </w:r>
      <w:r w:rsidRPr="0040294D">
        <w:rPr>
          <w:color w:val="000000" w:themeColor="text1"/>
          <w:lang w:val="en-GB" w:eastAsia="zh-CN"/>
        </w:rPr>
        <w:t>86.</w:t>
      </w:r>
    </w:p>
    <w:p w14:paraId="4C59F565" w14:textId="77777777" w:rsidR="002918F3" w:rsidRPr="0040294D" w:rsidRDefault="002918F3" w:rsidP="002918F3">
      <w:pPr>
        <w:spacing w:before="60" w:after="60"/>
        <w:ind w:left="567" w:hanging="567"/>
        <w:jc w:val="both"/>
        <w:rPr>
          <w:shd w:val="clear" w:color="auto" w:fill="FFFFFF"/>
          <w:lang w:val="en-GB"/>
        </w:rPr>
      </w:pPr>
      <w:r w:rsidRPr="00CF520F">
        <w:rPr>
          <w:shd w:val="clear" w:color="auto" w:fill="FFFFFF"/>
          <w:lang w:val="nb-NO"/>
        </w:rPr>
        <w:t xml:space="preserve">Finkelstein, S., and Haleblian, J. J. (2002). </w:t>
      </w:r>
      <w:r w:rsidRPr="0040294D">
        <w:rPr>
          <w:shd w:val="clear" w:color="auto" w:fill="FFFFFF"/>
          <w:lang w:val="en-GB"/>
        </w:rPr>
        <w:t xml:space="preserve">‘Understanding acquisition performance: The role of transfer effects’, </w:t>
      </w:r>
      <w:r w:rsidRPr="0040294D">
        <w:rPr>
          <w:i/>
          <w:shd w:val="clear" w:color="auto" w:fill="FFFFFF"/>
          <w:lang w:val="en-GB"/>
        </w:rPr>
        <w:t>Organization Science</w:t>
      </w:r>
      <w:r w:rsidRPr="0040294D">
        <w:rPr>
          <w:shd w:val="clear" w:color="auto" w:fill="FFFFFF"/>
          <w:lang w:val="en-GB"/>
        </w:rPr>
        <w:t>,</w:t>
      </w:r>
      <w:r>
        <w:rPr>
          <w:shd w:val="clear" w:color="auto" w:fill="FFFFFF"/>
          <w:lang w:val="en-GB"/>
        </w:rPr>
        <w:t> </w:t>
      </w:r>
      <w:r w:rsidRPr="0040294D">
        <w:rPr>
          <w:b/>
          <w:shd w:val="clear" w:color="auto" w:fill="FFFFFF"/>
          <w:lang w:val="en-GB"/>
        </w:rPr>
        <w:t>13</w:t>
      </w:r>
      <w:r w:rsidRPr="0040294D">
        <w:rPr>
          <w:shd w:val="clear" w:color="auto" w:fill="FFFFFF"/>
          <w:lang w:val="en-GB"/>
        </w:rPr>
        <w:t>, pp. 36</w:t>
      </w:r>
      <w:r w:rsidRPr="0040294D">
        <w:rPr>
          <w:color w:val="000000" w:themeColor="text1"/>
          <w:lang w:val="en-GB" w:eastAsia="fr-FR"/>
        </w:rPr>
        <w:t>–47.</w:t>
      </w:r>
    </w:p>
    <w:p w14:paraId="4407FE1A" w14:textId="32FA2876" w:rsidR="002918F3" w:rsidRPr="0040294D" w:rsidRDefault="002918F3" w:rsidP="002918F3">
      <w:pPr>
        <w:spacing w:before="60" w:after="60"/>
        <w:ind w:left="567" w:hanging="567"/>
        <w:jc w:val="both"/>
        <w:rPr>
          <w:shd w:val="clear" w:color="auto" w:fill="FFFFFF"/>
          <w:lang w:val="en-GB"/>
        </w:rPr>
      </w:pPr>
      <w:r w:rsidRPr="0040294D">
        <w:rPr>
          <w:shd w:val="clear" w:color="auto" w:fill="FFFFFF"/>
          <w:lang w:val="en-GB"/>
        </w:rPr>
        <w:t>Friedman,</w:t>
      </w:r>
      <w:r>
        <w:rPr>
          <w:shd w:val="clear" w:color="auto" w:fill="FFFFFF"/>
          <w:lang w:val="en-GB"/>
        </w:rPr>
        <w:t xml:space="preserve"> Y., </w:t>
      </w:r>
      <w:proofErr w:type="spellStart"/>
      <w:r>
        <w:rPr>
          <w:shd w:val="clear" w:color="auto" w:fill="FFFFFF"/>
          <w:lang w:val="en-GB"/>
        </w:rPr>
        <w:t>Carmeli</w:t>
      </w:r>
      <w:proofErr w:type="spellEnd"/>
      <w:r>
        <w:rPr>
          <w:shd w:val="clear" w:color="auto" w:fill="FFFFFF"/>
          <w:lang w:val="en-GB"/>
        </w:rPr>
        <w:t xml:space="preserve">, A., </w:t>
      </w:r>
      <w:proofErr w:type="spellStart"/>
      <w:r>
        <w:rPr>
          <w:shd w:val="clear" w:color="auto" w:fill="FFFFFF"/>
          <w:lang w:val="en-GB"/>
        </w:rPr>
        <w:t>Tishler</w:t>
      </w:r>
      <w:proofErr w:type="spellEnd"/>
      <w:r>
        <w:rPr>
          <w:shd w:val="clear" w:color="auto" w:fill="FFFFFF"/>
          <w:lang w:val="en-GB"/>
        </w:rPr>
        <w:t>, A., and</w:t>
      </w:r>
      <w:r w:rsidRPr="0040294D">
        <w:rPr>
          <w:shd w:val="clear" w:color="auto" w:fill="FFFFFF"/>
          <w:lang w:val="en-GB"/>
        </w:rPr>
        <w:t xml:space="preserve"> Shimizu, K. (2016). ‘Untangling micro-</w:t>
      </w:r>
      <w:proofErr w:type="spellStart"/>
      <w:r w:rsidRPr="0040294D">
        <w:rPr>
          <w:shd w:val="clear" w:color="auto" w:fill="FFFFFF"/>
          <w:lang w:val="en-GB"/>
        </w:rPr>
        <w:t>behavioral</w:t>
      </w:r>
      <w:proofErr w:type="spellEnd"/>
      <w:r w:rsidRPr="0040294D">
        <w:rPr>
          <w:shd w:val="clear" w:color="auto" w:fill="FFFFFF"/>
          <w:lang w:val="en-GB"/>
        </w:rPr>
        <w:t xml:space="preserve"> sources of failure in mergers and acquisitions: A theoretical integration and extension’,</w:t>
      </w:r>
      <w:r w:rsidR="00BB09FF">
        <w:rPr>
          <w:shd w:val="clear" w:color="auto" w:fill="FFFFFF"/>
          <w:lang w:val="en-GB"/>
        </w:rPr>
        <w:t xml:space="preserve"> </w:t>
      </w:r>
      <w:r w:rsidRPr="0040294D">
        <w:rPr>
          <w:i/>
          <w:iCs/>
          <w:shd w:val="clear" w:color="auto" w:fill="FFFFFF"/>
          <w:lang w:val="en-GB"/>
        </w:rPr>
        <w:t>The International Journal of Human Resource Management</w:t>
      </w:r>
      <w:r w:rsidRPr="0040294D">
        <w:rPr>
          <w:shd w:val="clear" w:color="auto" w:fill="FFFFFF"/>
          <w:lang w:val="en-GB"/>
        </w:rPr>
        <w:t>, </w:t>
      </w:r>
      <w:r w:rsidRPr="0040294D">
        <w:rPr>
          <w:b/>
          <w:iCs/>
          <w:shd w:val="clear" w:color="auto" w:fill="FFFFFF"/>
          <w:lang w:val="en-GB"/>
        </w:rPr>
        <w:t>27</w:t>
      </w:r>
      <w:r w:rsidRPr="0040294D">
        <w:rPr>
          <w:shd w:val="clear" w:color="auto" w:fill="FFFFFF"/>
          <w:lang w:val="en-GB"/>
        </w:rPr>
        <w:t>, pp. 2339</w:t>
      </w:r>
      <w:r w:rsidRPr="0040294D">
        <w:rPr>
          <w:color w:val="000000" w:themeColor="text1"/>
          <w:lang w:val="en-GB" w:eastAsia="fr-FR"/>
        </w:rPr>
        <w:t>–</w:t>
      </w:r>
      <w:r w:rsidRPr="0040294D">
        <w:rPr>
          <w:shd w:val="clear" w:color="auto" w:fill="FFFFFF"/>
          <w:lang w:val="en-GB"/>
        </w:rPr>
        <w:t>2369.</w:t>
      </w:r>
    </w:p>
    <w:p w14:paraId="01AC02E4" w14:textId="77777777" w:rsidR="002918F3" w:rsidRPr="0040294D" w:rsidRDefault="002918F3" w:rsidP="002918F3">
      <w:pPr>
        <w:spacing w:before="60" w:after="60"/>
        <w:ind w:left="567" w:hanging="567"/>
        <w:jc w:val="both"/>
        <w:rPr>
          <w:shd w:val="clear" w:color="auto" w:fill="FFFFFF"/>
          <w:lang w:val="en-GB"/>
        </w:rPr>
      </w:pPr>
      <w:proofErr w:type="spellStart"/>
      <w:r w:rsidRPr="0040294D">
        <w:rPr>
          <w:shd w:val="clear" w:color="auto" w:fill="FFFFFF"/>
          <w:lang w:val="en-GB"/>
        </w:rPr>
        <w:t>Gammelgaard</w:t>
      </w:r>
      <w:proofErr w:type="spellEnd"/>
      <w:r w:rsidRPr="0040294D">
        <w:rPr>
          <w:shd w:val="clear" w:color="auto" w:fill="FFFFFF"/>
          <w:lang w:val="en-GB"/>
        </w:rPr>
        <w:t xml:space="preserve">, J., Husted, K., and </w:t>
      </w:r>
      <w:proofErr w:type="spellStart"/>
      <w:r w:rsidRPr="0040294D">
        <w:rPr>
          <w:shd w:val="clear" w:color="auto" w:fill="FFFFFF"/>
          <w:lang w:val="en-GB"/>
        </w:rPr>
        <w:t>Michailova</w:t>
      </w:r>
      <w:proofErr w:type="spellEnd"/>
      <w:r w:rsidRPr="0040294D">
        <w:rPr>
          <w:shd w:val="clear" w:color="auto" w:fill="FFFFFF"/>
          <w:lang w:val="en-GB"/>
        </w:rPr>
        <w:t xml:space="preserve">, S. (2004). ‘Knowledge-sharing </w:t>
      </w:r>
      <w:proofErr w:type="spellStart"/>
      <w:r w:rsidRPr="0040294D">
        <w:rPr>
          <w:shd w:val="clear" w:color="auto" w:fill="FFFFFF"/>
          <w:lang w:val="en-GB"/>
        </w:rPr>
        <w:t>behavior</w:t>
      </w:r>
      <w:proofErr w:type="spellEnd"/>
      <w:r w:rsidRPr="0040294D">
        <w:rPr>
          <w:shd w:val="clear" w:color="auto" w:fill="FFFFFF"/>
          <w:lang w:val="en-GB"/>
        </w:rPr>
        <w:t xml:space="preserve"> and post-acquisition integration failure’, </w:t>
      </w:r>
      <w:r w:rsidRPr="0040294D">
        <w:rPr>
          <w:i/>
          <w:iCs/>
          <w:shd w:val="clear" w:color="auto" w:fill="FFFFFF"/>
          <w:lang w:val="en-GB"/>
        </w:rPr>
        <w:t>CKGWP</w:t>
      </w:r>
      <w:r w:rsidRPr="0040294D">
        <w:rPr>
          <w:shd w:val="clear" w:color="auto" w:fill="FFFFFF"/>
          <w:lang w:val="en-GB"/>
        </w:rPr>
        <w:t>, </w:t>
      </w:r>
      <w:r w:rsidRPr="0040294D">
        <w:rPr>
          <w:b/>
          <w:bCs/>
          <w:shd w:val="clear" w:color="auto" w:fill="FFFFFF"/>
          <w:lang w:val="en-GB"/>
        </w:rPr>
        <w:t>6</w:t>
      </w:r>
      <w:r w:rsidRPr="0040294D">
        <w:rPr>
          <w:shd w:val="clear" w:color="auto" w:fill="FFFFFF"/>
          <w:lang w:val="en-GB"/>
        </w:rPr>
        <w:t>, pp. 24</w:t>
      </w:r>
      <w:r w:rsidRPr="0040294D">
        <w:rPr>
          <w:color w:val="000000" w:themeColor="text1"/>
          <w:lang w:val="en-GB" w:eastAsia="fr-FR"/>
        </w:rPr>
        <w:t>–</w:t>
      </w:r>
      <w:r w:rsidRPr="0040294D">
        <w:rPr>
          <w:shd w:val="clear" w:color="auto" w:fill="FFFFFF"/>
          <w:lang w:val="en-GB"/>
        </w:rPr>
        <w:t>41.</w:t>
      </w:r>
    </w:p>
    <w:p w14:paraId="3EF79755" w14:textId="77777777" w:rsidR="002918F3" w:rsidRPr="0040294D" w:rsidRDefault="002918F3" w:rsidP="002918F3">
      <w:pPr>
        <w:spacing w:before="60" w:after="60"/>
        <w:ind w:left="567" w:hanging="567"/>
        <w:jc w:val="both"/>
        <w:rPr>
          <w:shd w:val="clear" w:color="auto" w:fill="FFFFFF"/>
          <w:lang w:val="en-GB"/>
        </w:rPr>
      </w:pPr>
      <w:proofErr w:type="spellStart"/>
      <w:r w:rsidRPr="0040294D">
        <w:rPr>
          <w:shd w:val="clear" w:color="auto" w:fill="FFFFFF"/>
          <w:lang w:val="en-GB"/>
        </w:rPr>
        <w:t>Ganzach</w:t>
      </w:r>
      <w:proofErr w:type="spellEnd"/>
      <w:r w:rsidRPr="0040294D">
        <w:rPr>
          <w:shd w:val="clear" w:color="auto" w:fill="FFFFFF"/>
          <w:lang w:val="en-GB"/>
        </w:rPr>
        <w:t xml:space="preserve">, Y., </w:t>
      </w:r>
      <w:proofErr w:type="spellStart"/>
      <w:r w:rsidRPr="0040294D">
        <w:rPr>
          <w:shd w:val="clear" w:color="auto" w:fill="FFFFFF"/>
          <w:lang w:val="en-GB"/>
        </w:rPr>
        <w:t>Gotlibobski</w:t>
      </w:r>
      <w:proofErr w:type="spellEnd"/>
      <w:r w:rsidRPr="0040294D">
        <w:rPr>
          <w:shd w:val="clear" w:color="auto" w:fill="FFFFFF"/>
          <w:lang w:val="en-GB"/>
        </w:rPr>
        <w:t xml:space="preserve">, C., Greenberg, D., and </w:t>
      </w:r>
      <w:proofErr w:type="spellStart"/>
      <w:r w:rsidRPr="0040294D">
        <w:rPr>
          <w:shd w:val="clear" w:color="auto" w:fill="FFFFFF"/>
          <w:lang w:val="en-GB"/>
        </w:rPr>
        <w:t>Pazy</w:t>
      </w:r>
      <w:proofErr w:type="spellEnd"/>
      <w:r w:rsidRPr="0040294D">
        <w:rPr>
          <w:shd w:val="clear" w:color="auto" w:fill="FFFFFF"/>
          <w:lang w:val="en-GB"/>
        </w:rPr>
        <w:t>, A. (2013). ‘General mental ability and pay: Nonlinear effects’,</w:t>
      </w:r>
      <w:r w:rsidRPr="0040294D">
        <w:rPr>
          <w:rStyle w:val="apple-converted-space"/>
          <w:b/>
          <w:color w:val="000000" w:themeColor="text1"/>
          <w:shd w:val="clear" w:color="auto" w:fill="FFFFFF"/>
          <w:lang w:val="en-GB"/>
        </w:rPr>
        <w:t> </w:t>
      </w:r>
      <w:r w:rsidRPr="0040294D">
        <w:rPr>
          <w:i/>
          <w:iCs/>
          <w:lang w:val="en-GB"/>
        </w:rPr>
        <w:t>Intelligence</w:t>
      </w:r>
      <w:r w:rsidRPr="0040294D">
        <w:rPr>
          <w:shd w:val="clear" w:color="auto" w:fill="FFFFFF"/>
          <w:lang w:val="en-GB"/>
        </w:rPr>
        <w:t>,</w:t>
      </w:r>
      <w:r w:rsidRPr="0040294D">
        <w:rPr>
          <w:rStyle w:val="apple-converted-space"/>
          <w:b/>
          <w:color w:val="000000" w:themeColor="text1"/>
          <w:shd w:val="clear" w:color="auto" w:fill="FFFFFF"/>
          <w:lang w:val="en-GB"/>
        </w:rPr>
        <w:t> </w:t>
      </w:r>
      <w:r w:rsidRPr="0040294D">
        <w:rPr>
          <w:b/>
          <w:bCs/>
          <w:lang w:val="en-GB"/>
        </w:rPr>
        <w:t>41</w:t>
      </w:r>
      <w:r w:rsidRPr="0040294D">
        <w:rPr>
          <w:shd w:val="clear" w:color="auto" w:fill="FFFFFF"/>
          <w:lang w:val="en-GB"/>
        </w:rPr>
        <w:t xml:space="preserve">, </w:t>
      </w:r>
      <w:r w:rsidRPr="0040294D">
        <w:rPr>
          <w:lang w:val="en-GB"/>
        </w:rPr>
        <w:t xml:space="preserve">pp. </w:t>
      </w:r>
      <w:r w:rsidRPr="0040294D">
        <w:rPr>
          <w:shd w:val="clear" w:color="auto" w:fill="FFFFFF"/>
          <w:lang w:val="en-GB"/>
        </w:rPr>
        <w:t>631</w:t>
      </w:r>
      <w:r w:rsidRPr="0040294D">
        <w:rPr>
          <w:lang w:val="en-GB" w:eastAsia="fr-FR"/>
        </w:rPr>
        <w:t>–</w:t>
      </w:r>
      <w:r w:rsidRPr="0040294D">
        <w:rPr>
          <w:shd w:val="clear" w:color="auto" w:fill="FFFFFF"/>
          <w:lang w:val="en-GB"/>
        </w:rPr>
        <w:t>637.</w:t>
      </w:r>
    </w:p>
    <w:p w14:paraId="3B755BB1" w14:textId="77777777" w:rsidR="002918F3" w:rsidRPr="0040294D" w:rsidRDefault="002918F3" w:rsidP="002918F3">
      <w:pPr>
        <w:spacing w:before="60" w:after="60"/>
        <w:ind w:left="567" w:hanging="567"/>
        <w:jc w:val="both"/>
        <w:rPr>
          <w:lang w:val="en-GB"/>
        </w:rPr>
      </w:pPr>
      <w:r w:rsidRPr="0040294D">
        <w:rPr>
          <w:lang w:val="en-GB"/>
        </w:rPr>
        <w:t xml:space="preserve">George, G. (2005). ‘Slack resources and the performance of privately held firms’, </w:t>
      </w:r>
      <w:r w:rsidRPr="0040294D">
        <w:rPr>
          <w:i/>
          <w:lang w:val="en-GB"/>
        </w:rPr>
        <w:t>Academy of Management Journal</w:t>
      </w:r>
      <w:r w:rsidRPr="0040294D">
        <w:rPr>
          <w:lang w:val="en-GB"/>
        </w:rPr>
        <w:t xml:space="preserve">, </w:t>
      </w:r>
      <w:r w:rsidRPr="0040294D">
        <w:rPr>
          <w:b/>
          <w:bCs/>
          <w:iCs/>
          <w:lang w:val="en-GB"/>
        </w:rPr>
        <w:t>48</w:t>
      </w:r>
      <w:r w:rsidRPr="0040294D">
        <w:rPr>
          <w:lang w:val="en-GB"/>
        </w:rPr>
        <w:t>, pp. 661</w:t>
      </w:r>
      <w:r w:rsidRPr="0040294D">
        <w:rPr>
          <w:lang w:val="en-GB" w:eastAsia="fr-FR"/>
        </w:rPr>
        <w:t>–</w:t>
      </w:r>
      <w:r w:rsidRPr="0040294D">
        <w:rPr>
          <w:lang w:val="en-GB"/>
        </w:rPr>
        <w:t>676.</w:t>
      </w:r>
    </w:p>
    <w:p w14:paraId="204B6E8B" w14:textId="77777777" w:rsidR="002918F3" w:rsidRPr="0040294D" w:rsidRDefault="002918F3" w:rsidP="002918F3">
      <w:pPr>
        <w:spacing w:before="60" w:after="60"/>
        <w:ind w:left="567" w:hanging="567"/>
        <w:jc w:val="both"/>
        <w:rPr>
          <w:color w:val="000000" w:themeColor="text1"/>
          <w:lang w:val="en-GB" w:eastAsia="zh-CN"/>
        </w:rPr>
      </w:pPr>
      <w:proofErr w:type="spellStart"/>
      <w:r w:rsidRPr="0040294D">
        <w:rPr>
          <w:color w:val="000000" w:themeColor="text1"/>
          <w:lang w:val="en-GB" w:eastAsia="zh-CN"/>
        </w:rPr>
        <w:t>Girerd</w:t>
      </w:r>
      <w:proofErr w:type="spellEnd"/>
      <w:r w:rsidRPr="0040294D">
        <w:rPr>
          <w:color w:val="000000" w:themeColor="text1"/>
          <w:lang w:val="en-GB" w:eastAsia="zh-CN"/>
        </w:rPr>
        <w:t>-Potin, I., Jimenez-</w:t>
      </w:r>
      <w:proofErr w:type="spellStart"/>
      <w:r w:rsidRPr="0040294D">
        <w:rPr>
          <w:color w:val="000000" w:themeColor="text1"/>
          <w:lang w:val="en-GB" w:eastAsia="zh-CN"/>
        </w:rPr>
        <w:t>Garcès</w:t>
      </w:r>
      <w:proofErr w:type="spellEnd"/>
      <w:r w:rsidRPr="0040294D">
        <w:rPr>
          <w:color w:val="000000" w:themeColor="text1"/>
          <w:lang w:val="en-GB" w:eastAsia="zh-CN"/>
        </w:rPr>
        <w:t xml:space="preserve">, S., and </w:t>
      </w:r>
      <w:proofErr w:type="spellStart"/>
      <w:r w:rsidRPr="0040294D">
        <w:rPr>
          <w:color w:val="000000" w:themeColor="text1"/>
          <w:lang w:val="en-GB" w:eastAsia="zh-CN"/>
        </w:rPr>
        <w:t>Louvet</w:t>
      </w:r>
      <w:proofErr w:type="spellEnd"/>
      <w:r w:rsidRPr="0040294D">
        <w:rPr>
          <w:color w:val="000000" w:themeColor="text1"/>
          <w:lang w:val="en-GB" w:eastAsia="zh-CN"/>
        </w:rPr>
        <w:t xml:space="preserve">, P. (2014). </w:t>
      </w:r>
      <w:r>
        <w:rPr>
          <w:color w:val="000000" w:themeColor="text1"/>
          <w:lang w:val="en-GB" w:eastAsia="zh-CN"/>
        </w:rPr>
        <w:t>‘</w:t>
      </w:r>
      <w:r w:rsidRPr="0040294D">
        <w:rPr>
          <w:color w:val="000000" w:themeColor="text1"/>
          <w:lang w:val="en-GB" w:eastAsia="zh-CN"/>
        </w:rPr>
        <w:t>Which dimensions of social responsibility concern financial investors?</w:t>
      </w:r>
      <w:r>
        <w:rPr>
          <w:color w:val="000000" w:themeColor="text1"/>
          <w:lang w:val="en-GB" w:eastAsia="zh-CN"/>
        </w:rPr>
        <w:t>’,</w:t>
      </w:r>
      <w:r w:rsidRPr="0040294D">
        <w:rPr>
          <w:color w:val="000000" w:themeColor="text1"/>
          <w:lang w:val="en-GB" w:eastAsia="zh-CN"/>
        </w:rPr>
        <w:t xml:space="preserve"> </w:t>
      </w:r>
      <w:r w:rsidRPr="0040294D">
        <w:rPr>
          <w:i/>
          <w:color w:val="000000" w:themeColor="text1"/>
          <w:lang w:val="en-GB" w:eastAsia="zh-CN"/>
        </w:rPr>
        <w:t>Journal of Business Ethics</w:t>
      </w:r>
      <w:r w:rsidRPr="0040294D">
        <w:rPr>
          <w:color w:val="000000" w:themeColor="text1"/>
          <w:lang w:val="en-GB" w:eastAsia="zh-CN"/>
        </w:rPr>
        <w:t>,</w:t>
      </w:r>
      <w:r>
        <w:rPr>
          <w:color w:val="000000" w:themeColor="text1"/>
          <w:lang w:val="en-GB" w:eastAsia="zh-CN"/>
        </w:rPr>
        <w:t> </w:t>
      </w:r>
      <w:r w:rsidRPr="0040294D">
        <w:rPr>
          <w:b/>
          <w:bCs/>
          <w:iCs/>
          <w:color w:val="000000" w:themeColor="text1"/>
          <w:lang w:val="en-GB" w:eastAsia="zh-CN"/>
        </w:rPr>
        <w:t>121</w:t>
      </w:r>
      <w:r w:rsidRPr="0040294D">
        <w:rPr>
          <w:color w:val="000000" w:themeColor="text1"/>
          <w:lang w:val="en-GB" w:eastAsia="zh-CN"/>
        </w:rPr>
        <w:t xml:space="preserve">, </w:t>
      </w:r>
      <w:r w:rsidRPr="0040294D">
        <w:rPr>
          <w:color w:val="000000" w:themeColor="text1"/>
          <w:lang w:val="en-GB"/>
        </w:rPr>
        <w:t xml:space="preserve">pp. </w:t>
      </w:r>
      <w:r w:rsidRPr="0040294D">
        <w:rPr>
          <w:color w:val="000000" w:themeColor="text1"/>
          <w:lang w:val="en-GB" w:eastAsia="zh-CN"/>
        </w:rPr>
        <w:t>559</w:t>
      </w:r>
      <w:r w:rsidRPr="0040294D">
        <w:rPr>
          <w:color w:val="000000" w:themeColor="text1"/>
          <w:lang w:val="en-GB" w:eastAsia="fr-FR"/>
        </w:rPr>
        <w:t>–</w:t>
      </w:r>
      <w:r w:rsidRPr="0040294D">
        <w:rPr>
          <w:color w:val="000000" w:themeColor="text1"/>
          <w:lang w:val="en-GB" w:eastAsia="zh-CN"/>
        </w:rPr>
        <w:t>576.</w:t>
      </w:r>
    </w:p>
    <w:p w14:paraId="08DC8ACA" w14:textId="3B9EE057" w:rsidR="002918F3" w:rsidRPr="0040294D" w:rsidRDefault="002918F3" w:rsidP="002918F3">
      <w:pPr>
        <w:spacing w:before="60" w:after="60"/>
        <w:ind w:left="567" w:hanging="567"/>
        <w:jc w:val="both"/>
        <w:rPr>
          <w:color w:val="000000" w:themeColor="text1"/>
          <w:lang w:val="en-GB" w:eastAsia="nb-NO"/>
        </w:rPr>
      </w:pPr>
      <w:r w:rsidRPr="0040294D">
        <w:rPr>
          <w:color w:val="000000" w:themeColor="text1"/>
          <w:shd w:val="clear" w:color="auto" w:fill="FFFFFF"/>
          <w:lang w:val="en-GB"/>
        </w:rPr>
        <w:t xml:space="preserve">Gomes, E., Angwin, D. N., Peter, E., and </w:t>
      </w:r>
      <w:proofErr w:type="spellStart"/>
      <w:r w:rsidRPr="0040294D">
        <w:rPr>
          <w:color w:val="000000" w:themeColor="text1"/>
          <w:shd w:val="clear" w:color="auto" w:fill="FFFFFF"/>
          <w:lang w:val="en-GB"/>
        </w:rPr>
        <w:t>Mellahi</w:t>
      </w:r>
      <w:proofErr w:type="spellEnd"/>
      <w:r w:rsidRPr="0040294D">
        <w:rPr>
          <w:color w:val="000000" w:themeColor="text1"/>
          <w:shd w:val="clear" w:color="auto" w:fill="FFFFFF"/>
          <w:lang w:val="en-GB"/>
        </w:rPr>
        <w:t>, K. (2012). ‘HRM practices throughout the Mergers and Acquisition (M&amp;A) Process: A study of domestic deals in the Nigerian Banking Industry’,</w:t>
      </w:r>
      <w:r>
        <w:rPr>
          <w:rStyle w:val="apple-converted-space"/>
          <w:color w:val="000000" w:themeColor="text1"/>
          <w:shd w:val="clear" w:color="auto" w:fill="FFFFFF"/>
          <w:lang w:val="en-GB"/>
        </w:rPr>
        <w:t xml:space="preserve"> </w:t>
      </w:r>
      <w:r w:rsidRPr="0040294D">
        <w:rPr>
          <w:i/>
          <w:iCs/>
          <w:color w:val="000000" w:themeColor="text1"/>
          <w:shd w:val="clear" w:color="auto" w:fill="FFFFFF"/>
          <w:lang w:val="en-GB"/>
        </w:rPr>
        <w:t>International Journal of Human Resource Management</w:t>
      </w:r>
      <w:r w:rsidRPr="0040294D">
        <w:rPr>
          <w:color w:val="000000" w:themeColor="text1"/>
          <w:shd w:val="clear" w:color="auto" w:fill="FFFFFF"/>
          <w:lang w:val="en-GB"/>
        </w:rPr>
        <w:t>,</w:t>
      </w:r>
      <w:r w:rsidRPr="0040294D">
        <w:rPr>
          <w:rStyle w:val="apple-converted-space"/>
          <w:color w:val="000000" w:themeColor="text1"/>
          <w:shd w:val="clear" w:color="auto" w:fill="FFFFFF"/>
          <w:lang w:val="en-GB"/>
        </w:rPr>
        <w:t> </w:t>
      </w:r>
      <w:r w:rsidRPr="0040294D">
        <w:rPr>
          <w:b/>
          <w:bCs/>
          <w:color w:val="000000" w:themeColor="text1"/>
          <w:shd w:val="clear" w:color="auto" w:fill="FFFFFF"/>
          <w:lang w:val="en-GB"/>
        </w:rPr>
        <w:t>23</w:t>
      </w:r>
      <w:r w:rsidRPr="0040294D">
        <w:rPr>
          <w:color w:val="000000" w:themeColor="text1"/>
          <w:shd w:val="clear" w:color="auto" w:fill="FFFFFF"/>
          <w:lang w:val="en-GB"/>
        </w:rPr>
        <w:t xml:space="preserve">, </w:t>
      </w:r>
      <w:r w:rsidRPr="0040294D">
        <w:rPr>
          <w:color w:val="000000" w:themeColor="text1"/>
          <w:lang w:val="en-GB"/>
        </w:rPr>
        <w:t xml:space="preserve">pp. </w:t>
      </w:r>
      <w:r w:rsidRPr="0040294D">
        <w:rPr>
          <w:color w:val="000000" w:themeColor="text1"/>
          <w:shd w:val="clear" w:color="auto" w:fill="FFFFFF"/>
          <w:lang w:val="en-GB"/>
        </w:rPr>
        <w:t>2874</w:t>
      </w:r>
      <w:r w:rsidRPr="0040294D">
        <w:rPr>
          <w:color w:val="000000" w:themeColor="text1"/>
          <w:lang w:val="en-GB" w:eastAsia="fr-FR"/>
        </w:rPr>
        <w:t>–</w:t>
      </w:r>
      <w:r w:rsidRPr="0040294D">
        <w:rPr>
          <w:color w:val="000000" w:themeColor="text1"/>
          <w:shd w:val="clear" w:color="auto" w:fill="FFFFFF"/>
          <w:lang w:val="en-GB"/>
        </w:rPr>
        <w:t>2900.</w:t>
      </w:r>
    </w:p>
    <w:p w14:paraId="0FC51504"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Gomes, E., Angwin, D. N., Weber, Y., and </w:t>
      </w:r>
      <w:proofErr w:type="spellStart"/>
      <w:r w:rsidRPr="0040294D">
        <w:rPr>
          <w:color w:val="000000" w:themeColor="text1"/>
          <w:lang w:val="en-GB"/>
        </w:rPr>
        <w:t>Tarba</w:t>
      </w:r>
      <w:proofErr w:type="spellEnd"/>
      <w:r w:rsidRPr="0040294D">
        <w:rPr>
          <w:color w:val="000000" w:themeColor="text1"/>
          <w:lang w:val="en-GB"/>
        </w:rPr>
        <w:t xml:space="preserve">, S. Y. (2013). ‘Critical success factors through the mergers and acquisitions process: Revealing pre- and post-M&amp;A connections for improved performance’, </w:t>
      </w:r>
      <w:r w:rsidRPr="0040294D">
        <w:rPr>
          <w:i/>
          <w:color w:val="000000" w:themeColor="text1"/>
          <w:lang w:val="en-GB"/>
        </w:rPr>
        <w:t>Thunderbird International Business Review</w:t>
      </w:r>
      <w:r w:rsidRPr="0040294D">
        <w:rPr>
          <w:color w:val="000000" w:themeColor="text1"/>
          <w:lang w:val="en-GB"/>
        </w:rPr>
        <w:t>,</w:t>
      </w:r>
      <w:r>
        <w:rPr>
          <w:color w:val="000000" w:themeColor="text1"/>
          <w:lang w:val="en-GB"/>
        </w:rPr>
        <w:t> </w:t>
      </w:r>
      <w:r w:rsidRPr="0040294D">
        <w:rPr>
          <w:b/>
          <w:color w:val="000000" w:themeColor="text1"/>
          <w:lang w:val="en-GB"/>
        </w:rPr>
        <w:t>55</w:t>
      </w:r>
      <w:r w:rsidRPr="0040294D">
        <w:rPr>
          <w:color w:val="000000" w:themeColor="text1"/>
          <w:lang w:val="en-GB"/>
        </w:rPr>
        <w:t>, pp. 13</w:t>
      </w:r>
      <w:r w:rsidRPr="0040294D">
        <w:rPr>
          <w:color w:val="000000" w:themeColor="text1"/>
          <w:lang w:val="en-GB" w:eastAsia="fr-FR"/>
        </w:rPr>
        <w:t>–</w:t>
      </w:r>
      <w:r w:rsidRPr="0040294D">
        <w:rPr>
          <w:color w:val="000000" w:themeColor="text1"/>
          <w:lang w:val="en-GB"/>
        </w:rPr>
        <w:t>35.</w:t>
      </w:r>
    </w:p>
    <w:p w14:paraId="16C405AF"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Gomes, E., Weber, Y., Brown, C., and </w:t>
      </w:r>
      <w:proofErr w:type="spellStart"/>
      <w:r w:rsidRPr="0040294D">
        <w:rPr>
          <w:color w:val="000000" w:themeColor="text1"/>
          <w:lang w:val="en-GB"/>
        </w:rPr>
        <w:t>Tarba</w:t>
      </w:r>
      <w:proofErr w:type="spellEnd"/>
      <w:r w:rsidRPr="0040294D">
        <w:rPr>
          <w:color w:val="000000" w:themeColor="text1"/>
          <w:lang w:val="en-GB"/>
        </w:rPr>
        <w:t xml:space="preserve">, S. (2011). </w:t>
      </w:r>
      <w:r w:rsidRPr="0040294D">
        <w:rPr>
          <w:i/>
          <w:color w:val="000000" w:themeColor="text1"/>
          <w:lang w:val="en-GB"/>
        </w:rPr>
        <w:t xml:space="preserve">Managing </w:t>
      </w:r>
      <w:r>
        <w:rPr>
          <w:i/>
          <w:color w:val="000000" w:themeColor="text1"/>
          <w:lang w:val="en-GB"/>
        </w:rPr>
        <w:t>M</w:t>
      </w:r>
      <w:r w:rsidRPr="0040294D">
        <w:rPr>
          <w:i/>
          <w:color w:val="000000" w:themeColor="text1"/>
          <w:lang w:val="en-GB"/>
        </w:rPr>
        <w:t xml:space="preserve">ergers, </w:t>
      </w:r>
      <w:r>
        <w:rPr>
          <w:i/>
          <w:color w:val="000000" w:themeColor="text1"/>
          <w:lang w:val="en-GB"/>
        </w:rPr>
        <w:t>A</w:t>
      </w:r>
      <w:r w:rsidRPr="0040294D">
        <w:rPr>
          <w:i/>
          <w:color w:val="000000" w:themeColor="text1"/>
          <w:lang w:val="en-GB"/>
        </w:rPr>
        <w:t xml:space="preserve">cquisitions and </w:t>
      </w:r>
      <w:r>
        <w:rPr>
          <w:i/>
          <w:color w:val="000000" w:themeColor="text1"/>
          <w:lang w:val="en-GB"/>
        </w:rPr>
        <w:t>S</w:t>
      </w:r>
      <w:r w:rsidRPr="0040294D">
        <w:rPr>
          <w:i/>
          <w:color w:val="000000" w:themeColor="text1"/>
          <w:lang w:val="en-GB"/>
        </w:rPr>
        <w:t xml:space="preserve">trategic </w:t>
      </w:r>
      <w:r>
        <w:rPr>
          <w:i/>
          <w:color w:val="000000" w:themeColor="text1"/>
          <w:lang w:val="en-GB"/>
        </w:rPr>
        <w:t>A</w:t>
      </w:r>
      <w:r w:rsidRPr="0040294D">
        <w:rPr>
          <w:i/>
          <w:color w:val="000000" w:themeColor="text1"/>
          <w:lang w:val="en-GB"/>
        </w:rPr>
        <w:t xml:space="preserve">lliances: Understanding the </w:t>
      </w:r>
      <w:r>
        <w:rPr>
          <w:i/>
          <w:color w:val="000000" w:themeColor="text1"/>
          <w:lang w:val="en-GB"/>
        </w:rPr>
        <w:t>P</w:t>
      </w:r>
      <w:r w:rsidRPr="0040294D">
        <w:rPr>
          <w:i/>
          <w:color w:val="000000" w:themeColor="text1"/>
          <w:lang w:val="en-GB"/>
        </w:rPr>
        <w:t>rocess</w:t>
      </w:r>
      <w:r w:rsidRPr="0040294D">
        <w:rPr>
          <w:color w:val="000000" w:themeColor="text1"/>
          <w:lang w:val="en-GB"/>
        </w:rPr>
        <w:t>. Hampshire, UK: Palgrave McMillan.</w:t>
      </w:r>
    </w:p>
    <w:p w14:paraId="791ACC22"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Graffin</w:t>
      </w:r>
      <w:proofErr w:type="spellEnd"/>
      <w:r w:rsidRPr="0040294D">
        <w:rPr>
          <w:color w:val="000000" w:themeColor="text1"/>
          <w:lang w:val="en-GB"/>
        </w:rPr>
        <w:t xml:space="preserve">, S. D., </w:t>
      </w:r>
      <w:proofErr w:type="spellStart"/>
      <w:r w:rsidRPr="0040294D">
        <w:rPr>
          <w:color w:val="000000" w:themeColor="text1"/>
          <w:lang w:val="en-GB"/>
        </w:rPr>
        <w:t>Haleblian</w:t>
      </w:r>
      <w:proofErr w:type="spellEnd"/>
      <w:r w:rsidRPr="0040294D">
        <w:rPr>
          <w:color w:val="000000" w:themeColor="text1"/>
          <w:lang w:val="en-GB"/>
        </w:rPr>
        <w:t xml:space="preserve">, J. J., and Kiley, J. T. (2016). ‘Ready, aim, acquire: Impression offsetting and acquisitions’, </w:t>
      </w:r>
      <w:r w:rsidRPr="0040294D">
        <w:rPr>
          <w:i/>
          <w:color w:val="000000" w:themeColor="text1"/>
          <w:lang w:val="en-GB"/>
        </w:rPr>
        <w:t>Academy of Management Journal</w:t>
      </w:r>
      <w:r w:rsidRPr="0040294D">
        <w:rPr>
          <w:color w:val="000000" w:themeColor="text1"/>
          <w:lang w:val="en-GB"/>
        </w:rPr>
        <w:t xml:space="preserve">, </w:t>
      </w:r>
      <w:r w:rsidRPr="0040294D">
        <w:rPr>
          <w:b/>
          <w:bCs/>
          <w:iCs/>
          <w:color w:val="000000" w:themeColor="text1"/>
          <w:lang w:val="en-GB"/>
        </w:rPr>
        <w:t>59</w:t>
      </w:r>
      <w:r w:rsidRPr="0040294D">
        <w:rPr>
          <w:color w:val="000000" w:themeColor="text1"/>
          <w:lang w:val="en-GB"/>
        </w:rPr>
        <w:t>, pp. 232</w:t>
      </w:r>
      <w:r w:rsidRPr="0040294D">
        <w:rPr>
          <w:color w:val="000000" w:themeColor="text1"/>
          <w:lang w:val="en-GB" w:eastAsia="fr-FR"/>
        </w:rPr>
        <w:t>–</w:t>
      </w:r>
      <w:r w:rsidRPr="0040294D">
        <w:rPr>
          <w:color w:val="000000" w:themeColor="text1"/>
          <w:lang w:val="en-GB"/>
        </w:rPr>
        <w:t>252.</w:t>
      </w:r>
    </w:p>
    <w:p w14:paraId="14163216" w14:textId="77777777" w:rsidR="002918F3" w:rsidRPr="0040294D" w:rsidRDefault="002918F3" w:rsidP="002918F3">
      <w:pPr>
        <w:spacing w:before="60" w:after="60"/>
        <w:ind w:left="567" w:hanging="567"/>
        <w:jc w:val="both"/>
        <w:rPr>
          <w:color w:val="000000" w:themeColor="text1"/>
          <w:lang w:val="en-GB" w:eastAsia="fr-FR"/>
        </w:rPr>
      </w:pPr>
      <w:r w:rsidRPr="0040294D">
        <w:rPr>
          <w:color w:val="000000" w:themeColor="text1"/>
          <w:lang w:val="en-GB" w:eastAsia="fr-FR"/>
        </w:rPr>
        <w:t xml:space="preserve">Grant, A. M., and Schwartz, B. (2011). ‘Too much of a good thing: The challenge and opportunity of the inverted U’, </w:t>
      </w:r>
      <w:r w:rsidRPr="0040294D">
        <w:rPr>
          <w:i/>
          <w:iCs/>
          <w:color w:val="000000" w:themeColor="text1"/>
          <w:lang w:val="en-GB" w:eastAsia="fr-FR"/>
        </w:rPr>
        <w:t>Perspectives on Psychological Science</w:t>
      </w:r>
      <w:r w:rsidRPr="0040294D">
        <w:rPr>
          <w:color w:val="000000" w:themeColor="text1"/>
          <w:lang w:val="en-GB" w:eastAsia="fr-FR"/>
        </w:rPr>
        <w:t xml:space="preserve">, </w:t>
      </w:r>
      <w:r w:rsidRPr="0040294D">
        <w:rPr>
          <w:b/>
          <w:bCs/>
          <w:color w:val="000000" w:themeColor="text1"/>
          <w:lang w:val="en-GB" w:eastAsia="fr-FR"/>
        </w:rPr>
        <w:t>6</w:t>
      </w:r>
      <w:r w:rsidRPr="0040294D">
        <w:rPr>
          <w:color w:val="000000" w:themeColor="text1"/>
          <w:lang w:val="en-GB" w:eastAsia="fr-FR"/>
        </w:rPr>
        <w:t xml:space="preserve">, </w:t>
      </w:r>
      <w:r w:rsidRPr="0040294D">
        <w:rPr>
          <w:color w:val="000000" w:themeColor="text1"/>
          <w:lang w:val="en-GB"/>
        </w:rPr>
        <w:t xml:space="preserve">pp. </w:t>
      </w:r>
      <w:r w:rsidRPr="0040294D">
        <w:rPr>
          <w:color w:val="000000" w:themeColor="text1"/>
          <w:lang w:val="en-GB" w:eastAsia="fr-FR"/>
        </w:rPr>
        <w:t>61–76.</w:t>
      </w:r>
    </w:p>
    <w:p w14:paraId="328C21AD" w14:textId="77777777" w:rsidR="002918F3" w:rsidRPr="0040294D" w:rsidRDefault="002918F3" w:rsidP="002918F3">
      <w:pPr>
        <w:spacing w:before="60" w:after="60"/>
        <w:ind w:left="567" w:hanging="567"/>
        <w:jc w:val="both"/>
        <w:rPr>
          <w:color w:val="000000" w:themeColor="text1"/>
          <w:lang w:val="en-GB" w:eastAsia="fr-FR"/>
        </w:rPr>
      </w:pPr>
      <w:r w:rsidRPr="0040294D">
        <w:rPr>
          <w:color w:val="000000" w:themeColor="text1"/>
          <w:lang w:val="en-GB" w:eastAsia="fr-FR"/>
        </w:rPr>
        <w:t xml:space="preserve">Guest, D.E. (1997) ‘Human </w:t>
      </w:r>
      <w:r>
        <w:rPr>
          <w:color w:val="000000" w:themeColor="text1"/>
          <w:lang w:val="en-GB" w:eastAsia="fr-FR"/>
        </w:rPr>
        <w:t>r</w:t>
      </w:r>
      <w:r w:rsidRPr="0040294D">
        <w:rPr>
          <w:color w:val="000000" w:themeColor="text1"/>
          <w:lang w:val="en-GB" w:eastAsia="fr-FR"/>
        </w:rPr>
        <w:t xml:space="preserve">esource </w:t>
      </w:r>
      <w:r>
        <w:rPr>
          <w:color w:val="000000" w:themeColor="text1"/>
          <w:lang w:val="en-GB" w:eastAsia="fr-FR"/>
        </w:rPr>
        <w:t>m</w:t>
      </w:r>
      <w:r w:rsidRPr="0040294D">
        <w:rPr>
          <w:color w:val="000000" w:themeColor="text1"/>
          <w:lang w:val="en-GB" w:eastAsia="fr-FR"/>
        </w:rPr>
        <w:t xml:space="preserve">anagement and </w:t>
      </w:r>
      <w:r>
        <w:rPr>
          <w:color w:val="000000" w:themeColor="text1"/>
          <w:lang w:val="en-GB" w:eastAsia="fr-FR"/>
        </w:rPr>
        <w:t>p</w:t>
      </w:r>
      <w:r w:rsidRPr="0040294D">
        <w:rPr>
          <w:color w:val="000000" w:themeColor="text1"/>
          <w:lang w:val="en-GB" w:eastAsia="fr-FR"/>
        </w:rPr>
        <w:t xml:space="preserve">erformance: A </w:t>
      </w:r>
      <w:r>
        <w:rPr>
          <w:color w:val="000000" w:themeColor="text1"/>
          <w:lang w:val="en-GB" w:eastAsia="fr-FR"/>
        </w:rPr>
        <w:t>r</w:t>
      </w:r>
      <w:r w:rsidRPr="0040294D">
        <w:rPr>
          <w:color w:val="000000" w:themeColor="text1"/>
          <w:lang w:val="en-GB" w:eastAsia="fr-FR"/>
        </w:rPr>
        <w:t xml:space="preserve">eview and </w:t>
      </w:r>
      <w:r>
        <w:rPr>
          <w:color w:val="000000" w:themeColor="text1"/>
          <w:lang w:val="en-GB" w:eastAsia="fr-FR"/>
        </w:rPr>
        <w:t>r</w:t>
      </w:r>
      <w:r w:rsidRPr="0040294D">
        <w:rPr>
          <w:color w:val="000000" w:themeColor="text1"/>
          <w:lang w:val="en-GB" w:eastAsia="fr-FR"/>
        </w:rPr>
        <w:t xml:space="preserve">esearch </w:t>
      </w:r>
      <w:r>
        <w:rPr>
          <w:color w:val="000000" w:themeColor="text1"/>
          <w:lang w:val="en-GB" w:eastAsia="fr-FR"/>
        </w:rPr>
        <w:t>a</w:t>
      </w:r>
      <w:r w:rsidRPr="0040294D">
        <w:rPr>
          <w:color w:val="000000" w:themeColor="text1"/>
          <w:lang w:val="en-GB" w:eastAsia="fr-FR"/>
        </w:rPr>
        <w:t xml:space="preserve">genda’, </w:t>
      </w:r>
      <w:r w:rsidRPr="0040294D">
        <w:rPr>
          <w:i/>
          <w:color w:val="000000" w:themeColor="text1"/>
          <w:lang w:val="en-GB" w:eastAsia="fr-FR"/>
        </w:rPr>
        <w:t>International Journal of Human Resource Management</w:t>
      </w:r>
      <w:r w:rsidRPr="0040294D">
        <w:rPr>
          <w:color w:val="000000" w:themeColor="text1"/>
          <w:lang w:val="en-GB" w:eastAsia="fr-FR"/>
        </w:rPr>
        <w:t xml:space="preserve">, </w:t>
      </w:r>
      <w:r w:rsidRPr="0040294D">
        <w:rPr>
          <w:b/>
          <w:color w:val="000000" w:themeColor="text1"/>
          <w:lang w:val="en-GB" w:eastAsia="fr-FR"/>
        </w:rPr>
        <w:t>8</w:t>
      </w:r>
      <w:r w:rsidRPr="0040294D">
        <w:rPr>
          <w:color w:val="000000" w:themeColor="text1"/>
          <w:lang w:val="en-GB" w:eastAsia="fr-FR"/>
        </w:rPr>
        <w:t>, pp. 263–76.</w:t>
      </w:r>
    </w:p>
    <w:p w14:paraId="44F4BFB7" w14:textId="77777777" w:rsidR="002918F3" w:rsidRPr="0040294D" w:rsidRDefault="002918F3" w:rsidP="002918F3">
      <w:pPr>
        <w:spacing w:before="60" w:after="60"/>
        <w:ind w:left="567" w:hanging="567"/>
        <w:jc w:val="both"/>
        <w:rPr>
          <w:color w:val="000000" w:themeColor="text1"/>
          <w:lang w:val="en-GB" w:eastAsia="fr-FR"/>
        </w:rPr>
      </w:pPr>
      <w:r w:rsidRPr="0040294D">
        <w:rPr>
          <w:color w:val="222222"/>
          <w:shd w:val="clear" w:color="auto" w:fill="FFFFFF"/>
          <w:lang w:val="en-GB"/>
        </w:rPr>
        <w:lastRenderedPageBreak/>
        <w:t xml:space="preserve">Guest, D. E. (2001). </w:t>
      </w:r>
      <w:r>
        <w:rPr>
          <w:color w:val="222222"/>
          <w:shd w:val="clear" w:color="auto" w:fill="FFFFFF"/>
          <w:lang w:val="en-GB"/>
        </w:rPr>
        <w:t>‘</w:t>
      </w:r>
      <w:r w:rsidRPr="0040294D">
        <w:rPr>
          <w:color w:val="222222"/>
          <w:shd w:val="clear" w:color="auto" w:fill="FFFFFF"/>
          <w:lang w:val="en-GB"/>
        </w:rPr>
        <w:t>Human resource management: when research confronts theory</w:t>
      </w:r>
      <w:r>
        <w:rPr>
          <w:color w:val="222222"/>
          <w:shd w:val="clear" w:color="auto" w:fill="FFFFFF"/>
          <w:lang w:val="en-GB"/>
        </w:rPr>
        <w:t xml:space="preserve">’, </w:t>
      </w:r>
      <w:r w:rsidRPr="0040294D">
        <w:rPr>
          <w:i/>
          <w:iCs/>
          <w:color w:val="222222"/>
          <w:lang w:val="en-GB"/>
        </w:rPr>
        <w:t>International Journal of Human Resource Management</w:t>
      </w:r>
      <w:r w:rsidRPr="0040294D">
        <w:rPr>
          <w:color w:val="222222"/>
          <w:shd w:val="clear" w:color="auto" w:fill="FFFFFF"/>
          <w:lang w:val="en-GB"/>
        </w:rPr>
        <w:t>, </w:t>
      </w:r>
      <w:r w:rsidRPr="0040294D">
        <w:rPr>
          <w:b/>
          <w:iCs/>
          <w:color w:val="222222"/>
          <w:lang w:val="en-GB"/>
        </w:rPr>
        <w:t>12</w:t>
      </w:r>
      <w:r w:rsidRPr="0040294D">
        <w:rPr>
          <w:color w:val="222222"/>
          <w:shd w:val="clear" w:color="auto" w:fill="FFFFFF"/>
          <w:lang w:val="en-GB"/>
        </w:rPr>
        <w:t>, pp. 1092-1106.</w:t>
      </w:r>
    </w:p>
    <w:p w14:paraId="7C6BAF76"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Gunkel, M., </w:t>
      </w:r>
      <w:proofErr w:type="spellStart"/>
      <w:r w:rsidRPr="0040294D">
        <w:rPr>
          <w:color w:val="000000" w:themeColor="text1"/>
          <w:lang w:val="en-GB"/>
        </w:rPr>
        <w:t>Schlaegel</w:t>
      </w:r>
      <w:proofErr w:type="spellEnd"/>
      <w:r w:rsidRPr="0040294D">
        <w:rPr>
          <w:color w:val="000000" w:themeColor="text1"/>
          <w:lang w:val="en-GB"/>
        </w:rPr>
        <w:t xml:space="preserve">, C., </w:t>
      </w:r>
      <w:proofErr w:type="spellStart"/>
      <w:r w:rsidRPr="0040294D">
        <w:rPr>
          <w:color w:val="000000" w:themeColor="text1"/>
          <w:lang w:val="en-GB"/>
        </w:rPr>
        <w:t>Rossteutscher</w:t>
      </w:r>
      <w:proofErr w:type="spellEnd"/>
      <w:r w:rsidRPr="0040294D">
        <w:rPr>
          <w:color w:val="000000" w:themeColor="text1"/>
          <w:lang w:val="en-GB"/>
        </w:rPr>
        <w:t xml:space="preserve">, T., and Wolff, B. (2015). ‘The human aspect of cross-border acquisition outcomes: The role of management practices, employee emotions, and national culture’, </w:t>
      </w:r>
      <w:r w:rsidRPr="0040294D">
        <w:rPr>
          <w:i/>
          <w:color w:val="000000" w:themeColor="text1"/>
          <w:lang w:val="en-GB"/>
        </w:rPr>
        <w:t>International Business Review</w:t>
      </w:r>
      <w:r w:rsidRPr="0040294D">
        <w:rPr>
          <w:color w:val="000000" w:themeColor="text1"/>
          <w:lang w:val="en-GB"/>
        </w:rPr>
        <w:t>,</w:t>
      </w:r>
      <w:r>
        <w:rPr>
          <w:color w:val="000000" w:themeColor="text1"/>
          <w:lang w:val="en-GB"/>
        </w:rPr>
        <w:t> </w:t>
      </w:r>
      <w:r w:rsidRPr="0040294D">
        <w:rPr>
          <w:b/>
          <w:color w:val="000000" w:themeColor="text1"/>
          <w:lang w:val="en-GB"/>
        </w:rPr>
        <w:t>24</w:t>
      </w:r>
      <w:r w:rsidRPr="0040294D">
        <w:rPr>
          <w:color w:val="000000" w:themeColor="text1"/>
          <w:lang w:val="en-GB"/>
        </w:rPr>
        <w:t>, pp. 394</w:t>
      </w:r>
      <w:r w:rsidRPr="0040294D">
        <w:rPr>
          <w:color w:val="000000" w:themeColor="text1"/>
          <w:lang w:val="en-GB" w:eastAsia="fr-FR"/>
        </w:rPr>
        <w:t>–</w:t>
      </w:r>
      <w:r w:rsidRPr="0040294D">
        <w:rPr>
          <w:color w:val="000000" w:themeColor="text1"/>
          <w:lang w:val="en-GB"/>
        </w:rPr>
        <w:t>408.</w:t>
      </w:r>
    </w:p>
    <w:p w14:paraId="4A3735DB"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Haans</w:t>
      </w:r>
      <w:proofErr w:type="spellEnd"/>
      <w:r w:rsidRPr="0040294D">
        <w:rPr>
          <w:color w:val="000000" w:themeColor="text1"/>
          <w:lang w:val="en-GB"/>
        </w:rPr>
        <w:t xml:space="preserve">, R. F. J., Pieters, C., and He, Z.-L. (2016). ‘Thinking about U: Theorizing and testing U- and inverted U-shaped relationships in strategy research’, </w:t>
      </w:r>
      <w:r w:rsidRPr="0040294D">
        <w:rPr>
          <w:i/>
          <w:color w:val="000000" w:themeColor="text1"/>
          <w:lang w:val="en-GB"/>
        </w:rPr>
        <w:t>Strategic Management Journal</w:t>
      </w:r>
      <w:r w:rsidRPr="0040294D">
        <w:rPr>
          <w:color w:val="000000" w:themeColor="text1"/>
          <w:lang w:val="en-GB"/>
        </w:rPr>
        <w:t>,</w:t>
      </w:r>
      <w:r>
        <w:rPr>
          <w:color w:val="000000" w:themeColor="text1"/>
          <w:lang w:val="en-GB"/>
        </w:rPr>
        <w:t> </w:t>
      </w:r>
      <w:r w:rsidRPr="0040294D">
        <w:rPr>
          <w:b/>
          <w:bCs/>
          <w:iCs/>
          <w:color w:val="000000" w:themeColor="text1"/>
          <w:lang w:val="en-GB"/>
        </w:rPr>
        <w:t>37</w:t>
      </w:r>
      <w:r w:rsidRPr="0040294D">
        <w:rPr>
          <w:color w:val="000000" w:themeColor="text1"/>
          <w:lang w:val="en-GB"/>
        </w:rPr>
        <w:t>, pp. 1177</w:t>
      </w:r>
      <w:r w:rsidRPr="0040294D">
        <w:rPr>
          <w:color w:val="000000" w:themeColor="text1"/>
          <w:lang w:val="en-GB" w:eastAsia="fr-FR"/>
        </w:rPr>
        <w:t>–</w:t>
      </w:r>
      <w:r w:rsidRPr="0040294D">
        <w:rPr>
          <w:color w:val="000000" w:themeColor="text1"/>
          <w:lang w:val="en-GB"/>
        </w:rPr>
        <w:t>1195.</w:t>
      </w:r>
    </w:p>
    <w:p w14:paraId="4319F34B" w14:textId="77777777" w:rsidR="002918F3" w:rsidRDefault="002918F3" w:rsidP="002918F3">
      <w:pPr>
        <w:spacing w:before="60" w:after="60"/>
        <w:ind w:left="567" w:hanging="567"/>
        <w:jc w:val="both"/>
        <w:rPr>
          <w:color w:val="000000" w:themeColor="text1"/>
          <w:shd w:val="clear" w:color="auto" w:fill="FFFFFF"/>
          <w:lang w:val="en-GB"/>
        </w:rPr>
      </w:pPr>
      <w:proofErr w:type="spellStart"/>
      <w:r>
        <w:rPr>
          <w:color w:val="000000" w:themeColor="text1"/>
          <w:lang w:val="en-GB"/>
        </w:rPr>
        <w:t>Haleblian</w:t>
      </w:r>
      <w:proofErr w:type="spellEnd"/>
      <w:r>
        <w:rPr>
          <w:color w:val="000000" w:themeColor="text1"/>
          <w:lang w:val="en-GB"/>
        </w:rPr>
        <w:t xml:space="preserve">, J., Devers, C. E., McNamara, G., Carpenter, M. A., and Davison, R. B. (2009). ‘Taking stock of what we know about mergers and acquisitions: A review and research agenda’, </w:t>
      </w:r>
      <w:r w:rsidRPr="00490928">
        <w:rPr>
          <w:i/>
          <w:color w:val="000000" w:themeColor="text1"/>
          <w:lang w:val="en-GB"/>
        </w:rPr>
        <w:t>Journal of Management</w:t>
      </w:r>
      <w:r>
        <w:rPr>
          <w:color w:val="000000" w:themeColor="text1"/>
          <w:lang w:val="en-GB"/>
        </w:rPr>
        <w:t>, </w:t>
      </w:r>
      <w:r w:rsidRPr="00490928">
        <w:rPr>
          <w:b/>
          <w:color w:val="000000" w:themeColor="text1"/>
          <w:lang w:val="en-GB"/>
        </w:rPr>
        <w:t>35</w:t>
      </w:r>
      <w:r>
        <w:rPr>
          <w:color w:val="000000" w:themeColor="text1"/>
          <w:lang w:val="en-GB"/>
        </w:rPr>
        <w:t>, pp. 469</w:t>
      </w:r>
      <w:r w:rsidRPr="0040294D">
        <w:rPr>
          <w:color w:val="000000" w:themeColor="text1"/>
          <w:lang w:val="en-GB" w:eastAsia="fr-FR"/>
        </w:rPr>
        <w:t>–</w:t>
      </w:r>
      <w:r>
        <w:rPr>
          <w:color w:val="000000" w:themeColor="text1"/>
          <w:lang w:val="en-GB"/>
        </w:rPr>
        <w:t>502.</w:t>
      </w:r>
    </w:p>
    <w:p w14:paraId="55974AD4" w14:textId="77777777" w:rsidR="002918F3" w:rsidRDefault="002918F3" w:rsidP="002918F3">
      <w:pPr>
        <w:spacing w:before="60" w:after="60"/>
        <w:ind w:left="567" w:hanging="567"/>
        <w:jc w:val="both"/>
        <w:rPr>
          <w:color w:val="000000" w:themeColor="text1"/>
          <w:shd w:val="clear" w:color="auto" w:fill="FFFFFF"/>
          <w:lang w:val="en-GB"/>
        </w:rPr>
      </w:pPr>
      <w:r w:rsidRPr="0040294D">
        <w:rPr>
          <w:color w:val="000000" w:themeColor="text1"/>
          <w:shd w:val="clear" w:color="auto" w:fill="FFFFFF"/>
          <w:lang w:val="en-GB"/>
        </w:rPr>
        <w:t>Hayward, M. L., and Shimizu, K. (2006). ‘De</w:t>
      </w:r>
      <w:r w:rsidRPr="0040294D">
        <w:rPr>
          <w:rFonts w:ascii="Cambria Math" w:hAnsi="Cambria Math" w:cs="Cambria Math"/>
          <w:color w:val="000000" w:themeColor="text1"/>
          <w:shd w:val="clear" w:color="auto" w:fill="FFFFFF"/>
          <w:lang w:val="en-GB"/>
        </w:rPr>
        <w:t>‐</w:t>
      </w:r>
      <w:r w:rsidRPr="0040294D">
        <w:rPr>
          <w:color w:val="000000" w:themeColor="text1"/>
          <w:shd w:val="clear" w:color="auto" w:fill="FFFFFF"/>
          <w:lang w:val="en-GB"/>
        </w:rPr>
        <w:t>commitment to losing strategic action: evidence from the divestiture of poorly performing acquisitions’,</w:t>
      </w:r>
      <w:r w:rsidRPr="0040294D">
        <w:rPr>
          <w:rStyle w:val="apple-converted-space"/>
          <w:color w:val="000000" w:themeColor="text1"/>
          <w:shd w:val="clear" w:color="auto" w:fill="FFFFFF"/>
          <w:lang w:val="en-GB"/>
        </w:rPr>
        <w:t> </w:t>
      </w:r>
      <w:r w:rsidRPr="0040294D">
        <w:rPr>
          <w:i/>
          <w:iCs/>
          <w:color w:val="000000" w:themeColor="text1"/>
          <w:lang w:val="en-GB"/>
        </w:rPr>
        <w:t>Strategic Management Journal</w:t>
      </w:r>
      <w:r w:rsidRPr="0040294D">
        <w:rPr>
          <w:color w:val="000000" w:themeColor="text1"/>
          <w:shd w:val="clear" w:color="auto" w:fill="FFFFFF"/>
          <w:lang w:val="en-GB"/>
        </w:rPr>
        <w:t>,</w:t>
      </w:r>
      <w:r w:rsidRPr="0040294D">
        <w:rPr>
          <w:rStyle w:val="apple-converted-space"/>
          <w:color w:val="000000" w:themeColor="text1"/>
          <w:shd w:val="clear" w:color="auto" w:fill="FFFFFF"/>
          <w:lang w:val="en-GB"/>
        </w:rPr>
        <w:t> </w:t>
      </w:r>
      <w:r w:rsidRPr="0040294D">
        <w:rPr>
          <w:b/>
          <w:bCs/>
          <w:color w:val="000000" w:themeColor="text1"/>
          <w:lang w:val="en-GB"/>
        </w:rPr>
        <w:t>27</w:t>
      </w:r>
      <w:r w:rsidRPr="0040294D">
        <w:rPr>
          <w:color w:val="000000" w:themeColor="text1"/>
          <w:shd w:val="clear" w:color="auto" w:fill="FFFFFF"/>
          <w:lang w:val="en-GB"/>
        </w:rPr>
        <w:t xml:space="preserve">, </w:t>
      </w:r>
      <w:r w:rsidRPr="0040294D">
        <w:rPr>
          <w:color w:val="000000" w:themeColor="text1"/>
          <w:lang w:val="en-GB"/>
        </w:rPr>
        <w:t xml:space="preserve">pp. </w:t>
      </w:r>
      <w:r w:rsidRPr="0040294D">
        <w:rPr>
          <w:color w:val="000000" w:themeColor="text1"/>
          <w:shd w:val="clear" w:color="auto" w:fill="FFFFFF"/>
          <w:lang w:val="en-GB"/>
        </w:rPr>
        <w:t>541</w:t>
      </w:r>
      <w:r w:rsidRPr="0040294D">
        <w:rPr>
          <w:color w:val="000000" w:themeColor="text1"/>
          <w:lang w:val="en-GB" w:eastAsia="fr-FR"/>
        </w:rPr>
        <w:t>–</w:t>
      </w:r>
      <w:r w:rsidRPr="0040294D">
        <w:rPr>
          <w:color w:val="000000" w:themeColor="text1"/>
          <w:shd w:val="clear" w:color="auto" w:fill="FFFFFF"/>
          <w:lang w:val="en-GB"/>
        </w:rPr>
        <w:t>557.</w:t>
      </w:r>
    </w:p>
    <w:p w14:paraId="281E84E7" w14:textId="77777777" w:rsidR="002918F3" w:rsidRDefault="002918F3" w:rsidP="002918F3">
      <w:pPr>
        <w:spacing w:before="60" w:after="60"/>
        <w:ind w:left="567" w:hanging="567"/>
        <w:jc w:val="both"/>
        <w:rPr>
          <w:color w:val="000000" w:themeColor="text1"/>
          <w:shd w:val="clear" w:color="auto" w:fill="FFFFFF"/>
          <w:lang w:val="en-GB"/>
        </w:rPr>
      </w:pPr>
      <w:proofErr w:type="spellStart"/>
      <w:r>
        <w:rPr>
          <w:color w:val="000000" w:themeColor="text1"/>
          <w:shd w:val="clear" w:color="auto" w:fill="FFFFFF"/>
          <w:lang w:val="en-GB"/>
        </w:rPr>
        <w:t>Hennart</w:t>
      </w:r>
      <w:proofErr w:type="spellEnd"/>
      <w:r>
        <w:rPr>
          <w:color w:val="000000" w:themeColor="text1"/>
          <w:shd w:val="clear" w:color="auto" w:fill="FFFFFF"/>
          <w:lang w:val="en-GB"/>
        </w:rPr>
        <w:t xml:space="preserve">, J.-F., and Reddy, S. B. (2000). ‘Digestibility and asymmetric information in the choice between acquisitions and joint ventures: Where’s the beef?’, </w:t>
      </w:r>
      <w:r w:rsidRPr="007524E4">
        <w:rPr>
          <w:i/>
          <w:color w:val="000000" w:themeColor="text1"/>
          <w:shd w:val="clear" w:color="auto" w:fill="FFFFFF"/>
          <w:lang w:val="en-GB"/>
        </w:rPr>
        <w:t>Strategic Management Journal</w:t>
      </w:r>
      <w:r>
        <w:rPr>
          <w:color w:val="000000" w:themeColor="text1"/>
          <w:shd w:val="clear" w:color="auto" w:fill="FFFFFF"/>
          <w:lang w:val="en-GB"/>
        </w:rPr>
        <w:t>, </w:t>
      </w:r>
      <w:r w:rsidRPr="007524E4">
        <w:rPr>
          <w:b/>
          <w:color w:val="000000" w:themeColor="text1"/>
          <w:shd w:val="clear" w:color="auto" w:fill="FFFFFF"/>
          <w:lang w:val="en-GB"/>
        </w:rPr>
        <w:t>21</w:t>
      </w:r>
      <w:r>
        <w:rPr>
          <w:color w:val="000000" w:themeColor="text1"/>
          <w:shd w:val="clear" w:color="auto" w:fill="FFFFFF"/>
          <w:lang w:val="en-GB"/>
        </w:rPr>
        <w:t>, pp. 191</w:t>
      </w:r>
      <w:r w:rsidRPr="0040294D">
        <w:rPr>
          <w:color w:val="000000" w:themeColor="text1"/>
          <w:lang w:val="en-GB" w:eastAsia="fr-FR"/>
        </w:rPr>
        <w:t>–</w:t>
      </w:r>
      <w:r>
        <w:rPr>
          <w:color w:val="000000" w:themeColor="text1"/>
          <w:shd w:val="clear" w:color="auto" w:fill="FFFFFF"/>
          <w:lang w:val="en-GB"/>
        </w:rPr>
        <w:t>193.</w:t>
      </w:r>
    </w:p>
    <w:p w14:paraId="35DD5C3F" w14:textId="77777777" w:rsidR="002918F3" w:rsidRPr="0040294D" w:rsidRDefault="002918F3" w:rsidP="002918F3">
      <w:pPr>
        <w:spacing w:before="60" w:after="60"/>
        <w:ind w:left="567" w:hanging="567"/>
        <w:jc w:val="both"/>
        <w:rPr>
          <w:rFonts w:eastAsia="TimesNewRomanPSMT"/>
          <w:color w:val="000000" w:themeColor="text1"/>
          <w:lang w:val="en-GB"/>
        </w:rPr>
      </w:pPr>
      <w:r w:rsidRPr="0040294D">
        <w:rPr>
          <w:rFonts w:eastAsia="TimesNewRomanPSMT"/>
          <w:color w:val="000000" w:themeColor="text1"/>
          <w:lang w:val="en-GB"/>
        </w:rPr>
        <w:t xml:space="preserve">Holland, D., and Scullion, H. (2019). </w:t>
      </w:r>
      <w:r>
        <w:rPr>
          <w:rFonts w:eastAsia="TimesNewRomanPSMT"/>
          <w:color w:val="000000" w:themeColor="text1"/>
          <w:lang w:val="en-GB"/>
        </w:rPr>
        <w:t>‘</w:t>
      </w:r>
      <w:r w:rsidRPr="0040294D">
        <w:rPr>
          <w:rFonts w:eastAsia="TimesNewRomanPSMT"/>
          <w:color w:val="000000" w:themeColor="text1"/>
          <w:lang w:val="en-GB"/>
        </w:rPr>
        <w:t>Towards a talent retention model: mapping the building blocks of the psychological contract to the three stages of the acquisition process</w:t>
      </w:r>
      <w:r>
        <w:rPr>
          <w:rFonts w:eastAsia="TimesNewRomanPSMT"/>
          <w:color w:val="000000" w:themeColor="text1"/>
          <w:lang w:val="en-GB"/>
        </w:rPr>
        <w:t>’,</w:t>
      </w:r>
      <w:r w:rsidRPr="0040294D">
        <w:rPr>
          <w:rFonts w:eastAsia="TimesNewRomanPSMT"/>
          <w:i/>
          <w:iCs/>
          <w:color w:val="000000" w:themeColor="text1"/>
          <w:lang w:val="en-GB"/>
        </w:rPr>
        <w:t xml:space="preserve"> International Journal of Human Resource Management</w:t>
      </w:r>
      <w:r w:rsidRPr="0040294D">
        <w:rPr>
          <w:rFonts w:eastAsia="TimesNewRomanPSMT"/>
          <w:color w:val="000000" w:themeColor="text1"/>
          <w:lang w:val="en-GB"/>
        </w:rPr>
        <w:t xml:space="preserve">, </w:t>
      </w:r>
      <w:proofErr w:type="spellStart"/>
      <w:r w:rsidRPr="0040294D">
        <w:rPr>
          <w:rFonts w:eastAsia="TimesNewRomanPSMT"/>
          <w:color w:val="000000" w:themeColor="text1"/>
          <w:lang w:val="en-GB"/>
        </w:rPr>
        <w:t>doi</w:t>
      </w:r>
      <w:proofErr w:type="spellEnd"/>
      <w:r w:rsidRPr="0040294D">
        <w:rPr>
          <w:rFonts w:eastAsia="TimesNewRomanPSMT"/>
          <w:color w:val="000000" w:themeColor="text1"/>
          <w:lang w:val="en-GB"/>
        </w:rPr>
        <w:t xml:space="preserve">: </w:t>
      </w:r>
      <w:hyperlink r:id="rId8" w:history="1">
        <w:r w:rsidRPr="00171E30">
          <w:rPr>
            <w:rStyle w:val="Hyperlink"/>
            <w:rFonts w:eastAsia="TimesNewRomanPSMT"/>
            <w:color w:val="000000" w:themeColor="text1"/>
            <w:u w:val="none"/>
            <w:lang w:val="en-GB"/>
          </w:rPr>
          <w:t>10.1080/09585192.2019.1569546</w:t>
        </w:r>
      </w:hyperlink>
      <w:r w:rsidRPr="0040294D">
        <w:rPr>
          <w:rFonts w:eastAsia="TimesNewRomanPSMT"/>
          <w:color w:val="000000" w:themeColor="text1"/>
          <w:lang w:val="en-GB"/>
        </w:rPr>
        <w:t>.</w:t>
      </w:r>
    </w:p>
    <w:p w14:paraId="0828BDEC"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Hunt, J. W., and Downing, S. (1990). ‘Mergers, acquisitions and human resource management’, </w:t>
      </w:r>
      <w:r w:rsidRPr="0040294D">
        <w:rPr>
          <w:i/>
          <w:color w:val="000000" w:themeColor="text1"/>
          <w:lang w:val="en-GB"/>
        </w:rPr>
        <w:t>International Journal of Human Resource Management</w:t>
      </w:r>
      <w:r w:rsidRPr="0040294D">
        <w:rPr>
          <w:color w:val="000000" w:themeColor="text1"/>
          <w:lang w:val="en-GB"/>
        </w:rPr>
        <w:t>,</w:t>
      </w:r>
      <w:r>
        <w:rPr>
          <w:color w:val="000000" w:themeColor="text1"/>
          <w:lang w:val="en-GB"/>
        </w:rPr>
        <w:t> </w:t>
      </w:r>
      <w:r w:rsidRPr="0040294D">
        <w:rPr>
          <w:b/>
          <w:bCs/>
          <w:iCs/>
          <w:color w:val="000000" w:themeColor="text1"/>
          <w:lang w:val="en-GB"/>
        </w:rPr>
        <w:t>1</w:t>
      </w:r>
      <w:r w:rsidRPr="0040294D">
        <w:rPr>
          <w:color w:val="000000" w:themeColor="text1"/>
          <w:lang w:val="en-GB"/>
        </w:rPr>
        <w:t>, pp. 195</w:t>
      </w:r>
      <w:r w:rsidRPr="0040294D">
        <w:rPr>
          <w:color w:val="000000" w:themeColor="text1"/>
          <w:lang w:val="en-GB" w:eastAsia="fr-FR"/>
        </w:rPr>
        <w:t>–</w:t>
      </w:r>
      <w:r w:rsidRPr="0040294D">
        <w:rPr>
          <w:color w:val="000000" w:themeColor="text1"/>
          <w:lang w:val="en-GB"/>
        </w:rPr>
        <w:t>209.</w:t>
      </w:r>
    </w:p>
    <w:p w14:paraId="1E0AC2D4"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Huselid</w:t>
      </w:r>
      <w:proofErr w:type="spellEnd"/>
      <w:r w:rsidRPr="0040294D">
        <w:rPr>
          <w:color w:val="000000" w:themeColor="text1"/>
          <w:lang w:val="en-GB"/>
        </w:rPr>
        <w:t xml:space="preserve">, M. A. (1995). ‘The impact of human resource management practices on turnover, productivity, and corporate financial performance’, </w:t>
      </w:r>
      <w:r w:rsidRPr="0040294D">
        <w:rPr>
          <w:i/>
          <w:iCs/>
          <w:color w:val="000000" w:themeColor="text1"/>
          <w:lang w:val="en-GB"/>
        </w:rPr>
        <w:t>Academy of Management Journal</w:t>
      </w:r>
      <w:r w:rsidRPr="0040294D">
        <w:rPr>
          <w:iCs/>
          <w:color w:val="000000" w:themeColor="text1"/>
          <w:lang w:val="en-GB"/>
        </w:rPr>
        <w:t>,</w:t>
      </w:r>
      <w:r>
        <w:rPr>
          <w:iCs/>
          <w:color w:val="000000" w:themeColor="text1"/>
          <w:lang w:val="en-GB"/>
        </w:rPr>
        <w:t> </w:t>
      </w:r>
      <w:r w:rsidRPr="0040294D">
        <w:rPr>
          <w:b/>
          <w:bCs/>
          <w:iCs/>
          <w:color w:val="000000" w:themeColor="text1"/>
          <w:lang w:val="en-GB"/>
        </w:rPr>
        <w:t>38</w:t>
      </w:r>
      <w:r w:rsidRPr="0040294D">
        <w:rPr>
          <w:color w:val="000000" w:themeColor="text1"/>
          <w:lang w:val="en-GB"/>
        </w:rPr>
        <w:t>, pp. 635</w:t>
      </w:r>
      <w:r w:rsidRPr="0040294D">
        <w:rPr>
          <w:color w:val="000000" w:themeColor="text1"/>
          <w:lang w:val="en-GB" w:eastAsia="fr-FR"/>
        </w:rPr>
        <w:t>–</w:t>
      </w:r>
      <w:r w:rsidRPr="0040294D">
        <w:rPr>
          <w:color w:val="000000" w:themeColor="text1"/>
          <w:lang w:val="en-GB"/>
        </w:rPr>
        <w:t>672.</w:t>
      </w:r>
    </w:p>
    <w:p w14:paraId="1DE10C6B" w14:textId="77777777" w:rsidR="002918F3"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Inkpen</w:t>
      </w:r>
      <w:proofErr w:type="spellEnd"/>
      <w:r w:rsidRPr="0040294D">
        <w:rPr>
          <w:color w:val="000000" w:themeColor="text1"/>
          <w:lang w:val="en-GB"/>
        </w:rPr>
        <w:t xml:space="preserve">, A. C., Sundaram, A. K., and Rockwood, K. (2000). ‘Cross-border acquisitions of U.S. technology assets’, </w:t>
      </w:r>
      <w:r w:rsidRPr="0040294D">
        <w:rPr>
          <w:i/>
          <w:color w:val="000000" w:themeColor="text1"/>
          <w:lang w:val="en-GB"/>
        </w:rPr>
        <w:t>California Management Review</w:t>
      </w:r>
      <w:r w:rsidRPr="0040294D">
        <w:rPr>
          <w:color w:val="000000" w:themeColor="text1"/>
          <w:lang w:val="en-GB"/>
        </w:rPr>
        <w:t>,</w:t>
      </w:r>
      <w:r>
        <w:rPr>
          <w:color w:val="000000" w:themeColor="text1"/>
          <w:lang w:val="en-GB"/>
        </w:rPr>
        <w:t> </w:t>
      </w:r>
      <w:r w:rsidRPr="0040294D">
        <w:rPr>
          <w:b/>
          <w:bCs/>
          <w:iCs/>
          <w:color w:val="000000" w:themeColor="text1"/>
          <w:lang w:val="en-GB"/>
        </w:rPr>
        <w:t>42</w:t>
      </w:r>
      <w:r w:rsidRPr="0040294D">
        <w:rPr>
          <w:color w:val="000000" w:themeColor="text1"/>
          <w:lang w:val="en-GB"/>
        </w:rPr>
        <w:t>, pp. 50</w:t>
      </w:r>
      <w:r w:rsidRPr="0040294D">
        <w:rPr>
          <w:color w:val="000000" w:themeColor="text1"/>
          <w:lang w:val="en-GB" w:eastAsia="fr-FR"/>
        </w:rPr>
        <w:t>–</w:t>
      </w:r>
      <w:r w:rsidRPr="0040294D">
        <w:rPr>
          <w:color w:val="000000" w:themeColor="text1"/>
          <w:lang w:val="en-GB"/>
        </w:rPr>
        <w:t>71.</w:t>
      </w:r>
    </w:p>
    <w:p w14:paraId="5DA630B2" w14:textId="29825094" w:rsidR="002918F3" w:rsidRPr="0040294D" w:rsidRDefault="002918F3" w:rsidP="002918F3">
      <w:pPr>
        <w:spacing w:before="60" w:after="60"/>
        <w:ind w:left="567" w:hanging="567"/>
        <w:jc w:val="both"/>
        <w:rPr>
          <w:color w:val="000000" w:themeColor="text1"/>
          <w:lang w:val="en-GB"/>
        </w:rPr>
      </w:pPr>
      <w:proofErr w:type="spellStart"/>
      <w:r w:rsidRPr="002947F8">
        <w:rPr>
          <w:lang w:val="en-US"/>
        </w:rPr>
        <w:t>Intindola</w:t>
      </w:r>
      <w:proofErr w:type="spellEnd"/>
      <w:r w:rsidRPr="002947F8">
        <w:rPr>
          <w:lang w:val="en-US"/>
        </w:rPr>
        <w:t xml:space="preserve">, M. L., Lewis, G., </w:t>
      </w:r>
      <w:proofErr w:type="spellStart"/>
      <w:r w:rsidRPr="002947F8">
        <w:rPr>
          <w:lang w:val="en-US"/>
        </w:rPr>
        <w:t>Flinchbaugh</w:t>
      </w:r>
      <w:proofErr w:type="spellEnd"/>
      <w:r w:rsidRPr="002947F8">
        <w:rPr>
          <w:lang w:val="en-US"/>
        </w:rPr>
        <w:t xml:space="preserve">, C., </w:t>
      </w:r>
      <w:r>
        <w:rPr>
          <w:lang w:val="en-US"/>
        </w:rPr>
        <w:t>and</w:t>
      </w:r>
      <w:r w:rsidRPr="002947F8">
        <w:rPr>
          <w:lang w:val="en-US"/>
        </w:rPr>
        <w:t xml:space="preserve"> Rogers, S. E. (2019). </w:t>
      </w:r>
      <w:r>
        <w:rPr>
          <w:lang w:val="en-US"/>
        </w:rPr>
        <w:t>‘</w:t>
      </w:r>
      <w:r w:rsidRPr="00BC7146">
        <w:rPr>
          <w:lang w:val="en-US"/>
        </w:rPr>
        <w:t>Web-based recruiting’s impact on organizational image and familiarity: too much of a good thing?.</w:t>
      </w:r>
      <w:r>
        <w:rPr>
          <w:lang w:val="en-US"/>
        </w:rPr>
        <w:t>’</w:t>
      </w:r>
      <w:r w:rsidRPr="00CF520F">
        <w:rPr>
          <w:iCs/>
          <w:lang w:val="en-US"/>
        </w:rPr>
        <w:t xml:space="preserve"> </w:t>
      </w:r>
      <w:r w:rsidRPr="00BC7146">
        <w:rPr>
          <w:i/>
          <w:iCs/>
          <w:lang w:val="en-US"/>
        </w:rPr>
        <w:t>International Journal of Human Resource Management</w:t>
      </w:r>
      <w:r w:rsidRPr="00BC7146">
        <w:rPr>
          <w:lang w:val="en-US"/>
        </w:rPr>
        <w:t>, </w:t>
      </w:r>
      <w:r w:rsidRPr="00BC7146">
        <w:rPr>
          <w:b/>
          <w:iCs/>
          <w:lang w:val="en-US"/>
        </w:rPr>
        <w:t>30</w:t>
      </w:r>
      <w:r w:rsidRPr="00BC7146">
        <w:rPr>
          <w:lang w:val="en-US"/>
        </w:rPr>
        <w:t xml:space="preserve">, </w:t>
      </w:r>
      <w:r>
        <w:rPr>
          <w:lang w:val="en-US"/>
        </w:rPr>
        <w:t xml:space="preserve">pp. </w:t>
      </w:r>
      <w:r w:rsidRPr="00BC7146">
        <w:rPr>
          <w:lang w:val="en-US"/>
        </w:rPr>
        <w:t>2732-2753.</w:t>
      </w:r>
    </w:p>
    <w:p w14:paraId="4BA715F9"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Iyer, D. N., and Miller, K. D. (2008). ‘Performance feedback, slack, and the timing of acquisitions’, </w:t>
      </w:r>
      <w:r w:rsidRPr="0040294D">
        <w:rPr>
          <w:i/>
          <w:color w:val="000000" w:themeColor="text1"/>
          <w:lang w:val="en-GB"/>
        </w:rPr>
        <w:t>Academy of Management Journal</w:t>
      </w:r>
      <w:r w:rsidRPr="0040294D">
        <w:rPr>
          <w:color w:val="000000" w:themeColor="text1"/>
          <w:lang w:val="en-GB"/>
        </w:rPr>
        <w:t>,</w:t>
      </w:r>
      <w:r>
        <w:rPr>
          <w:color w:val="000000" w:themeColor="text1"/>
          <w:lang w:val="en-GB"/>
        </w:rPr>
        <w:t> </w:t>
      </w:r>
      <w:r w:rsidRPr="0040294D">
        <w:rPr>
          <w:b/>
          <w:bCs/>
          <w:iCs/>
          <w:color w:val="000000" w:themeColor="text1"/>
          <w:lang w:val="en-GB"/>
        </w:rPr>
        <w:t>51</w:t>
      </w:r>
      <w:r w:rsidRPr="0040294D">
        <w:rPr>
          <w:color w:val="000000" w:themeColor="text1"/>
          <w:lang w:val="en-GB"/>
        </w:rPr>
        <w:t>, pp. 808</w:t>
      </w:r>
      <w:r w:rsidRPr="0040294D">
        <w:rPr>
          <w:color w:val="000000" w:themeColor="text1"/>
          <w:lang w:val="en-GB" w:eastAsia="fr-FR"/>
        </w:rPr>
        <w:t>–</w:t>
      </w:r>
      <w:r w:rsidRPr="0040294D">
        <w:rPr>
          <w:color w:val="000000" w:themeColor="text1"/>
          <w:lang w:val="en-GB"/>
        </w:rPr>
        <w:t>822.</w:t>
      </w:r>
    </w:p>
    <w:p w14:paraId="5AAE0F3C"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eastAsia="zh-CN"/>
        </w:rPr>
        <w:t xml:space="preserve">Jones, C. I., and Williams, J. C. (2000). ‘Too much of a good thing? The economics of investment in R&amp;D’, </w:t>
      </w:r>
      <w:r w:rsidRPr="0040294D">
        <w:rPr>
          <w:i/>
          <w:iCs/>
          <w:color w:val="000000" w:themeColor="text1"/>
          <w:lang w:val="en-GB" w:eastAsia="zh-CN"/>
        </w:rPr>
        <w:t>Journal of Economic Growth</w:t>
      </w:r>
      <w:r w:rsidRPr="0040294D">
        <w:rPr>
          <w:color w:val="000000" w:themeColor="text1"/>
          <w:lang w:val="en-GB" w:eastAsia="zh-CN"/>
        </w:rPr>
        <w:t>,</w:t>
      </w:r>
      <w:r>
        <w:rPr>
          <w:color w:val="000000" w:themeColor="text1"/>
          <w:lang w:val="en-GB" w:eastAsia="zh-CN"/>
        </w:rPr>
        <w:t> </w:t>
      </w:r>
      <w:r w:rsidRPr="0040294D">
        <w:rPr>
          <w:b/>
          <w:bCs/>
          <w:color w:val="000000" w:themeColor="text1"/>
          <w:lang w:val="en-GB" w:eastAsia="zh-CN"/>
        </w:rPr>
        <w:t>5</w:t>
      </w:r>
      <w:r w:rsidRPr="0040294D">
        <w:rPr>
          <w:color w:val="000000" w:themeColor="text1"/>
          <w:lang w:val="en-GB" w:eastAsia="zh-CN"/>
        </w:rPr>
        <w:t xml:space="preserve">, </w:t>
      </w:r>
      <w:r w:rsidRPr="0040294D">
        <w:rPr>
          <w:color w:val="000000" w:themeColor="text1"/>
          <w:lang w:val="en-GB"/>
        </w:rPr>
        <w:t xml:space="preserve">pp. </w:t>
      </w:r>
      <w:r w:rsidRPr="0040294D">
        <w:rPr>
          <w:color w:val="000000" w:themeColor="text1"/>
          <w:lang w:val="en-GB" w:eastAsia="zh-CN"/>
        </w:rPr>
        <w:t>65</w:t>
      </w:r>
      <w:r w:rsidRPr="0040294D">
        <w:rPr>
          <w:color w:val="000000" w:themeColor="text1"/>
          <w:lang w:val="en-GB" w:eastAsia="fr-FR"/>
        </w:rPr>
        <w:t>–</w:t>
      </w:r>
      <w:r w:rsidRPr="0040294D">
        <w:rPr>
          <w:color w:val="000000" w:themeColor="text1"/>
          <w:lang w:val="en-GB" w:eastAsia="zh-CN"/>
        </w:rPr>
        <w:t>85.</w:t>
      </w:r>
    </w:p>
    <w:p w14:paraId="628B6948" w14:textId="77777777" w:rsidR="002918F3" w:rsidRPr="0040294D" w:rsidRDefault="002918F3" w:rsidP="002918F3">
      <w:pPr>
        <w:spacing w:before="60" w:after="60"/>
        <w:ind w:left="567" w:hanging="567"/>
        <w:jc w:val="both"/>
        <w:rPr>
          <w:lang w:val="en-GB"/>
        </w:rPr>
      </w:pPr>
      <w:r w:rsidRPr="0040294D">
        <w:rPr>
          <w:lang w:val="en-GB"/>
        </w:rPr>
        <w:t xml:space="preserve">Kaplan, S., and </w:t>
      </w:r>
      <w:proofErr w:type="spellStart"/>
      <w:r w:rsidRPr="0040294D">
        <w:rPr>
          <w:lang w:val="en-GB"/>
        </w:rPr>
        <w:t>Wiesbach</w:t>
      </w:r>
      <w:proofErr w:type="spellEnd"/>
      <w:r w:rsidRPr="0040294D">
        <w:rPr>
          <w:lang w:val="en-GB"/>
        </w:rPr>
        <w:t xml:space="preserve">, M. (1992). ‘The success of acquisitions: Evidence from divestitures’, </w:t>
      </w:r>
      <w:r w:rsidRPr="0040294D">
        <w:rPr>
          <w:i/>
          <w:lang w:val="en-GB"/>
        </w:rPr>
        <w:t>The Journal of Finance</w:t>
      </w:r>
      <w:r w:rsidRPr="0040294D">
        <w:rPr>
          <w:lang w:val="en-GB"/>
        </w:rPr>
        <w:t>,</w:t>
      </w:r>
      <w:r>
        <w:rPr>
          <w:lang w:val="en-GB"/>
        </w:rPr>
        <w:t> </w:t>
      </w:r>
      <w:r w:rsidRPr="0040294D">
        <w:rPr>
          <w:b/>
          <w:lang w:val="en-GB"/>
        </w:rPr>
        <w:t>47</w:t>
      </w:r>
      <w:r w:rsidRPr="0040294D">
        <w:rPr>
          <w:lang w:val="en-GB"/>
        </w:rPr>
        <w:t>, pp. 107</w:t>
      </w:r>
      <w:r w:rsidRPr="0040294D">
        <w:rPr>
          <w:lang w:val="en-GB" w:eastAsia="fr-FR"/>
        </w:rPr>
        <w:t>–</w:t>
      </w:r>
      <w:r w:rsidRPr="0040294D">
        <w:rPr>
          <w:lang w:val="en-GB"/>
        </w:rPr>
        <w:t>138.</w:t>
      </w:r>
    </w:p>
    <w:p w14:paraId="1952CBFF" w14:textId="77777777" w:rsidR="002918F3" w:rsidRPr="0040294D" w:rsidRDefault="002918F3" w:rsidP="002918F3">
      <w:pPr>
        <w:spacing w:before="60" w:after="60"/>
        <w:ind w:left="567" w:hanging="567"/>
        <w:jc w:val="both"/>
        <w:rPr>
          <w:lang w:val="en-GB"/>
        </w:rPr>
      </w:pPr>
      <w:r w:rsidRPr="0040294D">
        <w:rPr>
          <w:lang w:val="en-GB"/>
        </w:rPr>
        <w:t xml:space="preserve">Khan, Z., Soundararajan, V., Wood, G., and </w:t>
      </w:r>
      <w:proofErr w:type="spellStart"/>
      <w:r w:rsidRPr="0040294D">
        <w:rPr>
          <w:lang w:val="en-GB"/>
        </w:rPr>
        <w:t>Ahammad</w:t>
      </w:r>
      <w:proofErr w:type="spellEnd"/>
      <w:r w:rsidRPr="0040294D">
        <w:rPr>
          <w:lang w:val="en-GB"/>
        </w:rPr>
        <w:t>, M. F. (2017). ‘Employee emotional resilience during</w:t>
      </w:r>
      <w:r w:rsidRPr="0040294D">
        <w:rPr>
          <w:shd w:val="clear" w:color="auto" w:fill="FFFFFF"/>
          <w:lang w:val="en-GB"/>
        </w:rPr>
        <w:t xml:space="preserve"> post-merger integration across national boundaries: Rewards and the mediating role of fairness norms’, </w:t>
      </w:r>
      <w:r w:rsidRPr="0040294D">
        <w:rPr>
          <w:i/>
          <w:iCs/>
          <w:shd w:val="clear" w:color="auto" w:fill="FFFFFF"/>
          <w:lang w:val="en-GB"/>
        </w:rPr>
        <w:t>Journal of World Business</w:t>
      </w:r>
      <w:r w:rsidRPr="0040294D">
        <w:rPr>
          <w:shd w:val="clear" w:color="auto" w:fill="FFFFFF"/>
          <w:lang w:val="en-GB"/>
        </w:rPr>
        <w:t xml:space="preserve">, </w:t>
      </w:r>
      <w:r w:rsidRPr="0040294D">
        <w:rPr>
          <w:lang w:val="en-GB"/>
        </w:rPr>
        <w:t>doi.org/10.1016/j.jwb.2017.06.009.</w:t>
      </w:r>
    </w:p>
    <w:p w14:paraId="1868AB23" w14:textId="77777777" w:rsidR="002918F3" w:rsidRPr="0040294D" w:rsidRDefault="002918F3" w:rsidP="002918F3">
      <w:pPr>
        <w:spacing w:before="60" w:after="60"/>
        <w:ind w:left="567" w:hanging="567"/>
        <w:jc w:val="both"/>
        <w:rPr>
          <w:shd w:val="clear" w:color="auto" w:fill="FFFFFF"/>
          <w:lang w:val="en-GB"/>
        </w:rPr>
      </w:pPr>
      <w:r w:rsidRPr="0040294D">
        <w:rPr>
          <w:shd w:val="clear" w:color="auto" w:fill="FFFFFF"/>
          <w:lang w:val="en-GB"/>
        </w:rPr>
        <w:lastRenderedPageBreak/>
        <w:t xml:space="preserve">Khan, Z., Wood, G., </w:t>
      </w:r>
      <w:proofErr w:type="spellStart"/>
      <w:r w:rsidRPr="0040294D">
        <w:rPr>
          <w:shd w:val="clear" w:color="auto" w:fill="FFFFFF"/>
          <w:lang w:val="en-GB"/>
        </w:rPr>
        <w:t>Tarba</w:t>
      </w:r>
      <w:proofErr w:type="spellEnd"/>
      <w:r w:rsidRPr="0040294D">
        <w:rPr>
          <w:shd w:val="clear" w:color="auto" w:fill="FFFFFF"/>
          <w:lang w:val="en-GB"/>
        </w:rPr>
        <w:t>, S. Y., Rao</w:t>
      </w:r>
      <w:r w:rsidRPr="0040294D">
        <w:rPr>
          <w:rFonts w:ascii="Cambria Math" w:hAnsi="Cambria Math" w:cs="Cambria Math"/>
          <w:shd w:val="clear" w:color="auto" w:fill="FFFFFF"/>
          <w:lang w:val="en-GB"/>
        </w:rPr>
        <w:t>‐</w:t>
      </w:r>
      <w:r w:rsidRPr="0040294D">
        <w:rPr>
          <w:shd w:val="clear" w:color="auto" w:fill="FFFFFF"/>
          <w:lang w:val="en-GB"/>
        </w:rPr>
        <w:t xml:space="preserve">Nicholson, R., and He, S. (2018). ‘Human resource management in Chinese multinationals in the United Kingdom: The interplay of institutions, culture, and strategic choice’, </w:t>
      </w:r>
      <w:r w:rsidRPr="0040294D">
        <w:rPr>
          <w:i/>
          <w:iCs/>
          <w:shd w:val="clear" w:color="auto" w:fill="FFFFFF"/>
          <w:lang w:val="en-GB"/>
        </w:rPr>
        <w:t>Human Resource Management</w:t>
      </w:r>
      <w:r w:rsidRPr="0040294D">
        <w:rPr>
          <w:shd w:val="clear" w:color="auto" w:fill="FFFFFF"/>
          <w:lang w:val="en-GB"/>
        </w:rPr>
        <w:t>, doi.org/0.1002/hrm.21935.</w:t>
      </w:r>
    </w:p>
    <w:p w14:paraId="027A2BB8" w14:textId="77777777" w:rsidR="002918F3" w:rsidRPr="0040294D" w:rsidRDefault="002918F3" w:rsidP="002918F3">
      <w:pPr>
        <w:spacing w:before="60" w:after="60"/>
        <w:ind w:left="567" w:hanging="567"/>
        <w:jc w:val="both"/>
        <w:rPr>
          <w:shd w:val="clear" w:color="auto" w:fill="FFFFFF"/>
          <w:lang w:val="en-GB"/>
        </w:rPr>
      </w:pPr>
      <w:r w:rsidRPr="00C0082A">
        <w:rPr>
          <w:shd w:val="clear" w:color="auto" w:fill="FFFFFF"/>
          <w:lang w:val="nb-NO"/>
        </w:rPr>
        <w:t xml:space="preserve">Kim, J. Y., Finkelstein, S., and Haleblian, J. (2015). </w:t>
      </w:r>
      <w:r w:rsidRPr="0040294D">
        <w:rPr>
          <w:shd w:val="clear" w:color="auto" w:fill="FFFFFF"/>
          <w:lang w:val="en-GB"/>
        </w:rPr>
        <w:t xml:space="preserve">‘All aspirations are not created equal: The differential effects of historical and social aspirations on acquisition </w:t>
      </w:r>
      <w:proofErr w:type="spellStart"/>
      <w:r w:rsidRPr="0040294D">
        <w:rPr>
          <w:shd w:val="clear" w:color="auto" w:fill="FFFFFF"/>
          <w:lang w:val="en-GB"/>
        </w:rPr>
        <w:t>behavior</w:t>
      </w:r>
      <w:proofErr w:type="spellEnd"/>
      <w:r w:rsidRPr="0040294D">
        <w:rPr>
          <w:shd w:val="clear" w:color="auto" w:fill="FFFFFF"/>
          <w:lang w:val="en-GB"/>
        </w:rPr>
        <w:t>’,</w:t>
      </w:r>
      <w:r>
        <w:rPr>
          <w:lang w:val="en-GB"/>
        </w:rPr>
        <w:t xml:space="preserve"> </w:t>
      </w:r>
      <w:r w:rsidRPr="0040294D">
        <w:rPr>
          <w:i/>
          <w:shd w:val="clear" w:color="auto" w:fill="FFFFFF"/>
          <w:lang w:val="en-GB"/>
        </w:rPr>
        <w:t>Academy of Management Journal</w:t>
      </w:r>
      <w:r w:rsidRPr="0040294D">
        <w:rPr>
          <w:shd w:val="clear" w:color="auto" w:fill="FFFFFF"/>
          <w:lang w:val="en-GB"/>
        </w:rPr>
        <w:t>,</w:t>
      </w:r>
      <w:r w:rsidRPr="0040294D">
        <w:rPr>
          <w:lang w:val="en-GB"/>
        </w:rPr>
        <w:t> </w:t>
      </w:r>
      <w:r w:rsidRPr="0040294D">
        <w:rPr>
          <w:b/>
          <w:iCs/>
          <w:shd w:val="clear" w:color="auto" w:fill="FFFFFF"/>
          <w:lang w:val="en-GB"/>
        </w:rPr>
        <w:t>58</w:t>
      </w:r>
      <w:r w:rsidRPr="0040294D">
        <w:rPr>
          <w:shd w:val="clear" w:color="auto" w:fill="FFFFFF"/>
          <w:lang w:val="en-GB"/>
        </w:rPr>
        <w:t xml:space="preserve">, </w:t>
      </w:r>
      <w:r w:rsidRPr="0040294D">
        <w:rPr>
          <w:lang w:val="en-GB"/>
        </w:rPr>
        <w:t xml:space="preserve">pp. </w:t>
      </w:r>
      <w:r w:rsidRPr="0040294D">
        <w:rPr>
          <w:shd w:val="clear" w:color="auto" w:fill="FFFFFF"/>
          <w:lang w:val="en-GB"/>
        </w:rPr>
        <w:t>1361</w:t>
      </w:r>
      <w:r w:rsidRPr="0040294D">
        <w:rPr>
          <w:lang w:val="en-GB" w:eastAsia="fr-FR"/>
        </w:rPr>
        <w:t>–</w:t>
      </w:r>
      <w:r w:rsidRPr="0040294D">
        <w:rPr>
          <w:shd w:val="clear" w:color="auto" w:fill="FFFFFF"/>
          <w:lang w:val="en-GB"/>
        </w:rPr>
        <w:t>1388.</w:t>
      </w:r>
    </w:p>
    <w:p w14:paraId="23EBE8B1" w14:textId="77777777" w:rsidR="002918F3" w:rsidRDefault="002918F3" w:rsidP="002918F3">
      <w:pPr>
        <w:spacing w:before="60" w:after="60"/>
        <w:ind w:left="567" w:hanging="567"/>
        <w:jc w:val="both"/>
        <w:rPr>
          <w:lang w:val="en-GB"/>
        </w:rPr>
      </w:pPr>
      <w:r w:rsidRPr="0040294D">
        <w:rPr>
          <w:lang w:val="en-GB"/>
        </w:rPr>
        <w:t xml:space="preserve">Kling, G., </w:t>
      </w:r>
      <w:proofErr w:type="spellStart"/>
      <w:r w:rsidRPr="0040294D">
        <w:rPr>
          <w:lang w:val="en-GB"/>
        </w:rPr>
        <w:t>Ghobad</w:t>
      </w:r>
      <w:r>
        <w:rPr>
          <w:lang w:val="en-GB"/>
        </w:rPr>
        <w:t>ian</w:t>
      </w:r>
      <w:proofErr w:type="spellEnd"/>
      <w:r>
        <w:rPr>
          <w:lang w:val="en-GB"/>
        </w:rPr>
        <w:t xml:space="preserve">, A., </w:t>
      </w:r>
      <w:proofErr w:type="spellStart"/>
      <w:r>
        <w:rPr>
          <w:lang w:val="en-GB"/>
        </w:rPr>
        <w:t>Hitt</w:t>
      </w:r>
      <w:proofErr w:type="spellEnd"/>
      <w:r>
        <w:rPr>
          <w:lang w:val="en-GB"/>
        </w:rPr>
        <w:t>, M., Weitzel, U., and</w:t>
      </w:r>
      <w:r w:rsidRPr="0040294D">
        <w:rPr>
          <w:lang w:val="en-GB"/>
        </w:rPr>
        <w:t xml:space="preserve"> </w:t>
      </w:r>
      <w:proofErr w:type="spellStart"/>
      <w:r w:rsidRPr="0040294D">
        <w:rPr>
          <w:lang w:val="en-GB"/>
        </w:rPr>
        <w:t>O</w:t>
      </w:r>
      <w:r>
        <w:rPr>
          <w:lang w:val="en-GB"/>
        </w:rPr>
        <w:t>’</w:t>
      </w:r>
      <w:r w:rsidRPr="0040294D">
        <w:rPr>
          <w:lang w:val="en-GB"/>
        </w:rPr>
        <w:t>Regan</w:t>
      </w:r>
      <w:proofErr w:type="spellEnd"/>
      <w:r w:rsidRPr="0040294D">
        <w:rPr>
          <w:lang w:val="en-GB"/>
        </w:rPr>
        <w:t xml:space="preserve">, N. (2014). ‘The effects of cross-border and cross-industry mergers and acquisitions on home-region and global multinational enterprises’, </w:t>
      </w:r>
      <w:r w:rsidRPr="0040294D">
        <w:rPr>
          <w:i/>
          <w:lang w:val="en-GB"/>
        </w:rPr>
        <w:t>British Journal of Management</w:t>
      </w:r>
      <w:r w:rsidRPr="0040294D">
        <w:rPr>
          <w:lang w:val="en-GB"/>
        </w:rPr>
        <w:t xml:space="preserve">, </w:t>
      </w:r>
      <w:r w:rsidRPr="0040294D">
        <w:rPr>
          <w:b/>
          <w:lang w:val="en-GB"/>
        </w:rPr>
        <w:t>25</w:t>
      </w:r>
      <w:r w:rsidRPr="0040294D">
        <w:rPr>
          <w:lang w:val="en-GB"/>
        </w:rPr>
        <w:t>, pp. 116</w:t>
      </w:r>
      <w:r w:rsidRPr="0040294D">
        <w:rPr>
          <w:lang w:val="en-GB" w:eastAsia="fr-FR"/>
        </w:rPr>
        <w:t>–</w:t>
      </w:r>
      <w:r w:rsidRPr="0040294D">
        <w:rPr>
          <w:lang w:val="en-GB"/>
        </w:rPr>
        <w:t>132.</w:t>
      </w:r>
    </w:p>
    <w:p w14:paraId="2C4AA6A5" w14:textId="77777777" w:rsidR="002918F3" w:rsidRPr="0040294D" w:rsidRDefault="002918F3" w:rsidP="002918F3">
      <w:pPr>
        <w:spacing w:before="60" w:after="60"/>
        <w:ind w:left="567" w:hanging="567"/>
        <w:jc w:val="both"/>
        <w:rPr>
          <w:lang w:val="en-GB"/>
        </w:rPr>
      </w:pPr>
      <w:proofErr w:type="spellStart"/>
      <w:r>
        <w:rPr>
          <w:lang w:val="en-GB"/>
        </w:rPr>
        <w:t>Kohtamäki</w:t>
      </w:r>
      <w:proofErr w:type="spellEnd"/>
      <w:r>
        <w:rPr>
          <w:lang w:val="en-GB"/>
        </w:rPr>
        <w:t xml:space="preserve">, M., </w:t>
      </w:r>
      <w:proofErr w:type="spellStart"/>
      <w:r>
        <w:rPr>
          <w:lang w:val="en-GB"/>
        </w:rPr>
        <w:t>Heimonen</w:t>
      </w:r>
      <w:proofErr w:type="spellEnd"/>
      <w:r>
        <w:rPr>
          <w:lang w:val="en-GB"/>
        </w:rPr>
        <w:t xml:space="preserve">, J., and </w:t>
      </w:r>
      <w:proofErr w:type="spellStart"/>
      <w:r>
        <w:rPr>
          <w:lang w:val="en-GB"/>
        </w:rPr>
        <w:t>Parida</w:t>
      </w:r>
      <w:proofErr w:type="spellEnd"/>
      <w:r>
        <w:rPr>
          <w:lang w:val="en-GB"/>
        </w:rPr>
        <w:t xml:space="preserve">, V. (2019). ‘The nonlinear relationship between entrepreneurial orientation and sales growth: The moderating effects of slack resources and absorptive capacity’, </w:t>
      </w:r>
      <w:r w:rsidRPr="006E335E">
        <w:rPr>
          <w:i/>
          <w:lang w:val="en-GB"/>
        </w:rPr>
        <w:t>Journal of Business Research</w:t>
      </w:r>
      <w:r>
        <w:rPr>
          <w:lang w:val="en-GB"/>
        </w:rPr>
        <w:t>, </w:t>
      </w:r>
      <w:r w:rsidRPr="006E335E">
        <w:rPr>
          <w:b/>
          <w:lang w:val="en-GB"/>
        </w:rPr>
        <w:t>100</w:t>
      </w:r>
      <w:r>
        <w:rPr>
          <w:lang w:val="en-GB"/>
        </w:rPr>
        <w:t>, pp. 100</w:t>
      </w:r>
      <w:r w:rsidRPr="0040294D">
        <w:rPr>
          <w:lang w:val="en-GB" w:eastAsia="fr-FR"/>
        </w:rPr>
        <w:t>–</w:t>
      </w:r>
      <w:r>
        <w:rPr>
          <w:lang w:val="en-GB"/>
        </w:rPr>
        <w:t>110.</w:t>
      </w:r>
    </w:p>
    <w:p w14:paraId="46E7D857" w14:textId="77777777" w:rsidR="002918F3" w:rsidRPr="0040294D" w:rsidRDefault="002918F3" w:rsidP="002918F3">
      <w:pPr>
        <w:spacing w:before="60" w:after="60"/>
        <w:ind w:left="567" w:hanging="567"/>
        <w:jc w:val="both"/>
        <w:rPr>
          <w:lang w:val="en-GB"/>
        </w:rPr>
      </w:pPr>
      <w:r w:rsidRPr="0040294D">
        <w:rPr>
          <w:lang w:val="en-GB"/>
        </w:rPr>
        <w:t>Kolev, K. D. (2016). ‘To divest or not to divest: A meta</w:t>
      </w:r>
      <w:r w:rsidRPr="0040294D">
        <w:rPr>
          <w:rFonts w:ascii="Cambria Math" w:hAnsi="Cambria Math" w:cs="Cambria Math"/>
          <w:lang w:val="en-GB"/>
        </w:rPr>
        <w:t>‐</w:t>
      </w:r>
      <w:r w:rsidRPr="0040294D">
        <w:rPr>
          <w:lang w:val="en-GB"/>
        </w:rPr>
        <w:t>analysis of the antecedents of corporate divestitures’,</w:t>
      </w:r>
      <w:r>
        <w:rPr>
          <w:lang w:val="en-GB"/>
        </w:rPr>
        <w:t xml:space="preserve"> </w:t>
      </w:r>
      <w:r w:rsidRPr="0040294D">
        <w:rPr>
          <w:i/>
          <w:iCs/>
          <w:lang w:val="en-GB"/>
        </w:rPr>
        <w:t>British Journal of Management</w:t>
      </w:r>
      <w:r w:rsidRPr="0040294D">
        <w:rPr>
          <w:lang w:val="en-GB"/>
        </w:rPr>
        <w:t>, </w:t>
      </w:r>
      <w:r w:rsidRPr="0040294D">
        <w:rPr>
          <w:b/>
          <w:lang w:val="en-GB"/>
        </w:rPr>
        <w:t>27</w:t>
      </w:r>
      <w:r w:rsidRPr="0040294D">
        <w:rPr>
          <w:lang w:val="en-GB"/>
        </w:rPr>
        <w:t>, pp. 179</w:t>
      </w:r>
      <w:r w:rsidRPr="0040294D">
        <w:rPr>
          <w:lang w:val="en-GB" w:eastAsia="fr-FR"/>
        </w:rPr>
        <w:t>–</w:t>
      </w:r>
      <w:r w:rsidRPr="0040294D">
        <w:rPr>
          <w:lang w:val="en-GB"/>
        </w:rPr>
        <w:t>196.</w:t>
      </w:r>
    </w:p>
    <w:p w14:paraId="4763579F" w14:textId="77777777" w:rsidR="002918F3" w:rsidRPr="0040294D" w:rsidRDefault="002918F3" w:rsidP="002918F3">
      <w:pPr>
        <w:spacing w:before="60" w:after="60"/>
        <w:ind w:left="567" w:hanging="567"/>
        <w:jc w:val="both"/>
        <w:rPr>
          <w:lang w:val="en-GB"/>
        </w:rPr>
      </w:pPr>
      <w:r w:rsidRPr="0040294D">
        <w:rPr>
          <w:lang w:val="en-GB"/>
        </w:rPr>
        <w:t xml:space="preserve">Kolk, A. (2016). ‘The social responsibility of international business: From ethics and the environment to CSR and sustainable development’, </w:t>
      </w:r>
      <w:r w:rsidRPr="0040294D">
        <w:rPr>
          <w:i/>
          <w:lang w:val="en-GB"/>
        </w:rPr>
        <w:t>Journal of World Business</w:t>
      </w:r>
      <w:r w:rsidRPr="0040294D">
        <w:rPr>
          <w:lang w:val="en-GB"/>
        </w:rPr>
        <w:t>,</w:t>
      </w:r>
      <w:r>
        <w:rPr>
          <w:lang w:val="en-GB"/>
        </w:rPr>
        <w:t> </w:t>
      </w:r>
      <w:r w:rsidRPr="0040294D">
        <w:rPr>
          <w:b/>
          <w:iCs/>
          <w:lang w:val="en-GB"/>
        </w:rPr>
        <w:t>51</w:t>
      </w:r>
      <w:r w:rsidRPr="0040294D">
        <w:rPr>
          <w:lang w:val="en-GB"/>
        </w:rPr>
        <w:t>, pp. 23</w:t>
      </w:r>
      <w:r w:rsidRPr="0040294D">
        <w:rPr>
          <w:lang w:val="en-GB" w:eastAsia="fr-FR"/>
        </w:rPr>
        <w:t>–</w:t>
      </w:r>
      <w:r w:rsidRPr="0040294D">
        <w:rPr>
          <w:lang w:val="en-GB"/>
        </w:rPr>
        <w:t>34.</w:t>
      </w:r>
    </w:p>
    <w:p w14:paraId="49255CAE" w14:textId="77777777" w:rsidR="002918F3" w:rsidRPr="0040294D" w:rsidRDefault="002918F3" w:rsidP="002918F3">
      <w:pPr>
        <w:spacing w:before="60" w:after="60"/>
        <w:ind w:left="567" w:hanging="567"/>
        <w:jc w:val="both"/>
        <w:rPr>
          <w:lang w:val="en-GB"/>
        </w:rPr>
      </w:pPr>
      <w:r w:rsidRPr="0040294D">
        <w:rPr>
          <w:shd w:val="clear" w:color="auto" w:fill="FFFFFF"/>
          <w:lang w:val="en-GB"/>
        </w:rPr>
        <w:t>König, A. S., Graf-</w:t>
      </w:r>
      <w:proofErr w:type="spellStart"/>
      <w:r w:rsidRPr="0040294D">
        <w:rPr>
          <w:shd w:val="clear" w:color="auto" w:fill="FFFFFF"/>
          <w:lang w:val="en-GB"/>
        </w:rPr>
        <w:t>Vlachy</w:t>
      </w:r>
      <w:proofErr w:type="spellEnd"/>
      <w:r w:rsidRPr="0040294D">
        <w:rPr>
          <w:shd w:val="clear" w:color="auto" w:fill="FFFFFF"/>
          <w:lang w:val="en-GB"/>
        </w:rPr>
        <w:t>, L., Bundy, J. N., and Little, L. (2018). ‘A blessing and a curse: How CEOs' empathy affects their management of organizational crises’,</w:t>
      </w:r>
      <w:r>
        <w:rPr>
          <w:rStyle w:val="apple-converted-space"/>
          <w:b/>
          <w:color w:val="000000" w:themeColor="text1"/>
          <w:shd w:val="clear" w:color="auto" w:fill="FFFFFF"/>
          <w:lang w:val="en-GB"/>
        </w:rPr>
        <w:t xml:space="preserve"> </w:t>
      </w:r>
      <w:r w:rsidRPr="0040294D">
        <w:rPr>
          <w:i/>
          <w:iCs/>
          <w:lang w:val="en-GB"/>
        </w:rPr>
        <w:t>Academy of Management Review</w:t>
      </w:r>
      <w:r w:rsidRPr="0040294D">
        <w:rPr>
          <w:shd w:val="clear" w:color="auto" w:fill="FFFFFF"/>
          <w:lang w:val="en-GB"/>
        </w:rPr>
        <w:t xml:space="preserve">, </w:t>
      </w:r>
      <w:proofErr w:type="spellStart"/>
      <w:r w:rsidRPr="0040294D">
        <w:rPr>
          <w:shd w:val="clear" w:color="auto" w:fill="FFFFFF"/>
          <w:lang w:val="en-GB"/>
        </w:rPr>
        <w:t>doi</w:t>
      </w:r>
      <w:proofErr w:type="spellEnd"/>
      <w:r w:rsidRPr="0040294D">
        <w:rPr>
          <w:shd w:val="clear" w:color="auto" w:fill="FFFFFF"/>
          <w:lang w:val="en-GB"/>
        </w:rPr>
        <w:t>: 10.5465/amr.2017.0387.</w:t>
      </w:r>
    </w:p>
    <w:p w14:paraId="39616AF5" w14:textId="77777777" w:rsidR="002918F3" w:rsidRPr="0040294D" w:rsidRDefault="002918F3" w:rsidP="002918F3">
      <w:pPr>
        <w:spacing w:before="60" w:after="60"/>
        <w:ind w:left="567" w:hanging="567"/>
        <w:jc w:val="both"/>
        <w:rPr>
          <w:lang w:val="en-GB"/>
        </w:rPr>
      </w:pPr>
      <w:r w:rsidRPr="0040294D">
        <w:rPr>
          <w:rStyle w:val="Strong"/>
          <w:b w:val="0"/>
          <w:color w:val="000000" w:themeColor="text1"/>
          <w:bdr w:val="none" w:sz="0" w:space="0" w:color="auto" w:frame="1"/>
          <w:lang w:val="en-GB"/>
        </w:rPr>
        <w:t>Lado</w:t>
      </w:r>
      <w:r w:rsidRPr="0040294D">
        <w:rPr>
          <w:lang w:val="en-GB"/>
        </w:rPr>
        <w:t>, A. A., and</w:t>
      </w:r>
      <w:r w:rsidRPr="0040294D">
        <w:rPr>
          <w:b/>
          <w:lang w:val="en-GB"/>
        </w:rPr>
        <w:t xml:space="preserve"> </w:t>
      </w:r>
      <w:r w:rsidRPr="0040294D">
        <w:rPr>
          <w:rStyle w:val="Strong"/>
          <w:b w:val="0"/>
          <w:color w:val="000000" w:themeColor="text1"/>
          <w:bdr w:val="none" w:sz="0" w:space="0" w:color="auto" w:frame="1"/>
          <w:lang w:val="en-GB"/>
        </w:rPr>
        <w:t>Wilson</w:t>
      </w:r>
      <w:r w:rsidRPr="0040294D">
        <w:rPr>
          <w:lang w:val="en-GB"/>
        </w:rPr>
        <w:t>, M. C. (1994). ‘</w:t>
      </w:r>
      <w:r w:rsidRPr="0040294D">
        <w:rPr>
          <w:bdr w:val="none" w:sz="0" w:space="0" w:color="auto" w:frame="1"/>
          <w:lang w:val="en-GB"/>
        </w:rPr>
        <w:t xml:space="preserve">Human resource systems and sustained competitive advantage: A competency-based perspective’, </w:t>
      </w:r>
      <w:r w:rsidRPr="0040294D">
        <w:rPr>
          <w:i/>
          <w:lang w:val="en-GB"/>
        </w:rPr>
        <w:t>Academy of Management Review</w:t>
      </w:r>
      <w:r w:rsidRPr="0040294D">
        <w:rPr>
          <w:lang w:val="en-GB"/>
        </w:rPr>
        <w:t>,</w:t>
      </w:r>
      <w:r>
        <w:rPr>
          <w:lang w:val="en-GB"/>
        </w:rPr>
        <w:t> </w:t>
      </w:r>
      <w:r w:rsidRPr="0040294D">
        <w:rPr>
          <w:b/>
          <w:iCs/>
          <w:lang w:val="en-GB"/>
        </w:rPr>
        <w:t>19</w:t>
      </w:r>
      <w:r w:rsidRPr="0040294D">
        <w:rPr>
          <w:lang w:val="en-GB"/>
        </w:rPr>
        <w:t>, pp. 699</w:t>
      </w:r>
      <w:r w:rsidRPr="0040294D">
        <w:rPr>
          <w:lang w:val="en-GB" w:eastAsia="fr-FR"/>
        </w:rPr>
        <w:t>–</w:t>
      </w:r>
      <w:r w:rsidRPr="0040294D">
        <w:rPr>
          <w:lang w:val="en-GB"/>
        </w:rPr>
        <w:t>727.</w:t>
      </w:r>
    </w:p>
    <w:p w14:paraId="69511A7C" w14:textId="77777777" w:rsidR="002918F3" w:rsidRPr="0040294D" w:rsidRDefault="002918F3" w:rsidP="002918F3">
      <w:pPr>
        <w:spacing w:before="60" w:after="60"/>
        <w:ind w:left="567" w:hanging="567"/>
        <w:jc w:val="both"/>
        <w:rPr>
          <w:lang w:val="en-GB"/>
        </w:rPr>
      </w:pPr>
      <w:r w:rsidRPr="0040294D">
        <w:rPr>
          <w:lang w:val="en-GB"/>
        </w:rPr>
        <w:t>Lakshman, C. (2011). ‘</w:t>
      </w:r>
      <w:proofErr w:type="spellStart"/>
      <w:r w:rsidRPr="0040294D">
        <w:rPr>
          <w:lang w:val="en-GB"/>
        </w:rPr>
        <w:t>Postacquisition</w:t>
      </w:r>
      <w:proofErr w:type="spellEnd"/>
      <w:r w:rsidRPr="0040294D">
        <w:rPr>
          <w:lang w:val="en-GB"/>
        </w:rPr>
        <w:t xml:space="preserve"> cultural integration in mergers &amp; acquisitions: A knowledge-based approach’, </w:t>
      </w:r>
      <w:r w:rsidRPr="0040294D">
        <w:rPr>
          <w:i/>
          <w:lang w:val="en-GB"/>
        </w:rPr>
        <w:t>Human Resource Management</w:t>
      </w:r>
      <w:r w:rsidRPr="0040294D">
        <w:rPr>
          <w:lang w:val="en-GB"/>
        </w:rPr>
        <w:t>,</w:t>
      </w:r>
      <w:r>
        <w:rPr>
          <w:lang w:val="en-GB"/>
        </w:rPr>
        <w:t> </w:t>
      </w:r>
      <w:r w:rsidRPr="0040294D">
        <w:rPr>
          <w:b/>
          <w:iCs/>
          <w:lang w:val="en-GB"/>
        </w:rPr>
        <w:t>50</w:t>
      </w:r>
      <w:r w:rsidRPr="0040294D">
        <w:rPr>
          <w:lang w:val="en-GB"/>
        </w:rPr>
        <w:t>, pp. 605</w:t>
      </w:r>
      <w:r w:rsidRPr="0040294D">
        <w:rPr>
          <w:lang w:val="en-GB" w:eastAsia="fr-FR"/>
        </w:rPr>
        <w:t>–</w:t>
      </w:r>
      <w:r w:rsidRPr="0040294D">
        <w:rPr>
          <w:lang w:val="en-GB"/>
        </w:rPr>
        <w:t>623.</w:t>
      </w:r>
    </w:p>
    <w:p w14:paraId="6771ECF3" w14:textId="77777777" w:rsidR="002918F3" w:rsidRPr="0040294D" w:rsidRDefault="002918F3" w:rsidP="002918F3">
      <w:pPr>
        <w:spacing w:before="60" w:after="60"/>
        <w:ind w:left="567" w:hanging="567"/>
        <w:jc w:val="both"/>
        <w:rPr>
          <w:lang w:val="en-GB"/>
        </w:rPr>
      </w:pPr>
      <w:proofErr w:type="spellStart"/>
      <w:r w:rsidRPr="0040294D">
        <w:rPr>
          <w:lang w:val="en-GB" w:eastAsia="zh-CN"/>
        </w:rPr>
        <w:t>Langfred</w:t>
      </w:r>
      <w:proofErr w:type="spellEnd"/>
      <w:r w:rsidRPr="0040294D">
        <w:rPr>
          <w:lang w:val="en-GB" w:eastAsia="zh-CN"/>
        </w:rPr>
        <w:t xml:space="preserve">, C. W. (2004). ‘Too much of a good thing? Negative effects of high trust and individual autonomy in self-managing teams’, </w:t>
      </w:r>
      <w:r w:rsidRPr="0040294D">
        <w:rPr>
          <w:i/>
          <w:iCs/>
          <w:lang w:val="en-GB" w:eastAsia="zh-CN"/>
        </w:rPr>
        <w:t>Academy of Management Journal</w:t>
      </w:r>
      <w:r w:rsidRPr="0040294D">
        <w:rPr>
          <w:lang w:val="en-GB" w:eastAsia="zh-CN"/>
        </w:rPr>
        <w:t>,</w:t>
      </w:r>
      <w:r>
        <w:rPr>
          <w:lang w:val="en-GB" w:eastAsia="zh-CN"/>
        </w:rPr>
        <w:t> </w:t>
      </w:r>
      <w:r w:rsidRPr="0040294D">
        <w:rPr>
          <w:b/>
          <w:lang w:val="en-GB" w:eastAsia="zh-CN"/>
        </w:rPr>
        <w:t>47</w:t>
      </w:r>
      <w:r w:rsidRPr="0040294D">
        <w:rPr>
          <w:lang w:val="en-GB" w:eastAsia="zh-CN"/>
        </w:rPr>
        <w:t>, pp. 385</w:t>
      </w:r>
      <w:r w:rsidRPr="0040294D">
        <w:rPr>
          <w:lang w:val="en-GB" w:eastAsia="fr-FR"/>
        </w:rPr>
        <w:t>–</w:t>
      </w:r>
      <w:r w:rsidRPr="0040294D">
        <w:rPr>
          <w:lang w:val="en-GB" w:eastAsia="zh-CN"/>
        </w:rPr>
        <w:t>399.</w:t>
      </w:r>
    </w:p>
    <w:p w14:paraId="189C0151" w14:textId="77777777" w:rsidR="002918F3" w:rsidRPr="0040294D" w:rsidRDefault="002918F3" w:rsidP="002918F3">
      <w:pPr>
        <w:spacing w:before="60" w:after="60"/>
        <w:ind w:left="567" w:hanging="567"/>
        <w:jc w:val="both"/>
        <w:rPr>
          <w:color w:val="000000" w:themeColor="text1"/>
          <w:lang w:val="en-GB"/>
        </w:rPr>
      </w:pPr>
      <w:r w:rsidRPr="00C0082A">
        <w:rPr>
          <w:color w:val="000000" w:themeColor="text1"/>
          <w:lang w:val="nb-NO"/>
        </w:rPr>
        <w:t xml:space="preserve">Larsson, R., and Finkelstein, S. (1999). </w:t>
      </w:r>
      <w:r w:rsidRPr="0040294D">
        <w:rPr>
          <w:color w:val="000000" w:themeColor="text1"/>
          <w:lang w:val="en-GB"/>
        </w:rPr>
        <w:t xml:space="preserve">‘Integrating strategic, organizational, and human resource perspectives on mergers and acquisitions: A case survey of synergy realization’, </w:t>
      </w:r>
      <w:r w:rsidRPr="0040294D">
        <w:rPr>
          <w:i/>
          <w:color w:val="000000" w:themeColor="text1"/>
          <w:lang w:val="en-GB"/>
        </w:rPr>
        <w:t>Organization Science</w:t>
      </w:r>
      <w:r w:rsidRPr="0040294D">
        <w:rPr>
          <w:color w:val="000000" w:themeColor="text1"/>
          <w:lang w:val="en-GB"/>
        </w:rPr>
        <w:t>,</w:t>
      </w:r>
      <w:r>
        <w:rPr>
          <w:color w:val="000000" w:themeColor="text1"/>
          <w:lang w:val="en-GB"/>
        </w:rPr>
        <w:t> </w:t>
      </w:r>
      <w:r w:rsidRPr="0040294D">
        <w:rPr>
          <w:b/>
          <w:bCs/>
          <w:iCs/>
          <w:color w:val="000000" w:themeColor="text1"/>
          <w:lang w:val="en-GB"/>
        </w:rPr>
        <w:t>10</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1</w:t>
      </w:r>
      <w:r w:rsidRPr="0040294D">
        <w:rPr>
          <w:color w:val="000000" w:themeColor="text1"/>
          <w:lang w:val="en-GB" w:eastAsia="fr-FR"/>
        </w:rPr>
        <w:t>–</w:t>
      </w:r>
      <w:r w:rsidRPr="0040294D">
        <w:rPr>
          <w:color w:val="000000" w:themeColor="text1"/>
          <w:lang w:val="en-GB"/>
        </w:rPr>
        <w:t>26.</w:t>
      </w:r>
    </w:p>
    <w:p w14:paraId="33EB4E81" w14:textId="77777777" w:rsidR="002918F3" w:rsidRPr="0040294D" w:rsidRDefault="002918F3" w:rsidP="002918F3">
      <w:pPr>
        <w:spacing w:before="60" w:after="60"/>
        <w:ind w:left="567" w:hanging="567"/>
        <w:jc w:val="both"/>
        <w:rPr>
          <w:color w:val="000000" w:themeColor="text1"/>
          <w:lang w:val="en-GB"/>
        </w:rPr>
      </w:pPr>
      <w:r w:rsidRPr="00171E30">
        <w:rPr>
          <w:lang w:val="en-GB"/>
        </w:rPr>
        <w:t xml:space="preserve">Li, J., Li, P. and Wang, B. (2015). </w:t>
      </w:r>
      <w:r w:rsidRPr="0040294D">
        <w:rPr>
          <w:lang w:val="en-GB"/>
        </w:rPr>
        <w:t>‘Do cross-border acquisitions create value? Evidence from overseas acquisitions by Chinese firms’</w:t>
      </w:r>
      <w:r>
        <w:rPr>
          <w:lang w:val="en-GB"/>
        </w:rPr>
        <w:t>,</w:t>
      </w:r>
      <w:r w:rsidRPr="0040294D">
        <w:rPr>
          <w:lang w:val="en-GB"/>
        </w:rPr>
        <w:t xml:space="preserve"> </w:t>
      </w:r>
      <w:r w:rsidRPr="0040294D">
        <w:rPr>
          <w:i/>
          <w:iCs/>
          <w:lang w:val="en-GB"/>
        </w:rPr>
        <w:t>International Business Review</w:t>
      </w:r>
      <w:r w:rsidRPr="0040294D">
        <w:rPr>
          <w:lang w:val="en-GB"/>
        </w:rPr>
        <w:t>,</w:t>
      </w:r>
      <w:r>
        <w:rPr>
          <w:lang w:val="en-GB"/>
        </w:rPr>
        <w:t> </w:t>
      </w:r>
      <w:r w:rsidRPr="0040294D">
        <w:rPr>
          <w:b/>
          <w:bCs/>
          <w:lang w:val="en-GB"/>
        </w:rPr>
        <w:t>25</w:t>
      </w:r>
      <w:r>
        <w:rPr>
          <w:lang w:val="en-GB"/>
        </w:rPr>
        <w:t>, pp. 471</w:t>
      </w:r>
      <w:r w:rsidRPr="0040294D">
        <w:rPr>
          <w:color w:val="000000" w:themeColor="text1"/>
          <w:lang w:val="en-GB" w:eastAsia="fr-FR"/>
        </w:rPr>
        <w:t>–</w:t>
      </w:r>
      <w:r w:rsidRPr="0040294D">
        <w:rPr>
          <w:lang w:val="en-GB"/>
        </w:rPr>
        <w:t>483.</w:t>
      </w:r>
    </w:p>
    <w:p w14:paraId="652F68AD"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Lin, C. Y.-Y., and Wei, Y.-C. (2006). ‘The role of business ethics in merger and acquisition success: An empirical study’, </w:t>
      </w:r>
      <w:r w:rsidRPr="0040294D">
        <w:rPr>
          <w:i/>
          <w:color w:val="000000" w:themeColor="text1"/>
          <w:lang w:val="en-GB"/>
        </w:rPr>
        <w:t>Journal of Business Ethics</w:t>
      </w:r>
      <w:r w:rsidRPr="0040294D">
        <w:rPr>
          <w:color w:val="000000" w:themeColor="text1"/>
          <w:lang w:val="en-GB"/>
        </w:rPr>
        <w:t>,</w:t>
      </w:r>
      <w:r>
        <w:rPr>
          <w:color w:val="000000" w:themeColor="text1"/>
          <w:lang w:val="en-GB"/>
        </w:rPr>
        <w:t> </w:t>
      </w:r>
      <w:r w:rsidRPr="0040294D">
        <w:rPr>
          <w:b/>
          <w:bCs/>
          <w:iCs/>
          <w:color w:val="000000" w:themeColor="text1"/>
          <w:lang w:val="en-GB"/>
        </w:rPr>
        <w:t>69</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95</w:t>
      </w:r>
      <w:r w:rsidRPr="0040294D">
        <w:rPr>
          <w:color w:val="000000" w:themeColor="text1"/>
          <w:lang w:val="en-GB" w:eastAsia="fr-FR"/>
        </w:rPr>
        <w:t>–</w:t>
      </w:r>
      <w:r w:rsidRPr="0040294D">
        <w:rPr>
          <w:color w:val="000000" w:themeColor="text1"/>
          <w:lang w:val="en-GB"/>
        </w:rPr>
        <w:t>109.</w:t>
      </w:r>
    </w:p>
    <w:p w14:paraId="66CFAF6E"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Liu, Y., </w:t>
      </w:r>
      <w:r>
        <w:rPr>
          <w:color w:val="000000" w:themeColor="text1"/>
          <w:lang w:val="en-GB"/>
        </w:rPr>
        <w:t>and</w:t>
      </w:r>
      <w:r w:rsidRPr="0040294D">
        <w:rPr>
          <w:color w:val="000000" w:themeColor="text1"/>
          <w:lang w:val="en-GB"/>
        </w:rPr>
        <w:t xml:space="preserve"> </w:t>
      </w:r>
      <w:proofErr w:type="spellStart"/>
      <w:r w:rsidRPr="0040294D">
        <w:rPr>
          <w:color w:val="000000" w:themeColor="text1"/>
          <w:lang w:val="en-GB"/>
        </w:rPr>
        <w:t>Woywode</w:t>
      </w:r>
      <w:proofErr w:type="spellEnd"/>
      <w:r w:rsidRPr="0040294D">
        <w:rPr>
          <w:color w:val="000000" w:themeColor="text1"/>
          <w:lang w:val="en-GB"/>
        </w:rPr>
        <w:t>, M. (2013). ‘Light</w:t>
      </w:r>
      <w:r w:rsidRPr="0040294D">
        <w:rPr>
          <w:rFonts w:ascii="Cambria Math" w:hAnsi="Cambria Math" w:cs="Cambria Math"/>
          <w:color w:val="000000" w:themeColor="text1"/>
          <w:lang w:val="en-GB"/>
        </w:rPr>
        <w:t>‐</w:t>
      </w:r>
      <w:r w:rsidRPr="0040294D">
        <w:rPr>
          <w:color w:val="000000" w:themeColor="text1"/>
          <w:lang w:val="en-GB"/>
        </w:rPr>
        <w:t>Touch Integration of Chinese Cross</w:t>
      </w:r>
      <w:r w:rsidRPr="0040294D">
        <w:rPr>
          <w:rFonts w:ascii="Cambria Math" w:hAnsi="Cambria Math" w:cs="Cambria Math"/>
          <w:color w:val="000000" w:themeColor="text1"/>
          <w:lang w:val="en-GB"/>
        </w:rPr>
        <w:t>‐</w:t>
      </w:r>
      <w:r w:rsidRPr="0040294D">
        <w:rPr>
          <w:color w:val="000000" w:themeColor="text1"/>
          <w:lang w:val="en-GB"/>
        </w:rPr>
        <w:t>Border M&amp;A: The Inﬂuences of Culture and Absorptive Capacity’</w:t>
      </w:r>
      <w:r>
        <w:rPr>
          <w:color w:val="000000" w:themeColor="text1"/>
          <w:lang w:val="en-GB"/>
        </w:rPr>
        <w:t xml:space="preserve">, </w:t>
      </w:r>
      <w:r w:rsidRPr="0040294D">
        <w:rPr>
          <w:i/>
          <w:color w:val="000000" w:themeColor="text1"/>
          <w:lang w:val="en-GB"/>
        </w:rPr>
        <w:t>Thunderbird international business review</w:t>
      </w:r>
      <w:r w:rsidRPr="0040294D">
        <w:rPr>
          <w:color w:val="000000" w:themeColor="text1"/>
          <w:lang w:val="en-GB"/>
        </w:rPr>
        <w:t>, </w:t>
      </w:r>
      <w:r w:rsidRPr="0040294D">
        <w:rPr>
          <w:b/>
          <w:color w:val="000000" w:themeColor="text1"/>
          <w:lang w:val="en-GB"/>
        </w:rPr>
        <w:t>55</w:t>
      </w:r>
      <w:r>
        <w:rPr>
          <w:color w:val="000000" w:themeColor="text1"/>
          <w:lang w:val="en-GB"/>
        </w:rPr>
        <w:t>, pp. 469</w:t>
      </w:r>
      <w:r w:rsidRPr="0040294D">
        <w:rPr>
          <w:color w:val="000000" w:themeColor="text1"/>
          <w:lang w:val="en-GB" w:eastAsia="fr-FR"/>
        </w:rPr>
        <w:t>–</w:t>
      </w:r>
      <w:r w:rsidRPr="0040294D">
        <w:rPr>
          <w:color w:val="000000" w:themeColor="text1"/>
          <w:lang w:val="en-GB"/>
        </w:rPr>
        <w:t>483.</w:t>
      </w:r>
    </w:p>
    <w:p w14:paraId="4889EF18"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Lubatkin</w:t>
      </w:r>
      <w:proofErr w:type="spellEnd"/>
      <w:r w:rsidRPr="0040294D">
        <w:rPr>
          <w:color w:val="000000" w:themeColor="text1"/>
          <w:lang w:val="en-GB"/>
        </w:rPr>
        <w:t xml:space="preserve">, M., Schweiger, D., and Weber, Y. (1999). ‘Top management turnover in related M&amp;A: An additional test of the theory of relative standing’, </w:t>
      </w:r>
      <w:r w:rsidRPr="0040294D">
        <w:rPr>
          <w:i/>
          <w:color w:val="000000" w:themeColor="text1"/>
          <w:lang w:val="en-GB"/>
        </w:rPr>
        <w:t>Journal of Management</w:t>
      </w:r>
      <w:r w:rsidRPr="0040294D">
        <w:rPr>
          <w:color w:val="000000" w:themeColor="text1"/>
          <w:lang w:val="en-GB"/>
        </w:rPr>
        <w:t>,</w:t>
      </w:r>
      <w:r>
        <w:rPr>
          <w:color w:val="000000" w:themeColor="text1"/>
          <w:lang w:val="en-GB"/>
        </w:rPr>
        <w:t> </w:t>
      </w:r>
      <w:r w:rsidRPr="0040294D">
        <w:rPr>
          <w:b/>
          <w:bCs/>
          <w:iCs/>
          <w:color w:val="000000" w:themeColor="text1"/>
          <w:lang w:val="en-GB"/>
        </w:rPr>
        <w:t>25</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55</w:t>
      </w:r>
      <w:r w:rsidRPr="0040294D">
        <w:rPr>
          <w:color w:val="000000" w:themeColor="text1"/>
          <w:lang w:val="en-GB" w:eastAsia="fr-FR"/>
        </w:rPr>
        <w:t>–</w:t>
      </w:r>
      <w:r w:rsidRPr="0040294D">
        <w:rPr>
          <w:color w:val="000000" w:themeColor="text1"/>
          <w:lang w:val="en-GB"/>
        </w:rPr>
        <w:t>73.</w:t>
      </w:r>
    </w:p>
    <w:p w14:paraId="6EA64747"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MacLean, T. L., and Behnam, M. (2010). ‘The dangers of decoupling: The relationship between compliance programs, legitimacy perceptions, and institutionalized misconduct’, </w:t>
      </w:r>
      <w:r w:rsidRPr="0040294D">
        <w:rPr>
          <w:i/>
          <w:color w:val="000000" w:themeColor="text1"/>
          <w:lang w:val="en-GB"/>
        </w:rPr>
        <w:t>Academy of Management Journal</w:t>
      </w:r>
      <w:r w:rsidRPr="0040294D">
        <w:rPr>
          <w:color w:val="000000" w:themeColor="text1"/>
          <w:lang w:val="en-GB"/>
        </w:rPr>
        <w:t>,</w:t>
      </w:r>
      <w:r>
        <w:rPr>
          <w:color w:val="000000" w:themeColor="text1"/>
          <w:lang w:val="en-GB"/>
        </w:rPr>
        <w:t> </w:t>
      </w:r>
      <w:r w:rsidRPr="0040294D">
        <w:rPr>
          <w:b/>
          <w:bCs/>
          <w:iCs/>
          <w:color w:val="000000" w:themeColor="text1"/>
          <w:lang w:val="en-GB"/>
        </w:rPr>
        <w:t>53</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1499</w:t>
      </w:r>
      <w:r w:rsidRPr="0040294D">
        <w:rPr>
          <w:color w:val="000000" w:themeColor="text1"/>
          <w:lang w:val="en-GB" w:eastAsia="fr-FR"/>
        </w:rPr>
        <w:t>–</w:t>
      </w:r>
      <w:r w:rsidRPr="0040294D">
        <w:rPr>
          <w:color w:val="000000" w:themeColor="text1"/>
          <w:lang w:val="en-GB"/>
        </w:rPr>
        <w:t>1520.</w:t>
      </w:r>
    </w:p>
    <w:p w14:paraId="7C096DA5" w14:textId="77777777" w:rsidR="002918F3" w:rsidRPr="0040294D" w:rsidRDefault="002918F3" w:rsidP="002918F3">
      <w:pPr>
        <w:spacing w:before="60" w:after="60"/>
        <w:ind w:left="567" w:hanging="567"/>
        <w:jc w:val="both"/>
        <w:rPr>
          <w:lang w:val="en-GB"/>
        </w:rPr>
      </w:pPr>
      <w:bookmarkStart w:id="1" w:name="Result_10"/>
      <w:r w:rsidRPr="0040294D">
        <w:rPr>
          <w:rStyle w:val="Strong"/>
          <w:b w:val="0"/>
          <w:color w:val="000000" w:themeColor="text1"/>
          <w:bdr w:val="none" w:sz="0" w:space="0" w:color="auto" w:frame="1"/>
          <w:lang w:val="en-GB"/>
        </w:rPr>
        <w:lastRenderedPageBreak/>
        <w:t>Marks</w:t>
      </w:r>
      <w:r w:rsidRPr="0040294D">
        <w:rPr>
          <w:lang w:val="en-GB"/>
        </w:rPr>
        <w:t xml:space="preserve">, M. L., and </w:t>
      </w:r>
      <w:r w:rsidRPr="0040294D">
        <w:rPr>
          <w:rStyle w:val="Strong"/>
          <w:b w:val="0"/>
          <w:color w:val="000000" w:themeColor="text1"/>
          <w:bdr w:val="none" w:sz="0" w:space="0" w:color="auto" w:frame="1"/>
          <w:lang w:val="en-GB"/>
        </w:rPr>
        <w:t>Mirvis</w:t>
      </w:r>
      <w:r w:rsidRPr="0040294D">
        <w:rPr>
          <w:lang w:val="en-GB"/>
        </w:rPr>
        <w:t>, P. H. (2011). ‘</w:t>
      </w:r>
      <w:r w:rsidRPr="0040294D">
        <w:rPr>
          <w:bdr w:val="none" w:sz="0" w:space="0" w:color="auto" w:frame="1"/>
          <w:lang w:val="en-GB"/>
        </w:rPr>
        <w:t>A framework for the human resources role in managing culture in mergers and acquisitions</w:t>
      </w:r>
      <w:bookmarkEnd w:id="1"/>
      <w:r w:rsidRPr="0040294D">
        <w:rPr>
          <w:bdr w:val="none" w:sz="0" w:space="0" w:color="auto" w:frame="1"/>
          <w:lang w:val="en-GB"/>
        </w:rPr>
        <w:t xml:space="preserve">’, </w:t>
      </w:r>
      <w:r w:rsidRPr="0040294D">
        <w:rPr>
          <w:i/>
          <w:lang w:val="en-GB"/>
        </w:rPr>
        <w:t>Human Resource Management</w:t>
      </w:r>
      <w:r w:rsidRPr="0040294D">
        <w:rPr>
          <w:lang w:val="en-GB"/>
        </w:rPr>
        <w:t>,</w:t>
      </w:r>
      <w:r>
        <w:rPr>
          <w:lang w:val="en-GB"/>
        </w:rPr>
        <w:t> </w:t>
      </w:r>
      <w:r w:rsidRPr="0040294D">
        <w:rPr>
          <w:b/>
          <w:iCs/>
          <w:lang w:val="en-GB"/>
        </w:rPr>
        <w:t>50</w:t>
      </w:r>
      <w:r w:rsidRPr="0040294D">
        <w:rPr>
          <w:lang w:val="en-GB"/>
        </w:rPr>
        <w:t xml:space="preserve">, </w:t>
      </w:r>
      <w:r w:rsidRPr="0040294D">
        <w:rPr>
          <w:lang w:val="en-GB" w:eastAsia="zh-CN"/>
        </w:rPr>
        <w:t xml:space="preserve">pp. </w:t>
      </w:r>
      <w:r w:rsidRPr="0040294D">
        <w:rPr>
          <w:lang w:val="en-GB"/>
        </w:rPr>
        <w:t>859–877.</w:t>
      </w:r>
    </w:p>
    <w:p w14:paraId="10C040B7" w14:textId="77777777" w:rsidR="002918F3" w:rsidRPr="0040294D" w:rsidRDefault="002918F3" w:rsidP="002918F3">
      <w:pPr>
        <w:spacing w:before="60" w:after="60"/>
        <w:ind w:left="567" w:hanging="567"/>
        <w:jc w:val="both"/>
        <w:rPr>
          <w:color w:val="000000" w:themeColor="text1"/>
          <w:lang w:val="en-GB"/>
        </w:rPr>
      </w:pPr>
      <w:proofErr w:type="spellStart"/>
      <w:r w:rsidRPr="0040294D">
        <w:rPr>
          <w:lang w:val="en-GB" w:eastAsia="zh-CN"/>
        </w:rPr>
        <w:t>Meglio</w:t>
      </w:r>
      <w:proofErr w:type="spellEnd"/>
      <w:r w:rsidRPr="0040294D">
        <w:rPr>
          <w:lang w:val="en-GB" w:eastAsia="zh-CN"/>
        </w:rPr>
        <w:t xml:space="preserve">, O., and </w:t>
      </w:r>
      <w:proofErr w:type="spellStart"/>
      <w:r w:rsidRPr="0040294D">
        <w:rPr>
          <w:lang w:val="en-GB" w:eastAsia="zh-CN"/>
        </w:rPr>
        <w:t>Risberg</w:t>
      </w:r>
      <w:proofErr w:type="spellEnd"/>
      <w:r w:rsidRPr="0040294D">
        <w:rPr>
          <w:lang w:val="en-GB" w:eastAsia="zh-CN"/>
        </w:rPr>
        <w:t xml:space="preserve">, A. (2010). ‘Mergers and acquisitions – Time for a methodological </w:t>
      </w:r>
      <w:r w:rsidRPr="0040294D">
        <w:rPr>
          <w:color w:val="000000" w:themeColor="text1"/>
          <w:lang w:val="en-GB" w:eastAsia="zh-CN"/>
        </w:rPr>
        <w:t xml:space="preserve">rejuvenation of the field?’, </w:t>
      </w:r>
      <w:r w:rsidRPr="0040294D">
        <w:rPr>
          <w:i/>
          <w:iCs/>
          <w:color w:val="000000" w:themeColor="text1"/>
          <w:lang w:val="en-GB" w:eastAsia="zh-CN"/>
        </w:rPr>
        <w:t>Scandinavian Journal of Management</w:t>
      </w:r>
      <w:r w:rsidRPr="0040294D">
        <w:rPr>
          <w:color w:val="000000" w:themeColor="text1"/>
          <w:lang w:val="en-GB" w:eastAsia="zh-CN"/>
        </w:rPr>
        <w:t>,</w:t>
      </w:r>
      <w:r>
        <w:rPr>
          <w:color w:val="000000" w:themeColor="text1"/>
          <w:lang w:val="en-GB" w:eastAsia="zh-CN"/>
        </w:rPr>
        <w:t> </w:t>
      </w:r>
      <w:r w:rsidRPr="0040294D">
        <w:rPr>
          <w:b/>
          <w:color w:val="000000" w:themeColor="text1"/>
          <w:lang w:val="en-GB" w:eastAsia="zh-CN"/>
        </w:rPr>
        <w:t>26</w:t>
      </w:r>
      <w:r w:rsidRPr="0040294D">
        <w:rPr>
          <w:color w:val="000000" w:themeColor="text1"/>
          <w:lang w:val="en-GB" w:eastAsia="zh-CN"/>
        </w:rPr>
        <w:t>, pp. 87–95.</w:t>
      </w:r>
    </w:p>
    <w:p w14:paraId="3A7F6401" w14:textId="77777777" w:rsidR="002918F3" w:rsidRPr="0040294D" w:rsidRDefault="002918F3" w:rsidP="002918F3">
      <w:pPr>
        <w:spacing w:before="60" w:after="60"/>
        <w:ind w:left="567" w:hanging="567"/>
        <w:jc w:val="both"/>
        <w:rPr>
          <w:color w:val="000000" w:themeColor="text1"/>
          <w:lang w:val="en-GB" w:eastAsia="zh-CN"/>
        </w:rPr>
      </w:pPr>
      <w:proofErr w:type="spellStart"/>
      <w:r w:rsidRPr="001962F9">
        <w:rPr>
          <w:color w:val="000000" w:themeColor="text1"/>
          <w:lang w:eastAsia="zh-CN"/>
        </w:rPr>
        <w:t>Meschi</w:t>
      </w:r>
      <w:proofErr w:type="spellEnd"/>
      <w:r w:rsidRPr="001962F9">
        <w:rPr>
          <w:color w:val="000000" w:themeColor="text1"/>
          <w:lang w:eastAsia="zh-CN"/>
        </w:rPr>
        <w:t xml:space="preserve">, P.-X., and </w:t>
      </w:r>
      <w:proofErr w:type="spellStart"/>
      <w:r w:rsidRPr="001962F9">
        <w:rPr>
          <w:color w:val="000000" w:themeColor="text1"/>
          <w:lang w:eastAsia="zh-CN"/>
        </w:rPr>
        <w:t>Métais</w:t>
      </w:r>
      <w:proofErr w:type="spellEnd"/>
      <w:r w:rsidRPr="001962F9">
        <w:rPr>
          <w:color w:val="000000" w:themeColor="text1"/>
          <w:lang w:eastAsia="zh-CN"/>
        </w:rPr>
        <w:t xml:space="preserve">, E. (2015). </w:t>
      </w:r>
      <w:r w:rsidRPr="0040294D">
        <w:rPr>
          <w:color w:val="000000" w:themeColor="text1"/>
          <w:lang w:val="en-GB" w:eastAsia="zh-CN"/>
        </w:rPr>
        <w:t xml:space="preserve">‘Too big to learn: The effects of major acquisition failures on subsequent acquisition divestment’, </w:t>
      </w:r>
      <w:r w:rsidRPr="0040294D">
        <w:rPr>
          <w:i/>
          <w:color w:val="000000" w:themeColor="text1"/>
          <w:lang w:val="en-GB" w:eastAsia="zh-CN"/>
        </w:rPr>
        <w:t>British Journal of Management</w:t>
      </w:r>
      <w:r w:rsidRPr="0040294D">
        <w:rPr>
          <w:color w:val="000000" w:themeColor="text1"/>
          <w:lang w:val="en-GB" w:eastAsia="zh-CN"/>
        </w:rPr>
        <w:t>,</w:t>
      </w:r>
      <w:r>
        <w:rPr>
          <w:color w:val="000000" w:themeColor="text1"/>
          <w:lang w:val="en-GB" w:eastAsia="zh-CN"/>
        </w:rPr>
        <w:t> </w:t>
      </w:r>
      <w:r w:rsidRPr="0040294D">
        <w:rPr>
          <w:b/>
          <w:bCs/>
          <w:iCs/>
          <w:color w:val="000000" w:themeColor="text1"/>
          <w:lang w:val="en-GB" w:eastAsia="zh-CN"/>
        </w:rPr>
        <w:t>26</w:t>
      </w:r>
      <w:r w:rsidRPr="0040294D">
        <w:rPr>
          <w:color w:val="000000" w:themeColor="text1"/>
          <w:lang w:val="en-GB" w:eastAsia="zh-CN"/>
        </w:rPr>
        <w:t>, pp. 408–423.</w:t>
      </w:r>
    </w:p>
    <w:p w14:paraId="442C44B1" w14:textId="77777777" w:rsidR="002918F3" w:rsidRPr="0040294D" w:rsidRDefault="002918F3" w:rsidP="002918F3">
      <w:pPr>
        <w:spacing w:before="60" w:after="60"/>
        <w:ind w:left="567" w:hanging="567"/>
        <w:jc w:val="both"/>
        <w:rPr>
          <w:color w:val="000000" w:themeColor="text1"/>
          <w:lang w:val="en-GB" w:eastAsia="zh-CN"/>
        </w:rPr>
      </w:pPr>
      <w:proofErr w:type="spellStart"/>
      <w:r w:rsidRPr="0040294D">
        <w:rPr>
          <w:color w:val="000000" w:themeColor="text1"/>
          <w:lang w:val="en-GB" w:eastAsia="zh-CN"/>
        </w:rPr>
        <w:t>Minbaeva</w:t>
      </w:r>
      <w:proofErr w:type="spellEnd"/>
      <w:r w:rsidRPr="0040294D">
        <w:rPr>
          <w:color w:val="000000" w:themeColor="text1"/>
          <w:lang w:val="en-GB" w:eastAsia="zh-CN"/>
        </w:rPr>
        <w:t xml:space="preserve">, D., Pedersen, T., </w:t>
      </w:r>
      <w:proofErr w:type="spellStart"/>
      <w:r w:rsidRPr="0040294D">
        <w:rPr>
          <w:color w:val="000000" w:themeColor="text1"/>
          <w:lang w:val="en-GB" w:eastAsia="zh-CN"/>
        </w:rPr>
        <w:t>Björkman</w:t>
      </w:r>
      <w:proofErr w:type="spellEnd"/>
      <w:r w:rsidRPr="0040294D">
        <w:rPr>
          <w:color w:val="000000" w:themeColor="text1"/>
          <w:lang w:val="en-GB" w:eastAsia="zh-CN"/>
        </w:rPr>
        <w:t xml:space="preserve">, I., Fey, C. F., and Park, H. J. (2014). ‘MNC knowledge transfer, subsidiary absorptive capacity and HRM’, </w:t>
      </w:r>
      <w:r w:rsidRPr="0040294D">
        <w:rPr>
          <w:i/>
          <w:iCs/>
          <w:color w:val="000000" w:themeColor="text1"/>
          <w:lang w:val="en-GB" w:eastAsia="zh-CN"/>
        </w:rPr>
        <w:t>Journal of International Business Studies</w:t>
      </w:r>
      <w:r w:rsidRPr="0040294D">
        <w:rPr>
          <w:color w:val="000000" w:themeColor="text1"/>
          <w:lang w:val="en-GB" w:eastAsia="zh-CN"/>
        </w:rPr>
        <w:t>,</w:t>
      </w:r>
      <w:r>
        <w:rPr>
          <w:color w:val="000000" w:themeColor="text1"/>
          <w:lang w:val="en-GB" w:eastAsia="zh-CN"/>
        </w:rPr>
        <w:t> </w:t>
      </w:r>
      <w:r w:rsidRPr="0040294D">
        <w:rPr>
          <w:b/>
          <w:bCs/>
          <w:color w:val="000000" w:themeColor="text1"/>
          <w:lang w:val="en-GB" w:eastAsia="zh-CN"/>
        </w:rPr>
        <w:t>45</w:t>
      </w:r>
      <w:r w:rsidRPr="0040294D">
        <w:rPr>
          <w:color w:val="000000" w:themeColor="text1"/>
          <w:lang w:val="en-GB" w:eastAsia="zh-CN"/>
        </w:rPr>
        <w:t>, pp. 38–51.</w:t>
      </w:r>
    </w:p>
    <w:p w14:paraId="71541B55"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Mirvis, P. H., and Marks, M. L. (2003). ‘Culture in corporate combinations’. In C. Cooper, and R. Burke (eds.), </w:t>
      </w:r>
      <w:r w:rsidRPr="0040294D">
        <w:rPr>
          <w:i/>
          <w:color w:val="000000" w:themeColor="text1"/>
          <w:lang w:val="en-GB"/>
        </w:rPr>
        <w:t xml:space="preserve">Leading in </w:t>
      </w:r>
      <w:r>
        <w:rPr>
          <w:i/>
          <w:color w:val="000000" w:themeColor="text1"/>
          <w:lang w:val="en-GB"/>
        </w:rPr>
        <w:t>T</w:t>
      </w:r>
      <w:r w:rsidRPr="0040294D">
        <w:rPr>
          <w:i/>
          <w:color w:val="000000" w:themeColor="text1"/>
          <w:lang w:val="en-GB"/>
        </w:rPr>
        <w:t xml:space="preserve">urbulent </w:t>
      </w:r>
      <w:r>
        <w:rPr>
          <w:i/>
          <w:color w:val="000000" w:themeColor="text1"/>
          <w:lang w:val="en-GB"/>
        </w:rPr>
        <w:t>T</w:t>
      </w:r>
      <w:r w:rsidRPr="0040294D">
        <w:rPr>
          <w:i/>
          <w:color w:val="000000" w:themeColor="text1"/>
          <w:lang w:val="en-GB"/>
        </w:rPr>
        <w:t>imes,</w:t>
      </w:r>
      <w:r w:rsidRPr="0040294D">
        <w:rPr>
          <w:color w:val="000000" w:themeColor="text1"/>
          <w:lang w:val="en-GB"/>
        </w:rPr>
        <w:t xml:space="preserve"> pp. 284–301. London, UK: Blackwell.</w:t>
      </w:r>
    </w:p>
    <w:p w14:paraId="42A96E56" w14:textId="77777777" w:rsidR="002918F3" w:rsidRPr="00A60357" w:rsidRDefault="002918F3" w:rsidP="002918F3">
      <w:pPr>
        <w:spacing w:before="60" w:after="60"/>
        <w:ind w:left="567" w:hanging="567"/>
        <w:jc w:val="both"/>
        <w:rPr>
          <w:lang w:val="en-GB"/>
        </w:rPr>
      </w:pPr>
      <w:r w:rsidRPr="0040294D">
        <w:rPr>
          <w:color w:val="000000" w:themeColor="text1"/>
          <w:lang w:val="en-GB"/>
        </w:rPr>
        <w:t xml:space="preserve">Mishina, Y., Pollock, T. G., and </w:t>
      </w:r>
      <w:proofErr w:type="spellStart"/>
      <w:r w:rsidRPr="0040294D">
        <w:rPr>
          <w:color w:val="000000" w:themeColor="text1"/>
          <w:lang w:val="en-GB"/>
        </w:rPr>
        <w:t>Porac</w:t>
      </w:r>
      <w:proofErr w:type="spellEnd"/>
      <w:r w:rsidRPr="0040294D">
        <w:rPr>
          <w:lang w:val="en-GB"/>
        </w:rPr>
        <w:t xml:space="preserve">, J. F. (2004). ‘Are more resources always better for growth? </w:t>
      </w:r>
      <w:r w:rsidRPr="00A60357">
        <w:rPr>
          <w:lang w:val="en-GB"/>
        </w:rPr>
        <w:t xml:space="preserve">Resource stickiness in market and product expansion’. </w:t>
      </w:r>
      <w:r w:rsidRPr="00A60357">
        <w:rPr>
          <w:bCs/>
          <w:i/>
          <w:iCs/>
          <w:lang w:val="en-GB"/>
        </w:rPr>
        <w:t>Strategic Management Journal,</w:t>
      </w:r>
      <w:r>
        <w:rPr>
          <w:b/>
          <w:bCs/>
          <w:i/>
          <w:iCs/>
          <w:lang w:val="en-GB"/>
        </w:rPr>
        <w:t> </w:t>
      </w:r>
      <w:r w:rsidRPr="00A60357">
        <w:rPr>
          <w:b/>
          <w:lang w:val="en-GB"/>
        </w:rPr>
        <w:t>25</w:t>
      </w:r>
      <w:r w:rsidRPr="00A60357">
        <w:rPr>
          <w:lang w:val="en-GB"/>
        </w:rPr>
        <w:t>, pp. 1179–1197.</w:t>
      </w:r>
    </w:p>
    <w:p w14:paraId="78FAA6CA" w14:textId="77777777" w:rsidR="002918F3" w:rsidRPr="006F4C57" w:rsidRDefault="002918F3" w:rsidP="002918F3">
      <w:pPr>
        <w:spacing w:before="60" w:after="60"/>
        <w:ind w:left="567" w:hanging="567"/>
        <w:jc w:val="both"/>
        <w:rPr>
          <w:lang w:val="en-GB"/>
        </w:rPr>
      </w:pPr>
      <w:r w:rsidRPr="006F4C57">
        <w:rPr>
          <w:color w:val="222222"/>
          <w:shd w:val="clear" w:color="auto" w:fill="FFFFFF"/>
          <w:lang w:val="en-US"/>
        </w:rPr>
        <w:t xml:space="preserve">Mishra, S., </w:t>
      </w:r>
      <w:r>
        <w:rPr>
          <w:color w:val="222222"/>
          <w:shd w:val="clear" w:color="auto" w:fill="FFFFFF"/>
          <w:lang w:val="en-US"/>
        </w:rPr>
        <w:t>and</w:t>
      </w:r>
      <w:r w:rsidRPr="006F4C57">
        <w:rPr>
          <w:color w:val="222222"/>
          <w:shd w:val="clear" w:color="auto" w:fill="FFFFFF"/>
          <w:lang w:val="en-US"/>
        </w:rPr>
        <w:t xml:space="preserve"> </w:t>
      </w:r>
      <w:proofErr w:type="spellStart"/>
      <w:r w:rsidRPr="006F4C57">
        <w:rPr>
          <w:color w:val="222222"/>
          <w:shd w:val="clear" w:color="auto" w:fill="FFFFFF"/>
          <w:lang w:val="en-US"/>
        </w:rPr>
        <w:t>Suar</w:t>
      </w:r>
      <w:proofErr w:type="spellEnd"/>
      <w:r w:rsidRPr="006F4C57">
        <w:rPr>
          <w:color w:val="222222"/>
          <w:shd w:val="clear" w:color="auto" w:fill="FFFFFF"/>
          <w:lang w:val="en-US"/>
        </w:rPr>
        <w:t xml:space="preserve">, D. (2010). </w:t>
      </w:r>
      <w:r>
        <w:rPr>
          <w:color w:val="222222"/>
          <w:shd w:val="clear" w:color="auto" w:fill="FFFFFF"/>
          <w:lang w:val="en-US"/>
        </w:rPr>
        <w:t>‘</w:t>
      </w:r>
      <w:r w:rsidRPr="006F4C57">
        <w:rPr>
          <w:color w:val="222222"/>
          <w:shd w:val="clear" w:color="auto" w:fill="FFFFFF"/>
          <w:lang w:val="en-US"/>
        </w:rPr>
        <w:t>Does corporate social responsibility influence firm performance of Indian companies?</w:t>
      </w:r>
      <w:r>
        <w:rPr>
          <w:color w:val="222222"/>
          <w:shd w:val="clear" w:color="auto" w:fill="FFFFFF"/>
          <w:lang w:val="en-US"/>
        </w:rPr>
        <w:t xml:space="preserve"> </w:t>
      </w:r>
      <w:r w:rsidRPr="006F4C57">
        <w:rPr>
          <w:i/>
          <w:iCs/>
          <w:color w:val="222222"/>
          <w:lang w:val="en-US"/>
        </w:rPr>
        <w:t>Journal of business ethics</w:t>
      </w:r>
      <w:r w:rsidRPr="006F4C57">
        <w:rPr>
          <w:color w:val="222222"/>
          <w:shd w:val="clear" w:color="auto" w:fill="FFFFFF"/>
          <w:lang w:val="en-US"/>
        </w:rPr>
        <w:t>,</w:t>
      </w:r>
      <w:r w:rsidRPr="006F4C57">
        <w:rPr>
          <w:rStyle w:val="apple-converted-space"/>
          <w:rFonts w:eastAsia="SimSun"/>
          <w:color w:val="222222"/>
          <w:shd w:val="clear" w:color="auto" w:fill="FFFFFF"/>
          <w:lang w:val="en-US"/>
        </w:rPr>
        <w:t> </w:t>
      </w:r>
      <w:r w:rsidRPr="006F4C57">
        <w:rPr>
          <w:b/>
          <w:iCs/>
          <w:color w:val="222222"/>
          <w:lang w:val="en-US"/>
        </w:rPr>
        <w:t>95</w:t>
      </w:r>
      <w:r w:rsidRPr="006F4C57">
        <w:rPr>
          <w:color w:val="222222"/>
          <w:shd w:val="clear" w:color="auto" w:fill="FFFFFF"/>
          <w:lang w:val="en-US"/>
        </w:rPr>
        <w:t xml:space="preserve">, </w:t>
      </w:r>
      <w:r>
        <w:rPr>
          <w:color w:val="222222"/>
          <w:shd w:val="clear" w:color="auto" w:fill="FFFFFF"/>
          <w:lang w:val="en-US"/>
        </w:rPr>
        <w:t xml:space="preserve">pp. </w:t>
      </w:r>
      <w:r w:rsidRPr="006F4C57">
        <w:rPr>
          <w:color w:val="222222"/>
          <w:shd w:val="clear" w:color="auto" w:fill="FFFFFF"/>
          <w:lang w:val="en-US"/>
        </w:rPr>
        <w:t>571</w:t>
      </w:r>
      <w:r w:rsidRPr="00A60357">
        <w:rPr>
          <w:lang w:val="en-GB"/>
        </w:rPr>
        <w:t>–</w:t>
      </w:r>
      <w:r w:rsidRPr="006F4C57">
        <w:rPr>
          <w:color w:val="222222"/>
          <w:shd w:val="clear" w:color="auto" w:fill="FFFFFF"/>
          <w:lang w:val="en-US"/>
        </w:rPr>
        <w:t>601.</w:t>
      </w:r>
    </w:p>
    <w:p w14:paraId="42DD9383" w14:textId="77777777" w:rsidR="002918F3" w:rsidRPr="00A60357" w:rsidRDefault="002918F3" w:rsidP="002918F3">
      <w:pPr>
        <w:spacing w:before="60" w:after="60"/>
        <w:ind w:left="567" w:hanging="567"/>
        <w:jc w:val="both"/>
        <w:rPr>
          <w:color w:val="000000" w:themeColor="text1"/>
          <w:lang w:val="en-GB" w:eastAsia="fr-FR"/>
        </w:rPr>
      </w:pPr>
      <w:r w:rsidRPr="00A60357">
        <w:rPr>
          <w:color w:val="000000" w:themeColor="text1"/>
          <w:lang w:val="en-GB" w:eastAsia="fr-FR"/>
        </w:rPr>
        <w:t xml:space="preserve">Morrison E.W., and Robinson S.L. (1997). ‘When employees feel betrayed: A model of how psychological contract violation develops’, </w:t>
      </w:r>
      <w:r w:rsidRPr="00A60357">
        <w:rPr>
          <w:i/>
          <w:color w:val="000000" w:themeColor="text1"/>
          <w:lang w:val="en-GB" w:eastAsia="fr-FR"/>
        </w:rPr>
        <w:t>Academy of Management Review</w:t>
      </w:r>
      <w:r w:rsidRPr="00A60357">
        <w:rPr>
          <w:color w:val="000000" w:themeColor="text1"/>
          <w:lang w:val="en-GB" w:eastAsia="fr-FR"/>
        </w:rPr>
        <w:t>,</w:t>
      </w:r>
      <w:r>
        <w:rPr>
          <w:color w:val="000000" w:themeColor="text1"/>
          <w:lang w:val="en-GB" w:eastAsia="fr-FR"/>
        </w:rPr>
        <w:t> </w:t>
      </w:r>
      <w:r w:rsidRPr="00A60357">
        <w:rPr>
          <w:b/>
          <w:bCs/>
          <w:iCs/>
          <w:color w:val="000000" w:themeColor="text1"/>
          <w:lang w:val="en-GB" w:eastAsia="fr-FR"/>
        </w:rPr>
        <w:t>22</w:t>
      </w:r>
      <w:r w:rsidRPr="00A60357">
        <w:rPr>
          <w:color w:val="000000" w:themeColor="text1"/>
          <w:lang w:val="en-GB" w:eastAsia="fr-FR"/>
        </w:rPr>
        <w:t xml:space="preserve">, </w:t>
      </w:r>
      <w:r w:rsidRPr="00A60357">
        <w:rPr>
          <w:color w:val="000000" w:themeColor="text1"/>
          <w:lang w:val="en-GB" w:eastAsia="zh-CN"/>
        </w:rPr>
        <w:t xml:space="preserve">pp. </w:t>
      </w:r>
      <w:r w:rsidRPr="00A60357">
        <w:rPr>
          <w:color w:val="000000" w:themeColor="text1"/>
          <w:lang w:val="en-GB" w:eastAsia="fr-FR"/>
        </w:rPr>
        <w:t>226–256.</w:t>
      </w:r>
    </w:p>
    <w:p w14:paraId="4970D371" w14:textId="77777777" w:rsidR="002918F3" w:rsidRPr="0040294D" w:rsidRDefault="002918F3" w:rsidP="002918F3">
      <w:pPr>
        <w:spacing w:before="60" w:after="60"/>
        <w:ind w:left="567" w:hanging="567"/>
        <w:jc w:val="both"/>
        <w:rPr>
          <w:color w:val="000000" w:themeColor="text1"/>
          <w:lang w:val="en-GB" w:eastAsia="fr-FR"/>
        </w:rPr>
      </w:pPr>
      <w:r w:rsidRPr="0040294D">
        <w:rPr>
          <w:color w:val="000000" w:themeColor="text1"/>
          <w:lang w:val="en-GB" w:eastAsia="fr-FR"/>
        </w:rPr>
        <w:t xml:space="preserve">Morosini, P., Shane, S., and Singh, H. (1998). ‘National cultural distance and cross-border acquisition performance’ </w:t>
      </w:r>
      <w:r w:rsidRPr="0040294D">
        <w:rPr>
          <w:i/>
          <w:color w:val="000000" w:themeColor="text1"/>
          <w:lang w:val="en-GB" w:eastAsia="fr-FR"/>
        </w:rPr>
        <w:t>Journal of International Business Studies</w:t>
      </w:r>
      <w:r w:rsidRPr="0040294D">
        <w:rPr>
          <w:color w:val="000000" w:themeColor="text1"/>
          <w:lang w:val="en-GB" w:eastAsia="fr-FR"/>
        </w:rPr>
        <w:t>,</w:t>
      </w:r>
      <w:r>
        <w:rPr>
          <w:color w:val="000000" w:themeColor="text1"/>
          <w:lang w:val="en-GB" w:eastAsia="fr-FR"/>
        </w:rPr>
        <w:t> </w:t>
      </w:r>
      <w:r w:rsidRPr="0040294D">
        <w:rPr>
          <w:b/>
          <w:color w:val="000000" w:themeColor="text1"/>
          <w:lang w:val="en-GB" w:eastAsia="fr-FR"/>
        </w:rPr>
        <w:t>29</w:t>
      </w:r>
      <w:r w:rsidRPr="0040294D">
        <w:rPr>
          <w:color w:val="000000" w:themeColor="text1"/>
          <w:lang w:val="en-GB" w:eastAsia="fr-FR"/>
        </w:rPr>
        <w:t xml:space="preserve">, pp. 137–158. </w:t>
      </w:r>
    </w:p>
    <w:p w14:paraId="45B0D11C"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Pablo, A. L. (1994). ‘Determinants of acquisition integration level: A decision-making perspective’, </w:t>
      </w:r>
      <w:r w:rsidRPr="0040294D">
        <w:rPr>
          <w:i/>
          <w:color w:val="000000" w:themeColor="text1"/>
          <w:lang w:val="en-GB"/>
        </w:rPr>
        <w:t>Academy of Management Journal</w:t>
      </w:r>
      <w:r w:rsidRPr="0040294D">
        <w:rPr>
          <w:color w:val="000000" w:themeColor="text1"/>
          <w:lang w:val="en-GB"/>
        </w:rPr>
        <w:t>,</w:t>
      </w:r>
      <w:r>
        <w:rPr>
          <w:color w:val="000000" w:themeColor="text1"/>
          <w:lang w:val="en-GB"/>
        </w:rPr>
        <w:t> </w:t>
      </w:r>
      <w:r w:rsidRPr="0040294D">
        <w:rPr>
          <w:b/>
          <w:bCs/>
          <w:iCs/>
          <w:color w:val="000000" w:themeColor="text1"/>
          <w:lang w:val="en-GB"/>
        </w:rPr>
        <w:t>37</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803–836.</w:t>
      </w:r>
    </w:p>
    <w:p w14:paraId="2B52EF32" w14:textId="77777777" w:rsidR="002918F3" w:rsidRPr="0040294D" w:rsidRDefault="002918F3" w:rsidP="002918F3">
      <w:pPr>
        <w:spacing w:before="60" w:after="60"/>
        <w:ind w:left="567" w:hanging="567"/>
        <w:jc w:val="both"/>
        <w:rPr>
          <w:color w:val="000000" w:themeColor="text1"/>
          <w:lang w:val="en-GB" w:eastAsia="zh-CN"/>
        </w:rPr>
      </w:pPr>
      <w:r w:rsidRPr="0040294D">
        <w:rPr>
          <w:color w:val="000000" w:themeColor="text1"/>
          <w:lang w:val="en-GB" w:eastAsia="zh-CN"/>
        </w:rPr>
        <w:t>Papadakis, V. M., and Thanos, I. C. (2010). ‘Measuring the performance of acquisitions: An empirical investigation using multiple criteria’,</w:t>
      </w:r>
      <w:r>
        <w:rPr>
          <w:color w:val="000000" w:themeColor="text1"/>
          <w:lang w:val="en-GB" w:eastAsia="zh-CN"/>
        </w:rPr>
        <w:t xml:space="preserve"> </w:t>
      </w:r>
      <w:r w:rsidRPr="0040294D">
        <w:rPr>
          <w:i/>
          <w:iCs/>
          <w:color w:val="000000" w:themeColor="text1"/>
          <w:lang w:val="en-GB" w:eastAsia="zh-CN"/>
        </w:rPr>
        <w:t>British Journal of Management</w:t>
      </w:r>
      <w:r w:rsidRPr="0040294D">
        <w:rPr>
          <w:color w:val="000000" w:themeColor="text1"/>
          <w:lang w:val="en-GB" w:eastAsia="zh-CN"/>
        </w:rPr>
        <w:t>, </w:t>
      </w:r>
      <w:r w:rsidRPr="0040294D">
        <w:rPr>
          <w:b/>
          <w:bCs/>
          <w:color w:val="000000" w:themeColor="text1"/>
          <w:lang w:val="en-GB" w:eastAsia="zh-CN"/>
        </w:rPr>
        <w:t>21</w:t>
      </w:r>
      <w:r w:rsidRPr="0040294D">
        <w:rPr>
          <w:color w:val="000000" w:themeColor="text1"/>
          <w:lang w:val="en-GB" w:eastAsia="zh-CN"/>
        </w:rPr>
        <w:t>, pp. 859</w:t>
      </w:r>
      <w:r w:rsidRPr="0040294D">
        <w:rPr>
          <w:color w:val="000000" w:themeColor="text1"/>
          <w:lang w:val="en-GB"/>
        </w:rPr>
        <w:t>–</w:t>
      </w:r>
      <w:r w:rsidRPr="0040294D">
        <w:rPr>
          <w:color w:val="000000" w:themeColor="text1"/>
          <w:lang w:val="en-GB" w:eastAsia="zh-CN"/>
        </w:rPr>
        <w:t>873.</w:t>
      </w:r>
    </w:p>
    <w:p w14:paraId="27AF2AB5" w14:textId="77777777" w:rsidR="002918F3" w:rsidRPr="0040294D" w:rsidRDefault="002918F3" w:rsidP="002918F3">
      <w:pPr>
        <w:spacing w:before="60" w:after="60"/>
        <w:ind w:left="567" w:hanging="567"/>
        <w:jc w:val="both"/>
        <w:rPr>
          <w:color w:val="000000" w:themeColor="text1"/>
          <w:lang w:val="en-GB" w:eastAsia="zh-CN"/>
        </w:rPr>
      </w:pPr>
      <w:r w:rsidRPr="0040294D">
        <w:rPr>
          <w:color w:val="000000" w:themeColor="text1"/>
          <w:lang w:val="en-GB" w:eastAsia="zh-CN"/>
        </w:rPr>
        <w:t xml:space="preserve">Pierce, J. R., and </w:t>
      </w:r>
      <w:proofErr w:type="spellStart"/>
      <w:r w:rsidRPr="0040294D">
        <w:rPr>
          <w:color w:val="000000" w:themeColor="text1"/>
          <w:lang w:val="en-GB" w:eastAsia="zh-CN"/>
        </w:rPr>
        <w:t>Aguinis</w:t>
      </w:r>
      <w:proofErr w:type="spellEnd"/>
      <w:r w:rsidRPr="0040294D">
        <w:rPr>
          <w:color w:val="000000" w:themeColor="text1"/>
          <w:lang w:val="en-GB" w:eastAsia="zh-CN"/>
        </w:rPr>
        <w:t xml:space="preserve">, H. (2013). ‘The too-much-of-a-good-thing effect in management’, </w:t>
      </w:r>
      <w:r w:rsidRPr="0040294D">
        <w:rPr>
          <w:i/>
          <w:iCs/>
          <w:color w:val="000000" w:themeColor="text1"/>
          <w:lang w:val="en-GB" w:eastAsia="zh-CN"/>
        </w:rPr>
        <w:t>Journal of Management</w:t>
      </w:r>
      <w:r w:rsidRPr="0040294D">
        <w:rPr>
          <w:color w:val="000000" w:themeColor="text1"/>
          <w:lang w:val="en-GB" w:eastAsia="zh-CN"/>
        </w:rPr>
        <w:t>,</w:t>
      </w:r>
      <w:r>
        <w:rPr>
          <w:b/>
          <w:i/>
          <w:color w:val="000000" w:themeColor="text1"/>
          <w:lang w:val="en-GB" w:eastAsia="zh-CN"/>
        </w:rPr>
        <w:t> </w:t>
      </w:r>
      <w:r w:rsidRPr="0040294D">
        <w:rPr>
          <w:b/>
          <w:bCs/>
          <w:iCs/>
          <w:color w:val="000000" w:themeColor="text1"/>
          <w:lang w:val="en-GB" w:eastAsia="zh-CN"/>
        </w:rPr>
        <w:t>39</w:t>
      </w:r>
      <w:r w:rsidRPr="0040294D">
        <w:rPr>
          <w:color w:val="000000" w:themeColor="text1"/>
          <w:lang w:val="en-GB" w:eastAsia="zh-CN"/>
        </w:rPr>
        <w:t>, pp. 313–338.</w:t>
      </w:r>
    </w:p>
    <w:p w14:paraId="0606178E" w14:textId="77777777" w:rsidR="002918F3" w:rsidRPr="0040294D" w:rsidRDefault="002918F3" w:rsidP="002918F3">
      <w:pPr>
        <w:spacing w:before="60" w:after="60"/>
        <w:ind w:left="567" w:hanging="567"/>
        <w:jc w:val="both"/>
        <w:rPr>
          <w:color w:val="000000" w:themeColor="text1"/>
          <w:shd w:val="clear" w:color="auto" w:fill="FFFFFF"/>
          <w:lang w:val="en-GB"/>
        </w:rPr>
      </w:pPr>
      <w:proofErr w:type="spellStart"/>
      <w:r w:rsidRPr="0040294D">
        <w:rPr>
          <w:color w:val="000000" w:themeColor="text1"/>
          <w:shd w:val="clear" w:color="auto" w:fill="FFFFFF"/>
          <w:lang w:val="en-GB"/>
        </w:rPr>
        <w:t>Popli</w:t>
      </w:r>
      <w:proofErr w:type="spellEnd"/>
      <w:r w:rsidRPr="0040294D">
        <w:rPr>
          <w:color w:val="000000" w:themeColor="text1"/>
          <w:shd w:val="clear" w:color="auto" w:fill="FFFFFF"/>
          <w:lang w:val="en-GB"/>
        </w:rPr>
        <w:t xml:space="preserve">, M., Akbar, M., Kumar, V., and Gaur, A. (2016). ‘Reconceptualizing cultural distance: The role of cultural experience reserve in cross-border acquisitions’, </w:t>
      </w:r>
      <w:r w:rsidRPr="0040294D">
        <w:rPr>
          <w:i/>
          <w:color w:val="000000" w:themeColor="text1"/>
          <w:shd w:val="clear" w:color="auto" w:fill="FFFFFF"/>
          <w:lang w:val="en-GB"/>
        </w:rPr>
        <w:t>Journal of World Business</w:t>
      </w:r>
      <w:r w:rsidRPr="0040294D">
        <w:rPr>
          <w:color w:val="000000" w:themeColor="text1"/>
          <w:shd w:val="clear" w:color="auto" w:fill="FFFFFF"/>
          <w:lang w:val="en-GB"/>
        </w:rPr>
        <w:t>,</w:t>
      </w:r>
      <w:r>
        <w:rPr>
          <w:color w:val="000000" w:themeColor="text1"/>
          <w:shd w:val="clear" w:color="auto" w:fill="FFFFFF"/>
          <w:lang w:val="en-GB"/>
        </w:rPr>
        <w:t> </w:t>
      </w:r>
      <w:r w:rsidRPr="0040294D">
        <w:rPr>
          <w:b/>
          <w:bCs/>
          <w:iCs/>
          <w:color w:val="000000" w:themeColor="text1"/>
          <w:shd w:val="clear" w:color="auto" w:fill="FFFFFF"/>
          <w:lang w:val="en-GB"/>
        </w:rPr>
        <w:t>51</w:t>
      </w:r>
      <w:r w:rsidRPr="0040294D">
        <w:rPr>
          <w:color w:val="000000" w:themeColor="text1"/>
          <w:shd w:val="clear" w:color="auto" w:fill="FFFFFF"/>
          <w:lang w:val="en-GB"/>
        </w:rPr>
        <w:t xml:space="preserve">, </w:t>
      </w:r>
      <w:r w:rsidRPr="0040294D">
        <w:rPr>
          <w:color w:val="000000" w:themeColor="text1"/>
          <w:lang w:val="en-GB" w:eastAsia="zh-CN"/>
        </w:rPr>
        <w:t xml:space="preserve">pp. </w:t>
      </w:r>
      <w:r w:rsidRPr="0040294D">
        <w:rPr>
          <w:color w:val="000000" w:themeColor="text1"/>
          <w:shd w:val="clear" w:color="auto" w:fill="FFFFFF"/>
          <w:lang w:val="en-GB"/>
        </w:rPr>
        <w:t>404–412.</w:t>
      </w:r>
    </w:p>
    <w:p w14:paraId="32C26619" w14:textId="77777777" w:rsidR="002918F3" w:rsidRPr="0040294D" w:rsidRDefault="002918F3" w:rsidP="002918F3">
      <w:pPr>
        <w:spacing w:before="60" w:after="60"/>
        <w:ind w:left="567" w:hanging="567"/>
        <w:jc w:val="both"/>
        <w:rPr>
          <w:color w:val="000000" w:themeColor="text1"/>
          <w:shd w:val="clear" w:color="auto" w:fill="FFFFFF"/>
          <w:lang w:val="en-GB"/>
        </w:rPr>
      </w:pPr>
      <w:proofErr w:type="spellStart"/>
      <w:r w:rsidRPr="005D5DA0">
        <w:rPr>
          <w:color w:val="000000" w:themeColor="text1"/>
          <w:shd w:val="clear" w:color="auto" w:fill="FFFFFF"/>
          <w:lang w:val="en-GB"/>
        </w:rPr>
        <w:t>Posthuma</w:t>
      </w:r>
      <w:proofErr w:type="spellEnd"/>
      <w:r w:rsidRPr="005D5DA0">
        <w:rPr>
          <w:color w:val="000000" w:themeColor="text1"/>
          <w:shd w:val="clear" w:color="auto" w:fill="FFFFFF"/>
          <w:lang w:val="en-GB"/>
        </w:rPr>
        <w:t xml:space="preserve">, R. A., Campion, M. C., </w:t>
      </w:r>
      <w:proofErr w:type="spellStart"/>
      <w:r w:rsidRPr="005D5DA0">
        <w:rPr>
          <w:color w:val="000000" w:themeColor="text1"/>
          <w:shd w:val="clear" w:color="auto" w:fill="FFFFFF"/>
          <w:lang w:val="en-GB"/>
        </w:rPr>
        <w:t>Masimova</w:t>
      </w:r>
      <w:proofErr w:type="spellEnd"/>
      <w:r w:rsidRPr="005D5DA0">
        <w:rPr>
          <w:color w:val="000000" w:themeColor="text1"/>
          <w:shd w:val="clear" w:color="auto" w:fill="FFFFFF"/>
          <w:lang w:val="en-GB"/>
        </w:rPr>
        <w:t xml:space="preserve">, M., and Campion, M. A. (2013). </w:t>
      </w:r>
      <w:r w:rsidRPr="0040294D">
        <w:rPr>
          <w:color w:val="000000" w:themeColor="text1"/>
          <w:shd w:val="clear" w:color="auto" w:fill="FFFFFF"/>
          <w:lang w:val="en-GB"/>
        </w:rPr>
        <w:t>‘A high performance work practices taxonomy: Integrating the literature and directing future research’</w:t>
      </w:r>
      <w:r>
        <w:rPr>
          <w:rFonts w:eastAsia="SimSun"/>
          <w:color w:val="000000" w:themeColor="text1"/>
          <w:shd w:val="clear" w:color="auto" w:fill="FFFFFF"/>
          <w:lang w:val="en-GB"/>
        </w:rPr>
        <w:t xml:space="preserve"> </w:t>
      </w:r>
      <w:r w:rsidRPr="0040294D">
        <w:rPr>
          <w:i/>
          <w:color w:val="000000" w:themeColor="text1"/>
          <w:shd w:val="clear" w:color="auto" w:fill="FFFFFF"/>
          <w:lang w:val="en-GB"/>
        </w:rPr>
        <w:t>Journal of Management</w:t>
      </w:r>
      <w:r w:rsidRPr="0040294D">
        <w:rPr>
          <w:color w:val="000000" w:themeColor="text1"/>
          <w:shd w:val="clear" w:color="auto" w:fill="FFFFFF"/>
          <w:lang w:val="en-GB"/>
        </w:rPr>
        <w:t>,</w:t>
      </w:r>
      <w:r w:rsidRPr="0040294D">
        <w:rPr>
          <w:rFonts w:eastAsia="SimSun"/>
          <w:color w:val="000000" w:themeColor="text1"/>
          <w:shd w:val="clear" w:color="auto" w:fill="FFFFFF"/>
          <w:lang w:val="en-GB"/>
        </w:rPr>
        <w:t> </w:t>
      </w:r>
      <w:r w:rsidRPr="0040294D">
        <w:rPr>
          <w:b/>
          <w:color w:val="000000" w:themeColor="text1"/>
          <w:shd w:val="clear" w:color="auto" w:fill="FFFFFF"/>
          <w:lang w:val="en-GB"/>
        </w:rPr>
        <w:t>39</w:t>
      </w:r>
      <w:r>
        <w:rPr>
          <w:color w:val="000000" w:themeColor="text1"/>
          <w:shd w:val="clear" w:color="auto" w:fill="FFFFFF"/>
          <w:lang w:val="en-GB"/>
        </w:rPr>
        <w:t>, pp. 1184</w:t>
      </w:r>
      <w:r w:rsidRPr="0040294D">
        <w:rPr>
          <w:color w:val="000000" w:themeColor="text1"/>
          <w:lang w:val="en-GB" w:eastAsia="fr-FR"/>
        </w:rPr>
        <w:t>–</w:t>
      </w:r>
      <w:r w:rsidRPr="0040294D">
        <w:rPr>
          <w:color w:val="000000" w:themeColor="text1"/>
          <w:shd w:val="clear" w:color="auto" w:fill="FFFFFF"/>
          <w:lang w:val="en-GB"/>
        </w:rPr>
        <w:t>1220.</w:t>
      </w:r>
    </w:p>
    <w:p w14:paraId="66D399CE" w14:textId="77777777" w:rsidR="002918F3" w:rsidRDefault="002918F3" w:rsidP="002918F3">
      <w:pPr>
        <w:spacing w:before="60" w:after="60"/>
        <w:ind w:left="567" w:hanging="567"/>
        <w:jc w:val="both"/>
        <w:rPr>
          <w:shd w:val="clear" w:color="auto" w:fill="FFFFFF"/>
          <w:lang w:val="en-GB"/>
        </w:rPr>
      </w:pPr>
      <w:proofErr w:type="spellStart"/>
      <w:r w:rsidRPr="0040294D">
        <w:rPr>
          <w:shd w:val="clear" w:color="auto" w:fill="FFFFFF"/>
          <w:lang w:val="en-GB"/>
        </w:rPr>
        <w:t>Rabier</w:t>
      </w:r>
      <w:proofErr w:type="spellEnd"/>
      <w:r w:rsidRPr="0040294D">
        <w:rPr>
          <w:shd w:val="clear" w:color="auto" w:fill="FFFFFF"/>
          <w:lang w:val="en-GB"/>
        </w:rPr>
        <w:t xml:space="preserve">, M. R. (2017). ‘Acquisition motives and the distribution of acquisition performance’, </w:t>
      </w:r>
      <w:r w:rsidRPr="0040294D">
        <w:rPr>
          <w:i/>
          <w:shd w:val="clear" w:color="auto" w:fill="FFFFFF"/>
          <w:lang w:val="en-GB"/>
        </w:rPr>
        <w:t>Strategic Management Journal</w:t>
      </w:r>
      <w:r w:rsidRPr="0040294D">
        <w:rPr>
          <w:shd w:val="clear" w:color="auto" w:fill="FFFFFF"/>
          <w:lang w:val="en-GB"/>
        </w:rPr>
        <w:t>,</w:t>
      </w:r>
      <w:r>
        <w:rPr>
          <w:shd w:val="clear" w:color="auto" w:fill="FFFFFF"/>
          <w:lang w:val="en-GB"/>
        </w:rPr>
        <w:t> </w:t>
      </w:r>
      <w:r w:rsidRPr="0040294D">
        <w:rPr>
          <w:b/>
          <w:shd w:val="clear" w:color="auto" w:fill="FFFFFF"/>
          <w:lang w:val="en-GB"/>
        </w:rPr>
        <w:t>38</w:t>
      </w:r>
      <w:r w:rsidRPr="0040294D">
        <w:rPr>
          <w:shd w:val="clear" w:color="auto" w:fill="FFFFFF"/>
          <w:lang w:val="en-GB"/>
        </w:rPr>
        <w:t>, pp. 2666</w:t>
      </w:r>
      <w:r w:rsidRPr="0040294D">
        <w:rPr>
          <w:color w:val="000000" w:themeColor="text1"/>
          <w:shd w:val="clear" w:color="auto" w:fill="FFFFFF"/>
          <w:lang w:val="en-GB"/>
        </w:rPr>
        <w:t>–</w:t>
      </w:r>
      <w:r w:rsidRPr="0040294D">
        <w:rPr>
          <w:shd w:val="clear" w:color="auto" w:fill="FFFFFF"/>
          <w:lang w:val="en-GB"/>
        </w:rPr>
        <w:t>2681.</w:t>
      </w:r>
    </w:p>
    <w:p w14:paraId="5EC07409" w14:textId="77777777" w:rsidR="002918F3" w:rsidRPr="0040294D" w:rsidRDefault="002918F3" w:rsidP="002918F3">
      <w:pPr>
        <w:spacing w:before="60" w:after="60"/>
        <w:ind w:left="567" w:hanging="567"/>
        <w:jc w:val="both"/>
        <w:rPr>
          <w:shd w:val="clear" w:color="auto" w:fill="FFFFFF"/>
          <w:lang w:val="en-GB"/>
        </w:rPr>
      </w:pPr>
      <w:proofErr w:type="spellStart"/>
      <w:r>
        <w:rPr>
          <w:shd w:val="clear" w:color="auto" w:fill="FFFFFF"/>
          <w:lang w:val="en-GB"/>
        </w:rPr>
        <w:t>Reuer</w:t>
      </w:r>
      <w:proofErr w:type="spellEnd"/>
      <w:r>
        <w:rPr>
          <w:shd w:val="clear" w:color="auto" w:fill="FFFFFF"/>
          <w:lang w:val="en-GB"/>
        </w:rPr>
        <w:t xml:space="preserve">, J. J., and </w:t>
      </w:r>
      <w:proofErr w:type="spellStart"/>
      <w:r>
        <w:rPr>
          <w:shd w:val="clear" w:color="auto" w:fill="FFFFFF"/>
          <w:lang w:val="en-GB"/>
        </w:rPr>
        <w:t>Koza</w:t>
      </w:r>
      <w:proofErr w:type="spellEnd"/>
      <w:r>
        <w:rPr>
          <w:shd w:val="clear" w:color="auto" w:fill="FFFFFF"/>
          <w:lang w:val="en-GB"/>
        </w:rPr>
        <w:t xml:space="preserve">, M. P. (2000). Asymmetric information and joint venture performance: Theory and evidence for domestic and international joint ventures’, </w:t>
      </w:r>
      <w:r w:rsidRPr="007524E4">
        <w:rPr>
          <w:i/>
          <w:shd w:val="clear" w:color="auto" w:fill="FFFFFF"/>
          <w:lang w:val="en-GB"/>
        </w:rPr>
        <w:t>Strategic Management Journal</w:t>
      </w:r>
      <w:r>
        <w:rPr>
          <w:shd w:val="clear" w:color="auto" w:fill="FFFFFF"/>
          <w:lang w:val="en-GB"/>
        </w:rPr>
        <w:t>, </w:t>
      </w:r>
      <w:r w:rsidRPr="007524E4">
        <w:rPr>
          <w:b/>
          <w:shd w:val="clear" w:color="auto" w:fill="FFFFFF"/>
          <w:lang w:val="en-GB"/>
        </w:rPr>
        <w:t>21</w:t>
      </w:r>
      <w:r>
        <w:rPr>
          <w:shd w:val="clear" w:color="auto" w:fill="FFFFFF"/>
          <w:lang w:val="en-GB"/>
        </w:rPr>
        <w:t>, pp. 81</w:t>
      </w:r>
      <w:r w:rsidRPr="0040294D">
        <w:rPr>
          <w:color w:val="000000" w:themeColor="text1"/>
          <w:shd w:val="clear" w:color="auto" w:fill="FFFFFF"/>
          <w:lang w:val="en-GB"/>
        </w:rPr>
        <w:t>–</w:t>
      </w:r>
      <w:r>
        <w:rPr>
          <w:shd w:val="clear" w:color="auto" w:fill="FFFFFF"/>
          <w:lang w:val="en-GB"/>
        </w:rPr>
        <w:t>88.</w:t>
      </w:r>
    </w:p>
    <w:p w14:paraId="1830754F" w14:textId="77777777" w:rsidR="002918F3" w:rsidRPr="0040294D" w:rsidRDefault="002918F3" w:rsidP="002918F3">
      <w:pPr>
        <w:spacing w:before="60" w:after="60"/>
        <w:ind w:left="567" w:hanging="567"/>
        <w:jc w:val="both"/>
        <w:rPr>
          <w:rStyle w:val="apple-converted-space"/>
          <w:color w:val="000000" w:themeColor="text1"/>
          <w:shd w:val="clear" w:color="auto" w:fill="FFFFFF"/>
          <w:lang w:val="en-GB"/>
        </w:rPr>
      </w:pPr>
      <w:r w:rsidRPr="0040294D">
        <w:rPr>
          <w:color w:val="000000" w:themeColor="text1"/>
          <w:shd w:val="clear" w:color="auto" w:fill="FFFFFF"/>
          <w:lang w:val="en-GB"/>
        </w:rPr>
        <w:t>Reus, T.</w:t>
      </w:r>
      <w:r>
        <w:rPr>
          <w:color w:val="000000" w:themeColor="text1"/>
          <w:shd w:val="clear" w:color="auto" w:fill="FFFFFF"/>
          <w:lang w:val="en-GB"/>
        </w:rPr>
        <w:t xml:space="preserve"> </w:t>
      </w:r>
      <w:r w:rsidRPr="0040294D">
        <w:rPr>
          <w:color w:val="000000" w:themeColor="text1"/>
          <w:shd w:val="clear" w:color="auto" w:fill="FFFFFF"/>
          <w:lang w:val="en-GB"/>
        </w:rPr>
        <w:t>H. (2012). ‘Culture’s consequences for emotional attending during cross-border acquisition implementation’,</w:t>
      </w:r>
      <w:r>
        <w:rPr>
          <w:rStyle w:val="apple-converted-space"/>
          <w:color w:val="000000" w:themeColor="text1"/>
          <w:shd w:val="clear" w:color="auto" w:fill="FFFFFF"/>
          <w:lang w:val="en-GB"/>
        </w:rPr>
        <w:t xml:space="preserve"> </w:t>
      </w:r>
      <w:r w:rsidRPr="0040294D">
        <w:rPr>
          <w:i/>
          <w:iCs/>
          <w:color w:val="000000" w:themeColor="text1"/>
          <w:shd w:val="clear" w:color="auto" w:fill="FFFFFF"/>
          <w:lang w:val="en-GB"/>
        </w:rPr>
        <w:t>Journal of World Business</w:t>
      </w:r>
      <w:r w:rsidRPr="0040294D">
        <w:rPr>
          <w:iCs/>
          <w:color w:val="000000" w:themeColor="text1"/>
          <w:shd w:val="clear" w:color="auto" w:fill="FFFFFF"/>
          <w:lang w:val="en-GB"/>
        </w:rPr>
        <w:t>,</w:t>
      </w:r>
      <w:r>
        <w:rPr>
          <w:b/>
          <w:i/>
          <w:iCs/>
          <w:color w:val="000000" w:themeColor="text1"/>
          <w:shd w:val="clear" w:color="auto" w:fill="FFFFFF"/>
          <w:lang w:val="en-GB"/>
        </w:rPr>
        <w:t> </w:t>
      </w:r>
      <w:r w:rsidRPr="0040294D">
        <w:rPr>
          <w:b/>
          <w:bCs/>
          <w:color w:val="000000" w:themeColor="text1"/>
          <w:shd w:val="clear" w:color="auto" w:fill="FFFFFF"/>
          <w:lang w:val="en-GB"/>
        </w:rPr>
        <w:t>47</w:t>
      </w:r>
      <w:r w:rsidRPr="0040294D">
        <w:rPr>
          <w:color w:val="000000" w:themeColor="text1"/>
          <w:shd w:val="clear" w:color="auto" w:fill="FFFFFF"/>
          <w:lang w:val="en-GB"/>
        </w:rPr>
        <w:t xml:space="preserve">, </w:t>
      </w:r>
      <w:r w:rsidRPr="0040294D">
        <w:rPr>
          <w:color w:val="000000" w:themeColor="text1"/>
          <w:lang w:val="en-GB" w:eastAsia="zh-CN"/>
        </w:rPr>
        <w:t xml:space="preserve">pp. </w:t>
      </w:r>
      <w:r w:rsidRPr="0040294D">
        <w:rPr>
          <w:color w:val="000000" w:themeColor="text1"/>
          <w:shd w:val="clear" w:color="auto" w:fill="FFFFFF"/>
          <w:lang w:val="en-GB"/>
        </w:rPr>
        <w:t>342–351.</w:t>
      </w:r>
    </w:p>
    <w:p w14:paraId="16110ABA"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lastRenderedPageBreak/>
        <w:t xml:space="preserve">Rhee, M., and Valdez, M. E. (2009). ‘Contextual factors surrounding reputation damage with potential implications for reputation repair’, </w:t>
      </w:r>
      <w:r w:rsidRPr="0040294D">
        <w:rPr>
          <w:i/>
          <w:color w:val="000000" w:themeColor="text1"/>
          <w:lang w:val="en-GB"/>
        </w:rPr>
        <w:t>Academy of Management Review</w:t>
      </w:r>
      <w:r w:rsidRPr="0040294D">
        <w:rPr>
          <w:color w:val="000000" w:themeColor="text1"/>
          <w:lang w:val="en-GB"/>
        </w:rPr>
        <w:t>,</w:t>
      </w:r>
      <w:r>
        <w:rPr>
          <w:color w:val="000000" w:themeColor="text1"/>
          <w:lang w:val="en-GB"/>
        </w:rPr>
        <w:t> </w:t>
      </w:r>
      <w:r w:rsidRPr="0040294D">
        <w:rPr>
          <w:b/>
          <w:bCs/>
          <w:iCs/>
          <w:color w:val="000000" w:themeColor="text1"/>
          <w:lang w:val="en-GB"/>
        </w:rPr>
        <w:t>34</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146–168.</w:t>
      </w:r>
    </w:p>
    <w:p w14:paraId="26D54FCC"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Rosenfeld, J. D. (1984). ‘Additional evidence on the relation between divestiture announcements and shareholder wealth’, </w:t>
      </w:r>
      <w:r w:rsidRPr="0040294D">
        <w:rPr>
          <w:i/>
          <w:iCs/>
          <w:color w:val="000000" w:themeColor="text1"/>
          <w:lang w:val="en-GB"/>
        </w:rPr>
        <w:t>The Journal of Finance</w:t>
      </w:r>
      <w:r w:rsidRPr="0040294D">
        <w:rPr>
          <w:color w:val="000000" w:themeColor="text1"/>
          <w:lang w:val="en-GB"/>
        </w:rPr>
        <w:t>,</w:t>
      </w:r>
      <w:r>
        <w:rPr>
          <w:color w:val="000000" w:themeColor="text1"/>
          <w:lang w:val="en-GB"/>
        </w:rPr>
        <w:t> </w:t>
      </w:r>
      <w:r w:rsidRPr="0040294D">
        <w:rPr>
          <w:b/>
          <w:bCs/>
          <w:color w:val="000000" w:themeColor="text1"/>
          <w:lang w:val="en-GB"/>
        </w:rPr>
        <w:t>39</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1437–1448.</w:t>
      </w:r>
    </w:p>
    <w:p w14:paraId="606310DC" w14:textId="77777777" w:rsidR="002918F3" w:rsidRPr="0040294D" w:rsidRDefault="002918F3" w:rsidP="002918F3">
      <w:pPr>
        <w:spacing w:before="60" w:after="60"/>
        <w:ind w:left="567" w:hanging="567"/>
        <w:jc w:val="both"/>
        <w:rPr>
          <w:rFonts w:eastAsia="MS Mincho"/>
          <w:color w:val="000000" w:themeColor="text1"/>
          <w:lang w:val="en-GB" w:eastAsia="fr-FR"/>
        </w:rPr>
      </w:pPr>
      <w:r w:rsidRPr="0040294D">
        <w:rPr>
          <w:color w:val="000000" w:themeColor="text1"/>
          <w:lang w:val="en-GB" w:eastAsia="fr-FR"/>
        </w:rPr>
        <w:t xml:space="preserve">Rousseau D. M. (1989). ‘Psychological and implied contracts in organization’, </w:t>
      </w:r>
      <w:r w:rsidRPr="0040294D">
        <w:rPr>
          <w:i/>
          <w:color w:val="000000" w:themeColor="text1"/>
          <w:lang w:val="en-GB" w:eastAsia="fr-FR"/>
        </w:rPr>
        <w:t>Employee Responsibilities and Rights Journal</w:t>
      </w:r>
      <w:r w:rsidRPr="0040294D">
        <w:rPr>
          <w:color w:val="000000" w:themeColor="text1"/>
          <w:lang w:val="en-GB" w:eastAsia="fr-FR"/>
        </w:rPr>
        <w:t>,</w:t>
      </w:r>
      <w:r>
        <w:rPr>
          <w:color w:val="000000" w:themeColor="text1"/>
          <w:lang w:val="en-GB" w:eastAsia="fr-FR"/>
        </w:rPr>
        <w:t> </w:t>
      </w:r>
      <w:r w:rsidRPr="0040294D">
        <w:rPr>
          <w:b/>
          <w:bCs/>
          <w:iCs/>
          <w:color w:val="000000" w:themeColor="text1"/>
          <w:lang w:val="en-GB" w:eastAsia="fr-FR"/>
        </w:rPr>
        <w:t>2</w:t>
      </w:r>
      <w:r w:rsidRPr="0040294D">
        <w:rPr>
          <w:color w:val="000000" w:themeColor="text1"/>
          <w:lang w:val="en-GB" w:eastAsia="fr-FR"/>
        </w:rPr>
        <w:t xml:space="preserve">, </w:t>
      </w:r>
      <w:r w:rsidRPr="0040294D">
        <w:rPr>
          <w:color w:val="000000" w:themeColor="text1"/>
          <w:lang w:val="en-GB" w:eastAsia="zh-CN"/>
        </w:rPr>
        <w:t xml:space="preserve">pp. </w:t>
      </w:r>
      <w:r w:rsidRPr="0040294D">
        <w:rPr>
          <w:color w:val="000000" w:themeColor="text1"/>
          <w:lang w:val="en-GB" w:eastAsia="fr-FR"/>
        </w:rPr>
        <w:t>121–139.</w:t>
      </w:r>
    </w:p>
    <w:p w14:paraId="538ABA43"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Sarala, R. M., </w:t>
      </w:r>
      <w:proofErr w:type="spellStart"/>
      <w:r w:rsidRPr="0040294D">
        <w:rPr>
          <w:color w:val="000000" w:themeColor="text1"/>
          <w:lang w:val="en-GB"/>
        </w:rPr>
        <w:t>Junni</w:t>
      </w:r>
      <w:proofErr w:type="spellEnd"/>
      <w:r w:rsidRPr="0040294D">
        <w:rPr>
          <w:color w:val="000000" w:themeColor="text1"/>
          <w:lang w:val="en-GB"/>
        </w:rPr>
        <w:t xml:space="preserve">, P., Cooper, C. L., and </w:t>
      </w:r>
      <w:proofErr w:type="spellStart"/>
      <w:r w:rsidRPr="0040294D">
        <w:rPr>
          <w:color w:val="000000" w:themeColor="text1"/>
          <w:lang w:val="en-GB"/>
        </w:rPr>
        <w:t>Tarba</w:t>
      </w:r>
      <w:proofErr w:type="spellEnd"/>
      <w:r w:rsidRPr="0040294D">
        <w:rPr>
          <w:color w:val="000000" w:themeColor="text1"/>
          <w:lang w:val="en-GB"/>
        </w:rPr>
        <w:t xml:space="preserve">, S. Y. (2016). </w:t>
      </w:r>
      <w:r>
        <w:rPr>
          <w:color w:val="000000" w:themeColor="text1"/>
          <w:lang w:val="en-GB"/>
        </w:rPr>
        <w:t>‘</w:t>
      </w:r>
      <w:r w:rsidRPr="0040294D">
        <w:rPr>
          <w:color w:val="000000" w:themeColor="text1"/>
          <w:lang w:val="en-GB"/>
        </w:rPr>
        <w:t>A sociocultural perspective on knowledge transfer in mergers and acquisitions</w:t>
      </w:r>
      <w:r>
        <w:rPr>
          <w:color w:val="000000" w:themeColor="text1"/>
          <w:lang w:val="en-GB"/>
        </w:rPr>
        <w:t xml:space="preserve">’, </w:t>
      </w:r>
      <w:r w:rsidRPr="0040294D">
        <w:rPr>
          <w:i/>
          <w:iCs/>
          <w:color w:val="000000" w:themeColor="text1"/>
          <w:lang w:val="en-GB"/>
        </w:rPr>
        <w:t>Journal of management</w:t>
      </w:r>
      <w:r w:rsidRPr="0040294D">
        <w:rPr>
          <w:color w:val="000000" w:themeColor="text1"/>
          <w:lang w:val="en-GB"/>
        </w:rPr>
        <w:t>, </w:t>
      </w:r>
      <w:r w:rsidRPr="0040294D">
        <w:rPr>
          <w:b/>
          <w:iCs/>
          <w:color w:val="000000" w:themeColor="text1"/>
          <w:lang w:val="en-GB"/>
        </w:rPr>
        <w:t>42</w:t>
      </w:r>
      <w:r>
        <w:rPr>
          <w:color w:val="000000" w:themeColor="text1"/>
          <w:lang w:val="en-GB"/>
        </w:rPr>
        <w:t>, pp. 1230</w:t>
      </w:r>
      <w:r w:rsidRPr="0040294D">
        <w:rPr>
          <w:color w:val="000000" w:themeColor="text1"/>
          <w:lang w:val="en-GB" w:eastAsia="fr-FR"/>
        </w:rPr>
        <w:t>–</w:t>
      </w:r>
      <w:r w:rsidRPr="0040294D">
        <w:rPr>
          <w:color w:val="000000" w:themeColor="text1"/>
          <w:lang w:val="en-GB"/>
        </w:rPr>
        <w:t>1249.</w:t>
      </w:r>
    </w:p>
    <w:p w14:paraId="0C187D3A" w14:textId="77777777" w:rsidR="002918F3" w:rsidRPr="0040294D" w:rsidRDefault="002918F3" w:rsidP="002918F3">
      <w:pPr>
        <w:spacing w:before="60" w:after="60"/>
        <w:ind w:left="567" w:hanging="567"/>
        <w:jc w:val="both"/>
        <w:rPr>
          <w:color w:val="000000" w:themeColor="text1"/>
          <w:lang w:val="en-GB" w:eastAsia="fr-FR"/>
        </w:rPr>
      </w:pPr>
      <w:r w:rsidRPr="0040294D">
        <w:rPr>
          <w:color w:val="000000" w:themeColor="text1"/>
          <w:lang w:val="en-GB"/>
        </w:rPr>
        <w:t xml:space="preserve">Sarala, R. M., </w:t>
      </w:r>
      <w:proofErr w:type="spellStart"/>
      <w:r w:rsidRPr="0040294D">
        <w:rPr>
          <w:color w:val="000000" w:themeColor="text1"/>
          <w:lang w:val="en-GB"/>
        </w:rPr>
        <w:t>Vaara</w:t>
      </w:r>
      <w:proofErr w:type="spellEnd"/>
      <w:r w:rsidRPr="0040294D">
        <w:rPr>
          <w:color w:val="000000" w:themeColor="text1"/>
          <w:lang w:val="en-GB"/>
        </w:rPr>
        <w:t xml:space="preserve">, E., and </w:t>
      </w:r>
      <w:proofErr w:type="spellStart"/>
      <w:r w:rsidRPr="0040294D">
        <w:rPr>
          <w:color w:val="000000" w:themeColor="text1"/>
          <w:lang w:val="en-GB"/>
        </w:rPr>
        <w:t>Junni</w:t>
      </w:r>
      <w:proofErr w:type="spellEnd"/>
      <w:r w:rsidRPr="0040294D">
        <w:rPr>
          <w:color w:val="000000" w:themeColor="text1"/>
          <w:lang w:val="en-GB"/>
        </w:rPr>
        <w:t>, P. (2019). ‘Beyond merger syndrome and cultural differences: New avenues for research on the</w:t>
      </w:r>
      <w:r>
        <w:rPr>
          <w:color w:val="000000" w:themeColor="text1"/>
          <w:lang w:val="en-GB"/>
        </w:rPr>
        <w:t xml:space="preserve"> ‘</w:t>
      </w:r>
      <w:r w:rsidRPr="0040294D">
        <w:rPr>
          <w:color w:val="000000" w:themeColor="text1"/>
          <w:lang w:val="en-GB"/>
        </w:rPr>
        <w:t>human side</w:t>
      </w:r>
      <w:r>
        <w:rPr>
          <w:color w:val="000000" w:themeColor="text1"/>
          <w:lang w:val="en-GB"/>
        </w:rPr>
        <w:t>’</w:t>
      </w:r>
      <w:r w:rsidRPr="0040294D">
        <w:rPr>
          <w:color w:val="000000" w:themeColor="text1"/>
          <w:lang w:val="en-GB"/>
        </w:rPr>
        <w:t xml:space="preserve"> of global mergers and acquisitions (M&amp;As)’,</w:t>
      </w:r>
      <w:r>
        <w:rPr>
          <w:rStyle w:val="yiv9295061073apple-converted-space"/>
          <w:color w:val="000000" w:themeColor="text1"/>
          <w:lang w:val="en-GB"/>
        </w:rPr>
        <w:t xml:space="preserve"> </w:t>
      </w:r>
      <w:r w:rsidRPr="0040294D">
        <w:rPr>
          <w:i/>
          <w:iCs/>
          <w:color w:val="000000" w:themeColor="text1"/>
          <w:lang w:val="en-GB"/>
        </w:rPr>
        <w:t>Journal of World Business</w:t>
      </w:r>
      <w:r w:rsidRPr="0040294D">
        <w:rPr>
          <w:color w:val="000000" w:themeColor="text1"/>
          <w:lang w:val="en-GB"/>
        </w:rPr>
        <w:t>,</w:t>
      </w:r>
      <w:r>
        <w:rPr>
          <w:color w:val="000000" w:themeColor="text1"/>
          <w:lang w:val="en-GB"/>
        </w:rPr>
        <w:t> </w:t>
      </w:r>
      <w:r w:rsidRPr="0040294D">
        <w:rPr>
          <w:b/>
          <w:color w:val="000000" w:themeColor="text1"/>
          <w:lang w:val="en-GB"/>
        </w:rPr>
        <w:t>54</w:t>
      </w:r>
      <w:r w:rsidRPr="0040294D">
        <w:rPr>
          <w:color w:val="000000" w:themeColor="text1"/>
          <w:lang w:val="en-GB"/>
        </w:rPr>
        <w:t>, pp. 307–321.</w:t>
      </w:r>
    </w:p>
    <w:p w14:paraId="2288C83A"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Saridakis</w:t>
      </w:r>
      <w:proofErr w:type="spellEnd"/>
      <w:r w:rsidRPr="0040294D">
        <w:rPr>
          <w:color w:val="000000" w:themeColor="text1"/>
          <w:lang w:val="en-GB"/>
        </w:rPr>
        <w:t xml:space="preserve">, G., Lai, Y., and Cooper, C. L. (2017). </w:t>
      </w:r>
      <w:r>
        <w:rPr>
          <w:color w:val="000000" w:themeColor="text1"/>
          <w:lang w:val="en-GB"/>
        </w:rPr>
        <w:t>‘</w:t>
      </w:r>
      <w:r w:rsidRPr="0040294D">
        <w:rPr>
          <w:color w:val="000000" w:themeColor="text1"/>
          <w:lang w:val="en-GB"/>
        </w:rPr>
        <w:t>Exploring the relationship between HRM and firm performance: A meta-analysis of longitudinal studies</w:t>
      </w:r>
      <w:r>
        <w:rPr>
          <w:color w:val="000000" w:themeColor="text1"/>
          <w:lang w:val="en-GB"/>
        </w:rPr>
        <w:t xml:space="preserve">’, </w:t>
      </w:r>
      <w:r w:rsidRPr="0040294D">
        <w:rPr>
          <w:i/>
          <w:iCs/>
          <w:color w:val="000000" w:themeColor="text1"/>
          <w:lang w:val="en-GB"/>
        </w:rPr>
        <w:t>Human Resource Management Review</w:t>
      </w:r>
      <w:r w:rsidRPr="0040294D">
        <w:rPr>
          <w:color w:val="000000" w:themeColor="text1"/>
          <w:lang w:val="en-GB"/>
        </w:rPr>
        <w:t>, </w:t>
      </w:r>
      <w:r w:rsidRPr="0040294D">
        <w:rPr>
          <w:b/>
          <w:iCs/>
          <w:color w:val="000000" w:themeColor="text1"/>
          <w:lang w:val="en-GB"/>
        </w:rPr>
        <w:t>27</w:t>
      </w:r>
      <w:r>
        <w:rPr>
          <w:color w:val="000000" w:themeColor="text1"/>
          <w:lang w:val="en-GB"/>
        </w:rPr>
        <w:t>, pp. 87</w:t>
      </w:r>
      <w:r w:rsidRPr="0040294D">
        <w:rPr>
          <w:color w:val="000000" w:themeColor="text1"/>
          <w:lang w:val="en-GB" w:eastAsia="fr-FR"/>
        </w:rPr>
        <w:t>–</w:t>
      </w:r>
      <w:r w:rsidRPr="0040294D">
        <w:rPr>
          <w:color w:val="000000" w:themeColor="text1"/>
          <w:lang w:val="en-GB"/>
        </w:rPr>
        <w:t xml:space="preserve">96. </w:t>
      </w:r>
    </w:p>
    <w:p w14:paraId="74762EB6"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Schuler, R., and Jackson, S. (2001). ‘HR issues and activities in mergers and acquisitions’, </w:t>
      </w:r>
      <w:r w:rsidRPr="0040294D">
        <w:rPr>
          <w:i/>
          <w:color w:val="000000" w:themeColor="text1"/>
          <w:lang w:val="en-GB"/>
        </w:rPr>
        <w:t>European Management Journal</w:t>
      </w:r>
      <w:r w:rsidRPr="0040294D">
        <w:rPr>
          <w:color w:val="000000" w:themeColor="text1"/>
          <w:lang w:val="en-GB"/>
        </w:rPr>
        <w:t>,</w:t>
      </w:r>
      <w:r>
        <w:rPr>
          <w:color w:val="000000" w:themeColor="text1"/>
          <w:lang w:val="en-GB"/>
        </w:rPr>
        <w:t> </w:t>
      </w:r>
      <w:r w:rsidRPr="0040294D">
        <w:rPr>
          <w:b/>
          <w:bCs/>
          <w:iCs/>
          <w:color w:val="000000" w:themeColor="text1"/>
          <w:lang w:val="en-GB"/>
        </w:rPr>
        <w:t>19</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239–253.</w:t>
      </w:r>
    </w:p>
    <w:p w14:paraId="74EAED8E"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Schweiger, D. M., </w:t>
      </w:r>
      <w:proofErr w:type="spellStart"/>
      <w:r w:rsidRPr="0040294D">
        <w:rPr>
          <w:color w:val="000000" w:themeColor="text1"/>
          <w:lang w:val="en-GB"/>
        </w:rPr>
        <w:t>Csiszar</w:t>
      </w:r>
      <w:proofErr w:type="spellEnd"/>
      <w:r w:rsidRPr="0040294D">
        <w:rPr>
          <w:color w:val="000000" w:themeColor="text1"/>
          <w:lang w:val="en-GB"/>
        </w:rPr>
        <w:t xml:space="preserve">, E., and Napier, N. K. (1993). ‘Implementing international mergers and acquisitions’, </w:t>
      </w:r>
      <w:r w:rsidRPr="0040294D">
        <w:rPr>
          <w:i/>
          <w:color w:val="000000" w:themeColor="text1"/>
          <w:lang w:val="en-GB"/>
        </w:rPr>
        <w:t>Human Resource Planning</w:t>
      </w:r>
      <w:r w:rsidRPr="0040294D">
        <w:rPr>
          <w:color w:val="000000" w:themeColor="text1"/>
          <w:lang w:val="en-GB"/>
        </w:rPr>
        <w:t>,</w:t>
      </w:r>
      <w:r>
        <w:rPr>
          <w:color w:val="000000" w:themeColor="text1"/>
          <w:lang w:val="en-GB"/>
        </w:rPr>
        <w:t> </w:t>
      </w:r>
      <w:r w:rsidRPr="0040294D">
        <w:rPr>
          <w:b/>
          <w:bCs/>
          <w:iCs/>
          <w:color w:val="000000" w:themeColor="text1"/>
          <w:lang w:val="en-GB"/>
        </w:rPr>
        <w:t>16</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53–70.</w:t>
      </w:r>
    </w:p>
    <w:p w14:paraId="73A86116"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Simonton, D. K. (1985). ‘Intelligence and personal influence in groups: Four nonlinear models’, </w:t>
      </w:r>
      <w:r w:rsidRPr="0040294D">
        <w:rPr>
          <w:i/>
          <w:iCs/>
          <w:color w:val="000000" w:themeColor="text1"/>
          <w:lang w:val="en-GB"/>
        </w:rPr>
        <w:t>Psychological Review</w:t>
      </w:r>
      <w:r w:rsidRPr="00BA6223">
        <w:rPr>
          <w:iCs/>
          <w:color w:val="000000" w:themeColor="text1"/>
          <w:lang w:val="en-GB"/>
        </w:rPr>
        <w:t>,</w:t>
      </w:r>
      <w:r>
        <w:rPr>
          <w:i/>
          <w:iCs/>
          <w:color w:val="000000" w:themeColor="text1"/>
          <w:lang w:val="en-GB"/>
        </w:rPr>
        <w:t> </w:t>
      </w:r>
      <w:r w:rsidRPr="0040294D">
        <w:rPr>
          <w:b/>
          <w:bCs/>
          <w:color w:val="000000" w:themeColor="text1"/>
          <w:lang w:val="en-GB"/>
        </w:rPr>
        <w:t>92</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532–547.</w:t>
      </w:r>
    </w:p>
    <w:p w14:paraId="1DA1769D"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Shimizu, K. (2007). ‘</w:t>
      </w:r>
      <w:r w:rsidRPr="0040294D">
        <w:rPr>
          <w:lang w:val="en-GB"/>
        </w:rPr>
        <w:t xml:space="preserve">Prospect theory, </w:t>
      </w:r>
      <w:proofErr w:type="spellStart"/>
      <w:r w:rsidRPr="0040294D">
        <w:rPr>
          <w:lang w:val="en-GB"/>
        </w:rPr>
        <w:t>behavioral</w:t>
      </w:r>
      <w:proofErr w:type="spellEnd"/>
      <w:r w:rsidRPr="0040294D">
        <w:rPr>
          <w:lang w:val="en-GB"/>
        </w:rPr>
        <w:t xml:space="preserve"> theory, and threat-rigidity thesis: Combinative effects on organizational divestiture decisions of a formerly acquired unit’, </w:t>
      </w:r>
      <w:r w:rsidRPr="0040294D">
        <w:rPr>
          <w:i/>
          <w:lang w:val="en-GB"/>
        </w:rPr>
        <w:t>Academy of Management Journal</w:t>
      </w:r>
      <w:r w:rsidRPr="0040294D">
        <w:rPr>
          <w:lang w:val="en-GB"/>
        </w:rPr>
        <w:t>,</w:t>
      </w:r>
      <w:r>
        <w:rPr>
          <w:lang w:val="en-GB"/>
        </w:rPr>
        <w:t> </w:t>
      </w:r>
      <w:r w:rsidRPr="0040294D">
        <w:rPr>
          <w:b/>
          <w:lang w:val="en-GB"/>
        </w:rPr>
        <w:t>50</w:t>
      </w:r>
      <w:r w:rsidRPr="0040294D">
        <w:rPr>
          <w:lang w:val="en-GB"/>
        </w:rPr>
        <w:t>, pp. 1495</w:t>
      </w:r>
      <w:r w:rsidRPr="0040294D">
        <w:rPr>
          <w:color w:val="000000" w:themeColor="text1"/>
          <w:lang w:val="en-GB"/>
        </w:rPr>
        <w:t>–</w:t>
      </w:r>
      <w:r w:rsidRPr="0040294D">
        <w:rPr>
          <w:lang w:val="en-GB"/>
        </w:rPr>
        <w:t>1514.</w:t>
      </w:r>
    </w:p>
    <w:p w14:paraId="565034FC"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Shimizu, K., and </w:t>
      </w:r>
      <w:proofErr w:type="spellStart"/>
      <w:r w:rsidRPr="0040294D">
        <w:rPr>
          <w:color w:val="000000" w:themeColor="text1"/>
          <w:lang w:val="en-GB"/>
        </w:rPr>
        <w:t>Hitt</w:t>
      </w:r>
      <w:proofErr w:type="spellEnd"/>
      <w:r w:rsidRPr="0040294D">
        <w:rPr>
          <w:color w:val="000000" w:themeColor="text1"/>
          <w:lang w:val="en-GB"/>
        </w:rPr>
        <w:t xml:space="preserve">, M. A. (2005). ‘What constrains or facilitates divestitures of formerly acquired firms? The effects of organizational inertia’, </w:t>
      </w:r>
      <w:r w:rsidRPr="0040294D">
        <w:rPr>
          <w:i/>
          <w:color w:val="000000" w:themeColor="text1"/>
          <w:lang w:val="en-GB"/>
        </w:rPr>
        <w:t>Journal of Management,</w:t>
      </w:r>
      <w:r>
        <w:rPr>
          <w:color w:val="000000" w:themeColor="text1"/>
          <w:lang w:val="en-GB"/>
        </w:rPr>
        <w:t> </w:t>
      </w:r>
      <w:r w:rsidRPr="0040294D">
        <w:rPr>
          <w:b/>
          <w:color w:val="000000" w:themeColor="text1"/>
          <w:lang w:val="en-GB"/>
        </w:rPr>
        <w:t>31</w:t>
      </w:r>
      <w:r w:rsidRPr="0040294D">
        <w:rPr>
          <w:color w:val="000000" w:themeColor="text1"/>
          <w:lang w:val="en-GB"/>
        </w:rPr>
        <w:t>, pp. 50–72.</w:t>
      </w:r>
    </w:p>
    <w:p w14:paraId="5E0D7A1E"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Shimizu, K., </w:t>
      </w:r>
      <w:proofErr w:type="spellStart"/>
      <w:r w:rsidRPr="0040294D">
        <w:rPr>
          <w:color w:val="000000" w:themeColor="text1"/>
          <w:lang w:val="en-GB"/>
        </w:rPr>
        <w:t>Hitt</w:t>
      </w:r>
      <w:proofErr w:type="spellEnd"/>
      <w:r w:rsidRPr="0040294D">
        <w:rPr>
          <w:color w:val="000000" w:themeColor="text1"/>
          <w:lang w:val="en-GB"/>
        </w:rPr>
        <w:t xml:space="preserve">, M. A., </w:t>
      </w:r>
      <w:proofErr w:type="spellStart"/>
      <w:r w:rsidRPr="0040294D">
        <w:rPr>
          <w:color w:val="000000" w:themeColor="text1"/>
          <w:lang w:val="en-GB"/>
        </w:rPr>
        <w:t>Vaidyanath</w:t>
      </w:r>
      <w:proofErr w:type="spellEnd"/>
      <w:r w:rsidRPr="0040294D">
        <w:rPr>
          <w:color w:val="000000" w:themeColor="text1"/>
          <w:lang w:val="en-GB"/>
        </w:rPr>
        <w:t xml:space="preserve">, D., and Pisano, V. (2004). ‘Theoretical foundations of cross-border mergers and acquisitions: A review of current research and recommendations for the future’, </w:t>
      </w:r>
      <w:r w:rsidRPr="0040294D">
        <w:rPr>
          <w:i/>
          <w:color w:val="000000" w:themeColor="text1"/>
          <w:lang w:val="en-GB"/>
        </w:rPr>
        <w:t>Journal of International Management</w:t>
      </w:r>
      <w:r w:rsidRPr="0040294D">
        <w:rPr>
          <w:color w:val="000000" w:themeColor="text1"/>
          <w:lang w:val="en-GB"/>
        </w:rPr>
        <w:t>,</w:t>
      </w:r>
      <w:r>
        <w:rPr>
          <w:color w:val="000000" w:themeColor="text1"/>
          <w:lang w:val="en-GB"/>
        </w:rPr>
        <w:t> </w:t>
      </w:r>
      <w:r w:rsidRPr="0040294D">
        <w:rPr>
          <w:b/>
          <w:color w:val="000000" w:themeColor="text1"/>
          <w:lang w:val="en-GB"/>
        </w:rPr>
        <w:t>10</w:t>
      </w:r>
      <w:r w:rsidRPr="0040294D">
        <w:rPr>
          <w:color w:val="000000" w:themeColor="text1"/>
          <w:lang w:val="en-GB"/>
        </w:rPr>
        <w:t>, pp. 307–353.</w:t>
      </w:r>
    </w:p>
    <w:p w14:paraId="4612B12E"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222222"/>
          <w:shd w:val="clear" w:color="auto" w:fill="FFFFFF"/>
          <w:lang w:val="en-GB"/>
        </w:rPr>
        <w:t>Slangen</w:t>
      </w:r>
      <w:proofErr w:type="spellEnd"/>
      <w:r w:rsidRPr="0040294D">
        <w:rPr>
          <w:color w:val="222222"/>
          <w:shd w:val="clear" w:color="auto" w:fill="FFFFFF"/>
          <w:lang w:val="en-GB"/>
        </w:rPr>
        <w:t>, A. H. (2006). ‘National cultural distance and initial foreign acquisition performance: The moderating effect of integration’</w:t>
      </w:r>
      <w:r>
        <w:rPr>
          <w:color w:val="222222"/>
          <w:shd w:val="clear" w:color="auto" w:fill="FFFFFF"/>
          <w:lang w:val="en-GB"/>
        </w:rPr>
        <w:t xml:space="preserve">, </w:t>
      </w:r>
      <w:r w:rsidRPr="0040294D">
        <w:rPr>
          <w:i/>
          <w:iCs/>
          <w:color w:val="222222"/>
          <w:lang w:val="en-GB"/>
        </w:rPr>
        <w:t>Journal of World Business</w:t>
      </w:r>
      <w:r w:rsidRPr="0040294D">
        <w:rPr>
          <w:color w:val="222222"/>
          <w:shd w:val="clear" w:color="auto" w:fill="FFFFFF"/>
          <w:lang w:val="en-GB"/>
        </w:rPr>
        <w:t>, </w:t>
      </w:r>
      <w:r w:rsidRPr="0040294D">
        <w:rPr>
          <w:b/>
          <w:iCs/>
          <w:color w:val="222222"/>
          <w:lang w:val="en-GB"/>
        </w:rPr>
        <w:t>41</w:t>
      </w:r>
      <w:r>
        <w:rPr>
          <w:color w:val="222222"/>
          <w:shd w:val="clear" w:color="auto" w:fill="FFFFFF"/>
          <w:lang w:val="en-GB"/>
        </w:rPr>
        <w:t>, pp. 161</w:t>
      </w:r>
      <w:r w:rsidRPr="0040294D">
        <w:rPr>
          <w:color w:val="000000" w:themeColor="text1"/>
          <w:lang w:val="en-GB" w:eastAsia="fr-FR"/>
        </w:rPr>
        <w:t>–</w:t>
      </w:r>
      <w:r w:rsidRPr="0040294D">
        <w:rPr>
          <w:color w:val="222222"/>
          <w:shd w:val="clear" w:color="auto" w:fill="FFFFFF"/>
          <w:lang w:val="en-GB"/>
        </w:rPr>
        <w:t>170.</w:t>
      </w:r>
    </w:p>
    <w:p w14:paraId="56241B35"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shd w:val="clear" w:color="auto" w:fill="FFFFFF"/>
          <w:lang w:val="en-GB"/>
        </w:rPr>
        <w:t>Spoor, J. R., and Chu, M. T. (2017). ‘The role of social identity and communities of practice in mergers and acquisitions’,</w:t>
      </w:r>
      <w:r>
        <w:rPr>
          <w:color w:val="000000" w:themeColor="text1"/>
          <w:lang w:val="en-GB"/>
        </w:rPr>
        <w:t xml:space="preserve"> </w:t>
      </w:r>
      <w:r w:rsidRPr="0040294D">
        <w:rPr>
          <w:i/>
          <w:iCs/>
          <w:color w:val="000000" w:themeColor="text1"/>
          <w:shd w:val="clear" w:color="auto" w:fill="FFFFFF"/>
          <w:lang w:val="en-GB"/>
        </w:rPr>
        <w:t>Group &amp; Organization Management</w:t>
      </w:r>
      <w:r w:rsidRPr="0040294D">
        <w:rPr>
          <w:color w:val="000000" w:themeColor="text1"/>
          <w:shd w:val="clear" w:color="auto" w:fill="FFFFFF"/>
          <w:lang w:val="en-GB"/>
        </w:rPr>
        <w:t>,</w:t>
      </w:r>
      <w:r>
        <w:rPr>
          <w:color w:val="000000" w:themeColor="text1"/>
          <w:shd w:val="clear" w:color="auto" w:fill="FFFFFF"/>
          <w:lang w:val="en-GB"/>
        </w:rPr>
        <w:t> </w:t>
      </w:r>
      <w:r w:rsidRPr="0040294D">
        <w:rPr>
          <w:b/>
          <w:bCs/>
          <w:iCs/>
          <w:color w:val="000000" w:themeColor="text1"/>
          <w:lang w:val="en-GB"/>
        </w:rPr>
        <w:t>43</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623–647.</w:t>
      </w:r>
    </w:p>
    <w:p w14:paraId="4234B6DE" w14:textId="77777777" w:rsidR="002918F3" w:rsidRPr="0040294D" w:rsidRDefault="002918F3" w:rsidP="002918F3">
      <w:pPr>
        <w:spacing w:before="60" w:after="60"/>
        <w:ind w:left="567" w:hanging="567"/>
        <w:jc w:val="both"/>
        <w:rPr>
          <w:color w:val="000000" w:themeColor="text1"/>
          <w:shd w:val="clear" w:color="auto" w:fill="FFFFFF"/>
          <w:lang w:val="en-GB"/>
        </w:rPr>
      </w:pPr>
      <w:r w:rsidRPr="0040294D">
        <w:rPr>
          <w:color w:val="000000" w:themeColor="text1"/>
          <w:shd w:val="clear" w:color="auto" w:fill="FFFFFF"/>
          <w:lang w:val="en-GB"/>
        </w:rPr>
        <w:t xml:space="preserve">Stahl, G. K., Angwin, D. N., Very, P., Gomes, E., Weber, Y., </w:t>
      </w:r>
      <w:proofErr w:type="spellStart"/>
      <w:r w:rsidRPr="0040294D">
        <w:rPr>
          <w:color w:val="000000" w:themeColor="text1"/>
          <w:shd w:val="clear" w:color="auto" w:fill="FFFFFF"/>
          <w:lang w:val="en-GB"/>
        </w:rPr>
        <w:t>Tarba</w:t>
      </w:r>
      <w:proofErr w:type="spellEnd"/>
      <w:r w:rsidRPr="0040294D">
        <w:rPr>
          <w:color w:val="000000" w:themeColor="text1"/>
          <w:shd w:val="clear" w:color="auto" w:fill="FFFFFF"/>
          <w:lang w:val="en-GB"/>
        </w:rPr>
        <w:t>, S. Y., […] and Durand, M. (2013). ‘Sociocultural integration in mergers and acquisitions: Unresolved paradoxes and directions for future research’,</w:t>
      </w:r>
      <w:r>
        <w:rPr>
          <w:rStyle w:val="apple-converted-space"/>
          <w:color w:val="000000" w:themeColor="text1"/>
          <w:shd w:val="clear" w:color="auto" w:fill="FFFFFF"/>
          <w:lang w:val="en-GB"/>
        </w:rPr>
        <w:t xml:space="preserve"> </w:t>
      </w:r>
      <w:r w:rsidRPr="0040294D">
        <w:rPr>
          <w:i/>
          <w:iCs/>
          <w:color w:val="000000" w:themeColor="text1"/>
          <w:lang w:val="en-GB"/>
        </w:rPr>
        <w:t>Thunderbird International Business Review</w:t>
      </w:r>
      <w:r w:rsidRPr="0040294D">
        <w:rPr>
          <w:color w:val="000000" w:themeColor="text1"/>
          <w:shd w:val="clear" w:color="auto" w:fill="FFFFFF"/>
          <w:lang w:val="en-GB"/>
        </w:rPr>
        <w:t>,</w:t>
      </w:r>
      <w:r w:rsidRPr="0040294D">
        <w:rPr>
          <w:rStyle w:val="apple-converted-space"/>
          <w:color w:val="000000" w:themeColor="text1"/>
          <w:shd w:val="clear" w:color="auto" w:fill="FFFFFF"/>
          <w:lang w:val="en-GB"/>
        </w:rPr>
        <w:t> </w:t>
      </w:r>
      <w:r w:rsidRPr="0040294D">
        <w:rPr>
          <w:b/>
          <w:bCs/>
          <w:color w:val="000000" w:themeColor="text1"/>
          <w:lang w:val="en-GB"/>
        </w:rPr>
        <w:t>55</w:t>
      </w:r>
      <w:r w:rsidRPr="0040294D">
        <w:rPr>
          <w:color w:val="000000" w:themeColor="text1"/>
          <w:shd w:val="clear" w:color="auto" w:fill="FFFFFF"/>
          <w:lang w:val="en-GB"/>
        </w:rPr>
        <w:t xml:space="preserve">, </w:t>
      </w:r>
      <w:r w:rsidRPr="0040294D">
        <w:rPr>
          <w:color w:val="000000" w:themeColor="text1"/>
          <w:lang w:val="en-GB" w:eastAsia="zh-CN"/>
        </w:rPr>
        <w:t xml:space="preserve">pp. </w:t>
      </w:r>
      <w:r w:rsidRPr="0040294D">
        <w:rPr>
          <w:color w:val="000000" w:themeColor="text1"/>
          <w:shd w:val="clear" w:color="auto" w:fill="FFFFFF"/>
          <w:lang w:val="en-GB"/>
        </w:rPr>
        <w:t>333</w:t>
      </w:r>
      <w:r w:rsidRPr="0040294D">
        <w:rPr>
          <w:color w:val="000000" w:themeColor="text1"/>
          <w:lang w:val="en-GB"/>
        </w:rPr>
        <w:t>–</w:t>
      </w:r>
      <w:r w:rsidRPr="0040294D">
        <w:rPr>
          <w:color w:val="000000" w:themeColor="text1"/>
          <w:shd w:val="clear" w:color="auto" w:fill="FFFFFF"/>
          <w:lang w:val="en-GB"/>
        </w:rPr>
        <w:t>356.</w:t>
      </w:r>
    </w:p>
    <w:p w14:paraId="006C17BD"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Surroca</w:t>
      </w:r>
      <w:proofErr w:type="spellEnd"/>
      <w:r w:rsidRPr="0040294D">
        <w:rPr>
          <w:color w:val="000000" w:themeColor="text1"/>
          <w:lang w:val="en-GB"/>
        </w:rPr>
        <w:t xml:space="preserve">, J., </w:t>
      </w:r>
      <w:proofErr w:type="spellStart"/>
      <w:r w:rsidRPr="0040294D">
        <w:rPr>
          <w:color w:val="000000" w:themeColor="text1"/>
          <w:lang w:val="en-GB"/>
        </w:rPr>
        <w:t>Tribó</w:t>
      </w:r>
      <w:proofErr w:type="spellEnd"/>
      <w:r w:rsidRPr="0040294D">
        <w:rPr>
          <w:color w:val="000000" w:themeColor="text1"/>
          <w:lang w:val="en-GB"/>
        </w:rPr>
        <w:t xml:space="preserve">, J. A., and Waddock, S. (2010). ‘Corporate responsibility and financial performance: The role of intangible resources’, </w:t>
      </w:r>
      <w:r w:rsidRPr="0040294D">
        <w:rPr>
          <w:i/>
          <w:color w:val="000000" w:themeColor="text1"/>
          <w:lang w:val="en-GB"/>
        </w:rPr>
        <w:t>Strategic Management Journal</w:t>
      </w:r>
      <w:r w:rsidRPr="0040294D">
        <w:rPr>
          <w:color w:val="000000" w:themeColor="text1"/>
          <w:lang w:val="en-GB"/>
        </w:rPr>
        <w:t>,</w:t>
      </w:r>
      <w:r>
        <w:rPr>
          <w:color w:val="000000" w:themeColor="text1"/>
          <w:lang w:val="en-GB"/>
        </w:rPr>
        <w:t> </w:t>
      </w:r>
      <w:r w:rsidRPr="0040294D">
        <w:rPr>
          <w:b/>
          <w:bCs/>
          <w:iCs/>
          <w:color w:val="000000" w:themeColor="text1"/>
          <w:lang w:val="en-GB"/>
        </w:rPr>
        <w:t>31</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463–490.</w:t>
      </w:r>
    </w:p>
    <w:p w14:paraId="4DD74C01" w14:textId="0DEE2E03" w:rsidR="002918F3" w:rsidRPr="0040294D" w:rsidRDefault="002918F3" w:rsidP="002918F3">
      <w:pPr>
        <w:spacing w:before="60" w:after="60"/>
        <w:ind w:left="567" w:hanging="567"/>
        <w:jc w:val="both"/>
        <w:rPr>
          <w:color w:val="000000" w:themeColor="text1"/>
          <w:lang w:val="en-GB"/>
        </w:rPr>
      </w:pPr>
      <w:r w:rsidRPr="0040294D">
        <w:rPr>
          <w:color w:val="222222"/>
          <w:shd w:val="clear" w:color="auto" w:fill="FFFFFF"/>
          <w:lang w:val="en-GB"/>
        </w:rPr>
        <w:lastRenderedPageBreak/>
        <w:t>Tan, J., and Peng, M. W. (2003). ‘Organizational slack and firm performance during economic transitions: Two studies from an emerging economy’</w:t>
      </w:r>
      <w:r>
        <w:rPr>
          <w:color w:val="222222"/>
          <w:shd w:val="clear" w:color="auto" w:fill="FFFFFF"/>
          <w:lang w:val="en-GB"/>
        </w:rPr>
        <w:t xml:space="preserve">, </w:t>
      </w:r>
      <w:r w:rsidRPr="0040294D">
        <w:rPr>
          <w:i/>
          <w:iCs/>
          <w:color w:val="222222"/>
          <w:lang w:val="en-GB"/>
        </w:rPr>
        <w:t>Strategic management journal</w:t>
      </w:r>
      <w:r w:rsidRPr="0040294D">
        <w:rPr>
          <w:color w:val="222222"/>
          <w:shd w:val="clear" w:color="auto" w:fill="FFFFFF"/>
          <w:lang w:val="en-GB"/>
        </w:rPr>
        <w:t>,</w:t>
      </w:r>
      <w:r w:rsidRPr="0040294D">
        <w:rPr>
          <w:rStyle w:val="apple-converted-space"/>
          <w:rFonts w:eastAsia="SimSun"/>
          <w:color w:val="222222"/>
          <w:shd w:val="clear" w:color="auto" w:fill="FFFFFF"/>
          <w:lang w:val="en-GB"/>
        </w:rPr>
        <w:t> </w:t>
      </w:r>
      <w:r w:rsidRPr="0040294D">
        <w:rPr>
          <w:b/>
          <w:iCs/>
          <w:color w:val="222222"/>
          <w:lang w:val="en-GB"/>
        </w:rPr>
        <w:t>24</w:t>
      </w:r>
      <w:r>
        <w:rPr>
          <w:color w:val="222222"/>
          <w:shd w:val="clear" w:color="auto" w:fill="FFFFFF"/>
          <w:lang w:val="en-GB"/>
        </w:rPr>
        <w:t>, pp. 1249</w:t>
      </w:r>
      <w:r w:rsidRPr="0040294D">
        <w:rPr>
          <w:color w:val="000000" w:themeColor="text1"/>
          <w:lang w:val="en-GB" w:eastAsia="fr-FR"/>
        </w:rPr>
        <w:t>–</w:t>
      </w:r>
      <w:r w:rsidRPr="0040294D">
        <w:rPr>
          <w:color w:val="222222"/>
          <w:shd w:val="clear" w:color="auto" w:fill="FFFFFF"/>
          <w:lang w:val="en-GB"/>
        </w:rPr>
        <w:t>1263.</w:t>
      </w:r>
    </w:p>
    <w:p w14:paraId="578BB1DB"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Teerikangas</w:t>
      </w:r>
      <w:proofErr w:type="spellEnd"/>
      <w:r w:rsidRPr="0040294D">
        <w:rPr>
          <w:color w:val="000000" w:themeColor="text1"/>
          <w:lang w:val="en-GB"/>
        </w:rPr>
        <w:t xml:space="preserve">, S. (2012). ‘Dynamics of acquired firm pre-acquisition employee reactions’, </w:t>
      </w:r>
      <w:r w:rsidRPr="0040294D">
        <w:rPr>
          <w:i/>
          <w:color w:val="000000" w:themeColor="text1"/>
          <w:lang w:val="en-GB"/>
        </w:rPr>
        <w:t>Journal of Management</w:t>
      </w:r>
      <w:r w:rsidRPr="0040294D">
        <w:rPr>
          <w:color w:val="000000" w:themeColor="text1"/>
          <w:lang w:val="en-GB"/>
        </w:rPr>
        <w:t>,</w:t>
      </w:r>
      <w:r>
        <w:rPr>
          <w:color w:val="000000" w:themeColor="text1"/>
          <w:lang w:val="en-GB"/>
        </w:rPr>
        <w:t> </w:t>
      </w:r>
      <w:r w:rsidRPr="0040294D">
        <w:rPr>
          <w:b/>
          <w:bCs/>
          <w:iCs/>
          <w:color w:val="000000" w:themeColor="text1"/>
          <w:lang w:val="en-GB"/>
        </w:rPr>
        <w:t>38</w:t>
      </w:r>
      <w:r w:rsidRPr="0040294D">
        <w:rPr>
          <w:color w:val="000000" w:themeColor="text1"/>
          <w:lang w:val="en-GB"/>
        </w:rPr>
        <w:t xml:space="preserve">, </w:t>
      </w:r>
      <w:r w:rsidRPr="0040294D">
        <w:rPr>
          <w:color w:val="000000" w:themeColor="text1"/>
          <w:lang w:val="en-GB" w:eastAsia="zh-CN"/>
        </w:rPr>
        <w:t xml:space="preserve">pp. </w:t>
      </w:r>
      <w:r w:rsidRPr="0040294D">
        <w:rPr>
          <w:color w:val="000000" w:themeColor="text1"/>
          <w:lang w:val="en-GB"/>
        </w:rPr>
        <w:t>599–639.</w:t>
      </w:r>
    </w:p>
    <w:p w14:paraId="25330EA7"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Teerikangas</w:t>
      </w:r>
      <w:proofErr w:type="spellEnd"/>
      <w:r w:rsidRPr="0040294D">
        <w:rPr>
          <w:color w:val="000000" w:themeColor="text1"/>
          <w:lang w:val="en-GB"/>
        </w:rPr>
        <w:t xml:space="preserve">, S., </w:t>
      </w:r>
      <w:proofErr w:type="spellStart"/>
      <w:r w:rsidRPr="0040294D">
        <w:rPr>
          <w:color w:val="000000" w:themeColor="text1"/>
          <w:lang w:val="en-GB"/>
        </w:rPr>
        <w:t>Véry</w:t>
      </w:r>
      <w:proofErr w:type="spellEnd"/>
      <w:r w:rsidRPr="0040294D">
        <w:rPr>
          <w:color w:val="000000" w:themeColor="text1"/>
          <w:lang w:val="en-GB"/>
        </w:rPr>
        <w:t xml:space="preserve">, P., and Pisano, V. (2011). </w:t>
      </w:r>
      <w:r>
        <w:rPr>
          <w:color w:val="000000" w:themeColor="text1"/>
          <w:lang w:val="en-GB"/>
        </w:rPr>
        <w:t>‘</w:t>
      </w:r>
      <w:r w:rsidRPr="0040294D">
        <w:rPr>
          <w:color w:val="000000" w:themeColor="text1"/>
          <w:lang w:val="en-GB"/>
        </w:rPr>
        <w:t>Integration managers</w:t>
      </w:r>
      <w:r>
        <w:rPr>
          <w:color w:val="000000" w:themeColor="text1"/>
          <w:lang w:val="en-GB"/>
        </w:rPr>
        <w:t>’</w:t>
      </w:r>
      <w:r w:rsidRPr="0040294D">
        <w:rPr>
          <w:color w:val="000000" w:themeColor="text1"/>
          <w:lang w:val="en-GB"/>
        </w:rPr>
        <w:t xml:space="preserve"> value</w:t>
      </w:r>
      <w:r w:rsidRPr="0040294D">
        <w:rPr>
          <w:rFonts w:ascii="Cambria Math" w:hAnsi="Cambria Math" w:cs="Cambria Math"/>
          <w:color w:val="000000" w:themeColor="text1"/>
          <w:lang w:val="en-GB"/>
        </w:rPr>
        <w:t>‐</w:t>
      </w:r>
      <w:r w:rsidRPr="0040294D">
        <w:rPr>
          <w:color w:val="000000" w:themeColor="text1"/>
          <w:lang w:val="en-GB"/>
        </w:rPr>
        <w:t>capturing roles and acquisition performance</w:t>
      </w:r>
      <w:r>
        <w:rPr>
          <w:color w:val="000000" w:themeColor="text1"/>
          <w:lang w:val="en-GB"/>
        </w:rPr>
        <w:t>’,</w:t>
      </w:r>
      <w:r w:rsidRPr="0040294D">
        <w:rPr>
          <w:color w:val="000000" w:themeColor="text1"/>
          <w:lang w:val="en-GB"/>
        </w:rPr>
        <w:t> </w:t>
      </w:r>
      <w:r w:rsidRPr="0040294D">
        <w:rPr>
          <w:i/>
          <w:color w:val="000000" w:themeColor="text1"/>
          <w:lang w:val="en-GB"/>
        </w:rPr>
        <w:t>Human Resource Management</w:t>
      </w:r>
      <w:r w:rsidRPr="0040294D">
        <w:rPr>
          <w:color w:val="000000" w:themeColor="text1"/>
          <w:lang w:val="en-GB"/>
        </w:rPr>
        <w:t>, </w:t>
      </w:r>
      <w:r w:rsidRPr="0040294D">
        <w:rPr>
          <w:b/>
          <w:color w:val="000000" w:themeColor="text1"/>
          <w:lang w:val="en-GB"/>
        </w:rPr>
        <w:t>50</w:t>
      </w:r>
      <w:r>
        <w:rPr>
          <w:color w:val="000000" w:themeColor="text1"/>
          <w:lang w:val="en-GB"/>
        </w:rPr>
        <w:t>, pp. 651</w:t>
      </w:r>
      <w:r w:rsidRPr="0040294D">
        <w:rPr>
          <w:color w:val="000000" w:themeColor="text1"/>
          <w:lang w:val="en-GB" w:eastAsia="fr-FR"/>
        </w:rPr>
        <w:t>–</w:t>
      </w:r>
      <w:r w:rsidRPr="0040294D">
        <w:rPr>
          <w:color w:val="000000" w:themeColor="text1"/>
          <w:lang w:val="en-GB"/>
        </w:rPr>
        <w:t>683.</w:t>
      </w:r>
    </w:p>
    <w:p w14:paraId="32C5EC51" w14:textId="77777777" w:rsidR="002918F3" w:rsidRPr="0040294D" w:rsidRDefault="002918F3" w:rsidP="002918F3">
      <w:pPr>
        <w:widowControl w:val="0"/>
        <w:spacing w:before="60" w:after="60"/>
        <w:ind w:left="567" w:hanging="567"/>
        <w:jc w:val="both"/>
        <w:rPr>
          <w:color w:val="000000" w:themeColor="text1"/>
          <w:lang w:val="en-GB"/>
        </w:rPr>
      </w:pPr>
      <w:proofErr w:type="spellStart"/>
      <w:r w:rsidRPr="0040294D">
        <w:rPr>
          <w:color w:val="000000" w:themeColor="text1"/>
          <w:lang w:val="en-GB"/>
        </w:rPr>
        <w:t>Tzabbar</w:t>
      </w:r>
      <w:proofErr w:type="spellEnd"/>
      <w:r w:rsidRPr="0040294D">
        <w:rPr>
          <w:color w:val="000000" w:themeColor="text1"/>
          <w:lang w:val="en-GB"/>
        </w:rPr>
        <w:t xml:space="preserve">, D., </w:t>
      </w:r>
      <w:proofErr w:type="spellStart"/>
      <w:r w:rsidRPr="0040294D">
        <w:rPr>
          <w:color w:val="000000" w:themeColor="text1"/>
          <w:lang w:val="en-GB"/>
        </w:rPr>
        <w:t>Tzafrir</w:t>
      </w:r>
      <w:proofErr w:type="spellEnd"/>
      <w:r w:rsidRPr="0040294D">
        <w:rPr>
          <w:color w:val="000000" w:themeColor="text1"/>
          <w:lang w:val="en-GB"/>
        </w:rPr>
        <w:t>, S., and Baruch, Y. (2017). ‘A bridge over troubled waters: Replication, integration, and extension of the relationship between HRM practices and organizational performance using moderating meta-analysis’,</w:t>
      </w:r>
      <w:r w:rsidRPr="0040294D">
        <w:rPr>
          <w:i/>
          <w:iCs/>
          <w:color w:val="000000" w:themeColor="text1"/>
          <w:lang w:val="en-GB"/>
        </w:rPr>
        <w:t xml:space="preserve"> Human Resource Management Review</w:t>
      </w:r>
      <w:r w:rsidRPr="0040294D">
        <w:rPr>
          <w:color w:val="000000" w:themeColor="text1"/>
          <w:lang w:val="en-GB"/>
        </w:rPr>
        <w:t>,</w:t>
      </w:r>
      <w:r>
        <w:rPr>
          <w:color w:val="000000" w:themeColor="text1"/>
          <w:lang w:val="en-GB"/>
        </w:rPr>
        <w:t> </w:t>
      </w:r>
      <w:r w:rsidRPr="0040294D">
        <w:rPr>
          <w:b/>
          <w:bCs/>
          <w:iCs/>
          <w:color w:val="000000" w:themeColor="text1"/>
          <w:lang w:val="en-GB"/>
        </w:rPr>
        <w:t>27</w:t>
      </w:r>
      <w:r w:rsidRPr="0040294D">
        <w:rPr>
          <w:rFonts w:eastAsia="TimesNewRomanPSMT"/>
          <w:color w:val="000000" w:themeColor="text1"/>
          <w:lang w:val="en-GB"/>
        </w:rPr>
        <w:t>, pp.</w:t>
      </w:r>
      <w:r w:rsidRPr="0040294D">
        <w:rPr>
          <w:color w:val="000000" w:themeColor="text1"/>
          <w:lang w:val="en-GB"/>
        </w:rPr>
        <w:t xml:space="preserve"> 134–148.</w:t>
      </w:r>
    </w:p>
    <w:p w14:paraId="6E07BC7C" w14:textId="77777777" w:rsidR="002918F3" w:rsidRPr="0040294D" w:rsidRDefault="002918F3" w:rsidP="002918F3">
      <w:pPr>
        <w:spacing w:before="60" w:after="60"/>
        <w:ind w:left="567" w:hanging="567"/>
        <w:jc w:val="both"/>
        <w:rPr>
          <w:lang w:val="en-GB"/>
        </w:rPr>
      </w:pPr>
      <w:proofErr w:type="spellStart"/>
      <w:r w:rsidRPr="0040294D">
        <w:rPr>
          <w:lang w:val="en-GB"/>
        </w:rPr>
        <w:t>Vaara</w:t>
      </w:r>
      <w:proofErr w:type="spellEnd"/>
      <w:r w:rsidRPr="0040294D">
        <w:rPr>
          <w:lang w:val="en-GB"/>
        </w:rPr>
        <w:t xml:space="preserve">, E., </w:t>
      </w:r>
      <w:proofErr w:type="spellStart"/>
      <w:r w:rsidRPr="0040294D">
        <w:rPr>
          <w:rStyle w:val="Strong"/>
          <w:b w:val="0"/>
          <w:color w:val="000000" w:themeColor="text1"/>
          <w:bdr w:val="none" w:sz="0" w:space="0" w:color="auto" w:frame="1"/>
          <w:lang w:val="en-GB"/>
        </w:rPr>
        <w:t>Junni</w:t>
      </w:r>
      <w:proofErr w:type="spellEnd"/>
      <w:r w:rsidRPr="0040294D">
        <w:rPr>
          <w:lang w:val="en-GB"/>
        </w:rPr>
        <w:t xml:space="preserve">, P., Sarala, R. M., </w:t>
      </w:r>
      <w:proofErr w:type="spellStart"/>
      <w:r w:rsidRPr="0040294D">
        <w:rPr>
          <w:lang w:val="en-GB"/>
        </w:rPr>
        <w:t>Ehrnrooth</w:t>
      </w:r>
      <w:proofErr w:type="spellEnd"/>
      <w:r w:rsidRPr="0040294D">
        <w:rPr>
          <w:lang w:val="en-GB"/>
        </w:rPr>
        <w:t xml:space="preserve">, M., and </w:t>
      </w:r>
      <w:proofErr w:type="spellStart"/>
      <w:r w:rsidRPr="0040294D">
        <w:rPr>
          <w:lang w:val="en-GB"/>
        </w:rPr>
        <w:t>Koveshnikov</w:t>
      </w:r>
      <w:proofErr w:type="spellEnd"/>
      <w:r w:rsidRPr="0040294D">
        <w:rPr>
          <w:lang w:val="en-GB"/>
        </w:rPr>
        <w:t>, A. (2014). ‘</w:t>
      </w:r>
      <w:r w:rsidRPr="0040294D">
        <w:rPr>
          <w:bCs/>
          <w:bdr w:val="none" w:sz="0" w:space="0" w:color="auto" w:frame="1"/>
          <w:lang w:val="en-GB"/>
        </w:rPr>
        <w:t xml:space="preserve">Attributional tendencies in cultural explanations of M&amp;A performance’, </w:t>
      </w:r>
      <w:r w:rsidRPr="0040294D">
        <w:rPr>
          <w:i/>
          <w:lang w:val="en-GB"/>
        </w:rPr>
        <w:t>Strategic Management Journal</w:t>
      </w:r>
      <w:r w:rsidRPr="0040294D">
        <w:rPr>
          <w:lang w:val="en-GB"/>
        </w:rPr>
        <w:t>,</w:t>
      </w:r>
      <w:r>
        <w:rPr>
          <w:lang w:val="en-GB"/>
        </w:rPr>
        <w:t> </w:t>
      </w:r>
      <w:r w:rsidRPr="0040294D">
        <w:rPr>
          <w:b/>
          <w:bCs/>
          <w:iCs/>
          <w:lang w:val="en-GB"/>
        </w:rPr>
        <w:t>35</w:t>
      </w:r>
      <w:r w:rsidRPr="0040294D">
        <w:rPr>
          <w:rFonts w:eastAsia="TimesNewRomanPSMT"/>
          <w:bCs/>
          <w:lang w:val="en-GB"/>
        </w:rPr>
        <w:t>, pp.</w:t>
      </w:r>
      <w:r w:rsidRPr="0040294D">
        <w:rPr>
          <w:rFonts w:eastAsia="TimesNewRomanPSMT"/>
          <w:lang w:val="en-GB"/>
        </w:rPr>
        <w:t xml:space="preserve"> </w:t>
      </w:r>
      <w:r w:rsidRPr="0040294D">
        <w:rPr>
          <w:lang w:val="en-GB"/>
        </w:rPr>
        <w:t>1302–1317.</w:t>
      </w:r>
    </w:p>
    <w:p w14:paraId="39D6D1D1" w14:textId="77777777" w:rsidR="002918F3" w:rsidRPr="0040294D" w:rsidRDefault="002918F3" w:rsidP="002918F3">
      <w:pPr>
        <w:spacing w:before="60" w:after="60"/>
        <w:ind w:left="567" w:hanging="567"/>
        <w:jc w:val="both"/>
        <w:rPr>
          <w:lang w:val="en-GB"/>
        </w:rPr>
      </w:pPr>
      <w:proofErr w:type="spellStart"/>
      <w:r w:rsidRPr="0040294D">
        <w:rPr>
          <w:color w:val="222222"/>
          <w:shd w:val="clear" w:color="auto" w:fill="FFFFFF"/>
          <w:lang w:val="en-GB"/>
        </w:rPr>
        <w:t>Vanacker</w:t>
      </w:r>
      <w:proofErr w:type="spellEnd"/>
      <w:r w:rsidRPr="0040294D">
        <w:rPr>
          <w:color w:val="222222"/>
          <w:shd w:val="clear" w:color="auto" w:fill="FFFFFF"/>
          <w:lang w:val="en-GB"/>
        </w:rPr>
        <w:t xml:space="preserve">, T., </w:t>
      </w:r>
      <w:proofErr w:type="spellStart"/>
      <w:r w:rsidRPr="0040294D">
        <w:rPr>
          <w:color w:val="222222"/>
          <w:shd w:val="clear" w:color="auto" w:fill="FFFFFF"/>
          <w:lang w:val="en-GB"/>
        </w:rPr>
        <w:t>Collewaert</w:t>
      </w:r>
      <w:proofErr w:type="spellEnd"/>
      <w:r w:rsidRPr="0040294D">
        <w:rPr>
          <w:color w:val="222222"/>
          <w:shd w:val="clear" w:color="auto" w:fill="FFFFFF"/>
          <w:lang w:val="en-GB"/>
        </w:rPr>
        <w:t xml:space="preserve">, V., and </w:t>
      </w:r>
      <w:proofErr w:type="spellStart"/>
      <w:r w:rsidRPr="0040294D">
        <w:rPr>
          <w:color w:val="222222"/>
          <w:shd w:val="clear" w:color="auto" w:fill="FFFFFF"/>
          <w:lang w:val="en-GB"/>
        </w:rPr>
        <w:t>Paeleman</w:t>
      </w:r>
      <w:proofErr w:type="spellEnd"/>
      <w:r w:rsidRPr="0040294D">
        <w:rPr>
          <w:color w:val="222222"/>
          <w:shd w:val="clear" w:color="auto" w:fill="FFFFFF"/>
          <w:lang w:val="en-GB"/>
        </w:rPr>
        <w:t xml:space="preserve">, I. (2013). </w:t>
      </w:r>
      <w:r>
        <w:rPr>
          <w:color w:val="222222"/>
          <w:shd w:val="clear" w:color="auto" w:fill="FFFFFF"/>
          <w:lang w:val="en-GB"/>
        </w:rPr>
        <w:t>‘</w:t>
      </w:r>
      <w:r w:rsidRPr="0040294D">
        <w:rPr>
          <w:color w:val="222222"/>
          <w:shd w:val="clear" w:color="auto" w:fill="FFFFFF"/>
          <w:lang w:val="en-GB"/>
        </w:rPr>
        <w:t>The relationship between slack resources and the performance of entrepreneurial firms: The role of venture capital and angel investors</w:t>
      </w:r>
      <w:r>
        <w:rPr>
          <w:color w:val="222222"/>
          <w:shd w:val="clear" w:color="auto" w:fill="FFFFFF"/>
          <w:lang w:val="en-GB"/>
        </w:rPr>
        <w:t xml:space="preserve">’, </w:t>
      </w:r>
      <w:r w:rsidRPr="0040294D">
        <w:rPr>
          <w:i/>
          <w:iCs/>
          <w:color w:val="222222"/>
          <w:lang w:val="en-GB"/>
        </w:rPr>
        <w:t>Journal of Management Studies</w:t>
      </w:r>
      <w:r w:rsidRPr="0040294D">
        <w:rPr>
          <w:color w:val="222222"/>
          <w:shd w:val="clear" w:color="auto" w:fill="FFFFFF"/>
          <w:lang w:val="en-GB"/>
        </w:rPr>
        <w:t>, </w:t>
      </w:r>
      <w:r w:rsidRPr="0040294D">
        <w:rPr>
          <w:b/>
          <w:iCs/>
          <w:color w:val="222222"/>
          <w:lang w:val="en-GB"/>
        </w:rPr>
        <w:t>50</w:t>
      </w:r>
      <w:r>
        <w:rPr>
          <w:color w:val="222222"/>
          <w:shd w:val="clear" w:color="auto" w:fill="FFFFFF"/>
          <w:lang w:val="en-GB"/>
        </w:rPr>
        <w:t>, pp. 1070</w:t>
      </w:r>
      <w:r w:rsidRPr="0040294D">
        <w:rPr>
          <w:color w:val="000000" w:themeColor="text1"/>
          <w:lang w:val="en-GB" w:eastAsia="fr-FR"/>
        </w:rPr>
        <w:t>–</w:t>
      </w:r>
      <w:r w:rsidRPr="0040294D">
        <w:rPr>
          <w:color w:val="222222"/>
          <w:shd w:val="clear" w:color="auto" w:fill="FFFFFF"/>
          <w:lang w:val="en-GB"/>
        </w:rPr>
        <w:t>1096.</w:t>
      </w:r>
    </w:p>
    <w:p w14:paraId="013C00A4"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Vermeulen, F. (2005). ‘How acquisitions can revitalize companies’, </w:t>
      </w:r>
      <w:r w:rsidRPr="0040294D">
        <w:rPr>
          <w:i/>
          <w:color w:val="000000" w:themeColor="text1"/>
          <w:lang w:val="en-GB"/>
        </w:rPr>
        <w:t>Sloan Management Review</w:t>
      </w:r>
      <w:r w:rsidRPr="0040294D">
        <w:rPr>
          <w:color w:val="000000" w:themeColor="text1"/>
          <w:lang w:val="en-GB"/>
        </w:rPr>
        <w:t>,</w:t>
      </w:r>
      <w:r>
        <w:rPr>
          <w:color w:val="000000" w:themeColor="text1"/>
          <w:lang w:val="en-GB"/>
        </w:rPr>
        <w:t> </w:t>
      </w:r>
      <w:r w:rsidRPr="0040294D">
        <w:rPr>
          <w:b/>
          <w:bCs/>
          <w:iCs/>
          <w:color w:val="000000" w:themeColor="text1"/>
          <w:lang w:val="en-GB"/>
        </w:rPr>
        <w:t>46</w:t>
      </w:r>
      <w:r w:rsidRPr="0040294D">
        <w:rPr>
          <w:rFonts w:eastAsia="TimesNewRomanPSMT"/>
          <w:color w:val="000000" w:themeColor="text1"/>
          <w:lang w:val="en-GB"/>
        </w:rPr>
        <w:t xml:space="preserve">, pp. </w:t>
      </w:r>
      <w:r w:rsidRPr="0040294D">
        <w:rPr>
          <w:color w:val="000000" w:themeColor="text1"/>
          <w:lang w:val="en-GB"/>
        </w:rPr>
        <w:t>44–51.</w:t>
      </w:r>
    </w:p>
    <w:p w14:paraId="75F15284"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Very, P., </w:t>
      </w:r>
      <w:proofErr w:type="spellStart"/>
      <w:r w:rsidRPr="0040294D">
        <w:rPr>
          <w:color w:val="000000" w:themeColor="text1"/>
          <w:lang w:val="en-GB"/>
        </w:rPr>
        <w:t>Lubatkin</w:t>
      </w:r>
      <w:proofErr w:type="spellEnd"/>
      <w:r w:rsidRPr="0040294D">
        <w:rPr>
          <w:color w:val="000000" w:themeColor="text1"/>
          <w:lang w:val="en-GB"/>
        </w:rPr>
        <w:t xml:space="preserve">, M., </w:t>
      </w:r>
      <w:proofErr w:type="spellStart"/>
      <w:r w:rsidRPr="0040294D">
        <w:rPr>
          <w:color w:val="000000" w:themeColor="text1"/>
          <w:lang w:val="en-GB"/>
        </w:rPr>
        <w:t>Calori</w:t>
      </w:r>
      <w:proofErr w:type="spellEnd"/>
      <w:r w:rsidRPr="0040294D">
        <w:rPr>
          <w:color w:val="000000" w:themeColor="text1"/>
          <w:lang w:val="en-GB"/>
        </w:rPr>
        <w:t xml:space="preserve">, R., and </w:t>
      </w:r>
      <w:proofErr w:type="spellStart"/>
      <w:r w:rsidRPr="0040294D">
        <w:rPr>
          <w:color w:val="000000" w:themeColor="text1"/>
          <w:lang w:val="en-GB"/>
        </w:rPr>
        <w:t>Veiga</w:t>
      </w:r>
      <w:proofErr w:type="spellEnd"/>
      <w:r w:rsidRPr="0040294D">
        <w:rPr>
          <w:color w:val="000000" w:themeColor="text1"/>
          <w:lang w:val="en-GB"/>
        </w:rPr>
        <w:t xml:space="preserve">, J. (1997). ‘Relative standing and the performance of recently acquired European firms’, </w:t>
      </w:r>
      <w:r w:rsidRPr="0040294D">
        <w:rPr>
          <w:i/>
          <w:color w:val="000000" w:themeColor="text1"/>
          <w:lang w:val="en-GB"/>
        </w:rPr>
        <w:t>Strategic Management Journal</w:t>
      </w:r>
      <w:r w:rsidRPr="0040294D">
        <w:rPr>
          <w:color w:val="000000" w:themeColor="text1"/>
          <w:lang w:val="en-GB"/>
        </w:rPr>
        <w:t>,</w:t>
      </w:r>
      <w:r>
        <w:rPr>
          <w:color w:val="000000" w:themeColor="text1"/>
          <w:lang w:val="en-GB"/>
        </w:rPr>
        <w:t> </w:t>
      </w:r>
      <w:r w:rsidRPr="0040294D">
        <w:rPr>
          <w:b/>
          <w:bCs/>
          <w:iCs/>
          <w:color w:val="000000" w:themeColor="text1"/>
          <w:lang w:val="en-GB"/>
        </w:rPr>
        <w:t>18</w:t>
      </w:r>
      <w:r w:rsidRPr="0040294D">
        <w:rPr>
          <w:rFonts w:eastAsia="TimesNewRomanPSMT"/>
          <w:color w:val="000000" w:themeColor="text1"/>
          <w:lang w:val="en-GB"/>
        </w:rPr>
        <w:t xml:space="preserve">, pp. </w:t>
      </w:r>
      <w:r w:rsidRPr="0040294D">
        <w:rPr>
          <w:color w:val="000000" w:themeColor="text1"/>
          <w:lang w:val="en-GB"/>
        </w:rPr>
        <w:t>593</w:t>
      </w:r>
      <w:r w:rsidRPr="0040294D">
        <w:rPr>
          <w:b/>
          <w:color w:val="000000" w:themeColor="text1"/>
          <w:lang w:val="en-GB"/>
        </w:rPr>
        <w:t>–</w:t>
      </w:r>
      <w:r w:rsidRPr="0040294D">
        <w:rPr>
          <w:color w:val="000000" w:themeColor="text1"/>
          <w:lang w:val="en-GB"/>
        </w:rPr>
        <w:t>614.</w:t>
      </w:r>
    </w:p>
    <w:p w14:paraId="45F781F9"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Voegtlin</w:t>
      </w:r>
      <w:proofErr w:type="spellEnd"/>
      <w:r w:rsidRPr="0040294D">
        <w:rPr>
          <w:color w:val="000000" w:themeColor="text1"/>
          <w:lang w:val="en-GB"/>
        </w:rPr>
        <w:t xml:space="preserve">, C., and Greenwood, M. (2016). ‘Corporate social responsibility and human resource management: A systematic review and conceptual analysis’, </w:t>
      </w:r>
      <w:r w:rsidRPr="0040294D">
        <w:rPr>
          <w:i/>
          <w:color w:val="000000" w:themeColor="text1"/>
          <w:lang w:val="en-GB"/>
        </w:rPr>
        <w:t>Human Resource Management Review</w:t>
      </w:r>
      <w:r w:rsidRPr="0040294D">
        <w:rPr>
          <w:color w:val="000000" w:themeColor="text1"/>
          <w:lang w:val="en-GB"/>
        </w:rPr>
        <w:t>,</w:t>
      </w:r>
      <w:r>
        <w:rPr>
          <w:color w:val="000000" w:themeColor="text1"/>
          <w:lang w:val="en-GB"/>
        </w:rPr>
        <w:t> </w:t>
      </w:r>
      <w:r w:rsidRPr="0040294D">
        <w:rPr>
          <w:b/>
          <w:bCs/>
          <w:iCs/>
          <w:color w:val="000000" w:themeColor="text1"/>
          <w:lang w:val="en-GB"/>
        </w:rPr>
        <w:t>26</w:t>
      </w:r>
      <w:r w:rsidRPr="0040294D">
        <w:rPr>
          <w:rFonts w:eastAsia="TimesNewRomanPSMT"/>
          <w:color w:val="000000" w:themeColor="text1"/>
          <w:lang w:val="en-GB"/>
        </w:rPr>
        <w:t xml:space="preserve">, pp. </w:t>
      </w:r>
      <w:r w:rsidRPr="0040294D">
        <w:rPr>
          <w:color w:val="000000" w:themeColor="text1"/>
          <w:lang w:val="en-GB"/>
        </w:rPr>
        <w:t>181</w:t>
      </w:r>
      <w:r w:rsidRPr="0040294D">
        <w:rPr>
          <w:b/>
          <w:color w:val="000000" w:themeColor="text1"/>
          <w:lang w:val="en-GB"/>
        </w:rPr>
        <w:t>–</w:t>
      </w:r>
      <w:r w:rsidRPr="0040294D">
        <w:rPr>
          <w:color w:val="000000" w:themeColor="text1"/>
          <w:lang w:val="en-GB"/>
        </w:rPr>
        <w:t>197.</w:t>
      </w:r>
    </w:p>
    <w:p w14:paraId="434201C0"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Weber, Y., and </w:t>
      </w:r>
      <w:proofErr w:type="spellStart"/>
      <w:r w:rsidRPr="0040294D">
        <w:rPr>
          <w:color w:val="000000" w:themeColor="text1"/>
          <w:lang w:val="en-GB"/>
        </w:rPr>
        <w:t>Tarba</w:t>
      </w:r>
      <w:proofErr w:type="spellEnd"/>
      <w:r w:rsidRPr="0040294D">
        <w:rPr>
          <w:color w:val="000000" w:themeColor="text1"/>
          <w:lang w:val="en-GB"/>
        </w:rPr>
        <w:t xml:space="preserve">, S. Y. (2010). ‘Human resource practices and performance of M&amp;A in Israel’, </w:t>
      </w:r>
      <w:r w:rsidRPr="0040294D">
        <w:rPr>
          <w:i/>
          <w:color w:val="000000" w:themeColor="text1"/>
          <w:lang w:val="en-GB"/>
        </w:rPr>
        <w:t>Human Resource Management Review</w:t>
      </w:r>
      <w:r w:rsidRPr="0040294D">
        <w:rPr>
          <w:color w:val="000000" w:themeColor="text1"/>
          <w:lang w:val="en-GB"/>
        </w:rPr>
        <w:t>,</w:t>
      </w:r>
      <w:r>
        <w:rPr>
          <w:color w:val="000000" w:themeColor="text1"/>
          <w:lang w:val="en-GB"/>
        </w:rPr>
        <w:t> </w:t>
      </w:r>
      <w:r w:rsidRPr="0040294D">
        <w:rPr>
          <w:b/>
          <w:bCs/>
          <w:iCs/>
          <w:color w:val="000000" w:themeColor="text1"/>
          <w:lang w:val="en-GB"/>
        </w:rPr>
        <w:t>20</w:t>
      </w:r>
      <w:r w:rsidRPr="0040294D">
        <w:rPr>
          <w:rFonts w:eastAsia="TimesNewRomanPSMT"/>
          <w:color w:val="000000" w:themeColor="text1"/>
          <w:lang w:val="en-GB"/>
        </w:rPr>
        <w:t xml:space="preserve">, pp. </w:t>
      </w:r>
      <w:r w:rsidRPr="0040294D">
        <w:rPr>
          <w:color w:val="000000" w:themeColor="text1"/>
          <w:lang w:val="en-GB"/>
        </w:rPr>
        <w:t>203</w:t>
      </w:r>
      <w:r w:rsidRPr="0040294D">
        <w:rPr>
          <w:b/>
          <w:color w:val="000000" w:themeColor="text1"/>
          <w:lang w:val="en-GB"/>
        </w:rPr>
        <w:t>–</w:t>
      </w:r>
      <w:r w:rsidRPr="0040294D">
        <w:rPr>
          <w:color w:val="000000" w:themeColor="text1"/>
          <w:lang w:val="en-GB"/>
        </w:rPr>
        <w:t>211.</w:t>
      </w:r>
    </w:p>
    <w:p w14:paraId="564A09DA" w14:textId="77777777" w:rsidR="002918F3" w:rsidRPr="0040294D" w:rsidRDefault="002918F3" w:rsidP="002918F3">
      <w:pPr>
        <w:spacing w:before="60" w:after="60"/>
        <w:ind w:left="567" w:hanging="567"/>
        <w:jc w:val="both"/>
        <w:rPr>
          <w:color w:val="000000" w:themeColor="text1"/>
          <w:lang w:val="en-GB"/>
        </w:rPr>
      </w:pPr>
      <w:r w:rsidRPr="0040294D">
        <w:rPr>
          <w:color w:val="000000" w:themeColor="text1"/>
          <w:lang w:val="en-GB"/>
        </w:rPr>
        <w:t xml:space="preserve">Weber, Y., </w:t>
      </w:r>
      <w:proofErr w:type="spellStart"/>
      <w:r w:rsidRPr="0040294D">
        <w:rPr>
          <w:color w:val="000000" w:themeColor="text1"/>
          <w:lang w:val="en-GB"/>
        </w:rPr>
        <w:t>Rachman</w:t>
      </w:r>
      <w:proofErr w:type="spellEnd"/>
      <w:r w:rsidRPr="0040294D">
        <w:rPr>
          <w:color w:val="000000" w:themeColor="text1"/>
          <w:lang w:val="en-GB"/>
        </w:rPr>
        <w:t xml:space="preserve">-Moore, D., and </w:t>
      </w:r>
      <w:proofErr w:type="spellStart"/>
      <w:r w:rsidRPr="0040294D">
        <w:rPr>
          <w:color w:val="000000" w:themeColor="text1"/>
          <w:lang w:val="en-GB"/>
        </w:rPr>
        <w:t>Tarba</w:t>
      </w:r>
      <w:proofErr w:type="spellEnd"/>
      <w:r w:rsidRPr="0040294D">
        <w:rPr>
          <w:color w:val="000000" w:themeColor="text1"/>
          <w:lang w:val="en-GB"/>
        </w:rPr>
        <w:t xml:space="preserve">, S. Y. (2012). ‘Human resource practices during post-merger conflict and merger performance’, </w:t>
      </w:r>
      <w:r w:rsidRPr="0040294D">
        <w:rPr>
          <w:i/>
          <w:color w:val="000000" w:themeColor="text1"/>
          <w:lang w:val="en-GB"/>
        </w:rPr>
        <w:t>International Journal of Cross-Cultural Management</w:t>
      </w:r>
      <w:r w:rsidRPr="0040294D">
        <w:rPr>
          <w:color w:val="000000" w:themeColor="text1"/>
          <w:lang w:val="en-GB"/>
        </w:rPr>
        <w:t>,</w:t>
      </w:r>
      <w:r>
        <w:rPr>
          <w:color w:val="000000" w:themeColor="text1"/>
          <w:lang w:val="en-GB"/>
        </w:rPr>
        <w:t> </w:t>
      </w:r>
      <w:r w:rsidRPr="0040294D">
        <w:rPr>
          <w:b/>
          <w:bCs/>
          <w:iCs/>
          <w:color w:val="000000" w:themeColor="text1"/>
          <w:lang w:val="en-GB"/>
        </w:rPr>
        <w:t>12</w:t>
      </w:r>
      <w:r w:rsidRPr="0040294D">
        <w:rPr>
          <w:rFonts w:eastAsia="TimesNewRomanPSMT"/>
          <w:color w:val="000000" w:themeColor="text1"/>
          <w:lang w:val="en-GB"/>
        </w:rPr>
        <w:t xml:space="preserve">, pp. </w:t>
      </w:r>
      <w:r w:rsidRPr="0040294D">
        <w:rPr>
          <w:color w:val="000000" w:themeColor="text1"/>
          <w:lang w:val="en-GB"/>
        </w:rPr>
        <w:t>73</w:t>
      </w:r>
      <w:r w:rsidRPr="0040294D">
        <w:rPr>
          <w:b/>
          <w:color w:val="000000" w:themeColor="text1"/>
          <w:lang w:val="en-GB"/>
        </w:rPr>
        <w:t>–</w:t>
      </w:r>
      <w:r w:rsidRPr="0040294D">
        <w:rPr>
          <w:color w:val="000000" w:themeColor="text1"/>
          <w:lang w:val="en-GB"/>
        </w:rPr>
        <w:t>99.</w:t>
      </w:r>
    </w:p>
    <w:p w14:paraId="7168C7A2" w14:textId="77777777" w:rsidR="002918F3" w:rsidRPr="0040294D" w:rsidRDefault="002918F3" w:rsidP="002918F3">
      <w:pPr>
        <w:spacing w:before="60" w:after="60"/>
        <w:ind w:left="567" w:hanging="567"/>
        <w:jc w:val="both"/>
        <w:rPr>
          <w:color w:val="000000" w:themeColor="text1"/>
          <w:lang w:val="en-GB"/>
        </w:rPr>
      </w:pPr>
      <w:proofErr w:type="spellStart"/>
      <w:r w:rsidRPr="0040294D">
        <w:rPr>
          <w:color w:val="000000" w:themeColor="text1"/>
          <w:lang w:val="en-GB"/>
        </w:rPr>
        <w:t>Zollo</w:t>
      </w:r>
      <w:proofErr w:type="spellEnd"/>
      <w:r w:rsidRPr="0040294D">
        <w:rPr>
          <w:color w:val="000000" w:themeColor="text1"/>
          <w:lang w:val="en-GB"/>
        </w:rPr>
        <w:t xml:space="preserve">, M., and Meier, D. (2008). ‘What is M&amp;A performance?’, </w:t>
      </w:r>
      <w:r w:rsidRPr="0040294D">
        <w:rPr>
          <w:i/>
          <w:color w:val="000000" w:themeColor="text1"/>
          <w:lang w:val="en-GB"/>
        </w:rPr>
        <w:t>Academy of Management Perspectives</w:t>
      </w:r>
      <w:r w:rsidRPr="0040294D">
        <w:rPr>
          <w:color w:val="000000" w:themeColor="text1"/>
          <w:lang w:val="en-GB"/>
        </w:rPr>
        <w:t>,</w:t>
      </w:r>
      <w:r>
        <w:rPr>
          <w:color w:val="000000" w:themeColor="text1"/>
          <w:lang w:val="en-GB"/>
        </w:rPr>
        <w:t> </w:t>
      </w:r>
      <w:r w:rsidRPr="0040294D">
        <w:rPr>
          <w:b/>
          <w:bCs/>
          <w:iCs/>
          <w:color w:val="000000" w:themeColor="text1"/>
          <w:lang w:val="en-GB"/>
        </w:rPr>
        <w:t>22</w:t>
      </w:r>
      <w:r w:rsidRPr="0040294D">
        <w:rPr>
          <w:rFonts w:eastAsia="TimesNewRomanPSMT"/>
          <w:color w:val="000000" w:themeColor="text1"/>
          <w:lang w:val="en-GB"/>
        </w:rPr>
        <w:t xml:space="preserve">, pp. </w:t>
      </w:r>
      <w:r w:rsidRPr="0040294D">
        <w:rPr>
          <w:color w:val="000000" w:themeColor="text1"/>
          <w:lang w:val="en-GB"/>
        </w:rPr>
        <w:t>55</w:t>
      </w:r>
      <w:r w:rsidRPr="0040294D">
        <w:rPr>
          <w:b/>
          <w:color w:val="000000" w:themeColor="text1"/>
          <w:lang w:val="en-GB"/>
        </w:rPr>
        <w:t>–</w:t>
      </w:r>
      <w:r w:rsidRPr="0040294D">
        <w:rPr>
          <w:color w:val="000000" w:themeColor="text1"/>
          <w:lang w:val="en-GB"/>
        </w:rPr>
        <w:t>77.</w:t>
      </w:r>
    </w:p>
    <w:p w14:paraId="0784AE0F" w14:textId="72F6EF07" w:rsidR="00FD2A48" w:rsidRPr="0040294D" w:rsidRDefault="001F1CDF" w:rsidP="001F1CDF">
      <w:pPr>
        <w:jc w:val="both"/>
        <w:rPr>
          <w:b/>
          <w:color w:val="000000" w:themeColor="text1"/>
          <w:u w:val="single"/>
          <w:lang w:val="en-GB"/>
        </w:rPr>
      </w:pPr>
      <w:r w:rsidRPr="0040294D">
        <w:rPr>
          <w:rFonts w:asciiTheme="majorBidi" w:hAnsiTheme="majorBidi" w:cstheme="majorBidi"/>
          <w:b/>
          <w:color w:val="000000" w:themeColor="text1"/>
          <w:u w:val="single"/>
          <w:lang w:val="en-GB"/>
        </w:rPr>
        <w:br w:type="page"/>
      </w:r>
    </w:p>
    <w:p w14:paraId="081631EC" w14:textId="77777777" w:rsidR="00FD2A48" w:rsidRPr="0040294D" w:rsidRDefault="00FD2A48" w:rsidP="00FD2A48">
      <w:pPr>
        <w:widowControl w:val="0"/>
        <w:spacing w:line="480" w:lineRule="auto"/>
        <w:ind w:left="720" w:hanging="720"/>
        <w:jc w:val="center"/>
        <w:rPr>
          <w:lang w:val="en-GB"/>
        </w:rPr>
        <w:sectPr w:rsidR="00FD2A48" w:rsidRPr="0040294D" w:rsidSect="00377954">
          <w:footerReference w:type="default" r:id="rId9"/>
          <w:pgSz w:w="12240" w:h="15840" w:code="1"/>
          <w:pgMar w:top="1418" w:right="1418" w:bottom="1418" w:left="1418" w:header="709" w:footer="709" w:gutter="0"/>
          <w:cols w:space="708"/>
          <w:docGrid w:linePitch="360"/>
        </w:sectPr>
      </w:pPr>
    </w:p>
    <w:p w14:paraId="5685CE40" w14:textId="77777777" w:rsidR="00FD2A48" w:rsidRPr="0040294D" w:rsidRDefault="00FD2A48" w:rsidP="00FD2A48">
      <w:pPr>
        <w:widowControl w:val="0"/>
        <w:spacing w:after="120"/>
        <w:ind w:left="720" w:hanging="720"/>
        <w:jc w:val="center"/>
        <w:rPr>
          <w:lang w:val="en-GB"/>
        </w:rPr>
      </w:pPr>
      <w:r w:rsidRPr="0040294D">
        <w:rPr>
          <w:b/>
          <w:bCs/>
          <w:i/>
          <w:lang w:val="en-GB"/>
        </w:rPr>
        <w:lastRenderedPageBreak/>
        <w:t>Table 1. Descriptive Statistics and Correlation Matrix</w:t>
      </w:r>
      <w:r w:rsidRPr="0040294D">
        <w:rPr>
          <w:bCs/>
          <w:lang w:val="en-GB"/>
        </w:rPr>
        <w:t xml:space="preserve"> </w:t>
      </w:r>
      <w:r w:rsidRPr="0040294D">
        <w:rPr>
          <w:i/>
          <w:sz w:val="18"/>
          <w:szCs w:val="18"/>
          <w:vertAlign w:val="superscript"/>
          <w:lang w:val="en-GB"/>
        </w:rPr>
        <w:t>a</w:t>
      </w:r>
    </w:p>
    <w:tbl>
      <w:tblPr>
        <w:tblW w:w="141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52"/>
        <w:gridCol w:w="1387"/>
        <w:gridCol w:w="850"/>
        <w:gridCol w:w="850"/>
        <w:gridCol w:w="850"/>
        <w:gridCol w:w="850"/>
        <w:gridCol w:w="850"/>
        <w:gridCol w:w="850"/>
        <w:gridCol w:w="850"/>
        <w:gridCol w:w="850"/>
        <w:gridCol w:w="850"/>
        <w:gridCol w:w="850"/>
      </w:tblGrid>
      <w:tr w:rsidR="00FD2A48" w:rsidRPr="0040294D" w14:paraId="0D99838A" w14:textId="77777777" w:rsidTr="00377954">
        <w:trPr>
          <w:jc w:val="center"/>
        </w:trPr>
        <w:tc>
          <w:tcPr>
            <w:tcW w:w="4252" w:type="dxa"/>
            <w:tcBorders>
              <w:top w:val="single" w:sz="4" w:space="0" w:color="auto"/>
              <w:left w:val="nil"/>
              <w:bottom w:val="single" w:sz="4" w:space="0" w:color="auto"/>
            </w:tcBorders>
            <w:vAlign w:val="center"/>
          </w:tcPr>
          <w:p w14:paraId="66464AD5" w14:textId="77777777" w:rsidR="00FD2A48" w:rsidRPr="0040294D" w:rsidRDefault="00FD2A48" w:rsidP="00377954">
            <w:pPr>
              <w:spacing w:before="40" w:after="40"/>
              <w:ind w:right="-94"/>
              <w:jc w:val="center"/>
              <w:rPr>
                <w:i/>
                <w:sz w:val="20"/>
                <w:szCs w:val="20"/>
                <w:lang w:val="en-GB"/>
              </w:rPr>
            </w:pPr>
            <w:r w:rsidRPr="0040294D">
              <w:rPr>
                <w:i/>
                <w:sz w:val="20"/>
                <w:szCs w:val="20"/>
                <w:lang w:val="en-GB"/>
              </w:rPr>
              <w:t>Variables</w:t>
            </w:r>
          </w:p>
        </w:tc>
        <w:tc>
          <w:tcPr>
            <w:tcW w:w="1387" w:type="dxa"/>
            <w:tcBorders>
              <w:top w:val="single" w:sz="4" w:space="0" w:color="auto"/>
              <w:bottom w:val="single" w:sz="4" w:space="0" w:color="auto"/>
            </w:tcBorders>
            <w:vAlign w:val="center"/>
          </w:tcPr>
          <w:p w14:paraId="31B1C890" w14:textId="027FFBD0" w:rsidR="00FD2A48" w:rsidRPr="0040294D" w:rsidRDefault="00FD2A48">
            <w:pPr>
              <w:spacing w:before="40" w:after="40"/>
              <w:ind w:left="-65" w:right="-153"/>
              <w:jc w:val="center"/>
              <w:rPr>
                <w:i/>
                <w:sz w:val="20"/>
                <w:szCs w:val="20"/>
                <w:lang w:val="en-GB"/>
              </w:rPr>
            </w:pPr>
            <w:r w:rsidRPr="0040294D">
              <w:rPr>
                <w:i/>
                <w:sz w:val="20"/>
                <w:szCs w:val="20"/>
                <w:lang w:val="en-GB"/>
              </w:rPr>
              <w:t>Mean (</w:t>
            </w:r>
            <w:proofErr w:type="spellStart"/>
            <w:r w:rsidRPr="0040294D">
              <w:rPr>
                <w:i/>
                <w:sz w:val="20"/>
                <w:szCs w:val="20"/>
                <w:lang w:val="en-GB"/>
              </w:rPr>
              <w:t>s.d.</w:t>
            </w:r>
            <w:proofErr w:type="spellEnd"/>
            <w:r w:rsidRPr="0040294D">
              <w:rPr>
                <w:i/>
                <w:sz w:val="20"/>
                <w:szCs w:val="20"/>
                <w:lang w:val="en-GB"/>
              </w:rPr>
              <w:t>)</w:t>
            </w:r>
          </w:p>
        </w:tc>
        <w:tc>
          <w:tcPr>
            <w:tcW w:w="850" w:type="dxa"/>
            <w:tcBorders>
              <w:top w:val="single" w:sz="4" w:space="0" w:color="auto"/>
              <w:bottom w:val="single" w:sz="4" w:space="0" w:color="auto"/>
            </w:tcBorders>
            <w:vAlign w:val="center"/>
          </w:tcPr>
          <w:p w14:paraId="0C680778" w14:textId="77777777" w:rsidR="00FD2A48" w:rsidRPr="0040294D" w:rsidRDefault="00FD2A48" w:rsidP="00377954">
            <w:pPr>
              <w:spacing w:before="40" w:after="40"/>
              <w:jc w:val="center"/>
              <w:rPr>
                <w:i/>
                <w:sz w:val="20"/>
                <w:szCs w:val="20"/>
                <w:lang w:val="en-GB"/>
              </w:rPr>
            </w:pPr>
            <w:r w:rsidRPr="0040294D">
              <w:rPr>
                <w:i/>
                <w:sz w:val="20"/>
                <w:szCs w:val="20"/>
                <w:lang w:val="en-GB"/>
              </w:rPr>
              <w:t>1</w:t>
            </w:r>
          </w:p>
        </w:tc>
        <w:tc>
          <w:tcPr>
            <w:tcW w:w="850" w:type="dxa"/>
            <w:tcBorders>
              <w:top w:val="single" w:sz="4" w:space="0" w:color="auto"/>
              <w:bottom w:val="single" w:sz="4" w:space="0" w:color="auto"/>
            </w:tcBorders>
          </w:tcPr>
          <w:p w14:paraId="0DF34131" w14:textId="77777777" w:rsidR="00FD2A48" w:rsidRPr="0040294D" w:rsidRDefault="00FD2A48" w:rsidP="00377954">
            <w:pPr>
              <w:spacing w:before="40" w:after="40"/>
              <w:jc w:val="center"/>
              <w:rPr>
                <w:i/>
                <w:sz w:val="20"/>
                <w:szCs w:val="20"/>
                <w:lang w:val="en-GB"/>
              </w:rPr>
            </w:pPr>
            <w:r w:rsidRPr="0040294D">
              <w:rPr>
                <w:i/>
                <w:sz w:val="20"/>
                <w:szCs w:val="20"/>
                <w:lang w:val="en-GB"/>
              </w:rPr>
              <w:t>2</w:t>
            </w:r>
          </w:p>
        </w:tc>
        <w:tc>
          <w:tcPr>
            <w:tcW w:w="850" w:type="dxa"/>
            <w:tcBorders>
              <w:top w:val="single" w:sz="4" w:space="0" w:color="auto"/>
              <w:bottom w:val="single" w:sz="4" w:space="0" w:color="auto"/>
            </w:tcBorders>
            <w:vAlign w:val="center"/>
          </w:tcPr>
          <w:p w14:paraId="4818A9ED" w14:textId="77777777" w:rsidR="00FD2A48" w:rsidRPr="0040294D" w:rsidRDefault="00FD2A48" w:rsidP="00377954">
            <w:pPr>
              <w:spacing w:before="40" w:after="40"/>
              <w:jc w:val="center"/>
              <w:rPr>
                <w:i/>
                <w:sz w:val="20"/>
                <w:szCs w:val="20"/>
                <w:lang w:val="en-GB"/>
              </w:rPr>
            </w:pPr>
            <w:r w:rsidRPr="0040294D">
              <w:rPr>
                <w:i/>
                <w:sz w:val="20"/>
                <w:szCs w:val="20"/>
                <w:lang w:val="en-GB"/>
              </w:rPr>
              <w:t>3</w:t>
            </w:r>
          </w:p>
        </w:tc>
        <w:tc>
          <w:tcPr>
            <w:tcW w:w="850" w:type="dxa"/>
            <w:tcBorders>
              <w:top w:val="single" w:sz="4" w:space="0" w:color="auto"/>
              <w:bottom w:val="single" w:sz="4" w:space="0" w:color="auto"/>
            </w:tcBorders>
            <w:vAlign w:val="center"/>
          </w:tcPr>
          <w:p w14:paraId="753BBA9E" w14:textId="77777777" w:rsidR="00FD2A48" w:rsidRPr="0040294D" w:rsidRDefault="00FD2A48" w:rsidP="00377954">
            <w:pPr>
              <w:spacing w:before="40" w:after="40"/>
              <w:jc w:val="center"/>
              <w:rPr>
                <w:i/>
                <w:sz w:val="20"/>
                <w:szCs w:val="20"/>
                <w:lang w:val="en-GB"/>
              </w:rPr>
            </w:pPr>
            <w:r w:rsidRPr="0040294D">
              <w:rPr>
                <w:i/>
                <w:sz w:val="20"/>
                <w:szCs w:val="20"/>
                <w:lang w:val="en-GB"/>
              </w:rPr>
              <w:t>4</w:t>
            </w:r>
          </w:p>
        </w:tc>
        <w:tc>
          <w:tcPr>
            <w:tcW w:w="850" w:type="dxa"/>
            <w:tcBorders>
              <w:top w:val="single" w:sz="4" w:space="0" w:color="auto"/>
              <w:bottom w:val="single" w:sz="4" w:space="0" w:color="auto"/>
            </w:tcBorders>
            <w:vAlign w:val="center"/>
          </w:tcPr>
          <w:p w14:paraId="0F733138" w14:textId="77777777" w:rsidR="00FD2A48" w:rsidRPr="0040294D" w:rsidRDefault="00FD2A48" w:rsidP="00377954">
            <w:pPr>
              <w:spacing w:before="40" w:after="40"/>
              <w:jc w:val="center"/>
              <w:rPr>
                <w:i/>
                <w:sz w:val="20"/>
                <w:szCs w:val="20"/>
                <w:lang w:val="en-GB"/>
              </w:rPr>
            </w:pPr>
            <w:r w:rsidRPr="0040294D">
              <w:rPr>
                <w:i/>
                <w:sz w:val="20"/>
                <w:szCs w:val="20"/>
                <w:lang w:val="en-GB"/>
              </w:rPr>
              <w:t>5</w:t>
            </w:r>
          </w:p>
        </w:tc>
        <w:tc>
          <w:tcPr>
            <w:tcW w:w="850" w:type="dxa"/>
            <w:tcBorders>
              <w:top w:val="single" w:sz="4" w:space="0" w:color="auto"/>
              <w:bottom w:val="single" w:sz="4" w:space="0" w:color="auto"/>
            </w:tcBorders>
            <w:vAlign w:val="center"/>
          </w:tcPr>
          <w:p w14:paraId="5133E186" w14:textId="77777777" w:rsidR="00FD2A48" w:rsidRPr="0040294D" w:rsidRDefault="00FD2A48" w:rsidP="00377954">
            <w:pPr>
              <w:spacing w:before="40" w:after="40"/>
              <w:jc w:val="center"/>
              <w:rPr>
                <w:i/>
                <w:sz w:val="20"/>
                <w:szCs w:val="20"/>
                <w:lang w:val="en-GB"/>
              </w:rPr>
            </w:pPr>
            <w:r w:rsidRPr="0040294D">
              <w:rPr>
                <w:i/>
                <w:sz w:val="20"/>
                <w:szCs w:val="20"/>
                <w:lang w:val="en-GB"/>
              </w:rPr>
              <w:t>6</w:t>
            </w:r>
          </w:p>
        </w:tc>
        <w:tc>
          <w:tcPr>
            <w:tcW w:w="850" w:type="dxa"/>
            <w:tcBorders>
              <w:top w:val="single" w:sz="4" w:space="0" w:color="auto"/>
              <w:bottom w:val="single" w:sz="4" w:space="0" w:color="auto"/>
            </w:tcBorders>
            <w:vAlign w:val="center"/>
          </w:tcPr>
          <w:p w14:paraId="4E5FA3A7" w14:textId="77777777" w:rsidR="00FD2A48" w:rsidRPr="0040294D" w:rsidRDefault="00FD2A48" w:rsidP="00377954">
            <w:pPr>
              <w:spacing w:before="40" w:after="40"/>
              <w:jc w:val="center"/>
              <w:rPr>
                <w:i/>
                <w:sz w:val="20"/>
                <w:szCs w:val="20"/>
                <w:lang w:val="en-GB"/>
              </w:rPr>
            </w:pPr>
            <w:r w:rsidRPr="0040294D">
              <w:rPr>
                <w:i/>
                <w:sz w:val="20"/>
                <w:szCs w:val="20"/>
                <w:lang w:val="en-GB"/>
              </w:rPr>
              <w:t>7</w:t>
            </w:r>
          </w:p>
        </w:tc>
        <w:tc>
          <w:tcPr>
            <w:tcW w:w="850" w:type="dxa"/>
            <w:tcBorders>
              <w:top w:val="single" w:sz="4" w:space="0" w:color="auto"/>
              <w:bottom w:val="single" w:sz="4" w:space="0" w:color="auto"/>
            </w:tcBorders>
          </w:tcPr>
          <w:p w14:paraId="46160C91" w14:textId="77777777" w:rsidR="00FD2A48" w:rsidRPr="0040294D" w:rsidRDefault="00FD2A48" w:rsidP="00377954">
            <w:pPr>
              <w:spacing w:before="40" w:after="40"/>
              <w:jc w:val="center"/>
              <w:rPr>
                <w:i/>
                <w:sz w:val="20"/>
                <w:szCs w:val="20"/>
                <w:lang w:val="en-GB"/>
              </w:rPr>
            </w:pPr>
            <w:r w:rsidRPr="0040294D">
              <w:rPr>
                <w:i/>
                <w:sz w:val="20"/>
                <w:szCs w:val="20"/>
                <w:lang w:val="en-GB"/>
              </w:rPr>
              <w:t>8</w:t>
            </w:r>
          </w:p>
        </w:tc>
        <w:tc>
          <w:tcPr>
            <w:tcW w:w="850" w:type="dxa"/>
            <w:tcBorders>
              <w:top w:val="single" w:sz="4" w:space="0" w:color="auto"/>
              <w:bottom w:val="single" w:sz="4" w:space="0" w:color="auto"/>
            </w:tcBorders>
          </w:tcPr>
          <w:p w14:paraId="56ECFAC7" w14:textId="77777777" w:rsidR="00FD2A48" w:rsidRPr="0040294D" w:rsidRDefault="00FD2A48" w:rsidP="00377954">
            <w:pPr>
              <w:spacing w:before="40" w:after="40"/>
              <w:jc w:val="center"/>
              <w:rPr>
                <w:i/>
                <w:sz w:val="20"/>
                <w:szCs w:val="20"/>
                <w:lang w:val="en-GB"/>
              </w:rPr>
            </w:pPr>
            <w:r w:rsidRPr="0040294D">
              <w:rPr>
                <w:i/>
                <w:sz w:val="20"/>
                <w:szCs w:val="20"/>
                <w:lang w:val="en-GB"/>
              </w:rPr>
              <w:t>9</w:t>
            </w:r>
          </w:p>
        </w:tc>
        <w:tc>
          <w:tcPr>
            <w:tcW w:w="850" w:type="dxa"/>
            <w:tcBorders>
              <w:top w:val="single" w:sz="4" w:space="0" w:color="auto"/>
              <w:bottom w:val="single" w:sz="4" w:space="0" w:color="auto"/>
              <w:right w:val="nil"/>
            </w:tcBorders>
          </w:tcPr>
          <w:p w14:paraId="5C5D97E8" w14:textId="77777777" w:rsidR="00FD2A48" w:rsidRPr="0040294D" w:rsidRDefault="00FD2A48" w:rsidP="00377954">
            <w:pPr>
              <w:spacing w:before="40" w:after="40"/>
              <w:jc w:val="center"/>
              <w:rPr>
                <w:i/>
                <w:sz w:val="20"/>
                <w:szCs w:val="20"/>
                <w:lang w:val="en-GB"/>
              </w:rPr>
            </w:pPr>
            <w:r w:rsidRPr="0040294D">
              <w:rPr>
                <w:i/>
                <w:sz w:val="20"/>
                <w:szCs w:val="20"/>
                <w:lang w:val="en-GB"/>
              </w:rPr>
              <w:t>10</w:t>
            </w:r>
          </w:p>
        </w:tc>
      </w:tr>
      <w:tr w:rsidR="00FD2A48" w:rsidRPr="0040294D" w14:paraId="370A89A4" w14:textId="77777777" w:rsidTr="00377954">
        <w:trPr>
          <w:jc w:val="center"/>
        </w:trPr>
        <w:tc>
          <w:tcPr>
            <w:tcW w:w="4252" w:type="dxa"/>
            <w:tcBorders>
              <w:top w:val="single" w:sz="4" w:space="0" w:color="auto"/>
              <w:left w:val="nil"/>
              <w:bottom w:val="nil"/>
            </w:tcBorders>
            <w:vAlign w:val="center"/>
          </w:tcPr>
          <w:p w14:paraId="5557F9F5" w14:textId="77777777" w:rsidR="00FD2A48" w:rsidRPr="0040294D" w:rsidRDefault="00FD2A48" w:rsidP="00377954">
            <w:pPr>
              <w:spacing w:before="20" w:after="20"/>
              <w:ind w:right="-94"/>
              <w:rPr>
                <w:i/>
                <w:sz w:val="20"/>
                <w:szCs w:val="20"/>
                <w:lang w:val="en-GB"/>
              </w:rPr>
            </w:pPr>
            <w:r w:rsidRPr="0040294D">
              <w:rPr>
                <w:i/>
                <w:sz w:val="20"/>
                <w:szCs w:val="20"/>
                <w:lang w:val="en-GB"/>
              </w:rPr>
              <w:t>1. Acquirer HRM quality</w:t>
            </w:r>
          </w:p>
        </w:tc>
        <w:tc>
          <w:tcPr>
            <w:tcW w:w="1387" w:type="dxa"/>
            <w:tcBorders>
              <w:top w:val="single" w:sz="4" w:space="0" w:color="auto"/>
              <w:bottom w:val="nil"/>
            </w:tcBorders>
            <w:vAlign w:val="center"/>
          </w:tcPr>
          <w:p w14:paraId="2B1D0804" w14:textId="77777777" w:rsidR="00FD2A48" w:rsidRPr="0040294D" w:rsidRDefault="00FD2A48" w:rsidP="00377954">
            <w:pPr>
              <w:spacing w:before="20" w:after="20"/>
              <w:ind w:right="-153"/>
              <w:rPr>
                <w:sz w:val="20"/>
                <w:szCs w:val="20"/>
                <w:lang w:val="en-GB"/>
              </w:rPr>
            </w:pPr>
            <w:r w:rsidRPr="0040294D">
              <w:rPr>
                <w:sz w:val="20"/>
                <w:szCs w:val="20"/>
                <w:lang w:val="en-GB"/>
              </w:rPr>
              <w:t xml:space="preserve">  0.48  (0.15)</w:t>
            </w:r>
          </w:p>
        </w:tc>
        <w:tc>
          <w:tcPr>
            <w:tcW w:w="850" w:type="dxa"/>
            <w:tcBorders>
              <w:top w:val="single" w:sz="4" w:space="0" w:color="auto"/>
              <w:bottom w:val="nil"/>
            </w:tcBorders>
            <w:vAlign w:val="center"/>
          </w:tcPr>
          <w:p w14:paraId="13C95D65" w14:textId="65289DA4" w:rsidR="00FD2A48" w:rsidRPr="0040294D" w:rsidRDefault="0040294D" w:rsidP="00377954">
            <w:pPr>
              <w:spacing w:before="20" w:after="20"/>
              <w:jc w:val="center"/>
              <w:rPr>
                <w:sz w:val="20"/>
                <w:szCs w:val="20"/>
                <w:lang w:val="en-GB"/>
              </w:rPr>
            </w:pPr>
            <w:r>
              <w:rPr>
                <w:sz w:val="20"/>
                <w:szCs w:val="20"/>
                <w:lang w:val="en-GB"/>
              </w:rPr>
              <w:t xml:space="preserve"> — </w:t>
            </w:r>
          </w:p>
        </w:tc>
        <w:tc>
          <w:tcPr>
            <w:tcW w:w="850" w:type="dxa"/>
            <w:tcBorders>
              <w:top w:val="single" w:sz="4" w:space="0" w:color="auto"/>
              <w:bottom w:val="nil"/>
            </w:tcBorders>
          </w:tcPr>
          <w:p w14:paraId="2F109A4C" w14:textId="77777777" w:rsidR="00FD2A48" w:rsidRPr="0040294D" w:rsidRDefault="00FD2A48" w:rsidP="00377954">
            <w:pPr>
              <w:spacing w:before="20" w:after="20"/>
              <w:jc w:val="center"/>
              <w:rPr>
                <w:sz w:val="20"/>
                <w:szCs w:val="20"/>
                <w:lang w:val="en-GB"/>
              </w:rPr>
            </w:pPr>
          </w:p>
        </w:tc>
        <w:tc>
          <w:tcPr>
            <w:tcW w:w="850" w:type="dxa"/>
            <w:tcBorders>
              <w:top w:val="single" w:sz="4" w:space="0" w:color="auto"/>
              <w:bottom w:val="nil"/>
            </w:tcBorders>
            <w:vAlign w:val="center"/>
          </w:tcPr>
          <w:p w14:paraId="2AFC2EB3" w14:textId="77777777" w:rsidR="00FD2A48" w:rsidRPr="0040294D" w:rsidRDefault="00FD2A48" w:rsidP="00377954">
            <w:pPr>
              <w:spacing w:before="20" w:after="20"/>
              <w:jc w:val="center"/>
              <w:rPr>
                <w:sz w:val="20"/>
                <w:szCs w:val="20"/>
                <w:lang w:val="en-GB"/>
              </w:rPr>
            </w:pPr>
          </w:p>
        </w:tc>
        <w:tc>
          <w:tcPr>
            <w:tcW w:w="850" w:type="dxa"/>
            <w:tcBorders>
              <w:top w:val="single" w:sz="4" w:space="0" w:color="auto"/>
              <w:bottom w:val="nil"/>
            </w:tcBorders>
            <w:vAlign w:val="center"/>
          </w:tcPr>
          <w:p w14:paraId="279861BF" w14:textId="77777777" w:rsidR="00FD2A48" w:rsidRPr="0040294D" w:rsidRDefault="00FD2A48" w:rsidP="00377954">
            <w:pPr>
              <w:spacing w:before="20" w:after="20"/>
              <w:jc w:val="center"/>
              <w:rPr>
                <w:sz w:val="20"/>
                <w:szCs w:val="20"/>
                <w:lang w:val="en-GB"/>
              </w:rPr>
            </w:pPr>
          </w:p>
        </w:tc>
        <w:tc>
          <w:tcPr>
            <w:tcW w:w="850" w:type="dxa"/>
            <w:tcBorders>
              <w:top w:val="single" w:sz="4" w:space="0" w:color="auto"/>
              <w:bottom w:val="nil"/>
            </w:tcBorders>
            <w:vAlign w:val="center"/>
          </w:tcPr>
          <w:p w14:paraId="1BEA9243" w14:textId="77777777" w:rsidR="00FD2A48" w:rsidRPr="0040294D" w:rsidRDefault="00FD2A48" w:rsidP="00377954">
            <w:pPr>
              <w:spacing w:before="20" w:after="20"/>
              <w:jc w:val="center"/>
              <w:rPr>
                <w:sz w:val="20"/>
                <w:szCs w:val="20"/>
                <w:lang w:val="en-GB"/>
              </w:rPr>
            </w:pPr>
          </w:p>
        </w:tc>
        <w:tc>
          <w:tcPr>
            <w:tcW w:w="850" w:type="dxa"/>
            <w:tcBorders>
              <w:top w:val="single" w:sz="4" w:space="0" w:color="auto"/>
              <w:bottom w:val="nil"/>
            </w:tcBorders>
            <w:vAlign w:val="center"/>
          </w:tcPr>
          <w:p w14:paraId="10F9DED2" w14:textId="77777777" w:rsidR="00FD2A48" w:rsidRPr="0040294D" w:rsidRDefault="00FD2A48" w:rsidP="00377954">
            <w:pPr>
              <w:spacing w:before="20" w:after="20"/>
              <w:jc w:val="center"/>
              <w:rPr>
                <w:sz w:val="20"/>
                <w:szCs w:val="20"/>
                <w:lang w:val="en-GB"/>
              </w:rPr>
            </w:pPr>
          </w:p>
        </w:tc>
        <w:tc>
          <w:tcPr>
            <w:tcW w:w="850" w:type="dxa"/>
            <w:tcBorders>
              <w:top w:val="single" w:sz="4" w:space="0" w:color="auto"/>
              <w:bottom w:val="nil"/>
            </w:tcBorders>
            <w:vAlign w:val="center"/>
          </w:tcPr>
          <w:p w14:paraId="5CE5E6E5" w14:textId="77777777" w:rsidR="00FD2A48" w:rsidRPr="0040294D" w:rsidRDefault="00FD2A48" w:rsidP="00377954">
            <w:pPr>
              <w:spacing w:before="20" w:after="20"/>
              <w:jc w:val="center"/>
              <w:rPr>
                <w:sz w:val="20"/>
                <w:szCs w:val="20"/>
                <w:lang w:val="en-GB"/>
              </w:rPr>
            </w:pPr>
          </w:p>
        </w:tc>
        <w:tc>
          <w:tcPr>
            <w:tcW w:w="850" w:type="dxa"/>
            <w:tcBorders>
              <w:top w:val="single" w:sz="4" w:space="0" w:color="auto"/>
              <w:bottom w:val="nil"/>
            </w:tcBorders>
          </w:tcPr>
          <w:p w14:paraId="7AD7B967" w14:textId="77777777" w:rsidR="00FD2A48" w:rsidRPr="0040294D" w:rsidRDefault="00FD2A48" w:rsidP="00377954">
            <w:pPr>
              <w:spacing w:before="20" w:after="20"/>
              <w:jc w:val="center"/>
              <w:rPr>
                <w:sz w:val="20"/>
                <w:szCs w:val="20"/>
                <w:lang w:val="en-GB"/>
              </w:rPr>
            </w:pPr>
          </w:p>
        </w:tc>
        <w:tc>
          <w:tcPr>
            <w:tcW w:w="850" w:type="dxa"/>
            <w:tcBorders>
              <w:top w:val="single" w:sz="4" w:space="0" w:color="auto"/>
              <w:bottom w:val="nil"/>
            </w:tcBorders>
          </w:tcPr>
          <w:p w14:paraId="40F098EF" w14:textId="77777777" w:rsidR="00FD2A48" w:rsidRPr="0040294D" w:rsidRDefault="00FD2A48" w:rsidP="00377954">
            <w:pPr>
              <w:spacing w:before="20" w:after="20"/>
              <w:jc w:val="center"/>
              <w:rPr>
                <w:sz w:val="20"/>
                <w:szCs w:val="20"/>
                <w:lang w:val="en-GB"/>
              </w:rPr>
            </w:pPr>
          </w:p>
        </w:tc>
        <w:tc>
          <w:tcPr>
            <w:tcW w:w="850" w:type="dxa"/>
            <w:tcBorders>
              <w:top w:val="single" w:sz="4" w:space="0" w:color="auto"/>
              <w:bottom w:val="nil"/>
              <w:right w:val="nil"/>
            </w:tcBorders>
          </w:tcPr>
          <w:p w14:paraId="6927CDAE" w14:textId="77777777" w:rsidR="00FD2A48" w:rsidRPr="0040294D" w:rsidRDefault="00FD2A48" w:rsidP="00377954">
            <w:pPr>
              <w:spacing w:before="20" w:after="20"/>
              <w:jc w:val="center"/>
              <w:rPr>
                <w:sz w:val="20"/>
                <w:szCs w:val="20"/>
                <w:lang w:val="en-GB"/>
              </w:rPr>
            </w:pPr>
          </w:p>
        </w:tc>
      </w:tr>
      <w:tr w:rsidR="00FD2A48" w:rsidRPr="0040294D" w14:paraId="1B7D4909" w14:textId="77777777" w:rsidTr="00377954">
        <w:trPr>
          <w:jc w:val="center"/>
        </w:trPr>
        <w:tc>
          <w:tcPr>
            <w:tcW w:w="4252" w:type="dxa"/>
            <w:tcBorders>
              <w:top w:val="nil"/>
              <w:left w:val="nil"/>
              <w:bottom w:val="nil"/>
            </w:tcBorders>
            <w:vAlign w:val="center"/>
          </w:tcPr>
          <w:p w14:paraId="2A4F34F7" w14:textId="489FDFB1" w:rsidR="00FD2A48" w:rsidRPr="0040294D" w:rsidRDefault="00FD2A48" w:rsidP="00377954">
            <w:pPr>
              <w:rPr>
                <w:i/>
                <w:sz w:val="20"/>
                <w:szCs w:val="20"/>
                <w:lang w:val="en-GB"/>
              </w:rPr>
            </w:pPr>
            <w:r w:rsidRPr="0040294D">
              <w:rPr>
                <w:i/>
                <w:sz w:val="20"/>
                <w:szCs w:val="20"/>
                <w:lang w:val="en-GB"/>
              </w:rPr>
              <w:t>2. Acquirer financial slack</w:t>
            </w:r>
          </w:p>
        </w:tc>
        <w:tc>
          <w:tcPr>
            <w:tcW w:w="1387" w:type="dxa"/>
            <w:tcBorders>
              <w:top w:val="nil"/>
              <w:bottom w:val="nil"/>
            </w:tcBorders>
            <w:vAlign w:val="center"/>
          </w:tcPr>
          <w:p w14:paraId="3BAFC025" w14:textId="77777777" w:rsidR="00FD2A48" w:rsidRPr="0040294D" w:rsidRDefault="00FD2A48" w:rsidP="00377954">
            <w:pPr>
              <w:spacing w:before="20" w:after="20"/>
              <w:ind w:right="-153"/>
              <w:rPr>
                <w:sz w:val="20"/>
                <w:szCs w:val="20"/>
                <w:lang w:val="en-GB"/>
              </w:rPr>
            </w:pPr>
            <w:r w:rsidRPr="0040294D">
              <w:rPr>
                <w:sz w:val="20"/>
                <w:szCs w:val="20"/>
                <w:lang w:val="en-GB"/>
              </w:rPr>
              <w:t xml:space="preserve">  0.66  (0.94)</w:t>
            </w:r>
          </w:p>
        </w:tc>
        <w:tc>
          <w:tcPr>
            <w:tcW w:w="850" w:type="dxa"/>
            <w:tcBorders>
              <w:top w:val="nil"/>
              <w:bottom w:val="nil"/>
            </w:tcBorders>
            <w:vAlign w:val="center"/>
          </w:tcPr>
          <w:p w14:paraId="606B322B"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xml:space="preserve">   0.03</w:t>
            </w:r>
          </w:p>
        </w:tc>
        <w:tc>
          <w:tcPr>
            <w:tcW w:w="850" w:type="dxa"/>
            <w:tcBorders>
              <w:top w:val="nil"/>
              <w:bottom w:val="nil"/>
            </w:tcBorders>
          </w:tcPr>
          <w:p w14:paraId="0B707696" w14:textId="24A4DBEE" w:rsidR="00FD2A48" w:rsidRPr="0040294D" w:rsidRDefault="0040294D" w:rsidP="00377954">
            <w:pPr>
              <w:spacing w:before="20" w:after="20"/>
              <w:jc w:val="center"/>
              <w:rPr>
                <w:sz w:val="20"/>
                <w:szCs w:val="20"/>
                <w:lang w:val="en-GB"/>
              </w:rPr>
            </w:pPr>
            <w:r>
              <w:rPr>
                <w:sz w:val="20"/>
                <w:szCs w:val="20"/>
                <w:lang w:val="en-GB"/>
              </w:rPr>
              <w:t xml:space="preserve"> — </w:t>
            </w:r>
          </w:p>
        </w:tc>
        <w:tc>
          <w:tcPr>
            <w:tcW w:w="850" w:type="dxa"/>
            <w:tcBorders>
              <w:top w:val="nil"/>
              <w:bottom w:val="nil"/>
            </w:tcBorders>
            <w:vAlign w:val="center"/>
          </w:tcPr>
          <w:p w14:paraId="74821F99"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3F0318E2"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74DE69F2"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13934C92"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14ED46FF"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6DC962D3"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61E12FB6" w14:textId="77777777" w:rsidR="00FD2A48" w:rsidRPr="0040294D" w:rsidRDefault="00FD2A48" w:rsidP="00377954">
            <w:pPr>
              <w:spacing w:before="20" w:after="20"/>
              <w:jc w:val="center"/>
              <w:rPr>
                <w:sz w:val="20"/>
                <w:szCs w:val="20"/>
                <w:lang w:val="en-GB"/>
              </w:rPr>
            </w:pPr>
          </w:p>
        </w:tc>
        <w:tc>
          <w:tcPr>
            <w:tcW w:w="850" w:type="dxa"/>
            <w:tcBorders>
              <w:top w:val="nil"/>
              <w:bottom w:val="nil"/>
              <w:right w:val="nil"/>
            </w:tcBorders>
          </w:tcPr>
          <w:p w14:paraId="16F04B16" w14:textId="77777777" w:rsidR="00FD2A48" w:rsidRPr="0040294D" w:rsidRDefault="00FD2A48" w:rsidP="00377954">
            <w:pPr>
              <w:spacing w:before="20" w:after="20"/>
              <w:jc w:val="center"/>
              <w:rPr>
                <w:sz w:val="20"/>
                <w:szCs w:val="20"/>
                <w:lang w:val="en-GB"/>
              </w:rPr>
            </w:pPr>
          </w:p>
        </w:tc>
      </w:tr>
      <w:tr w:rsidR="00FD2A48" w:rsidRPr="0040294D" w14:paraId="31A8AB0E" w14:textId="77777777" w:rsidTr="00377954">
        <w:trPr>
          <w:jc w:val="center"/>
        </w:trPr>
        <w:tc>
          <w:tcPr>
            <w:tcW w:w="4252" w:type="dxa"/>
            <w:tcBorders>
              <w:top w:val="nil"/>
              <w:left w:val="nil"/>
              <w:bottom w:val="nil"/>
            </w:tcBorders>
            <w:vAlign w:val="center"/>
          </w:tcPr>
          <w:p w14:paraId="3067A108" w14:textId="3B7298FF" w:rsidR="00FD2A48" w:rsidRPr="0040294D" w:rsidRDefault="00FD2A48">
            <w:pPr>
              <w:rPr>
                <w:i/>
                <w:sz w:val="20"/>
                <w:szCs w:val="20"/>
                <w:lang w:val="en-GB"/>
              </w:rPr>
            </w:pPr>
            <w:r w:rsidRPr="0040294D">
              <w:rPr>
                <w:i/>
                <w:sz w:val="20"/>
                <w:szCs w:val="20"/>
                <w:lang w:val="en-GB"/>
              </w:rPr>
              <w:t xml:space="preserve">3. Acquirer </w:t>
            </w:r>
            <w:r w:rsidR="00735613">
              <w:rPr>
                <w:i/>
                <w:sz w:val="20"/>
                <w:szCs w:val="20"/>
                <w:lang w:val="en-GB"/>
              </w:rPr>
              <w:t>internationalization</w:t>
            </w:r>
          </w:p>
        </w:tc>
        <w:tc>
          <w:tcPr>
            <w:tcW w:w="1387" w:type="dxa"/>
            <w:tcBorders>
              <w:top w:val="nil"/>
              <w:bottom w:val="nil"/>
            </w:tcBorders>
            <w:vAlign w:val="center"/>
          </w:tcPr>
          <w:p w14:paraId="129983AE" w14:textId="77777777" w:rsidR="00FD2A48" w:rsidRPr="0040294D" w:rsidRDefault="00FD2A48" w:rsidP="00377954">
            <w:pPr>
              <w:spacing w:before="20" w:after="20"/>
              <w:ind w:right="-153"/>
              <w:rPr>
                <w:sz w:val="20"/>
                <w:szCs w:val="20"/>
                <w:lang w:val="en-GB"/>
              </w:rPr>
            </w:pPr>
            <w:r w:rsidRPr="0040294D">
              <w:rPr>
                <w:sz w:val="20"/>
                <w:szCs w:val="20"/>
                <w:lang w:val="en-GB"/>
              </w:rPr>
              <w:t xml:space="preserve">  0.74  (0.16)</w:t>
            </w:r>
          </w:p>
        </w:tc>
        <w:tc>
          <w:tcPr>
            <w:tcW w:w="850" w:type="dxa"/>
            <w:tcBorders>
              <w:top w:val="nil"/>
              <w:bottom w:val="nil"/>
            </w:tcBorders>
            <w:vAlign w:val="center"/>
          </w:tcPr>
          <w:p w14:paraId="265D6089"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0.02</w:t>
            </w:r>
          </w:p>
        </w:tc>
        <w:tc>
          <w:tcPr>
            <w:tcW w:w="850" w:type="dxa"/>
            <w:tcBorders>
              <w:top w:val="nil"/>
              <w:bottom w:val="nil"/>
            </w:tcBorders>
          </w:tcPr>
          <w:p w14:paraId="674D35B1"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0.08</w:t>
            </w:r>
          </w:p>
        </w:tc>
        <w:tc>
          <w:tcPr>
            <w:tcW w:w="850" w:type="dxa"/>
            <w:tcBorders>
              <w:top w:val="nil"/>
              <w:bottom w:val="nil"/>
            </w:tcBorders>
            <w:vAlign w:val="center"/>
          </w:tcPr>
          <w:p w14:paraId="1811C3E9" w14:textId="6395FB3F" w:rsidR="00FD2A48" w:rsidRPr="0040294D" w:rsidRDefault="0040294D" w:rsidP="00377954">
            <w:pPr>
              <w:spacing w:before="20" w:after="20"/>
              <w:jc w:val="center"/>
              <w:rPr>
                <w:sz w:val="20"/>
                <w:szCs w:val="20"/>
                <w:lang w:val="en-GB"/>
              </w:rPr>
            </w:pPr>
            <w:r>
              <w:rPr>
                <w:sz w:val="20"/>
                <w:szCs w:val="20"/>
                <w:lang w:val="en-GB"/>
              </w:rPr>
              <w:t xml:space="preserve"> — </w:t>
            </w:r>
          </w:p>
        </w:tc>
        <w:tc>
          <w:tcPr>
            <w:tcW w:w="850" w:type="dxa"/>
            <w:tcBorders>
              <w:top w:val="nil"/>
              <w:bottom w:val="nil"/>
            </w:tcBorders>
            <w:vAlign w:val="center"/>
          </w:tcPr>
          <w:p w14:paraId="7C9577BD"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0D1F9369"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0F66DF77"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7897942C"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6A1C41CF"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59159CB5" w14:textId="77777777" w:rsidR="00FD2A48" w:rsidRPr="0040294D" w:rsidRDefault="00FD2A48" w:rsidP="00377954">
            <w:pPr>
              <w:spacing w:before="20" w:after="20"/>
              <w:jc w:val="center"/>
              <w:rPr>
                <w:sz w:val="20"/>
                <w:szCs w:val="20"/>
                <w:lang w:val="en-GB"/>
              </w:rPr>
            </w:pPr>
          </w:p>
        </w:tc>
        <w:tc>
          <w:tcPr>
            <w:tcW w:w="850" w:type="dxa"/>
            <w:tcBorders>
              <w:top w:val="nil"/>
              <w:bottom w:val="nil"/>
              <w:right w:val="nil"/>
            </w:tcBorders>
          </w:tcPr>
          <w:p w14:paraId="2D29A4EC" w14:textId="77777777" w:rsidR="00FD2A48" w:rsidRPr="0040294D" w:rsidRDefault="00FD2A48" w:rsidP="00377954">
            <w:pPr>
              <w:spacing w:before="20" w:after="20"/>
              <w:jc w:val="center"/>
              <w:rPr>
                <w:sz w:val="20"/>
                <w:szCs w:val="20"/>
                <w:lang w:val="en-GB"/>
              </w:rPr>
            </w:pPr>
          </w:p>
        </w:tc>
      </w:tr>
      <w:tr w:rsidR="00FD2A48" w:rsidRPr="0040294D" w14:paraId="3D451BAB" w14:textId="77777777" w:rsidTr="00377954">
        <w:trPr>
          <w:jc w:val="center"/>
        </w:trPr>
        <w:tc>
          <w:tcPr>
            <w:tcW w:w="4252" w:type="dxa"/>
            <w:tcBorders>
              <w:top w:val="nil"/>
              <w:left w:val="nil"/>
              <w:bottom w:val="nil"/>
            </w:tcBorders>
            <w:vAlign w:val="center"/>
          </w:tcPr>
          <w:p w14:paraId="2EB71034" w14:textId="77777777" w:rsidR="00FD2A48" w:rsidRPr="0040294D" w:rsidRDefault="00FD2A48" w:rsidP="00377954">
            <w:pPr>
              <w:rPr>
                <w:i/>
                <w:sz w:val="20"/>
                <w:szCs w:val="20"/>
                <w:lang w:val="en-GB"/>
              </w:rPr>
            </w:pPr>
            <w:r w:rsidRPr="0040294D">
              <w:rPr>
                <w:i/>
                <w:sz w:val="20"/>
                <w:szCs w:val="20"/>
                <w:lang w:val="en-GB"/>
              </w:rPr>
              <w:t>4. Acquirer experience with the US (log.)</w:t>
            </w:r>
          </w:p>
        </w:tc>
        <w:tc>
          <w:tcPr>
            <w:tcW w:w="1387" w:type="dxa"/>
            <w:tcBorders>
              <w:top w:val="nil"/>
              <w:bottom w:val="nil"/>
            </w:tcBorders>
            <w:vAlign w:val="center"/>
          </w:tcPr>
          <w:p w14:paraId="3FF565BF" w14:textId="77777777" w:rsidR="00FD2A48" w:rsidRPr="0040294D" w:rsidRDefault="00FD2A48" w:rsidP="00377954">
            <w:pPr>
              <w:spacing w:before="20" w:after="20"/>
              <w:ind w:right="-153"/>
              <w:rPr>
                <w:sz w:val="20"/>
                <w:szCs w:val="20"/>
                <w:lang w:val="en-GB"/>
              </w:rPr>
            </w:pPr>
            <w:r w:rsidRPr="0040294D">
              <w:rPr>
                <w:sz w:val="20"/>
                <w:szCs w:val="20"/>
                <w:lang w:val="en-GB"/>
              </w:rPr>
              <w:t xml:space="preserve">  1.37  (0.20)</w:t>
            </w:r>
          </w:p>
        </w:tc>
        <w:tc>
          <w:tcPr>
            <w:tcW w:w="850" w:type="dxa"/>
            <w:tcBorders>
              <w:top w:val="nil"/>
              <w:bottom w:val="nil"/>
            </w:tcBorders>
            <w:vAlign w:val="center"/>
          </w:tcPr>
          <w:p w14:paraId="444D1578" w14:textId="77777777" w:rsidR="00FD2A48" w:rsidRPr="0040294D" w:rsidRDefault="00FD2A48" w:rsidP="00377954">
            <w:pPr>
              <w:spacing w:before="20" w:after="20"/>
              <w:rPr>
                <w:sz w:val="20"/>
                <w:szCs w:val="20"/>
                <w:lang w:val="en-GB"/>
              </w:rPr>
            </w:pPr>
            <w:r w:rsidRPr="0040294D">
              <w:rPr>
                <w:sz w:val="20"/>
                <w:szCs w:val="20"/>
                <w:lang w:val="en-GB"/>
              </w:rPr>
              <w:t xml:space="preserve">   0.21</w:t>
            </w:r>
          </w:p>
        </w:tc>
        <w:tc>
          <w:tcPr>
            <w:tcW w:w="850" w:type="dxa"/>
            <w:tcBorders>
              <w:top w:val="nil"/>
              <w:bottom w:val="nil"/>
            </w:tcBorders>
          </w:tcPr>
          <w:p w14:paraId="5C3D8890"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0.01</w:t>
            </w:r>
          </w:p>
        </w:tc>
        <w:tc>
          <w:tcPr>
            <w:tcW w:w="850" w:type="dxa"/>
            <w:tcBorders>
              <w:top w:val="nil"/>
              <w:bottom w:val="nil"/>
            </w:tcBorders>
            <w:vAlign w:val="center"/>
          </w:tcPr>
          <w:p w14:paraId="3FACF2B3" w14:textId="77777777" w:rsidR="00FD2A48" w:rsidRPr="0040294D" w:rsidRDefault="00FD2A48" w:rsidP="00377954">
            <w:pPr>
              <w:spacing w:before="20" w:after="20"/>
              <w:rPr>
                <w:sz w:val="20"/>
                <w:szCs w:val="20"/>
                <w:lang w:val="en-GB"/>
              </w:rPr>
            </w:pPr>
            <w:r w:rsidRPr="0040294D">
              <w:rPr>
                <w:sz w:val="20"/>
                <w:szCs w:val="20"/>
                <w:lang w:val="en-GB"/>
              </w:rPr>
              <w:t xml:space="preserve">   0.26</w:t>
            </w:r>
          </w:p>
        </w:tc>
        <w:tc>
          <w:tcPr>
            <w:tcW w:w="850" w:type="dxa"/>
            <w:tcBorders>
              <w:top w:val="nil"/>
              <w:bottom w:val="nil"/>
            </w:tcBorders>
            <w:vAlign w:val="center"/>
          </w:tcPr>
          <w:p w14:paraId="68E79691" w14:textId="14C3551C" w:rsidR="00FD2A48" w:rsidRPr="0040294D" w:rsidRDefault="0040294D" w:rsidP="00377954">
            <w:pPr>
              <w:spacing w:before="20" w:after="20"/>
              <w:jc w:val="center"/>
              <w:rPr>
                <w:sz w:val="20"/>
                <w:szCs w:val="20"/>
                <w:lang w:val="en-GB"/>
              </w:rPr>
            </w:pPr>
            <w:r>
              <w:rPr>
                <w:sz w:val="20"/>
                <w:szCs w:val="20"/>
                <w:lang w:val="en-GB"/>
              </w:rPr>
              <w:t xml:space="preserve"> — </w:t>
            </w:r>
          </w:p>
        </w:tc>
        <w:tc>
          <w:tcPr>
            <w:tcW w:w="850" w:type="dxa"/>
            <w:tcBorders>
              <w:top w:val="nil"/>
              <w:bottom w:val="nil"/>
            </w:tcBorders>
            <w:vAlign w:val="center"/>
          </w:tcPr>
          <w:p w14:paraId="178814D7"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5A943F9D"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04595D21"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73566E76"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55D89CE7" w14:textId="77777777" w:rsidR="00FD2A48" w:rsidRPr="0040294D" w:rsidRDefault="00FD2A48" w:rsidP="00377954">
            <w:pPr>
              <w:spacing w:before="20" w:after="20"/>
              <w:jc w:val="center"/>
              <w:rPr>
                <w:sz w:val="20"/>
                <w:szCs w:val="20"/>
                <w:lang w:val="en-GB"/>
              </w:rPr>
            </w:pPr>
          </w:p>
        </w:tc>
        <w:tc>
          <w:tcPr>
            <w:tcW w:w="850" w:type="dxa"/>
            <w:tcBorders>
              <w:top w:val="nil"/>
              <w:bottom w:val="nil"/>
              <w:right w:val="nil"/>
            </w:tcBorders>
          </w:tcPr>
          <w:p w14:paraId="72082374" w14:textId="77777777" w:rsidR="00FD2A48" w:rsidRPr="0040294D" w:rsidRDefault="00FD2A48" w:rsidP="00377954">
            <w:pPr>
              <w:spacing w:before="20" w:after="20"/>
              <w:jc w:val="center"/>
              <w:rPr>
                <w:sz w:val="20"/>
                <w:szCs w:val="20"/>
                <w:lang w:val="en-GB"/>
              </w:rPr>
            </w:pPr>
          </w:p>
        </w:tc>
      </w:tr>
      <w:tr w:rsidR="00FD2A48" w:rsidRPr="0040294D" w14:paraId="0BEB5F7D" w14:textId="77777777" w:rsidTr="00377954">
        <w:trPr>
          <w:jc w:val="center"/>
        </w:trPr>
        <w:tc>
          <w:tcPr>
            <w:tcW w:w="4252" w:type="dxa"/>
            <w:tcBorders>
              <w:top w:val="nil"/>
              <w:left w:val="nil"/>
              <w:bottom w:val="nil"/>
            </w:tcBorders>
            <w:vAlign w:val="center"/>
          </w:tcPr>
          <w:p w14:paraId="1F4332C9" w14:textId="77777777" w:rsidR="00FD2A48" w:rsidRPr="0040294D" w:rsidRDefault="00FD2A48" w:rsidP="00377954">
            <w:pPr>
              <w:rPr>
                <w:i/>
                <w:sz w:val="20"/>
                <w:szCs w:val="20"/>
                <w:lang w:val="en-GB"/>
              </w:rPr>
            </w:pPr>
            <w:r w:rsidRPr="0040294D">
              <w:rPr>
                <w:i/>
                <w:sz w:val="20"/>
                <w:szCs w:val="20"/>
                <w:lang w:val="en-GB"/>
              </w:rPr>
              <w:t>5. Acquirer experience with US acquisitions (log.)</w:t>
            </w:r>
          </w:p>
        </w:tc>
        <w:tc>
          <w:tcPr>
            <w:tcW w:w="1387" w:type="dxa"/>
            <w:tcBorders>
              <w:top w:val="nil"/>
              <w:bottom w:val="nil"/>
            </w:tcBorders>
            <w:vAlign w:val="center"/>
          </w:tcPr>
          <w:p w14:paraId="6FFFFD51" w14:textId="77777777" w:rsidR="00FD2A48" w:rsidRPr="0040294D" w:rsidRDefault="00FD2A48" w:rsidP="00377954">
            <w:pPr>
              <w:spacing w:before="20" w:after="20"/>
              <w:ind w:right="-153"/>
              <w:rPr>
                <w:sz w:val="20"/>
                <w:szCs w:val="20"/>
                <w:lang w:val="en-GB"/>
              </w:rPr>
            </w:pPr>
            <w:r w:rsidRPr="0040294D">
              <w:rPr>
                <w:sz w:val="20"/>
                <w:szCs w:val="20"/>
                <w:lang w:val="en-GB"/>
              </w:rPr>
              <w:t xml:space="preserve">  1.16  (0.34)</w:t>
            </w:r>
          </w:p>
        </w:tc>
        <w:tc>
          <w:tcPr>
            <w:tcW w:w="850" w:type="dxa"/>
            <w:tcBorders>
              <w:top w:val="nil"/>
              <w:bottom w:val="nil"/>
            </w:tcBorders>
            <w:vAlign w:val="center"/>
          </w:tcPr>
          <w:p w14:paraId="4AA60463"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xml:space="preserve">   0.02</w:t>
            </w:r>
          </w:p>
        </w:tc>
        <w:tc>
          <w:tcPr>
            <w:tcW w:w="850" w:type="dxa"/>
            <w:tcBorders>
              <w:top w:val="nil"/>
              <w:bottom w:val="nil"/>
            </w:tcBorders>
          </w:tcPr>
          <w:p w14:paraId="5E031C76"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0.01</w:t>
            </w:r>
          </w:p>
        </w:tc>
        <w:tc>
          <w:tcPr>
            <w:tcW w:w="850" w:type="dxa"/>
            <w:tcBorders>
              <w:top w:val="nil"/>
              <w:bottom w:val="nil"/>
            </w:tcBorders>
            <w:vAlign w:val="center"/>
          </w:tcPr>
          <w:p w14:paraId="3867B42F"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xml:space="preserve">   0.25</w:t>
            </w:r>
          </w:p>
        </w:tc>
        <w:tc>
          <w:tcPr>
            <w:tcW w:w="850" w:type="dxa"/>
            <w:tcBorders>
              <w:top w:val="nil"/>
              <w:bottom w:val="nil"/>
            </w:tcBorders>
            <w:vAlign w:val="center"/>
          </w:tcPr>
          <w:p w14:paraId="7D783654"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xml:space="preserve">   0.63</w:t>
            </w:r>
          </w:p>
        </w:tc>
        <w:tc>
          <w:tcPr>
            <w:tcW w:w="850" w:type="dxa"/>
            <w:tcBorders>
              <w:top w:val="nil"/>
              <w:bottom w:val="nil"/>
            </w:tcBorders>
            <w:vAlign w:val="center"/>
          </w:tcPr>
          <w:p w14:paraId="07C92AC2" w14:textId="0BD48C29" w:rsidR="00FD2A48" w:rsidRPr="0040294D" w:rsidRDefault="0040294D" w:rsidP="00377954">
            <w:pPr>
              <w:spacing w:before="20" w:after="20"/>
              <w:jc w:val="center"/>
              <w:rPr>
                <w:sz w:val="20"/>
                <w:szCs w:val="20"/>
                <w:lang w:val="en-GB"/>
              </w:rPr>
            </w:pPr>
            <w:r>
              <w:rPr>
                <w:sz w:val="20"/>
                <w:szCs w:val="20"/>
                <w:lang w:val="en-GB"/>
              </w:rPr>
              <w:t xml:space="preserve"> — </w:t>
            </w:r>
          </w:p>
        </w:tc>
        <w:tc>
          <w:tcPr>
            <w:tcW w:w="850" w:type="dxa"/>
            <w:tcBorders>
              <w:top w:val="nil"/>
              <w:bottom w:val="nil"/>
            </w:tcBorders>
            <w:vAlign w:val="center"/>
          </w:tcPr>
          <w:p w14:paraId="4B79F9DE" w14:textId="77777777" w:rsidR="00FD2A48" w:rsidRPr="0040294D" w:rsidRDefault="00FD2A48" w:rsidP="00377954">
            <w:pPr>
              <w:spacing w:before="20" w:after="20"/>
              <w:jc w:val="center"/>
              <w:rPr>
                <w:sz w:val="20"/>
                <w:szCs w:val="20"/>
                <w:lang w:val="en-GB"/>
              </w:rPr>
            </w:pPr>
          </w:p>
        </w:tc>
        <w:tc>
          <w:tcPr>
            <w:tcW w:w="850" w:type="dxa"/>
            <w:tcBorders>
              <w:top w:val="nil"/>
              <w:bottom w:val="nil"/>
            </w:tcBorders>
            <w:vAlign w:val="center"/>
          </w:tcPr>
          <w:p w14:paraId="217385A1"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67DA2C01"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37D71D3F" w14:textId="77777777" w:rsidR="00FD2A48" w:rsidRPr="0040294D" w:rsidRDefault="00FD2A48" w:rsidP="00377954">
            <w:pPr>
              <w:spacing w:before="20" w:after="20"/>
              <w:jc w:val="center"/>
              <w:rPr>
                <w:sz w:val="20"/>
                <w:szCs w:val="20"/>
                <w:lang w:val="en-GB"/>
              </w:rPr>
            </w:pPr>
          </w:p>
        </w:tc>
        <w:tc>
          <w:tcPr>
            <w:tcW w:w="850" w:type="dxa"/>
            <w:tcBorders>
              <w:top w:val="nil"/>
              <w:bottom w:val="nil"/>
              <w:right w:val="nil"/>
            </w:tcBorders>
          </w:tcPr>
          <w:p w14:paraId="5289CF87" w14:textId="77777777" w:rsidR="00FD2A48" w:rsidRPr="0040294D" w:rsidRDefault="00FD2A48" w:rsidP="00377954">
            <w:pPr>
              <w:spacing w:before="20" w:after="20"/>
              <w:jc w:val="center"/>
              <w:rPr>
                <w:sz w:val="20"/>
                <w:szCs w:val="20"/>
                <w:lang w:val="en-GB"/>
              </w:rPr>
            </w:pPr>
          </w:p>
        </w:tc>
      </w:tr>
      <w:tr w:rsidR="00FD2A48" w:rsidRPr="0040294D" w14:paraId="3F2A2579" w14:textId="77777777" w:rsidTr="00377954">
        <w:trPr>
          <w:jc w:val="center"/>
        </w:trPr>
        <w:tc>
          <w:tcPr>
            <w:tcW w:w="4252" w:type="dxa"/>
            <w:tcBorders>
              <w:top w:val="nil"/>
              <w:left w:val="nil"/>
              <w:bottom w:val="nil"/>
            </w:tcBorders>
            <w:vAlign w:val="center"/>
          </w:tcPr>
          <w:p w14:paraId="5FBAF209" w14:textId="77777777" w:rsidR="00FD2A48" w:rsidRPr="0040294D" w:rsidRDefault="00FD2A48" w:rsidP="00377954">
            <w:pPr>
              <w:rPr>
                <w:i/>
                <w:sz w:val="20"/>
                <w:szCs w:val="20"/>
                <w:lang w:val="en-GB"/>
              </w:rPr>
            </w:pPr>
            <w:r w:rsidRPr="0040294D">
              <w:rPr>
                <w:i/>
                <w:sz w:val="20"/>
                <w:szCs w:val="20"/>
                <w:lang w:val="en-GB"/>
              </w:rPr>
              <w:t>6. Acquirer experience with US divestments (log.)</w:t>
            </w:r>
          </w:p>
        </w:tc>
        <w:tc>
          <w:tcPr>
            <w:tcW w:w="1387" w:type="dxa"/>
            <w:tcBorders>
              <w:top w:val="nil"/>
              <w:bottom w:val="nil"/>
            </w:tcBorders>
            <w:vAlign w:val="center"/>
          </w:tcPr>
          <w:p w14:paraId="21E422E1" w14:textId="77777777" w:rsidR="00FD2A48" w:rsidRPr="0040294D" w:rsidRDefault="00FD2A48" w:rsidP="00377954">
            <w:pPr>
              <w:spacing w:before="20" w:after="20"/>
              <w:ind w:right="-153"/>
              <w:rPr>
                <w:sz w:val="20"/>
                <w:szCs w:val="20"/>
                <w:lang w:val="en-GB"/>
              </w:rPr>
            </w:pPr>
            <w:r w:rsidRPr="0040294D">
              <w:rPr>
                <w:sz w:val="20"/>
                <w:szCs w:val="20"/>
                <w:lang w:val="en-GB"/>
              </w:rPr>
              <w:t xml:space="preserve">  0.47  (0.34)</w:t>
            </w:r>
          </w:p>
        </w:tc>
        <w:tc>
          <w:tcPr>
            <w:tcW w:w="850" w:type="dxa"/>
            <w:tcBorders>
              <w:top w:val="nil"/>
              <w:bottom w:val="nil"/>
            </w:tcBorders>
            <w:vAlign w:val="center"/>
          </w:tcPr>
          <w:p w14:paraId="481AE2E3" w14:textId="77777777" w:rsidR="00FD2A48" w:rsidRPr="0040294D" w:rsidRDefault="00FD2A48" w:rsidP="00377954">
            <w:pPr>
              <w:spacing w:before="20" w:after="20"/>
              <w:rPr>
                <w:sz w:val="20"/>
                <w:szCs w:val="20"/>
                <w:lang w:val="en-GB"/>
              </w:rPr>
            </w:pPr>
            <w:r w:rsidRPr="0040294D">
              <w:rPr>
                <w:sz w:val="20"/>
                <w:szCs w:val="20"/>
                <w:lang w:val="en-GB"/>
              </w:rPr>
              <w:t xml:space="preserve">   0.10</w:t>
            </w:r>
          </w:p>
        </w:tc>
        <w:tc>
          <w:tcPr>
            <w:tcW w:w="850" w:type="dxa"/>
            <w:tcBorders>
              <w:top w:val="nil"/>
              <w:bottom w:val="nil"/>
            </w:tcBorders>
          </w:tcPr>
          <w:p w14:paraId="4A7EED70"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xml:space="preserve">   0.21</w:t>
            </w:r>
          </w:p>
        </w:tc>
        <w:tc>
          <w:tcPr>
            <w:tcW w:w="850" w:type="dxa"/>
            <w:tcBorders>
              <w:top w:val="nil"/>
              <w:bottom w:val="nil"/>
            </w:tcBorders>
            <w:vAlign w:val="center"/>
          </w:tcPr>
          <w:p w14:paraId="0267CCC4" w14:textId="77777777" w:rsidR="00FD2A48" w:rsidRPr="0040294D" w:rsidRDefault="00FD2A48" w:rsidP="00377954">
            <w:pPr>
              <w:spacing w:before="20" w:after="20"/>
              <w:rPr>
                <w:sz w:val="20"/>
                <w:szCs w:val="20"/>
                <w:lang w:val="en-GB"/>
              </w:rPr>
            </w:pPr>
            <w:r w:rsidRPr="0040294D">
              <w:rPr>
                <w:sz w:val="20"/>
                <w:szCs w:val="20"/>
                <w:lang w:val="en-GB"/>
              </w:rPr>
              <w:t xml:space="preserve">   0.02</w:t>
            </w:r>
          </w:p>
        </w:tc>
        <w:tc>
          <w:tcPr>
            <w:tcW w:w="850" w:type="dxa"/>
            <w:tcBorders>
              <w:top w:val="nil"/>
              <w:bottom w:val="nil"/>
            </w:tcBorders>
            <w:vAlign w:val="center"/>
          </w:tcPr>
          <w:p w14:paraId="63271DF8" w14:textId="77777777" w:rsidR="00FD2A48" w:rsidRPr="0040294D" w:rsidRDefault="00FD2A48" w:rsidP="00377954">
            <w:pPr>
              <w:spacing w:before="20" w:after="20"/>
              <w:rPr>
                <w:sz w:val="20"/>
                <w:szCs w:val="20"/>
                <w:lang w:val="en-GB"/>
              </w:rPr>
            </w:pPr>
            <w:r w:rsidRPr="0040294D">
              <w:rPr>
                <w:sz w:val="20"/>
                <w:szCs w:val="20"/>
                <w:lang w:val="en-GB"/>
              </w:rPr>
              <w:t xml:space="preserve">   0.33</w:t>
            </w:r>
          </w:p>
        </w:tc>
        <w:tc>
          <w:tcPr>
            <w:tcW w:w="850" w:type="dxa"/>
            <w:tcBorders>
              <w:top w:val="nil"/>
              <w:bottom w:val="nil"/>
            </w:tcBorders>
            <w:vAlign w:val="center"/>
          </w:tcPr>
          <w:p w14:paraId="6EB597B9" w14:textId="77777777" w:rsidR="00FD2A48" w:rsidRPr="0040294D" w:rsidRDefault="00FD2A48" w:rsidP="00377954">
            <w:pPr>
              <w:spacing w:before="20" w:after="20"/>
              <w:rPr>
                <w:sz w:val="20"/>
                <w:szCs w:val="20"/>
                <w:lang w:val="en-GB"/>
              </w:rPr>
            </w:pPr>
            <w:r w:rsidRPr="0040294D">
              <w:rPr>
                <w:sz w:val="20"/>
                <w:szCs w:val="20"/>
                <w:lang w:val="en-GB"/>
              </w:rPr>
              <w:t xml:space="preserve">   0.45</w:t>
            </w:r>
          </w:p>
        </w:tc>
        <w:tc>
          <w:tcPr>
            <w:tcW w:w="850" w:type="dxa"/>
            <w:tcBorders>
              <w:top w:val="nil"/>
              <w:bottom w:val="nil"/>
            </w:tcBorders>
            <w:vAlign w:val="center"/>
          </w:tcPr>
          <w:p w14:paraId="478A82E0" w14:textId="7411C66D" w:rsidR="00FD2A48" w:rsidRPr="0040294D" w:rsidRDefault="0040294D" w:rsidP="00377954">
            <w:pPr>
              <w:spacing w:before="20" w:after="20"/>
              <w:jc w:val="center"/>
              <w:rPr>
                <w:sz w:val="20"/>
                <w:szCs w:val="20"/>
                <w:lang w:val="en-GB"/>
              </w:rPr>
            </w:pPr>
            <w:r>
              <w:rPr>
                <w:sz w:val="20"/>
                <w:szCs w:val="20"/>
                <w:lang w:val="en-GB"/>
              </w:rPr>
              <w:t xml:space="preserve"> — </w:t>
            </w:r>
          </w:p>
        </w:tc>
        <w:tc>
          <w:tcPr>
            <w:tcW w:w="850" w:type="dxa"/>
            <w:tcBorders>
              <w:top w:val="nil"/>
              <w:bottom w:val="nil"/>
            </w:tcBorders>
            <w:vAlign w:val="center"/>
          </w:tcPr>
          <w:p w14:paraId="27CBB028"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4C31ADC5"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28E44419" w14:textId="77777777" w:rsidR="00FD2A48" w:rsidRPr="0040294D" w:rsidRDefault="00FD2A48" w:rsidP="00377954">
            <w:pPr>
              <w:spacing w:before="20" w:after="20"/>
              <w:jc w:val="center"/>
              <w:rPr>
                <w:sz w:val="20"/>
                <w:szCs w:val="20"/>
                <w:lang w:val="en-GB"/>
              </w:rPr>
            </w:pPr>
          </w:p>
        </w:tc>
        <w:tc>
          <w:tcPr>
            <w:tcW w:w="850" w:type="dxa"/>
            <w:tcBorders>
              <w:top w:val="nil"/>
              <w:bottom w:val="nil"/>
              <w:right w:val="nil"/>
            </w:tcBorders>
          </w:tcPr>
          <w:p w14:paraId="58152B47" w14:textId="77777777" w:rsidR="00FD2A48" w:rsidRPr="0040294D" w:rsidRDefault="00FD2A48" w:rsidP="00377954">
            <w:pPr>
              <w:spacing w:before="20" w:after="20"/>
              <w:jc w:val="center"/>
              <w:rPr>
                <w:sz w:val="20"/>
                <w:szCs w:val="20"/>
                <w:lang w:val="en-GB"/>
              </w:rPr>
            </w:pPr>
          </w:p>
        </w:tc>
      </w:tr>
      <w:tr w:rsidR="00FD2A48" w:rsidRPr="0040294D" w14:paraId="3756CFC3" w14:textId="77777777" w:rsidTr="00377954">
        <w:trPr>
          <w:jc w:val="center"/>
        </w:trPr>
        <w:tc>
          <w:tcPr>
            <w:tcW w:w="4252" w:type="dxa"/>
            <w:tcBorders>
              <w:top w:val="nil"/>
              <w:left w:val="nil"/>
              <w:bottom w:val="nil"/>
            </w:tcBorders>
            <w:vAlign w:val="center"/>
          </w:tcPr>
          <w:p w14:paraId="4EEC7543" w14:textId="77777777" w:rsidR="00FD2A48" w:rsidRPr="0040294D" w:rsidRDefault="00FD2A48" w:rsidP="00377954">
            <w:pPr>
              <w:rPr>
                <w:i/>
                <w:iCs/>
                <w:sz w:val="20"/>
                <w:szCs w:val="20"/>
                <w:lang w:val="en-GB"/>
              </w:rPr>
            </w:pPr>
            <w:r w:rsidRPr="0040294D">
              <w:rPr>
                <w:i/>
                <w:sz w:val="20"/>
                <w:szCs w:val="20"/>
                <w:lang w:val="en-GB"/>
              </w:rPr>
              <w:t>7. Acquirer ROA</w:t>
            </w:r>
          </w:p>
        </w:tc>
        <w:tc>
          <w:tcPr>
            <w:tcW w:w="1387" w:type="dxa"/>
            <w:tcBorders>
              <w:top w:val="nil"/>
              <w:bottom w:val="nil"/>
            </w:tcBorders>
            <w:vAlign w:val="center"/>
          </w:tcPr>
          <w:p w14:paraId="605B712A" w14:textId="77777777" w:rsidR="00FD2A48" w:rsidRPr="0040294D" w:rsidRDefault="00FD2A48" w:rsidP="00377954">
            <w:pPr>
              <w:spacing w:before="20" w:after="20"/>
              <w:ind w:right="-153"/>
              <w:rPr>
                <w:sz w:val="20"/>
                <w:szCs w:val="20"/>
                <w:lang w:val="en-GB"/>
              </w:rPr>
            </w:pPr>
            <w:r w:rsidRPr="0040294D">
              <w:rPr>
                <w:sz w:val="20"/>
                <w:szCs w:val="20"/>
                <w:lang w:val="en-GB"/>
              </w:rPr>
              <w:t xml:space="preserve">  0.03  (0.05)</w:t>
            </w:r>
          </w:p>
        </w:tc>
        <w:tc>
          <w:tcPr>
            <w:tcW w:w="850" w:type="dxa"/>
            <w:tcBorders>
              <w:top w:val="nil"/>
              <w:bottom w:val="nil"/>
            </w:tcBorders>
            <w:vAlign w:val="center"/>
          </w:tcPr>
          <w:p w14:paraId="2F1152B1"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0.06</w:t>
            </w:r>
          </w:p>
        </w:tc>
        <w:tc>
          <w:tcPr>
            <w:tcW w:w="850" w:type="dxa"/>
            <w:tcBorders>
              <w:top w:val="nil"/>
              <w:bottom w:val="nil"/>
            </w:tcBorders>
          </w:tcPr>
          <w:p w14:paraId="469E227F"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0.34</w:t>
            </w:r>
          </w:p>
        </w:tc>
        <w:tc>
          <w:tcPr>
            <w:tcW w:w="850" w:type="dxa"/>
            <w:tcBorders>
              <w:top w:val="nil"/>
              <w:bottom w:val="nil"/>
            </w:tcBorders>
            <w:vAlign w:val="center"/>
          </w:tcPr>
          <w:p w14:paraId="3B9E45F1"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xml:space="preserve">   0.03</w:t>
            </w:r>
          </w:p>
        </w:tc>
        <w:tc>
          <w:tcPr>
            <w:tcW w:w="850" w:type="dxa"/>
            <w:tcBorders>
              <w:top w:val="nil"/>
              <w:bottom w:val="nil"/>
            </w:tcBorders>
            <w:vAlign w:val="center"/>
          </w:tcPr>
          <w:p w14:paraId="41EE064B"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xml:space="preserve">   0.07</w:t>
            </w:r>
          </w:p>
        </w:tc>
        <w:tc>
          <w:tcPr>
            <w:tcW w:w="850" w:type="dxa"/>
            <w:tcBorders>
              <w:top w:val="nil"/>
              <w:bottom w:val="nil"/>
            </w:tcBorders>
            <w:vAlign w:val="center"/>
          </w:tcPr>
          <w:p w14:paraId="6374399F"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xml:space="preserve">   0.10</w:t>
            </w:r>
          </w:p>
        </w:tc>
        <w:tc>
          <w:tcPr>
            <w:tcW w:w="850" w:type="dxa"/>
            <w:tcBorders>
              <w:top w:val="nil"/>
              <w:bottom w:val="nil"/>
            </w:tcBorders>
            <w:vAlign w:val="center"/>
          </w:tcPr>
          <w:p w14:paraId="7CD36273" w14:textId="77777777" w:rsidR="00FD2A48" w:rsidRPr="0040294D" w:rsidRDefault="00FD2A48" w:rsidP="00377954">
            <w:pPr>
              <w:spacing w:before="20" w:after="20"/>
              <w:rPr>
                <w:sz w:val="20"/>
                <w:szCs w:val="20"/>
                <w:lang w:val="en-GB"/>
              </w:rPr>
            </w:pPr>
            <w:r w:rsidRPr="0040294D">
              <w:rPr>
                <w:rFonts w:eastAsia="Arial Unicode MS"/>
                <w:sz w:val="20"/>
                <w:szCs w:val="20"/>
                <w:lang w:val="en-GB"/>
              </w:rPr>
              <w:t>– 0.29</w:t>
            </w:r>
          </w:p>
        </w:tc>
        <w:tc>
          <w:tcPr>
            <w:tcW w:w="850" w:type="dxa"/>
            <w:tcBorders>
              <w:top w:val="nil"/>
              <w:bottom w:val="nil"/>
            </w:tcBorders>
            <w:vAlign w:val="center"/>
          </w:tcPr>
          <w:p w14:paraId="5474BFE0" w14:textId="68F63304" w:rsidR="00FD2A48" w:rsidRPr="0040294D" w:rsidRDefault="0040294D" w:rsidP="00377954">
            <w:pPr>
              <w:spacing w:before="20" w:after="20"/>
              <w:jc w:val="center"/>
              <w:rPr>
                <w:sz w:val="20"/>
                <w:szCs w:val="20"/>
                <w:lang w:val="en-GB"/>
              </w:rPr>
            </w:pPr>
            <w:r>
              <w:rPr>
                <w:sz w:val="20"/>
                <w:szCs w:val="20"/>
                <w:lang w:val="en-GB"/>
              </w:rPr>
              <w:t xml:space="preserve"> — </w:t>
            </w:r>
          </w:p>
        </w:tc>
        <w:tc>
          <w:tcPr>
            <w:tcW w:w="850" w:type="dxa"/>
            <w:tcBorders>
              <w:top w:val="nil"/>
              <w:bottom w:val="nil"/>
            </w:tcBorders>
          </w:tcPr>
          <w:p w14:paraId="1DF1D602" w14:textId="77777777" w:rsidR="00FD2A48" w:rsidRPr="0040294D" w:rsidRDefault="00FD2A48" w:rsidP="00377954">
            <w:pPr>
              <w:spacing w:before="20" w:after="20"/>
              <w:jc w:val="center"/>
              <w:rPr>
                <w:sz w:val="20"/>
                <w:szCs w:val="20"/>
                <w:lang w:val="en-GB"/>
              </w:rPr>
            </w:pPr>
          </w:p>
        </w:tc>
        <w:tc>
          <w:tcPr>
            <w:tcW w:w="850" w:type="dxa"/>
            <w:tcBorders>
              <w:top w:val="nil"/>
              <w:bottom w:val="nil"/>
            </w:tcBorders>
          </w:tcPr>
          <w:p w14:paraId="61ABD833" w14:textId="77777777" w:rsidR="00FD2A48" w:rsidRPr="0040294D" w:rsidRDefault="00FD2A48" w:rsidP="00377954">
            <w:pPr>
              <w:spacing w:before="20" w:after="20"/>
              <w:jc w:val="center"/>
              <w:rPr>
                <w:sz w:val="20"/>
                <w:szCs w:val="20"/>
                <w:lang w:val="en-GB"/>
              </w:rPr>
            </w:pPr>
          </w:p>
        </w:tc>
        <w:tc>
          <w:tcPr>
            <w:tcW w:w="850" w:type="dxa"/>
            <w:tcBorders>
              <w:top w:val="nil"/>
              <w:bottom w:val="nil"/>
              <w:right w:val="nil"/>
            </w:tcBorders>
          </w:tcPr>
          <w:p w14:paraId="189215B0" w14:textId="77777777" w:rsidR="00FD2A48" w:rsidRPr="0040294D" w:rsidRDefault="00FD2A48" w:rsidP="00377954">
            <w:pPr>
              <w:spacing w:before="20" w:after="20"/>
              <w:jc w:val="center"/>
              <w:rPr>
                <w:sz w:val="20"/>
                <w:szCs w:val="20"/>
                <w:lang w:val="en-GB"/>
              </w:rPr>
            </w:pPr>
          </w:p>
        </w:tc>
      </w:tr>
      <w:tr w:rsidR="00FD2A48" w:rsidRPr="0040294D" w14:paraId="4EC0EDB5" w14:textId="77777777" w:rsidTr="00377954">
        <w:trPr>
          <w:jc w:val="center"/>
        </w:trPr>
        <w:tc>
          <w:tcPr>
            <w:tcW w:w="4252" w:type="dxa"/>
            <w:tcBorders>
              <w:top w:val="nil"/>
              <w:left w:val="nil"/>
              <w:bottom w:val="nil"/>
            </w:tcBorders>
            <w:vAlign w:val="center"/>
          </w:tcPr>
          <w:p w14:paraId="186D48FA" w14:textId="77777777" w:rsidR="00FD2A48" w:rsidRPr="0040294D" w:rsidRDefault="00FD2A48" w:rsidP="00377954">
            <w:pPr>
              <w:rPr>
                <w:i/>
                <w:sz w:val="20"/>
                <w:szCs w:val="20"/>
                <w:lang w:val="en-GB"/>
              </w:rPr>
            </w:pPr>
            <w:r w:rsidRPr="0040294D">
              <w:rPr>
                <w:i/>
                <w:sz w:val="20"/>
                <w:szCs w:val="20"/>
                <w:lang w:val="en-GB"/>
              </w:rPr>
              <w:t>8. Acquirer CEO change</w:t>
            </w:r>
          </w:p>
        </w:tc>
        <w:tc>
          <w:tcPr>
            <w:tcW w:w="1387" w:type="dxa"/>
            <w:tcBorders>
              <w:top w:val="nil"/>
              <w:bottom w:val="nil"/>
            </w:tcBorders>
            <w:vAlign w:val="center"/>
          </w:tcPr>
          <w:p w14:paraId="33957032" w14:textId="77777777" w:rsidR="00FD2A48" w:rsidRPr="0040294D" w:rsidRDefault="00FD2A48" w:rsidP="00377954">
            <w:pPr>
              <w:spacing w:before="20" w:after="20"/>
              <w:ind w:right="-153"/>
              <w:rPr>
                <w:sz w:val="20"/>
                <w:szCs w:val="20"/>
                <w:lang w:val="en-GB"/>
              </w:rPr>
            </w:pPr>
            <w:r w:rsidRPr="0040294D">
              <w:rPr>
                <w:sz w:val="20"/>
                <w:szCs w:val="20"/>
                <w:lang w:val="en-GB"/>
              </w:rPr>
              <w:t xml:space="preserve">  0.13  (0.35)</w:t>
            </w:r>
          </w:p>
        </w:tc>
        <w:tc>
          <w:tcPr>
            <w:tcW w:w="850" w:type="dxa"/>
            <w:tcBorders>
              <w:top w:val="nil"/>
              <w:bottom w:val="nil"/>
            </w:tcBorders>
            <w:vAlign w:val="center"/>
          </w:tcPr>
          <w:p w14:paraId="06FDEBAF"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xml:space="preserve">   0.02</w:t>
            </w:r>
          </w:p>
        </w:tc>
        <w:tc>
          <w:tcPr>
            <w:tcW w:w="850" w:type="dxa"/>
            <w:tcBorders>
              <w:top w:val="nil"/>
              <w:bottom w:val="nil"/>
            </w:tcBorders>
            <w:vAlign w:val="center"/>
          </w:tcPr>
          <w:p w14:paraId="564750EB"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xml:space="preserve">   0.05</w:t>
            </w:r>
          </w:p>
        </w:tc>
        <w:tc>
          <w:tcPr>
            <w:tcW w:w="850" w:type="dxa"/>
            <w:tcBorders>
              <w:top w:val="nil"/>
              <w:bottom w:val="nil"/>
            </w:tcBorders>
            <w:vAlign w:val="center"/>
          </w:tcPr>
          <w:p w14:paraId="08F837FE"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0.31</w:t>
            </w:r>
          </w:p>
        </w:tc>
        <w:tc>
          <w:tcPr>
            <w:tcW w:w="850" w:type="dxa"/>
            <w:tcBorders>
              <w:top w:val="nil"/>
              <w:bottom w:val="nil"/>
            </w:tcBorders>
            <w:vAlign w:val="center"/>
          </w:tcPr>
          <w:p w14:paraId="3588BEFA"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0.06</w:t>
            </w:r>
          </w:p>
        </w:tc>
        <w:tc>
          <w:tcPr>
            <w:tcW w:w="850" w:type="dxa"/>
            <w:tcBorders>
              <w:top w:val="nil"/>
              <w:bottom w:val="nil"/>
            </w:tcBorders>
            <w:vAlign w:val="center"/>
          </w:tcPr>
          <w:p w14:paraId="5A133D08"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0.18</w:t>
            </w:r>
          </w:p>
        </w:tc>
        <w:tc>
          <w:tcPr>
            <w:tcW w:w="850" w:type="dxa"/>
            <w:tcBorders>
              <w:top w:val="nil"/>
              <w:bottom w:val="nil"/>
            </w:tcBorders>
            <w:vAlign w:val="center"/>
          </w:tcPr>
          <w:p w14:paraId="2F194F4C"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xml:space="preserve">   0.06</w:t>
            </w:r>
          </w:p>
        </w:tc>
        <w:tc>
          <w:tcPr>
            <w:tcW w:w="850" w:type="dxa"/>
            <w:tcBorders>
              <w:top w:val="nil"/>
              <w:bottom w:val="nil"/>
            </w:tcBorders>
            <w:vAlign w:val="center"/>
          </w:tcPr>
          <w:p w14:paraId="7903E5F5"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0.11</w:t>
            </w:r>
          </w:p>
        </w:tc>
        <w:tc>
          <w:tcPr>
            <w:tcW w:w="850" w:type="dxa"/>
            <w:tcBorders>
              <w:top w:val="nil"/>
              <w:bottom w:val="nil"/>
            </w:tcBorders>
          </w:tcPr>
          <w:p w14:paraId="2599CF8F" w14:textId="28975A32" w:rsidR="00FD2A48" w:rsidRPr="0040294D" w:rsidRDefault="0040294D" w:rsidP="00377954">
            <w:pPr>
              <w:spacing w:before="20" w:after="20"/>
              <w:jc w:val="center"/>
              <w:rPr>
                <w:sz w:val="20"/>
                <w:szCs w:val="20"/>
                <w:lang w:val="en-GB"/>
              </w:rPr>
            </w:pPr>
            <w:r>
              <w:rPr>
                <w:sz w:val="20"/>
                <w:szCs w:val="20"/>
                <w:lang w:val="en-GB"/>
              </w:rPr>
              <w:t xml:space="preserve"> — </w:t>
            </w:r>
          </w:p>
        </w:tc>
        <w:tc>
          <w:tcPr>
            <w:tcW w:w="850" w:type="dxa"/>
            <w:tcBorders>
              <w:top w:val="nil"/>
              <w:bottom w:val="nil"/>
            </w:tcBorders>
          </w:tcPr>
          <w:p w14:paraId="18BC55A0" w14:textId="77777777" w:rsidR="00FD2A48" w:rsidRPr="0040294D" w:rsidRDefault="00FD2A48" w:rsidP="00377954">
            <w:pPr>
              <w:spacing w:before="20" w:after="20"/>
              <w:jc w:val="center"/>
              <w:rPr>
                <w:sz w:val="20"/>
                <w:szCs w:val="20"/>
                <w:lang w:val="en-GB"/>
              </w:rPr>
            </w:pPr>
          </w:p>
        </w:tc>
        <w:tc>
          <w:tcPr>
            <w:tcW w:w="850" w:type="dxa"/>
            <w:tcBorders>
              <w:top w:val="nil"/>
              <w:bottom w:val="nil"/>
              <w:right w:val="nil"/>
            </w:tcBorders>
          </w:tcPr>
          <w:p w14:paraId="0C2DA934" w14:textId="77777777" w:rsidR="00FD2A48" w:rsidRPr="0040294D" w:rsidRDefault="00FD2A48" w:rsidP="00377954">
            <w:pPr>
              <w:spacing w:before="20" w:after="20"/>
              <w:jc w:val="center"/>
              <w:rPr>
                <w:sz w:val="20"/>
                <w:szCs w:val="20"/>
                <w:lang w:val="en-GB"/>
              </w:rPr>
            </w:pPr>
          </w:p>
        </w:tc>
      </w:tr>
      <w:tr w:rsidR="00FD2A48" w:rsidRPr="0040294D" w14:paraId="56C667EF" w14:textId="77777777" w:rsidTr="00377954">
        <w:trPr>
          <w:jc w:val="center"/>
        </w:trPr>
        <w:tc>
          <w:tcPr>
            <w:tcW w:w="4252" w:type="dxa"/>
            <w:tcBorders>
              <w:top w:val="nil"/>
              <w:left w:val="nil"/>
              <w:bottom w:val="nil"/>
            </w:tcBorders>
            <w:vAlign w:val="center"/>
          </w:tcPr>
          <w:p w14:paraId="5A6C0CF9" w14:textId="77777777" w:rsidR="00FD2A48" w:rsidRPr="0040294D" w:rsidRDefault="00FD2A48" w:rsidP="00377954">
            <w:pPr>
              <w:rPr>
                <w:i/>
                <w:sz w:val="20"/>
                <w:szCs w:val="20"/>
                <w:lang w:val="en-GB"/>
              </w:rPr>
            </w:pPr>
            <w:r w:rsidRPr="0040294D">
              <w:rPr>
                <w:i/>
                <w:sz w:val="20"/>
                <w:szCs w:val="20"/>
                <w:lang w:val="en-GB"/>
              </w:rPr>
              <w:t>9. Relative size</w:t>
            </w:r>
          </w:p>
        </w:tc>
        <w:tc>
          <w:tcPr>
            <w:tcW w:w="1387" w:type="dxa"/>
            <w:tcBorders>
              <w:top w:val="nil"/>
              <w:bottom w:val="nil"/>
            </w:tcBorders>
            <w:vAlign w:val="center"/>
          </w:tcPr>
          <w:p w14:paraId="7E3A8C96" w14:textId="77777777" w:rsidR="00FD2A48" w:rsidRPr="0040294D" w:rsidRDefault="00FD2A48" w:rsidP="00377954">
            <w:pPr>
              <w:spacing w:before="20" w:after="20"/>
              <w:ind w:right="-153"/>
              <w:rPr>
                <w:sz w:val="20"/>
                <w:szCs w:val="20"/>
                <w:lang w:val="en-GB"/>
              </w:rPr>
            </w:pPr>
            <w:r w:rsidRPr="0040294D">
              <w:rPr>
                <w:sz w:val="20"/>
                <w:szCs w:val="20"/>
                <w:lang w:val="en-GB"/>
              </w:rPr>
              <w:t xml:space="preserve">  0.12  (2.24)</w:t>
            </w:r>
          </w:p>
        </w:tc>
        <w:tc>
          <w:tcPr>
            <w:tcW w:w="850" w:type="dxa"/>
            <w:tcBorders>
              <w:top w:val="nil"/>
              <w:bottom w:val="nil"/>
            </w:tcBorders>
            <w:vAlign w:val="center"/>
          </w:tcPr>
          <w:p w14:paraId="2730586B"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xml:space="preserve">   0.00</w:t>
            </w:r>
          </w:p>
        </w:tc>
        <w:tc>
          <w:tcPr>
            <w:tcW w:w="850" w:type="dxa"/>
            <w:tcBorders>
              <w:top w:val="nil"/>
              <w:bottom w:val="nil"/>
            </w:tcBorders>
            <w:vAlign w:val="center"/>
          </w:tcPr>
          <w:p w14:paraId="04BCD984"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0.01</w:t>
            </w:r>
          </w:p>
        </w:tc>
        <w:tc>
          <w:tcPr>
            <w:tcW w:w="850" w:type="dxa"/>
            <w:tcBorders>
              <w:top w:val="nil"/>
              <w:bottom w:val="nil"/>
            </w:tcBorders>
            <w:vAlign w:val="center"/>
          </w:tcPr>
          <w:p w14:paraId="5BF14BDB"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xml:space="preserve">   0.02</w:t>
            </w:r>
          </w:p>
        </w:tc>
        <w:tc>
          <w:tcPr>
            <w:tcW w:w="850" w:type="dxa"/>
            <w:tcBorders>
              <w:top w:val="nil"/>
              <w:bottom w:val="nil"/>
            </w:tcBorders>
            <w:vAlign w:val="center"/>
          </w:tcPr>
          <w:p w14:paraId="52F80585"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0.02</w:t>
            </w:r>
          </w:p>
        </w:tc>
        <w:tc>
          <w:tcPr>
            <w:tcW w:w="850" w:type="dxa"/>
            <w:tcBorders>
              <w:top w:val="nil"/>
              <w:bottom w:val="nil"/>
            </w:tcBorders>
            <w:vAlign w:val="center"/>
          </w:tcPr>
          <w:p w14:paraId="0FF8ADEA"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0.08</w:t>
            </w:r>
          </w:p>
        </w:tc>
        <w:tc>
          <w:tcPr>
            <w:tcW w:w="850" w:type="dxa"/>
            <w:tcBorders>
              <w:top w:val="nil"/>
              <w:bottom w:val="nil"/>
            </w:tcBorders>
            <w:vAlign w:val="center"/>
          </w:tcPr>
          <w:p w14:paraId="5234A161"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0.04</w:t>
            </w:r>
          </w:p>
        </w:tc>
        <w:tc>
          <w:tcPr>
            <w:tcW w:w="850" w:type="dxa"/>
            <w:tcBorders>
              <w:top w:val="nil"/>
              <w:bottom w:val="nil"/>
            </w:tcBorders>
            <w:vAlign w:val="center"/>
          </w:tcPr>
          <w:p w14:paraId="481FE8FE"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0.02</w:t>
            </w:r>
          </w:p>
        </w:tc>
        <w:tc>
          <w:tcPr>
            <w:tcW w:w="850" w:type="dxa"/>
            <w:tcBorders>
              <w:top w:val="nil"/>
              <w:bottom w:val="nil"/>
            </w:tcBorders>
            <w:vAlign w:val="center"/>
          </w:tcPr>
          <w:p w14:paraId="0B3A418D"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0.00</w:t>
            </w:r>
          </w:p>
        </w:tc>
        <w:tc>
          <w:tcPr>
            <w:tcW w:w="850" w:type="dxa"/>
            <w:tcBorders>
              <w:top w:val="nil"/>
              <w:bottom w:val="nil"/>
            </w:tcBorders>
          </w:tcPr>
          <w:p w14:paraId="54F17991" w14:textId="480FFE30" w:rsidR="00FD2A48" w:rsidRPr="0040294D" w:rsidRDefault="0040294D" w:rsidP="00377954">
            <w:pPr>
              <w:spacing w:before="20" w:after="20"/>
              <w:jc w:val="center"/>
              <w:rPr>
                <w:sz w:val="20"/>
                <w:szCs w:val="20"/>
                <w:lang w:val="en-GB"/>
              </w:rPr>
            </w:pPr>
            <w:r>
              <w:rPr>
                <w:sz w:val="20"/>
                <w:szCs w:val="20"/>
                <w:lang w:val="en-GB"/>
              </w:rPr>
              <w:t xml:space="preserve"> — </w:t>
            </w:r>
          </w:p>
        </w:tc>
        <w:tc>
          <w:tcPr>
            <w:tcW w:w="850" w:type="dxa"/>
            <w:tcBorders>
              <w:top w:val="nil"/>
              <w:bottom w:val="nil"/>
              <w:right w:val="nil"/>
            </w:tcBorders>
          </w:tcPr>
          <w:p w14:paraId="4ED1841F" w14:textId="77777777" w:rsidR="00FD2A48" w:rsidRPr="0040294D" w:rsidRDefault="00FD2A48" w:rsidP="00377954">
            <w:pPr>
              <w:spacing w:before="20" w:after="20"/>
              <w:jc w:val="center"/>
              <w:rPr>
                <w:sz w:val="20"/>
                <w:szCs w:val="20"/>
                <w:lang w:val="en-GB"/>
              </w:rPr>
            </w:pPr>
          </w:p>
        </w:tc>
      </w:tr>
      <w:tr w:rsidR="00FD2A48" w:rsidRPr="0040294D" w14:paraId="0B3FE361" w14:textId="77777777" w:rsidTr="00377954">
        <w:trPr>
          <w:jc w:val="center"/>
        </w:trPr>
        <w:tc>
          <w:tcPr>
            <w:tcW w:w="4252" w:type="dxa"/>
            <w:tcBorders>
              <w:top w:val="nil"/>
              <w:left w:val="nil"/>
              <w:bottom w:val="nil"/>
            </w:tcBorders>
            <w:vAlign w:val="center"/>
          </w:tcPr>
          <w:p w14:paraId="148E3164" w14:textId="77777777" w:rsidR="00FD2A48" w:rsidRPr="0040294D" w:rsidRDefault="00FD2A48" w:rsidP="00377954">
            <w:pPr>
              <w:rPr>
                <w:i/>
                <w:sz w:val="20"/>
                <w:szCs w:val="20"/>
                <w:lang w:val="en-GB"/>
              </w:rPr>
            </w:pPr>
            <w:r w:rsidRPr="0040294D">
              <w:rPr>
                <w:i/>
                <w:sz w:val="20"/>
                <w:szCs w:val="20"/>
                <w:lang w:val="en-GB"/>
              </w:rPr>
              <w:t>10. Transaction price (log.)</w:t>
            </w:r>
          </w:p>
        </w:tc>
        <w:tc>
          <w:tcPr>
            <w:tcW w:w="1387" w:type="dxa"/>
            <w:tcBorders>
              <w:top w:val="nil"/>
              <w:bottom w:val="nil"/>
            </w:tcBorders>
            <w:vAlign w:val="center"/>
          </w:tcPr>
          <w:p w14:paraId="2E097C95" w14:textId="77777777" w:rsidR="00FD2A48" w:rsidRPr="0040294D" w:rsidRDefault="00FD2A48" w:rsidP="00377954">
            <w:pPr>
              <w:spacing w:before="20" w:after="20"/>
              <w:ind w:right="-153"/>
              <w:rPr>
                <w:sz w:val="20"/>
                <w:szCs w:val="20"/>
                <w:lang w:val="en-GB"/>
              </w:rPr>
            </w:pPr>
            <w:r w:rsidRPr="0040294D">
              <w:rPr>
                <w:sz w:val="20"/>
                <w:szCs w:val="20"/>
                <w:lang w:val="en-GB"/>
              </w:rPr>
              <w:t xml:space="preserve">  1.79  (0.71)</w:t>
            </w:r>
          </w:p>
        </w:tc>
        <w:tc>
          <w:tcPr>
            <w:tcW w:w="850" w:type="dxa"/>
            <w:tcBorders>
              <w:top w:val="nil"/>
              <w:bottom w:val="nil"/>
            </w:tcBorders>
            <w:vAlign w:val="center"/>
          </w:tcPr>
          <w:p w14:paraId="3CFD1CE5"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xml:space="preserve">   0.10</w:t>
            </w:r>
          </w:p>
        </w:tc>
        <w:tc>
          <w:tcPr>
            <w:tcW w:w="850" w:type="dxa"/>
            <w:tcBorders>
              <w:top w:val="nil"/>
              <w:bottom w:val="nil"/>
            </w:tcBorders>
            <w:vAlign w:val="center"/>
          </w:tcPr>
          <w:p w14:paraId="554A62F1"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0.01</w:t>
            </w:r>
          </w:p>
        </w:tc>
        <w:tc>
          <w:tcPr>
            <w:tcW w:w="850" w:type="dxa"/>
            <w:tcBorders>
              <w:top w:val="nil"/>
              <w:bottom w:val="nil"/>
            </w:tcBorders>
            <w:vAlign w:val="center"/>
          </w:tcPr>
          <w:p w14:paraId="21C2AB04" w14:textId="77777777" w:rsidR="00FD2A48" w:rsidRPr="0040294D" w:rsidRDefault="00FD2A48" w:rsidP="00377954">
            <w:pPr>
              <w:spacing w:before="20" w:after="20"/>
              <w:rPr>
                <w:rFonts w:eastAsia="Arial Unicode MS"/>
                <w:sz w:val="20"/>
                <w:szCs w:val="20"/>
                <w:lang w:val="en-GB"/>
              </w:rPr>
            </w:pPr>
            <w:r w:rsidRPr="0040294D">
              <w:rPr>
                <w:rFonts w:eastAsia="Arial Unicode MS"/>
                <w:sz w:val="20"/>
                <w:szCs w:val="20"/>
                <w:lang w:val="en-GB"/>
              </w:rPr>
              <w:t>– 0.07</w:t>
            </w:r>
          </w:p>
        </w:tc>
        <w:tc>
          <w:tcPr>
            <w:tcW w:w="850" w:type="dxa"/>
            <w:tcBorders>
              <w:top w:val="nil"/>
              <w:bottom w:val="nil"/>
            </w:tcBorders>
            <w:vAlign w:val="center"/>
          </w:tcPr>
          <w:p w14:paraId="44278EC5"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xml:space="preserve">   0.01</w:t>
            </w:r>
          </w:p>
        </w:tc>
        <w:tc>
          <w:tcPr>
            <w:tcW w:w="850" w:type="dxa"/>
            <w:tcBorders>
              <w:top w:val="nil"/>
              <w:bottom w:val="nil"/>
            </w:tcBorders>
            <w:vAlign w:val="center"/>
          </w:tcPr>
          <w:p w14:paraId="3C9CFEFF"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0.18</w:t>
            </w:r>
          </w:p>
        </w:tc>
        <w:tc>
          <w:tcPr>
            <w:tcW w:w="850" w:type="dxa"/>
            <w:tcBorders>
              <w:top w:val="nil"/>
              <w:bottom w:val="nil"/>
            </w:tcBorders>
            <w:vAlign w:val="center"/>
          </w:tcPr>
          <w:p w14:paraId="6DEF57E6"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0.01</w:t>
            </w:r>
          </w:p>
        </w:tc>
        <w:tc>
          <w:tcPr>
            <w:tcW w:w="850" w:type="dxa"/>
            <w:tcBorders>
              <w:top w:val="nil"/>
              <w:bottom w:val="nil"/>
            </w:tcBorders>
            <w:vAlign w:val="center"/>
          </w:tcPr>
          <w:p w14:paraId="120BF58A"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0.10</w:t>
            </w:r>
          </w:p>
        </w:tc>
        <w:tc>
          <w:tcPr>
            <w:tcW w:w="850" w:type="dxa"/>
            <w:tcBorders>
              <w:top w:val="nil"/>
              <w:bottom w:val="nil"/>
            </w:tcBorders>
            <w:vAlign w:val="center"/>
          </w:tcPr>
          <w:p w14:paraId="6FD760A8"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xml:space="preserve">   0.14</w:t>
            </w:r>
          </w:p>
        </w:tc>
        <w:tc>
          <w:tcPr>
            <w:tcW w:w="850" w:type="dxa"/>
            <w:tcBorders>
              <w:top w:val="nil"/>
              <w:bottom w:val="nil"/>
            </w:tcBorders>
            <w:vAlign w:val="center"/>
          </w:tcPr>
          <w:p w14:paraId="34A40FB5"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xml:space="preserve">   0.00</w:t>
            </w:r>
          </w:p>
        </w:tc>
        <w:tc>
          <w:tcPr>
            <w:tcW w:w="850" w:type="dxa"/>
            <w:tcBorders>
              <w:top w:val="nil"/>
              <w:bottom w:val="nil"/>
              <w:right w:val="nil"/>
            </w:tcBorders>
          </w:tcPr>
          <w:p w14:paraId="14FB6434" w14:textId="516BF313" w:rsidR="00FD2A48" w:rsidRPr="0040294D" w:rsidRDefault="0040294D" w:rsidP="00377954">
            <w:pPr>
              <w:spacing w:before="20" w:after="40"/>
              <w:jc w:val="center"/>
              <w:rPr>
                <w:rFonts w:eastAsia="Arial Unicode MS"/>
                <w:sz w:val="20"/>
                <w:szCs w:val="20"/>
                <w:lang w:val="en-GB"/>
              </w:rPr>
            </w:pPr>
            <w:r>
              <w:rPr>
                <w:sz w:val="20"/>
                <w:szCs w:val="20"/>
                <w:lang w:val="en-GB"/>
              </w:rPr>
              <w:t xml:space="preserve"> — </w:t>
            </w:r>
          </w:p>
        </w:tc>
      </w:tr>
      <w:tr w:rsidR="00FD2A48" w:rsidRPr="0040294D" w14:paraId="54E172EF" w14:textId="77777777" w:rsidTr="00377954">
        <w:trPr>
          <w:jc w:val="center"/>
        </w:trPr>
        <w:tc>
          <w:tcPr>
            <w:tcW w:w="4252" w:type="dxa"/>
            <w:tcBorders>
              <w:top w:val="nil"/>
              <w:left w:val="nil"/>
              <w:bottom w:val="single" w:sz="4" w:space="0" w:color="auto"/>
            </w:tcBorders>
            <w:vAlign w:val="center"/>
          </w:tcPr>
          <w:p w14:paraId="2D02B477" w14:textId="77777777" w:rsidR="00FD2A48" w:rsidRPr="0040294D" w:rsidRDefault="00FD2A48" w:rsidP="00377954">
            <w:pPr>
              <w:rPr>
                <w:i/>
                <w:sz w:val="20"/>
                <w:szCs w:val="20"/>
                <w:lang w:val="en-GB"/>
              </w:rPr>
            </w:pPr>
            <w:r w:rsidRPr="0040294D">
              <w:rPr>
                <w:i/>
                <w:sz w:val="20"/>
                <w:szCs w:val="20"/>
                <w:lang w:val="en-GB"/>
              </w:rPr>
              <w:t>11. Acquirer-to-acquired firm relatedness</w:t>
            </w:r>
          </w:p>
        </w:tc>
        <w:tc>
          <w:tcPr>
            <w:tcW w:w="1387" w:type="dxa"/>
            <w:tcBorders>
              <w:top w:val="nil"/>
              <w:bottom w:val="single" w:sz="4" w:space="0" w:color="auto"/>
            </w:tcBorders>
            <w:vAlign w:val="center"/>
          </w:tcPr>
          <w:p w14:paraId="5BD203DC" w14:textId="77777777" w:rsidR="00FD2A48" w:rsidRPr="0040294D" w:rsidRDefault="00FD2A48" w:rsidP="00377954">
            <w:pPr>
              <w:spacing w:before="20" w:after="40"/>
              <w:ind w:right="-153"/>
              <w:rPr>
                <w:sz w:val="20"/>
                <w:szCs w:val="20"/>
                <w:lang w:val="en-GB"/>
              </w:rPr>
            </w:pPr>
            <w:r w:rsidRPr="0040294D">
              <w:rPr>
                <w:sz w:val="20"/>
                <w:szCs w:val="20"/>
                <w:lang w:val="en-GB"/>
              </w:rPr>
              <w:t xml:space="preserve">  2.67  (1.57)</w:t>
            </w:r>
          </w:p>
        </w:tc>
        <w:tc>
          <w:tcPr>
            <w:tcW w:w="850" w:type="dxa"/>
            <w:tcBorders>
              <w:top w:val="nil"/>
              <w:bottom w:val="single" w:sz="4" w:space="0" w:color="auto"/>
            </w:tcBorders>
            <w:vAlign w:val="center"/>
          </w:tcPr>
          <w:p w14:paraId="22EAE577"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0.13</w:t>
            </w:r>
          </w:p>
        </w:tc>
        <w:tc>
          <w:tcPr>
            <w:tcW w:w="850" w:type="dxa"/>
            <w:tcBorders>
              <w:top w:val="nil"/>
              <w:bottom w:val="single" w:sz="4" w:space="0" w:color="auto"/>
            </w:tcBorders>
            <w:vAlign w:val="center"/>
          </w:tcPr>
          <w:p w14:paraId="2871D834"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0.10</w:t>
            </w:r>
          </w:p>
        </w:tc>
        <w:tc>
          <w:tcPr>
            <w:tcW w:w="850" w:type="dxa"/>
            <w:tcBorders>
              <w:top w:val="nil"/>
              <w:bottom w:val="single" w:sz="4" w:space="0" w:color="auto"/>
            </w:tcBorders>
            <w:vAlign w:val="center"/>
          </w:tcPr>
          <w:p w14:paraId="328011CB"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xml:space="preserve">   0.08</w:t>
            </w:r>
          </w:p>
        </w:tc>
        <w:tc>
          <w:tcPr>
            <w:tcW w:w="850" w:type="dxa"/>
            <w:tcBorders>
              <w:top w:val="nil"/>
              <w:bottom w:val="single" w:sz="4" w:space="0" w:color="auto"/>
            </w:tcBorders>
            <w:vAlign w:val="center"/>
          </w:tcPr>
          <w:p w14:paraId="7637567C"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xml:space="preserve">   0.03</w:t>
            </w:r>
          </w:p>
        </w:tc>
        <w:tc>
          <w:tcPr>
            <w:tcW w:w="850" w:type="dxa"/>
            <w:tcBorders>
              <w:top w:val="nil"/>
              <w:bottom w:val="single" w:sz="4" w:space="0" w:color="auto"/>
            </w:tcBorders>
            <w:vAlign w:val="center"/>
          </w:tcPr>
          <w:p w14:paraId="43FDC6A9"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xml:space="preserve">   0.13</w:t>
            </w:r>
          </w:p>
        </w:tc>
        <w:tc>
          <w:tcPr>
            <w:tcW w:w="850" w:type="dxa"/>
            <w:tcBorders>
              <w:top w:val="nil"/>
              <w:bottom w:val="single" w:sz="4" w:space="0" w:color="auto"/>
            </w:tcBorders>
            <w:vAlign w:val="center"/>
          </w:tcPr>
          <w:p w14:paraId="79BB25B8"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0.04</w:t>
            </w:r>
          </w:p>
        </w:tc>
        <w:tc>
          <w:tcPr>
            <w:tcW w:w="850" w:type="dxa"/>
            <w:tcBorders>
              <w:top w:val="nil"/>
              <w:bottom w:val="single" w:sz="4" w:space="0" w:color="auto"/>
            </w:tcBorders>
            <w:vAlign w:val="center"/>
          </w:tcPr>
          <w:p w14:paraId="1BA30C5E"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xml:space="preserve">   0.15</w:t>
            </w:r>
          </w:p>
        </w:tc>
        <w:tc>
          <w:tcPr>
            <w:tcW w:w="850" w:type="dxa"/>
            <w:tcBorders>
              <w:top w:val="nil"/>
              <w:bottom w:val="single" w:sz="4" w:space="0" w:color="auto"/>
            </w:tcBorders>
            <w:vAlign w:val="center"/>
          </w:tcPr>
          <w:p w14:paraId="591E23D3"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0.03</w:t>
            </w:r>
          </w:p>
        </w:tc>
        <w:tc>
          <w:tcPr>
            <w:tcW w:w="850" w:type="dxa"/>
            <w:tcBorders>
              <w:top w:val="nil"/>
              <w:bottom w:val="single" w:sz="4" w:space="0" w:color="auto"/>
            </w:tcBorders>
            <w:vAlign w:val="center"/>
          </w:tcPr>
          <w:p w14:paraId="74513FE6" w14:textId="77777777" w:rsidR="00FD2A48" w:rsidRPr="0040294D" w:rsidRDefault="00FD2A48" w:rsidP="00377954">
            <w:pPr>
              <w:spacing w:before="20" w:after="40"/>
              <w:rPr>
                <w:sz w:val="20"/>
                <w:szCs w:val="20"/>
                <w:lang w:val="en-GB"/>
              </w:rPr>
            </w:pPr>
            <w:r w:rsidRPr="0040294D">
              <w:rPr>
                <w:rFonts w:eastAsia="Arial Unicode MS"/>
                <w:sz w:val="20"/>
                <w:szCs w:val="20"/>
                <w:lang w:val="en-GB"/>
              </w:rPr>
              <w:t xml:space="preserve">   0.01</w:t>
            </w:r>
          </w:p>
        </w:tc>
        <w:tc>
          <w:tcPr>
            <w:tcW w:w="850" w:type="dxa"/>
            <w:tcBorders>
              <w:top w:val="nil"/>
              <w:bottom w:val="single" w:sz="4" w:space="0" w:color="auto"/>
              <w:right w:val="nil"/>
            </w:tcBorders>
          </w:tcPr>
          <w:p w14:paraId="6C0D4A1F" w14:textId="77777777" w:rsidR="00FD2A48" w:rsidRPr="0040294D" w:rsidRDefault="00FD2A48" w:rsidP="00377954">
            <w:pPr>
              <w:spacing w:before="20" w:after="40"/>
              <w:rPr>
                <w:rFonts w:eastAsia="Arial Unicode MS"/>
                <w:sz w:val="20"/>
                <w:szCs w:val="20"/>
                <w:lang w:val="en-GB"/>
              </w:rPr>
            </w:pPr>
            <w:r w:rsidRPr="0040294D">
              <w:rPr>
                <w:rFonts w:eastAsia="Arial Unicode MS"/>
                <w:sz w:val="20"/>
                <w:szCs w:val="20"/>
                <w:lang w:val="en-GB"/>
              </w:rPr>
              <w:t xml:space="preserve">   0.05</w:t>
            </w:r>
          </w:p>
        </w:tc>
      </w:tr>
    </w:tbl>
    <w:p w14:paraId="68031569" w14:textId="77777777" w:rsidR="00FD2A48" w:rsidRPr="0040294D" w:rsidRDefault="00FD2A48" w:rsidP="00FD2A48">
      <w:pPr>
        <w:ind w:left="-567" w:right="-153"/>
        <w:rPr>
          <w:sz w:val="18"/>
          <w:szCs w:val="18"/>
          <w:lang w:val="en-GB"/>
        </w:rPr>
      </w:pPr>
      <w:r w:rsidRPr="0040294D">
        <w:rPr>
          <w:i/>
          <w:sz w:val="18"/>
          <w:szCs w:val="18"/>
          <w:vertAlign w:val="superscript"/>
          <w:lang w:val="en-GB"/>
        </w:rPr>
        <w:t xml:space="preserve">a </w:t>
      </w:r>
      <w:r w:rsidRPr="0040294D">
        <w:rPr>
          <w:sz w:val="18"/>
          <w:szCs w:val="18"/>
          <w:lang w:val="en-GB"/>
        </w:rPr>
        <w:t>Cell entries are pairwise correlation coefficients.</w:t>
      </w:r>
    </w:p>
    <w:p w14:paraId="59594E23" w14:textId="02EC0CB2" w:rsidR="00FD2A48" w:rsidRPr="0040294D" w:rsidRDefault="00FD2A48" w:rsidP="00FD2A48">
      <w:pPr>
        <w:ind w:left="-567" w:right="147"/>
        <w:jc w:val="both"/>
        <w:rPr>
          <w:sz w:val="18"/>
          <w:szCs w:val="18"/>
          <w:lang w:val="en-GB"/>
        </w:rPr>
      </w:pPr>
      <w:r w:rsidRPr="0040294D">
        <w:rPr>
          <w:i/>
          <w:sz w:val="18"/>
          <w:szCs w:val="18"/>
          <w:lang w:val="en-GB"/>
        </w:rPr>
        <w:t>n</w:t>
      </w:r>
      <w:r w:rsidRPr="0040294D">
        <w:rPr>
          <w:sz w:val="18"/>
          <w:szCs w:val="18"/>
          <w:lang w:val="en-GB"/>
        </w:rPr>
        <w:t xml:space="preserve"> = 4,128 acquisition/year observations (488 US acquisitions with 128 acquisition divestments; 2000</w:t>
      </w:r>
      <w:r w:rsidR="0054240B" w:rsidRPr="0040294D">
        <w:rPr>
          <w:sz w:val="18"/>
          <w:szCs w:val="18"/>
          <w:lang w:val="en-GB"/>
        </w:rPr>
        <w:t>–</w:t>
      </w:r>
      <w:r w:rsidRPr="0040294D">
        <w:rPr>
          <w:sz w:val="18"/>
          <w:szCs w:val="18"/>
          <w:lang w:val="en-GB"/>
        </w:rPr>
        <w:t>2016 period at risk).</w:t>
      </w:r>
    </w:p>
    <w:p w14:paraId="52176B42" w14:textId="77777777" w:rsidR="00FD2A48" w:rsidRPr="0040294D" w:rsidRDefault="00FD2A48" w:rsidP="00FD2A48">
      <w:pPr>
        <w:ind w:left="-567" w:right="147"/>
        <w:jc w:val="both"/>
        <w:rPr>
          <w:sz w:val="18"/>
          <w:szCs w:val="18"/>
          <w:lang w:val="en-GB"/>
        </w:rPr>
      </w:pPr>
      <w:r w:rsidRPr="0040294D">
        <w:rPr>
          <w:sz w:val="18"/>
          <w:szCs w:val="18"/>
          <w:lang w:val="en-GB"/>
        </w:rPr>
        <w:t>Correlation coefficients greater than 0.03 are significant at p &lt; .05.</w:t>
      </w:r>
    </w:p>
    <w:p w14:paraId="677A94F2" w14:textId="77777777" w:rsidR="00FD2A48" w:rsidRPr="0040294D" w:rsidRDefault="00FD2A48" w:rsidP="00FD2A48">
      <w:pPr>
        <w:widowControl w:val="0"/>
        <w:spacing w:before="120" w:after="120"/>
        <w:ind w:left="720" w:hanging="720"/>
        <w:jc w:val="center"/>
        <w:rPr>
          <w:lang w:val="en-GB"/>
        </w:rPr>
      </w:pPr>
      <w:r w:rsidRPr="0040294D">
        <w:rPr>
          <w:b/>
          <w:bCs/>
          <w:i/>
          <w:lang w:val="en-GB"/>
        </w:rPr>
        <w:br w:type="page"/>
      </w:r>
      <w:r w:rsidRPr="0040294D">
        <w:rPr>
          <w:b/>
          <w:bCs/>
          <w:i/>
          <w:lang w:val="en-GB"/>
        </w:rPr>
        <w:lastRenderedPageBreak/>
        <w:t>Table 2. Cox Regression Models</w:t>
      </w:r>
      <w:r w:rsidRPr="0040294D">
        <w:rPr>
          <w:bCs/>
          <w:lang w:val="en-GB"/>
        </w:rPr>
        <w:t xml:space="preserve"> </w:t>
      </w:r>
      <w:r w:rsidRPr="0040294D">
        <w:rPr>
          <w:i/>
          <w:sz w:val="18"/>
          <w:szCs w:val="18"/>
          <w:vertAlign w:val="superscript"/>
          <w:lang w:val="en-GB"/>
        </w:rPr>
        <w:t>a</w:t>
      </w:r>
    </w:p>
    <w:tbl>
      <w:tblPr>
        <w:tblW w:w="13209" w:type="dxa"/>
        <w:jc w:val="center"/>
        <w:tblLayout w:type="fixed"/>
        <w:tblCellMar>
          <w:left w:w="0" w:type="dxa"/>
          <w:right w:w="0" w:type="dxa"/>
        </w:tblCellMar>
        <w:tblLook w:val="0000" w:firstRow="0" w:lastRow="0" w:firstColumn="0" w:lastColumn="0" w:noHBand="0" w:noVBand="0"/>
      </w:tblPr>
      <w:tblGrid>
        <w:gridCol w:w="4989"/>
        <w:gridCol w:w="1644"/>
        <w:gridCol w:w="1644"/>
        <w:gridCol w:w="1644"/>
        <w:gridCol w:w="1644"/>
        <w:gridCol w:w="1644"/>
      </w:tblGrid>
      <w:tr w:rsidR="00FD2A48" w:rsidRPr="0040294D" w14:paraId="48C1ECD4" w14:textId="77777777" w:rsidTr="00377954">
        <w:trPr>
          <w:trHeight w:val="227"/>
          <w:jc w:val="center"/>
        </w:trPr>
        <w:tc>
          <w:tcPr>
            <w:tcW w:w="4989" w:type="dxa"/>
            <w:tcBorders>
              <w:top w:val="single" w:sz="4" w:space="0" w:color="auto"/>
              <w:bottom w:val="single" w:sz="4" w:space="0" w:color="auto"/>
            </w:tcBorders>
            <w:noWrap/>
            <w:vAlign w:val="center"/>
          </w:tcPr>
          <w:p w14:paraId="64B0FD2D" w14:textId="77777777" w:rsidR="00FD2A48" w:rsidRPr="0040294D" w:rsidRDefault="00FD2A48" w:rsidP="00377954">
            <w:pPr>
              <w:spacing w:before="40" w:after="40"/>
              <w:ind w:left="100"/>
              <w:jc w:val="center"/>
              <w:rPr>
                <w:i/>
                <w:iCs/>
                <w:sz w:val="20"/>
                <w:szCs w:val="20"/>
                <w:lang w:val="en-GB"/>
              </w:rPr>
            </w:pPr>
            <w:r w:rsidRPr="0040294D">
              <w:rPr>
                <w:i/>
                <w:iCs/>
                <w:sz w:val="20"/>
                <w:szCs w:val="20"/>
                <w:lang w:val="en-GB"/>
              </w:rPr>
              <w:t>Variables</w:t>
            </w:r>
          </w:p>
        </w:tc>
        <w:tc>
          <w:tcPr>
            <w:tcW w:w="1644" w:type="dxa"/>
            <w:tcBorders>
              <w:top w:val="single" w:sz="4" w:space="0" w:color="auto"/>
              <w:bottom w:val="single" w:sz="4" w:space="0" w:color="auto"/>
            </w:tcBorders>
          </w:tcPr>
          <w:p w14:paraId="74ED8B73" w14:textId="77777777" w:rsidR="00FD2A48" w:rsidRPr="0040294D" w:rsidRDefault="00FD2A48" w:rsidP="00377954">
            <w:pPr>
              <w:spacing w:before="40" w:after="40"/>
              <w:ind w:left="57"/>
              <w:jc w:val="center"/>
              <w:rPr>
                <w:i/>
                <w:sz w:val="20"/>
                <w:szCs w:val="20"/>
                <w:lang w:val="en-GB"/>
              </w:rPr>
            </w:pPr>
            <w:r w:rsidRPr="0040294D">
              <w:rPr>
                <w:i/>
                <w:sz w:val="20"/>
                <w:szCs w:val="20"/>
                <w:lang w:val="en-GB"/>
              </w:rPr>
              <w:t>Model 1</w:t>
            </w:r>
          </w:p>
        </w:tc>
        <w:tc>
          <w:tcPr>
            <w:tcW w:w="1644" w:type="dxa"/>
            <w:tcBorders>
              <w:top w:val="single" w:sz="4" w:space="0" w:color="auto"/>
              <w:bottom w:val="single" w:sz="4" w:space="0" w:color="auto"/>
            </w:tcBorders>
            <w:vAlign w:val="center"/>
          </w:tcPr>
          <w:p w14:paraId="580BAE64" w14:textId="77777777" w:rsidR="00FD2A48" w:rsidRPr="0040294D" w:rsidRDefault="00FD2A48" w:rsidP="00377954">
            <w:pPr>
              <w:spacing w:before="40" w:after="40"/>
              <w:ind w:left="57"/>
              <w:jc w:val="center"/>
              <w:rPr>
                <w:sz w:val="20"/>
                <w:szCs w:val="20"/>
                <w:lang w:val="en-GB"/>
              </w:rPr>
            </w:pPr>
            <w:r w:rsidRPr="0040294D">
              <w:rPr>
                <w:i/>
                <w:sz w:val="20"/>
                <w:szCs w:val="20"/>
                <w:lang w:val="en-GB"/>
              </w:rPr>
              <w:t>Model 2</w:t>
            </w:r>
          </w:p>
        </w:tc>
        <w:tc>
          <w:tcPr>
            <w:tcW w:w="1644" w:type="dxa"/>
            <w:tcBorders>
              <w:top w:val="single" w:sz="4" w:space="0" w:color="auto"/>
              <w:bottom w:val="single" w:sz="4" w:space="0" w:color="auto"/>
            </w:tcBorders>
            <w:noWrap/>
            <w:vAlign w:val="center"/>
          </w:tcPr>
          <w:p w14:paraId="532E16A8" w14:textId="77777777" w:rsidR="00FD2A48" w:rsidRPr="0040294D" w:rsidRDefault="00FD2A48" w:rsidP="00377954">
            <w:pPr>
              <w:spacing w:before="40" w:after="40"/>
              <w:ind w:left="57"/>
              <w:jc w:val="center"/>
              <w:rPr>
                <w:sz w:val="20"/>
                <w:szCs w:val="20"/>
                <w:lang w:val="en-GB"/>
              </w:rPr>
            </w:pPr>
            <w:r w:rsidRPr="0040294D">
              <w:rPr>
                <w:i/>
                <w:sz w:val="20"/>
                <w:szCs w:val="20"/>
                <w:lang w:val="en-GB"/>
              </w:rPr>
              <w:t>Model 3</w:t>
            </w:r>
          </w:p>
        </w:tc>
        <w:tc>
          <w:tcPr>
            <w:tcW w:w="1644" w:type="dxa"/>
            <w:tcBorders>
              <w:top w:val="single" w:sz="4" w:space="0" w:color="auto"/>
              <w:bottom w:val="single" w:sz="4" w:space="0" w:color="auto"/>
            </w:tcBorders>
          </w:tcPr>
          <w:p w14:paraId="2A280D30" w14:textId="77777777" w:rsidR="00FD2A48" w:rsidRPr="0040294D" w:rsidRDefault="00FD2A48" w:rsidP="00377954">
            <w:pPr>
              <w:spacing w:before="40" w:after="40"/>
              <w:ind w:left="57"/>
              <w:jc w:val="center"/>
              <w:rPr>
                <w:i/>
                <w:sz w:val="20"/>
                <w:szCs w:val="20"/>
                <w:lang w:val="en-GB"/>
              </w:rPr>
            </w:pPr>
            <w:r w:rsidRPr="0040294D">
              <w:rPr>
                <w:i/>
                <w:sz w:val="20"/>
                <w:szCs w:val="20"/>
                <w:lang w:val="en-GB"/>
              </w:rPr>
              <w:t>Model 4</w:t>
            </w:r>
          </w:p>
        </w:tc>
        <w:tc>
          <w:tcPr>
            <w:tcW w:w="1644" w:type="dxa"/>
            <w:tcBorders>
              <w:top w:val="single" w:sz="4" w:space="0" w:color="auto"/>
              <w:bottom w:val="single" w:sz="4" w:space="0" w:color="auto"/>
            </w:tcBorders>
          </w:tcPr>
          <w:p w14:paraId="5D8EC254" w14:textId="77777777" w:rsidR="00FD2A48" w:rsidRPr="0040294D" w:rsidRDefault="00FD2A48" w:rsidP="00377954">
            <w:pPr>
              <w:spacing w:before="40" w:after="40"/>
              <w:ind w:left="57"/>
              <w:jc w:val="center"/>
              <w:rPr>
                <w:i/>
                <w:sz w:val="20"/>
                <w:szCs w:val="20"/>
                <w:lang w:val="en-GB"/>
              </w:rPr>
            </w:pPr>
            <w:r w:rsidRPr="0040294D">
              <w:rPr>
                <w:i/>
                <w:sz w:val="20"/>
                <w:szCs w:val="20"/>
                <w:lang w:val="en-GB"/>
              </w:rPr>
              <w:t>Model 5</w:t>
            </w:r>
          </w:p>
        </w:tc>
      </w:tr>
      <w:tr w:rsidR="00FD2A48" w:rsidRPr="0040294D" w14:paraId="19FC168A" w14:textId="77777777" w:rsidTr="00377954">
        <w:trPr>
          <w:trHeight w:val="227"/>
          <w:jc w:val="center"/>
        </w:trPr>
        <w:tc>
          <w:tcPr>
            <w:tcW w:w="4989" w:type="dxa"/>
            <w:tcBorders>
              <w:top w:val="single" w:sz="4" w:space="0" w:color="auto"/>
            </w:tcBorders>
            <w:noWrap/>
            <w:vAlign w:val="center"/>
          </w:tcPr>
          <w:p w14:paraId="52A75276" w14:textId="77777777" w:rsidR="00FD2A48" w:rsidRPr="0040294D" w:rsidRDefault="00FD2A48" w:rsidP="00377954">
            <w:pPr>
              <w:ind w:left="100"/>
              <w:rPr>
                <w:i/>
                <w:iCs/>
                <w:sz w:val="20"/>
                <w:szCs w:val="20"/>
                <w:lang w:val="en-GB"/>
              </w:rPr>
            </w:pPr>
            <w:r w:rsidRPr="0040294D">
              <w:rPr>
                <w:i/>
                <w:sz w:val="20"/>
                <w:szCs w:val="20"/>
                <w:lang w:val="en-GB"/>
              </w:rPr>
              <w:t>Acquirer HRM quality</w:t>
            </w:r>
            <w:r w:rsidRPr="0040294D">
              <w:rPr>
                <w:i/>
                <w:sz w:val="20"/>
                <w:szCs w:val="20"/>
                <w:vertAlign w:val="superscript"/>
                <w:lang w:val="en-GB"/>
              </w:rPr>
              <w:t xml:space="preserve"> b</w:t>
            </w:r>
          </w:p>
        </w:tc>
        <w:tc>
          <w:tcPr>
            <w:tcW w:w="1644" w:type="dxa"/>
            <w:tcBorders>
              <w:top w:val="single" w:sz="4" w:space="0" w:color="auto"/>
            </w:tcBorders>
            <w:vAlign w:val="center"/>
          </w:tcPr>
          <w:p w14:paraId="781363B6" w14:textId="77777777" w:rsidR="00FD2A48" w:rsidRPr="0040294D" w:rsidRDefault="00FD2A48" w:rsidP="00377954">
            <w:pPr>
              <w:ind w:left="113"/>
              <w:rPr>
                <w:sz w:val="20"/>
                <w:szCs w:val="20"/>
                <w:lang w:val="en-GB"/>
              </w:rPr>
            </w:pPr>
          </w:p>
        </w:tc>
        <w:tc>
          <w:tcPr>
            <w:tcW w:w="1644" w:type="dxa"/>
            <w:tcBorders>
              <w:top w:val="single" w:sz="4" w:space="0" w:color="auto"/>
            </w:tcBorders>
            <w:vAlign w:val="center"/>
          </w:tcPr>
          <w:p w14:paraId="1AE53E12" w14:textId="77777777" w:rsidR="00FD2A48" w:rsidRPr="0040294D" w:rsidRDefault="00FD2A48" w:rsidP="00377954">
            <w:pPr>
              <w:ind w:left="113"/>
              <w:rPr>
                <w:sz w:val="20"/>
                <w:szCs w:val="20"/>
                <w:lang w:val="en-GB"/>
              </w:rPr>
            </w:pPr>
            <w:r w:rsidRPr="0040294D">
              <w:rPr>
                <w:sz w:val="20"/>
                <w:szCs w:val="20"/>
                <w:lang w:val="en-GB"/>
              </w:rPr>
              <w:t xml:space="preserve"> – 0.07  (0.14)</w:t>
            </w:r>
          </w:p>
        </w:tc>
        <w:tc>
          <w:tcPr>
            <w:tcW w:w="1644" w:type="dxa"/>
            <w:tcBorders>
              <w:top w:val="single" w:sz="4" w:space="0" w:color="auto"/>
            </w:tcBorders>
            <w:noWrap/>
            <w:vAlign w:val="center"/>
          </w:tcPr>
          <w:p w14:paraId="678B033E" w14:textId="77777777" w:rsidR="00FD2A48" w:rsidRPr="0040294D" w:rsidRDefault="00FD2A48" w:rsidP="00377954">
            <w:pPr>
              <w:ind w:left="113"/>
              <w:rPr>
                <w:sz w:val="20"/>
                <w:szCs w:val="20"/>
                <w:lang w:val="en-GB"/>
              </w:rPr>
            </w:pPr>
            <w:r w:rsidRPr="0040294D">
              <w:rPr>
                <w:sz w:val="20"/>
                <w:szCs w:val="20"/>
                <w:lang w:val="en-GB"/>
              </w:rPr>
              <w:t xml:space="preserve"> – 1.02  (0.40)*</w:t>
            </w:r>
          </w:p>
        </w:tc>
        <w:tc>
          <w:tcPr>
            <w:tcW w:w="1644" w:type="dxa"/>
            <w:tcBorders>
              <w:top w:val="single" w:sz="4" w:space="0" w:color="auto"/>
            </w:tcBorders>
            <w:vAlign w:val="center"/>
          </w:tcPr>
          <w:p w14:paraId="5B083F08" w14:textId="77777777" w:rsidR="00FD2A48" w:rsidRPr="0040294D" w:rsidRDefault="00FD2A48" w:rsidP="00377954">
            <w:pPr>
              <w:ind w:left="113"/>
              <w:rPr>
                <w:sz w:val="20"/>
                <w:szCs w:val="20"/>
                <w:lang w:val="en-GB"/>
              </w:rPr>
            </w:pPr>
            <w:r w:rsidRPr="0040294D">
              <w:rPr>
                <w:sz w:val="20"/>
                <w:szCs w:val="20"/>
                <w:lang w:val="en-GB"/>
              </w:rPr>
              <w:t xml:space="preserve"> – 0.90  (0.39)*</w:t>
            </w:r>
          </w:p>
        </w:tc>
        <w:tc>
          <w:tcPr>
            <w:tcW w:w="1644" w:type="dxa"/>
            <w:tcBorders>
              <w:top w:val="single" w:sz="4" w:space="0" w:color="auto"/>
            </w:tcBorders>
            <w:vAlign w:val="center"/>
          </w:tcPr>
          <w:p w14:paraId="66670A1E" w14:textId="77777777" w:rsidR="00FD2A48" w:rsidRPr="0040294D" w:rsidRDefault="00FD2A48" w:rsidP="00377954">
            <w:pPr>
              <w:ind w:left="113"/>
              <w:rPr>
                <w:sz w:val="20"/>
                <w:szCs w:val="20"/>
                <w:lang w:val="en-GB"/>
              </w:rPr>
            </w:pPr>
            <w:r w:rsidRPr="0040294D">
              <w:rPr>
                <w:sz w:val="20"/>
                <w:szCs w:val="20"/>
                <w:lang w:val="en-GB"/>
              </w:rPr>
              <w:t xml:space="preserve"> – 0.11  (0.41)</w:t>
            </w:r>
          </w:p>
        </w:tc>
      </w:tr>
      <w:tr w:rsidR="00FD2A48" w:rsidRPr="0040294D" w14:paraId="2AEB7899" w14:textId="77777777" w:rsidTr="00377954">
        <w:trPr>
          <w:trHeight w:val="227"/>
          <w:jc w:val="center"/>
        </w:trPr>
        <w:tc>
          <w:tcPr>
            <w:tcW w:w="4989" w:type="dxa"/>
            <w:noWrap/>
            <w:vAlign w:val="center"/>
          </w:tcPr>
          <w:p w14:paraId="76F96659" w14:textId="77777777" w:rsidR="00FD2A48" w:rsidRPr="0040294D" w:rsidRDefault="00FD2A48" w:rsidP="00377954">
            <w:pPr>
              <w:ind w:left="100"/>
              <w:rPr>
                <w:i/>
                <w:iCs/>
                <w:sz w:val="20"/>
                <w:szCs w:val="20"/>
                <w:lang w:val="en-GB"/>
              </w:rPr>
            </w:pPr>
            <w:r w:rsidRPr="0040294D">
              <w:rPr>
                <w:i/>
                <w:sz w:val="20"/>
                <w:szCs w:val="20"/>
                <w:lang w:val="en-GB"/>
              </w:rPr>
              <w:t>Squared acquirer HRM quality</w:t>
            </w:r>
            <w:r w:rsidRPr="0040294D">
              <w:rPr>
                <w:i/>
                <w:sz w:val="20"/>
                <w:szCs w:val="20"/>
                <w:vertAlign w:val="superscript"/>
                <w:lang w:val="en-GB"/>
              </w:rPr>
              <w:t xml:space="preserve"> b</w:t>
            </w:r>
          </w:p>
        </w:tc>
        <w:tc>
          <w:tcPr>
            <w:tcW w:w="1644" w:type="dxa"/>
            <w:vAlign w:val="center"/>
          </w:tcPr>
          <w:p w14:paraId="58D869B4" w14:textId="77777777" w:rsidR="00FD2A48" w:rsidRPr="0040294D" w:rsidRDefault="00FD2A48" w:rsidP="00377954">
            <w:pPr>
              <w:ind w:left="113"/>
              <w:rPr>
                <w:sz w:val="20"/>
                <w:szCs w:val="20"/>
                <w:lang w:val="en-GB"/>
              </w:rPr>
            </w:pPr>
          </w:p>
        </w:tc>
        <w:tc>
          <w:tcPr>
            <w:tcW w:w="1644" w:type="dxa"/>
            <w:vAlign w:val="center"/>
          </w:tcPr>
          <w:p w14:paraId="015C0486" w14:textId="77777777" w:rsidR="00FD2A48" w:rsidRPr="0040294D" w:rsidRDefault="00FD2A48" w:rsidP="00377954">
            <w:pPr>
              <w:ind w:left="113"/>
              <w:rPr>
                <w:sz w:val="20"/>
                <w:szCs w:val="20"/>
                <w:lang w:val="en-GB"/>
              </w:rPr>
            </w:pPr>
          </w:p>
        </w:tc>
        <w:tc>
          <w:tcPr>
            <w:tcW w:w="1644" w:type="dxa"/>
            <w:noWrap/>
            <w:vAlign w:val="center"/>
          </w:tcPr>
          <w:p w14:paraId="42262BE5" w14:textId="77777777" w:rsidR="00FD2A48" w:rsidRPr="0040294D" w:rsidRDefault="00FD2A48" w:rsidP="00377954">
            <w:pPr>
              <w:ind w:left="113"/>
              <w:rPr>
                <w:sz w:val="20"/>
                <w:szCs w:val="20"/>
                <w:lang w:val="en-GB"/>
              </w:rPr>
            </w:pPr>
            <w:r w:rsidRPr="0040294D">
              <w:rPr>
                <w:sz w:val="20"/>
                <w:szCs w:val="20"/>
                <w:lang w:val="en-GB"/>
              </w:rPr>
              <w:t xml:space="preserve">    1.14  (0.53)*</w:t>
            </w:r>
          </w:p>
        </w:tc>
        <w:tc>
          <w:tcPr>
            <w:tcW w:w="1644" w:type="dxa"/>
            <w:vAlign w:val="center"/>
          </w:tcPr>
          <w:p w14:paraId="4D6ED844" w14:textId="77777777" w:rsidR="00FD2A48" w:rsidRPr="0040294D" w:rsidRDefault="00FD2A48" w:rsidP="00377954">
            <w:pPr>
              <w:ind w:left="113"/>
              <w:rPr>
                <w:sz w:val="20"/>
                <w:szCs w:val="20"/>
                <w:lang w:val="en-GB"/>
              </w:rPr>
            </w:pPr>
            <w:r w:rsidRPr="0040294D">
              <w:rPr>
                <w:sz w:val="20"/>
                <w:szCs w:val="20"/>
                <w:lang w:val="en-GB"/>
              </w:rPr>
              <w:t xml:space="preserve">    1.09  (0.51)*</w:t>
            </w:r>
          </w:p>
        </w:tc>
        <w:tc>
          <w:tcPr>
            <w:tcW w:w="1644" w:type="dxa"/>
            <w:vAlign w:val="center"/>
          </w:tcPr>
          <w:p w14:paraId="306B9979" w14:textId="77777777" w:rsidR="00FD2A48" w:rsidRPr="0040294D" w:rsidRDefault="00FD2A48" w:rsidP="00377954">
            <w:pPr>
              <w:ind w:left="113"/>
              <w:rPr>
                <w:sz w:val="20"/>
                <w:szCs w:val="20"/>
                <w:lang w:val="en-GB"/>
              </w:rPr>
            </w:pPr>
            <w:r w:rsidRPr="0040294D">
              <w:rPr>
                <w:sz w:val="20"/>
                <w:szCs w:val="20"/>
                <w:lang w:val="en-GB"/>
              </w:rPr>
              <w:t xml:space="preserve">    0.24  (0.53)</w:t>
            </w:r>
          </w:p>
        </w:tc>
      </w:tr>
      <w:tr w:rsidR="00FD2A48" w:rsidRPr="0040294D" w14:paraId="6E2AD420" w14:textId="77777777" w:rsidTr="00377954">
        <w:trPr>
          <w:trHeight w:val="227"/>
          <w:jc w:val="center"/>
        </w:trPr>
        <w:tc>
          <w:tcPr>
            <w:tcW w:w="4989" w:type="dxa"/>
            <w:noWrap/>
            <w:vAlign w:val="center"/>
          </w:tcPr>
          <w:p w14:paraId="267E3D8E" w14:textId="45CFE300" w:rsidR="00FD2A48" w:rsidRPr="0040294D" w:rsidRDefault="00FD2A48" w:rsidP="00377954">
            <w:pPr>
              <w:ind w:left="100"/>
              <w:rPr>
                <w:i/>
                <w:sz w:val="20"/>
                <w:szCs w:val="20"/>
                <w:lang w:val="en-GB"/>
              </w:rPr>
            </w:pPr>
            <w:r w:rsidRPr="0040294D">
              <w:rPr>
                <w:i/>
                <w:sz w:val="20"/>
                <w:szCs w:val="20"/>
                <w:lang w:val="en-GB"/>
              </w:rPr>
              <w:t>Acquirer financial slack</w:t>
            </w:r>
            <w:r w:rsidRPr="0040294D">
              <w:rPr>
                <w:i/>
                <w:sz w:val="20"/>
                <w:szCs w:val="20"/>
                <w:vertAlign w:val="superscript"/>
                <w:lang w:val="en-GB"/>
              </w:rPr>
              <w:t xml:space="preserve"> b</w:t>
            </w:r>
          </w:p>
        </w:tc>
        <w:tc>
          <w:tcPr>
            <w:tcW w:w="1644" w:type="dxa"/>
            <w:vAlign w:val="center"/>
          </w:tcPr>
          <w:p w14:paraId="540C3E5C" w14:textId="77777777" w:rsidR="00FD2A48" w:rsidRPr="0040294D" w:rsidRDefault="00FD2A48" w:rsidP="00377954">
            <w:pPr>
              <w:ind w:left="113"/>
              <w:rPr>
                <w:sz w:val="20"/>
                <w:szCs w:val="20"/>
                <w:lang w:val="en-GB"/>
              </w:rPr>
            </w:pPr>
          </w:p>
        </w:tc>
        <w:tc>
          <w:tcPr>
            <w:tcW w:w="1644" w:type="dxa"/>
            <w:vAlign w:val="center"/>
          </w:tcPr>
          <w:p w14:paraId="74C13E17" w14:textId="77777777" w:rsidR="00FD2A48" w:rsidRPr="0040294D" w:rsidRDefault="00FD2A48" w:rsidP="00377954">
            <w:pPr>
              <w:ind w:left="113"/>
              <w:rPr>
                <w:sz w:val="20"/>
                <w:szCs w:val="20"/>
                <w:lang w:val="en-GB"/>
              </w:rPr>
            </w:pPr>
            <w:r w:rsidRPr="0040294D">
              <w:rPr>
                <w:sz w:val="20"/>
                <w:szCs w:val="20"/>
                <w:lang w:val="en-GB"/>
              </w:rPr>
              <w:t xml:space="preserve">    0.01  (0.00)**</w:t>
            </w:r>
          </w:p>
        </w:tc>
        <w:tc>
          <w:tcPr>
            <w:tcW w:w="1644" w:type="dxa"/>
            <w:noWrap/>
            <w:vAlign w:val="center"/>
          </w:tcPr>
          <w:p w14:paraId="3477DD0F" w14:textId="77777777" w:rsidR="00FD2A48" w:rsidRPr="0040294D" w:rsidRDefault="00FD2A48" w:rsidP="00377954">
            <w:pPr>
              <w:ind w:left="113"/>
              <w:rPr>
                <w:sz w:val="20"/>
                <w:szCs w:val="20"/>
                <w:lang w:val="en-GB"/>
              </w:rPr>
            </w:pPr>
            <w:r w:rsidRPr="0040294D">
              <w:rPr>
                <w:sz w:val="20"/>
                <w:szCs w:val="20"/>
                <w:lang w:val="en-GB"/>
              </w:rPr>
              <w:t xml:space="preserve">    0.01  (0.00)**</w:t>
            </w:r>
          </w:p>
        </w:tc>
        <w:tc>
          <w:tcPr>
            <w:tcW w:w="1644" w:type="dxa"/>
            <w:vAlign w:val="center"/>
          </w:tcPr>
          <w:p w14:paraId="75686715" w14:textId="77777777" w:rsidR="00FD2A48" w:rsidRPr="0040294D" w:rsidRDefault="00FD2A48" w:rsidP="00377954">
            <w:pPr>
              <w:ind w:left="113"/>
              <w:rPr>
                <w:sz w:val="20"/>
                <w:szCs w:val="20"/>
                <w:lang w:val="en-GB"/>
              </w:rPr>
            </w:pPr>
            <w:r w:rsidRPr="0040294D">
              <w:rPr>
                <w:sz w:val="20"/>
                <w:szCs w:val="20"/>
                <w:lang w:val="en-GB"/>
              </w:rPr>
              <w:t xml:space="preserve">    0.06  (0.03)</w:t>
            </w:r>
          </w:p>
        </w:tc>
        <w:tc>
          <w:tcPr>
            <w:tcW w:w="1644" w:type="dxa"/>
            <w:vAlign w:val="center"/>
          </w:tcPr>
          <w:p w14:paraId="41477A47" w14:textId="77777777" w:rsidR="00FD2A48" w:rsidRPr="0040294D" w:rsidRDefault="00FD2A48" w:rsidP="00377954">
            <w:pPr>
              <w:ind w:left="113"/>
              <w:rPr>
                <w:sz w:val="20"/>
                <w:szCs w:val="20"/>
                <w:lang w:val="en-GB"/>
              </w:rPr>
            </w:pPr>
            <w:r w:rsidRPr="0040294D">
              <w:rPr>
                <w:sz w:val="20"/>
                <w:szCs w:val="20"/>
                <w:lang w:val="en-GB"/>
              </w:rPr>
              <w:t xml:space="preserve">    0.19  (0.03)***</w:t>
            </w:r>
          </w:p>
        </w:tc>
      </w:tr>
      <w:tr w:rsidR="00FD2A48" w:rsidRPr="0040294D" w14:paraId="682CEC31" w14:textId="77777777" w:rsidTr="00377954">
        <w:trPr>
          <w:trHeight w:val="227"/>
          <w:jc w:val="center"/>
        </w:trPr>
        <w:tc>
          <w:tcPr>
            <w:tcW w:w="4989" w:type="dxa"/>
            <w:noWrap/>
            <w:vAlign w:val="center"/>
          </w:tcPr>
          <w:p w14:paraId="7C18C3C3" w14:textId="487BA3EE" w:rsidR="00FD2A48" w:rsidRPr="0040294D" w:rsidRDefault="00FD2A48" w:rsidP="00377954">
            <w:pPr>
              <w:ind w:left="100"/>
              <w:rPr>
                <w:i/>
                <w:sz w:val="20"/>
                <w:szCs w:val="20"/>
                <w:lang w:val="en-GB"/>
              </w:rPr>
            </w:pPr>
            <w:r w:rsidRPr="0040294D">
              <w:rPr>
                <w:i/>
                <w:sz w:val="20"/>
                <w:szCs w:val="20"/>
                <w:lang w:val="en-GB"/>
              </w:rPr>
              <w:t>Acquirer HRM quality</w:t>
            </w:r>
            <w:r w:rsidRPr="0040294D">
              <w:rPr>
                <w:i/>
                <w:sz w:val="20"/>
                <w:szCs w:val="20"/>
                <w:vertAlign w:val="superscript"/>
                <w:lang w:val="en-GB"/>
              </w:rPr>
              <w:t xml:space="preserve"> b</w:t>
            </w:r>
            <w:r w:rsidRPr="0040294D">
              <w:rPr>
                <w:i/>
                <w:sz w:val="20"/>
                <w:szCs w:val="20"/>
                <w:lang w:val="en-GB"/>
              </w:rPr>
              <w:t xml:space="preserve"> × Acquirer financial slack</w:t>
            </w:r>
            <w:r w:rsidRPr="0040294D">
              <w:rPr>
                <w:i/>
                <w:sz w:val="20"/>
                <w:szCs w:val="20"/>
                <w:vertAlign w:val="superscript"/>
                <w:lang w:val="en-GB"/>
              </w:rPr>
              <w:t xml:space="preserve"> b</w:t>
            </w:r>
          </w:p>
        </w:tc>
        <w:tc>
          <w:tcPr>
            <w:tcW w:w="1644" w:type="dxa"/>
            <w:vAlign w:val="center"/>
          </w:tcPr>
          <w:p w14:paraId="5D1AFEA8" w14:textId="77777777" w:rsidR="00FD2A48" w:rsidRPr="0040294D" w:rsidRDefault="00FD2A48" w:rsidP="00377954">
            <w:pPr>
              <w:ind w:left="113"/>
              <w:rPr>
                <w:sz w:val="20"/>
                <w:szCs w:val="20"/>
                <w:lang w:val="en-GB"/>
              </w:rPr>
            </w:pPr>
          </w:p>
        </w:tc>
        <w:tc>
          <w:tcPr>
            <w:tcW w:w="1644" w:type="dxa"/>
            <w:vAlign w:val="center"/>
          </w:tcPr>
          <w:p w14:paraId="6FA865BE" w14:textId="77777777" w:rsidR="00FD2A48" w:rsidRPr="0040294D" w:rsidRDefault="00FD2A48" w:rsidP="00377954">
            <w:pPr>
              <w:ind w:left="113"/>
              <w:rPr>
                <w:sz w:val="20"/>
                <w:szCs w:val="20"/>
                <w:lang w:val="en-GB"/>
              </w:rPr>
            </w:pPr>
          </w:p>
        </w:tc>
        <w:tc>
          <w:tcPr>
            <w:tcW w:w="1644" w:type="dxa"/>
            <w:noWrap/>
            <w:vAlign w:val="center"/>
          </w:tcPr>
          <w:p w14:paraId="2A542DC0" w14:textId="77777777" w:rsidR="00FD2A48" w:rsidRPr="0040294D" w:rsidRDefault="00FD2A48" w:rsidP="00377954">
            <w:pPr>
              <w:ind w:left="113"/>
              <w:rPr>
                <w:sz w:val="20"/>
                <w:szCs w:val="20"/>
                <w:lang w:val="en-GB"/>
              </w:rPr>
            </w:pPr>
          </w:p>
        </w:tc>
        <w:tc>
          <w:tcPr>
            <w:tcW w:w="1644" w:type="dxa"/>
            <w:vAlign w:val="center"/>
          </w:tcPr>
          <w:p w14:paraId="7A6BDECF" w14:textId="77777777" w:rsidR="00FD2A48" w:rsidRPr="0040294D" w:rsidRDefault="00FD2A48" w:rsidP="00377954">
            <w:pPr>
              <w:ind w:left="113"/>
              <w:rPr>
                <w:sz w:val="20"/>
                <w:szCs w:val="20"/>
                <w:lang w:val="en-GB"/>
              </w:rPr>
            </w:pPr>
            <w:r w:rsidRPr="0040294D">
              <w:rPr>
                <w:sz w:val="20"/>
                <w:szCs w:val="20"/>
                <w:lang w:val="en-GB"/>
              </w:rPr>
              <w:t xml:space="preserve"> – 0.08  (0.08)</w:t>
            </w:r>
          </w:p>
        </w:tc>
        <w:tc>
          <w:tcPr>
            <w:tcW w:w="1644" w:type="dxa"/>
            <w:vAlign w:val="center"/>
          </w:tcPr>
          <w:p w14:paraId="174FB705" w14:textId="77777777" w:rsidR="00FD2A48" w:rsidRPr="0040294D" w:rsidRDefault="00FD2A48" w:rsidP="00377954">
            <w:pPr>
              <w:ind w:left="113"/>
              <w:rPr>
                <w:sz w:val="20"/>
                <w:szCs w:val="20"/>
                <w:lang w:val="en-GB"/>
              </w:rPr>
            </w:pPr>
            <w:r w:rsidRPr="0040294D">
              <w:rPr>
                <w:sz w:val="20"/>
                <w:szCs w:val="20"/>
                <w:lang w:val="en-GB"/>
              </w:rPr>
              <w:t xml:space="preserve"> – 0.70  (0.14)***</w:t>
            </w:r>
          </w:p>
        </w:tc>
      </w:tr>
      <w:tr w:rsidR="00FD2A48" w:rsidRPr="0040294D" w14:paraId="35F7B474" w14:textId="77777777" w:rsidTr="00377954">
        <w:trPr>
          <w:trHeight w:val="227"/>
          <w:jc w:val="center"/>
        </w:trPr>
        <w:tc>
          <w:tcPr>
            <w:tcW w:w="4989" w:type="dxa"/>
            <w:noWrap/>
            <w:vAlign w:val="center"/>
          </w:tcPr>
          <w:p w14:paraId="1E6E088B" w14:textId="2F5EA520" w:rsidR="00FD2A48" w:rsidRPr="0040294D" w:rsidRDefault="00FD2A48" w:rsidP="00377954">
            <w:pPr>
              <w:ind w:left="100"/>
              <w:rPr>
                <w:i/>
                <w:sz w:val="20"/>
                <w:szCs w:val="20"/>
                <w:lang w:val="en-GB"/>
              </w:rPr>
            </w:pPr>
            <w:r w:rsidRPr="0040294D">
              <w:rPr>
                <w:i/>
                <w:sz w:val="20"/>
                <w:szCs w:val="20"/>
                <w:lang w:val="en-GB"/>
              </w:rPr>
              <w:t>Squared acquirer HRM quality</w:t>
            </w:r>
            <w:r w:rsidRPr="0040294D">
              <w:rPr>
                <w:i/>
                <w:sz w:val="20"/>
                <w:szCs w:val="20"/>
                <w:vertAlign w:val="superscript"/>
                <w:lang w:val="en-GB"/>
              </w:rPr>
              <w:t xml:space="preserve"> b</w:t>
            </w:r>
            <w:r w:rsidRPr="0040294D">
              <w:rPr>
                <w:i/>
                <w:sz w:val="20"/>
                <w:szCs w:val="20"/>
                <w:lang w:val="en-GB"/>
              </w:rPr>
              <w:t xml:space="preserve"> × Acquirer financial slack</w:t>
            </w:r>
            <w:r w:rsidRPr="0040294D">
              <w:rPr>
                <w:i/>
                <w:sz w:val="20"/>
                <w:szCs w:val="20"/>
                <w:vertAlign w:val="superscript"/>
                <w:lang w:val="en-GB"/>
              </w:rPr>
              <w:t xml:space="preserve"> b</w:t>
            </w:r>
          </w:p>
        </w:tc>
        <w:tc>
          <w:tcPr>
            <w:tcW w:w="1644" w:type="dxa"/>
            <w:vAlign w:val="center"/>
          </w:tcPr>
          <w:p w14:paraId="7E4A6FD2" w14:textId="77777777" w:rsidR="00FD2A48" w:rsidRPr="0040294D" w:rsidRDefault="00FD2A48" w:rsidP="00377954">
            <w:pPr>
              <w:ind w:left="113"/>
              <w:rPr>
                <w:sz w:val="20"/>
                <w:szCs w:val="20"/>
                <w:lang w:val="en-GB"/>
              </w:rPr>
            </w:pPr>
          </w:p>
        </w:tc>
        <w:tc>
          <w:tcPr>
            <w:tcW w:w="1644" w:type="dxa"/>
            <w:vAlign w:val="center"/>
          </w:tcPr>
          <w:p w14:paraId="08B0B564" w14:textId="77777777" w:rsidR="00FD2A48" w:rsidRPr="0040294D" w:rsidRDefault="00FD2A48" w:rsidP="00377954">
            <w:pPr>
              <w:ind w:left="113"/>
              <w:rPr>
                <w:sz w:val="20"/>
                <w:szCs w:val="20"/>
                <w:lang w:val="en-GB"/>
              </w:rPr>
            </w:pPr>
            <w:r w:rsidRPr="0040294D">
              <w:rPr>
                <w:sz w:val="20"/>
                <w:szCs w:val="20"/>
                <w:lang w:val="en-GB"/>
              </w:rPr>
              <w:t xml:space="preserve"> </w:t>
            </w:r>
          </w:p>
        </w:tc>
        <w:tc>
          <w:tcPr>
            <w:tcW w:w="1644" w:type="dxa"/>
            <w:noWrap/>
            <w:vAlign w:val="center"/>
          </w:tcPr>
          <w:p w14:paraId="7E2B7898" w14:textId="77777777" w:rsidR="00FD2A48" w:rsidRPr="0040294D" w:rsidRDefault="00FD2A48" w:rsidP="00377954">
            <w:pPr>
              <w:ind w:left="113"/>
              <w:rPr>
                <w:sz w:val="20"/>
                <w:szCs w:val="20"/>
                <w:lang w:val="en-GB"/>
              </w:rPr>
            </w:pPr>
            <w:r w:rsidRPr="0040294D">
              <w:rPr>
                <w:sz w:val="20"/>
                <w:szCs w:val="20"/>
                <w:lang w:val="en-GB"/>
              </w:rPr>
              <w:t xml:space="preserve"> </w:t>
            </w:r>
          </w:p>
        </w:tc>
        <w:tc>
          <w:tcPr>
            <w:tcW w:w="1644" w:type="dxa"/>
            <w:vAlign w:val="center"/>
          </w:tcPr>
          <w:p w14:paraId="64BE530E" w14:textId="77777777" w:rsidR="00FD2A48" w:rsidRPr="0040294D" w:rsidRDefault="00FD2A48" w:rsidP="00377954">
            <w:pPr>
              <w:ind w:left="113"/>
              <w:rPr>
                <w:sz w:val="20"/>
                <w:szCs w:val="20"/>
                <w:lang w:val="en-GB"/>
              </w:rPr>
            </w:pPr>
            <w:r w:rsidRPr="0040294D">
              <w:rPr>
                <w:sz w:val="20"/>
                <w:szCs w:val="20"/>
                <w:lang w:val="en-GB"/>
              </w:rPr>
              <w:t xml:space="preserve"> </w:t>
            </w:r>
          </w:p>
        </w:tc>
        <w:tc>
          <w:tcPr>
            <w:tcW w:w="1644" w:type="dxa"/>
            <w:vAlign w:val="center"/>
          </w:tcPr>
          <w:p w14:paraId="74853964" w14:textId="77777777" w:rsidR="00FD2A48" w:rsidRPr="0040294D" w:rsidRDefault="00FD2A48" w:rsidP="00377954">
            <w:pPr>
              <w:ind w:left="113"/>
              <w:rPr>
                <w:sz w:val="20"/>
                <w:szCs w:val="20"/>
                <w:lang w:val="en-GB"/>
              </w:rPr>
            </w:pPr>
            <w:r w:rsidRPr="0040294D">
              <w:rPr>
                <w:sz w:val="20"/>
                <w:szCs w:val="20"/>
                <w:lang w:val="en-GB"/>
              </w:rPr>
              <w:t xml:space="preserve">    0.68  (0.14)***</w:t>
            </w:r>
          </w:p>
        </w:tc>
      </w:tr>
      <w:tr w:rsidR="00FD2A48" w:rsidRPr="0040294D" w14:paraId="276BF6B5" w14:textId="77777777" w:rsidTr="00377954">
        <w:trPr>
          <w:trHeight w:val="227"/>
          <w:jc w:val="center"/>
        </w:trPr>
        <w:tc>
          <w:tcPr>
            <w:tcW w:w="4989" w:type="dxa"/>
            <w:noWrap/>
            <w:vAlign w:val="center"/>
          </w:tcPr>
          <w:p w14:paraId="7AD29B2E" w14:textId="7673A136" w:rsidR="00FD2A48" w:rsidRPr="0040294D" w:rsidRDefault="00FD2A48">
            <w:pPr>
              <w:ind w:left="100"/>
              <w:rPr>
                <w:i/>
                <w:sz w:val="20"/>
                <w:szCs w:val="20"/>
                <w:lang w:val="en-GB"/>
              </w:rPr>
            </w:pPr>
            <w:r w:rsidRPr="0040294D">
              <w:rPr>
                <w:i/>
                <w:sz w:val="20"/>
                <w:szCs w:val="20"/>
                <w:lang w:val="en-GB"/>
              </w:rPr>
              <w:t xml:space="preserve">Acquirer </w:t>
            </w:r>
            <w:r w:rsidR="00735613">
              <w:rPr>
                <w:i/>
                <w:sz w:val="20"/>
                <w:szCs w:val="20"/>
                <w:lang w:val="en-GB"/>
              </w:rPr>
              <w:t>internationalization</w:t>
            </w:r>
            <w:r w:rsidR="00735613" w:rsidRPr="0040294D">
              <w:rPr>
                <w:i/>
                <w:sz w:val="20"/>
                <w:szCs w:val="20"/>
                <w:vertAlign w:val="superscript"/>
                <w:lang w:val="en-GB"/>
              </w:rPr>
              <w:t xml:space="preserve"> </w:t>
            </w:r>
            <w:r w:rsidRPr="0040294D">
              <w:rPr>
                <w:i/>
                <w:sz w:val="20"/>
                <w:szCs w:val="20"/>
                <w:vertAlign w:val="superscript"/>
                <w:lang w:val="en-GB"/>
              </w:rPr>
              <w:t>b</w:t>
            </w:r>
          </w:p>
        </w:tc>
        <w:tc>
          <w:tcPr>
            <w:tcW w:w="1644" w:type="dxa"/>
            <w:vAlign w:val="center"/>
          </w:tcPr>
          <w:p w14:paraId="7C983A21" w14:textId="77777777" w:rsidR="00FD2A48" w:rsidRPr="0040294D" w:rsidRDefault="00FD2A48" w:rsidP="00377954">
            <w:pPr>
              <w:ind w:left="113"/>
              <w:rPr>
                <w:sz w:val="20"/>
                <w:szCs w:val="20"/>
                <w:lang w:val="en-GB"/>
              </w:rPr>
            </w:pPr>
            <w:r w:rsidRPr="0040294D">
              <w:rPr>
                <w:sz w:val="20"/>
                <w:szCs w:val="20"/>
                <w:lang w:val="en-GB"/>
              </w:rPr>
              <w:t xml:space="preserve"> – 0.29  (0.10)**</w:t>
            </w:r>
          </w:p>
        </w:tc>
        <w:tc>
          <w:tcPr>
            <w:tcW w:w="1644" w:type="dxa"/>
            <w:vAlign w:val="center"/>
          </w:tcPr>
          <w:p w14:paraId="76FAFF18" w14:textId="77777777" w:rsidR="00FD2A48" w:rsidRPr="0040294D" w:rsidRDefault="00FD2A48" w:rsidP="00377954">
            <w:pPr>
              <w:ind w:left="113"/>
              <w:rPr>
                <w:sz w:val="20"/>
                <w:szCs w:val="20"/>
                <w:lang w:val="en-GB"/>
              </w:rPr>
            </w:pPr>
            <w:r w:rsidRPr="0040294D">
              <w:rPr>
                <w:sz w:val="20"/>
                <w:szCs w:val="20"/>
                <w:lang w:val="en-GB"/>
              </w:rPr>
              <w:t xml:space="preserve"> – 0.31  (0.10)**</w:t>
            </w:r>
          </w:p>
        </w:tc>
        <w:tc>
          <w:tcPr>
            <w:tcW w:w="1644" w:type="dxa"/>
            <w:noWrap/>
            <w:vAlign w:val="center"/>
          </w:tcPr>
          <w:p w14:paraId="16192658" w14:textId="77777777" w:rsidR="00FD2A48" w:rsidRPr="0040294D" w:rsidRDefault="00FD2A48" w:rsidP="00377954">
            <w:pPr>
              <w:ind w:left="113"/>
              <w:rPr>
                <w:sz w:val="20"/>
                <w:szCs w:val="20"/>
                <w:lang w:val="en-GB"/>
              </w:rPr>
            </w:pPr>
            <w:r w:rsidRPr="0040294D">
              <w:rPr>
                <w:sz w:val="20"/>
                <w:szCs w:val="20"/>
                <w:lang w:val="en-GB"/>
              </w:rPr>
              <w:t xml:space="preserve"> – 0.31  (0.11)**</w:t>
            </w:r>
          </w:p>
        </w:tc>
        <w:tc>
          <w:tcPr>
            <w:tcW w:w="1644" w:type="dxa"/>
            <w:vAlign w:val="center"/>
          </w:tcPr>
          <w:p w14:paraId="5DE0C3BA" w14:textId="77777777" w:rsidR="00FD2A48" w:rsidRPr="0040294D" w:rsidRDefault="00FD2A48" w:rsidP="00377954">
            <w:pPr>
              <w:ind w:left="113"/>
              <w:rPr>
                <w:sz w:val="20"/>
                <w:szCs w:val="20"/>
                <w:lang w:val="en-GB"/>
              </w:rPr>
            </w:pPr>
            <w:r w:rsidRPr="0040294D">
              <w:rPr>
                <w:sz w:val="20"/>
                <w:szCs w:val="20"/>
                <w:lang w:val="en-GB"/>
              </w:rPr>
              <w:t xml:space="preserve"> – 0.30  (0.11)**</w:t>
            </w:r>
          </w:p>
        </w:tc>
        <w:tc>
          <w:tcPr>
            <w:tcW w:w="1644" w:type="dxa"/>
            <w:vAlign w:val="center"/>
          </w:tcPr>
          <w:p w14:paraId="12C19489" w14:textId="77777777" w:rsidR="00FD2A48" w:rsidRPr="0040294D" w:rsidRDefault="00FD2A48" w:rsidP="00377954">
            <w:pPr>
              <w:ind w:left="113"/>
              <w:rPr>
                <w:sz w:val="20"/>
                <w:szCs w:val="20"/>
                <w:lang w:val="en-GB"/>
              </w:rPr>
            </w:pPr>
            <w:r w:rsidRPr="0040294D">
              <w:rPr>
                <w:sz w:val="20"/>
                <w:szCs w:val="20"/>
                <w:lang w:val="en-GB"/>
              </w:rPr>
              <w:t xml:space="preserve"> – 0.30  (0.11)**</w:t>
            </w:r>
          </w:p>
        </w:tc>
      </w:tr>
      <w:tr w:rsidR="00FD2A48" w:rsidRPr="0040294D" w14:paraId="39B664B6" w14:textId="77777777" w:rsidTr="00377954">
        <w:trPr>
          <w:trHeight w:val="227"/>
          <w:jc w:val="center"/>
        </w:trPr>
        <w:tc>
          <w:tcPr>
            <w:tcW w:w="4989" w:type="dxa"/>
            <w:noWrap/>
            <w:vAlign w:val="center"/>
          </w:tcPr>
          <w:p w14:paraId="73E4344D" w14:textId="77777777" w:rsidR="00FD2A48" w:rsidRPr="0040294D" w:rsidRDefault="00FD2A48" w:rsidP="00377954">
            <w:pPr>
              <w:ind w:left="100"/>
              <w:rPr>
                <w:i/>
                <w:sz w:val="20"/>
                <w:szCs w:val="20"/>
                <w:lang w:val="en-GB"/>
              </w:rPr>
            </w:pPr>
            <w:r w:rsidRPr="0040294D">
              <w:rPr>
                <w:i/>
                <w:sz w:val="20"/>
                <w:szCs w:val="20"/>
                <w:lang w:val="en-GB"/>
              </w:rPr>
              <w:t>Acquirer experience with the US (log.)</w:t>
            </w:r>
            <w:r w:rsidRPr="0040294D">
              <w:rPr>
                <w:i/>
                <w:sz w:val="20"/>
                <w:szCs w:val="20"/>
                <w:vertAlign w:val="superscript"/>
                <w:lang w:val="en-GB"/>
              </w:rPr>
              <w:t xml:space="preserve"> b</w:t>
            </w:r>
          </w:p>
        </w:tc>
        <w:tc>
          <w:tcPr>
            <w:tcW w:w="1644" w:type="dxa"/>
            <w:vAlign w:val="center"/>
          </w:tcPr>
          <w:p w14:paraId="14B750CE" w14:textId="77777777" w:rsidR="00FD2A48" w:rsidRPr="0040294D" w:rsidRDefault="00FD2A48" w:rsidP="00377954">
            <w:pPr>
              <w:ind w:left="113"/>
              <w:rPr>
                <w:sz w:val="20"/>
                <w:szCs w:val="20"/>
                <w:lang w:val="en-GB"/>
              </w:rPr>
            </w:pPr>
            <w:r w:rsidRPr="0040294D">
              <w:rPr>
                <w:sz w:val="20"/>
                <w:szCs w:val="20"/>
                <w:lang w:val="en-GB"/>
              </w:rPr>
              <w:t xml:space="preserve">    0.28  (0.19)</w:t>
            </w:r>
          </w:p>
        </w:tc>
        <w:tc>
          <w:tcPr>
            <w:tcW w:w="1644" w:type="dxa"/>
            <w:vAlign w:val="center"/>
          </w:tcPr>
          <w:p w14:paraId="57A3B8CA" w14:textId="77777777" w:rsidR="00FD2A48" w:rsidRPr="0040294D" w:rsidRDefault="00FD2A48" w:rsidP="00377954">
            <w:pPr>
              <w:ind w:left="113"/>
              <w:rPr>
                <w:sz w:val="20"/>
                <w:szCs w:val="20"/>
                <w:lang w:val="en-GB"/>
              </w:rPr>
            </w:pPr>
            <w:r w:rsidRPr="0040294D">
              <w:rPr>
                <w:sz w:val="20"/>
                <w:szCs w:val="20"/>
                <w:lang w:val="en-GB"/>
              </w:rPr>
              <w:t xml:space="preserve">    0.26  (0.19)</w:t>
            </w:r>
          </w:p>
        </w:tc>
        <w:tc>
          <w:tcPr>
            <w:tcW w:w="1644" w:type="dxa"/>
            <w:noWrap/>
            <w:vAlign w:val="center"/>
          </w:tcPr>
          <w:p w14:paraId="3EF501F0" w14:textId="77777777" w:rsidR="00FD2A48" w:rsidRPr="0040294D" w:rsidRDefault="00FD2A48" w:rsidP="00377954">
            <w:pPr>
              <w:ind w:left="113"/>
              <w:rPr>
                <w:sz w:val="20"/>
                <w:szCs w:val="20"/>
                <w:lang w:val="en-GB"/>
              </w:rPr>
            </w:pPr>
            <w:r w:rsidRPr="0040294D">
              <w:rPr>
                <w:sz w:val="20"/>
                <w:szCs w:val="20"/>
                <w:lang w:val="en-GB"/>
              </w:rPr>
              <w:t xml:space="preserve">    0.28  (0.19)</w:t>
            </w:r>
          </w:p>
        </w:tc>
        <w:tc>
          <w:tcPr>
            <w:tcW w:w="1644" w:type="dxa"/>
            <w:vAlign w:val="center"/>
          </w:tcPr>
          <w:p w14:paraId="585824E2" w14:textId="77777777" w:rsidR="00FD2A48" w:rsidRPr="0040294D" w:rsidRDefault="00FD2A48" w:rsidP="00377954">
            <w:pPr>
              <w:ind w:left="113"/>
              <w:rPr>
                <w:sz w:val="20"/>
                <w:szCs w:val="20"/>
                <w:lang w:val="en-GB"/>
              </w:rPr>
            </w:pPr>
            <w:r w:rsidRPr="0040294D">
              <w:rPr>
                <w:sz w:val="20"/>
                <w:szCs w:val="20"/>
                <w:lang w:val="en-GB"/>
              </w:rPr>
              <w:t xml:space="preserve">    0.26  (0.19)</w:t>
            </w:r>
          </w:p>
        </w:tc>
        <w:tc>
          <w:tcPr>
            <w:tcW w:w="1644" w:type="dxa"/>
            <w:vAlign w:val="center"/>
          </w:tcPr>
          <w:p w14:paraId="488BE3FE" w14:textId="77777777" w:rsidR="00FD2A48" w:rsidRPr="0040294D" w:rsidRDefault="00FD2A48" w:rsidP="00377954">
            <w:pPr>
              <w:ind w:left="113"/>
              <w:rPr>
                <w:sz w:val="20"/>
                <w:szCs w:val="20"/>
                <w:lang w:val="en-GB"/>
              </w:rPr>
            </w:pPr>
            <w:r w:rsidRPr="0040294D">
              <w:rPr>
                <w:sz w:val="20"/>
                <w:szCs w:val="20"/>
                <w:lang w:val="en-GB"/>
              </w:rPr>
              <w:t xml:space="preserve">    0.24  (0.16)</w:t>
            </w:r>
          </w:p>
        </w:tc>
      </w:tr>
      <w:tr w:rsidR="00FD2A48" w:rsidRPr="0040294D" w14:paraId="1294EDFD" w14:textId="77777777" w:rsidTr="00377954">
        <w:trPr>
          <w:trHeight w:val="227"/>
          <w:jc w:val="center"/>
        </w:trPr>
        <w:tc>
          <w:tcPr>
            <w:tcW w:w="4989" w:type="dxa"/>
            <w:noWrap/>
            <w:vAlign w:val="center"/>
          </w:tcPr>
          <w:p w14:paraId="25426100" w14:textId="77777777" w:rsidR="00FD2A48" w:rsidRPr="0040294D" w:rsidRDefault="00FD2A48" w:rsidP="00377954">
            <w:pPr>
              <w:ind w:left="100"/>
              <w:rPr>
                <w:i/>
                <w:sz w:val="20"/>
                <w:szCs w:val="20"/>
                <w:lang w:val="en-GB"/>
              </w:rPr>
            </w:pPr>
            <w:r w:rsidRPr="0040294D">
              <w:rPr>
                <w:i/>
                <w:sz w:val="20"/>
                <w:szCs w:val="20"/>
                <w:lang w:val="en-GB"/>
              </w:rPr>
              <w:t>Acquirer experience with US acquisitions (log.)</w:t>
            </w:r>
            <w:r w:rsidRPr="0040294D">
              <w:rPr>
                <w:i/>
                <w:sz w:val="20"/>
                <w:szCs w:val="20"/>
                <w:vertAlign w:val="superscript"/>
                <w:lang w:val="en-GB"/>
              </w:rPr>
              <w:t xml:space="preserve"> b</w:t>
            </w:r>
          </w:p>
        </w:tc>
        <w:tc>
          <w:tcPr>
            <w:tcW w:w="1644" w:type="dxa"/>
            <w:vAlign w:val="center"/>
          </w:tcPr>
          <w:p w14:paraId="7E901064" w14:textId="77777777" w:rsidR="00FD2A48" w:rsidRPr="0040294D" w:rsidRDefault="00FD2A48" w:rsidP="00377954">
            <w:pPr>
              <w:ind w:left="113"/>
              <w:rPr>
                <w:sz w:val="20"/>
                <w:szCs w:val="20"/>
                <w:lang w:val="en-GB"/>
              </w:rPr>
            </w:pPr>
            <w:r w:rsidRPr="0040294D">
              <w:rPr>
                <w:sz w:val="20"/>
                <w:szCs w:val="20"/>
                <w:lang w:val="en-GB"/>
              </w:rPr>
              <w:t xml:space="preserve"> – 0.14  (0.07)</w:t>
            </w:r>
            <w:r w:rsidRPr="0040294D">
              <w:rPr>
                <w:sz w:val="20"/>
                <w:szCs w:val="20"/>
                <w:vertAlign w:val="superscript"/>
                <w:lang w:val="en-GB"/>
              </w:rPr>
              <w:t xml:space="preserve"> †</w:t>
            </w:r>
          </w:p>
        </w:tc>
        <w:tc>
          <w:tcPr>
            <w:tcW w:w="1644" w:type="dxa"/>
            <w:vAlign w:val="center"/>
          </w:tcPr>
          <w:p w14:paraId="77D1D2E5" w14:textId="77777777" w:rsidR="00FD2A48" w:rsidRPr="0040294D" w:rsidRDefault="00FD2A48" w:rsidP="00377954">
            <w:pPr>
              <w:ind w:left="113"/>
              <w:rPr>
                <w:sz w:val="20"/>
                <w:szCs w:val="20"/>
                <w:lang w:val="en-GB"/>
              </w:rPr>
            </w:pPr>
            <w:r w:rsidRPr="0040294D">
              <w:rPr>
                <w:sz w:val="20"/>
                <w:szCs w:val="20"/>
                <w:lang w:val="en-GB"/>
              </w:rPr>
              <w:t xml:space="preserve"> – 0.12  (0.07)</w:t>
            </w:r>
          </w:p>
        </w:tc>
        <w:tc>
          <w:tcPr>
            <w:tcW w:w="1644" w:type="dxa"/>
            <w:noWrap/>
            <w:vAlign w:val="center"/>
          </w:tcPr>
          <w:p w14:paraId="4794A416" w14:textId="77777777" w:rsidR="00FD2A48" w:rsidRPr="0040294D" w:rsidRDefault="00FD2A48" w:rsidP="00377954">
            <w:pPr>
              <w:ind w:left="113"/>
              <w:rPr>
                <w:sz w:val="20"/>
                <w:szCs w:val="20"/>
                <w:lang w:val="en-GB"/>
              </w:rPr>
            </w:pPr>
            <w:r w:rsidRPr="0040294D">
              <w:rPr>
                <w:sz w:val="20"/>
                <w:szCs w:val="20"/>
                <w:lang w:val="en-GB"/>
              </w:rPr>
              <w:t xml:space="preserve"> – 0.13  (0.08)</w:t>
            </w:r>
          </w:p>
        </w:tc>
        <w:tc>
          <w:tcPr>
            <w:tcW w:w="1644" w:type="dxa"/>
            <w:vAlign w:val="center"/>
          </w:tcPr>
          <w:p w14:paraId="2C67B470" w14:textId="77777777" w:rsidR="00FD2A48" w:rsidRPr="0040294D" w:rsidRDefault="00FD2A48" w:rsidP="00377954">
            <w:pPr>
              <w:ind w:left="113"/>
              <w:rPr>
                <w:sz w:val="20"/>
                <w:szCs w:val="20"/>
                <w:lang w:val="en-GB"/>
              </w:rPr>
            </w:pPr>
            <w:r w:rsidRPr="0040294D">
              <w:rPr>
                <w:sz w:val="20"/>
                <w:szCs w:val="20"/>
                <w:lang w:val="en-GB"/>
              </w:rPr>
              <w:t xml:space="preserve"> – 0.13  (0.07)</w:t>
            </w:r>
            <w:r w:rsidRPr="0040294D">
              <w:rPr>
                <w:sz w:val="20"/>
                <w:szCs w:val="20"/>
                <w:vertAlign w:val="superscript"/>
                <w:lang w:val="en-GB"/>
              </w:rPr>
              <w:t xml:space="preserve"> †</w:t>
            </w:r>
          </w:p>
        </w:tc>
        <w:tc>
          <w:tcPr>
            <w:tcW w:w="1644" w:type="dxa"/>
            <w:vAlign w:val="center"/>
          </w:tcPr>
          <w:p w14:paraId="2181FB5D" w14:textId="77777777" w:rsidR="00FD2A48" w:rsidRPr="0040294D" w:rsidRDefault="00FD2A48" w:rsidP="00377954">
            <w:pPr>
              <w:ind w:left="113"/>
              <w:rPr>
                <w:sz w:val="20"/>
                <w:szCs w:val="20"/>
                <w:lang w:val="en-GB"/>
              </w:rPr>
            </w:pPr>
            <w:r w:rsidRPr="0040294D">
              <w:rPr>
                <w:sz w:val="20"/>
                <w:szCs w:val="20"/>
                <w:lang w:val="en-GB"/>
              </w:rPr>
              <w:t xml:space="preserve"> – 0.13  (0.07)</w:t>
            </w:r>
            <w:r w:rsidRPr="0040294D">
              <w:rPr>
                <w:sz w:val="20"/>
                <w:szCs w:val="20"/>
                <w:vertAlign w:val="superscript"/>
                <w:lang w:val="en-GB"/>
              </w:rPr>
              <w:t xml:space="preserve"> †</w:t>
            </w:r>
          </w:p>
        </w:tc>
      </w:tr>
      <w:tr w:rsidR="00FD2A48" w:rsidRPr="0040294D" w14:paraId="2CD3BEB1" w14:textId="77777777" w:rsidTr="00377954">
        <w:trPr>
          <w:trHeight w:val="227"/>
          <w:jc w:val="center"/>
        </w:trPr>
        <w:tc>
          <w:tcPr>
            <w:tcW w:w="4989" w:type="dxa"/>
            <w:noWrap/>
            <w:vAlign w:val="center"/>
          </w:tcPr>
          <w:p w14:paraId="767AB628" w14:textId="77777777" w:rsidR="00FD2A48" w:rsidRPr="0040294D" w:rsidRDefault="00FD2A48" w:rsidP="00377954">
            <w:pPr>
              <w:ind w:left="100"/>
              <w:rPr>
                <w:i/>
                <w:sz w:val="20"/>
                <w:szCs w:val="20"/>
                <w:lang w:val="en-GB"/>
              </w:rPr>
            </w:pPr>
            <w:r w:rsidRPr="0040294D">
              <w:rPr>
                <w:i/>
                <w:sz w:val="20"/>
                <w:szCs w:val="20"/>
                <w:lang w:val="en-GB"/>
              </w:rPr>
              <w:t>Acquirer experience with US divestments (log.)</w:t>
            </w:r>
            <w:r w:rsidRPr="0040294D">
              <w:rPr>
                <w:i/>
                <w:sz w:val="20"/>
                <w:szCs w:val="20"/>
                <w:vertAlign w:val="superscript"/>
                <w:lang w:val="en-GB"/>
              </w:rPr>
              <w:t xml:space="preserve"> b</w:t>
            </w:r>
          </w:p>
        </w:tc>
        <w:tc>
          <w:tcPr>
            <w:tcW w:w="1644" w:type="dxa"/>
            <w:vAlign w:val="center"/>
          </w:tcPr>
          <w:p w14:paraId="5CAB2606" w14:textId="77777777" w:rsidR="00FD2A48" w:rsidRPr="0040294D" w:rsidRDefault="00FD2A48" w:rsidP="00377954">
            <w:pPr>
              <w:ind w:left="113"/>
              <w:rPr>
                <w:sz w:val="20"/>
                <w:szCs w:val="20"/>
                <w:lang w:val="en-GB"/>
              </w:rPr>
            </w:pPr>
            <w:r w:rsidRPr="0040294D">
              <w:rPr>
                <w:sz w:val="20"/>
                <w:szCs w:val="20"/>
                <w:lang w:val="en-GB"/>
              </w:rPr>
              <w:t xml:space="preserve">    0.12  (0.06)</w:t>
            </w:r>
            <w:r w:rsidRPr="0040294D">
              <w:rPr>
                <w:sz w:val="20"/>
                <w:szCs w:val="20"/>
                <w:vertAlign w:val="superscript"/>
                <w:lang w:val="en-GB"/>
              </w:rPr>
              <w:t xml:space="preserve"> †</w:t>
            </w:r>
          </w:p>
        </w:tc>
        <w:tc>
          <w:tcPr>
            <w:tcW w:w="1644" w:type="dxa"/>
            <w:vAlign w:val="center"/>
          </w:tcPr>
          <w:p w14:paraId="2CDE9A02" w14:textId="77777777" w:rsidR="00FD2A48" w:rsidRPr="0040294D" w:rsidRDefault="00FD2A48" w:rsidP="00377954">
            <w:pPr>
              <w:ind w:left="113"/>
              <w:rPr>
                <w:sz w:val="20"/>
                <w:szCs w:val="20"/>
                <w:lang w:val="en-GB"/>
              </w:rPr>
            </w:pPr>
            <w:r w:rsidRPr="0040294D">
              <w:rPr>
                <w:sz w:val="20"/>
                <w:szCs w:val="20"/>
                <w:lang w:val="en-GB"/>
              </w:rPr>
              <w:t xml:space="preserve">    0.11  (0.06)</w:t>
            </w:r>
            <w:r w:rsidRPr="0040294D">
              <w:rPr>
                <w:sz w:val="20"/>
                <w:szCs w:val="20"/>
                <w:vertAlign w:val="superscript"/>
                <w:lang w:val="en-GB"/>
              </w:rPr>
              <w:t xml:space="preserve"> †</w:t>
            </w:r>
          </w:p>
        </w:tc>
        <w:tc>
          <w:tcPr>
            <w:tcW w:w="1644" w:type="dxa"/>
            <w:noWrap/>
            <w:vAlign w:val="center"/>
          </w:tcPr>
          <w:p w14:paraId="72C712CB" w14:textId="77777777" w:rsidR="00FD2A48" w:rsidRPr="0040294D" w:rsidRDefault="00FD2A48" w:rsidP="00377954">
            <w:pPr>
              <w:ind w:left="113"/>
              <w:rPr>
                <w:sz w:val="20"/>
                <w:szCs w:val="20"/>
                <w:lang w:val="en-GB"/>
              </w:rPr>
            </w:pPr>
            <w:r w:rsidRPr="0040294D">
              <w:rPr>
                <w:sz w:val="20"/>
                <w:szCs w:val="20"/>
                <w:lang w:val="en-GB"/>
              </w:rPr>
              <w:t xml:space="preserve">    0.13  (0.06)*</w:t>
            </w:r>
          </w:p>
        </w:tc>
        <w:tc>
          <w:tcPr>
            <w:tcW w:w="1644" w:type="dxa"/>
            <w:vAlign w:val="center"/>
          </w:tcPr>
          <w:p w14:paraId="5A28EE4E" w14:textId="77777777" w:rsidR="00FD2A48" w:rsidRPr="0040294D" w:rsidRDefault="00FD2A48" w:rsidP="00377954">
            <w:pPr>
              <w:ind w:left="113"/>
              <w:rPr>
                <w:sz w:val="20"/>
                <w:szCs w:val="20"/>
                <w:lang w:val="en-GB"/>
              </w:rPr>
            </w:pPr>
            <w:r w:rsidRPr="0040294D">
              <w:rPr>
                <w:sz w:val="20"/>
                <w:szCs w:val="20"/>
                <w:lang w:val="en-GB"/>
              </w:rPr>
              <w:t xml:space="preserve">    0.14  (0.06)*</w:t>
            </w:r>
          </w:p>
        </w:tc>
        <w:tc>
          <w:tcPr>
            <w:tcW w:w="1644" w:type="dxa"/>
            <w:vAlign w:val="center"/>
          </w:tcPr>
          <w:p w14:paraId="6F4B0A36" w14:textId="77777777" w:rsidR="00FD2A48" w:rsidRPr="0040294D" w:rsidRDefault="00FD2A48" w:rsidP="00377954">
            <w:pPr>
              <w:ind w:left="113"/>
              <w:rPr>
                <w:sz w:val="20"/>
                <w:szCs w:val="20"/>
                <w:lang w:val="en-GB"/>
              </w:rPr>
            </w:pPr>
            <w:r w:rsidRPr="0040294D">
              <w:rPr>
                <w:sz w:val="20"/>
                <w:szCs w:val="20"/>
                <w:lang w:val="en-GB"/>
              </w:rPr>
              <w:t xml:space="preserve">    0.12  (0.06)*</w:t>
            </w:r>
          </w:p>
        </w:tc>
      </w:tr>
      <w:tr w:rsidR="00FD2A48" w:rsidRPr="0040294D" w14:paraId="77A40180" w14:textId="77777777" w:rsidTr="00377954">
        <w:trPr>
          <w:trHeight w:val="227"/>
          <w:jc w:val="center"/>
        </w:trPr>
        <w:tc>
          <w:tcPr>
            <w:tcW w:w="4989" w:type="dxa"/>
            <w:noWrap/>
            <w:vAlign w:val="center"/>
          </w:tcPr>
          <w:p w14:paraId="5247568E" w14:textId="77777777" w:rsidR="00FD2A48" w:rsidRPr="0040294D" w:rsidRDefault="00FD2A48" w:rsidP="00377954">
            <w:pPr>
              <w:ind w:left="100"/>
              <w:rPr>
                <w:i/>
                <w:iCs/>
                <w:sz w:val="20"/>
                <w:szCs w:val="20"/>
                <w:lang w:val="en-GB"/>
              </w:rPr>
            </w:pPr>
            <w:r w:rsidRPr="0040294D">
              <w:rPr>
                <w:i/>
                <w:sz w:val="20"/>
                <w:szCs w:val="20"/>
                <w:lang w:val="en-GB"/>
              </w:rPr>
              <w:t>Acquirer ROA</w:t>
            </w:r>
            <w:r w:rsidRPr="0040294D">
              <w:rPr>
                <w:i/>
                <w:sz w:val="20"/>
                <w:szCs w:val="20"/>
                <w:vertAlign w:val="superscript"/>
                <w:lang w:val="en-GB"/>
              </w:rPr>
              <w:t xml:space="preserve"> b</w:t>
            </w:r>
          </w:p>
        </w:tc>
        <w:tc>
          <w:tcPr>
            <w:tcW w:w="1644" w:type="dxa"/>
            <w:vAlign w:val="center"/>
          </w:tcPr>
          <w:p w14:paraId="15D05FA7" w14:textId="77777777" w:rsidR="00FD2A48" w:rsidRPr="0040294D" w:rsidRDefault="00FD2A48" w:rsidP="00377954">
            <w:pPr>
              <w:ind w:left="113"/>
              <w:rPr>
                <w:sz w:val="20"/>
                <w:szCs w:val="20"/>
                <w:lang w:val="en-GB"/>
              </w:rPr>
            </w:pPr>
            <w:r w:rsidRPr="0040294D">
              <w:rPr>
                <w:sz w:val="20"/>
                <w:szCs w:val="20"/>
                <w:lang w:val="en-GB"/>
              </w:rPr>
              <w:t xml:space="preserve"> – 0.69  (0.22)**</w:t>
            </w:r>
          </w:p>
        </w:tc>
        <w:tc>
          <w:tcPr>
            <w:tcW w:w="1644" w:type="dxa"/>
            <w:vAlign w:val="center"/>
          </w:tcPr>
          <w:p w14:paraId="75F249E1" w14:textId="77777777" w:rsidR="00FD2A48" w:rsidRPr="0040294D" w:rsidRDefault="00FD2A48" w:rsidP="00377954">
            <w:pPr>
              <w:ind w:left="113"/>
              <w:rPr>
                <w:sz w:val="20"/>
                <w:szCs w:val="20"/>
                <w:lang w:val="en-GB"/>
              </w:rPr>
            </w:pPr>
            <w:r w:rsidRPr="0040294D">
              <w:rPr>
                <w:sz w:val="20"/>
                <w:szCs w:val="20"/>
                <w:lang w:val="en-GB"/>
              </w:rPr>
              <w:t xml:space="preserve"> – 0.66  (0.22)**</w:t>
            </w:r>
          </w:p>
        </w:tc>
        <w:tc>
          <w:tcPr>
            <w:tcW w:w="1644" w:type="dxa"/>
            <w:noWrap/>
            <w:vAlign w:val="center"/>
          </w:tcPr>
          <w:p w14:paraId="6B093020" w14:textId="77777777" w:rsidR="00FD2A48" w:rsidRPr="0040294D" w:rsidRDefault="00FD2A48" w:rsidP="00377954">
            <w:pPr>
              <w:ind w:left="113"/>
              <w:rPr>
                <w:sz w:val="20"/>
                <w:szCs w:val="20"/>
                <w:lang w:val="en-GB"/>
              </w:rPr>
            </w:pPr>
            <w:r w:rsidRPr="0040294D">
              <w:rPr>
                <w:sz w:val="20"/>
                <w:szCs w:val="20"/>
                <w:lang w:val="en-GB"/>
              </w:rPr>
              <w:t xml:space="preserve"> – 0.67  (0.23)**</w:t>
            </w:r>
          </w:p>
        </w:tc>
        <w:tc>
          <w:tcPr>
            <w:tcW w:w="1644" w:type="dxa"/>
            <w:vAlign w:val="center"/>
          </w:tcPr>
          <w:p w14:paraId="5A883156" w14:textId="77777777" w:rsidR="00FD2A48" w:rsidRPr="0040294D" w:rsidRDefault="00FD2A48" w:rsidP="00377954">
            <w:pPr>
              <w:ind w:left="113"/>
              <w:rPr>
                <w:sz w:val="20"/>
                <w:szCs w:val="20"/>
                <w:lang w:val="en-GB"/>
              </w:rPr>
            </w:pPr>
            <w:r w:rsidRPr="0040294D">
              <w:rPr>
                <w:sz w:val="20"/>
                <w:szCs w:val="20"/>
                <w:lang w:val="en-GB"/>
              </w:rPr>
              <w:t xml:space="preserve"> – 0.65  (0.23)**</w:t>
            </w:r>
          </w:p>
        </w:tc>
        <w:tc>
          <w:tcPr>
            <w:tcW w:w="1644" w:type="dxa"/>
            <w:vAlign w:val="center"/>
          </w:tcPr>
          <w:p w14:paraId="35D997DE" w14:textId="77777777" w:rsidR="00FD2A48" w:rsidRPr="0040294D" w:rsidRDefault="00FD2A48" w:rsidP="00377954">
            <w:pPr>
              <w:ind w:left="113"/>
              <w:rPr>
                <w:sz w:val="20"/>
                <w:szCs w:val="20"/>
                <w:lang w:val="en-GB"/>
              </w:rPr>
            </w:pPr>
            <w:r w:rsidRPr="0040294D">
              <w:rPr>
                <w:sz w:val="20"/>
                <w:szCs w:val="20"/>
                <w:lang w:val="en-GB"/>
              </w:rPr>
              <w:t xml:space="preserve"> – 0.67  (0.23)**</w:t>
            </w:r>
          </w:p>
        </w:tc>
      </w:tr>
      <w:tr w:rsidR="00FD2A48" w:rsidRPr="0040294D" w14:paraId="4F0D3F8E" w14:textId="77777777" w:rsidTr="00377954">
        <w:trPr>
          <w:trHeight w:val="227"/>
          <w:jc w:val="center"/>
        </w:trPr>
        <w:tc>
          <w:tcPr>
            <w:tcW w:w="4989" w:type="dxa"/>
            <w:noWrap/>
            <w:vAlign w:val="center"/>
          </w:tcPr>
          <w:p w14:paraId="69DA943E" w14:textId="77777777" w:rsidR="00FD2A48" w:rsidRPr="0040294D" w:rsidRDefault="00FD2A48" w:rsidP="00377954">
            <w:pPr>
              <w:ind w:left="100"/>
              <w:rPr>
                <w:i/>
                <w:sz w:val="20"/>
                <w:szCs w:val="20"/>
                <w:lang w:val="en-GB"/>
              </w:rPr>
            </w:pPr>
            <w:r w:rsidRPr="0040294D">
              <w:rPr>
                <w:i/>
                <w:sz w:val="20"/>
                <w:szCs w:val="20"/>
                <w:lang w:val="en-GB"/>
              </w:rPr>
              <w:t>Acquirer CEO change</w:t>
            </w:r>
          </w:p>
        </w:tc>
        <w:tc>
          <w:tcPr>
            <w:tcW w:w="1644" w:type="dxa"/>
            <w:vAlign w:val="center"/>
          </w:tcPr>
          <w:p w14:paraId="0175FB66" w14:textId="77777777" w:rsidR="00FD2A48" w:rsidRPr="0040294D" w:rsidRDefault="00FD2A48" w:rsidP="00377954">
            <w:pPr>
              <w:ind w:left="113"/>
              <w:rPr>
                <w:sz w:val="20"/>
                <w:szCs w:val="20"/>
                <w:lang w:val="en-GB"/>
              </w:rPr>
            </w:pPr>
            <w:r w:rsidRPr="0040294D">
              <w:rPr>
                <w:sz w:val="20"/>
                <w:szCs w:val="20"/>
                <w:lang w:val="en-GB"/>
              </w:rPr>
              <w:t xml:space="preserve">    1.08  (0.29)***</w:t>
            </w:r>
          </w:p>
        </w:tc>
        <w:tc>
          <w:tcPr>
            <w:tcW w:w="1644" w:type="dxa"/>
            <w:vAlign w:val="center"/>
          </w:tcPr>
          <w:p w14:paraId="263A289C" w14:textId="77777777" w:rsidR="00FD2A48" w:rsidRPr="0040294D" w:rsidRDefault="00FD2A48" w:rsidP="00377954">
            <w:pPr>
              <w:ind w:left="113"/>
              <w:rPr>
                <w:sz w:val="20"/>
                <w:szCs w:val="20"/>
                <w:lang w:val="en-GB"/>
              </w:rPr>
            </w:pPr>
            <w:r w:rsidRPr="0040294D">
              <w:rPr>
                <w:sz w:val="20"/>
                <w:szCs w:val="20"/>
                <w:lang w:val="en-GB"/>
              </w:rPr>
              <w:t xml:space="preserve">    1.14  (0.30)***</w:t>
            </w:r>
          </w:p>
        </w:tc>
        <w:tc>
          <w:tcPr>
            <w:tcW w:w="1644" w:type="dxa"/>
            <w:noWrap/>
            <w:vAlign w:val="center"/>
          </w:tcPr>
          <w:p w14:paraId="2034B720" w14:textId="77777777" w:rsidR="00FD2A48" w:rsidRPr="0040294D" w:rsidRDefault="00FD2A48" w:rsidP="00377954">
            <w:pPr>
              <w:ind w:left="113"/>
              <w:rPr>
                <w:sz w:val="20"/>
                <w:szCs w:val="20"/>
                <w:lang w:val="en-GB"/>
              </w:rPr>
            </w:pPr>
            <w:r w:rsidRPr="0040294D">
              <w:rPr>
                <w:sz w:val="20"/>
                <w:szCs w:val="20"/>
                <w:lang w:val="en-GB"/>
              </w:rPr>
              <w:t xml:space="preserve">    1.20  (0.30)***</w:t>
            </w:r>
          </w:p>
        </w:tc>
        <w:tc>
          <w:tcPr>
            <w:tcW w:w="1644" w:type="dxa"/>
            <w:vAlign w:val="center"/>
          </w:tcPr>
          <w:p w14:paraId="21620C6C" w14:textId="77777777" w:rsidR="00FD2A48" w:rsidRPr="0040294D" w:rsidRDefault="00FD2A48" w:rsidP="00377954">
            <w:pPr>
              <w:ind w:left="113"/>
              <w:rPr>
                <w:sz w:val="20"/>
                <w:szCs w:val="20"/>
                <w:lang w:val="en-GB"/>
              </w:rPr>
            </w:pPr>
            <w:r w:rsidRPr="0040294D">
              <w:rPr>
                <w:sz w:val="20"/>
                <w:szCs w:val="20"/>
                <w:lang w:val="en-GB"/>
              </w:rPr>
              <w:t xml:space="preserve">    1.18  (0.31)***</w:t>
            </w:r>
          </w:p>
        </w:tc>
        <w:tc>
          <w:tcPr>
            <w:tcW w:w="1644" w:type="dxa"/>
            <w:vAlign w:val="center"/>
          </w:tcPr>
          <w:p w14:paraId="4983597F" w14:textId="77777777" w:rsidR="00FD2A48" w:rsidRPr="0040294D" w:rsidRDefault="00FD2A48" w:rsidP="00377954">
            <w:pPr>
              <w:ind w:left="113"/>
              <w:rPr>
                <w:sz w:val="20"/>
                <w:szCs w:val="20"/>
                <w:lang w:val="en-GB"/>
              </w:rPr>
            </w:pPr>
            <w:r w:rsidRPr="0040294D">
              <w:rPr>
                <w:sz w:val="20"/>
                <w:szCs w:val="20"/>
                <w:lang w:val="en-GB"/>
              </w:rPr>
              <w:t xml:space="preserve">    1.19  (0.30)***</w:t>
            </w:r>
          </w:p>
        </w:tc>
      </w:tr>
      <w:tr w:rsidR="00FD2A48" w:rsidRPr="0040294D" w14:paraId="05FB0D5A" w14:textId="77777777" w:rsidTr="00377954">
        <w:trPr>
          <w:trHeight w:val="227"/>
          <w:jc w:val="center"/>
        </w:trPr>
        <w:tc>
          <w:tcPr>
            <w:tcW w:w="4989" w:type="dxa"/>
            <w:noWrap/>
            <w:vAlign w:val="center"/>
          </w:tcPr>
          <w:p w14:paraId="4A4C07A6" w14:textId="77777777" w:rsidR="00FD2A48" w:rsidRPr="0040294D" w:rsidRDefault="00FD2A48" w:rsidP="00377954">
            <w:pPr>
              <w:ind w:left="100"/>
              <w:rPr>
                <w:i/>
                <w:sz w:val="20"/>
                <w:szCs w:val="20"/>
                <w:lang w:val="en-GB"/>
              </w:rPr>
            </w:pPr>
            <w:r w:rsidRPr="0040294D">
              <w:rPr>
                <w:i/>
                <w:sz w:val="20"/>
                <w:szCs w:val="20"/>
                <w:lang w:val="en-GB"/>
              </w:rPr>
              <w:t>Relative size</w:t>
            </w:r>
          </w:p>
        </w:tc>
        <w:tc>
          <w:tcPr>
            <w:tcW w:w="1644" w:type="dxa"/>
            <w:vAlign w:val="center"/>
          </w:tcPr>
          <w:p w14:paraId="61CE35B5" w14:textId="77777777" w:rsidR="00FD2A48" w:rsidRPr="0040294D" w:rsidRDefault="00FD2A48" w:rsidP="00377954">
            <w:pPr>
              <w:ind w:left="113"/>
              <w:rPr>
                <w:sz w:val="20"/>
                <w:szCs w:val="20"/>
                <w:lang w:val="en-GB"/>
              </w:rPr>
            </w:pPr>
            <w:r w:rsidRPr="0040294D">
              <w:rPr>
                <w:sz w:val="20"/>
                <w:szCs w:val="20"/>
                <w:lang w:val="en-GB"/>
              </w:rPr>
              <w:t xml:space="preserve">    0.04  (0.01)***</w:t>
            </w:r>
          </w:p>
        </w:tc>
        <w:tc>
          <w:tcPr>
            <w:tcW w:w="1644" w:type="dxa"/>
            <w:vAlign w:val="center"/>
          </w:tcPr>
          <w:p w14:paraId="3EEF48C1" w14:textId="77777777" w:rsidR="00FD2A48" w:rsidRPr="0040294D" w:rsidRDefault="00FD2A48" w:rsidP="00377954">
            <w:pPr>
              <w:ind w:left="113"/>
              <w:rPr>
                <w:sz w:val="20"/>
                <w:szCs w:val="20"/>
                <w:lang w:val="en-GB"/>
              </w:rPr>
            </w:pPr>
            <w:r w:rsidRPr="0040294D">
              <w:rPr>
                <w:sz w:val="20"/>
                <w:szCs w:val="20"/>
                <w:lang w:val="en-GB"/>
              </w:rPr>
              <w:t xml:space="preserve">    0.05  (0.01)***</w:t>
            </w:r>
          </w:p>
        </w:tc>
        <w:tc>
          <w:tcPr>
            <w:tcW w:w="1644" w:type="dxa"/>
            <w:noWrap/>
            <w:vAlign w:val="center"/>
          </w:tcPr>
          <w:p w14:paraId="7CC6F272" w14:textId="77777777" w:rsidR="00FD2A48" w:rsidRPr="0040294D" w:rsidRDefault="00FD2A48" w:rsidP="00377954">
            <w:pPr>
              <w:ind w:left="113"/>
              <w:rPr>
                <w:sz w:val="20"/>
                <w:szCs w:val="20"/>
                <w:lang w:val="en-GB"/>
              </w:rPr>
            </w:pPr>
            <w:r w:rsidRPr="0040294D">
              <w:rPr>
                <w:sz w:val="20"/>
                <w:szCs w:val="20"/>
                <w:lang w:val="en-GB"/>
              </w:rPr>
              <w:t xml:space="preserve">    0.05  (0.01)***</w:t>
            </w:r>
          </w:p>
        </w:tc>
        <w:tc>
          <w:tcPr>
            <w:tcW w:w="1644" w:type="dxa"/>
            <w:vAlign w:val="center"/>
          </w:tcPr>
          <w:p w14:paraId="774FF38D" w14:textId="77777777" w:rsidR="00FD2A48" w:rsidRPr="0040294D" w:rsidRDefault="00FD2A48" w:rsidP="00377954">
            <w:pPr>
              <w:ind w:left="113"/>
              <w:rPr>
                <w:sz w:val="20"/>
                <w:szCs w:val="20"/>
                <w:lang w:val="en-GB"/>
              </w:rPr>
            </w:pPr>
            <w:r w:rsidRPr="0040294D">
              <w:rPr>
                <w:sz w:val="20"/>
                <w:szCs w:val="20"/>
                <w:lang w:val="en-GB"/>
              </w:rPr>
              <w:t xml:space="preserve">    0.05  (0.01)***</w:t>
            </w:r>
          </w:p>
        </w:tc>
        <w:tc>
          <w:tcPr>
            <w:tcW w:w="1644" w:type="dxa"/>
            <w:vAlign w:val="center"/>
          </w:tcPr>
          <w:p w14:paraId="513F570A" w14:textId="77777777" w:rsidR="00FD2A48" w:rsidRPr="0040294D" w:rsidRDefault="00FD2A48" w:rsidP="00377954">
            <w:pPr>
              <w:ind w:left="113"/>
              <w:rPr>
                <w:sz w:val="20"/>
                <w:szCs w:val="20"/>
                <w:lang w:val="en-GB"/>
              </w:rPr>
            </w:pPr>
            <w:r w:rsidRPr="0040294D">
              <w:rPr>
                <w:sz w:val="20"/>
                <w:szCs w:val="20"/>
                <w:lang w:val="en-GB"/>
              </w:rPr>
              <w:t xml:space="preserve">    0.05  (0.01)***</w:t>
            </w:r>
          </w:p>
        </w:tc>
      </w:tr>
      <w:tr w:rsidR="00FD2A48" w:rsidRPr="0040294D" w14:paraId="2D123ED8" w14:textId="77777777" w:rsidTr="00377954">
        <w:trPr>
          <w:trHeight w:val="227"/>
          <w:jc w:val="center"/>
        </w:trPr>
        <w:tc>
          <w:tcPr>
            <w:tcW w:w="4989" w:type="dxa"/>
            <w:noWrap/>
            <w:vAlign w:val="center"/>
          </w:tcPr>
          <w:p w14:paraId="0B3BECB2" w14:textId="77777777" w:rsidR="00FD2A48" w:rsidRPr="0040294D" w:rsidRDefault="00FD2A48" w:rsidP="00377954">
            <w:pPr>
              <w:ind w:left="100"/>
              <w:rPr>
                <w:i/>
                <w:sz w:val="20"/>
                <w:szCs w:val="20"/>
                <w:lang w:val="en-GB"/>
              </w:rPr>
            </w:pPr>
            <w:r w:rsidRPr="0040294D">
              <w:rPr>
                <w:i/>
                <w:sz w:val="20"/>
                <w:szCs w:val="20"/>
                <w:lang w:val="en-GB"/>
              </w:rPr>
              <w:t>Transaction price (log.)</w:t>
            </w:r>
          </w:p>
        </w:tc>
        <w:tc>
          <w:tcPr>
            <w:tcW w:w="1644" w:type="dxa"/>
            <w:vAlign w:val="center"/>
          </w:tcPr>
          <w:p w14:paraId="14F42895" w14:textId="77777777" w:rsidR="00FD2A48" w:rsidRPr="0040294D" w:rsidRDefault="00FD2A48" w:rsidP="00377954">
            <w:pPr>
              <w:ind w:left="113"/>
              <w:rPr>
                <w:sz w:val="20"/>
                <w:szCs w:val="20"/>
                <w:lang w:val="en-GB"/>
              </w:rPr>
            </w:pPr>
            <w:r w:rsidRPr="0040294D">
              <w:rPr>
                <w:sz w:val="20"/>
                <w:szCs w:val="20"/>
                <w:lang w:val="en-GB"/>
              </w:rPr>
              <w:t xml:space="preserve">    0.03  (0.15)</w:t>
            </w:r>
          </w:p>
        </w:tc>
        <w:tc>
          <w:tcPr>
            <w:tcW w:w="1644" w:type="dxa"/>
            <w:vAlign w:val="center"/>
          </w:tcPr>
          <w:p w14:paraId="75C58D47" w14:textId="77777777" w:rsidR="00FD2A48" w:rsidRPr="0040294D" w:rsidRDefault="00FD2A48" w:rsidP="00377954">
            <w:pPr>
              <w:ind w:left="113"/>
              <w:rPr>
                <w:sz w:val="20"/>
                <w:szCs w:val="20"/>
                <w:lang w:val="en-GB"/>
              </w:rPr>
            </w:pPr>
            <w:r w:rsidRPr="0040294D">
              <w:rPr>
                <w:sz w:val="20"/>
                <w:szCs w:val="20"/>
                <w:lang w:val="en-GB"/>
              </w:rPr>
              <w:t xml:space="preserve">    0.04  (0.15)</w:t>
            </w:r>
          </w:p>
        </w:tc>
        <w:tc>
          <w:tcPr>
            <w:tcW w:w="1644" w:type="dxa"/>
            <w:noWrap/>
            <w:vAlign w:val="center"/>
          </w:tcPr>
          <w:p w14:paraId="36C9E2FE" w14:textId="77777777" w:rsidR="00FD2A48" w:rsidRPr="0040294D" w:rsidRDefault="00FD2A48" w:rsidP="00377954">
            <w:pPr>
              <w:ind w:left="113"/>
              <w:rPr>
                <w:sz w:val="20"/>
                <w:szCs w:val="20"/>
                <w:lang w:val="en-GB"/>
              </w:rPr>
            </w:pPr>
            <w:r w:rsidRPr="0040294D">
              <w:rPr>
                <w:sz w:val="20"/>
                <w:szCs w:val="20"/>
                <w:lang w:val="en-GB"/>
              </w:rPr>
              <w:t xml:space="preserve">    0.05  (0.16)</w:t>
            </w:r>
          </w:p>
        </w:tc>
        <w:tc>
          <w:tcPr>
            <w:tcW w:w="1644" w:type="dxa"/>
            <w:vAlign w:val="center"/>
          </w:tcPr>
          <w:p w14:paraId="7A15EA09" w14:textId="77777777" w:rsidR="00FD2A48" w:rsidRPr="0040294D" w:rsidRDefault="00FD2A48" w:rsidP="00377954">
            <w:pPr>
              <w:ind w:left="113"/>
              <w:rPr>
                <w:sz w:val="20"/>
                <w:szCs w:val="20"/>
                <w:lang w:val="en-GB"/>
              </w:rPr>
            </w:pPr>
            <w:r w:rsidRPr="0040294D">
              <w:rPr>
                <w:sz w:val="20"/>
                <w:szCs w:val="20"/>
                <w:lang w:val="en-GB"/>
              </w:rPr>
              <w:t xml:space="preserve">    0.05  (0.16)</w:t>
            </w:r>
          </w:p>
        </w:tc>
        <w:tc>
          <w:tcPr>
            <w:tcW w:w="1644" w:type="dxa"/>
            <w:vAlign w:val="center"/>
          </w:tcPr>
          <w:p w14:paraId="35C04B37" w14:textId="77777777" w:rsidR="00FD2A48" w:rsidRPr="0040294D" w:rsidRDefault="00FD2A48" w:rsidP="00377954">
            <w:pPr>
              <w:ind w:left="113"/>
              <w:rPr>
                <w:sz w:val="20"/>
                <w:szCs w:val="20"/>
                <w:lang w:val="en-GB"/>
              </w:rPr>
            </w:pPr>
            <w:r w:rsidRPr="0040294D">
              <w:rPr>
                <w:sz w:val="20"/>
                <w:szCs w:val="20"/>
                <w:lang w:val="en-GB"/>
              </w:rPr>
              <w:t xml:space="preserve">    0.05  (0.16)</w:t>
            </w:r>
          </w:p>
        </w:tc>
      </w:tr>
      <w:tr w:rsidR="00FD2A48" w:rsidRPr="0040294D" w14:paraId="6CA9B2FA" w14:textId="77777777" w:rsidTr="00377954">
        <w:trPr>
          <w:trHeight w:val="227"/>
          <w:jc w:val="center"/>
        </w:trPr>
        <w:tc>
          <w:tcPr>
            <w:tcW w:w="4989" w:type="dxa"/>
            <w:noWrap/>
            <w:vAlign w:val="center"/>
          </w:tcPr>
          <w:p w14:paraId="3001B159" w14:textId="77777777" w:rsidR="00FD2A48" w:rsidRPr="0040294D" w:rsidRDefault="00FD2A48" w:rsidP="00377954">
            <w:pPr>
              <w:ind w:left="100"/>
              <w:rPr>
                <w:i/>
                <w:sz w:val="20"/>
                <w:szCs w:val="20"/>
                <w:lang w:val="en-GB"/>
              </w:rPr>
            </w:pPr>
            <w:r w:rsidRPr="0040294D">
              <w:rPr>
                <w:i/>
                <w:sz w:val="20"/>
                <w:szCs w:val="20"/>
                <w:lang w:val="en-GB"/>
              </w:rPr>
              <w:t>Acquirer-to-acquired firm relatedness</w:t>
            </w:r>
          </w:p>
        </w:tc>
        <w:tc>
          <w:tcPr>
            <w:tcW w:w="1644" w:type="dxa"/>
            <w:vAlign w:val="center"/>
          </w:tcPr>
          <w:p w14:paraId="4BFD64BE" w14:textId="77777777" w:rsidR="00FD2A48" w:rsidRPr="0040294D" w:rsidRDefault="00FD2A48" w:rsidP="00377954">
            <w:pPr>
              <w:ind w:left="113"/>
              <w:rPr>
                <w:sz w:val="20"/>
                <w:szCs w:val="20"/>
                <w:lang w:val="en-GB"/>
              </w:rPr>
            </w:pPr>
            <w:r w:rsidRPr="0040294D">
              <w:rPr>
                <w:sz w:val="20"/>
                <w:szCs w:val="20"/>
                <w:lang w:val="en-GB"/>
              </w:rPr>
              <w:t xml:space="preserve"> – 0.12  (0.07)</w:t>
            </w:r>
          </w:p>
        </w:tc>
        <w:tc>
          <w:tcPr>
            <w:tcW w:w="1644" w:type="dxa"/>
            <w:vAlign w:val="center"/>
          </w:tcPr>
          <w:p w14:paraId="530EBCD1" w14:textId="77777777" w:rsidR="00FD2A48" w:rsidRPr="0040294D" w:rsidRDefault="00FD2A48" w:rsidP="00377954">
            <w:pPr>
              <w:ind w:left="113"/>
              <w:rPr>
                <w:sz w:val="20"/>
                <w:szCs w:val="20"/>
                <w:lang w:val="en-GB"/>
              </w:rPr>
            </w:pPr>
            <w:r w:rsidRPr="0040294D">
              <w:rPr>
                <w:sz w:val="20"/>
                <w:szCs w:val="20"/>
                <w:lang w:val="en-GB"/>
              </w:rPr>
              <w:t xml:space="preserve"> – 0.10  (0.08)</w:t>
            </w:r>
          </w:p>
        </w:tc>
        <w:tc>
          <w:tcPr>
            <w:tcW w:w="1644" w:type="dxa"/>
            <w:noWrap/>
            <w:vAlign w:val="center"/>
          </w:tcPr>
          <w:p w14:paraId="776E7810" w14:textId="77777777" w:rsidR="00FD2A48" w:rsidRPr="0040294D" w:rsidRDefault="00FD2A48" w:rsidP="00377954">
            <w:pPr>
              <w:ind w:left="113"/>
              <w:rPr>
                <w:sz w:val="20"/>
                <w:szCs w:val="20"/>
                <w:lang w:val="en-GB"/>
              </w:rPr>
            </w:pPr>
            <w:r w:rsidRPr="0040294D">
              <w:rPr>
                <w:sz w:val="20"/>
                <w:szCs w:val="20"/>
                <w:lang w:val="en-GB"/>
              </w:rPr>
              <w:t xml:space="preserve"> – 0.10  (0.08)</w:t>
            </w:r>
          </w:p>
        </w:tc>
        <w:tc>
          <w:tcPr>
            <w:tcW w:w="1644" w:type="dxa"/>
            <w:vAlign w:val="center"/>
          </w:tcPr>
          <w:p w14:paraId="6400EB5B" w14:textId="77777777" w:rsidR="00FD2A48" w:rsidRPr="0040294D" w:rsidRDefault="00FD2A48" w:rsidP="00377954">
            <w:pPr>
              <w:ind w:left="113"/>
              <w:rPr>
                <w:sz w:val="20"/>
                <w:szCs w:val="20"/>
                <w:lang w:val="en-GB"/>
              </w:rPr>
            </w:pPr>
            <w:r w:rsidRPr="0040294D">
              <w:rPr>
                <w:sz w:val="20"/>
                <w:szCs w:val="20"/>
                <w:lang w:val="en-GB"/>
              </w:rPr>
              <w:t xml:space="preserve"> – 0.11  (0.07)</w:t>
            </w:r>
          </w:p>
        </w:tc>
        <w:tc>
          <w:tcPr>
            <w:tcW w:w="1644" w:type="dxa"/>
            <w:vAlign w:val="center"/>
          </w:tcPr>
          <w:p w14:paraId="1251F17B" w14:textId="77777777" w:rsidR="00FD2A48" w:rsidRPr="0040294D" w:rsidRDefault="00FD2A48" w:rsidP="00377954">
            <w:pPr>
              <w:ind w:left="113"/>
              <w:rPr>
                <w:sz w:val="20"/>
                <w:szCs w:val="20"/>
                <w:lang w:val="en-GB"/>
              </w:rPr>
            </w:pPr>
            <w:r w:rsidRPr="0040294D">
              <w:rPr>
                <w:sz w:val="20"/>
                <w:szCs w:val="20"/>
                <w:lang w:val="en-GB"/>
              </w:rPr>
              <w:t xml:space="preserve"> – 0.10  (0.07)</w:t>
            </w:r>
          </w:p>
        </w:tc>
      </w:tr>
      <w:tr w:rsidR="00FD2A48" w:rsidRPr="0040294D" w14:paraId="713552CB" w14:textId="77777777" w:rsidTr="00377954">
        <w:trPr>
          <w:trHeight w:val="227"/>
          <w:jc w:val="center"/>
        </w:trPr>
        <w:tc>
          <w:tcPr>
            <w:tcW w:w="4989" w:type="dxa"/>
            <w:noWrap/>
            <w:vAlign w:val="center"/>
          </w:tcPr>
          <w:p w14:paraId="454422F9" w14:textId="77777777" w:rsidR="00FD2A48" w:rsidRPr="0040294D" w:rsidRDefault="00FD2A48" w:rsidP="00377954">
            <w:pPr>
              <w:ind w:left="100"/>
              <w:rPr>
                <w:i/>
                <w:iCs/>
                <w:sz w:val="20"/>
                <w:szCs w:val="20"/>
                <w:lang w:val="en-GB"/>
              </w:rPr>
            </w:pPr>
            <w:r w:rsidRPr="0040294D">
              <w:rPr>
                <w:i/>
                <w:iCs/>
                <w:sz w:val="20"/>
                <w:szCs w:val="20"/>
                <w:lang w:val="en-GB"/>
              </w:rPr>
              <w:t>Acquired firm industry effects</w:t>
            </w:r>
            <w:r w:rsidRPr="0040294D">
              <w:rPr>
                <w:i/>
                <w:sz w:val="20"/>
                <w:szCs w:val="20"/>
                <w:vertAlign w:val="superscript"/>
                <w:lang w:val="en-GB"/>
              </w:rPr>
              <w:t xml:space="preserve"> c</w:t>
            </w:r>
          </w:p>
        </w:tc>
        <w:tc>
          <w:tcPr>
            <w:tcW w:w="1644" w:type="dxa"/>
            <w:vAlign w:val="center"/>
          </w:tcPr>
          <w:p w14:paraId="61FE7190"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644" w:type="dxa"/>
            <w:vAlign w:val="center"/>
          </w:tcPr>
          <w:p w14:paraId="7957899C"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644" w:type="dxa"/>
            <w:noWrap/>
            <w:vAlign w:val="center"/>
          </w:tcPr>
          <w:p w14:paraId="2E471FE2"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644" w:type="dxa"/>
            <w:vAlign w:val="center"/>
          </w:tcPr>
          <w:p w14:paraId="799EDE77"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644" w:type="dxa"/>
            <w:vAlign w:val="center"/>
          </w:tcPr>
          <w:p w14:paraId="5EC9725D" w14:textId="77777777" w:rsidR="00FD2A48" w:rsidRPr="0040294D" w:rsidRDefault="00FD2A48" w:rsidP="00377954">
            <w:pPr>
              <w:ind w:left="113"/>
              <w:jc w:val="center"/>
              <w:rPr>
                <w:sz w:val="20"/>
                <w:szCs w:val="20"/>
                <w:lang w:val="en-GB"/>
              </w:rPr>
            </w:pPr>
            <w:r w:rsidRPr="0040294D">
              <w:rPr>
                <w:sz w:val="20"/>
                <w:szCs w:val="20"/>
                <w:lang w:val="en-GB"/>
              </w:rPr>
              <w:t>Yes</w:t>
            </w:r>
          </w:p>
        </w:tc>
      </w:tr>
      <w:tr w:rsidR="00FD2A48" w:rsidRPr="0040294D" w14:paraId="08814F5C" w14:textId="77777777" w:rsidTr="00377954">
        <w:trPr>
          <w:trHeight w:val="227"/>
          <w:jc w:val="center"/>
        </w:trPr>
        <w:tc>
          <w:tcPr>
            <w:tcW w:w="4989" w:type="dxa"/>
            <w:tcBorders>
              <w:bottom w:val="single" w:sz="4" w:space="0" w:color="auto"/>
            </w:tcBorders>
            <w:noWrap/>
            <w:vAlign w:val="center"/>
          </w:tcPr>
          <w:p w14:paraId="25B61D00" w14:textId="77777777" w:rsidR="00FD2A48" w:rsidRPr="0040294D" w:rsidRDefault="00FD2A48" w:rsidP="00377954">
            <w:pPr>
              <w:ind w:left="100"/>
              <w:rPr>
                <w:i/>
                <w:iCs/>
                <w:sz w:val="20"/>
                <w:szCs w:val="20"/>
                <w:lang w:val="en-GB"/>
              </w:rPr>
            </w:pPr>
            <w:r w:rsidRPr="0040294D">
              <w:rPr>
                <w:i/>
                <w:iCs/>
                <w:sz w:val="20"/>
                <w:szCs w:val="20"/>
                <w:lang w:val="en-GB"/>
              </w:rPr>
              <w:t>Acquisition year effects</w:t>
            </w:r>
            <w:r w:rsidRPr="0040294D">
              <w:rPr>
                <w:i/>
                <w:sz w:val="20"/>
                <w:szCs w:val="20"/>
                <w:vertAlign w:val="superscript"/>
                <w:lang w:val="en-GB"/>
              </w:rPr>
              <w:t xml:space="preserve"> c</w:t>
            </w:r>
          </w:p>
        </w:tc>
        <w:tc>
          <w:tcPr>
            <w:tcW w:w="1644" w:type="dxa"/>
            <w:tcBorders>
              <w:bottom w:val="single" w:sz="4" w:space="0" w:color="auto"/>
            </w:tcBorders>
            <w:vAlign w:val="center"/>
          </w:tcPr>
          <w:p w14:paraId="5683482A"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644" w:type="dxa"/>
            <w:tcBorders>
              <w:bottom w:val="single" w:sz="4" w:space="0" w:color="auto"/>
            </w:tcBorders>
            <w:vAlign w:val="center"/>
          </w:tcPr>
          <w:p w14:paraId="057451D2"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644" w:type="dxa"/>
            <w:tcBorders>
              <w:bottom w:val="single" w:sz="4" w:space="0" w:color="auto"/>
            </w:tcBorders>
            <w:noWrap/>
            <w:vAlign w:val="center"/>
          </w:tcPr>
          <w:p w14:paraId="5A73A19B"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644" w:type="dxa"/>
            <w:tcBorders>
              <w:bottom w:val="single" w:sz="4" w:space="0" w:color="auto"/>
            </w:tcBorders>
            <w:vAlign w:val="center"/>
          </w:tcPr>
          <w:p w14:paraId="210B999E"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644" w:type="dxa"/>
            <w:tcBorders>
              <w:bottom w:val="single" w:sz="4" w:space="0" w:color="auto"/>
            </w:tcBorders>
            <w:vAlign w:val="center"/>
          </w:tcPr>
          <w:p w14:paraId="551101DD" w14:textId="77777777" w:rsidR="00FD2A48" w:rsidRPr="0040294D" w:rsidRDefault="00FD2A48" w:rsidP="00377954">
            <w:pPr>
              <w:ind w:left="113"/>
              <w:jc w:val="center"/>
              <w:rPr>
                <w:sz w:val="20"/>
                <w:szCs w:val="20"/>
                <w:lang w:val="en-GB"/>
              </w:rPr>
            </w:pPr>
            <w:r w:rsidRPr="0040294D">
              <w:rPr>
                <w:sz w:val="20"/>
                <w:szCs w:val="20"/>
                <w:lang w:val="en-GB"/>
              </w:rPr>
              <w:t>Yes</w:t>
            </w:r>
          </w:p>
        </w:tc>
      </w:tr>
      <w:tr w:rsidR="00FD2A48" w:rsidRPr="0040294D" w14:paraId="1566563C" w14:textId="77777777" w:rsidTr="00377954">
        <w:trPr>
          <w:trHeight w:val="227"/>
          <w:jc w:val="center"/>
        </w:trPr>
        <w:tc>
          <w:tcPr>
            <w:tcW w:w="4989" w:type="dxa"/>
            <w:tcBorders>
              <w:top w:val="single" w:sz="4" w:space="0" w:color="auto"/>
              <w:bottom w:val="single" w:sz="4" w:space="0" w:color="auto"/>
            </w:tcBorders>
            <w:noWrap/>
            <w:vAlign w:val="center"/>
          </w:tcPr>
          <w:p w14:paraId="63CE2841" w14:textId="77777777" w:rsidR="00FD2A48" w:rsidRPr="0040294D" w:rsidRDefault="00FD2A48" w:rsidP="00377954">
            <w:pPr>
              <w:ind w:left="100"/>
              <w:rPr>
                <w:i/>
                <w:iCs/>
                <w:sz w:val="20"/>
                <w:szCs w:val="20"/>
                <w:lang w:val="en-GB"/>
              </w:rPr>
            </w:pPr>
            <w:r w:rsidRPr="0040294D">
              <w:rPr>
                <w:i/>
                <w:iCs/>
                <w:sz w:val="20"/>
                <w:szCs w:val="20"/>
                <w:lang w:val="en-GB"/>
              </w:rPr>
              <w:t>Log pseudo-likelihood</w:t>
            </w:r>
          </w:p>
        </w:tc>
        <w:tc>
          <w:tcPr>
            <w:tcW w:w="1644" w:type="dxa"/>
            <w:tcBorders>
              <w:top w:val="single" w:sz="4" w:space="0" w:color="auto"/>
              <w:bottom w:val="single" w:sz="4" w:space="0" w:color="auto"/>
            </w:tcBorders>
            <w:vAlign w:val="center"/>
          </w:tcPr>
          <w:p w14:paraId="76EB296A" w14:textId="77777777" w:rsidR="00FD2A48" w:rsidRPr="0040294D" w:rsidRDefault="00FD2A48" w:rsidP="00377954">
            <w:pPr>
              <w:ind w:left="57"/>
              <w:jc w:val="center"/>
              <w:rPr>
                <w:sz w:val="20"/>
                <w:szCs w:val="20"/>
                <w:lang w:val="en-GB"/>
              </w:rPr>
            </w:pPr>
            <w:r w:rsidRPr="0040294D">
              <w:rPr>
                <w:sz w:val="20"/>
                <w:szCs w:val="20"/>
                <w:lang w:val="en-GB"/>
              </w:rPr>
              <w:t>– 643.59***</w:t>
            </w:r>
          </w:p>
        </w:tc>
        <w:tc>
          <w:tcPr>
            <w:tcW w:w="1644" w:type="dxa"/>
            <w:tcBorders>
              <w:top w:val="single" w:sz="4" w:space="0" w:color="auto"/>
              <w:bottom w:val="single" w:sz="4" w:space="0" w:color="auto"/>
            </w:tcBorders>
            <w:vAlign w:val="center"/>
          </w:tcPr>
          <w:p w14:paraId="36A0C59D" w14:textId="77777777" w:rsidR="00FD2A48" w:rsidRPr="0040294D" w:rsidRDefault="00FD2A48" w:rsidP="00377954">
            <w:pPr>
              <w:ind w:left="57"/>
              <w:jc w:val="center"/>
              <w:rPr>
                <w:sz w:val="20"/>
                <w:szCs w:val="20"/>
                <w:lang w:val="en-GB"/>
              </w:rPr>
            </w:pPr>
            <w:r w:rsidRPr="0040294D">
              <w:rPr>
                <w:sz w:val="20"/>
                <w:szCs w:val="20"/>
                <w:lang w:val="en-GB"/>
              </w:rPr>
              <w:t>– 641.20***</w:t>
            </w:r>
          </w:p>
        </w:tc>
        <w:tc>
          <w:tcPr>
            <w:tcW w:w="1644" w:type="dxa"/>
            <w:tcBorders>
              <w:top w:val="single" w:sz="4" w:space="0" w:color="auto"/>
              <w:bottom w:val="single" w:sz="4" w:space="0" w:color="auto"/>
            </w:tcBorders>
            <w:noWrap/>
            <w:vAlign w:val="center"/>
          </w:tcPr>
          <w:p w14:paraId="50C9E67C" w14:textId="77777777" w:rsidR="00FD2A48" w:rsidRPr="0040294D" w:rsidRDefault="00FD2A48" w:rsidP="00377954">
            <w:pPr>
              <w:ind w:left="57"/>
              <w:jc w:val="center"/>
              <w:rPr>
                <w:sz w:val="20"/>
                <w:szCs w:val="20"/>
                <w:lang w:val="en-GB"/>
              </w:rPr>
            </w:pPr>
            <w:r w:rsidRPr="0040294D">
              <w:rPr>
                <w:sz w:val="20"/>
                <w:szCs w:val="20"/>
                <w:lang w:val="en-GB"/>
              </w:rPr>
              <w:t>– 631.88***</w:t>
            </w:r>
          </w:p>
        </w:tc>
        <w:tc>
          <w:tcPr>
            <w:tcW w:w="1644" w:type="dxa"/>
            <w:tcBorders>
              <w:top w:val="single" w:sz="4" w:space="0" w:color="auto"/>
              <w:bottom w:val="single" w:sz="4" w:space="0" w:color="auto"/>
            </w:tcBorders>
            <w:vAlign w:val="center"/>
          </w:tcPr>
          <w:p w14:paraId="6C9C03B4" w14:textId="77777777" w:rsidR="00FD2A48" w:rsidRPr="0040294D" w:rsidRDefault="00FD2A48" w:rsidP="00377954">
            <w:pPr>
              <w:ind w:left="57"/>
              <w:jc w:val="center"/>
              <w:rPr>
                <w:sz w:val="20"/>
                <w:szCs w:val="20"/>
                <w:lang w:val="en-GB"/>
              </w:rPr>
            </w:pPr>
            <w:r w:rsidRPr="0040294D">
              <w:rPr>
                <w:sz w:val="20"/>
                <w:szCs w:val="20"/>
                <w:lang w:val="en-GB"/>
              </w:rPr>
              <w:t>– 631.12***</w:t>
            </w:r>
          </w:p>
        </w:tc>
        <w:tc>
          <w:tcPr>
            <w:tcW w:w="1644" w:type="dxa"/>
            <w:tcBorders>
              <w:top w:val="single" w:sz="4" w:space="0" w:color="auto"/>
              <w:bottom w:val="single" w:sz="4" w:space="0" w:color="auto"/>
            </w:tcBorders>
            <w:vAlign w:val="center"/>
          </w:tcPr>
          <w:p w14:paraId="3846F65E" w14:textId="77777777" w:rsidR="00FD2A48" w:rsidRPr="0040294D" w:rsidRDefault="00FD2A48" w:rsidP="00377954">
            <w:pPr>
              <w:ind w:left="57"/>
              <w:jc w:val="center"/>
              <w:rPr>
                <w:sz w:val="20"/>
                <w:szCs w:val="20"/>
                <w:lang w:val="en-GB"/>
              </w:rPr>
            </w:pPr>
            <w:r w:rsidRPr="0040294D">
              <w:rPr>
                <w:sz w:val="20"/>
                <w:szCs w:val="20"/>
                <w:lang w:val="en-GB"/>
              </w:rPr>
              <w:t>– 628.34***</w:t>
            </w:r>
          </w:p>
        </w:tc>
      </w:tr>
    </w:tbl>
    <w:p w14:paraId="1206E65C" w14:textId="77777777" w:rsidR="00FD2A48" w:rsidRPr="0040294D" w:rsidRDefault="00FD2A48" w:rsidP="00FD2A48">
      <w:pPr>
        <w:ind w:left="-113" w:right="60"/>
        <w:jc w:val="both"/>
        <w:rPr>
          <w:sz w:val="18"/>
          <w:szCs w:val="18"/>
          <w:lang w:val="en-GB"/>
        </w:rPr>
      </w:pPr>
      <w:r w:rsidRPr="0040294D">
        <w:rPr>
          <w:i/>
          <w:sz w:val="18"/>
          <w:szCs w:val="18"/>
          <w:vertAlign w:val="superscript"/>
          <w:lang w:val="en-GB"/>
        </w:rPr>
        <w:t>a</w:t>
      </w:r>
      <w:r w:rsidRPr="0040294D">
        <w:rPr>
          <w:sz w:val="18"/>
          <w:szCs w:val="18"/>
          <w:lang w:val="en-GB"/>
        </w:rPr>
        <w:t xml:space="preserve"> Numbers in parentheses are robust standard errors that correct for the clustering of acquirer effects (59 clusters). Positive (negative) coefficient estimates indicate greater (lower) probability of acquisition divestment (measured by the hazard rate of acquisition divestment).</w:t>
      </w:r>
    </w:p>
    <w:p w14:paraId="2DC0117E" w14:textId="77777777" w:rsidR="00FD2A48" w:rsidRPr="0040294D" w:rsidRDefault="00FD2A48" w:rsidP="00FD2A48">
      <w:pPr>
        <w:ind w:left="-113" w:right="346"/>
        <w:jc w:val="both"/>
        <w:rPr>
          <w:sz w:val="18"/>
          <w:szCs w:val="18"/>
          <w:lang w:val="en-GB"/>
        </w:rPr>
      </w:pPr>
      <w:r w:rsidRPr="0040294D">
        <w:rPr>
          <w:i/>
          <w:sz w:val="18"/>
          <w:szCs w:val="18"/>
          <w:vertAlign w:val="superscript"/>
          <w:lang w:val="en-GB"/>
        </w:rPr>
        <w:t xml:space="preserve">b </w:t>
      </w:r>
      <w:r w:rsidRPr="0040294D">
        <w:rPr>
          <w:sz w:val="18"/>
          <w:szCs w:val="18"/>
          <w:lang w:val="en-GB"/>
        </w:rPr>
        <w:t>Time-varying covariate.</w:t>
      </w:r>
    </w:p>
    <w:p w14:paraId="3C6BDFD9" w14:textId="77777777" w:rsidR="00FD2A48" w:rsidRPr="0040294D" w:rsidRDefault="00FD2A48" w:rsidP="00FD2A48">
      <w:pPr>
        <w:ind w:left="-113" w:right="346"/>
        <w:jc w:val="both"/>
        <w:rPr>
          <w:sz w:val="18"/>
          <w:szCs w:val="18"/>
          <w:lang w:val="en-GB"/>
        </w:rPr>
      </w:pPr>
      <w:r w:rsidRPr="0040294D">
        <w:rPr>
          <w:i/>
          <w:sz w:val="18"/>
          <w:szCs w:val="18"/>
          <w:vertAlign w:val="superscript"/>
          <w:lang w:val="en-GB"/>
        </w:rPr>
        <w:t xml:space="preserve">c </w:t>
      </w:r>
      <w:r w:rsidRPr="0040294D">
        <w:rPr>
          <w:sz w:val="18"/>
          <w:szCs w:val="18"/>
          <w:lang w:val="en-GB"/>
        </w:rPr>
        <w:t xml:space="preserve">Coefficient estimates and clustered robust standard errors for </w:t>
      </w:r>
      <w:r w:rsidRPr="0040294D">
        <w:rPr>
          <w:i/>
          <w:iCs/>
          <w:sz w:val="18"/>
          <w:szCs w:val="18"/>
          <w:lang w:val="en-GB"/>
        </w:rPr>
        <w:t>acquired firm industry effects</w:t>
      </w:r>
      <w:r w:rsidRPr="0040294D">
        <w:rPr>
          <w:iCs/>
          <w:sz w:val="18"/>
          <w:szCs w:val="18"/>
          <w:lang w:val="en-GB"/>
        </w:rPr>
        <w:t xml:space="preserve"> and</w:t>
      </w:r>
      <w:r w:rsidRPr="0040294D">
        <w:rPr>
          <w:i/>
          <w:iCs/>
          <w:sz w:val="18"/>
          <w:szCs w:val="18"/>
          <w:lang w:val="en-GB"/>
        </w:rPr>
        <w:t xml:space="preserve"> acquisition year effects</w:t>
      </w:r>
      <w:r w:rsidRPr="0040294D">
        <w:rPr>
          <w:sz w:val="18"/>
          <w:szCs w:val="18"/>
          <w:lang w:val="en-GB"/>
        </w:rPr>
        <w:t xml:space="preserve"> are available upon request.</w:t>
      </w:r>
    </w:p>
    <w:p w14:paraId="11774FD7" w14:textId="0FB36EE1" w:rsidR="00FD2A48" w:rsidRPr="0040294D" w:rsidRDefault="00FD2A48" w:rsidP="00FD2A48">
      <w:pPr>
        <w:ind w:left="-113" w:right="346"/>
        <w:jc w:val="both"/>
        <w:rPr>
          <w:sz w:val="18"/>
          <w:szCs w:val="18"/>
          <w:lang w:val="en-GB"/>
        </w:rPr>
      </w:pPr>
      <w:r w:rsidRPr="0040294D">
        <w:rPr>
          <w:i/>
          <w:sz w:val="18"/>
          <w:szCs w:val="18"/>
          <w:lang w:val="en-GB"/>
        </w:rPr>
        <w:t>n</w:t>
      </w:r>
      <w:r w:rsidRPr="0040294D">
        <w:rPr>
          <w:sz w:val="18"/>
          <w:szCs w:val="18"/>
          <w:lang w:val="en-GB"/>
        </w:rPr>
        <w:t xml:space="preserve"> = 4,128 acquisition/year observations (488 US acquisitions with 128 acquisition divestments; 2000</w:t>
      </w:r>
      <w:r w:rsidR="0054240B" w:rsidRPr="0040294D">
        <w:rPr>
          <w:sz w:val="18"/>
          <w:szCs w:val="18"/>
          <w:lang w:val="en-GB"/>
        </w:rPr>
        <w:t>–</w:t>
      </w:r>
      <w:r w:rsidRPr="0040294D">
        <w:rPr>
          <w:sz w:val="18"/>
          <w:szCs w:val="18"/>
          <w:lang w:val="en-GB"/>
        </w:rPr>
        <w:t>2016 period at risk).</w:t>
      </w:r>
    </w:p>
    <w:p w14:paraId="293EB3F0" w14:textId="77777777" w:rsidR="00FD2A48" w:rsidRPr="0040294D" w:rsidRDefault="00FD2A48" w:rsidP="00FD2A48">
      <w:pPr>
        <w:ind w:left="-113" w:right="346"/>
        <w:jc w:val="both"/>
        <w:rPr>
          <w:sz w:val="18"/>
          <w:szCs w:val="18"/>
          <w:lang w:val="en-GB"/>
        </w:rPr>
      </w:pPr>
      <w:r w:rsidRPr="0040294D">
        <w:rPr>
          <w:sz w:val="20"/>
          <w:szCs w:val="20"/>
          <w:vertAlign w:val="superscript"/>
          <w:lang w:val="en-GB"/>
        </w:rPr>
        <w:t>†</w:t>
      </w:r>
      <w:r w:rsidRPr="0040294D">
        <w:rPr>
          <w:sz w:val="18"/>
          <w:szCs w:val="18"/>
          <w:lang w:val="en-GB"/>
        </w:rPr>
        <w:t xml:space="preserve"> </w:t>
      </w:r>
      <w:r w:rsidRPr="0040294D">
        <w:rPr>
          <w:i/>
          <w:sz w:val="18"/>
          <w:szCs w:val="18"/>
          <w:lang w:val="en-GB"/>
        </w:rPr>
        <w:t xml:space="preserve">p </w:t>
      </w:r>
      <w:r w:rsidRPr="0040294D">
        <w:rPr>
          <w:sz w:val="18"/>
          <w:szCs w:val="18"/>
          <w:lang w:val="en-GB"/>
        </w:rPr>
        <w:t xml:space="preserve">&lt; .01, </w:t>
      </w:r>
      <w:r w:rsidRPr="0040294D">
        <w:rPr>
          <w:sz w:val="20"/>
          <w:szCs w:val="20"/>
          <w:lang w:val="en-GB"/>
        </w:rPr>
        <w:t>*</w:t>
      </w:r>
      <w:r w:rsidRPr="0040294D">
        <w:rPr>
          <w:sz w:val="18"/>
          <w:szCs w:val="18"/>
          <w:lang w:val="en-GB"/>
        </w:rPr>
        <w:t xml:space="preserve"> </w:t>
      </w:r>
      <w:r w:rsidRPr="0040294D">
        <w:rPr>
          <w:i/>
          <w:sz w:val="18"/>
          <w:szCs w:val="18"/>
          <w:lang w:val="en-GB"/>
        </w:rPr>
        <w:t xml:space="preserve">p </w:t>
      </w:r>
      <w:r w:rsidRPr="0040294D">
        <w:rPr>
          <w:sz w:val="18"/>
          <w:szCs w:val="18"/>
          <w:lang w:val="en-GB"/>
        </w:rPr>
        <w:t xml:space="preserve">&lt; .05, </w:t>
      </w:r>
      <w:r w:rsidRPr="0040294D">
        <w:rPr>
          <w:sz w:val="20"/>
          <w:szCs w:val="20"/>
          <w:lang w:val="en-GB"/>
        </w:rPr>
        <w:t>**</w:t>
      </w:r>
      <w:r w:rsidRPr="0040294D">
        <w:rPr>
          <w:sz w:val="18"/>
          <w:szCs w:val="18"/>
          <w:lang w:val="en-GB"/>
        </w:rPr>
        <w:t xml:space="preserve"> </w:t>
      </w:r>
      <w:r w:rsidRPr="0040294D">
        <w:rPr>
          <w:i/>
          <w:sz w:val="18"/>
          <w:szCs w:val="18"/>
          <w:lang w:val="en-GB"/>
        </w:rPr>
        <w:t>p</w:t>
      </w:r>
      <w:r w:rsidRPr="0040294D">
        <w:rPr>
          <w:sz w:val="18"/>
          <w:szCs w:val="18"/>
          <w:lang w:val="en-GB"/>
        </w:rPr>
        <w:t xml:space="preserve"> &lt; .01, </w:t>
      </w:r>
      <w:r w:rsidRPr="0040294D">
        <w:rPr>
          <w:sz w:val="20"/>
          <w:szCs w:val="20"/>
          <w:lang w:val="en-GB"/>
        </w:rPr>
        <w:t>***</w:t>
      </w:r>
      <w:r w:rsidRPr="0040294D">
        <w:rPr>
          <w:sz w:val="18"/>
          <w:szCs w:val="18"/>
          <w:lang w:val="en-GB"/>
        </w:rPr>
        <w:t xml:space="preserve"> </w:t>
      </w:r>
      <w:r w:rsidRPr="0040294D">
        <w:rPr>
          <w:i/>
          <w:sz w:val="18"/>
          <w:szCs w:val="18"/>
          <w:lang w:val="en-GB"/>
        </w:rPr>
        <w:t>p</w:t>
      </w:r>
      <w:r w:rsidRPr="0040294D">
        <w:rPr>
          <w:sz w:val="18"/>
          <w:szCs w:val="18"/>
          <w:lang w:val="en-GB"/>
        </w:rPr>
        <w:t xml:space="preserve"> &lt; .001.</w:t>
      </w:r>
    </w:p>
    <w:p w14:paraId="6589C6F1" w14:textId="77777777" w:rsidR="00FD2A48" w:rsidRPr="0040294D" w:rsidRDefault="00FD2A48" w:rsidP="00FD2A48">
      <w:pPr>
        <w:widowControl w:val="0"/>
        <w:spacing w:before="120" w:after="120"/>
        <w:ind w:left="720" w:hanging="720"/>
        <w:jc w:val="center"/>
        <w:rPr>
          <w:b/>
          <w:bCs/>
          <w:i/>
          <w:lang w:val="en-GB"/>
        </w:rPr>
        <w:sectPr w:rsidR="00FD2A48" w:rsidRPr="0040294D" w:rsidSect="00377954">
          <w:pgSz w:w="15840" w:h="12240" w:orient="landscape" w:code="1"/>
          <w:pgMar w:top="1440" w:right="1440" w:bottom="1440" w:left="1440" w:header="709" w:footer="709" w:gutter="0"/>
          <w:cols w:space="708"/>
          <w:titlePg/>
          <w:docGrid w:linePitch="360"/>
        </w:sectPr>
      </w:pPr>
    </w:p>
    <w:p w14:paraId="71A1F3B3" w14:textId="77777777" w:rsidR="00FD2A48" w:rsidRPr="0040294D" w:rsidRDefault="00FD2A48" w:rsidP="00FD2A48">
      <w:pPr>
        <w:widowControl w:val="0"/>
        <w:spacing w:before="120" w:after="120"/>
        <w:ind w:left="720" w:hanging="720"/>
        <w:jc w:val="center"/>
        <w:rPr>
          <w:lang w:val="en-GB"/>
        </w:rPr>
      </w:pPr>
      <w:r w:rsidRPr="0040294D">
        <w:rPr>
          <w:b/>
          <w:bCs/>
          <w:i/>
          <w:lang w:val="en-GB"/>
        </w:rPr>
        <w:lastRenderedPageBreak/>
        <w:t>Table 3. Cox Regression Models</w:t>
      </w:r>
      <w:r w:rsidRPr="0040294D">
        <w:rPr>
          <w:bCs/>
          <w:lang w:val="en-GB"/>
        </w:rPr>
        <w:t xml:space="preserve"> </w:t>
      </w:r>
      <w:r w:rsidRPr="0040294D">
        <w:rPr>
          <w:i/>
          <w:sz w:val="18"/>
          <w:szCs w:val="18"/>
          <w:vertAlign w:val="superscript"/>
          <w:lang w:val="en-GB"/>
        </w:rPr>
        <w:t>a</w:t>
      </w:r>
    </w:p>
    <w:tbl>
      <w:tblPr>
        <w:tblW w:w="6633" w:type="dxa"/>
        <w:jc w:val="center"/>
        <w:tblLayout w:type="fixed"/>
        <w:tblCellMar>
          <w:left w:w="0" w:type="dxa"/>
          <w:right w:w="0" w:type="dxa"/>
        </w:tblCellMar>
        <w:tblLook w:val="0000" w:firstRow="0" w:lastRow="0" w:firstColumn="0" w:lastColumn="0" w:noHBand="0" w:noVBand="0"/>
      </w:tblPr>
      <w:tblGrid>
        <w:gridCol w:w="4989"/>
        <w:gridCol w:w="1644"/>
      </w:tblGrid>
      <w:tr w:rsidR="00FD2A48" w:rsidRPr="0040294D" w14:paraId="40EB8D3A" w14:textId="77777777" w:rsidTr="00377954">
        <w:trPr>
          <w:trHeight w:val="227"/>
          <w:jc w:val="center"/>
        </w:trPr>
        <w:tc>
          <w:tcPr>
            <w:tcW w:w="4989" w:type="dxa"/>
            <w:tcBorders>
              <w:top w:val="single" w:sz="4" w:space="0" w:color="auto"/>
              <w:bottom w:val="single" w:sz="4" w:space="0" w:color="auto"/>
            </w:tcBorders>
            <w:noWrap/>
            <w:vAlign w:val="center"/>
          </w:tcPr>
          <w:p w14:paraId="6D0F064C" w14:textId="77777777" w:rsidR="00FD2A48" w:rsidRPr="0040294D" w:rsidRDefault="00FD2A48" w:rsidP="00377954">
            <w:pPr>
              <w:spacing w:before="40" w:after="40"/>
              <w:ind w:left="100"/>
              <w:jc w:val="center"/>
              <w:rPr>
                <w:i/>
                <w:iCs/>
                <w:sz w:val="20"/>
                <w:szCs w:val="20"/>
                <w:lang w:val="en-GB"/>
              </w:rPr>
            </w:pPr>
            <w:r w:rsidRPr="0040294D">
              <w:rPr>
                <w:i/>
                <w:iCs/>
                <w:sz w:val="20"/>
                <w:szCs w:val="20"/>
                <w:lang w:val="en-GB"/>
              </w:rPr>
              <w:t>Variables</w:t>
            </w:r>
          </w:p>
        </w:tc>
        <w:tc>
          <w:tcPr>
            <w:tcW w:w="1644" w:type="dxa"/>
            <w:tcBorders>
              <w:top w:val="single" w:sz="4" w:space="0" w:color="auto"/>
              <w:bottom w:val="single" w:sz="4" w:space="0" w:color="auto"/>
            </w:tcBorders>
          </w:tcPr>
          <w:p w14:paraId="74717D94" w14:textId="77777777" w:rsidR="00FD2A48" w:rsidRPr="0040294D" w:rsidRDefault="00FD2A48" w:rsidP="00377954">
            <w:pPr>
              <w:spacing w:before="40" w:after="40"/>
              <w:ind w:left="57"/>
              <w:jc w:val="center"/>
              <w:rPr>
                <w:i/>
                <w:sz w:val="20"/>
                <w:szCs w:val="20"/>
                <w:lang w:val="en-GB"/>
              </w:rPr>
            </w:pPr>
            <w:r w:rsidRPr="0040294D">
              <w:rPr>
                <w:i/>
                <w:sz w:val="20"/>
                <w:szCs w:val="20"/>
                <w:lang w:val="en-GB"/>
              </w:rPr>
              <w:t>Model 5</w:t>
            </w:r>
          </w:p>
        </w:tc>
      </w:tr>
      <w:tr w:rsidR="00FD2A48" w:rsidRPr="0040294D" w14:paraId="78A69DF9" w14:textId="77777777" w:rsidTr="00377954">
        <w:trPr>
          <w:trHeight w:val="227"/>
          <w:jc w:val="center"/>
        </w:trPr>
        <w:tc>
          <w:tcPr>
            <w:tcW w:w="4989" w:type="dxa"/>
            <w:tcBorders>
              <w:top w:val="single" w:sz="4" w:space="0" w:color="auto"/>
            </w:tcBorders>
            <w:noWrap/>
            <w:vAlign w:val="center"/>
          </w:tcPr>
          <w:p w14:paraId="2795CAA8" w14:textId="77777777" w:rsidR="00FD2A48" w:rsidRPr="0040294D" w:rsidRDefault="00FD2A48" w:rsidP="00377954">
            <w:pPr>
              <w:ind w:left="100"/>
              <w:rPr>
                <w:i/>
                <w:iCs/>
                <w:sz w:val="20"/>
                <w:szCs w:val="20"/>
                <w:lang w:val="en-GB"/>
              </w:rPr>
            </w:pPr>
            <w:r w:rsidRPr="0040294D">
              <w:rPr>
                <w:i/>
                <w:sz w:val="20"/>
                <w:szCs w:val="20"/>
                <w:lang w:val="en-GB"/>
              </w:rPr>
              <w:t>Acquirer HRM quality</w:t>
            </w:r>
            <w:r w:rsidRPr="0040294D">
              <w:rPr>
                <w:i/>
                <w:sz w:val="20"/>
                <w:szCs w:val="20"/>
                <w:vertAlign w:val="superscript"/>
                <w:lang w:val="en-GB"/>
              </w:rPr>
              <w:t xml:space="preserve"> b</w:t>
            </w:r>
          </w:p>
        </w:tc>
        <w:tc>
          <w:tcPr>
            <w:tcW w:w="1644" w:type="dxa"/>
            <w:tcBorders>
              <w:top w:val="single" w:sz="4" w:space="0" w:color="auto"/>
            </w:tcBorders>
            <w:vAlign w:val="center"/>
          </w:tcPr>
          <w:p w14:paraId="388C47AE" w14:textId="77777777" w:rsidR="00FD2A48" w:rsidRPr="0040294D" w:rsidRDefault="00FD2A48" w:rsidP="00377954">
            <w:pPr>
              <w:ind w:left="113"/>
              <w:rPr>
                <w:sz w:val="20"/>
                <w:szCs w:val="20"/>
                <w:lang w:val="en-GB"/>
              </w:rPr>
            </w:pPr>
            <w:r w:rsidRPr="0040294D">
              <w:rPr>
                <w:sz w:val="20"/>
                <w:szCs w:val="20"/>
                <w:lang w:val="en-GB"/>
              </w:rPr>
              <w:t xml:space="preserve"> – 0.47  (0.65)</w:t>
            </w:r>
          </w:p>
        </w:tc>
      </w:tr>
      <w:tr w:rsidR="00FD2A48" w:rsidRPr="0040294D" w14:paraId="4438B508" w14:textId="77777777" w:rsidTr="00377954">
        <w:trPr>
          <w:trHeight w:val="227"/>
          <w:jc w:val="center"/>
        </w:trPr>
        <w:tc>
          <w:tcPr>
            <w:tcW w:w="4989" w:type="dxa"/>
            <w:noWrap/>
            <w:vAlign w:val="center"/>
          </w:tcPr>
          <w:p w14:paraId="2B074967" w14:textId="77777777" w:rsidR="00FD2A48" w:rsidRPr="0040294D" w:rsidRDefault="00FD2A48" w:rsidP="00377954">
            <w:pPr>
              <w:ind w:left="100"/>
              <w:rPr>
                <w:i/>
                <w:iCs/>
                <w:sz w:val="20"/>
                <w:szCs w:val="20"/>
                <w:lang w:val="en-GB"/>
              </w:rPr>
            </w:pPr>
            <w:r w:rsidRPr="0040294D">
              <w:rPr>
                <w:i/>
                <w:sz w:val="20"/>
                <w:szCs w:val="20"/>
                <w:lang w:val="en-GB"/>
              </w:rPr>
              <w:t>Squared acquirer HRM quality</w:t>
            </w:r>
            <w:r w:rsidRPr="0040294D">
              <w:rPr>
                <w:i/>
                <w:sz w:val="20"/>
                <w:szCs w:val="20"/>
                <w:vertAlign w:val="superscript"/>
                <w:lang w:val="en-GB"/>
              </w:rPr>
              <w:t xml:space="preserve"> b</w:t>
            </w:r>
          </w:p>
        </w:tc>
        <w:tc>
          <w:tcPr>
            <w:tcW w:w="1644" w:type="dxa"/>
            <w:vAlign w:val="center"/>
          </w:tcPr>
          <w:p w14:paraId="5197B647" w14:textId="77777777" w:rsidR="00FD2A48" w:rsidRPr="0040294D" w:rsidRDefault="00FD2A48" w:rsidP="00377954">
            <w:pPr>
              <w:ind w:left="113"/>
              <w:rPr>
                <w:sz w:val="20"/>
                <w:szCs w:val="20"/>
                <w:lang w:val="en-GB"/>
              </w:rPr>
            </w:pPr>
            <w:r w:rsidRPr="0040294D">
              <w:rPr>
                <w:sz w:val="20"/>
                <w:szCs w:val="20"/>
                <w:lang w:val="en-GB"/>
              </w:rPr>
              <w:t xml:space="preserve">    0.74  (0.79)</w:t>
            </w:r>
          </w:p>
        </w:tc>
      </w:tr>
      <w:tr w:rsidR="00FD2A48" w:rsidRPr="0040294D" w14:paraId="21730A81" w14:textId="77777777" w:rsidTr="00377954">
        <w:trPr>
          <w:trHeight w:val="227"/>
          <w:jc w:val="center"/>
        </w:trPr>
        <w:tc>
          <w:tcPr>
            <w:tcW w:w="4989" w:type="dxa"/>
            <w:noWrap/>
            <w:vAlign w:val="center"/>
          </w:tcPr>
          <w:p w14:paraId="4E85DBAE" w14:textId="51375B90" w:rsidR="00FD2A48" w:rsidRPr="0040294D" w:rsidRDefault="00FD2A48" w:rsidP="00377954">
            <w:pPr>
              <w:ind w:left="100"/>
              <w:rPr>
                <w:i/>
                <w:sz w:val="20"/>
                <w:szCs w:val="20"/>
                <w:lang w:val="en-GB"/>
              </w:rPr>
            </w:pPr>
            <w:r w:rsidRPr="0040294D">
              <w:rPr>
                <w:i/>
                <w:sz w:val="20"/>
                <w:szCs w:val="20"/>
                <w:lang w:val="en-GB"/>
              </w:rPr>
              <w:t>Acquirer financial slack</w:t>
            </w:r>
            <w:r w:rsidRPr="0040294D">
              <w:rPr>
                <w:i/>
                <w:sz w:val="20"/>
                <w:szCs w:val="20"/>
                <w:vertAlign w:val="superscript"/>
                <w:lang w:val="en-GB"/>
              </w:rPr>
              <w:t xml:space="preserve"> b</w:t>
            </w:r>
          </w:p>
        </w:tc>
        <w:tc>
          <w:tcPr>
            <w:tcW w:w="1644" w:type="dxa"/>
            <w:vAlign w:val="center"/>
          </w:tcPr>
          <w:p w14:paraId="00499202" w14:textId="77777777" w:rsidR="00FD2A48" w:rsidRPr="0040294D" w:rsidRDefault="00FD2A48" w:rsidP="00377954">
            <w:pPr>
              <w:ind w:left="113"/>
              <w:rPr>
                <w:sz w:val="20"/>
                <w:szCs w:val="20"/>
                <w:lang w:val="en-GB"/>
              </w:rPr>
            </w:pPr>
            <w:r w:rsidRPr="0040294D">
              <w:rPr>
                <w:sz w:val="20"/>
                <w:szCs w:val="20"/>
                <w:lang w:val="en-GB"/>
              </w:rPr>
              <w:t xml:space="preserve">    0.14  (0.06)*</w:t>
            </w:r>
          </w:p>
        </w:tc>
      </w:tr>
      <w:tr w:rsidR="00FD2A48" w:rsidRPr="0040294D" w14:paraId="459A3699" w14:textId="77777777" w:rsidTr="00377954">
        <w:trPr>
          <w:trHeight w:val="227"/>
          <w:jc w:val="center"/>
        </w:trPr>
        <w:tc>
          <w:tcPr>
            <w:tcW w:w="4989" w:type="dxa"/>
            <w:noWrap/>
            <w:vAlign w:val="center"/>
          </w:tcPr>
          <w:p w14:paraId="5566BE0C" w14:textId="2942299E" w:rsidR="00FD2A48" w:rsidRPr="0040294D" w:rsidRDefault="00FD2A48" w:rsidP="00377954">
            <w:pPr>
              <w:ind w:left="100"/>
              <w:rPr>
                <w:i/>
                <w:sz w:val="20"/>
                <w:szCs w:val="20"/>
                <w:lang w:val="en-GB"/>
              </w:rPr>
            </w:pPr>
            <w:r w:rsidRPr="0040294D">
              <w:rPr>
                <w:i/>
                <w:sz w:val="20"/>
                <w:szCs w:val="20"/>
                <w:lang w:val="en-GB"/>
              </w:rPr>
              <w:t>Acquirer HRM quality</w:t>
            </w:r>
            <w:r w:rsidRPr="0040294D">
              <w:rPr>
                <w:i/>
                <w:sz w:val="20"/>
                <w:szCs w:val="20"/>
                <w:vertAlign w:val="superscript"/>
                <w:lang w:val="en-GB"/>
              </w:rPr>
              <w:t xml:space="preserve"> b</w:t>
            </w:r>
            <w:r w:rsidRPr="0040294D">
              <w:rPr>
                <w:i/>
                <w:sz w:val="20"/>
                <w:szCs w:val="20"/>
                <w:lang w:val="en-GB"/>
              </w:rPr>
              <w:t xml:space="preserve"> × Acquirer financial slack</w:t>
            </w:r>
            <w:r w:rsidRPr="0040294D">
              <w:rPr>
                <w:i/>
                <w:sz w:val="20"/>
                <w:szCs w:val="20"/>
                <w:vertAlign w:val="superscript"/>
                <w:lang w:val="en-GB"/>
              </w:rPr>
              <w:t xml:space="preserve"> b</w:t>
            </w:r>
          </w:p>
        </w:tc>
        <w:tc>
          <w:tcPr>
            <w:tcW w:w="1644" w:type="dxa"/>
            <w:vAlign w:val="center"/>
          </w:tcPr>
          <w:p w14:paraId="6195A9A6" w14:textId="77777777" w:rsidR="00FD2A48" w:rsidRPr="0040294D" w:rsidRDefault="00FD2A48" w:rsidP="00377954">
            <w:pPr>
              <w:ind w:left="113"/>
              <w:rPr>
                <w:sz w:val="20"/>
                <w:szCs w:val="20"/>
                <w:lang w:val="en-GB"/>
              </w:rPr>
            </w:pPr>
            <w:r w:rsidRPr="0040294D">
              <w:rPr>
                <w:sz w:val="20"/>
                <w:szCs w:val="20"/>
                <w:lang w:val="en-GB"/>
              </w:rPr>
              <w:t xml:space="preserve"> – 0.63  (0.29)*</w:t>
            </w:r>
          </w:p>
        </w:tc>
      </w:tr>
      <w:tr w:rsidR="00FD2A48" w:rsidRPr="0040294D" w14:paraId="0A51CECB" w14:textId="77777777" w:rsidTr="00377954">
        <w:trPr>
          <w:trHeight w:val="227"/>
          <w:jc w:val="center"/>
        </w:trPr>
        <w:tc>
          <w:tcPr>
            <w:tcW w:w="4989" w:type="dxa"/>
            <w:noWrap/>
            <w:vAlign w:val="center"/>
          </w:tcPr>
          <w:p w14:paraId="482D57A2" w14:textId="71710B6C" w:rsidR="00FD2A48" w:rsidRPr="0040294D" w:rsidRDefault="00FD2A48" w:rsidP="00377954">
            <w:pPr>
              <w:ind w:left="100"/>
              <w:rPr>
                <w:i/>
                <w:sz w:val="20"/>
                <w:szCs w:val="20"/>
                <w:lang w:val="en-GB"/>
              </w:rPr>
            </w:pPr>
            <w:r w:rsidRPr="0040294D">
              <w:rPr>
                <w:i/>
                <w:sz w:val="20"/>
                <w:szCs w:val="20"/>
                <w:lang w:val="en-GB"/>
              </w:rPr>
              <w:t>Squared acquirer HRM quality</w:t>
            </w:r>
            <w:r w:rsidRPr="0040294D">
              <w:rPr>
                <w:i/>
                <w:sz w:val="20"/>
                <w:szCs w:val="20"/>
                <w:vertAlign w:val="superscript"/>
                <w:lang w:val="en-GB"/>
              </w:rPr>
              <w:t xml:space="preserve"> b</w:t>
            </w:r>
            <w:r w:rsidRPr="0040294D">
              <w:rPr>
                <w:i/>
                <w:sz w:val="20"/>
                <w:szCs w:val="20"/>
                <w:lang w:val="en-GB"/>
              </w:rPr>
              <w:t xml:space="preserve"> × Acquirer financial slack</w:t>
            </w:r>
            <w:r w:rsidRPr="0040294D">
              <w:rPr>
                <w:i/>
                <w:sz w:val="20"/>
                <w:szCs w:val="20"/>
                <w:vertAlign w:val="superscript"/>
                <w:lang w:val="en-GB"/>
              </w:rPr>
              <w:t xml:space="preserve"> b</w:t>
            </w:r>
          </w:p>
        </w:tc>
        <w:tc>
          <w:tcPr>
            <w:tcW w:w="1644" w:type="dxa"/>
            <w:vAlign w:val="center"/>
          </w:tcPr>
          <w:p w14:paraId="0E87C9B5" w14:textId="77777777" w:rsidR="00FD2A48" w:rsidRPr="0040294D" w:rsidRDefault="00FD2A48" w:rsidP="00377954">
            <w:pPr>
              <w:ind w:left="113"/>
              <w:rPr>
                <w:sz w:val="20"/>
                <w:szCs w:val="20"/>
                <w:lang w:val="en-GB"/>
              </w:rPr>
            </w:pPr>
            <w:r w:rsidRPr="0040294D">
              <w:rPr>
                <w:sz w:val="20"/>
                <w:szCs w:val="20"/>
                <w:lang w:val="en-GB"/>
              </w:rPr>
              <w:t xml:space="preserve">    0.73  (0.30)*</w:t>
            </w:r>
          </w:p>
        </w:tc>
      </w:tr>
      <w:tr w:rsidR="00FD2A48" w:rsidRPr="0040294D" w14:paraId="57C61347" w14:textId="77777777" w:rsidTr="00377954">
        <w:trPr>
          <w:trHeight w:val="227"/>
          <w:jc w:val="center"/>
        </w:trPr>
        <w:tc>
          <w:tcPr>
            <w:tcW w:w="4989" w:type="dxa"/>
            <w:noWrap/>
            <w:vAlign w:val="center"/>
          </w:tcPr>
          <w:p w14:paraId="7F76F166" w14:textId="23A88491" w:rsidR="00FD2A48" w:rsidRPr="0040294D" w:rsidRDefault="00FD2A48">
            <w:pPr>
              <w:ind w:left="100"/>
              <w:rPr>
                <w:i/>
                <w:sz w:val="20"/>
                <w:szCs w:val="20"/>
                <w:lang w:val="en-GB"/>
              </w:rPr>
            </w:pPr>
            <w:r w:rsidRPr="0040294D">
              <w:rPr>
                <w:i/>
                <w:sz w:val="20"/>
                <w:szCs w:val="20"/>
                <w:lang w:val="en-GB"/>
              </w:rPr>
              <w:t xml:space="preserve">Acquirer </w:t>
            </w:r>
            <w:r w:rsidR="00735613">
              <w:rPr>
                <w:i/>
                <w:sz w:val="20"/>
                <w:szCs w:val="20"/>
                <w:lang w:val="en-GB"/>
              </w:rPr>
              <w:t>internationalization</w:t>
            </w:r>
            <w:r w:rsidR="00735613" w:rsidRPr="0040294D">
              <w:rPr>
                <w:i/>
                <w:sz w:val="20"/>
                <w:szCs w:val="20"/>
                <w:vertAlign w:val="superscript"/>
                <w:lang w:val="en-GB"/>
              </w:rPr>
              <w:t xml:space="preserve"> </w:t>
            </w:r>
            <w:r w:rsidRPr="0040294D">
              <w:rPr>
                <w:i/>
                <w:sz w:val="20"/>
                <w:szCs w:val="20"/>
                <w:vertAlign w:val="superscript"/>
                <w:lang w:val="en-GB"/>
              </w:rPr>
              <w:t>b</w:t>
            </w:r>
          </w:p>
        </w:tc>
        <w:tc>
          <w:tcPr>
            <w:tcW w:w="1644" w:type="dxa"/>
            <w:vAlign w:val="center"/>
          </w:tcPr>
          <w:p w14:paraId="1117C3FA" w14:textId="77777777" w:rsidR="00FD2A48" w:rsidRPr="0040294D" w:rsidRDefault="00FD2A48" w:rsidP="00377954">
            <w:pPr>
              <w:ind w:left="113"/>
              <w:rPr>
                <w:sz w:val="20"/>
                <w:szCs w:val="20"/>
                <w:lang w:val="en-GB"/>
              </w:rPr>
            </w:pPr>
            <w:r w:rsidRPr="0040294D">
              <w:rPr>
                <w:sz w:val="20"/>
                <w:szCs w:val="20"/>
                <w:lang w:val="en-GB"/>
              </w:rPr>
              <w:t xml:space="preserve"> – 0.35  (0.23)</w:t>
            </w:r>
          </w:p>
        </w:tc>
      </w:tr>
      <w:tr w:rsidR="00FD2A48" w:rsidRPr="0040294D" w14:paraId="773DD2BF" w14:textId="77777777" w:rsidTr="00377954">
        <w:trPr>
          <w:trHeight w:val="227"/>
          <w:jc w:val="center"/>
        </w:trPr>
        <w:tc>
          <w:tcPr>
            <w:tcW w:w="4989" w:type="dxa"/>
            <w:noWrap/>
            <w:vAlign w:val="center"/>
          </w:tcPr>
          <w:p w14:paraId="64DE733E" w14:textId="77777777" w:rsidR="00FD2A48" w:rsidRPr="0040294D" w:rsidRDefault="00FD2A48" w:rsidP="00377954">
            <w:pPr>
              <w:ind w:left="100"/>
              <w:rPr>
                <w:i/>
                <w:sz w:val="20"/>
                <w:szCs w:val="20"/>
                <w:lang w:val="en-GB"/>
              </w:rPr>
            </w:pPr>
            <w:r w:rsidRPr="0040294D">
              <w:rPr>
                <w:i/>
                <w:sz w:val="20"/>
                <w:szCs w:val="20"/>
                <w:lang w:val="en-GB"/>
              </w:rPr>
              <w:t>Acquirer experience with the US (log.)</w:t>
            </w:r>
            <w:r w:rsidRPr="0040294D">
              <w:rPr>
                <w:i/>
                <w:sz w:val="20"/>
                <w:szCs w:val="20"/>
                <w:vertAlign w:val="superscript"/>
                <w:lang w:val="en-GB"/>
              </w:rPr>
              <w:t xml:space="preserve"> b</w:t>
            </w:r>
          </w:p>
        </w:tc>
        <w:tc>
          <w:tcPr>
            <w:tcW w:w="1644" w:type="dxa"/>
            <w:vAlign w:val="center"/>
          </w:tcPr>
          <w:p w14:paraId="44F7F34E" w14:textId="77777777" w:rsidR="00FD2A48" w:rsidRPr="0040294D" w:rsidRDefault="00FD2A48" w:rsidP="00377954">
            <w:pPr>
              <w:ind w:left="113"/>
              <w:rPr>
                <w:sz w:val="20"/>
                <w:szCs w:val="20"/>
                <w:lang w:val="en-GB"/>
              </w:rPr>
            </w:pPr>
            <w:r w:rsidRPr="0040294D">
              <w:rPr>
                <w:sz w:val="20"/>
                <w:szCs w:val="20"/>
                <w:lang w:val="en-GB"/>
              </w:rPr>
              <w:t xml:space="preserve">    0.21  (0.36)</w:t>
            </w:r>
          </w:p>
        </w:tc>
      </w:tr>
      <w:tr w:rsidR="00FD2A48" w:rsidRPr="0040294D" w14:paraId="3F29ED9C" w14:textId="77777777" w:rsidTr="00377954">
        <w:trPr>
          <w:trHeight w:val="227"/>
          <w:jc w:val="center"/>
        </w:trPr>
        <w:tc>
          <w:tcPr>
            <w:tcW w:w="4989" w:type="dxa"/>
            <w:noWrap/>
            <w:vAlign w:val="center"/>
          </w:tcPr>
          <w:p w14:paraId="19CADA4E" w14:textId="77777777" w:rsidR="00FD2A48" w:rsidRPr="0040294D" w:rsidRDefault="00FD2A48" w:rsidP="00377954">
            <w:pPr>
              <w:ind w:left="100"/>
              <w:rPr>
                <w:i/>
                <w:sz w:val="20"/>
                <w:szCs w:val="20"/>
                <w:lang w:val="en-GB"/>
              </w:rPr>
            </w:pPr>
            <w:r w:rsidRPr="0040294D">
              <w:rPr>
                <w:i/>
                <w:sz w:val="20"/>
                <w:szCs w:val="20"/>
                <w:lang w:val="en-GB"/>
              </w:rPr>
              <w:t>Acquirer experience with US acquisitions (log.)</w:t>
            </w:r>
            <w:r w:rsidRPr="0040294D">
              <w:rPr>
                <w:i/>
                <w:sz w:val="20"/>
                <w:szCs w:val="20"/>
                <w:vertAlign w:val="superscript"/>
                <w:lang w:val="en-GB"/>
              </w:rPr>
              <w:t xml:space="preserve"> b</w:t>
            </w:r>
          </w:p>
        </w:tc>
        <w:tc>
          <w:tcPr>
            <w:tcW w:w="1644" w:type="dxa"/>
            <w:vAlign w:val="center"/>
          </w:tcPr>
          <w:p w14:paraId="1625B1FD" w14:textId="77777777" w:rsidR="00FD2A48" w:rsidRPr="0040294D" w:rsidRDefault="00FD2A48" w:rsidP="00377954">
            <w:pPr>
              <w:ind w:left="113"/>
              <w:rPr>
                <w:sz w:val="20"/>
                <w:szCs w:val="20"/>
                <w:lang w:val="en-GB"/>
              </w:rPr>
            </w:pPr>
            <w:r w:rsidRPr="0040294D">
              <w:rPr>
                <w:sz w:val="20"/>
                <w:szCs w:val="20"/>
                <w:lang w:val="en-GB"/>
              </w:rPr>
              <w:t xml:space="preserve">    0.04  (0.16)</w:t>
            </w:r>
          </w:p>
        </w:tc>
      </w:tr>
      <w:tr w:rsidR="00FD2A48" w:rsidRPr="0040294D" w14:paraId="3286A041" w14:textId="77777777" w:rsidTr="00377954">
        <w:trPr>
          <w:trHeight w:val="227"/>
          <w:jc w:val="center"/>
        </w:trPr>
        <w:tc>
          <w:tcPr>
            <w:tcW w:w="4989" w:type="dxa"/>
            <w:noWrap/>
            <w:vAlign w:val="center"/>
          </w:tcPr>
          <w:p w14:paraId="468D4413" w14:textId="77777777" w:rsidR="00FD2A48" w:rsidRPr="0040294D" w:rsidRDefault="00FD2A48" w:rsidP="00377954">
            <w:pPr>
              <w:ind w:left="100"/>
              <w:rPr>
                <w:i/>
                <w:sz w:val="20"/>
                <w:szCs w:val="20"/>
                <w:lang w:val="en-GB"/>
              </w:rPr>
            </w:pPr>
            <w:r w:rsidRPr="0040294D">
              <w:rPr>
                <w:i/>
                <w:sz w:val="20"/>
                <w:szCs w:val="20"/>
                <w:lang w:val="en-GB"/>
              </w:rPr>
              <w:t>Acquirer experience with US divestments (log.)</w:t>
            </w:r>
            <w:r w:rsidRPr="0040294D">
              <w:rPr>
                <w:i/>
                <w:sz w:val="20"/>
                <w:szCs w:val="20"/>
                <w:vertAlign w:val="superscript"/>
                <w:lang w:val="en-GB"/>
              </w:rPr>
              <w:t xml:space="preserve"> b</w:t>
            </w:r>
          </w:p>
        </w:tc>
        <w:tc>
          <w:tcPr>
            <w:tcW w:w="1644" w:type="dxa"/>
            <w:vAlign w:val="center"/>
          </w:tcPr>
          <w:p w14:paraId="347974E7" w14:textId="77777777" w:rsidR="00FD2A48" w:rsidRPr="0040294D" w:rsidRDefault="00FD2A48" w:rsidP="00377954">
            <w:pPr>
              <w:ind w:left="113"/>
              <w:rPr>
                <w:sz w:val="20"/>
                <w:szCs w:val="20"/>
                <w:lang w:val="en-GB"/>
              </w:rPr>
            </w:pPr>
            <w:r w:rsidRPr="0040294D">
              <w:rPr>
                <w:sz w:val="20"/>
                <w:szCs w:val="20"/>
                <w:lang w:val="en-GB"/>
              </w:rPr>
              <w:t xml:space="preserve"> – 0.40  (0.19)*</w:t>
            </w:r>
          </w:p>
        </w:tc>
      </w:tr>
      <w:tr w:rsidR="00FD2A48" w:rsidRPr="0040294D" w14:paraId="3B46A2A1" w14:textId="77777777" w:rsidTr="00377954">
        <w:trPr>
          <w:trHeight w:val="227"/>
          <w:jc w:val="center"/>
        </w:trPr>
        <w:tc>
          <w:tcPr>
            <w:tcW w:w="4989" w:type="dxa"/>
            <w:noWrap/>
            <w:vAlign w:val="center"/>
          </w:tcPr>
          <w:p w14:paraId="71BEAB63" w14:textId="77777777" w:rsidR="00FD2A48" w:rsidRPr="0040294D" w:rsidRDefault="00FD2A48" w:rsidP="00377954">
            <w:pPr>
              <w:ind w:left="100"/>
              <w:rPr>
                <w:i/>
                <w:iCs/>
                <w:sz w:val="20"/>
                <w:szCs w:val="20"/>
                <w:lang w:val="en-GB"/>
              </w:rPr>
            </w:pPr>
            <w:r w:rsidRPr="0040294D">
              <w:rPr>
                <w:i/>
                <w:sz w:val="20"/>
                <w:szCs w:val="20"/>
                <w:lang w:val="en-GB"/>
              </w:rPr>
              <w:t>Acquirer ROA</w:t>
            </w:r>
            <w:r w:rsidRPr="0040294D">
              <w:rPr>
                <w:i/>
                <w:sz w:val="20"/>
                <w:szCs w:val="20"/>
                <w:vertAlign w:val="superscript"/>
                <w:lang w:val="en-GB"/>
              </w:rPr>
              <w:t xml:space="preserve"> b</w:t>
            </w:r>
          </w:p>
        </w:tc>
        <w:tc>
          <w:tcPr>
            <w:tcW w:w="1644" w:type="dxa"/>
            <w:vAlign w:val="center"/>
          </w:tcPr>
          <w:p w14:paraId="3AC1E3A2" w14:textId="77777777" w:rsidR="00FD2A48" w:rsidRPr="0040294D" w:rsidRDefault="00FD2A48" w:rsidP="00377954">
            <w:pPr>
              <w:ind w:left="113"/>
              <w:rPr>
                <w:sz w:val="20"/>
                <w:szCs w:val="20"/>
                <w:lang w:val="en-GB"/>
              </w:rPr>
            </w:pPr>
            <w:r w:rsidRPr="0040294D">
              <w:rPr>
                <w:sz w:val="20"/>
                <w:szCs w:val="20"/>
                <w:lang w:val="en-GB"/>
              </w:rPr>
              <w:t xml:space="preserve"> – 0.85  (0.41)*</w:t>
            </w:r>
          </w:p>
        </w:tc>
      </w:tr>
      <w:tr w:rsidR="00FD2A48" w:rsidRPr="0040294D" w14:paraId="597937A9" w14:textId="77777777" w:rsidTr="00377954">
        <w:trPr>
          <w:trHeight w:val="227"/>
          <w:jc w:val="center"/>
        </w:trPr>
        <w:tc>
          <w:tcPr>
            <w:tcW w:w="4989" w:type="dxa"/>
            <w:noWrap/>
            <w:vAlign w:val="center"/>
          </w:tcPr>
          <w:p w14:paraId="1FD9E018" w14:textId="77777777" w:rsidR="00FD2A48" w:rsidRPr="0040294D" w:rsidRDefault="00FD2A48" w:rsidP="00377954">
            <w:pPr>
              <w:ind w:left="100"/>
              <w:rPr>
                <w:i/>
                <w:sz w:val="20"/>
                <w:szCs w:val="20"/>
                <w:lang w:val="en-GB"/>
              </w:rPr>
            </w:pPr>
            <w:r w:rsidRPr="0040294D">
              <w:rPr>
                <w:i/>
                <w:sz w:val="20"/>
                <w:szCs w:val="20"/>
                <w:lang w:val="en-GB"/>
              </w:rPr>
              <w:t>Acquirer CEO change</w:t>
            </w:r>
          </w:p>
        </w:tc>
        <w:tc>
          <w:tcPr>
            <w:tcW w:w="1644" w:type="dxa"/>
            <w:vAlign w:val="center"/>
          </w:tcPr>
          <w:p w14:paraId="0476B7E3" w14:textId="77777777" w:rsidR="00FD2A48" w:rsidRPr="0040294D" w:rsidRDefault="00FD2A48" w:rsidP="00377954">
            <w:pPr>
              <w:ind w:left="113"/>
              <w:rPr>
                <w:sz w:val="20"/>
                <w:szCs w:val="20"/>
                <w:lang w:val="en-GB"/>
              </w:rPr>
            </w:pPr>
            <w:r w:rsidRPr="0040294D">
              <w:rPr>
                <w:sz w:val="20"/>
                <w:szCs w:val="20"/>
                <w:lang w:val="en-GB"/>
              </w:rPr>
              <w:t xml:space="preserve">    1.23  (0.48)**</w:t>
            </w:r>
          </w:p>
        </w:tc>
      </w:tr>
      <w:tr w:rsidR="00FD2A48" w:rsidRPr="0040294D" w14:paraId="5DC23F14" w14:textId="77777777" w:rsidTr="00377954">
        <w:trPr>
          <w:trHeight w:val="227"/>
          <w:jc w:val="center"/>
        </w:trPr>
        <w:tc>
          <w:tcPr>
            <w:tcW w:w="4989" w:type="dxa"/>
            <w:noWrap/>
            <w:vAlign w:val="center"/>
          </w:tcPr>
          <w:p w14:paraId="1A593114" w14:textId="77777777" w:rsidR="00FD2A48" w:rsidRPr="0040294D" w:rsidRDefault="00FD2A48" w:rsidP="00377954">
            <w:pPr>
              <w:ind w:left="100"/>
              <w:rPr>
                <w:i/>
                <w:sz w:val="20"/>
                <w:szCs w:val="20"/>
                <w:lang w:val="en-GB"/>
              </w:rPr>
            </w:pPr>
            <w:r w:rsidRPr="0040294D">
              <w:rPr>
                <w:i/>
                <w:sz w:val="20"/>
                <w:szCs w:val="20"/>
                <w:lang w:val="en-GB"/>
              </w:rPr>
              <w:t>Relative size</w:t>
            </w:r>
          </w:p>
        </w:tc>
        <w:tc>
          <w:tcPr>
            <w:tcW w:w="1644" w:type="dxa"/>
            <w:vAlign w:val="center"/>
          </w:tcPr>
          <w:p w14:paraId="6ABC8835" w14:textId="77777777" w:rsidR="00FD2A48" w:rsidRPr="0040294D" w:rsidRDefault="00FD2A48" w:rsidP="00377954">
            <w:pPr>
              <w:ind w:left="113"/>
              <w:rPr>
                <w:sz w:val="20"/>
                <w:szCs w:val="20"/>
                <w:lang w:val="en-GB"/>
              </w:rPr>
            </w:pPr>
            <w:r w:rsidRPr="0040294D">
              <w:rPr>
                <w:sz w:val="20"/>
                <w:szCs w:val="20"/>
                <w:lang w:val="en-GB"/>
              </w:rPr>
              <w:t xml:space="preserve">    0.08  (0.01)***</w:t>
            </w:r>
          </w:p>
        </w:tc>
      </w:tr>
      <w:tr w:rsidR="00FD2A48" w:rsidRPr="0040294D" w14:paraId="2F5D1B96" w14:textId="77777777" w:rsidTr="00377954">
        <w:trPr>
          <w:trHeight w:val="227"/>
          <w:jc w:val="center"/>
        </w:trPr>
        <w:tc>
          <w:tcPr>
            <w:tcW w:w="4989" w:type="dxa"/>
            <w:noWrap/>
            <w:vAlign w:val="center"/>
          </w:tcPr>
          <w:p w14:paraId="7FFADCB2" w14:textId="77777777" w:rsidR="00FD2A48" w:rsidRPr="0040294D" w:rsidRDefault="00FD2A48" w:rsidP="00377954">
            <w:pPr>
              <w:ind w:left="100"/>
              <w:rPr>
                <w:i/>
                <w:sz w:val="20"/>
                <w:szCs w:val="20"/>
                <w:lang w:val="en-GB"/>
              </w:rPr>
            </w:pPr>
            <w:r w:rsidRPr="0040294D">
              <w:rPr>
                <w:i/>
                <w:sz w:val="20"/>
                <w:szCs w:val="20"/>
                <w:lang w:val="en-GB"/>
              </w:rPr>
              <w:t>Transaction price (log.)</w:t>
            </w:r>
          </w:p>
        </w:tc>
        <w:tc>
          <w:tcPr>
            <w:tcW w:w="1644" w:type="dxa"/>
            <w:vAlign w:val="center"/>
          </w:tcPr>
          <w:p w14:paraId="55F19139" w14:textId="77777777" w:rsidR="00FD2A48" w:rsidRPr="0040294D" w:rsidRDefault="00FD2A48" w:rsidP="00377954">
            <w:pPr>
              <w:ind w:left="113"/>
              <w:rPr>
                <w:sz w:val="20"/>
                <w:szCs w:val="20"/>
                <w:lang w:val="en-GB"/>
              </w:rPr>
            </w:pPr>
            <w:r w:rsidRPr="0040294D">
              <w:rPr>
                <w:sz w:val="20"/>
                <w:szCs w:val="20"/>
                <w:lang w:val="en-GB"/>
              </w:rPr>
              <w:t xml:space="preserve"> – 0.06  (0.24)</w:t>
            </w:r>
          </w:p>
        </w:tc>
      </w:tr>
      <w:tr w:rsidR="00FD2A48" w:rsidRPr="0040294D" w14:paraId="3909EE82" w14:textId="77777777" w:rsidTr="00377954">
        <w:trPr>
          <w:trHeight w:val="227"/>
          <w:jc w:val="center"/>
        </w:trPr>
        <w:tc>
          <w:tcPr>
            <w:tcW w:w="4989" w:type="dxa"/>
            <w:noWrap/>
            <w:vAlign w:val="center"/>
          </w:tcPr>
          <w:p w14:paraId="21F82834" w14:textId="77777777" w:rsidR="00FD2A48" w:rsidRPr="0040294D" w:rsidRDefault="00FD2A48" w:rsidP="00377954">
            <w:pPr>
              <w:ind w:left="100"/>
              <w:rPr>
                <w:i/>
                <w:sz w:val="20"/>
                <w:szCs w:val="20"/>
                <w:lang w:val="en-GB"/>
              </w:rPr>
            </w:pPr>
            <w:r w:rsidRPr="0040294D">
              <w:rPr>
                <w:i/>
                <w:sz w:val="20"/>
                <w:szCs w:val="20"/>
                <w:lang w:val="en-GB"/>
              </w:rPr>
              <w:t>Acquirer-to-acquired firm relatedness</w:t>
            </w:r>
          </w:p>
        </w:tc>
        <w:tc>
          <w:tcPr>
            <w:tcW w:w="1644" w:type="dxa"/>
            <w:vAlign w:val="center"/>
          </w:tcPr>
          <w:p w14:paraId="482B1D25" w14:textId="77777777" w:rsidR="00FD2A48" w:rsidRPr="0040294D" w:rsidRDefault="00FD2A48" w:rsidP="00377954">
            <w:pPr>
              <w:ind w:left="113"/>
              <w:rPr>
                <w:sz w:val="20"/>
                <w:szCs w:val="20"/>
                <w:lang w:val="en-GB"/>
              </w:rPr>
            </w:pPr>
            <w:r w:rsidRPr="0040294D">
              <w:rPr>
                <w:sz w:val="20"/>
                <w:szCs w:val="20"/>
                <w:lang w:val="en-GB"/>
              </w:rPr>
              <w:t xml:space="preserve"> – 0.20  (0.10)</w:t>
            </w:r>
            <w:r w:rsidRPr="0040294D">
              <w:rPr>
                <w:sz w:val="20"/>
                <w:szCs w:val="20"/>
                <w:vertAlign w:val="superscript"/>
                <w:lang w:val="en-GB"/>
              </w:rPr>
              <w:t xml:space="preserve"> †</w:t>
            </w:r>
          </w:p>
        </w:tc>
      </w:tr>
      <w:tr w:rsidR="00FD2A48" w:rsidRPr="0040294D" w14:paraId="04C4139E" w14:textId="77777777" w:rsidTr="00377954">
        <w:trPr>
          <w:trHeight w:val="227"/>
          <w:jc w:val="center"/>
        </w:trPr>
        <w:tc>
          <w:tcPr>
            <w:tcW w:w="4989" w:type="dxa"/>
            <w:noWrap/>
            <w:vAlign w:val="center"/>
          </w:tcPr>
          <w:p w14:paraId="4D0FB171" w14:textId="77777777" w:rsidR="00FD2A48" w:rsidRPr="0040294D" w:rsidRDefault="00FD2A48" w:rsidP="00377954">
            <w:pPr>
              <w:ind w:left="100"/>
              <w:rPr>
                <w:i/>
                <w:iCs/>
                <w:sz w:val="20"/>
                <w:szCs w:val="20"/>
                <w:lang w:val="en-GB"/>
              </w:rPr>
            </w:pPr>
            <w:r w:rsidRPr="0040294D">
              <w:rPr>
                <w:i/>
                <w:iCs/>
                <w:sz w:val="20"/>
                <w:szCs w:val="20"/>
                <w:lang w:val="en-GB"/>
              </w:rPr>
              <w:t>Acquired firm industry effects</w:t>
            </w:r>
          </w:p>
        </w:tc>
        <w:tc>
          <w:tcPr>
            <w:tcW w:w="1644" w:type="dxa"/>
            <w:vAlign w:val="center"/>
          </w:tcPr>
          <w:p w14:paraId="6E170913" w14:textId="77777777" w:rsidR="00FD2A48" w:rsidRPr="0040294D" w:rsidRDefault="00FD2A48" w:rsidP="00377954">
            <w:pPr>
              <w:ind w:left="113"/>
              <w:jc w:val="center"/>
              <w:rPr>
                <w:sz w:val="20"/>
                <w:szCs w:val="20"/>
                <w:lang w:val="en-GB"/>
              </w:rPr>
            </w:pPr>
            <w:r w:rsidRPr="0040294D">
              <w:rPr>
                <w:sz w:val="20"/>
                <w:szCs w:val="20"/>
                <w:lang w:val="en-GB"/>
              </w:rPr>
              <w:t>Yes</w:t>
            </w:r>
          </w:p>
        </w:tc>
      </w:tr>
      <w:tr w:rsidR="00FD2A48" w:rsidRPr="0040294D" w14:paraId="5A5277C8" w14:textId="77777777" w:rsidTr="00377954">
        <w:trPr>
          <w:trHeight w:val="227"/>
          <w:jc w:val="center"/>
        </w:trPr>
        <w:tc>
          <w:tcPr>
            <w:tcW w:w="4989" w:type="dxa"/>
            <w:noWrap/>
            <w:vAlign w:val="center"/>
          </w:tcPr>
          <w:p w14:paraId="713155A9" w14:textId="77777777" w:rsidR="00FD2A48" w:rsidRPr="0040294D" w:rsidRDefault="00FD2A48" w:rsidP="00377954">
            <w:pPr>
              <w:ind w:left="100"/>
              <w:rPr>
                <w:i/>
                <w:iCs/>
                <w:sz w:val="20"/>
                <w:szCs w:val="20"/>
                <w:lang w:val="en-GB"/>
              </w:rPr>
            </w:pPr>
            <w:r w:rsidRPr="0040294D">
              <w:rPr>
                <w:i/>
                <w:iCs/>
                <w:sz w:val="20"/>
                <w:szCs w:val="20"/>
                <w:lang w:val="en-GB"/>
              </w:rPr>
              <w:t>Acquisition year effects</w:t>
            </w:r>
          </w:p>
        </w:tc>
        <w:tc>
          <w:tcPr>
            <w:tcW w:w="1644" w:type="dxa"/>
            <w:vAlign w:val="center"/>
          </w:tcPr>
          <w:p w14:paraId="0CB01641" w14:textId="77777777" w:rsidR="00FD2A48" w:rsidRPr="0040294D" w:rsidRDefault="00FD2A48" w:rsidP="00377954">
            <w:pPr>
              <w:ind w:left="113"/>
              <w:jc w:val="center"/>
              <w:rPr>
                <w:sz w:val="20"/>
                <w:szCs w:val="20"/>
                <w:lang w:val="en-GB"/>
              </w:rPr>
            </w:pPr>
            <w:r w:rsidRPr="0040294D">
              <w:rPr>
                <w:sz w:val="20"/>
                <w:szCs w:val="20"/>
                <w:lang w:val="en-GB"/>
              </w:rPr>
              <w:t>Yes</w:t>
            </w:r>
          </w:p>
        </w:tc>
      </w:tr>
      <w:tr w:rsidR="00FD2A48" w:rsidRPr="0040294D" w14:paraId="231CB693" w14:textId="77777777" w:rsidTr="00377954">
        <w:trPr>
          <w:trHeight w:val="227"/>
          <w:jc w:val="center"/>
        </w:trPr>
        <w:tc>
          <w:tcPr>
            <w:tcW w:w="4989" w:type="dxa"/>
            <w:tcBorders>
              <w:bottom w:val="single" w:sz="4" w:space="0" w:color="auto"/>
            </w:tcBorders>
            <w:noWrap/>
            <w:vAlign w:val="center"/>
          </w:tcPr>
          <w:p w14:paraId="28CA0807" w14:textId="77777777" w:rsidR="00FD2A48" w:rsidRPr="0040294D" w:rsidRDefault="00FD2A48" w:rsidP="00377954">
            <w:pPr>
              <w:ind w:left="100"/>
              <w:rPr>
                <w:i/>
                <w:iCs/>
                <w:sz w:val="20"/>
                <w:szCs w:val="20"/>
                <w:lang w:val="en-GB"/>
              </w:rPr>
            </w:pPr>
            <w:r w:rsidRPr="0040294D">
              <w:rPr>
                <w:i/>
                <w:iCs/>
                <w:sz w:val="20"/>
                <w:szCs w:val="20"/>
                <w:lang w:val="en-GB"/>
              </w:rPr>
              <w:t>Acquirer effects</w:t>
            </w:r>
          </w:p>
        </w:tc>
        <w:tc>
          <w:tcPr>
            <w:tcW w:w="1644" w:type="dxa"/>
            <w:tcBorders>
              <w:bottom w:val="single" w:sz="4" w:space="0" w:color="auto"/>
            </w:tcBorders>
            <w:vAlign w:val="center"/>
          </w:tcPr>
          <w:p w14:paraId="69A2BC3F" w14:textId="77777777" w:rsidR="00FD2A48" w:rsidRPr="0040294D" w:rsidRDefault="00FD2A48" w:rsidP="00377954">
            <w:pPr>
              <w:ind w:left="113"/>
              <w:jc w:val="center"/>
              <w:rPr>
                <w:sz w:val="20"/>
                <w:szCs w:val="20"/>
                <w:lang w:val="en-GB"/>
              </w:rPr>
            </w:pPr>
            <w:r w:rsidRPr="0040294D">
              <w:rPr>
                <w:sz w:val="20"/>
                <w:szCs w:val="20"/>
                <w:lang w:val="en-GB"/>
              </w:rPr>
              <w:t>Yes</w:t>
            </w:r>
          </w:p>
        </w:tc>
      </w:tr>
      <w:tr w:rsidR="00FD2A48" w:rsidRPr="0040294D" w14:paraId="487CA369" w14:textId="77777777" w:rsidTr="00377954">
        <w:trPr>
          <w:trHeight w:val="227"/>
          <w:jc w:val="center"/>
        </w:trPr>
        <w:tc>
          <w:tcPr>
            <w:tcW w:w="4989" w:type="dxa"/>
            <w:tcBorders>
              <w:top w:val="single" w:sz="4" w:space="0" w:color="auto"/>
              <w:bottom w:val="single" w:sz="4" w:space="0" w:color="auto"/>
            </w:tcBorders>
            <w:noWrap/>
            <w:vAlign w:val="center"/>
          </w:tcPr>
          <w:p w14:paraId="1F94D848" w14:textId="77777777" w:rsidR="00FD2A48" w:rsidRPr="0040294D" w:rsidRDefault="00FD2A48" w:rsidP="00377954">
            <w:pPr>
              <w:ind w:left="100"/>
              <w:rPr>
                <w:i/>
                <w:iCs/>
                <w:sz w:val="20"/>
                <w:szCs w:val="20"/>
                <w:lang w:val="en-GB"/>
              </w:rPr>
            </w:pPr>
            <w:r w:rsidRPr="0040294D">
              <w:rPr>
                <w:i/>
                <w:iCs/>
                <w:sz w:val="20"/>
                <w:szCs w:val="20"/>
                <w:lang w:val="en-GB"/>
              </w:rPr>
              <w:t>Log pseudo-likelihood</w:t>
            </w:r>
          </w:p>
        </w:tc>
        <w:tc>
          <w:tcPr>
            <w:tcW w:w="1644" w:type="dxa"/>
            <w:tcBorders>
              <w:top w:val="single" w:sz="4" w:space="0" w:color="auto"/>
              <w:bottom w:val="single" w:sz="4" w:space="0" w:color="auto"/>
            </w:tcBorders>
            <w:vAlign w:val="center"/>
          </w:tcPr>
          <w:p w14:paraId="2C3A0272" w14:textId="77777777" w:rsidR="00FD2A48" w:rsidRPr="0040294D" w:rsidRDefault="00FD2A48" w:rsidP="00377954">
            <w:pPr>
              <w:ind w:left="57"/>
              <w:jc w:val="center"/>
              <w:rPr>
                <w:sz w:val="20"/>
                <w:szCs w:val="20"/>
                <w:lang w:val="en-GB"/>
              </w:rPr>
            </w:pPr>
            <w:r w:rsidRPr="0040294D">
              <w:rPr>
                <w:sz w:val="20"/>
                <w:szCs w:val="20"/>
                <w:lang w:val="en-GB"/>
              </w:rPr>
              <w:t>– 604.25***</w:t>
            </w:r>
          </w:p>
        </w:tc>
      </w:tr>
    </w:tbl>
    <w:p w14:paraId="7095BE5F" w14:textId="77777777" w:rsidR="00FD2A48" w:rsidRPr="0040294D" w:rsidRDefault="00FD2A48" w:rsidP="00FD2A48">
      <w:pPr>
        <w:ind w:left="1418" w:right="1422"/>
        <w:jc w:val="both"/>
        <w:rPr>
          <w:sz w:val="18"/>
          <w:szCs w:val="18"/>
          <w:lang w:val="en-GB"/>
        </w:rPr>
      </w:pPr>
      <w:r w:rsidRPr="0040294D">
        <w:rPr>
          <w:i/>
          <w:sz w:val="18"/>
          <w:szCs w:val="18"/>
          <w:vertAlign w:val="superscript"/>
          <w:lang w:val="en-GB"/>
        </w:rPr>
        <w:t>a</w:t>
      </w:r>
      <w:r w:rsidRPr="0040294D">
        <w:rPr>
          <w:sz w:val="18"/>
          <w:szCs w:val="18"/>
          <w:lang w:val="en-GB"/>
        </w:rPr>
        <w:t xml:space="preserve"> Numbers in parentheses are robust standard errors that correct for the clustering of acquirer effects (59 clusters). Positive (negative) coefficient estimates indicate greater (lower) probability of acquisition divestment (measured by the hazard rate of acquisition divestment).</w:t>
      </w:r>
    </w:p>
    <w:p w14:paraId="3BB52A70" w14:textId="77777777" w:rsidR="00FD2A48" w:rsidRPr="0040294D" w:rsidRDefault="00FD2A48" w:rsidP="00FD2A48">
      <w:pPr>
        <w:ind w:left="1418" w:right="1422"/>
        <w:jc w:val="both"/>
        <w:rPr>
          <w:sz w:val="18"/>
          <w:szCs w:val="18"/>
          <w:lang w:val="en-GB"/>
        </w:rPr>
      </w:pPr>
      <w:r w:rsidRPr="0040294D">
        <w:rPr>
          <w:i/>
          <w:sz w:val="18"/>
          <w:szCs w:val="18"/>
          <w:vertAlign w:val="superscript"/>
          <w:lang w:val="en-GB"/>
        </w:rPr>
        <w:t xml:space="preserve">b </w:t>
      </w:r>
      <w:r w:rsidRPr="0040294D">
        <w:rPr>
          <w:sz w:val="18"/>
          <w:szCs w:val="18"/>
          <w:lang w:val="en-GB"/>
        </w:rPr>
        <w:t>Time-varying covariate.</w:t>
      </w:r>
    </w:p>
    <w:p w14:paraId="3029E221" w14:textId="2FB473F2" w:rsidR="00FD2A48" w:rsidRPr="0040294D" w:rsidRDefault="00FD2A48" w:rsidP="00FD2A48">
      <w:pPr>
        <w:ind w:left="1418" w:right="1422"/>
        <w:jc w:val="both"/>
        <w:rPr>
          <w:sz w:val="18"/>
          <w:szCs w:val="18"/>
          <w:lang w:val="en-GB"/>
        </w:rPr>
      </w:pPr>
      <w:r w:rsidRPr="0040294D">
        <w:rPr>
          <w:i/>
          <w:sz w:val="18"/>
          <w:szCs w:val="18"/>
          <w:lang w:val="en-GB"/>
        </w:rPr>
        <w:t>n</w:t>
      </w:r>
      <w:r w:rsidRPr="0040294D">
        <w:rPr>
          <w:sz w:val="18"/>
          <w:szCs w:val="18"/>
          <w:lang w:val="en-GB"/>
        </w:rPr>
        <w:t xml:space="preserve"> = 4,128 acquisition/year observations (488 US acquisitions with 128 acquisition divestments; 2000</w:t>
      </w:r>
      <w:r w:rsidR="0054240B" w:rsidRPr="0040294D">
        <w:rPr>
          <w:sz w:val="18"/>
          <w:szCs w:val="18"/>
          <w:lang w:val="en-GB"/>
        </w:rPr>
        <w:t>–</w:t>
      </w:r>
      <w:r w:rsidRPr="0040294D">
        <w:rPr>
          <w:sz w:val="18"/>
          <w:szCs w:val="18"/>
          <w:lang w:val="en-GB"/>
        </w:rPr>
        <w:t>2016 period at risk).</w:t>
      </w:r>
    </w:p>
    <w:p w14:paraId="51D4E4DA" w14:textId="77777777" w:rsidR="00FD2A48" w:rsidRPr="0040294D" w:rsidRDefault="00FD2A48" w:rsidP="00FD2A48">
      <w:pPr>
        <w:ind w:left="1418" w:right="1422"/>
        <w:jc w:val="both"/>
        <w:rPr>
          <w:sz w:val="18"/>
          <w:szCs w:val="18"/>
          <w:lang w:val="en-GB"/>
        </w:rPr>
      </w:pPr>
      <w:r w:rsidRPr="0040294D">
        <w:rPr>
          <w:sz w:val="20"/>
          <w:szCs w:val="20"/>
          <w:vertAlign w:val="superscript"/>
          <w:lang w:val="en-GB"/>
        </w:rPr>
        <w:t>†</w:t>
      </w:r>
      <w:r w:rsidRPr="0040294D">
        <w:rPr>
          <w:sz w:val="18"/>
          <w:szCs w:val="18"/>
          <w:lang w:val="en-GB"/>
        </w:rPr>
        <w:t xml:space="preserve"> </w:t>
      </w:r>
      <w:r w:rsidRPr="0040294D">
        <w:rPr>
          <w:i/>
          <w:sz w:val="18"/>
          <w:szCs w:val="18"/>
          <w:lang w:val="en-GB"/>
        </w:rPr>
        <w:t xml:space="preserve">p </w:t>
      </w:r>
      <w:r w:rsidRPr="0040294D">
        <w:rPr>
          <w:sz w:val="18"/>
          <w:szCs w:val="18"/>
          <w:lang w:val="en-GB"/>
        </w:rPr>
        <w:t xml:space="preserve">&lt; .01, </w:t>
      </w:r>
      <w:r w:rsidRPr="0040294D">
        <w:rPr>
          <w:sz w:val="20"/>
          <w:szCs w:val="20"/>
          <w:lang w:val="en-GB"/>
        </w:rPr>
        <w:t>*</w:t>
      </w:r>
      <w:r w:rsidRPr="0040294D">
        <w:rPr>
          <w:sz w:val="18"/>
          <w:szCs w:val="18"/>
          <w:lang w:val="en-GB"/>
        </w:rPr>
        <w:t xml:space="preserve"> </w:t>
      </w:r>
      <w:r w:rsidRPr="0040294D">
        <w:rPr>
          <w:i/>
          <w:sz w:val="18"/>
          <w:szCs w:val="18"/>
          <w:lang w:val="en-GB"/>
        </w:rPr>
        <w:t xml:space="preserve">p </w:t>
      </w:r>
      <w:r w:rsidRPr="0040294D">
        <w:rPr>
          <w:sz w:val="18"/>
          <w:szCs w:val="18"/>
          <w:lang w:val="en-GB"/>
        </w:rPr>
        <w:t xml:space="preserve">&lt; .05, </w:t>
      </w:r>
      <w:r w:rsidRPr="0040294D">
        <w:rPr>
          <w:sz w:val="20"/>
          <w:szCs w:val="20"/>
          <w:lang w:val="en-GB"/>
        </w:rPr>
        <w:t>**</w:t>
      </w:r>
      <w:r w:rsidRPr="0040294D">
        <w:rPr>
          <w:sz w:val="18"/>
          <w:szCs w:val="18"/>
          <w:lang w:val="en-GB"/>
        </w:rPr>
        <w:t xml:space="preserve"> </w:t>
      </w:r>
      <w:r w:rsidRPr="0040294D">
        <w:rPr>
          <w:i/>
          <w:sz w:val="18"/>
          <w:szCs w:val="18"/>
          <w:lang w:val="en-GB"/>
        </w:rPr>
        <w:t>p</w:t>
      </w:r>
      <w:r w:rsidRPr="0040294D">
        <w:rPr>
          <w:sz w:val="18"/>
          <w:szCs w:val="18"/>
          <w:lang w:val="en-GB"/>
        </w:rPr>
        <w:t xml:space="preserve"> &lt; .01, </w:t>
      </w:r>
      <w:r w:rsidRPr="0040294D">
        <w:rPr>
          <w:sz w:val="20"/>
          <w:szCs w:val="20"/>
          <w:lang w:val="en-GB"/>
        </w:rPr>
        <w:t>***</w:t>
      </w:r>
      <w:r w:rsidRPr="0040294D">
        <w:rPr>
          <w:sz w:val="18"/>
          <w:szCs w:val="18"/>
          <w:lang w:val="en-GB"/>
        </w:rPr>
        <w:t xml:space="preserve"> </w:t>
      </w:r>
      <w:r w:rsidRPr="0040294D">
        <w:rPr>
          <w:i/>
          <w:sz w:val="18"/>
          <w:szCs w:val="18"/>
          <w:lang w:val="en-GB"/>
        </w:rPr>
        <w:t>p</w:t>
      </w:r>
      <w:r w:rsidRPr="0040294D">
        <w:rPr>
          <w:sz w:val="18"/>
          <w:szCs w:val="18"/>
          <w:lang w:val="en-GB"/>
        </w:rPr>
        <w:t xml:space="preserve"> &lt; .001.</w:t>
      </w:r>
    </w:p>
    <w:p w14:paraId="6F5C695E" w14:textId="77777777" w:rsidR="00FD2A48" w:rsidRPr="0040294D" w:rsidRDefault="00FD2A48" w:rsidP="00FD2A48">
      <w:pPr>
        <w:widowControl w:val="0"/>
        <w:spacing w:before="120" w:after="120"/>
        <w:ind w:left="720" w:hanging="720"/>
        <w:jc w:val="center"/>
        <w:rPr>
          <w:b/>
          <w:bCs/>
          <w:i/>
          <w:lang w:val="en-GB"/>
        </w:rPr>
      </w:pPr>
      <w:r w:rsidRPr="0040294D">
        <w:rPr>
          <w:b/>
          <w:bCs/>
          <w:i/>
          <w:lang w:val="en-GB"/>
        </w:rPr>
        <w:br w:type="page"/>
      </w:r>
    </w:p>
    <w:p w14:paraId="474323C0" w14:textId="77777777" w:rsidR="00FD2A48" w:rsidRPr="0040294D" w:rsidRDefault="00FD2A48" w:rsidP="00FD2A48">
      <w:pPr>
        <w:widowControl w:val="0"/>
        <w:spacing w:before="120" w:after="120"/>
        <w:ind w:left="720" w:hanging="720"/>
        <w:jc w:val="center"/>
        <w:rPr>
          <w:lang w:val="en-GB"/>
        </w:rPr>
      </w:pPr>
      <w:r w:rsidRPr="0040294D">
        <w:rPr>
          <w:b/>
          <w:bCs/>
          <w:i/>
          <w:lang w:val="en-GB"/>
        </w:rPr>
        <w:lastRenderedPageBreak/>
        <w:t>Table 4. Cox Regression Models</w:t>
      </w:r>
      <w:r w:rsidRPr="0040294D">
        <w:rPr>
          <w:bCs/>
          <w:lang w:val="en-GB"/>
        </w:rPr>
        <w:t xml:space="preserve"> </w:t>
      </w:r>
      <w:r w:rsidRPr="0040294D">
        <w:rPr>
          <w:i/>
          <w:sz w:val="18"/>
          <w:szCs w:val="18"/>
          <w:vertAlign w:val="superscript"/>
          <w:lang w:val="en-GB"/>
        </w:rPr>
        <w:t>a</w:t>
      </w:r>
    </w:p>
    <w:tbl>
      <w:tblPr>
        <w:tblW w:w="8731" w:type="dxa"/>
        <w:jc w:val="center"/>
        <w:tblLayout w:type="fixed"/>
        <w:tblCellMar>
          <w:left w:w="0" w:type="dxa"/>
          <w:right w:w="0" w:type="dxa"/>
        </w:tblCellMar>
        <w:tblLook w:val="0000" w:firstRow="0" w:lastRow="0" w:firstColumn="0" w:lastColumn="0" w:noHBand="0" w:noVBand="0"/>
      </w:tblPr>
      <w:tblGrid>
        <w:gridCol w:w="4989"/>
        <w:gridCol w:w="1871"/>
        <w:gridCol w:w="1871"/>
      </w:tblGrid>
      <w:tr w:rsidR="00FD2A48" w:rsidRPr="00525B10" w14:paraId="3B75B7AF" w14:textId="77777777" w:rsidTr="00377954">
        <w:trPr>
          <w:trHeight w:val="227"/>
          <w:jc w:val="center"/>
        </w:trPr>
        <w:tc>
          <w:tcPr>
            <w:tcW w:w="4989" w:type="dxa"/>
            <w:tcBorders>
              <w:top w:val="single" w:sz="4" w:space="0" w:color="auto"/>
              <w:bottom w:val="single" w:sz="4" w:space="0" w:color="auto"/>
            </w:tcBorders>
            <w:noWrap/>
            <w:vAlign w:val="center"/>
          </w:tcPr>
          <w:p w14:paraId="75BF461A" w14:textId="77777777" w:rsidR="00FD2A48" w:rsidRPr="0040294D" w:rsidRDefault="00FD2A48" w:rsidP="00377954">
            <w:pPr>
              <w:spacing w:before="40" w:after="40"/>
              <w:ind w:left="100"/>
              <w:jc w:val="center"/>
              <w:rPr>
                <w:i/>
                <w:iCs/>
                <w:sz w:val="20"/>
                <w:szCs w:val="20"/>
                <w:lang w:val="en-GB"/>
              </w:rPr>
            </w:pPr>
            <w:r w:rsidRPr="0040294D">
              <w:rPr>
                <w:i/>
                <w:iCs/>
                <w:sz w:val="20"/>
                <w:szCs w:val="20"/>
                <w:lang w:val="en-GB"/>
              </w:rPr>
              <w:t>Variables</w:t>
            </w:r>
          </w:p>
        </w:tc>
        <w:tc>
          <w:tcPr>
            <w:tcW w:w="1871" w:type="dxa"/>
            <w:tcBorders>
              <w:top w:val="single" w:sz="4" w:space="0" w:color="auto"/>
              <w:bottom w:val="single" w:sz="4" w:space="0" w:color="auto"/>
            </w:tcBorders>
          </w:tcPr>
          <w:p w14:paraId="45F14CFB" w14:textId="77777777" w:rsidR="00FD2A48" w:rsidRPr="0040294D" w:rsidRDefault="00FD2A48" w:rsidP="00377954">
            <w:pPr>
              <w:spacing w:before="40" w:after="40"/>
              <w:ind w:left="57"/>
              <w:jc w:val="center"/>
              <w:rPr>
                <w:i/>
                <w:sz w:val="20"/>
                <w:szCs w:val="20"/>
                <w:lang w:val="en-GB"/>
              </w:rPr>
            </w:pPr>
            <w:r w:rsidRPr="0040294D">
              <w:rPr>
                <w:i/>
                <w:sz w:val="20"/>
                <w:szCs w:val="20"/>
                <w:lang w:val="en-GB"/>
              </w:rPr>
              <w:t xml:space="preserve">Model 5 for acquisitions with low relatedness scores </w:t>
            </w:r>
          </w:p>
        </w:tc>
        <w:tc>
          <w:tcPr>
            <w:tcW w:w="1871" w:type="dxa"/>
            <w:tcBorders>
              <w:top w:val="single" w:sz="4" w:space="0" w:color="auto"/>
              <w:bottom w:val="single" w:sz="4" w:space="0" w:color="auto"/>
            </w:tcBorders>
          </w:tcPr>
          <w:p w14:paraId="552304A3" w14:textId="77777777" w:rsidR="00FD2A48" w:rsidRPr="0040294D" w:rsidRDefault="00FD2A48" w:rsidP="00377954">
            <w:pPr>
              <w:spacing w:before="40" w:after="40"/>
              <w:ind w:left="57"/>
              <w:jc w:val="center"/>
              <w:rPr>
                <w:i/>
                <w:sz w:val="20"/>
                <w:szCs w:val="20"/>
                <w:lang w:val="en-GB"/>
              </w:rPr>
            </w:pPr>
            <w:r w:rsidRPr="0040294D">
              <w:rPr>
                <w:i/>
                <w:sz w:val="20"/>
                <w:szCs w:val="20"/>
                <w:lang w:val="en-GB"/>
              </w:rPr>
              <w:t>Model 5 for acquisitions with high relatedness scores</w:t>
            </w:r>
          </w:p>
        </w:tc>
      </w:tr>
      <w:tr w:rsidR="00FD2A48" w:rsidRPr="0040294D" w14:paraId="182ECB87" w14:textId="77777777" w:rsidTr="00377954">
        <w:trPr>
          <w:trHeight w:val="227"/>
          <w:jc w:val="center"/>
        </w:trPr>
        <w:tc>
          <w:tcPr>
            <w:tcW w:w="4989" w:type="dxa"/>
            <w:tcBorders>
              <w:top w:val="single" w:sz="4" w:space="0" w:color="auto"/>
            </w:tcBorders>
            <w:noWrap/>
            <w:vAlign w:val="center"/>
          </w:tcPr>
          <w:p w14:paraId="2E147F94" w14:textId="77777777" w:rsidR="00FD2A48" w:rsidRPr="0040294D" w:rsidRDefault="00FD2A48" w:rsidP="00377954">
            <w:pPr>
              <w:ind w:left="100"/>
              <w:rPr>
                <w:i/>
                <w:iCs/>
                <w:sz w:val="20"/>
                <w:szCs w:val="20"/>
                <w:lang w:val="en-GB"/>
              </w:rPr>
            </w:pPr>
            <w:r w:rsidRPr="0040294D">
              <w:rPr>
                <w:i/>
                <w:sz w:val="20"/>
                <w:szCs w:val="20"/>
                <w:lang w:val="en-GB"/>
              </w:rPr>
              <w:t>Acquirer HRM quality</w:t>
            </w:r>
            <w:r w:rsidRPr="0040294D">
              <w:rPr>
                <w:i/>
                <w:sz w:val="20"/>
                <w:szCs w:val="20"/>
                <w:vertAlign w:val="superscript"/>
                <w:lang w:val="en-GB"/>
              </w:rPr>
              <w:t xml:space="preserve"> b</w:t>
            </w:r>
          </w:p>
        </w:tc>
        <w:tc>
          <w:tcPr>
            <w:tcW w:w="1871" w:type="dxa"/>
            <w:tcBorders>
              <w:top w:val="single" w:sz="4" w:space="0" w:color="auto"/>
            </w:tcBorders>
            <w:vAlign w:val="center"/>
          </w:tcPr>
          <w:p w14:paraId="636F23C9" w14:textId="77777777" w:rsidR="00FD2A48" w:rsidRPr="0040294D" w:rsidRDefault="00FD2A48" w:rsidP="00377954">
            <w:pPr>
              <w:ind w:left="113"/>
              <w:rPr>
                <w:sz w:val="20"/>
                <w:szCs w:val="20"/>
                <w:lang w:val="en-GB"/>
              </w:rPr>
            </w:pPr>
            <w:r w:rsidRPr="0040294D">
              <w:rPr>
                <w:sz w:val="20"/>
                <w:szCs w:val="20"/>
                <w:lang w:val="en-GB"/>
              </w:rPr>
              <w:t xml:space="preserve">    0.47  (0.79)</w:t>
            </w:r>
          </w:p>
        </w:tc>
        <w:tc>
          <w:tcPr>
            <w:tcW w:w="1871" w:type="dxa"/>
            <w:tcBorders>
              <w:top w:val="single" w:sz="4" w:space="0" w:color="auto"/>
            </w:tcBorders>
            <w:vAlign w:val="center"/>
          </w:tcPr>
          <w:p w14:paraId="39BCB9C0" w14:textId="77777777" w:rsidR="00FD2A48" w:rsidRPr="0040294D" w:rsidRDefault="00FD2A48" w:rsidP="00377954">
            <w:pPr>
              <w:ind w:left="113"/>
              <w:rPr>
                <w:sz w:val="20"/>
                <w:szCs w:val="20"/>
                <w:lang w:val="en-GB"/>
              </w:rPr>
            </w:pPr>
            <w:r w:rsidRPr="0040294D">
              <w:rPr>
                <w:sz w:val="20"/>
                <w:szCs w:val="20"/>
                <w:lang w:val="en-GB"/>
              </w:rPr>
              <w:t xml:space="preserve"> – 0.31  (0.58)</w:t>
            </w:r>
          </w:p>
        </w:tc>
      </w:tr>
      <w:tr w:rsidR="00FD2A48" w:rsidRPr="0040294D" w14:paraId="1A72D354" w14:textId="77777777" w:rsidTr="00377954">
        <w:trPr>
          <w:trHeight w:val="227"/>
          <w:jc w:val="center"/>
        </w:trPr>
        <w:tc>
          <w:tcPr>
            <w:tcW w:w="4989" w:type="dxa"/>
            <w:noWrap/>
            <w:vAlign w:val="center"/>
          </w:tcPr>
          <w:p w14:paraId="5642A62D" w14:textId="77777777" w:rsidR="00FD2A48" w:rsidRPr="0040294D" w:rsidRDefault="00FD2A48" w:rsidP="00377954">
            <w:pPr>
              <w:ind w:left="100"/>
              <w:rPr>
                <w:i/>
                <w:iCs/>
                <w:sz w:val="20"/>
                <w:szCs w:val="20"/>
                <w:lang w:val="en-GB"/>
              </w:rPr>
            </w:pPr>
            <w:r w:rsidRPr="0040294D">
              <w:rPr>
                <w:i/>
                <w:sz w:val="20"/>
                <w:szCs w:val="20"/>
                <w:lang w:val="en-GB"/>
              </w:rPr>
              <w:t>Squared acquirer HRM quality</w:t>
            </w:r>
            <w:r w:rsidRPr="0040294D">
              <w:rPr>
                <w:i/>
                <w:sz w:val="20"/>
                <w:szCs w:val="20"/>
                <w:vertAlign w:val="superscript"/>
                <w:lang w:val="en-GB"/>
              </w:rPr>
              <w:t xml:space="preserve"> b</w:t>
            </w:r>
          </w:p>
        </w:tc>
        <w:tc>
          <w:tcPr>
            <w:tcW w:w="1871" w:type="dxa"/>
            <w:vAlign w:val="center"/>
          </w:tcPr>
          <w:p w14:paraId="55EDE5A9" w14:textId="77777777" w:rsidR="00FD2A48" w:rsidRPr="0040294D" w:rsidRDefault="00FD2A48" w:rsidP="00377954">
            <w:pPr>
              <w:ind w:left="113"/>
              <w:rPr>
                <w:sz w:val="20"/>
                <w:szCs w:val="20"/>
                <w:lang w:val="en-GB"/>
              </w:rPr>
            </w:pPr>
            <w:r w:rsidRPr="0040294D">
              <w:rPr>
                <w:sz w:val="20"/>
                <w:szCs w:val="20"/>
                <w:lang w:val="en-GB"/>
              </w:rPr>
              <w:t xml:space="preserve"> – 0.57  (1.03)</w:t>
            </w:r>
          </w:p>
        </w:tc>
        <w:tc>
          <w:tcPr>
            <w:tcW w:w="1871" w:type="dxa"/>
            <w:vAlign w:val="center"/>
          </w:tcPr>
          <w:p w14:paraId="22907204" w14:textId="77777777" w:rsidR="00FD2A48" w:rsidRPr="0040294D" w:rsidRDefault="00FD2A48" w:rsidP="00377954">
            <w:pPr>
              <w:ind w:left="113"/>
              <w:rPr>
                <w:sz w:val="20"/>
                <w:szCs w:val="20"/>
                <w:lang w:val="en-GB"/>
              </w:rPr>
            </w:pPr>
            <w:r w:rsidRPr="0040294D">
              <w:rPr>
                <w:sz w:val="20"/>
                <w:szCs w:val="20"/>
                <w:lang w:val="en-GB"/>
              </w:rPr>
              <w:t xml:space="preserve">    0.53  (0.64)</w:t>
            </w:r>
          </w:p>
        </w:tc>
      </w:tr>
      <w:tr w:rsidR="00FD2A48" w:rsidRPr="0040294D" w14:paraId="547441DA" w14:textId="77777777" w:rsidTr="00377954">
        <w:trPr>
          <w:trHeight w:val="227"/>
          <w:jc w:val="center"/>
        </w:trPr>
        <w:tc>
          <w:tcPr>
            <w:tcW w:w="4989" w:type="dxa"/>
            <w:noWrap/>
            <w:vAlign w:val="center"/>
          </w:tcPr>
          <w:p w14:paraId="4222091E" w14:textId="65A733B7" w:rsidR="00FD2A48" w:rsidRPr="0040294D" w:rsidRDefault="00FD2A48" w:rsidP="00377954">
            <w:pPr>
              <w:ind w:left="100"/>
              <w:rPr>
                <w:i/>
                <w:sz w:val="20"/>
                <w:szCs w:val="20"/>
                <w:lang w:val="en-GB"/>
              </w:rPr>
            </w:pPr>
            <w:r w:rsidRPr="0040294D">
              <w:rPr>
                <w:i/>
                <w:sz w:val="20"/>
                <w:szCs w:val="20"/>
                <w:lang w:val="en-GB"/>
              </w:rPr>
              <w:t>Acquirer financial slack</w:t>
            </w:r>
            <w:r w:rsidRPr="0040294D">
              <w:rPr>
                <w:i/>
                <w:sz w:val="20"/>
                <w:szCs w:val="20"/>
                <w:vertAlign w:val="superscript"/>
                <w:lang w:val="en-GB"/>
              </w:rPr>
              <w:t xml:space="preserve"> b</w:t>
            </w:r>
          </w:p>
        </w:tc>
        <w:tc>
          <w:tcPr>
            <w:tcW w:w="1871" w:type="dxa"/>
            <w:vAlign w:val="center"/>
          </w:tcPr>
          <w:p w14:paraId="2EC4A84E" w14:textId="77777777" w:rsidR="00FD2A48" w:rsidRPr="0040294D" w:rsidRDefault="00FD2A48" w:rsidP="00377954">
            <w:pPr>
              <w:ind w:left="113"/>
              <w:rPr>
                <w:sz w:val="20"/>
                <w:szCs w:val="20"/>
                <w:lang w:val="en-GB"/>
              </w:rPr>
            </w:pPr>
            <w:r w:rsidRPr="0040294D">
              <w:rPr>
                <w:sz w:val="20"/>
                <w:szCs w:val="20"/>
                <w:lang w:val="en-GB"/>
              </w:rPr>
              <w:t xml:space="preserve">    0.16  (0.06)**</w:t>
            </w:r>
          </w:p>
        </w:tc>
        <w:tc>
          <w:tcPr>
            <w:tcW w:w="1871" w:type="dxa"/>
            <w:vAlign w:val="center"/>
          </w:tcPr>
          <w:p w14:paraId="49797B19" w14:textId="77777777" w:rsidR="00FD2A48" w:rsidRPr="0040294D" w:rsidRDefault="00FD2A48" w:rsidP="00377954">
            <w:pPr>
              <w:ind w:left="113"/>
              <w:rPr>
                <w:sz w:val="20"/>
                <w:szCs w:val="20"/>
                <w:lang w:val="en-GB"/>
              </w:rPr>
            </w:pPr>
            <w:r w:rsidRPr="0040294D">
              <w:rPr>
                <w:sz w:val="20"/>
                <w:szCs w:val="20"/>
                <w:lang w:val="en-GB"/>
              </w:rPr>
              <w:t xml:space="preserve">    0.23  (0.07)**</w:t>
            </w:r>
          </w:p>
        </w:tc>
      </w:tr>
      <w:tr w:rsidR="00FD2A48" w:rsidRPr="0040294D" w14:paraId="56CED57B" w14:textId="77777777" w:rsidTr="00377954">
        <w:trPr>
          <w:trHeight w:val="227"/>
          <w:jc w:val="center"/>
        </w:trPr>
        <w:tc>
          <w:tcPr>
            <w:tcW w:w="4989" w:type="dxa"/>
            <w:noWrap/>
            <w:vAlign w:val="center"/>
          </w:tcPr>
          <w:p w14:paraId="0B0F24E3" w14:textId="59E1BD7C" w:rsidR="00FD2A48" w:rsidRPr="0040294D" w:rsidRDefault="00FD2A48" w:rsidP="00377954">
            <w:pPr>
              <w:ind w:left="100"/>
              <w:rPr>
                <w:i/>
                <w:sz w:val="20"/>
                <w:szCs w:val="20"/>
                <w:lang w:val="en-GB"/>
              </w:rPr>
            </w:pPr>
            <w:r w:rsidRPr="0040294D">
              <w:rPr>
                <w:i/>
                <w:sz w:val="20"/>
                <w:szCs w:val="20"/>
                <w:lang w:val="en-GB"/>
              </w:rPr>
              <w:t>Acquirer HRM quality</w:t>
            </w:r>
            <w:r w:rsidRPr="0040294D">
              <w:rPr>
                <w:i/>
                <w:sz w:val="20"/>
                <w:szCs w:val="20"/>
                <w:vertAlign w:val="superscript"/>
                <w:lang w:val="en-GB"/>
              </w:rPr>
              <w:t xml:space="preserve"> b</w:t>
            </w:r>
            <w:r w:rsidRPr="0040294D">
              <w:rPr>
                <w:i/>
                <w:sz w:val="20"/>
                <w:szCs w:val="20"/>
                <w:lang w:val="en-GB"/>
              </w:rPr>
              <w:t xml:space="preserve"> × Acquirer financial slack</w:t>
            </w:r>
            <w:r w:rsidRPr="0040294D">
              <w:rPr>
                <w:i/>
                <w:sz w:val="20"/>
                <w:szCs w:val="20"/>
                <w:vertAlign w:val="superscript"/>
                <w:lang w:val="en-GB"/>
              </w:rPr>
              <w:t xml:space="preserve"> b</w:t>
            </w:r>
          </w:p>
        </w:tc>
        <w:tc>
          <w:tcPr>
            <w:tcW w:w="1871" w:type="dxa"/>
            <w:vAlign w:val="center"/>
          </w:tcPr>
          <w:p w14:paraId="5F06C007" w14:textId="77777777" w:rsidR="00FD2A48" w:rsidRPr="0040294D" w:rsidRDefault="00FD2A48" w:rsidP="00377954">
            <w:pPr>
              <w:ind w:left="113"/>
              <w:rPr>
                <w:sz w:val="20"/>
                <w:szCs w:val="20"/>
                <w:lang w:val="en-GB"/>
              </w:rPr>
            </w:pPr>
            <w:r w:rsidRPr="0040294D">
              <w:rPr>
                <w:sz w:val="20"/>
                <w:szCs w:val="20"/>
                <w:lang w:val="en-GB"/>
              </w:rPr>
              <w:t xml:space="preserve"> – 0.57  (0.23)*</w:t>
            </w:r>
          </w:p>
        </w:tc>
        <w:tc>
          <w:tcPr>
            <w:tcW w:w="1871" w:type="dxa"/>
            <w:vAlign w:val="center"/>
          </w:tcPr>
          <w:p w14:paraId="2101A2CA" w14:textId="77777777" w:rsidR="00FD2A48" w:rsidRPr="0040294D" w:rsidRDefault="00FD2A48" w:rsidP="00377954">
            <w:pPr>
              <w:ind w:left="113"/>
              <w:rPr>
                <w:sz w:val="20"/>
                <w:szCs w:val="20"/>
                <w:lang w:val="en-GB"/>
              </w:rPr>
            </w:pPr>
            <w:r w:rsidRPr="0040294D">
              <w:rPr>
                <w:sz w:val="20"/>
                <w:szCs w:val="20"/>
                <w:lang w:val="en-GB"/>
              </w:rPr>
              <w:t xml:space="preserve"> – 1.11  (0.40)**</w:t>
            </w:r>
          </w:p>
        </w:tc>
      </w:tr>
      <w:tr w:rsidR="00FD2A48" w:rsidRPr="0040294D" w14:paraId="07826A3A" w14:textId="77777777" w:rsidTr="00377954">
        <w:trPr>
          <w:trHeight w:val="227"/>
          <w:jc w:val="center"/>
        </w:trPr>
        <w:tc>
          <w:tcPr>
            <w:tcW w:w="4989" w:type="dxa"/>
            <w:noWrap/>
            <w:vAlign w:val="center"/>
          </w:tcPr>
          <w:p w14:paraId="57E0AF11" w14:textId="15C6E25C" w:rsidR="00FD2A48" w:rsidRPr="0040294D" w:rsidRDefault="00FD2A48" w:rsidP="00377954">
            <w:pPr>
              <w:ind w:left="100"/>
              <w:rPr>
                <w:i/>
                <w:sz w:val="20"/>
                <w:szCs w:val="20"/>
                <w:lang w:val="en-GB"/>
              </w:rPr>
            </w:pPr>
            <w:r w:rsidRPr="0040294D">
              <w:rPr>
                <w:i/>
                <w:sz w:val="20"/>
                <w:szCs w:val="20"/>
                <w:lang w:val="en-GB"/>
              </w:rPr>
              <w:t>Squared acquirer HRM quality</w:t>
            </w:r>
            <w:r w:rsidRPr="0040294D">
              <w:rPr>
                <w:i/>
                <w:sz w:val="20"/>
                <w:szCs w:val="20"/>
                <w:vertAlign w:val="superscript"/>
                <w:lang w:val="en-GB"/>
              </w:rPr>
              <w:t xml:space="preserve"> b</w:t>
            </w:r>
            <w:r w:rsidRPr="0040294D">
              <w:rPr>
                <w:i/>
                <w:sz w:val="20"/>
                <w:szCs w:val="20"/>
                <w:lang w:val="en-GB"/>
              </w:rPr>
              <w:t xml:space="preserve"> × Acquirer financial slack</w:t>
            </w:r>
            <w:r w:rsidRPr="0040294D">
              <w:rPr>
                <w:i/>
                <w:sz w:val="20"/>
                <w:szCs w:val="20"/>
                <w:vertAlign w:val="superscript"/>
                <w:lang w:val="en-GB"/>
              </w:rPr>
              <w:t xml:space="preserve"> b</w:t>
            </w:r>
          </w:p>
        </w:tc>
        <w:tc>
          <w:tcPr>
            <w:tcW w:w="1871" w:type="dxa"/>
            <w:vAlign w:val="center"/>
          </w:tcPr>
          <w:p w14:paraId="61A901C8" w14:textId="77777777" w:rsidR="00FD2A48" w:rsidRPr="0040294D" w:rsidRDefault="00FD2A48" w:rsidP="00377954">
            <w:pPr>
              <w:ind w:left="113"/>
              <w:rPr>
                <w:sz w:val="20"/>
                <w:szCs w:val="20"/>
                <w:lang w:val="en-GB"/>
              </w:rPr>
            </w:pPr>
            <w:r w:rsidRPr="0040294D">
              <w:rPr>
                <w:sz w:val="20"/>
                <w:szCs w:val="20"/>
                <w:lang w:val="en-GB"/>
              </w:rPr>
              <w:t xml:space="preserve">    0.51  (0.23)*</w:t>
            </w:r>
          </w:p>
        </w:tc>
        <w:tc>
          <w:tcPr>
            <w:tcW w:w="1871" w:type="dxa"/>
            <w:vAlign w:val="center"/>
          </w:tcPr>
          <w:p w14:paraId="2BB630FF" w14:textId="77777777" w:rsidR="00FD2A48" w:rsidRPr="0040294D" w:rsidRDefault="00FD2A48" w:rsidP="00377954">
            <w:pPr>
              <w:ind w:left="113"/>
              <w:rPr>
                <w:sz w:val="20"/>
                <w:szCs w:val="20"/>
                <w:lang w:val="en-GB"/>
              </w:rPr>
            </w:pPr>
            <w:r w:rsidRPr="0040294D">
              <w:rPr>
                <w:sz w:val="20"/>
                <w:szCs w:val="20"/>
                <w:lang w:val="en-GB"/>
              </w:rPr>
              <w:t xml:space="preserve">    1.35  (0.47)**</w:t>
            </w:r>
          </w:p>
        </w:tc>
      </w:tr>
      <w:tr w:rsidR="00FD2A48" w:rsidRPr="0040294D" w14:paraId="4F366BB5" w14:textId="77777777" w:rsidTr="00377954">
        <w:trPr>
          <w:trHeight w:val="227"/>
          <w:jc w:val="center"/>
        </w:trPr>
        <w:tc>
          <w:tcPr>
            <w:tcW w:w="4989" w:type="dxa"/>
            <w:noWrap/>
            <w:vAlign w:val="center"/>
          </w:tcPr>
          <w:p w14:paraId="3131E067" w14:textId="2B7A2E61" w:rsidR="00FD2A48" w:rsidRPr="0040294D" w:rsidRDefault="00FD2A48">
            <w:pPr>
              <w:ind w:left="100"/>
              <w:rPr>
                <w:i/>
                <w:sz w:val="20"/>
                <w:szCs w:val="20"/>
                <w:lang w:val="en-GB"/>
              </w:rPr>
            </w:pPr>
            <w:r w:rsidRPr="0040294D">
              <w:rPr>
                <w:i/>
                <w:sz w:val="20"/>
                <w:szCs w:val="20"/>
                <w:lang w:val="en-GB"/>
              </w:rPr>
              <w:t xml:space="preserve">Acquirer </w:t>
            </w:r>
            <w:r w:rsidR="00735613">
              <w:rPr>
                <w:i/>
                <w:sz w:val="20"/>
                <w:szCs w:val="20"/>
                <w:lang w:val="en-GB"/>
              </w:rPr>
              <w:t>internationalization</w:t>
            </w:r>
            <w:r w:rsidR="00735613" w:rsidRPr="0040294D">
              <w:rPr>
                <w:i/>
                <w:sz w:val="20"/>
                <w:szCs w:val="20"/>
                <w:vertAlign w:val="superscript"/>
                <w:lang w:val="en-GB"/>
              </w:rPr>
              <w:t xml:space="preserve"> </w:t>
            </w:r>
            <w:r w:rsidRPr="0040294D">
              <w:rPr>
                <w:i/>
                <w:sz w:val="20"/>
                <w:szCs w:val="20"/>
                <w:vertAlign w:val="superscript"/>
                <w:lang w:val="en-GB"/>
              </w:rPr>
              <w:t>b</w:t>
            </w:r>
          </w:p>
        </w:tc>
        <w:tc>
          <w:tcPr>
            <w:tcW w:w="1871" w:type="dxa"/>
            <w:vAlign w:val="center"/>
          </w:tcPr>
          <w:p w14:paraId="617AA522" w14:textId="77777777" w:rsidR="00FD2A48" w:rsidRPr="0040294D" w:rsidRDefault="00FD2A48" w:rsidP="00377954">
            <w:pPr>
              <w:ind w:left="113"/>
              <w:rPr>
                <w:sz w:val="20"/>
                <w:szCs w:val="20"/>
                <w:lang w:val="en-GB"/>
              </w:rPr>
            </w:pPr>
            <w:r w:rsidRPr="0040294D">
              <w:rPr>
                <w:sz w:val="20"/>
                <w:szCs w:val="20"/>
                <w:lang w:val="en-GB"/>
              </w:rPr>
              <w:t xml:space="preserve"> – 0.28  (0.08)**</w:t>
            </w:r>
          </w:p>
        </w:tc>
        <w:tc>
          <w:tcPr>
            <w:tcW w:w="1871" w:type="dxa"/>
            <w:vAlign w:val="center"/>
          </w:tcPr>
          <w:p w14:paraId="391E01C3" w14:textId="77777777" w:rsidR="00FD2A48" w:rsidRPr="0040294D" w:rsidRDefault="00FD2A48" w:rsidP="00377954">
            <w:pPr>
              <w:ind w:left="113"/>
              <w:rPr>
                <w:sz w:val="20"/>
                <w:szCs w:val="20"/>
                <w:lang w:val="en-GB"/>
              </w:rPr>
            </w:pPr>
            <w:r w:rsidRPr="0040294D">
              <w:rPr>
                <w:sz w:val="20"/>
                <w:szCs w:val="20"/>
                <w:lang w:val="en-GB"/>
              </w:rPr>
              <w:t xml:space="preserve"> – 0.42  (0.19)*</w:t>
            </w:r>
          </w:p>
        </w:tc>
      </w:tr>
      <w:tr w:rsidR="00FD2A48" w:rsidRPr="0040294D" w14:paraId="7027E731" w14:textId="77777777" w:rsidTr="00377954">
        <w:trPr>
          <w:trHeight w:val="227"/>
          <w:jc w:val="center"/>
        </w:trPr>
        <w:tc>
          <w:tcPr>
            <w:tcW w:w="4989" w:type="dxa"/>
            <w:noWrap/>
            <w:vAlign w:val="center"/>
          </w:tcPr>
          <w:p w14:paraId="75CEDEBC" w14:textId="77777777" w:rsidR="00FD2A48" w:rsidRPr="0040294D" w:rsidRDefault="00FD2A48" w:rsidP="00377954">
            <w:pPr>
              <w:ind w:left="100"/>
              <w:rPr>
                <w:i/>
                <w:sz w:val="20"/>
                <w:szCs w:val="20"/>
                <w:lang w:val="en-GB"/>
              </w:rPr>
            </w:pPr>
            <w:r w:rsidRPr="0040294D">
              <w:rPr>
                <w:i/>
                <w:sz w:val="20"/>
                <w:szCs w:val="20"/>
                <w:lang w:val="en-GB"/>
              </w:rPr>
              <w:t>Acquirer experience with the US (log.)</w:t>
            </w:r>
            <w:r w:rsidRPr="0040294D">
              <w:rPr>
                <w:i/>
                <w:sz w:val="20"/>
                <w:szCs w:val="20"/>
                <w:vertAlign w:val="superscript"/>
                <w:lang w:val="en-GB"/>
              </w:rPr>
              <w:t xml:space="preserve"> b</w:t>
            </w:r>
          </w:p>
        </w:tc>
        <w:tc>
          <w:tcPr>
            <w:tcW w:w="1871" w:type="dxa"/>
            <w:vAlign w:val="center"/>
          </w:tcPr>
          <w:p w14:paraId="1C43C64A" w14:textId="77777777" w:rsidR="00FD2A48" w:rsidRPr="0040294D" w:rsidRDefault="00FD2A48" w:rsidP="00377954">
            <w:pPr>
              <w:ind w:left="113"/>
              <w:rPr>
                <w:sz w:val="20"/>
                <w:szCs w:val="20"/>
                <w:lang w:val="en-GB"/>
              </w:rPr>
            </w:pPr>
            <w:r w:rsidRPr="0040294D">
              <w:rPr>
                <w:sz w:val="20"/>
                <w:szCs w:val="20"/>
                <w:lang w:val="en-GB"/>
              </w:rPr>
              <w:t xml:space="preserve">    0.66  (0.29)*</w:t>
            </w:r>
          </w:p>
        </w:tc>
        <w:tc>
          <w:tcPr>
            <w:tcW w:w="1871" w:type="dxa"/>
            <w:vAlign w:val="center"/>
          </w:tcPr>
          <w:p w14:paraId="6F1ABF40" w14:textId="77777777" w:rsidR="00FD2A48" w:rsidRPr="0040294D" w:rsidRDefault="00FD2A48" w:rsidP="00377954">
            <w:pPr>
              <w:ind w:left="113"/>
              <w:rPr>
                <w:sz w:val="20"/>
                <w:szCs w:val="20"/>
                <w:lang w:val="en-GB"/>
              </w:rPr>
            </w:pPr>
            <w:r w:rsidRPr="0040294D">
              <w:rPr>
                <w:sz w:val="20"/>
                <w:szCs w:val="20"/>
                <w:lang w:val="en-GB"/>
              </w:rPr>
              <w:t xml:space="preserve"> – 0.05  (0.22)</w:t>
            </w:r>
          </w:p>
        </w:tc>
      </w:tr>
      <w:tr w:rsidR="00FD2A48" w:rsidRPr="0040294D" w14:paraId="7CA347DD" w14:textId="77777777" w:rsidTr="00377954">
        <w:trPr>
          <w:trHeight w:val="227"/>
          <w:jc w:val="center"/>
        </w:trPr>
        <w:tc>
          <w:tcPr>
            <w:tcW w:w="4989" w:type="dxa"/>
            <w:noWrap/>
            <w:vAlign w:val="center"/>
          </w:tcPr>
          <w:p w14:paraId="45DD4733" w14:textId="77777777" w:rsidR="00FD2A48" w:rsidRPr="0040294D" w:rsidRDefault="00FD2A48" w:rsidP="00377954">
            <w:pPr>
              <w:ind w:left="100"/>
              <w:rPr>
                <w:i/>
                <w:sz w:val="20"/>
                <w:szCs w:val="20"/>
                <w:lang w:val="en-GB"/>
              </w:rPr>
            </w:pPr>
            <w:r w:rsidRPr="0040294D">
              <w:rPr>
                <w:i/>
                <w:sz w:val="20"/>
                <w:szCs w:val="20"/>
                <w:lang w:val="en-GB"/>
              </w:rPr>
              <w:t>Acquirer experience with US acquisitions (log.)</w:t>
            </w:r>
            <w:r w:rsidRPr="0040294D">
              <w:rPr>
                <w:i/>
                <w:sz w:val="20"/>
                <w:szCs w:val="20"/>
                <w:vertAlign w:val="superscript"/>
                <w:lang w:val="en-GB"/>
              </w:rPr>
              <w:t xml:space="preserve"> b</w:t>
            </w:r>
          </w:p>
        </w:tc>
        <w:tc>
          <w:tcPr>
            <w:tcW w:w="1871" w:type="dxa"/>
            <w:vAlign w:val="center"/>
          </w:tcPr>
          <w:p w14:paraId="550147DE" w14:textId="77777777" w:rsidR="00FD2A48" w:rsidRPr="0040294D" w:rsidRDefault="00FD2A48" w:rsidP="00377954">
            <w:pPr>
              <w:ind w:left="113"/>
              <w:rPr>
                <w:sz w:val="20"/>
                <w:szCs w:val="20"/>
                <w:lang w:val="en-GB"/>
              </w:rPr>
            </w:pPr>
            <w:r w:rsidRPr="0040294D">
              <w:rPr>
                <w:sz w:val="20"/>
                <w:szCs w:val="20"/>
                <w:lang w:val="en-GB"/>
              </w:rPr>
              <w:t xml:space="preserve"> – 0.20  (0.10)</w:t>
            </w:r>
            <w:r w:rsidRPr="0040294D">
              <w:rPr>
                <w:sz w:val="20"/>
                <w:szCs w:val="20"/>
                <w:vertAlign w:val="superscript"/>
                <w:lang w:val="en-GB"/>
              </w:rPr>
              <w:t xml:space="preserve"> †</w:t>
            </w:r>
          </w:p>
        </w:tc>
        <w:tc>
          <w:tcPr>
            <w:tcW w:w="1871" w:type="dxa"/>
            <w:vAlign w:val="center"/>
          </w:tcPr>
          <w:p w14:paraId="2D2EEF69" w14:textId="77777777" w:rsidR="00FD2A48" w:rsidRPr="0040294D" w:rsidRDefault="00FD2A48" w:rsidP="00377954">
            <w:pPr>
              <w:ind w:left="113"/>
              <w:rPr>
                <w:sz w:val="20"/>
                <w:szCs w:val="20"/>
                <w:lang w:val="en-GB"/>
              </w:rPr>
            </w:pPr>
            <w:r w:rsidRPr="0040294D">
              <w:rPr>
                <w:sz w:val="20"/>
                <w:szCs w:val="20"/>
                <w:lang w:val="en-GB"/>
              </w:rPr>
              <w:t xml:space="preserve"> – 0.19  (0.13)</w:t>
            </w:r>
          </w:p>
        </w:tc>
      </w:tr>
      <w:tr w:rsidR="00FD2A48" w:rsidRPr="0040294D" w14:paraId="6CC68F55" w14:textId="77777777" w:rsidTr="00377954">
        <w:trPr>
          <w:trHeight w:val="227"/>
          <w:jc w:val="center"/>
        </w:trPr>
        <w:tc>
          <w:tcPr>
            <w:tcW w:w="4989" w:type="dxa"/>
            <w:noWrap/>
            <w:vAlign w:val="center"/>
          </w:tcPr>
          <w:p w14:paraId="1F08D662" w14:textId="77777777" w:rsidR="00FD2A48" w:rsidRPr="0040294D" w:rsidRDefault="00FD2A48" w:rsidP="00377954">
            <w:pPr>
              <w:ind w:left="100"/>
              <w:rPr>
                <w:i/>
                <w:sz w:val="20"/>
                <w:szCs w:val="20"/>
                <w:lang w:val="en-GB"/>
              </w:rPr>
            </w:pPr>
            <w:r w:rsidRPr="0040294D">
              <w:rPr>
                <w:i/>
                <w:sz w:val="20"/>
                <w:szCs w:val="20"/>
                <w:lang w:val="en-GB"/>
              </w:rPr>
              <w:t>Acquirer experience with US divestments (log.)</w:t>
            </w:r>
            <w:r w:rsidRPr="0040294D">
              <w:rPr>
                <w:i/>
                <w:sz w:val="20"/>
                <w:szCs w:val="20"/>
                <w:vertAlign w:val="superscript"/>
                <w:lang w:val="en-GB"/>
              </w:rPr>
              <w:t xml:space="preserve"> b</w:t>
            </w:r>
          </w:p>
        </w:tc>
        <w:tc>
          <w:tcPr>
            <w:tcW w:w="1871" w:type="dxa"/>
            <w:vAlign w:val="center"/>
          </w:tcPr>
          <w:p w14:paraId="31153310" w14:textId="77777777" w:rsidR="00FD2A48" w:rsidRPr="0040294D" w:rsidRDefault="00FD2A48" w:rsidP="00377954">
            <w:pPr>
              <w:ind w:left="113"/>
              <w:rPr>
                <w:sz w:val="20"/>
                <w:szCs w:val="20"/>
                <w:lang w:val="en-GB"/>
              </w:rPr>
            </w:pPr>
            <w:r w:rsidRPr="0040294D">
              <w:rPr>
                <w:sz w:val="20"/>
                <w:szCs w:val="20"/>
                <w:lang w:val="en-GB"/>
              </w:rPr>
              <w:t xml:space="preserve">    0.13  (0.09)</w:t>
            </w:r>
          </w:p>
        </w:tc>
        <w:tc>
          <w:tcPr>
            <w:tcW w:w="1871" w:type="dxa"/>
            <w:vAlign w:val="center"/>
          </w:tcPr>
          <w:p w14:paraId="1554AEE7" w14:textId="77777777" w:rsidR="00FD2A48" w:rsidRPr="0040294D" w:rsidRDefault="00FD2A48" w:rsidP="00377954">
            <w:pPr>
              <w:ind w:left="113"/>
              <w:rPr>
                <w:sz w:val="20"/>
                <w:szCs w:val="20"/>
                <w:lang w:val="en-GB"/>
              </w:rPr>
            </w:pPr>
            <w:r w:rsidRPr="0040294D">
              <w:rPr>
                <w:sz w:val="20"/>
                <w:szCs w:val="20"/>
                <w:lang w:val="en-GB"/>
              </w:rPr>
              <w:t xml:space="preserve">    0.24  (0.09)*</w:t>
            </w:r>
          </w:p>
        </w:tc>
      </w:tr>
      <w:tr w:rsidR="00FD2A48" w:rsidRPr="0040294D" w14:paraId="249BA86C" w14:textId="77777777" w:rsidTr="00377954">
        <w:trPr>
          <w:trHeight w:val="227"/>
          <w:jc w:val="center"/>
        </w:trPr>
        <w:tc>
          <w:tcPr>
            <w:tcW w:w="4989" w:type="dxa"/>
            <w:noWrap/>
            <w:vAlign w:val="center"/>
          </w:tcPr>
          <w:p w14:paraId="1875B1A8" w14:textId="77777777" w:rsidR="00FD2A48" w:rsidRPr="0040294D" w:rsidRDefault="00FD2A48" w:rsidP="00377954">
            <w:pPr>
              <w:ind w:left="100"/>
              <w:rPr>
                <w:i/>
                <w:iCs/>
                <w:sz w:val="20"/>
                <w:szCs w:val="20"/>
                <w:lang w:val="en-GB"/>
              </w:rPr>
            </w:pPr>
            <w:r w:rsidRPr="0040294D">
              <w:rPr>
                <w:i/>
                <w:sz w:val="20"/>
                <w:szCs w:val="20"/>
                <w:lang w:val="en-GB"/>
              </w:rPr>
              <w:t>Acquirer ROA</w:t>
            </w:r>
            <w:r w:rsidRPr="0040294D">
              <w:rPr>
                <w:i/>
                <w:sz w:val="20"/>
                <w:szCs w:val="20"/>
                <w:vertAlign w:val="superscript"/>
                <w:lang w:val="en-GB"/>
              </w:rPr>
              <w:t xml:space="preserve"> b</w:t>
            </w:r>
          </w:p>
        </w:tc>
        <w:tc>
          <w:tcPr>
            <w:tcW w:w="1871" w:type="dxa"/>
            <w:vAlign w:val="center"/>
          </w:tcPr>
          <w:p w14:paraId="762D4495" w14:textId="77777777" w:rsidR="00FD2A48" w:rsidRPr="0040294D" w:rsidRDefault="00FD2A48" w:rsidP="00377954">
            <w:pPr>
              <w:ind w:left="113"/>
              <w:rPr>
                <w:sz w:val="20"/>
                <w:szCs w:val="20"/>
                <w:lang w:val="en-GB"/>
              </w:rPr>
            </w:pPr>
            <w:r w:rsidRPr="0040294D">
              <w:rPr>
                <w:sz w:val="20"/>
                <w:szCs w:val="20"/>
                <w:lang w:val="en-GB"/>
              </w:rPr>
              <w:t xml:space="preserve"> – 0.48  (0.31)</w:t>
            </w:r>
          </w:p>
        </w:tc>
        <w:tc>
          <w:tcPr>
            <w:tcW w:w="1871" w:type="dxa"/>
            <w:vAlign w:val="center"/>
          </w:tcPr>
          <w:p w14:paraId="41ACFE11" w14:textId="77777777" w:rsidR="00FD2A48" w:rsidRPr="0040294D" w:rsidRDefault="00FD2A48" w:rsidP="00377954">
            <w:pPr>
              <w:ind w:left="113"/>
              <w:rPr>
                <w:sz w:val="20"/>
                <w:szCs w:val="20"/>
                <w:lang w:val="en-GB"/>
              </w:rPr>
            </w:pPr>
            <w:r w:rsidRPr="0040294D">
              <w:rPr>
                <w:sz w:val="20"/>
                <w:szCs w:val="20"/>
                <w:lang w:val="en-GB"/>
              </w:rPr>
              <w:t xml:space="preserve"> – 0.97  (0.42)*</w:t>
            </w:r>
          </w:p>
        </w:tc>
      </w:tr>
      <w:tr w:rsidR="00FD2A48" w:rsidRPr="0040294D" w14:paraId="49F90F41" w14:textId="77777777" w:rsidTr="00377954">
        <w:trPr>
          <w:trHeight w:val="227"/>
          <w:jc w:val="center"/>
        </w:trPr>
        <w:tc>
          <w:tcPr>
            <w:tcW w:w="4989" w:type="dxa"/>
            <w:noWrap/>
            <w:vAlign w:val="center"/>
          </w:tcPr>
          <w:p w14:paraId="0298ED56" w14:textId="77777777" w:rsidR="00FD2A48" w:rsidRPr="0040294D" w:rsidRDefault="00FD2A48" w:rsidP="00377954">
            <w:pPr>
              <w:ind w:left="100"/>
              <w:rPr>
                <w:i/>
                <w:sz w:val="20"/>
                <w:szCs w:val="20"/>
                <w:lang w:val="en-GB"/>
              </w:rPr>
            </w:pPr>
            <w:r w:rsidRPr="0040294D">
              <w:rPr>
                <w:i/>
                <w:sz w:val="20"/>
                <w:szCs w:val="20"/>
                <w:lang w:val="en-GB"/>
              </w:rPr>
              <w:t>Acquirer CEO change</w:t>
            </w:r>
          </w:p>
        </w:tc>
        <w:tc>
          <w:tcPr>
            <w:tcW w:w="1871" w:type="dxa"/>
            <w:vAlign w:val="center"/>
          </w:tcPr>
          <w:p w14:paraId="3FD5B543" w14:textId="77777777" w:rsidR="00FD2A48" w:rsidRPr="0040294D" w:rsidRDefault="00FD2A48" w:rsidP="00377954">
            <w:pPr>
              <w:ind w:left="113"/>
              <w:rPr>
                <w:sz w:val="20"/>
                <w:szCs w:val="20"/>
                <w:lang w:val="en-GB"/>
              </w:rPr>
            </w:pPr>
            <w:r w:rsidRPr="0040294D">
              <w:rPr>
                <w:sz w:val="20"/>
                <w:szCs w:val="20"/>
                <w:lang w:val="en-GB"/>
              </w:rPr>
              <w:t xml:space="preserve">    1.18  (0.45)**</w:t>
            </w:r>
          </w:p>
        </w:tc>
        <w:tc>
          <w:tcPr>
            <w:tcW w:w="1871" w:type="dxa"/>
            <w:vAlign w:val="center"/>
          </w:tcPr>
          <w:p w14:paraId="0497ADF4" w14:textId="77777777" w:rsidR="00FD2A48" w:rsidRPr="0040294D" w:rsidRDefault="00FD2A48" w:rsidP="00377954">
            <w:pPr>
              <w:ind w:left="113"/>
              <w:rPr>
                <w:sz w:val="20"/>
                <w:szCs w:val="20"/>
                <w:lang w:val="en-GB"/>
              </w:rPr>
            </w:pPr>
            <w:r w:rsidRPr="0040294D">
              <w:rPr>
                <w:sz w:val="20"/>
                <w:szCs w:val="20"/>
                <w:lang w:val="en-GB"/>
              </w:rPr>
              <w:t xml:space="preserve">    1.55  (0.48)**</w:t>
            </w:r>
          </w:p>
        </w:tc>
      </w:tr>
      <w:tr w:rsidR="00FD2A48" w:rsidRPr="0040294D" w14:paraId="77F082FF" w14:textId="77777777" w:rsidTr="00377954">
        <w:trPr>
          <w:trHeight w:val="227"/>
          <w:jc w:val="center"/>
        </w:trPr>
        <w:tc>
          <w:tcPr>
            <w:tcW w:w="4989" w:type="dxa"/>
            <w:noWrap/>
            <w:vAlign w:val="center"/>
          </w:tcPr>
          <w:p w14:paraId="72CB117E" w14:textId="77777777" w:rsidR="00FD2A48" w:rsidRPr="0040294D" w:rsidRDefault="00FD2A48" w:rsidP="00377954">
            <w:pPr>
              <w:ind w:left="100"/>
              <w:rPr>
                <w:i/>
                <w:sz w:val="20"/>
                <w:szCs w:val="20"/>
                <w:lang w:val="en-GB"/>
              </w:rPr>
            </w:pPr>
            <w:r w:rsidRPr="0040294D">
              <w:rPr>
                <w:i/>
                <w:sz w:val="20"/>
                <w:szCs w:val="20"/>
                <w:lang w:val="en-GB"/>
              </w:rPr>
              <w:t>Relative size</w:t>
            </w:r>
          </w:p>
        </w:tc>
        <w:tc>
          <w:tcPr>
            <w:tcW w:w="1871" w:type="dxa"/>
            <w:vAlign w:val="center"/>
          </w:tcPr>
          <w:p w14:paraId="736B09A7" w14:textId="77777777" w:rsidR="00FD2A48" w:rsidRPr="0040294D" w:rsidRDefault="00FD2A48" w:rsidP="00377954">
            <w:pPr>
              <w:ind w:left="113"/>
              <w:rPr>
                <w:sz w:val="20"/>
                <w:szCs w:val="20"/>
                <w:lang w:val="en-GB"/>
              </w:rPr>
            </w:pPr>
            <w:r w:rsidRPr="0040294D">
              <w:rPr>
                <w:sz w:val="20"/>
                <w:szCs w:val="20"/>
                <w:lang w:val="en-GB"/>
              </w:rPr>
              <w:t xml:space="preserve">    0.95  (2.10)</w:t>
            </w:r>
          </w:p>
        </w:tc>
        <w:tc>
          <w:tcPr>
            <w:tcW w:w="1871" w:type="dxa"/>
            <w:vAlign w:val="center"/>
          </w:tcPr>
          <w:p w14:paraId="6C5E47AC" w14:textId="77777777" w:rsidR="00FD2A48" w:rsidRPr="0040294D" w:rsidRDefault="00FD2A48" w:rsidP="00377954">
            <w:pPr>
              <w:ind w:left="113"/>
              <w:rPr>
                <w:sz w:val="20"/>
                <w:szCs w:val="20"/>
                <w:lang w:val="en-GB"/>
              </w:rPr>
            </w:pPr>
            <w:r w:rsidRPr="0040294D">
              <w:rPr>
                <w:sz w:val="20"/>
                <w:szCs w:val="20"/>
                <w:lang w:val="en-GB"/>
              </w:rPr>
              <w:t xml:space="preserve">    0.05  (0.03)</w:t>
            </w:r>
            <w:r w:rsidRPr="0040294D">
              <w:rPr>
                <w:sz w:val="20"/>
                <w:szCs w:val="20"/>
                <w:vertAlign w:val="superscript"/>
                <w:lang w:val="en-GB"/>
              </w:rPr>
              <w:t xml:space="preserve"> †</w:t>
            </w:r>
          </w:p>
        </w:tc>
      </w:tr>
      <w:tr w:rsidR="00FD2A48" w:rsidRPr="0040294D" w14:paraId="42C6E528" w14:textId="77777777" w:rsidTr="00377954">
        <w:trPr>
          <w:trHeight w:val="227"/>
          <w:jc w:val="center"/>
        </w:trPr>
        <w:tc>
          <w:tcPr>
            <w:tcW w:w="4989" w:type="dxa"/>
            <w:noWrap/>
            <w:vAlign w:val="center"/>
          </w:tcPr>
          <w:p w14:paraId="60DE7808" w14:textId="77777777" w:rsidR="00FD2A48" w:rsidRPr="0040294D" w:rsidRDefault="00FD2A48" w:rsidP="00377954">
            <w:pPr>
              <w:ind w:left="100"/>
              <w:rPr>
                <w:i/>
                <w:sz w:val="20"/>
                <w:szCs w:val="20"/>
                <w:lang w:val="en-GB"/>
              </w:rPr>
            </w:pPr>
            <w:r w:rsidRPr="0040294D">
              <w:rPr>
                <w:i/>
                <w:sz w:val="20"/>
                <w:szCs w:val="20"/>
                <w:lang w:val="en-GB"/>
              </w:rPr>
              <w:t>Transaction price (log.)</w:t>
            </w:r>
          </w:p>
        </w:tc>
        <w:tc>
          <w:tcPr>
            <w:tcW w:w="1871" w:type="dxa"/>
            <w:vAlign w:val="center"/>
          </w:tcPr>
          <w:p w14:paraId="51AFAD70" w14:textId="77777777" w:rsidR="00FD2A48" w:rsidRPr="0040294D" w:rsidRDefault="00FD2A48" w:rsidP="00377954">
            <w:pPr>
              <w:ind w:left="113"/>
              <w:rPr>
                <w:sz w:val="20"/>
                <w:szCs w:val="20"/>
                <w:lang w:val="en-GB"/>
              </w:rPr>
            </w:pPr>
            <w:r w:rsidRPr="0040294D">
              <w:rPr>
                <w:sz w:val="20"/>
                <w:szCs w:val="20"/>
                <w:lang w:val="en-GB"/>
              </w:rPr>
              <w:t xml:space="preserve">    0.02  (0.30)</w:t>
            </w:r>
          </w:p>
        </w:tc>
        <w:tc>
          <w:tcPr>
            <w:tcW w:w="1871" w:type="dxa"/>
            <w:vAlign w:val="center"/>
          </w:tcPr>
          <w:p w14:paraId="5B9D760E" w14:textId="77777777" w:rsidR="00FD2A48" w:rsidRPr="0040294D" w:rsidRDefault="00FD2A48" w:rsidP="00377954">
            <w:pPr>
              <w:ind w:left="113"/>
              <w:rPr>
                <w:sz w:val="20"/>
                <w:szCs w:val="20"/>
                <w:lang w:val="en-GB"/>
              </w:rPr>
            </w:pPr>
            <w:r w:rsidRPr="0040294D">
              <w:rPr>
                <w:sz w:val="20"/>
                <w:szCs w:val="20"/>
                <w:lang w:val="en-GB"/>
              </w:rPr>
              <w:t xml:space="preserve"> – 0.10  (0.22)</w:t>
            </w:r>
          </w:p>
        </w:tc>
      </w:tr>
      <w:tr w:rsidR="00FD2A48" w:rsidRPr="0040294D" w14:paraId="6C7760D0" w14:textId="77777777" w:rsidTr="00377954">
        <w:trPr>
          <w:trHeight w:val="227"/>
          <w:jc w:val="center"/>
        </w:trPr>
        <w:tc>
          <w:tcPr>
            <w:tcW w:w="4989" w:type="dxa"/>
            <w:noWrap/>
            <w:vAlign w:val="center"/>
          </w:tcPr>
          <w:p w14:paraId="635202DA" w14:textId="77777777" w:rsidR="00FD2A48" w:rsidRPr="0040294D" w:rsidRDefault="00FD2A48" w:rsidP="00377954">
            <w:pPr>
              <w:ind w:left="100"/>
              <w:rPr>
                <w:i/>
                <w:sz w:val="20"/>
                <w:szCs w:val="20"/>
                <w:lang w:val="en-GB"/>
              </w:rPr>
            </w:pPr>
            <w:r w:rsidRPr="0040294D">
              <w:rPr>
                <w:i/>
                <w:sz w:val="20"/>
                <w:szCs w:val="20"/>
                <w:lang w:val="en-GB"/>
              </w:rPr>
              <w:t>Acquirer-to-acquired firm relatedness</w:t>
            </w:r>
          </w:p>
        </w:tc>
        <w:tc>
          <w:tcPr>
            <w:tcW w:w="1871" w:type="dxa"/>
            <w:vAlign w:val="center"/>
          </w:tcPr>
          <w:p w14:paraId="5C443E6F" w14:textId="77777777" w:rsidR="00FD2A48" w:rsidRPr="0040294D" w:rsidRDefault="00FD2A48" w:rsidP="00377954">
            <w:pPr>
              <w:ind w:left="113"/>
              <w:rPr>
                <w:sz w:val="20"/>
                <w:szCs w:val="20"/>
                <w:lang w:val="en-GB"/>
              </w:rPr>
            </w:pPr>
            <w:r w:rsidRPr="0040294D">
              <w:rPr>
                <w:sz w:val="20"/>
                <w:szCs w:val="20"/>
                <w:lang w:val="en-GB"/>
              </w:rPr>
              <w:t xml:space="preserve"> – 0.30  (0.33)</w:t>
            </w:r>
          </w:p>
        </w:tc>
        <w:tc>
          <w:tcPr>
            <w:tcW w:w="1871" w:type="dxa"/>
            <w:vAlign w:val="center"/>
          </w:tcPr>
          <w:p w14:paraId="411C0EFA" w14:textId="77777777" w:rsidR="00FD2A48" w:rsidRPr="0040294D" w:rsidRDefault="00FD2A48" w:rsidP="00377954">
            <w:pPr>
              <w:ind w:left="113"/>
              <w:rPr>
                <w:sz w:val="20"/>
                <w:szCs w:val="20"/>
                <w:lang w:val="en-GB"/>
              </w:rPr>
            </w:pPr>
            <w:r w:rsidRPr="0040294D">
              <w:rPr>
                <w:sz w:val="20"/>
                <w:szCs w:val="20"/>
                <w:lang w:val="en-GB"/>
              </w:rPr>
              <w:t xml:space="preserve"> – 0.16  (0.45)</w:t>
            </w:r>
          </w:p>
        </w:tc>
      </w:tr>
      <w:tr w:rsidR="00FD2A48" w:rsidRPr="0040294D" w14:paraId="34BB7F0A" w14:textId="77777777" w:rsidTr="00377954">
        <w:trPr>
          <w:trHeight w:val="227"/>
          <w:jc w:val="center"/>
        </w:trPr>
        <w:tc>
          <w:tcPr>
            <w:tcW w:w="4989" w:type="dxa"/>
            <w:noWrap/>
            <w:vAlign w:val="center"/>
          </w:tcPr>
          <w:p w14:paraId="3AC9FD28" w14:textId="77777777" w:rsidR="00FD2A48" w:rsidRPr="0040294D" w:rsidRDefault="00FD2A48" w:rsidP="00377954">
            <w:pPr>
              <w:ind w:left="100"/>
              <w:rPr>
                <w:i/>
                <w:iCs/>
                <w:sz w:val="20"/>
                <w:szCs w:val="20"/>
                <w:lang w:val="en-GB"/>
              </w:rPr>
            </w:pPr>
            <w:r w:rsidRPr="0040294D">
              <w:rPr>
                <w:i/>
                <w:iCs/>
                <w:sz w:val="20"/>
                <w:szCs w:val="20"/>
                <w:lang w:val="en-GB"/>
              </w:rPr>
              <w:t>Acquired firm industry effects</w:t>
            </w:r>
          </w:p>
        </w:tc>
        <w:tc>
          <w:tcPr>
            <w:tcW w:w="1871" w:type="dxa"/>
            <w:vAlign w:val="center"/>
          </w:tcPr>
          <w:p w14:paraId="7201A917"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871" w:type="dxa"/>
            <w:vAlign w:val="center"/>
          </w:tcPr>
          <w:p w14:paraId="44C0D516" w14:textId="77777777" w:rsidR="00FD2A48" w:rsidRPr="0040294D" w:rsidRDefault="00FD2A48" w:rsidP="00377954">
            <w:pPr>
              <w:ind w:left="113"/>
              <w:jc w:val="center"/>
              <w:rPr>
                <w:sz w:val="20"/>
                <w:szCs w:val="20"/>
                <w:lang w:val="en-GB"/>
              </w:rPr>
            </w:pPr>
            <w:r w:rsidRPr="0040294D">
              <w:rPr>
                <w:sz w:val="20"/>
                <w:szCs w:val="20"/>
                <w:lang w:val="en-GB"/>
              </w:rPr>
              <w:t>Yes</w:t>
            </w:r>
          </w:p>
        </w:tc>
      </w:tr>
      <w:tr w:rsidR="00FD2A48" w:rsidRPr="0040294D" w14:paraId="2C759738" w14:textId="77777777" w:rsidTr="00377954">
        <w:trPr>
          <w:trHeight w:val="227"/>
          <w:jc w:val="center"/>
        </w:trPr>
        <w:tc>
          <w:tcPr>
            <w:tcW w:w="4989" w:type="dxa"/>
            <w:noWrap/>
            <w:vAlign w:val="center"/>
          </w:tcPr>
          <w:p w14:paraId="18057881" w14:textId="77777777" w:rsidR="00FD2A48" w:rsidRPr="0040294D" w:rsidRDefault="00FD2A48" w:rsidP="00377954">
            <w:pPr>
              <w:ind w:left="100"/>
              <w:rPr>
                <w:i/>
                <w:iCs/>
                <w:sz w:val="20"/>
                <w:szCs w:val="20"/>
                <w:lang w:val="en-GB"/>
              </w:rPr>
            </w:pPr>
            <w:r w:rsidRPr="0040294D">
              <w:rPr>
                <w:i/>
                <w:iCs/>
                <w:sz w:val="20"/>
                <w:szCs w:val="20"/>
                <w:lang w:val="en-GB"/>
              </w:rPr>
              <w:t>Acquisition year effects</w:t>
            </w:r>
          </w:p>
        </w:tc>
        <w:tc>
          <w:tcPr>
            <w:tcW w:w="1871" w:type="dxa"/>
            <w:vAlign w:val="center"/>
          </w:tcPr>
          <w:p w14:paraId="24ECA67C" w14:textId="77777777" w:rsidR="00FD2A48" w:rsidRPr="0040294D" w:rsidRDefault="00FD2A48" w:rsidP="00377954">
            <w:pPr>
              <w:ind w:left="113"/>
              <w:jc w:val="center"/>
              <w:rPr>
                <w:sz w:val="20"/>
                <w:szCs w:val="20"/>
                <w:lang w:val="en-GB"/>
              </w:rPr>
            </w:pPr>
            <w:r w:rsidRPr="0040294D">
              <w:rPr>
                <w:sz w:val="20"/>
                <w:szCs w:val="20"/>
                <w:lang w:val="en-GB"/>
              </w:rPr>
              <w:t>Yes</w:t>
            </w:r>
          </w:p>
        </w:tc>
        <w:tc>
          <w:tcPr>
            <w:tcW w:w="1871" w:type="dxa"/>
            <w:vAlign w:val="center"/>
          </w:tcPr>
          <w:p w14:paraId="25BBB0AD" w14:textId="77777777" w:rsidR="00FD2A48" w:rsidRPr="0040294D" w:rsidRDefault="00FD2A48" w:rsidP="00377954">
            <w:pPr>
              <w:ind w:left="113"/>
              <w:jc w:val="center"/>
              <w:rPr>
                <w:sz w:val="20"/>
                <w:szCs w:val="20"/>
                <w:lang w:val="en-GB"/>
              </w:rPr>
            </w:pPr>
            <w:r w:rsidRPr="0040294D">
              <w:rPr>
                <w:sz w:val="20"/>
                <w:szCs w:val="20"/>
                <w:lang w:val="en-GB"/>
              </w:rPr>
              <w:t>Yes</w:t>
            </w:r>
          </w:p>
        </w:tc>
      </w:tr>
      <w:tr w:rsidR="00FD2A48" w:rsidRPr="0040294D" w14:paraId="170DED69" w14:textId="77777777" w:rsidTr="00377954">
        <w:trPr>
          <w:trHeight w:val="227"/>
          <w:jc w:val="center"/>
        </w:trPr>
        <w:tc>
          <w:tcPr>
            <w:tcW w:w="4989" w:type="dxa"/>
            <w:tcBorders>
              <w:top w:val="single" w:sz="4" w:space="0" w:color="auto"/>
              <w:bottom w:val="single" w:sz="4" w:space="0" w:color="auto"/>
            </w:tcBorders>
            <w:noWrap/>
            <w:vAlign w:val="center"/>
          </w:tcPr>
          <w:p w14:paraId="363705ED" w14:textId="77777777" w:rsidR="00FD2A48" w:rsidRPr="0040294D" w:rsidRDefault="00FD2A48" w:rsidP="00377954">
            <w:pPr>
              <w:ind w:left="100"/>
              <w:rPr>
                <w:i/>
                <w:iCs/>
                <w:sz w:val="20"/>
                <w:szCs w:val="20"/>
                <w:lang w:val="en-GB"/>
              </w:rPr>
            </w:pPr>
            <w:r w:rsidRPr="0040294D">
              <w:rPr>
                <w:i/>
                <w:iCs/>
                <w:sz w:val="20"/>
                <w:szCs w:val="20"/>
                <w:lang w:val="en-GB"/>
              </w:rPr>
              <w:t>Log pseudo-likelihood</w:t>
            </w:r>
          </w:p>
        </w:tc>
        <w:tc>
          <w:tcPr>
            <w:tcW w:w="1871" w:type="dxa"/>
            <w:tcBorders>
              <w:top w:val="single" w:sz="4" w:space="0" w:color="auto"/>
              <w:bottom w:val="single" w:sz="4" w:space="0" w:color="auto"/>
            </w:tcBorders>
            <w:vAlign w:val="center"/>
          </w:tcPr>
          <w:p w14:paraId="77EB32FB" w14:textId="77777777" w:rsidR="00FD2A48" w:rsidRPr="0040294D" w:rsidRDefault="00FD2A48" w:rsidP="00377954">
            <w:pPr>
              <w:ind w:left="57"/>
              <w:jc w:val="center"/>
              <w:rPr>
                <w:sz w:val="20"/>
                <w:szCs w:val="20"/>
                <w:lang w:val="en-GB"/>
              </w:rPr>
            </w:pPr>
            <w:r w:rsidRPr="0040294D">
              <w:rPr>
                <w:sz w:val="20"/>
                <w:szCs w:val="20"/>
                <w:lang w:val="en-GB"/>
              </w:rPr>
              <w:t>– 259.53***</w:t>
            </w:r>
          </w:p>
        </w:tc>
        <w:tc>
          <w:tcPr>
            <w:tcW w:w="1871" w:type="dxa"/>
            <w:tcBorders>
              <w:top w:val="single" w:sz="4" w:space="0" w:color="auto"/>
              <w:bottom w:val="single" w:sz="4" w:space="0" w:color="auto"/>
            </w:tcBorders>
            <w:vAlign w:val="center"/>
          </w:tcPr>
          <w:p w14:paraId="150FB7E1" w14:textId="77777777" w:rsidR="00FD2A48" w:rsidRPr="0040294D" w:rsidRDefault="00FD2A48" w:rsidP="00377954">
            <w:pPr>
              <w:ind w:left="57"/>
              <w:jc w:val="center"/>
              <w:rPr>
                <w:sz w:val="20"/>
                <w:szCs w:val="20"/>
                <w:lang w:val="en-GB"/>
              </w:rPr>
            </w:pPr>
            <w:r w:rsidRPr="0040294D">
              <w:rPr>
                <w:sz w:val="20"/>
                <w:szCs w:val="20"/>
                <w:lang w:val="en-GB"/>
              </w:rPr>
              <w:t>– 251.98***</w:t>
            </w:r>
          </w:p>
        </w:tc>
      </w:tr>
      <w:tr w:rsidR="00FD2A48" w:rsidRPr="0040294D" w14:paraId="10FE2607" w14:textId="77777777" w:rsidTr="00377954">
        <w:trPr>
          <w:trHeight w:val="227"/>
          <w:jc w:val="center"/>
        </w:trPr>
        <w:tc>
          <w:tcPr>
            <w:tcW w:w="4989" w:type="dxa"/>
            <w:tcBorders>
              <w:top w:val="single" w:sz="4" w:space="0" w:color="auto"/>
              <w:bottom w:val="single" w:sz="4" w:space="0" w:color="auto"/>
            </w:tcBorders>
            <w:noWrap/>
            <w:vAlign w:val="center"/>
          </w:tcPr>
          <w:p w14:paraId="0C59913E" w14:textId="77777777" w:rsidR="00FD2A48" w:rsidRPr="0040294D" w:rsidRDefault="00FD2A48" w:rsidP="00377954">
            <w:pPr>
              <w:ind w:left="100"/>
              <w:rPr>
                <w:i/>
                <w:iCs/>
                <w:sz w:val="20"/>
                <w:szCs w:val="20"/>
                <w:lang w:val="en-GB"/>
              </w:rPr>
            </w:pPr>
            <w:r w:rsidRPr="0040294D">
              <w:rPr>
                <w:i/>
                <w:iCs/>
                <w:sz w:val="20"/>
                <w:szCs w:val="20"/>
                <w:lang w:val="en-GB"/>
              </w:rPr>
              <w:t>n (acquisition/year)</w:t>
            </w:r>
          </w:p>
        </w:tc>
        <w:tc>
          <w:tcPr>
            <w:tcW w:w="1871" w:type="dxa"/>
            <w:tcBorders>
              <w:top w:val="single" w:sz="4" w:space="0" w:color="auto"/>
              <w:bottom w:val="single" w:sz="4" w:space="0" w:color="auto"/>
            </w:tcBorders>
            <w:vAlign w:val="center"/>
          </w:tcPr>
          <w:p w14:paraId="63259E8F" w14:textId="77777777" w:rsidR="00FD2A48" w:rsidRPr="0040294D" w:rsidRDefault="00FD2A48" w:rsidP="00377954">
            <w:pPr>
              <w:ind w:left="57"/>
              <w:jc w:val="center"/>
              <w:rPr>
                <w:sz w:val="20"/>
                <w:szCs w:val="20"/>
                <w:lang w:val="en-GB"/>
              </w:rPr>
            </w:pPr>
            <w:r w:rsidRPr="0040294D">
              <w:rPr>
                <w:sz w:val="18"/>
                <w:szCs w:val="18"/>
                <w:lang w:val="en-GB"/>
              </w:rPr>
              <w:t>1,596</w:t>
            </w:r>
          </w:p>
        </w:tc>
        <w:tc>
          <w:tcPr>
            <w:tcW w:w="1871" w:type="dxa"/>
            <w:tcBorders>
              <w:top w:val="single" w:sz="4" w:space="0" w:color="auto"/>
              <w:bottom w:val="single" w:sz="4" w:space="0" w:color="auto"/>
            </w:tcBorders>
            <w:vAlign w:val="center"/>
          </w:tcPr>
          <w:p w14:paraId="3540C624" w14:textId="77777777" w:rsidR="00FD2A48" w:rsidRPr="0040294D" w:rsidRDefault="00FD2A48" w:rsidP="00377954">
            <w:pPr>
              <w:ind w:left="57"/>
              <w:jc w:val="center"/>
              <w:rPr>
                <w:sz w:val="20"/>
                <w:szCs w:val="20"/>
                <w:lang w:val="en-GB"/>
              </w:rPr>
            </w:pPr>
            <w:r w:rsidRPr="0040294D">
              <w:rPr>
                <w:sz w:val="18"/>
                <w:szCs w:val="18"/>
                <w:lang w:val="en-GB"/>
              </w:rPr>
              <w:t>2,532</w:t>
            </w:r>
          </w:p>
        </w:tc>
      </w:tr>
    </w:tbl>
    <w:p w14:paraId="010590F2" w14:textId="77777777" w:rsidR="00FD2A48" w:rsidRPr="0040294D" w:rsidRDefault="00FD2A48" w:rsidP="00FD2A48">
      <w:pPr>
        <w:ind w:left="340" w:right="429"/>
        <w:jc w:val="both"/>
        <w:rPr>
          <w:sz w:val="18"/>
          <w:szCs w:val="18"/>
          <w:lang w:val="en-GB"/>
        </w:rPr>
      </w:pPr>
      <w:r w:rsidRPr="0040294D">
        <w:rPr>
          <w:i/>
          <w:sz w:val="18"/>
          <w:szCs w:val="18"/>
          <w:vertAlign w:val="superscript"/>
          <w:lang w:val="en-GB"/>
        </w:rPr>
        <w:t>a</w:t>
      </w:r>
      <w:r w:rsidRPr="0040294D">
        <w:rPr>
          <w:sz w:val="18"/>
          <w:szCs w:val="18"/>
          <w:lang w:val="en-GB"/>
        </w:rPr>
        <w:t xml:space="preserve"> Numbers in parentheses are robust standard errors that correct for the clustering of acquirer effects (59 clusters). Positive (negative) coefficient estimates indicate greater (lower) probability of acquisition divestment (measured by the hazard rate of acquisition divestment).</w:t>
      </w:r>
    </w:p>
    <w:p w14:paraId="4D964272" w14:textId="77777777" w:rsidR="00FD2A48" w:rsidRPr="0040294D" w:rsidRDefault="00FD2A48" w:rsidP="00FD2A48">
      <w:pPr>
        <w:ind w:left="340" w:right="429"/>
        <w:jc w:val="both"/>
        <w:rPr>
          <w:sz w:val="18"/>
          <w:szCs w:val="18"/>
          <w:lang w:val="en-GB"/>
        </w:rPr>
      </w:pPr>
      <w:r w:rsidRPr="0040294D">
        <w:rPr>
          <w:i/>
          <w:sz w:val="18"/>
          <w:szCs w:val="18"/>
          <w:vertAlign w:val="superscript"/>
          <w:lang w:val="en-GB"/>
        </w:rPr>
        <w:t xml:space="preserve">b </w:t>
      </w:r>
      <w:r w:rsidRPr="0040294D">
        <w:rPr>
          <w:sz w:val="18"/>
          <w:szCs w:val="18"/>
          <w:lang w:val="en-GB"/>
        </w:rPr>
        <w:t>Time-varying covariate.</w:t>
      </w:r>
    </w:p>
    <w:p w14:paraId="187FE18A" w14:textId="77777777" w:rsidR="00FD2A48" w:rsidRPr="0040294D" w:rsidRDefault="00FD2A48" w:rsidP="00FD2A48">
      <w:pPr>
        <w:ind w:left="340" w:right="429"/>
        <w:jc w:val="both"/>
        <w:rPr>
          <w:sz w:val="18"/>
          <w:szCs w:val="18"/>
          <w:lang w:val="en-GB"/>
        </w:rPr>
      </w:pPr>
      <w:r w:rsidRPr="0040294D">
        <w:rPr>
          <w:sz w:val="20"/>
          <w:szCs w:val="20"/>
          <w:vertAlign w:val="superscript"/>
          <w:lang w:val="en-GB"/>
        </w:rPr>
        <w:t>†</w:t>
      </w:r>
      <w:r w:rsidRPr="0040294D">
        <w:rPr>
          <w:sz w:val="18"/>
          <w:szCs w:val="18"/>
          <w:lang w:val="en-GB"/>
        </w:rPr>
        <w:t xml:space="preserve"> </w:t>
      </w:r>
      <w:r w:rsidRPr="0040294D">
        <w:rPr>
          <w:i/>
          <w:sz w:val="18"/>
          <w:szCs w:val="18"/>
          <w:lang w:val="en-GB"/>
        </w:rPr>
        <w:t xml:space="preserve">p </w:t>
      </w:r>
      <w:r w:rsidRPr="0040294D">
        <w:rPr>
          <w:sz w:val="18"/>
          <w:szCs w:val="18"/>
          <w:lang w:val="en-GB"/>
        </w:rPr>
        <w:t xml:space="preserve">&lt; .01, </w:t>
      </w:r>
      <w:r w:rsidRPr="0040294D">
        <w:rPr>
          <w:sz w:val="20"/>
          <w:szCs w:val="20"/>
          <w:lang w:val="en-GB"/>
        </w:rPr>
        <w:t>*</w:t>
      </w:r>
      <w:r w:rsidRPr="0040294D">
        <w:rPr>
          <w:sz w:val="18"/>
          <w:szCs w:val="18"/>
          <w:lang w:val="en-GB"/>
        </w:rPr>
        <w:t xml:space="preserve"> </w:t>
      </w:r>
      <w:r w:rsidRPr="0040294D">
        <w:rPr>
          <w:i/>
          <w:sz w:val="18"/>
          <w:szCs w:val="18"/>
          <w:lang w:val="en-GB"/>
        </w:rPr>
        <w:t xml:space="preserve">p </w:t>
      </w:r>
      <w:r w:rsidRPr="0040294D">
        <w:rPr>
          <w:sz w:val="18"/>
          <w:szCs w:val="18"/>
          <w:lang w:val="en-GB"/>
        </w:rPr>
        <w:t xml:space="preserve">&lt; .05, </w:t>
      </w:r>
      <w:r w:rsidRPr="0040294D">
        <w:rPr>
          <w:sz w:val="20"/>
          <w:szCs w:val="20"/>
          <w:lang w:val="en-GB"/>
        </w:rPr>
        <w:t>**</w:t>
      </w:r>
      <w:r w:rsidRPr="0040294D">
        <w:rPr>
          <w:sz w:val="18"/>
          <w:szCs w:val="18"/>
          <w:lang w:val="en-GB"/>
        </w:rPr>
        <w:t xml:space="preserve"> </w:t>
      </w:r>
      <w:r w:rsidRPr="0040294D">
        <w:rPr>
          <w:i/>
          <w:sz w:val="18"/>
          <w:szCs w:val="18"/>
          <w:lang w:val="en-GB"/>
        </w:rPr>
        <w:t>p</w:t>
      </w:r>
      <w:r w:rsidRPr="0040294D">
        <w:rPr>
          <w:sz w:val="18"/>
          <w:szCs w:val="18"/>
          <w:lang w:val="en-GB"/>
        </w:rPr>
        <w:t xml:space="preserve"> &lt; .01, </w:t>
      </w:r>
      <w:r w:rsidRPr="0040294D">
        <w:rPr>
          <w:sz w:val="20"/>
          <w:szCs w:val="20"/>
          <w:lang w:val="en-GB"/>
        </w:rPr>
        <w:t>***</w:t>
      </w:r>
      <w:r w:rsidRPr="0040294D">
        <w:rPr>
          <w:sz w:val="18"/>
          <w:szCs w:val="18"/>
          <w:lang w:val="en-GB"/>
        </w:rPr>
        <w:t xml:space="preserve"> </w:t>
      </w:r>
      <w:r w:rsidRPr="0040294D">
        <w:rPr>
          <w:i/>
          <w:sz w:val="18"/>
          <w:szCs w:val="18"/>
          <w:lang w:val="en-GB"/>
        </w:rPr>
        <w:t>p</w:t>
      </w:r>
      <w:r w:rsidRPr="0040294D">
        <w:rPr>
          <w:sz w:val="18"/>
          <w:szCs w:val="18"/>
          <w:lang w:val="en-GB"/>
        </w:rPr>
        <w:t xml:space="preserve"> &lt; .001.</w:t>
      </w:r>
    </w:p>
    <w:p w14:paraId="7CFC2D11" w14:textId="77777777" w:rsidR="00FD2A48" w:rsidRPr="0040294D" w:rsidRDefault="00FD2A48" w:rsidP="00FD2A48">
      <w:pPr>
        <w:spacing w:after="120"/>
        <w:ind w:left="170" w:right="147"/>
        <w:jc w:val="center"/>
        <w:rPr>
          <w:b/>
          <w:bCs/>
          <w:i/>
          <w:lang w:val="en-GB"/>
        </w:rPr>
      </w:pPr>
      <w:r w:rsidRPr="0040294D">
        <w:rPr>
          <w:b/>
          <w:bCs/>
          <w:i/>
          <w:lang w:val="en-GB"/>
        </w:rPr>
        <w:br w:type="page"/>
      </w:r>
    </w:p>
    <w:p w14:paraId="7159DF62" w14:textId="1CC64016" w:rsidR="00FD2A48" w:rsidRPr="0040294D" w:rsidRDefault="00FD2A48" w:rsidP="00FD2A48">
      <w:pPr>
        <w:spacing w:after="120"/>
        <w:ind w:left="170" w:right="147"/>
        <w:jc w:val="center"/>
        <w:rPr>
          <w:sz w:val="18"/>
          <w:szCs w:val="18"/>
          <w:lang w:val="en-GB"/>
        </w:rPr>
      </w:pPr>
      <w:r w:rsidRPr="0040294D">
        <w:rPr>
          <w:b/>
          <w:bCs/>
          <w:i/>
          <w:lang w:val="en-GB"/>
        </w:rPr>
        <w:lastRenderedPageBreak/>
        <w:t xml:space="preserve">Figure 1. The </w:t>
      </w:r>
      <w:r w:rsidR="001F1CDF" w:rsidRPr="0040294D">
        <w:rPr>
          <w:b/>
          <w:bCs/>
          <w:i/>
          <w:lang w:val="en-GB"/>
        </w:rPr>
        <w:t>Research</w:t>
      </w:r>
      <w:r w:rsidRPr="0040294D">
        <w:rPr>
          <w:b/>
          <w:bCs/>
          <w:i/>
          <w:lang w:val="en-GB"/>
        </w:rPr>
        <w:t xml:space="preserve"> Model</w:t>
      </w:r>
    </w:p>
    <w:p w14:paraId="1FDB9655" w14:textId="77777777" w:rsidR="00FD2A48" w:rsidRPr="0040294D" w:rsidRDefault="00FD2A48" w:rsidP="00FD2A48">
      <w:pPr>
        <w:rPr>
          <w:lang w:val="en-GB"/>
        </w:rPr>
      </w:pPr>
    </w:p>
    <w:p w14:paraId="46230BBA" w14:textId="77777777" w:rsidR="00FD2A48" w:rsidRPr="0040294D" w:rsidRDefault="00FD2A48" w:rsidP="00FD2A48">
      <w:pPr>
        <w:rPr>
          <w:lang w:val="en-GB"/>
        </w:rPr>
      </w:pPr>
      <w:r w:rsidRPr="0040294D">
        <w:rPr>
          <w:noProof/>
          <w:lang w:val="en-GB" w:eastAsia="en-GB" w:bidi="he-IL"/>
        </w:rPr>
        <mc:AlternateContent>
          <mc:Choice Requires="wps">
            <w:drawing>
              <wp:anchor distT="0" distB="0" distL="114300" distR="114300" simplePos="0" relativeHeight="251665408" behindDoc="0" locked="0" layoutInCell="1" allowOverlap="1" wp14:anchorId="32878197" wp14:editId="138348B6">
                <wp:simplePos x="0" y="0"/>
                <wp:positionH relativeFrom="column">
                  <wp:posOffset>2850770</wp:posOffset>
                </wp:positionH>
                <wp:positionV relativeFrom="paragraph">
                  <wp:posOffset>52474</wp:posOffset>
                </wp:positionV>
                <wp:extent cx="206515" cy="303663"/>
                <wp:effectExtent l="0" t="0" r="60325" b="39370"/>
                <wp:wrapNone/>
                <wp:docPr id="21" name="290 Forma libre"/>
                <wp:cNvGraphicFramePr/>
                <a:graphic xmlns:a="http://schemas.openxmlformats.org/drawingml/2006/main">
                  <a:graphicData uri="http://schemas.microsoft.com/office/word/2010/wordprocessingShape">
                    <wps:wsp>
                      <wps:cNvSpPr/>
                      <wps:spPr>
                        <a:xfrm rot="11889393">
                          <a:off x="0" y="0"/>
                          <a:ext cx="206515" cy="303663"/>
                        </a:xfrm>
                        <a:custGeom>
                          <a:avLst/>
                          <a:gdLst>
                            <a:gd name="connsiteX0" fmla="*/ 5184 w 195684"/>
                            <a:gd name="connsiteY0" fmla="*/ 229067 h 229067"/>
                            <a:gd name="connsiteX1" fmla="*/ 24234 w 195684"/>
                            <a:gd name="connsiteY1" fmla="*/ 467 h 229067"/>
                            <a:gd name="connsiteX2" fmla="*/ 195684 w 195684"/>
                            <a:gd name="connsiteY2" fmla="*/ 181442 h 229067"/>
                          </a:gdLst>
                          <a:ahLst/>
                          <a:cxnLst>
                            <a:cxn ang="0">
                              <a:pos x="connsiteX0" y="connsiteY0"/>
                            </a:cxn>
                            <a:cxn ang="0">
                              <a:pos x="connsiteX1" y="connsiteY1"/>
                            </a:cxn>
                            <a:cxn ang="0">
                              <a:pos x="connsiteX2" y="connsiteY2"/>
                            </a:cxn>
                          </a:cxnLst>
                          <a:rect l="l" t="t" r="r" b="b"/>
                          <a:pathLst>
                            <a:path w="195684" h="229067">
                              <a:moveTo>
                                <a:pt x="5184" y="229067"/>
                              </a:moveTo>
                              <a:cubicBezTo>
                                <a:pt x="-1166" y="118735"/>
                                <a:pt x="-7516" y="8404"/>
                                <a:pt x="24234" y="467"/>
                              </a:cubicBezTo>
                              <a:cubicBezTo>
                                <a:pt x="55984" y="-7470"/>
                                <a:pt x="125834" y="86986"/>
                                <a:pt x="195684" y="181442"/>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6B57" id="290 Forma libre" o:spid="_x0000_s1026" style="position:absolute;margin-left:224.45pt;margin-top:4.15pt;width:16.25pt;height:23.9pt;rotation:-1060657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684,22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" path="m5184,229067c-1166,118735,-7516,8404,24234,467,55984,-7470,125834,86986,195684,181442e" filled="f" strokecolor="black [3213]" strokeweight="1pt">
                <v:stroke joinstyle="miter"/>
                <v:path arrowok="t" o:connecttype="custom" o:connectlocs="5471,303663;25575,619;206515,240529" o:connectangles="0,0,0"/>
              </v:shape>
            </w:pict>
          </mc:Fallback>
        </mc:AlternateContent>
      </w:r>
    </w:p>
    <w:p w14:paraId="4985B809" w14:textId="77777777" w:rsidR="00FD2A48" w:rsidRPr="0040294D" w:rsidRDefault="00FD2A48" w:rsidP="00FD2A48">
      <w:pPr>
        <w:rPr>
          <w:lang w:val="en-GB"/>
        </w:rPr>
      </w:pPr>
      <w:r w:rsidRPr="0040294D">
        <w:rPr>
          <w:noProof/>
          <w:lang w:val="en-GB" w:eastAsia="en-GB" w:bidi="he-IL"/>
        </w:rPr>
        <mc:AlternateContent>
          <mc:Choice Requires="wps">
            <w:drawing>
              <wp:anchor distT="0" distB="0" distL="114300" distR="114300" simplePos="0" relativeHeight="251661312" behindDoc="0" locked="0" layoutInCell="1" allowOverlap="1" wp14:anchorId="2E893334" wp14:editId="607E177F">
                <wp:simplePos x="0" y="0"/>
                <wp:positionH relativeFrom="column">
                  <wp:posOffset>2065052</wp:posOffset>
                </wp:positionH>
                <wp:positionV relativeFrom="paragraph">
                  <wp:posOffset>160698</wp:posOffset>
                </wp:positionV>
                <wp:extent cx="323850" cy="241300"/>
                <wp:effectExtent l="0" t="0" r="0" b="63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1300"/>
                        </a:xfrm>
                        <a:prstGeom prst="rect">
                          <a:avLst/>
                        </a:prstGeom>
                        <a:noFill/>
                        <a:ln w="9525">
                          <a:noFill/>
                          <a:miter lim="800000"/>
                          <a:headEnd/>
                          <a:tailEnd/>
                        </a:ln>
                      </wps:spPr>
                      <wps:txbx>
                        <w:txbxContent>
                          <w:p w14:paraId="307416CD" w14:textId="77777777" w:rsidR="00835F34" w:rsidRDefault="00835F34" w:rsidP="00FD2A48">
                            <w:pPr>
                              <w:pStyle w:val="NormalWeb"/>
                              <w:spacing w:before="0" w:beforeAutospacing="0" w:after="150" w:afterAutospacing="0" w:line="276" w:lineRule="auto"/>
                              <w:jc w:val="center"/>
                            </w:pPr>
                            <w:r>
                              <w:rPr>
                                <w:color w:val="000000"/>
                                <w:kern w:val="24"/>
                                <w:sz w:val="18"/>
                                <w:szCs w:val="18"/>
                              </w:rPr>
                              <w:t>H1</w:t>
                            </w:r>
                          </w:p>
                        </w:txbxContent>
                      </wps:txbx>
                      <wps:bodyPr rot="0" vert="horz" wrap="square" lIns="68580" tIns="34290" rIns="68580" bIns="34290" anchor="t" anchorCtr="0">
                        <a:noAutofit/>
                      </wps:bodyPr>
                    </wps:wsp>
                  </a:graphicData>
                </a:graphic>
                <wp14:sizeRelH relativeFrom="margin">
                  <wp14:pctWidth>0</wp14:pctWidth>
                </wp14:sizeRelH>
              </wp:anchor>
            </w:drawing>
          </mc:Choice>
          <mc:Fallback>
            <w:pict>
              <v:shapetype w14:anchorId="2E893334" id="_x0000_t202" coordsize="21600,21600" o:spt="202" path="m,l,21600r21600,l21600,xe">
                <v:stroke joinstyle="miter"/>
                <v:path gradientshapeok="t" o:connecttype="rect"/>
              </v:shapetype>
              <v:shape id="Cuadro de texto 2" o:spid="_x0000_s1026" type="#_x0000_t202" style="position:absolute;margin-left:162.6pt;margin-top:12.65pt;width:25.5pt;height: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" filled="f" stroked="f">
                <v:textbox inset="5.4pt,2.7pt,5.4pt,2.7pt">
                  <w:txbxContent>
                    <w:p w14:paraId="307416CD" w14:textId="77777777" w:rsidR="00835F34" w:rsidRDefault="00835F34" w:rsidP="00FD2A48">
                      <w:pPr>
                        <w:pStyle w:val="NormalWeb"/>
                        <w:spacing w:before="0" w:beforeAutospacing="0" w:after="150" w:afterAutospacing="0" w:line="276" w:lineRule="auto"/>
                        <w:jc w:val="center"/>
                      </w:pPr>
                      <w:r>
                        <w:rPr>
                          <w:color w:val="000000"/>
                          <w:kern w:val="24"/>
                          <w:sz w:val="18"/>
                          <w:szCs w:val="18"/>
                        </w:rPr>
                        <w:t>H1</w:t>
                      </w:r>
                    </w:p>
                  </w:txbxContent>
                </v:textbox>
              </v:shape>
            </w:pict>
          </mc:Fallback>
        </mc:AlternateContent>
      </w:r>
      <w:r w:rsidRPr="0040294D">
        <w:rPr>
          <w:noProof/>
          <w:lang w:val="en-GB" w:eastAsia="en-GB" w:bidi="he-IL"/>
        </w:rPr>
        <mc:AlternateContent>
          <mc:Choice Requires="wps">
            <w:drawing>
              <wp:anchor distT="0" distB="0" distL="114300" distR="114300" simplePos="0" relativeHeight="251662336" behindDoc="0" locked="0" layoutInCell="1" allowOverlap="1" wp14:anchorId="60585986" wp14:editId="386F4338">
                <wp:simplePos x="0" y="0"/>
                <wp:positionH relativeFrom="margin">
                  <wp:posOffset>3828415</wp:posOffset>
                </wp:positionH>
                <wp:positionV relativeFrom="paragraph">
                  <wp:posOffset>10160</wp:posOffset>
                </wp:positionV>
                <wp:extent cx="1438275" cy="694055"/>
                <wp:effectExtent l="0" t="0" r="28575" b="10795"/>
                <wp:wrapNone/>
                <wp:docPr id="1" name="22 Rectángulo redondeado"/>
                <wp:cNvGraphicFramePr/>
                <a:graphic xmlns:a="http://schemas.openxmlformats.org/drawingml/2006/main">
                  <a:graphicData uri="http://schemas.microsoft.com/office/word/2010/wordprocessingShape">
                    <wps:wsp>
                      <wps:cNvSpPr/>
                      <wps:spPr>
                        <a:xfrm>
                          <a:off x="0" y="0"/>
                          <a:ext cx="1438275" cy="694055"/>
                        </a:xfrm>
                        <a:prstGeom prst="roundRect">
                          <a:avLst/>
                        </a:prstGeom>
                        <a:noFill/>
                        <a:ln w="25400" cap="flat" cmpd="sng" algn="ctr">
                          <a:solidFill>
                            <a:schemeClr val="tx1"/>
                          </a:solidFill>
                          <a:prstDash val="solid"/>
                        </a:ln>
                        <a:effectLst/>
                      </wps:spPr>
                      <wps:txbx>
                        <w:txbxContent>
                          <w:p w14:paraId="1B6C39B1" w14:textId="1030AFC9" w:rsidR="00835F34" w:rsidRPr="00AA7F71" w:rsidRDefault="00835F34" w:rsidP="00FD2A48">
                            <w:pPr>
                              <w:jc w:val="center"/>
                              <w:rPr>
                                <w:lang w:val="en-US"/>
                              </w:rPr>
                            </w:pPr>
                            <w:r w:rsidRPr="00AA7F71">
                              <w:rPr>
                                <w:lang w:val="en-US"/>
                              </w:rPr>
                              <w:t>Acquisition</w:t>
                            </w:r>
                            <w:r w:rsidRPr="00AA7F71">
                              <w:rPr>
                                <w:lang w:val="en-US"/>
                              </w:rPr>
                              <w:br/>
                            </w:r>
                            <w:r>
                              <w:rPr>
                                <w:lang w:val="en-US"/>
                              </w:rPr>
                              <w:t>d</w:t>
                            </w:r>
                            <w:r w:rsidRPr="00AA7F71">
                              <w:rPr>
                                <w:lang w:val="en-US"/>
                              </w:rPr>
                              <w:t>ivestment</w:t>
                            </w:r>
                          </w:p>
                          <w:p w14:paraId="21EE0D80" w14:textId="5B0CAC09" w:rsidR="00835F34" w:rsidRPr="00AA7F71" w:rsidRDefault="00835F34" w:rsidP="00FD2A48">
                            <w:pPr>
                              <w:pStyle w:val="NormalWeb"/>
                              <w:spacing w:before="0" w:beforeAutospacing="0" w:after="0" w:afterAutospacing="0"/>
                              <w:jc w:val="center"/>
                              <w:rPr>
                                <w:rFonts w:eastAsia="Times New Roman"/>
                                <w:lang w:val="en-US" w:eastAsia="en-US"/>
                              </w:rPr>
                            </w:pP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85986" id="22 Rectángulo redondeado" o:spid="_x0000_s1027" style="position:absolute;margin-left:301.45pt;margin-top:.8pt;width:113.25pt;height:5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" filled="f" strokecolor="black [3213]" strokeweight="2pt">
                <v:textbox inset="5.4pt,2.7pt,5.4pt,2.7pt">
                  <w:txbxContent>
                    <w:p w14:paraId="1B6C39B1" w14:textId="1030AFC9" w:rsidR="00835F34" w:rsidRPr="00AA7F71" w:rsidRDefault="00835F34" w:rsidP="00FD2A48">
                      <w:pPr>
                        <w:jc w:val="center"/>
                        <w:rPr>
                          <w:lang w:val="en-US"/>
                        </w:rPr>
                      </w:pPr>
                      <w:r w:rsidRPr="00AA7F71">
                        <w:rPr>
                          <w:lang w:val="en-US"/>
                        </w:rPr>
                        <w:t>Acquisition</w:t>
                      </w:r>
                      <w:r w:rsidRPr="00AA7F71">
                        <w:rPr>
                          <w:lang w:val="en-US"/>
                        </w:rPr>
                        <w:br/>
                      </w:r>
                      <w:r>
                        <w:rPr>
                          <w:lang w:val="en-US"/>
                        </w:rPr>
                        <w:t>d</w:t>
                      </w:r>
                      <w:r w:rsidRPr="00AA7F71">
                        <w:rPr>
                          <w:lang w:val="en-US"/>
                        </w:rPr>
                        <w:t>ivestment</w:t>
                      </w:r>
                    </w:p>
                    <w:p w14:paraId="21EE0D80" w14:textId="5B0CAC09" w:rsidR="00835F34" w:rsidRPr="00AA7F71" w:rsidRDefault="00835F34" w:rsidP="00FD2A48">
                      <w:pPr>
                        <w:pStyle w:val="NormalWeb"/>
                        <w:spacing w:before="0" w:beforeAutospacing="0" w:after="0" w:afterAutospacing="0"/>
                        <w:jc w:val="center"/>
                        <w:rPr>
                          <w:rFonts w:eastAsia="Times New Roman"/>
                          <w:lang w:val="en-US" w:eastAsia="en-US"/>
                        </w:rPr>
                      </w:pPr>
                    </w:p>
                  </w:txbxContent>
                </v:textbox>
                <w10:wrap anchorx="margin"/>
              </v:roundrect>
            </w:pict>
          </mc:Fallback>
        </mc:AlternateContent>
      </w:r>
      <w:r w:rsidRPr="0040294D">
        <w:rPr>
          <w:noProof/>
          <w:lang w:val="en-GB" w:eastAsia="en-GB" w:bidi="he-IL"/>
        </w:rPr>
        <mc:AlternateContent>
          <mc:Choice Requires="wps">
            <w:drawing>
              <wp:anchor distT="0" distB="0" distL="114300" distR="114300" simplePos="0" relativeHeight="251659264" behindDoc="0" locked="0" layoutInCell="1" allowOverlap="1" wp14:anchorId="1F729782" wp14:editId="0A2B19BE">
                <wp:simplePos x="0" y="0"/>
                <wp:positionH relativeFrom="margin">
                  <wp:posOffset>320675</wp:posOffset>
                </wp:positionH>
                <wp:positionV relativeFrom="paragraph">
                  <wp:posOffset>24130</wp:posOffset>
                </wp:positionV>
                <wp:extent cx="1438275" cy="694055"/>
                <wp:effectExtent l="0" t="0" r="28575" b="10795"/>
                <wp:wrapNone/>
                <wp:docPr id="12" name="22 Rectángulo redondeado"/>
                <wp:cNvGraphicFramePr/>
                <a:graphic xmlns:a="http://schemas.openxmlformats.org/drawingml/2006/main">
                  <a:graphicData uri="http://schemas.microsoft.com/office/word/2010/wordprocessingShape">
                    <wps:wsp>
                      <wps:cNvSpPr/>
                      <wps:spPr>
                        <a:xfrm>
                          <a:off x="0" y="0"/>
                          <a:ext cx="1438275" cy="694055"/>
                        </a:xfrm>
                        <a:prstGeom prst="roundRect">
                          <a:avLst/>
                        </a:prstGeom>
                        <a:noFill/>
                        <a:ln w="25400" cap="flat" cmpd="sng" algn="ctr">
                          <a:solidFill>
                            <a:schemeClr val="tx1"/>
                          </a:solidFill>
                          <a:prstDash val="solid"/>
                        </a:ln>
                        <a:effectLst/>
                      </wps:spPr>
                      <wps:txbx>
                        <w:txbxContent>
                          <w:p w14:paraId="492C894B" w14:textId="520B99B1" w:rsidR="00835F34" w:rsidRPr="001F1CDF" w:rsidRDefault="00835F34" w:rsidP="00FD2A48">
                            <w:pPr>
                              <w:pStyle w:val="NormalWeb"/>
                              <w:spacing w:before="0" w:beforeAutospacing="0" w:after="0" w:afterAutospacing="0"/>
                              <w:jc w:val="center"/>
                            </w:pPr>
                            <w:r w:rsidRPr="001F1CDF">
                              <w:rPr>
                                <w:bCs/>
                                <w:color w:val="000000"/>
                                <w:kern w:val="24"/>
                              </w:rPr>
                              <w:t>HRM quality</w:t>
                            </w: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9782" id="_x0000_s1028" style="position:absolute;margin-left:25.25pt;margin-top:1.9pt;width:113.25pt;height:5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" filled="f" strokecolor="black [3213]" strokeweight="2pt">
                <v:textbox inset="5.4pt,2.7pt,5.4pt,2.7pt">
                  <w:txbxContent>
                    <w:p w14:paraId="492C894B" w14:textId="520B99B1" w:rsidR="00835F34" w:rsidRPr="001F1CDF" w:rsidRDefault="00835F34" w:rsidP="00FD2A48">
                      <w:pPr>
                        <w:pStyle w:val="NormalWeb"/>
                        <w:spacing w:before="0" w:beforeAutospacing="0" w:after="0" w:afterAutospacing="0"/>
                        <w:jc w:val="center"/>
                      </w:pPr>
                      <w:r w:rsidRPr="001F1CDF">
                        <w:rPr>
                          <w:bCs/>
                          <w:color w:val="000000"/>
                          <w:kern w:val="24"/>
                        </w:rPr>
                        <w:t>HRM quality</w:t>
                      </w:r>
                    </w:p>
                  </w:txbxContent>
                </v:textbox>
                <w10:wrap anchorx="margin"/>
              </v:roundrect>
            </w:pict>
          </mc:Fallback>
        </mc:AlternateContent>
      </w:r>
    </w:p>
    <w:p w14:paraId="29F20677" w14:textId="77777777" w:rsidR="00FD2A48" w:rsidRPr="0040294D" w:rsidRDefault="00FD2A48" w:rsidP="00FD2A48">
      <w:pPr>
        <w:rPr>
          <w:lang w:val="en-GB"/>
        </w:rPr>
      </w:pPr>
      <w:r w:rsidRPr="0040294D">
        <w:rPr>
          <w:noProof/>
          <w:lang w:val="en-GB" w:eastAsia="en-GB" w:bidi="he-IL"/>
        </w:rPr>
        <mc:AlternateContent>
          <mc:Choice Requires="wps">
            <w:drawing>
              <wp:anchor distT="0" distB="0" distL="114300" distR="114300" simplePos="0" relativeHeight="251667456" behindDoc="0" locked="0" layoutInCell="1" allowOverlap="1" wp14:anchorId="32873463" wp14:editId="07F193CF">
                <wp:simplePos x="0" y="0"/>
                <wp:positionH relativeFrom="column">
                  <wp:posOffset>2767223</wp:posOffset>
                </wp:positionH>
                <wp:positionV relativeFrom="paragraph">
                  <wp:posOffset>175905</wp:posOffset>
                </wp:positionV>
                <wp:extent cx="45719" cy="1092103"/>
                <wp:effectExtent l="88900" t="25400" r="43815" b="635"/>
                <wp:wrapNone/>
                <wp:docPr id="5" name="Conector recto de flecha 3"/>
                <wp:cNvGraphicFramePr/>
                <a:graphic xmlns:a="http://schemas.openxmlformats.org/drawingml/2006/main">
                  <a:graphicData uri="http://schemas.microsoft.com/office/word/2010/wordprocessingShape">
                    <wps:wsp>
                      <wps:cNvCnPr/>
                      <wps:spPr>
                        <a:xfrm flipH="1" flipV="1">
                          <a:off x="0" y="0"/>
                          <a:ext cx="45719" cy="1092103"/>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433F6D" id="_x0000_t32" coordsize="21600,21600" o:spt="32" o:oned="t" path="m,l21600,21600e" filled="f">
                <v:path arrowok="t" fillok="f" o:connecttype="none"/>
                <o:lock v:ext="edit" shapetype="t"/>
              </v:shapetype>
              <v:shape id="Conector recto de flecha 3" o:spid="_x0000_s1026" type="#_x0000_t32" style="position:absolute;margin-left:217.9pt;margin-top:13.85pt;width:3.6pt;height:8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" strokecolor="black [3213]" strokeweight="2pt">
                <v:stroke endarrow="open" joinstyle="miter"/>
              </v:shape>
            </w:pict>
          </mc:Fallback>
        </mc:AlternateContent>
      </w:r>
      <w:r w:rsidRPr="0040294D">
        <w:rPr>
          <w:noProof/>
          <w:lang w:val="en-GB" w:eastAsia="en-GB" w:bidi="he-IL"/>
        </w:rPr>
        <mc:AlternateContent>
          <mc:Choice Requires="wps">
            <w:drawing>
              <wp:anchor distT="0" distB="0" distL="114300" distR="114300" simplePos="0" relativeHeight="251666432" behindDoc="0" locked="0" layoutInCell="1" allowOverlap="1" wp14:anchorId="59C01782" wp14:editId="3952AF9E">
                <wp:simplePos x="0" y="0"/>
                <wp:positionH relativeFrom="column">
                  <wp:posOffset>1755775</wp:posOffset>
                </wp:positionH>
                <wp:positionV relativeFrom="paragraph">
                  <wp:posOffset>178435</wp:posOffset>
                </wp:positionV>
                <wp:extent cx="2066925" cy="0"/>
                <wp:effectExtent l="0" t="76200" r="28575" b="114300"/>
                <wp:wrapNone/>
                <wp:docPr id="2" name="Conector recto de flecha 3"/>
                <wp:cNvGraphicFramePr/>
                <a:graphic xmlns:a="http://schemas.openxmlformats.org/drawingml/2006/main">
                  <a:graphicData uri="http://schemas.microsoft.com/office/word/2010/wordprocessingShape">
                    <wps:wsp>
                      <wps:cNvCnPr/>
                      <wps:spPr>
                        <a:xfrm>
                          <a:off x="0" y="0"/>
                          <a:ext cx="206692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D0323F" id="Conector recto de flecha 3" o:spid="_x0000_s1026" type="#_x0000_t32" style="position:absolute;margin-left:138.25pt;margin-top:14.05pt;width:162.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" strokecolor="black [3213]" strokeweight="2pt">
                <v:stroke endarrow="open" joinstyle="miter"/>
              </v:shape>
            </w:pict>
          </mc:Fallback>
        </mc:AlternateContent>
      </w:r>
    </w:p>
    <w:p w14:paraId="44EECADD" w14:textId="77777777" w:rsidR="00FD2A48" w:rsidRPr="0040294D" w:rsidRDefault="00FD2A48" w:rsidP="00FD2A48">
      <w:pPr>
        <w:rPr>
          <w:lang w:val="en-GB"/>
        </w:rPr>
      </w:pPr>
      <w:r w:rsidRPr="0040294D">
        <w:rPr>
          <w:noProof/>
          <w:lang w:val="en-GB" w:eastAsia="en-GB" w:bidi="he-IL"/>
        </w:rPr>
        <w:drawing>
          <wp:anchor distT="0" distB="0" distL="114300" distR="114300" simplePos="0" relativeHeight="251663360" behindDoc="0" locked="0" layoutInCell="1" allowOverlap="1" wp14:anchorId="34280EA0" wp14:editId="7FC5DBE0">
            <wp:simplePos x="0" y="0"/>
            <wp:positionH relativeFrom="column">
              <wp:posOffset>2812415</wp:posOffset>
            </wp:positionH>
            <wp:positionV relativeFrom="paragraph">
              <wp:posOffset>135718</wp:posOffset>
            </wp:positionV>
            <wp:extent cx="425450" cy="35052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425450" cy="350520"/>
                    </a:xfrm>
                    <a:prstGeom prst="rect">
                      <a:avLst/>
                    </a:prstGeom>
                    <a:noFill/>
                  </pic:spPr>
                </pic:pic>
              </a:graphicData>
            </a:graphic>
            <wp14:sizeRelH relativeFrom="margin">
              <wp14:pctWidth>0</wp14:pctWidth>
            </wp14:sizeRelH>
            <wp14:sizeRelV relativeFrom="margin">
              <wp14:pctHeight>0</wp14:pctHeight>
            </wp14:sizeRelV>
          </wp:anchor>
        </w:drawing>
      </w:r>
    </w:p>
    <w:p w14:paraId="17E94CA4" w14:textId="77777777" w:rsidR="00FD2A48" w:rsidRPr="0040294D" w:rsidRDefault="00FD2A48" w:rsidP="00FD2A48">
      <w:pPr>
        <w:rPr>
          <w:lang w:val="en-GB"/>
        </w:rPr>
      </w:pPr>
    </w:p>
    <w:p w14:paraId="6C2DE693" w14:textId="77777777" w:rsidR="00FD2A48" w:rsidRPr="0040294D" w:rsidRDefault="00FD2A48" w:rsidP="00FD2A48">
      <w:pPr>
        <w:rPr>
          <w:lang w:val="en-GB"/>
        </w:rPr>
      </w:pPr>
    </w:p>
    <w:p w14:paraId="37F37BAE" w14:textId="77777777" w:rsidR="00FD2A48" w:rsidRPr="0040294D" w:rsidRDefault="00FD2A48" w:rsidP="00FD2A48">
      <w:pPr>
        <w:rPr>
          <w:lang w:val="en-GB"/>
        </w:rPr>
      </w:pPr>
    </w:p>
    <w:p w14:paraId="12DC99CE" w14:textId="77777777" w:rsidR="00FD2A48" w:rsidRPr="0040294D" w:rsidRDefault="00FD2A48" w:rsidP="00FD2A48">
      <w:pPr>
        <w:spacing w:after="120"/>
        <w:ind w:left="170" w:right="147"/>
        <w:jc w:val="center"/>
        <w:rPr>
          <w:b/>
          <w:bCs/>
          <w:i/>
          <w:lang w:val="en-GB"/>
        </w:rPr>
      </w:pPr>
      <w:r w:rsidRPr="0040294D">
        <w:rPr>
          <w:noProof/>
          <w:lang w:val="en-GB" w:eastAsia="en-GB" w:bidi="he-IL"/>
        </w:rPr>
        <mc:AlternateContent>
          <mc:Choice Requires="wps">
            <w:drawing>
              <wp:anchor distT="0" distB="0" distL="114300" distR="114300" simplePos="0" relativeHeight="251660288" behindDoc="0" locked="0" layoutInCell="1" allowOverlap="1" wp14:anchorId="649112B7" wp14:editId="2C87D784">
                <wp:simplePos x="0" y="0"/>
                <wp:positionH relativeFrom="column">
                  <wp:posOffset>2388267</wp:posOffset>
                </wp:positionH>
                <wp:positionV relativeFrom="paragraph">
                  <wp:posOffset>53856</wp:posOffset>
                </wp:positionV>
                <wp:extent cx="295275" cy="219075"/>
                <wp:effectExtent l="0" t="0" r="0" b="952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noFill/>
                        <a:ln w="9525">
                          <a:noFill/>
                          <a:miter lim="800000"/>
                          <a:headEnd/>
                          <a:tailEnd/>
                        </a:ln>
                      </wps:spPr>
                      <wps:txbx>
                        <w:txbxContent>
                          <w:p w14:paraId="109F3D74" w14:textId="77777777" w:rsidR="00835F34" w:rsidRPr="00BC1C25" w:rsidRDefault="00835F34" w:rsidP="00FD2A48">
                            <w:pPr>
                              <w:pStyle w:val="NormalWeb"/>
                              <w:spacing w:before="0" w:beforeAutospacing="0" w:after="150" w:afterAutospacing="0" w:line="276" w:lineRule="auto"/>
                              <w:jc w:val="center"/>
                              <w:rPr>
                                <w:sz w:val="18"/>
                                <w:szCs w:val="18"/>
                              </w:rPr>
                            </w:pPr>
                            <w:r>
                              <w:rPr>
                                <w:color w:val="000000"/>
                                <w:kern w:val="24"/>
                                <w:sz w:val="18"/>
                                <w:szCs w:val="18"/>
                              </w:rPr>
                              <w:t>H2</w:t>
                            </w:r>
                          </w:p>
                        </w:txbxContent>
                      </wps:txbx>
                      <wps:bodyPr rot="0" vert="horz" wrap="square" lIns="68580" tIns="34290" rIns="68580" bIns="3429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112B7" id="_x0000_s1029" type="#_x0000_t202" style="position:absolute;left:0;text-align:left;margin-left:188.05pt;margin-top:4.25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" filled="f" stroked="f">
                <v:textbox inset="5.4pt,2.7pt,5.4pt,2.7pt">
                  <w:txbxContent>
                    <w:p w14:paraId="109F3D74" w14:textId="77777777" w:rsidR="00835F34" w:rsidRPr="00BC1C25" w:rsidRDefault="00835F34" w:rsidP="00FD2A48">
                      <w:pPr>
                        <w:pStyle w:val="NormalWeb"/>
                        <w:spacing w:before="0" w:beforeAutospacing="0" w:after="150" w:afterAutospacing="0" w:line="276" w:lineRule="auto"/>
                        <w:jc w:val="center"/>
                        <w:rPr>
                          <w:sz w:val="18"/>
                          <w:szCs w:val="18"/>
                        </w:rPr>
                      </w:pPr>
                      <w:r>
                        <w:rPr>
                          <w:color w:val="000000"/>
                          <w:kern w:val="24"/>
                          <w:sz w:val="18"/>
                          <w:szCs w:val="18"/>
                        </w:rPr>
                        <w:t>H2</w:t>
                      </w:r>
                    </w:p>
                  </w:txbxContent>
                </v:textbox>
              </v:shape>
            </w:pict>
          </mc:Fallback>
        </mc:AlternateContent>
      </w:r>
    </w:p>
    <w:p w14:paraId="34053446" w14:textId="77777777" w:rsidR="00FD2A48" w:rsidRPr="0040294D" w:rsidRDefault="00FD2A48" w:rsidP="00FD2A48">
      <w:pPr>
        <w:spacing w:after="120"/>
        <w:ind w:left="170" w:right="147"/>
        <w:jc w:val="center"/>
        <w:rPr>
          <w:b/>
          <w:bCs/>
          <w:i/>
          <w:lang w:val="en-GB"/>
        </w:rPr>
      </w:pPr>
      <w:r w:rsidRPr="0040294D">
        <w:rPr>
          <w:noProof/>
          <w:lang w:val="en-GB" w:eastAsia="en-GB" w:bidi="he-IL"/>
        </w:rPr>
        <mc:AlternateContent>
          <mc:Choice Requires="wps">
            <w:drawing>
              <wp:anchor distT="0" distB="0" distL="114300" distR="114300" simplePos="0" relativeHeight="251664384" behindDoc="0" locked="0" layoutInCell="1" allowOverlap="1" wp14:anchorId="72639F0B" wp14:editId="72D95CC2">
                <wp:simplePos x="0" y="0"/>
                <wp:positionH relativeFrom="margin">
                  <wp:posOffset>2084522</wp:posOffset>
                </wp:positionH>
                <wp:positionV relativeFrom="paragraph">
                  <wp:posOffset>140775</wp:posOffset>
                </wp:positionV>
                <wp:extent cx="1476375" cy="499605"/>
                <wp:effectExtent l="12700" t="12700" r="9525" b="8890"/>
                <wp:wrapNone/>
                <wp:docPr id="9" name="11 Rectángulo redondeado"/>
                <wp:cNvGraphicFramePr/>
                <a:graphic xmlns:a="http://schemas.openxmlformats.org/drawingml/2006/main">
                  <a:graphicData uri="http://schemas.microsoft.com/office/word/2010/wordprocessingShape">
                    <wps:wsp>
                      <wps:cNvSpPr/>
                      <wps:spPr>
                        <a:xfrm>
                          <a:off x="0" y="0"/>
                          <a:ext cx="1476375" cy="499605"/>
                        </a:xfrm>
                        <a:prstGeom prst="roundRect">
                          <a:avLst/>
                        </a:prstGeom>
                        <a:noFill/>
                        <a:ln w="25400" cap="flat" cmpd="sng" algn="ctr">
                          <a:solidFill>
                            <a:sysClr val="windowText" lastClr="000000"/>
                          </a:solidFill>
                          <a:prstDash val="solid"/>
                        </a:ln>
                        <a:effectLst/>
                      </wps:spPr>
                      <wps:txbx>
                        <w:txbxContent>
                          <w:p w14:paraId="0EAFC903" w14:textId="77777777" w:rsidR="00835F34" w:rsidRPr="00D60D67" w:rsidRDefault="00835F34" w:rsidP="00FD2A48">
                            <w:pPr>
                              <w:jc w:val="center"/>
                            </w:pPr>
                            <w:r>
                              <w:t>Financial slack</w:t>
                            </w: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39F0B" id="11 Rectángulo redondeado" o:spid="_x0000_s1030" style="position:absolute;left:0;text-align:left;margin-left:164.15pt;margin-top:11.1pt;width:116.25pt;height:3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" filled="f" strokecolor="windowText" strokeweight="2pt">
                <v:textbox inset="5.4pt,2.7pt,5.4pt,2.7pt">
                  <w:txbxContent>
                    <w:p w14:paraId="0EAFC903" w14:textId="77777777" w:rsidR="00835F34" w:rsidRPr="00D60D67" w:rsidRDefault="00835F34" w:rsidP="00FD2A48">
                      <w:pPr>
                        <w:jc w:val="center"/>
                      </w:pPr>
                      <w:r>
                        <w:t>Financial slack</w:t>
                      </w:r>
                    </w:p>
                  </w:txbxContent>
                </v:textbox>
                <w10:wrap anchorx="margin"/>
              </v:roundrect>
            </w:pict>
          </mc:Fallback>
        </mc:AlternateContent>
      </w:r>
    </w:p>
    <w:p w14:paraId="46B3435C" w14:textId="77777777" w:rsidR="00FD2A48" w:rsidRPr="0040294D" w:rsidRDefault="00FD2A48" w:rsidP="00FD2A48">
      <w:pPr>
        <w:spacing w:after="120"/>
        <w:ind w:left="170" w:right="147"/>
        <w:jc w:val="center"/>
        <w:rPr>
          <w:b/>
          <w:bCs/>
          <w:i/>
          <w:lang w:val="en-GB"/>
        </w:rPr>
      </w:pPr>
    </w:p>
    <w:p w14:paraId="662C09C5" w14:textId="77777777" w:rsidR="00FD2A48" w:rsidRPr="0040294D" w:rsidRDefault="00FD2A48" w:rsidP="00FD2A48">
      <w:pPr>
        <w:spacing w:after="120"/>
        <w:ind w:left="170" w:right="147"/>
        <w:jc w:val="center"/>
        <w:rPr>
          <w:b/>
          <w:bCs/>
          <w:i/>
          <w:lang w:val="en-GB"/>
        </w:rPr>
      </w:pPr>
    </w:p>
    <w:p w14:paraId="427FB33E" w14:textId="77777777" w:rsidR="00FD2A48" w:rsidRPr="0040294D" w:rsidRDefault="00FD2A48" w:rsidP="00FD2A48">
      <w:pPr>
        <w:spacing w:after="120"/>
        <w:ind w:left="170" w:right="147"/>
        <w:jc w:val="center"/>
        <w:rPr>
          <w:b/>
          <w:bCs/>
          <w:i/>
          <w:lang w:val="en-GB"/>
        </w:rPr>
      </w:pPr>
    </w:p>
    <w:p w14:paraId="380C21D9" w14:textId="77777777" w:rsidR="00FD2A48" w:rsidRPr="0040294D" w:rsidRDefault="00FD2A48" w:rsidP="00FD2A48">
      <w:pPr>
        <w:spacing w:after="120"/>
        <w:ind w:left="170" w:right="147"/>
        <w:jc w:val="center"/>
        <w:rPr>
          <w:b/>
          <w:bCs/>
          <w:i/>
          <w:lang w:val="en-GB"/>
        </w:rPr>
      </w:pPr>
    </w:p>
    <w:p w14:paraId="447B50E2" w14:textId="77777777" w:rsidR="00FD2A48" w:rsidRPr="0040294D" w:rsidRDefault="00FD2A48" w:rsidP="00FD2A48">
      <w:pPr>
        <w:spacing w:after="120"/>
        <w:ind w:left="170" w:right="147"/>
        <w:jc w:val="center"/>
        <w:rPr>
          <w:b/>
          <w:bCs/>
          <w:i/>
          <w:lang w:val="en-GB"/>
        </w:rPr>
      </w:pPr>
    </w:p>
    <w:p w14:paraId="49DAB9C7" w14:textId="77777777" w:rsidR="00FD2A48" w:rsidRPr="0040294D" w:rsidRDefault="00FD2A48" w:rsidP="00FD2A48">
      <w:pPr>
        <w:spacing w:after="120"/>
        <w:ind w:left="170" w:right="147"/>
        <w:jc w:val="center"/>
        <w:rPr>
          <w:b/>
          <w:bCs/>
          <w:i/>
          <w:lang w:val="en-GB"/>
        </w:rPr>
      </w:pPr>
    </w:p>
    <w:p w14:paraId="6715F2AA" w14:textId="77777777" w:rsidR="00FD2A48" w:rsidRPr="0040294D" w:rsidRDefault="00FD2A48" w:rsidP="00FD2A48">
      <w:pPr>
        <w:spacing w:after="120"/>
        <w:ind w:left="170" w:right="147"/>
        <w:jc w:val="center"/>
        <w:rPr>
          <w:sz w:val="18"/>
          <w:szCs w:val="18"/>
          <w:lang w:val="en-GB"/>
        </w:rPr>
      </w:pPr>
      <w:r w:rsidRPr="0040294D">
        <w:rPr>
          <w:b/>
          <w:bCs/>
          <w:i/>
          <w:lang w:val="en-GB"/>
        </w:rPr>
        <w:t>Figure 2. Curvilinear Relationship between the Level of Acquirer’s HRM Quality</w:t>
      </w:r>
      <w:r w:rsidRPr="0040294D">
        <w:rPr>
          <w:b/>
          <w:bCs/>
          <w:i/>
          <w:lang w:val="en-GB"/>
        </w:rPr>
        <w:br/>
        <w:t>and the Probability of Acquisition Divestment</w:t>
      </w:r>
    </w:p>
    <w:p w14:paraId="500B48C3" w14:textId="77777777" w:rsidR="00FD2A48" w:rsidRPr="0040294D" w:rsidRDefault="00FD2A48" w:rsidP="00FD2A48">
      <w:pPr>
        <w:ind w:right="4"/>
        <w:jc w:val="center"/>
        <w:rPr>
          <w:sz w:val="18"/>
          <w:szCs w:val="18"/>
          <w:lang w:val="en-GB"/>
        </w:rPr>
      </w:pPr>
      <w:r w:rsidRPr="0040294D">
        <w:rPr>
          <w:noProof/>
          <w:lang w:val="en-GB" w:eastAsia="en-GB" w:bidi="he-IL"/>
        </w:rPr>
        <w:drawing>
          <wp:inline distT="0" distB="0" distL="0" distR="0" wp14:anchorId="17C870BF" wp14:editId="7F9A0302">
            <wp:extent cx="5943600" cy="284592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45920"/>
                    </a:xfrm>
                    <a:prstGeom prst="rect">
                      <a:avLst/>
                    </a:prstGeom>
                    <a:noFill/>
                    <a:ln>
                      <a:noFill/>
                    </a:ln>
                  </pic:spPr>
                </pic:pic>
              </a:graphicData>
            </a:graphic>
          </wp:inline>
        </w:drawing>
      </w:r>
    </w:p>
    <w:p w14:paraId="5BF334FC" w14:textId="77777777" w:rsidR="00FD2A48" w:rsidRPr="0040294D" w:rsidRDefault="00FD2A48" w:rsidP="00FD2A48">
      <w:pPr>
        <w:spacing w:after="120"/>
        <w:ind w:right="147"/>
        <w:rPr>
          <w:b/>
          <w:bCs/>
          <w:i/>
          <w:lang w:val="en-GB"/>
        </w:rPr>
      </w:pPr>
      <w:r w:rsidRPr="0040294D">
        <w:rPr>
          <w:lang w:val="en-GB"/>
        </w:rPr>
        <w:br w:type="page"/>
      </w:r>
    </w:p>
    <w:p w14:paraId="1C4480B7" w14:textId="1266D743" w:rsidR="00FD2A48" w:rsidRPr="0040294D" w:rsidRDefault="00FD2A48" w:rsidP="00FD2A48">
      <w:pPr>
        <w:spacing w:after="120"/>
        <w:ind w:left="170" w:right="147"/>
        <w:jc w:val="center"/>
        <w:rPr>
          <w:sz w:val="18"/>
          <w:szCs w:val="18"/>
          <w:lang w:val="en-GB"/>
        </w:rPr>
      </w:pPr>
      <w:r w:rsidRPr="0040294D">
        <w:rPr>
          <w:b/>
          <w:bCs/>
          <w:i/>
          <w:lang w:val="en-GB"/>
        </w:rPr>
        <w:lastRenderedPageBreak/>
        <w:t>Figure 3. Effect of Acquirer Financial Slack on the Curvilinear Relationship between the Level of Acquirer’s HRM Quality and the Probability of Acquisition Divestment</w:t>
      </w:r>
    </w:p>
    <w:p w14:paraId="0B0AA5CE" w14:textId="77777777" w:rsidR="00FD2A48" w:rsidRPr="0040294D" w:rsidRDefault="00FD2A48" w:rsidP="00FD2A48">
      <w:pPr>
        <w:spacing w:after="120"/>
        <w:ind w:left="170" w:right="147"/>
        <w:jc w:val="center"/>
        <w:rPr>
          <w:lang w:val="en-GB"/>
        </w:rPr>
      </w:pPr>
      <w:r w:rsidRPr="0040294D">
        <w:rPr>
          <w:noProof/>
          <w:lang w:val="en-GB" w:eastAsia="en-GB" w:bidi="he-IL"/>
        </w:rPr>
        <w:drawing>
          <wp:inline distT="0" distB="0" distL="0" distR="0" wp14:anchorId="527269B3" wp14:editId="0A4DC92E">
            <wp:extent cx="5943600" cy="287464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74645"/>
                    </a:xfrm>
                    <a:prstGeom prst="rect">
                      <a:avLst/>
                    </a:prstGeom>
                    <a:noFill/>
                    <a:ln>
                      <a:noFill/>
                    </a:ln>
                  </pic:spPr>
                </pic:pic>
              </a:graphicData>
            </a:graphic>
          </wp:inline>
        </w:drawing>
      </w:r>
    </w:p>
    <w:p w14:paraId="35891D58" w14:textId="77777777" w:rsidR="00377954" w:rsidRPr="0040294D" w:rsidRDefault="00377954">
      <w:pPr>
        <w:rPr>
          <w:lang w:val="en-GB"/>
        </w:rPr>
      </w:pPr>
    </w:p>
    <w:sectPr w:rsidR="00377954" w:rsidRPr="0040294D" w:rsidSect="0037795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0DD2" w14:textId="77777777" w:rsidR="00153FE0" w:rsidRDefault="00153FE0">
      <w:r>
        <w:separator/>
      </w:r>
    </w:p>
  </w:endnote>
  <w:endnote w:type="continuationSeparator" w:id="0">
    <w:p w14:paraId="4049616C" w14:textId="77777777" w:rsidR="00153FE0" w:rsidRDefault="0015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14036"/>
      <w:docPartObj>
        <w:docPartGallery w:val="Page Numbers (Bottom of Page)"/>
        <w:docPartUnique/>
      </w:docPartObj>
    </w:sdtPr>
    <w:sdtContent>
      <w:p w14:paraId="652B9252" w14:textId="7F197494" w:rsidR="00835F34" w:rsidRDefault="00835F34" w:rsidP="00377954">
        <w:pPr>
          <w:pStyle w:val="Footer"/>
          <w:jc w:val="right"/>
        </w:pPr>
        <w:r>
          <w:fldChar w:fldCharType="begin"/>
        </w:r>
        <w:r>
          <w:instrText>PAGE   \* MERGEFORMAT</w:instrText>
        </w:r>
        <w:r>
          <w:fldChar w:fldCharType="separate"/>
        </w:r>
        <w:r w:rsidR="00FE2253" w:rsidRPr="00FE2253">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B342" w14:textId="77777777" w:rsidR="00153FE0" w:rsidRDefault="00153FE0">
      <w:r>
        <w:separator/>
      </w:r>
    </w:p>
  </w:footnote>
  <w:footnote w:type="continuationSeparator" w:id="0">
    <w:p w14:paraId="4CFF8942" w14:textId="77777777" w:rsidR="00153FE0" w:rsidRDefault="0015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74B48"/>
    <w:multiLevelType w:val="hybridMultilevel"/>
    <w:tmpl w:val="3ED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8742D"/>
    <w:multiLevelType w:val="hybridMultilevel"/>
    <w:tmpl w:val="6076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D7101"/>
    <w:multiLevelType w:val="hybridMultilevel"/>
    <w:tmpl w:val="CF2C7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77125"/>
    <w:multiLevelType w:val="hybridMultilevel"/>
    <w:tmpl w:val="FEDE3862"/>
    <w:lvl w:ilvl="0" w:tplc="DE5C08FC">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5328F"/>
    <w:multiLevelType w:val="hybridMultilevel"/>
    <w:tmpl w:val="C2466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C35BB"/>
    <w:multiLevelType w:val="multilevel"/>
    <w:tmpl w:val="F4B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64A6C"/>
    <w:multiLevelType w:val="hybridMultilevel"/>
    <w:tmpl w:val="D0F61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14459A"/>
    <w:multiLevelType w:val="hybridMultilevel"/>
    <w:tmpl w:val="E81E5C9A"/>
    <w:lvl w:ilvl="0" w:tplc="F5E63D74">
      <w:numFmt w:val="bullet"/>
      <w:lvlText w:val=""/>
      <w:lvlJc w:val="left"/>
      <w:pPr>
        <w:ind w:left="1069" w:hanging="360"/>
      </w:pPr>
      <w:rPr>
        <w:rFonts w:ascii="Symbol" w:eastAsia="Calibri" w:hAnsi="Symbol" w:cs="Browallia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3CBD4D76"/>
    <w:multiLevelType w:val="multilevel"/>
    <w:tmpl w:val="E0628B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D20DAE"/>
    <w:multiLevelType w:val="hybridMultilevel"/>
    <w:tmpl w:val="1F22A2E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D41E1"/>
    <w:multiLevelType w:val="hybridMultilevel"/>
    <w:tmpl w:val="1452D170"/>
    <w:lvl w:ilvl="0" w:tplc="546663B6">
      <w:start w:val="1"/>
      <w:numFmt w:val="bullet"/>
      <w:lvlText w:val=""/>
      <w:lvlJc w:val="left"/>
      <w:pPr>
        <w:tabs>
          <w:tab w:val="num" w:pos="720"/>
        </w:tabs>
        <w:ind w:left="720" w:hanging="360"/>
      </w:pPr>
      <w:rPr>
        <w:rFonts w:ascii="Wingdings" w:hAnsi="Wingdings" w:hint="default"/>
      </w:rPr>
    </w:lvl>
    <w:lvl w:ilvl="1" w:tplc="DBD05512">
      <w:start w:val="960"/>
      <w:numFmt w:val="bullet"/>
      <w:lvlText w:val="–"/>
      <w:lvlJc w:val="left"/>
      <w:pPr>
        <w:tabs>
          <w:tab w:val="num" w:pos="1440"/>
        </w:tabs>
        <w:ind w:left="1440" w:hanging="360"/>
      </w:pPr>
      <w:rPr>
        <w:rFonts w:ascii="Times New Roman" w:hAnsi="Times New Roman" w:hint="default"/>
      </w:rPr>
    </w:lvl>
    <w:lvl w:ilvl="2" w:tplc="EE5E425A" w:tentative="1">
      <w:start w:val="1"/>
      <w:numFmt w:val="bullet"/>
      <w:lvlText w:val=""/>
      <w:lvlJc w:val="left"/>
      <w:pPr>
        <w:tabs>
          <w:tab w:val="num" w:pos="2160"/>
        </w:tabs>
        <w:ind w:left="2160" w:hanging="360"/>
      </w:pPr>
      <w:rPr>
        <w:rFonts w:ascii="Wingdings" w:hAnsi="Wingdings" w:hint="default"/>
      </w:rPr>
    </w:lvl>
    <w:lvl w:ilvl="3" w:tplc="C5E440D8" w:tentative="1">
      <w:start w:val="1"/>
      <w:numFmt w:val="bullet"/>
      <w:lvlText w:val=""/>
      <w:lvlJc w:val="left"/>
      <w:pPr>
        <w:tabs>
          <w:tab w:val="num" w:pos="2880"/>
        </w:tabs>
        <w:ind w:left="2880" w:hanging="360"/>
      </w:pPr>
      <w:rPr>
        <w:rFonts w:ascii="Wingdings" w:hAnsi="Wingdings" w:hint="default"/>
      </w:rPr>
    </w:lvl>
    <w:lvl w:ilvl="4" w:tplc="1CBCA828" w:tentative="1">
      <w:start w:val="1"/>
      <w:numFmt w:val="bullet"/>
      <w:lvlText w:val=""/>
      <w:lvlJc w:val="left"/>
      <w:pPr>
        <w:tabs>
          <w:tab w:val="num" w:pos="3600"/>
        </w:tabs>
        <w:ind w:left="3600" w:hanging="360"/>
      </w:pPr>
      <w:rPr>
        <w:rFonts w:ascii="Wingdings" w:hAnsi="Wingdings" w:hint="default"/>
      </w:rPr>
    </w:lvl>
    <w:lvl w:ilvl="5" w:tplc="774AD96E" w:tentative="1">
      <w:start w:val="1"/>
      <w:numFmt w:val="bullet"/>
      <w:lvlText w:val=""/>
      <w:lvlJc w:val="left"/>
      <w:pPr>
        <w:tabs>
          <w:tab w:val="num" w:pos="4320"/>
        </w:tabs>
        <w:ind w:left="4320" w:hanging="360"/>
      </w:pPr>
      <w:rPr>
        <w:rFonts w:ascii="Wingdings" w:hAnsi="Wingdings" w:hint="default"/>
      </w:rPr>
    </w:lvl>
    <w:lvl w:ilvl="6" w:tplc="FABA6514" w:tentative="1">
      <w:start w:val="1"/>
      <w:numFmt w:val="bullet"/>
      <w:lvlText w:val=""/>
      <w:lvlJc w:val="left"/>
      <w:pPr>
        <w:tabs>
          <w:tab w:val="num" w:pos="5040"/>
        </w:tabs>
        <w:ind w:left="5040" w:hanging="360"/>
      </w:pPr>
      <w:rPr>
        <w:rFonts w:ascii="Wingdings" w:hAnsi="Wingdings" w:hint="default"/>
      </w:rPr>
    </w:lvl>
    <w:lvl w:ilvl="7" w:tplc="1AA462D4" w:tentative="1">
      <w:start w:val="1"/>
      <w:numFmt w:val="bullet"/>
      <w:lvlText w:val=""/>
      <w:lvlJc w:val="left"/>
      <w:pPr>
        <w:tabs>
          <w:tab w:val="num" w:pos="5760"/>
        </w:tabs>
        <w:ind w:left="5760" w:hanging="360"/>
      </w:pPr>
      <w:rPr>
        <w:rFonts w:ascii="Wingdings" w:hAnsi="Wingdings" w:hint="default"/>
      </w:rPr>
    </w:lvl>
    <w:lvl w:ilvl="8" w:tplc="FC7CB3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E67C5"/>
    <w:multiLevelType w:val="hybridMultilevel"/>
    <w:tmpl w:val="53685424"/>
    <w:lvl w:ilvl="0" w:tplc="5484E6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10066"/>
    <w:multiLevelType w:val="hybridMultilevel"/>
    <w:tmpl w:val="F0487D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161C9B"/>
    <w:multiLevelType w:val="hybridMultilevel"/>
    <w:tmpl w:val="208CF36A"/>
    <w:lvl w:ilvl="0" w:tplc="B7E42110">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44CBB"/>
    <w:multiLevelType w:val="hybridMultilevel"/>
    <w:tmpl w:val="1D162856"/>
    <w:lvl w:ilvl="0" w:tplc="856A925A">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27AA3"/>
    <w:multiLevelType w:val="hybridMultilevel"/>
    <w:tmpl w:val="47CE17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9512377">
    <w:abstractNumId w:val="8"/>
  </w:num>
  <w:num w:numId="2" w16cid:durableId="1564367163">
    <w:abstractNumId w:val="11"/>
  </w:num>
  <w:num w:numId="3" w16cid:durableId="1039014763">
    <w:abstractNumId w:val="5"/>
  </w:num>
  <w:num w:numId="4" w16cid:durableId="598220759">
    <w:abstractNumId w:val="9"/>
  </w:num>
  <w:num w:numId="5" w16cid:durableId="222373877">
    <w:abstractNumId w:val="0"/>
  </w:num>
  <w:num w:numId="6" w16cid:durableId="14113863">
    <w:abstractNumId w:val="7"/>
  </w:num>
  <w:num w:numId="7" w16cid:durableId="464735050">
    <w:abstractNumId w:val="16"/>
  </w:num>
  <w:num w:numId="8" w16cid:durableId="2059433936">
    <w:abstractNumId w:val="6"/>
  </w:num>
  <w:num w:numId="9" w16cid:durableId="1259951496">
    <w:abstractNumId w:val="10"/>
  </w:num>
  <w:num w:numId="10" w16cid:durableId="60755244">
    <w:abstractNumId w:val="14"/>
  </w:num>
  <w:num w:numId="11" w16cid:durableId="804002665">
    <w:abstractNumId w:val="3"/>
  </w:num>
  <w:num w:numId="12" w16cid:durableId="1975064265">
    <w:abstractNumId w:val="12"/>
  </w:num>
  <w:num w:numId="13" w16cid:durableId="1918859230">
    <w:abstractNumId w:val="15"/>
  </w:num>
  <w:num w:numId="14" w16cid:durableId="1919486386">
    <w:abstractNumId w:val="4"/>
  </w:num>
  <w:num w:numId="15" w16cid:durableId="988679213">
    <w:abstractNumId w:val="2"/>
  </w:num>
  <w:num w:numId="16" w16cid:durableId="1218008165">
    <w:abstractNumId w:val="1"/>
  </w:num>
  <w:num w:numId="17" w16cid:durableId="5093740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48"/>
    <w:rsid w:val="00004AAB"/>
    <w:rsid w:val="00007149"/>
    <w:rsid w:val="00026CAE"/>
    <w:rsid w:val="00053B88"/>
    <w:rsid w:val="00066F26"/>
    <w:rsid w:val="00076928"/>
    <w:rsid w:val="0007696C"/>
    <w:rsid w:val="0008477B"/>
    <w:rsid w:val="00093BB6"/>
    <w:rsid w:val="000946D7"/>
    <w:rsid w:val="00095B33"/>
    <w:rsid w:val="000A02F9"/>
    <w:rsid w:val="000A74FB"/>
    <w:rsid w:val="000C02B3"/>
    <w:rsid w:val="000C4601"/>
    <w:rsid w:val="000D16ED"/>
    <w:rsid w:val="000D542F"/>
    <w:rsid w:val="000E50FD"/>
    <w:rsid w:val="000F2968"/>
    <w:rsid w:val="000F513C"/>
    <w:rsid w:val="000F610C"/>
    <w:rsid w:val="00101431"/>
    <w:rsid w:val="00101F90"/>
    <w:rsid w:val="00111C9D"/>
    <w:rsid w:val="00116864"/>
    <w:rsid w:val="00122674"/>
    <w:rsid w:val="00124811"/>
    <w:rsid w:val="00143794"/>
    <w:rsid w:val="001517A9"/>
    <w:rsid w:val="00153FE0"/>
    <w:rsid w:val="0016611A"/>
    <w:rsid w:val="001663F5"/>
    <w:rsid w:val="00171E30"/>
    <w:rsid w:val="0018027A"/>
    <w:rsid w:val="001822B2"/>
    <w:rsid w:val="00187E65"/>
    <w:rsid w:val="001962F9"/>
    <w:rsid w:val="001A7B7B"/>
    <w:rsid w:val="001B7573"/>
    <w:rsid w:val="001B763D"/>
    <w:rsid w:val="001D2890"/>
    <w:rsid w:val="001D7325"/>
    <w:rsid w:val="001E0F0A"/>
    <w:rsid w:val="001E599F"/>
    <w:rsid w:val="001E7D46"/>
    <w:rsid w:val="001F1849"/>
    <w:rsid w:val="001F1CDF"/>
    <w:rsid w:val="001F33E5"/>
    <w:rsid w:val="001F550A"/>
    <w:rsid w:val="002008E5"/>
    <w:rsid w:val="00204652"/>
    <w:rsid w:val="00211DA1"/>
    <w:rsid w:val="002255D7"/>
    <w:rsid w:val="00244324"/>
    <w:rsid w:val="00246E85"/>
    <w:rsid w:val="00255B94"/>
    <w:rsid w:val="00256A69"/>
    <w:rsid w:val="00263B3E"/>
    <w:rsid w:val="00265FDC"/>
    <w:rsid w:val="00266006"/>
    <w:rsid w:val="0026669D"/>
    <w:rsid w:val="00270D9E"/>
    <w:rsid w:val="002710A3"/>
    <w:rsid w:val="00275462"/>
    <w:rsid w:val="00275B91"/>
    <w:rsid w:val="002918F3"/>
    <w:rsid w:val="00297A37"/>
    <w:rsid w:val="002A5313"/>
    <w:rsid w:val="002B5ADD"/>
    <w:rsid w:val="002E2B2B"/>
    <w:rsid w:val="00302D81"/>
    <w:rsid w:val="00306869"/>
    <w:rsid w:val="00310090"/>
    <w:rsid w:val="003116D6"/>
    <w:rsid w:val="00311954"/>
    <w:rsid w:val="00313467"/>
    <w:rsid w:val="00314E24"/>
    <w:rsid w:val="00324916"/>
    <w:rsid w:val="00324E08"/>
    <w:rsid w:val="00333514"/>
    <w:rsid w:val="0034044C"/>
    <w:rsid w:val="0035146A"/>
    <w:rsid w:val="00353983"/>
    <w:rsid w:val="00363866"/>
    <w:rsid w:val="003732AF"/>
    <w:rsid w:val="00376083"/>
    <w:rsid w:val="003778F4"/>
    <w:rsid w:val="00377954"/>
    <w:rsid w:val="003838AF"/>
    <w:rsid w:val="00393C5A"/>
    <w:rsid w:val="003A2744"/>
    <w:rsid w:val="003C3A6E"/>
    <w:rsid w:val="003E301F"/>
    <w:rsid w:val="003E4A55"/>
    <w:rsid w:val="003E51B9"/>
    <w:rsid w:val="003E79BC"/>
    <w:rsid w:val="003E7AD0"/>
    <w:rsid w:val="003F0B5C"/>
    <w:rsid w:val="0040294D"/>
    <w:rsid w:val="0040483B"/>
    <w:rsid w:val="0041292C"/>
    <w:rsid w:val="00415888"/>
    <w:rsid w:val="00433C8E"/>
    <w:rsid w:val="00436256"/>
    <w:rsid w:val="00436C13"/>
    <w:rsid w:val="00437531"/>
    <w:rsid w:val="0044545C"/>
    <w:rsid w:val="00447672"/>
    <w:rsid w:val="00453AD5"/>
    <w:rsid w:val="004624C3"/>
    <w:rsid w:val="004637AB"/>
    <w:rsid w:val="00471D7E"/>
    <w:rsid w:val="004770EC"/>
    <w:rsid w:val="004A1B58"/>
    <w:rsid w:val="004C40A8"/>
    <w:rsid w:val="004D015B"/>
    <w:rsid w:val="004F5A6D"/>
    <w:rsid w:val="00504FB9"/>
    <w:rsid w:val="005143CE"/>
    <w:rsid w:val="00522B89"/>
    <w:rsid w:val="005239BB"/>
    <w:rsid w:val="00525B10"/>
    <w:rsid w:val="00527581"/>
    <w:rsid w:val="00532562"/>
    <w:rsid w:val="0053434B"/>
    <w:rsid w:val="00537EFF"/>
    <w:rsid w:val="0054240B"/>
    <w:rsid w:val="0054564E"/>
    <w:rsid w:val="00556EA8"/>
    <w:rsid w:val="00561F56"/>
    <w:rsid w:val="00574C61"/>
    <w:rsid w:val="005968B8"/>
    <w:rsid w:val="005A3E1D"/>
    <w:rsid w:val="005B19C9"/>
    <w:rsid w:val="005B2829"/>
    <w:rsid w:val="005C4506"/>
    <w:rsid w:val="005D0297"/>
    <w:rsid w:val="005D2F5D"/>
    <w:rsid w:val="005D4AB4"/>
    <w:rsid w:val="005D5DA0"/>
    <w:rsid w:val="005E52ED"/>
    <w:rsid w:val="00607F07"/>
    <w:rsid w:val="0061467C"/>
    <w:rsid w:val="00616215"/>
    <w:rsid w:val="00630AAD"/>
    <w:rsid w:val="006379D8"/>
    <w:rsid w:val="00644577"/>
    <w:rsid w:val="00644B16"/>
    <w:rsid w:val="006569A1"/>
    <w:rsid w:val="00657457"/>
    <w:rsid w:val="00670064"/>
    <w:rsid w:val="006703D7"/>
    <w:rsid w:val="006753A2"/>
    <w:rsid w:val="00676341"/>
    <w:rsid w:val="00683E6A"/>
    <w:rsid w:val="006A1E37"/>
    <w:rsid w:val="006B54F3"/>
    <w:rsid w:val="006B7037"/>
    <w:rsid w:val="006C4940"/>
    <w:rsid w:val="006C6226"/>
    <w:rsid w:val="006D3120"/>
    <w:rsid w:val="006D36A7"/>
    <w:rsid w:val="006D395C"/>
    <w:rsid w:val="006E2ACA"/>
    <w:rsid w:val="006F1F77"/>
    <w:rsid w:val="007100C5"/>
    <w:rsid w:val="00712C67"/>
    <w:rsid w:val="007147E7"/>
    <w:rsid w:val="007171EF"/>
    <w:rsid w:val="0072487B"/>
    <w:rsid w:val="00730838"/>
    <w:rsid w:val="00733BFC"/>
    <w:rsid w:val="00735613"/>
    <w:rsid w:val="0073780B"/>
    <w:rsid w:val="00740FC0"/>
    <w:rsid w:val="00747613"/>
    <w:rsid w:val="00766E07"/>
    <w:rsid w:val="00773EB6"/>
    <w:rsid w:val="007763BC"/>
    <w:rsid w:val="00791B79"/>
    <w:rsid w:val="007A6F22"/>
    <w:rsid w:val="007A7C08"/>
    <w:rsid w:val="007B0F1A"/>
    <w:rsid w:val="007C5ABB"/>
    <w:rsid w:val="007C5FA4"/>
    <w:rsid w:val="007D075F"/>
    <w:rsid w:val="007E42F7"/>
    <w:rsid w:val="0080324D"/>
    <w:rsid w:val="00805F1B"/>
    <w:rsid w:val="00806B22"/>
    <w:rsid w:val="00816269"/>
    <w:rsid w:val="00835ABE"/>
    <w:rsid w:val="00835F34"/>
    <w:rsid w:val="008361C1"/>
    <w:rsid w:val="00836900"/>
    <w:rsid w:val="00836AE4"/>
    <w:rsid w:val="00837ACF"/>
    <w:rsid w:val="008437C5"/>
    <w:rsid w:val="00844425"/>
    <w:rsid w:val="00846362"/>
    <w:rsid w:val="00863324"/>
    <w:rsid w:val="00871AAC"/>
    <w:rsid w:val="00873992"/>
    <w:rsid w:val="008870C0"/>
    <w:rsid w:val="00892E7F"/>
    <w:rsid w:val="0089364E"/>
    <w:rsid w:val="008A0430"/>
    <w:rsid w:val="008B4238"/>
    <w:rsid w:val="008C3683"/>
    <w:rsid w:val="008D3FBF"/>
    <w:rsid w:val="008D4D59"/>
    <w:rsid w:val="00900946"/>
    <w:rsid w:val="00902DE0"/>
    <w:rsid w:val="00903256"/>
    <w:rsid w:val="00910C54"/>
    <w:rsid w:val="00913159"/>
    <w:rsid w:val="009144C6"/>
    <w:rsid w:val="00917F58"/>
    <w:rsid w:val="00917FB9"/>
    <w:rsid w:val="00926B16"/>
    <w:rsid w:val="00926F82"/>
    <w:rsid w:val="00937DDA"/>
    <w:rsid w:val="009456EB"/>
    <w:rsid w:val="00945A7D"/>
    <w:rsid w:val="00954E5E"/>
    <w:rsid w:val="009576C3"/>
    <w:rsid w:val="00971127"/>
    <w:rsid w:val="009759C9"/>
    <w:rsid w:val="009838F7"/>
    <w:rsid w:val="00993BD6"/>
    <w:rsid w:val="009A3B69"/>
    <w:rsid w:val="009A470F"/>
    <w:rsid w:val="009B3C60"/>
    <w:rsid w:val="009B528D"/>
    <w:rsid w:val="009B73D3"/>
    <w:rsid w:val="009E3585"/>
    <w:rsid w:val="009E35F6"/>
    <w:rsid w:val="009F0CEA"/>
    <w:rsid w:val="009F2FBD"/>
    <w:rsid w:val="009F60A8"/>
    <w:rsid w:val="00A04CDD"/>
    <w:rsid w:val="00A07DC9"/>
    <w:rsid w:val="00A16A7E"/>
    <w:rsid w:val="00A351B7"/>
    <w:rsid w:val="00A37C6A"/>
    <w:rsid w:val="00A40C1B"/>
    <w:rsid w:val="00A418F5"/>
    <w:rsid w:val="00A55D12"/>
    <w:rsid w:val="00A570A0"/>
    <w:rsid w:val="00A60357"/>
    <w:rsid w:val="00A633EF"/>
    <w:rsid w:val="00A674FD"/>
    <w:rsid w:val="00A71EA7"/>
    <w:rsid w:val="00A73127"/>
    <w:rsid w:val="00A734FE"/>
    <w:rsid w:val="00A933A2"/>
    <w:rsid w:val="00A9378B"/>
    <w:rsid w:val="00A9620F"/>
    <w:rsid w:val="00AA5225"/>
    <w:rsid w:val="00AA7F71"/>
    <w:rsid w:val="00AB030A"/>
    <w:rsid w:val="00AB109B"/>
    <w:rsid w:val="00AC464D"/>
    <w:rsid w:val="00AD0519"/>
    <w:rsid w:val="00AD0A6C"/>
    <w:rsid w:val="00AF26C8"/>
    <w:rsid w:val="00AF520A"/>
    <w:rsid w:val="00B0248E"/>
    <w:rsid w:val="00B057E3"/>
    <w:rsid w:val="00B16149"/>
    <w:rsid w:val="00B17A02"/>
    <w:rsid w:val="00B2527B"/>
    <w:rsid w:val="00B27A7C"/>
    <w:rsid w:val="00B367E8"/>
    <w:rsid w:val="00B42090"/>
    <w:rsid w:val="00B44DEC"/>
    <w:rsid w:val="00B478B9"/>
    <w:rsid w:val="00B53CE8"/>
    <w:rsid w:val="00B53FE3"/>
    <w:rsid w:val="00B66755"/>
    <w:rsid w:val="00B90607"/>
    <w:rsid w:val="00BA299B"/>
    <w:rsid w:val="00BB09FF"/>
    <w:rsid w:val="00BB1C11"/>
    <w:rsid w:val="00BC0947"/>
    <w:rsid w:val="00BC3B94"/>
    <w:rsid w:val="00BC5E75"/>
    <w:rsid w:val="00BC71AA"/>
    <w:rsid w:val="00BD6EC1"/>
    <w:rsid w:val="00BE04F5"/>
    <w:rsid w:val="00BF2FBB"/>
    <w:rsid w:val="00BF34B2"/>
    <w:rsid w:val="00C0082A"/>
    <w:rsid w:val="00C00845"/>
    <w:rsid w:val="00C03C04"/>
    <w:rsid w:val="00C10109"/>
    <w:rsid w:val="00C118BA"/>
    <w:rsid w:val="00C1635A"/>
    <w:rsid w:val="00C17D71"/>
    <w:rsid w:val="00C31737"/>
    <w:rsid w:val="00C402BB"/>
    <w:rsid w:val="00C408A9"/>
    <w:rsid w:val="00C60673"/>
    <w:rsid w:val="00C60B94"/>
    <w:rsid w:val="00C621F0"/>
    <w:rsid w:val="00C6484F"/>
    <w:rsid w:val="00CA16AB"/>
    <w:rsid w:val="00CA6C44"/>
    <w:rsid w:val="00CB2B91"/>
    <w:rsid w:val="00CB448B"/>
    <w:rsid w:val="00CB58B9"/>
    <w:rsid w:val="00CB5C86"/>
    <w:rsid w:val="00CC299C"/>
    <w:rsid w:val="00CC7D64"/>
    <w:rsid w:val="00CD416C"/>
    <w:rsid w:val="00CE1825"/>
    <w:rsid w:val="00CE194A"/>
    <w:rsid w:val="00CF0E83"/>
    <w:rsid w:val="00CF2845"/>
    <w:rsid w:val="00CF41B6"/>
    <w:rsid w:val="00CF520F"/>
    <w:rsid w:val="00D01DCC"/>
    <w:rsid w:val="00D05ABB"/>
    <w:rsid w:val="00D10D11"/>
    <w:rsid w:val="00D10F7F"/>
    <w:rsid w:val="00D11D9E"/>
    <w:rsid w:val="00D14C72"/>
    <w:rsid w:val="00D1552D"/>
    <w:rsid w:val="00D1664A"/>
    <w:rsid w:val="00D21648"/>
    <w:rsid w:val="00D24D6A"/>
    <w:rsid w:val="00D324C1"/>
    <w:rsid w:val="00D32AB9"/>
    <w:rsid w:val="00D404ED"/>
    <w:rsid w:val="00D43A93"/>
    <w:rsid w:val="00D571DF"/>
    <w:rsid w:val="00D65FB9"/>
    <w:rsid w:val="00D703B3"/>
    <w:rsid w:val="00D8492A"/>
    <w:rsid w:val="00D95F12"/>
    <w:rsid w:val="00DA4984"/>
    <w:rsid w:val="00DC0214"/>
    <w:rsid w:val="00DC701A"/>
    <w:rsid w:val="00DD291C"/>
    <w:rsid w:val="00DE53CE"/>
    <w:rsid w:val="00DF57ED"/>
    <w:rsid w:val="00E030DE"/>
    <w:rsid w:val="00E14321"/>
    <w:rsid w:val="00E20D1C"/>
    <w:rsid w:val="00E2160F"/>
    <w:rsid w:val="00E4049E"/>
    <w:rsid w:val="00E53BD5"/>
    <w:rsid w:val="00E53CD4"/>
    <w:rsid w:val="00E617FB"/>
    <w:rsid w:val="00E6445B"/>
    <w:rsid w:val="00E729A2"/>
    <w:rsid w:val="00E924F6"/>
    <w:rsid w:val="00E95750"/>
    <w:rsid w:val="00EA217A"/>
    <w:rsid w:val="00EA2DC3"/>
    <w:rsid w:val="00EB2389"/>
    <w:rsid w:val="00EB5065"/>
    <w:rsid w:val="00EB79EC"/>
    <w:rsid w:val="00EC0873"/>
    <w:rsid w:val="00EC455A"/>
    <w:rsid w:val="00EC6E84"/>
    <w:rsid w:val="00ED069F"/>
    <w:rsid w:val="00EE26BF"/>
    <w:rsid w:val="00EE3D4F"/>
    <w:rsid w:val="00EE621D"/>
    <w:rsid w:val="00EF10AC"/>
    <w:rsid w:val="00EF2CE4"/>
    <w:rsid w:val="00EF5C1E"/>
    <w:rsid w:val="00F015E3"/>
    <w:rsid w:val="00F07119"/>
    <w:rsid w:val="00F258AE"/>
    <w:rsid w:val="00F25908"/>
    <w:rsid w:val="00F31BC9"/>
    <w:rsid w:val="00F4089B"/>
    <w:rsid w:val="00F5673C"/>
    <w:rsid w:val="00F6468E"/>
    <w:rsid w:val="00F80BED"/>
    <w:rsid w:val="00F81887"/>
    <w:rsid w:val="00F83B3D"/>
    <w:rsid w:val="00F8771A"/>
    <w:rsid w:val="00F9383B"/>
    <w:rsid w:val="00F975E6"/>
    <w:rsid w:val="00FA1DA4"/>
    <w:rsid w:val="00FA6FDD"/>
    <w:rsid w:val="00FA7699"/>
    <w:rsid w:val="00FB0530"/>
    <w:rsid w:val="00FB393E"/>
    <w:rsid w:val="00FC3EE0"/>
    <w:rsid w:val="00FC7CA7"/>
    <w:rsid w:val="00FD122D"/>
    <w:rsid w:val="00FD2A48"/>
    <w:rsid w:val="00FD37ED"/>
    <w:rsid w:val="00FD3A01"/>
    <w:rsid w:val="00FE2253"/>
    <w:rsid w:val="00FE2E04"/>
    <w:rsid w:val="00FE2E4A"/>
    <w:rsid w:val="00FF2EA3"/>
    <w:rsid w:val="00FF3FE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19E3"/>
  <w15:chartTrackingRefBased/>
  <w15:docId w15:val="{52CDF9D4-F614-C949-A494-DAA65D43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AB"/>
    <w:rPr>
      <w:rFonts w:ascii="Times New Roman" w:eastAsia="Times New Roman" w:hAnsi="Times New Roman" w:cs="Times New Roman"/>
    </w:rPr>
  </w:style>
  <w:style w:type="paragraph" w:styleId="Heading1">
    <w:name w:val="heading 1"/>
    <w:basedOn w:val="Normal"/>
    <w:next w:val="Normal"/>
    <w:link w:val="Heading1Char"/>
    <w:uiPriority w:val="9"/>
    <w:qFormat/>
    <w:rsid w:val="00FD2A48"/>
    <w:pPr>
      <w:keepNext/>
      <w:keepLines/>
      <w:spacing w:before="480"/>
      <w:outlineLvl w:val="0"/>
    </w:pPr>
    <w:rPr>
      <w:rFonts w:ascii="Cambria" w:eastAsia="SimSun" w:hAnsi="Cambria"/>
      <w:b/>
      <w:bCs/>
      <w:color w:val="365F91"/>
      <w:sz w:val="28"/>
      <w:szCs w:val="28"/>
      <w:lang w:val="en-GB" w:eastAsia="en-GB"/>
    </w:rPr>
  </w:style>
  <w:style w:type="paragraph" w:styleId="Heading3">
    <w:name w:val="heading 3"/>
    <w:basedOn w:val="Normal"/>
    <w:next w:val="Normal"/>
    <w:link w:val="Heading3Char"/>
    <w:uiPriority w:val="9"/>
    <w:qFormat/>
    <w:rsid w:val="00FD2A48"/>
    <w:pPr>
      <w:keepNext/>
      <w:keepLines/>
      <w:spacing w:before="200"/>
      <w:outlineLvl w:val="2"/>
    </w:pPr>
    <w:rPr>
      <w:rFonts w:ascii="Cambria" w:eastAsia="SimSun" w:hAnsi="Cambria"/>
      <w:b/>
      <w:bCs/>
      <w:color w:val="4F81BD"/>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48"/>
    <w:rPr>
      <w:rFonts w:ascii="Cambria" w:eastAsia="SimSun" w:hAnsi="Cambria" w:cs="Times New Roman"/>
      <w:b/>
      <w:bCs/>
      <w:color w:val="365F91"/>
      <w:sz w:val="28"/>
      <w:szCs w:val="28"/>
      <w:lang w:val="en-GB" w:eastAsia="en-GB"/>
    </w:rPr>
  </w:style>
  <w:style w:type="character" w:customStyle="1" w:styleId="Heading3Char">
    <w:name w:val="Heading 3 Char"/>
    <w:basedOn w:val="DefaultParagraphFont"/>
    <w:link w:val="Heading3"/>
    <w:uiPriority w:val="9"/>
    <w:rsid w:val="00FD2A48"/>
    <w:rPr>
      <w:rFonts w:ascii="Cambria" w:eastAsia="SimSun" w:hAnsi="Cambria" w:cs="Times New Roman"/>
      <w:b/>
      <w:bCs/>
      <w:color w:val="4F81BD"/>
      <w:lang w:val="nb-NO" w:eastAsia="nb-NO"/>
    </w:rPr>
  </w:style>
  <w:style w:type="paragraph" w:styleId="FootnoteText">
    <w:name w:val="footnote text"/>
    <w:basedOn w:val="Normal"/>
    <w:link w:val="FootnoteTextChar"/>
    <w:uiPriority w:val="99"/>
    <w:unhideWhenUsed/>
    <w:rsid w:val="00FD2A48"/>
    <w:rPr>
      <w:rFonts w:eastAsia="Calibri"/>
      <w:sz w:val="20"/>
      <w:szCs w:val="20"/>
      <w:lang w:val="en-GB" w:eastAsia="en-GB"/>
    </w:rPr>
  </w:style>
  <w:style w:type="character" w:customStyle="1" w:styleId="FootnoteTextChar">
    <w:name w:val="Footnote Text Char"/>
    <w:basedOn w:val="DefaultParagraphFont"/>
    <w:link w:val="FootnoteText"/>
    <w:uiPriority w:val="99"/>
    <w:rsid w:val="00FD2A48"/>
    <w:rPr>
      <w:rFonts w:ascii="Times New Roman" w:eastAsia="Calibri" w:hAnsi="Times New Roman" w:cs="Times New Roman"/>
      <w:sz w:val="20"/>
      <w:szCs w:val="20"/>
      <w:lang w:val="en-GB" w:eastAsia="en-GB"/>
    </w:rPr>
  </w:style>
  <w:style w:type="character" w:styleId="FootnoteReference">
    <w:name w:val="footnote reference"/>
    <w:uiPriority w:val="99"/>
    <w:semiHidden/>
    <w:unhideWhenUsed/>
    <w:rsid w:val="00FD2A48"/>
    <w:rPr>
      <w:vertAlign w:val="superscript"/>
    </w:rPr>
  </w:style>
  <w:style w:type="paragraph" w:styleId="BalloonText">
    <w:name w:val="Balloon Text"/>
    <w:basedOn w:val="Normal"/>
    <w:link w:val="BalloonTextChar"/>
    <w:uiPriority w:val="99"/>
    <w:semiHidden/>
    <w:unhideWhenUsed/>
    <w:rsid w:val="00FD2A48"/>
    <w:rPr>
      <w:rFonts w:ascii="Tahoma" w:eastAsia="Calibri" w:hAnsi="Tahoma" w:cs="Tahoma"/>
      <w:sz w:val="16"/>
      <w:szCs w:val="16"/>
      <w:lang w:val="en-GB" w:eastAsia="en-GB"/>
    </w:rPr>
  </w:style>
  <w:style w:type="character" w:customStyle="1" w:styleId="BalloonTextChar">
    <w:name w:val="Balloon Text Char"/>
    <w:basedOn w:val="DefaultParagraphFont"/>
    <w:link w:val="BalloonText"/>
    <w:uiPriority w:val="99"/>
    <w:semiHidden/>
    <w:rsid w:val="00FD2A48"/>
    <w:rPr>
      <w:rFonts w:ascii="Tahoma" w:eastAsia="Calibri" w:hAnsi="Tahoma" w:cs="Tahoma"/>
      <w:sz w:val="16"/>
      <w:szCs w:val="16"/>
      <w:lang w:val="en-GB" w:eastAsia="en-GB"/>
    </w:rPr>
  </w:style>
  <w:style w:type="paragraph" w:customStyle="1" w:styleId="Listecouleur-Accent11">
    <w:name w:val="Liste couleur - Accent 11"/>
    <w:basedOn w:val="Normal"/>
    <w:uiPriority w:val="34"/>
    <w:qFormat/>
    <w:rsid w:val="00FD2A48"/>
    <w:pPr>
      <w:ind w:left="720"/>
      <w:contextualSpacing/>
    </w:pPr>
    <w:rPr>
      <w:rFonts w:eastAsia="Calibri"/>
      <w:lang w:val="en-GB" w:eastAsia="en-GB"/>
    </w:rPr>
  </w:style>
  <w:style w:type="character" w:customStyle="1" w:styleId="medium-font1">
    <w:name w:val="medium-font1"/>
    <w:rsid w:val="00FD2A48"/>
    <w:rPr>
      <w:sz w:val="19"/>
      <w:szCs w:val="19"/>
    </w:rPr>
  </w:style>
  <w:style w:type="character" w:customStyle="1" w:styleId="ecxbold">
    <w:name w:val="ecxbold"/>
    <w:basedOn w:val="DefaultParagraphFont"/>
    <w:rsid w:val="00FD2A48"/>
  </w:style>
  <w:style w:type="character" w:customStyle="1" w:styleId="ecxitalic">
    <w:name w:val="ecxitalic"/>
    <w:basedOn w:val="DefaultParagraphFont"/>
    <w:rsid w:val="00FD2A48"/>
  </w:style>
  <w:style w:type="character" w:customStyle="1" w:styleId="gsa1">
    <w:name w:val="gs_a1"/>
    <w:rsid w:val="00FD2A48"/>
    <w:rPr>
      <w:color w:val="008000"/>
    </w:rPr>
  </w:style>
  <w:style w:type="character" w:customStyle="1" w:styleId="bold1">
    <w:name w:val="bold1"/>
    <w:rsid w:val="00FD2A48"/>
    <w:rPr>
      <w:b/>
      <w:bCs/>
    </w:rPr>
  </w:style>
  <w:style w:type="paragraph" w:styleId="Header">
    <w:name w:val="header"/>
    <w:basedOn w:val="Normal"/>
    <w:link w:val="HeaderChar"/>
    <w:uiPriority w:val="99"/>
    <w:unhideWhenUsed/>
    <w:rsid w:val="00FD2A48"/>
    <w:pPr>
      <w:tabs>
        <w:tab w:val="center" w:pos="4536"/>
        <w:tab w:val="right" w:pos="9072"/>
      </w:tabs>
    </w:pPr>
    <w:rPr>
      <w:rFonts w:eastAsia="Calibri"/>
      <w:lang w:val="en-GB" w:eastAsia="en-GB"/>
    </w:rPr>
  </w:style>
  <w:style w:type="character" w:customStyle="1" w:styleId="HeaderChar">
    <w:name w:val="Header Char"/>
    <w:basedOn w:val="DefaultParagraphFont"/>
    <w:link w:val="Header"/>
    <w:uiPriority w:val="99"/>
    <w:rsid w:val="00FD2A48"/>
    <w:rPr>
      <w:rFonts w:ascii="Times New Roman" w:eastAsia="Calibri" w:hAnsi="Times New Roman" w:cs="Times New Roman"/>
      <w:lang w:val="en-GB" w:eastAsia="en-GB"/>
    </w:rPr>
  </w:style>
  <w:style w:type="paragraph" w:styleId="Footer">
    <w:name w:val="footer"/>
    <w:basedOn w:val="Normal"/>
    <w:link w:val="FooterChar"/>
    <w:uiPriority w:val="99"/>
    <w:unhideWhenUsed/>
    <w:rsid w:val="00FD2A48"/>
    <w:pPr>
      <w:tabs>
        <w:tab w:val="center" w:pos="4536"/>
        <w:tab w:val="right" w:pos="9072"/>
      </w:tabs>
    </w:pPr>
    <w:rPr>
      <w:rFonts w:eastAsia="Calibri"/>
      <w:lang w:val="en-GB" w:eastAsia="en-GB"/>
    </w:rPr>
  </w:style>
  <w:style w:type="character" w:customStyle="1" w:styleId="FooterChar">
    <w:name w:val="Footer Char"/>
    <w:basedOn w:val="DefaultParagraphFont"/>
    <w:link w:val="Footer"/>
    <w:uiPriority w:val="99"/>
    <w:rsid w:val="00FD2A48"/>
    <w:rPr>
      <w:rFonts w:ascii="Times New Roman" w:eastAsia="Calibri" w:hAnsi="Times New Roman" w:cs="Times New Roman"/>
      <w:lang w:val="en-GB" w:eastAsia="en-GB"/>
    </w:rPr>
  </w:style>
  <w:style w:type="character" w:styleId="Hyperlink">
    <w:name w:val="Hyperlink"/>
    <w:uiPriority w:val="99"/>
    <w:unhideWhenUsed/>
    <w:rsid w:val="00FD2A48"/>
    <w:rPr>
      <w:color w:val="0000FF"/>
      <w:u w:val="single"/>
    </w:rPr>
  </w:style>
  <w:style w:type="paragraph" w:styleId="DocumentMap">
    <w:name w:val="Document Map"/>
    <w:basedOn w:val="Normal"/>
    <w:link w:val="DocumentMapChar"/>
    <w:uiPriority w:val="99"/>
    <w:semiHidden/>
    <w:unhideWhenUsed/>
    <w:rsid w:val="00FD2A48"/>
    <w:rPr>
      <w:rFonts w:ascii="Tahoma" w:hAnsi="Tahoma" w:cs="Tahoma"/>
      <w:sz w:val="16"/>
      <w:szCs w:val="16"/>
    </w:rPr>
  </w:style>
  <w:style w:type="character" w:customStyle="1" w:styleId="DocumentMapChar">
    <w:name w:val="Document Map Char"/>
    <w:basedOn w:val="DefaultParagraphFont"/>
    <w:link w:val="DocumentMap"/>
    <w:uiPriority w:val="99"/>
    <w:semiHidden/>
    <w:rsid w:val="00FD2A48"/>
    <w:rPr>
      <w:rFonts w:ascii="Tahoma" w:eastAsia="Times New Roman" w:hAnsi="Tahoma" w:cs="Tahoma"/>
      <w:sz w:val="16"/>
      <w:szCs w:val="16"/>
    </w:rPr>
  </w:style>
  <w:style w:type="table" w:styleId="TableGrid">
    <w:name w:val="Table Grid"/>
    <w:basedOn w:val="TableNormal"/>
    <w:uiPriority w:val="59"/>
    <w:rsid w:val="00FD2A48"/>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FD2A48"/>
    <w:pPr>
      <w:widowControl w:val="0"/>
      <w:autoSpaceDE w:val="0"/>
      <w:autoSpaceDN w:val="0"/>
      <w:adjustRightInd w:val="0"/>
    </w:pPr>
    <w:rPr>
      <w:rFonts w:ascii="Arial" w:eastAsia="Calibri" w:hAnsi="Arial" w:cs="Arial"/>
    </w:rPr>
  </w:style>
  <w:style w:type="character" w:styleId="CommentReference">
    <w:name w:val="annotation reference"/>
    <w:uiPriority w:val="99"/>
    <w:semiHidden/>
    <w:unhideWhenUsed/>
    <w:rsid w:val="00FD2A48"/>
    <w:rPr>
      <w:sz w:val="16"/>
      <w:szCs w:val="16"/>
    </w:rPr>
  </w:style>
  <w:style w:type="paragraph" w:styleId="CommentText">
    <w:name w:val="annotation text"/>
    <w:basedOn w:val="Normal"/>
    <w:link w:val="CommentTextChar"/>
    <w:unhideWhenUsed/>
    <w:rsid w:val="00FD2A48"/>
    <w:rPr>
      <w:rFonts w:ascii="Calibri" w:eastAsia="Calibri" w:hAnsi="Calibri" w:cs="Arial"/>
      <w:sz w:val="20"/>
      <w:szCs w:val="20"/>
      <w:lang w:val="en-GB" w:eastAsia="en-GB"/>
    </w:rPr>
  </w:style>
  <w:style w:type="character" w:customStyle="1" w:styleId="CommentTextChar">
    <w:name w:val="Comment Text Char"/>
    <w:basedOn w:val="DefaultParagraphFont"/>
    <w:link w:val="CommentText"/>
    <w:rsid w:val="00FD2A48"/>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FD2A48"/>
    <w:pPr>
      <w:autoSpaceDE w:val="0"/>
      <w:autoSpaceDN w:val="0"/>
      <w:adjustRightInd w:val="0"/>
    </w:pPr>
    <w:rPr>
      <w:rFonts w:cs="Calibri"/>
      <w:b/>
      <w:bCs/>
    </w:rPr>
  </w:style>
  <w:style w:type="character" w:customStyle="1" w:styleId="CommentSubjectChar">
    <w:name w:val="Comment Subject Char"/>
    <w:basedOn w:val="CommentTextChar"/>
    <w:link w:val="CommentSubject"/>
    <w:uiPriority w:val="99"/>
    <w:semiHidden/>
    <w:rsid w:val="00FD2A48"/>
    <w:rPr>
      <w:rFonts w:ascii="Calibri" w:eastAsia="Calibri" w:hAnsi="Calibri" w:cs="Calibri"/>
      <w:b/>
      <w:bCs/>
      <w:sz w:val="20"/>
      <w:szCs w:val="20"/>
      <w:lang w:val="en-GB" w:eastAsia="en-GB"/>
    </w:rPr>
  </w:style>
  <w:style w:type="character" w:styleId="Emphasis">
    <w:name w:val="Emphasis"/>
    <w:uiPriority w:val="20"/>
    <w:qFormat/>
    <w:rsid w:val="00FD2A48"/>
    <w:rPr>
      <w:i/>
      <w:iCs/>
    </w:rPr>
  </w:style>
  <w:style w:type="paragraph" w:styleId="NormalWeb">
    <w:name w:val="Normal (Web)"/>
    <w:basedOn w:val="Normal"/>
    <w:uiPriority w:val="99"/>
    <w:unhideWhenUsed/>
    <w:rsid w:val="00FD2A48"/>
    <w:pPr>
      <w:spacing w:before="100" w:beforeAutospacing="1" w:after="100" w:afterAutospacing="1"/>
    </w:pPr>
    <w:rPr>
      <w:rFonts w:eastAsia="Calibri"/>
      <w:lang w:val="en-GB" w:eastAsia="en-GB"/>
    </w:rPr>
  </w:style>
  <w:style w:type="character" w:customStyle="1" w:styleId="apple-converted-space">
    <w:name w:val="apple-converted-space"/>
    <w:basedOn w:val="DefaultParagraphFont"/>
    <w:rsid w:val="00FD2A48"/>
  </w:style>
  <w:style w:type="character" w:styleId="Strong">
    <w:name w:val="Strong"/>
    <w:uiPriority w:val="22"/>
    <w:qFormat/>
    <w:rsid w:val="00FD2A48"/>
    <w:rPr>
      <w:b/>
      <w:bCs/>
    </w:rPr>
  </w:style>
  <w:style w:type="paragraph" w:customStyle="1" w:styleId="Tramecouleur-Accent11">
    <w:name w:val="Trame couleur - Accent 11"/>
    <w:hidden/>
    <w:uiPriority w:val="71"/>
    <w:unhideWhenUsed/>
    <w:rsid w:val="00FD2A48"/>
    <w:rPr>
      <w:rFonts w:ascii="Calibri" w:eastAsia="Calibri" w:hAnsi="Calibri" w:cs="Calibri"/>
      <w:sz w:val="22"/>
      <w:szCs w:val="22"/>
    </w:rPr>
  </w:style>
  <w:style w:type="paragraph" w:customStyle="1" w:styleId="textbox">
    <w:name w:val="textbox"/>
    <w:basedOn w:val="Normal"/>
    <w:rsid w:val="00FD2A48"/>
    <w:pPr>
      <w:spacing w:before="100" w:beforeAutospacing="1" w:after="100" w:afterAutospacing="1"/>
    </w:pPr>
    <w:rPr>
      <w:rFonts w:eastAsia="Calibri"/>
      <w:lang w:val="en-GB" w:eastAsia="en-GB"/>
    </w:rPr>
  </w:style>
  <w:style w:type="paragraph" w:styleId="PlainText">
    <w:name w:val="Plain Text"/>
    <w:basedOn w:val="Normal"/>
    <w:link w:val="PlainTextChar"/>
    <w:uiPriority w:val="99"/>
    <w:unhideWhenUsed/>
    <w:rsid w:val="00FD2A48"/>
    <w:rPr>
      <w:rFonts w:ascii="Calibri" w:hAnsi="Calibri"/>
      <w:sz w:val="22"/>
      <w:szCs w:val="21"/>
      <w:lang w:bidi="he-IL"/>
    </w:rPr>
  </w:style>
  <w:style w:type="character" w:customStyle="1" w:styleId="PlainTextChar">
    <w:name w:val="Plain Text Char"/>
    <w:basedOn w:val="DefaultParagraphFont"/>
    <w:link w:val="PlainText"/>
    <w:uiPriority w:val="99"/>
    <w:rsid w:val="00FD2A48"/>
    <w:rPr>
      <w:rFonts w:ascii="Calibri" w:eastAsia="Times New Roman" w:hAnsi="Calibri" w:cs="Times New Roman"/>
      <w:sz w:val="22"/>
      <w:szCs w:val="21"/>
      <w:lang w:bidi="he-IL"/>
    </w:rPr>
  </w:style>
  <w:style w:type="character" w:styleId="FollowedHyperlink">
    <w:name w:val="FollowedHyperlink"/>
    <w:basedOn w:val="DefaultParagraphFont"/>
    <w:uiPriority w:val="99"/>
    <w:semiHidden/>
    <w:unhideWhenUsed/>
    <w:rsid w:val="00FD2A48"/>
    <w:rPr>
      <w:color w:val="954F72" w:themeColor="followedHyperlink"/>
      <w:u w:val="single"/>
    </w:rPr>
  </w:style>
  <w:style w:type="paragraph" w:customStyle="1" w:styleId="yiv9295061073msonormal">
    <w:name w:val="yiv9295061073msonormal"/>
    <w:basedOn w:val="Normal"/>
    <w:rsid w:val="00FD2A48"/>
    <w:pPr>
      <w:spacing w:before="100" w:beforeAutospacing="1" w:after="100" w:afterAutospacing="1"/>
    </w:pPr>
    <w:rPr>
      <w:rFonts w:eastAsia="Calibri"/>
      <w:lang w:val="en-GB" w:eastAsia="en-GB"/>
    </w:rPr>
  </w:style>
  <w:style w:type="character" w:customStyle="1" w:styleId="yiv9295061073apple-converted-space">
    <w:name w:val="yiv9295061073apple-converted-space"/>
    <w:basedOn w:val="DefaultParagraphFont"/>
    <w:rsid w:val="00FD2A48"/>
  </w:style>
  <w:style w:type="paragraph" w:customStyle="1" w:styleId="yiv7138558910msonormal">
    <w:name w:val="yiv7138558910msonormal"/>
    <w:basedOn w:val="Normal"/>
    <w:rsid w:val="00FD2A48"/>
    <w:pPr>
      <w:spacing w:before="100" w:beforeAutospacing="1" w:after="100" w:afterAutospacing="1"/>
    </w:pPr>
    <w:rPr>
      <w:rFonts w:eastAsia="Calibri"/>
      <w:lang w:val="en-GB" w:eastAsia="en-GB"/>
    </w:rPr>
  </w:style>
  <w:style w:type="paragraph" w:styleId="Revision">
    <w:name w:val="Revision"/>
    <w:hidden/>
    <w:uiPriority w:val="62"/>
    <w:semiHidden/>
    <w:rsid w:val="00FD2A48"/>
    <w:rPr>
      <w:rFonts w:eastAsia="Calibri" w:cs="Times New Roman"/>
      <w:lang w:val="en-GB" w:eastAsia="en-GB"/>
    </w:rPr>
  </w:style>
  <w:style w:type="paragraph" w:styleId="ListParagraph">
    <w:name w:val="List Paragraph"/>
    <w:basedOn w:val="Normal"/>
    <w:uiPriority w:val="34"/>
    <w:qFormat/>
    <w:rsid w:val="00FD2A48"/>
    <w:pPr>
      <w:ind w:left="720"/>
      <w:contextualSpacing/>
    </w:pPr>
    <w:rPr>
      <w:rFonts w:eastAsia="Calibri"/>
      <w:lang w:val="en-GB" w:eastAsia="en-GB"/>
    </w:rPr>
  </w:style>
  <w:style w:type="paragraph" w:customStyle="1" w:styleId="paragraph">
    <w:name w:val="paragraph"/>
    <w:basedOn w:val="Normal"/>
    <w:rsid w:val="00FD2A48"/>
    <w:pPr>
      <w:spacing w:before="100" w:beforeAutospacing="1" w:after="100" w:afterAutospacing="1"/>
    </w:pPr>
  </w:style>
  <w:style w:type="character" w:customStyle="1" w:styleId="normaltextrun">
    <w:name w:val="normaltextrun"/>
    <w:basedOn w:val="DefaultParagraphFont"/>
    <w:rsid w:val="00FD2A48"/>
  </w:style>
  <w:style w:type="character" w:customStyle="1" w:styleId="eop">
    <w:name w:val="eop"/>
    <w:basedOn w:val="DefaultParagraphFont"/>
    <w:rsid w:val="00FD2A48"/>
  </w:style>
  <w:style w:type="character" w:customStyle="1" w:styleId="scxw131162042">
    <w:name w:val="scxw131162042"/>
    <w:basedOn w:val="DefaultParagraphFont"/>
    <w:rsid w:val="00FD2A48"/>
  </w:style>
  <w:style w:type="character" w:customStyle="1" w:styleId="scxw20178070">
    <w:name w:val="scxw20178070"/>
    <w:basedOn w:val="DefaultParagraphFont"/>
    <w:rsid w:val="00FD2A48"/>
  </w:style>
  <w:style w:type="character" w:customStyle="1" w:styleId="spellingerror">
    <w:name w:val="spellingerror"/>
    <w:basedOn w:val="DefaultParagraphFont"/>
    <w:rsid w:val="00FD2A48"/>
  </w:style>
  <w:style w:type="character" w:customStyle="1" w:styleId="highlight">
    <w:name w:val="highlight"/>
    <w:basedOn w:val="DefaultParagraphFont"/>
    <w:rsid w:val="006D395C"/>
  </w:style>
  <w:style w:type="character" w:customStyle="1" w:styleId="definition">
    <w:name w:val="definition"/>
    <w:rsid w:val="003E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97">
      <w:bodyDiv w:val="1"/>
      <w:marLeft w:val="0"/>
      <w:marRight w:val="0"/>
      <w:marTop w:val="0"/>
      <w:marBottom w:val="0"/>
      <w:divBdr>
        <w:top w:val="none" w:sz="0" w:space="0" w:color="auto"/>
        <w:left w:val="none" w:sz="0" w:space="0" w:color="auto"/>
        <w:bottom w:val="none" w:sz="0" w:space="0" w:color="auto"/>
        <w:right w:val="none" w:sz="0" w:space="0" w:color="auto"/>
      </w:divBdr>
      <w:divsChild>
        <w:div w:id="1221288954">
          <w:marLeft w:val="0"/>
          <w:marRight w:val="0"/>
          <w:marTop w:val="0"/>
          <w:marBottom w:val="0"/>
          <w:divBdr>
            <w:top w:val="none" w:sz="0" w:space="0" w:color="auto"/>
            <w:left w:val="none" w:sz="0" w:space="0" w:color="auto"/>
            <w:bottom w:val="none" w:sz="0" w:space="0" w:color="auto"/>
            <w:right w:val="none" w:sz="0" w:space="0" w:color="auto"/>
          </w:divBdr>
          <w:divsChild>
            <w:div w:id="1769690814">
              <w:marLeft w:val="0"/>
              <w:marRight w:val="0"/>
              <w:marTop w:val="0"/>
              <w:marBottom w:val="0"/>
              <w:divBdr>
                <w:top w:val="none" w:sz="0" w:space="0" w:color="auto"/>
                <w:left w:val="none" w:sz="0" w:space="0" w:color="auto"/>
                <w:bottom w:val="none" w:sz="0" w:space="0" w:color="auto"/>
                <w:right w:val="none" w:sz="0" w:space="0" w:color="auto"/>
              </w:divBdr>
              <w:divsChild>
                <w:div w:id="10626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7429">
      <w:bodyDiv w:val="1"/>
      <w:marLeft w:val="0"/>
      <w:marRight w:val="0"/>
      <w:marTop w:val="0"/>
      <w:marBottom w:val="0"/>
      <w:divBdr>
        <w:top w:val="none" w:sz="0" w:space="0" w:color="auto"/>
        <w:left w:val="none" w:sz="0" w:space="0" w:color="auto"/>
        <w:bottom w:val="none" w:sz="0" w:space="0" w:color="auto"/>
        <w:right w:val="none" w:sz="0" w:space="0" w:color="auto"/>
      </w:divBdr>
    </w:div>
    <w:div w:id="232278032">
      <w:bodyDiv w:val="1"/>
      <w:marLeft w:val="0"/>
      <w:marRight w:val="0"/>
      <w:marTop w:val="0"/>
      <w:marBottom w:val="0"/>
      <w:divBdr>
        <w:top w:val="none" w:sz="0" w:space="0" w:color="auto"/>
        <w:left w:val="none" w:sz="0" w:space="0" w:color="auto"/>
        <w:bottom w:val="none" w:sz="0" w:space="0" w:color="auto"/>
        <w:right w:val="none" w:sz="0" w:space="0" w:color="auto"/>
      </w:divBdr>
    </w:div>
    <w:div w:id="264190497">
      <w:bodyDiv w:val="1"/>
      <w:marLeft w:val="0"/>
      <w:marRight w:val="0"/>
      <w:marTop w:val="0"/>
      <w:marBottom w:val="0"/>
      <w:divBdr>
        <w:top w:val="none" w:sz="0" w:space="0" w:color="auto"/>
        <w:left w:val="none" w:sz="0" w:space="0" w:color="auto"/>
        <w:bottom w:val="none" w:sz="0" w:space="0" w:color="auto"/>
        <w:right w:val="none" w:sz="0" w:space="0" w:color="auto"/>
      </w:divBdr>
      <w:divsChild>
        <w:div w:id="1232077741">
          <w:marLeft w:val="0"/>
          <w:marRight w:val="0"/>
          <w:marTop w:val="0"/>
          <w:marBottom w:val="0"/>
          <w:divBdr>
            <w:top w:val="none" w:sz="0" w:space="0" w:color="auto"/>
            <w:left w:val="none" w:sz="0" w:space="0" w:color="auto"/>
            <w:bottom w:val="none" w:sz="0" w:space="0" w:color="auto"/>
            <w:right w:val="none" w:sz="0" w:space="0" w:color="auto"/>
          </w:divBdr>
          <w:divsChild>
            <w:div w:id="318846148">
              <w:marLeft w:val="0"/>
              <w:marRight w:val="0"/>
              <w:marTop w:val="0"/>
              <w:marBottom w:val="0"/>
              <w:divBdr>
                <w:top w:val="none" w:sz="0" w:space="0" w:color="auto"/>
                <w:left w:val="none" w:sz="0" w:space="0" w:color="auto"/>
                <w:bottom w:val="none" w:sz="0" w:space="0" w:color="auto"/>
                <w:right w:val="none" w:sz="0" w:space="0" w:color="auto"/>
              </w:divBdr>
              <w:divsChild>
                <w:div w:id="16293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1588">
      <w:bodyDiv w:val="1"/>
      <w:marLeft w:val="0"/>
      <w:marRight w:val="0"/>
      <w:marTop w:val="0"/>
      <w:marBottom w:val="0"/>
      <w:divBdr>
        <w:top w:val="none" w:sz="0" w:space="0" w:color="auto"/>
        <w:left w:val="none" w:sz="0" w:space="0" w:color="auto"/>
        <w:bottom w:val="none" w:sz="0" w:space="0" w:color="auto"/>
        <w:right w:val="none" w:sz="0" w:space="0" w:color="auto"/>
      </w:divBdr>
    </w:div>
    <w:div w:id="315958629">
      <w:bodyDiv w:val="1"/>
      <w:marLeft w:val="0"/>
      <w:marRight w:val="0"/>
      <w:marTop w:val="0"/>
      <w:marBottom w:val="0"/>
      <w:divBdr>
        <w:top w:val="none" w:sz="0" w:space="0" w:color="auto"/>
        <w:left w:val="none" w:sz="0" w:space="0" w:color="auto"/>
        <w:bottom w:val="none" w:sz="0" w:space="0" w:color="auto"/>
        <w:right w:val="none" w:sz="0" w:space="0" w:color="auto"/>
      </w:divBdr>
    </w:div>
    <w:div w:id="465390025">
      <w:bodyDiv w:val="1"/>
      <w:marLeft w:val="0"/>
      <w:marRight w:val="0"/>
      <w:marTop w:val="0"/>
      <w:marBottom w:val="0"/>
      <w:divBdr>
        <w:top w:val="none" w:sz="0" w:space="0" w:color="auto"/>
        <w:left w:val="none" w:sz="0" w:space="0" w:color="auto"/>
        <w:bottom w:val="none" w:sz="0" w:space="0" w:color="auto"/>
        <w:right w:val="none" w:sz="0" w:space="0" w:color="auto"/>
      </w:divBdr>
    </w:div>
    <w:div w:id="698898178">
      <w:bodyDiv w:val="1"/>
      <w:marLeft w:val="0"/>
      <w:marRight w:val="0"/>
      <w:marTop w:val="0"/>
      <w:marBottom w:val="0"/>
      <w:divBdr>
        <w:top w:val="none" w:sz="0" w:space="0" w:color="auto"/>
        <w:left w:val="none" w:sz="0" w:space="0" w:color="auto"/>
        <w:bottom w:val="none" w:sz="0" w:space="0" w:color="auto"/>
        <w:right w:val="none" w:sz="0" w:space="0" w:color="auto"/>
      </w:divBdr>
    </w:div>
    <w:div w:id="774903856">
      <w:bodyDiv w:val="1"/>
      <w:marLeft w:val="0"/>
      <w:marRight w:val="0"/>
      <w:marTop w:val="0"/>
      <w:marBottom w:val="0"/>
      <w:divBdr>
        <w:top w:val="none" w:sz="0" w:space="0" w:color="auto"/>
        <w:left w:val="none" w:sz="0" w:space="0" w:color="auto"/>
        <w:bottom w:val="none" w:sz="0" w:space="0" w:color="auto"/>
        <w:right w:val="none" w:sz="0" w:space="0" w:color="auto"/>
      </w:divBdr>
    </w:div>
    <w:div w:id="787700663">
      <w:bodyDiv w:val="1"/>
      <w:marLeft w:val="0"/>
      <w:marRight w:val="0"/>
      <w:marTop w:val="0"/>
      <w:marBottom w:val="0"/>
      <w:divBdr>
        <w:top w:val="none" w:sz="0" w:space="0" w:color="auto"/>
        <w:left w:val="none" w:sz="0" w:space="0" w:color="auto"/>
        <w:bottom w:val="none" w:sz="0" w:space="0" w:color="auto"/>
        <w:right w:val="none" w:sz="0" w:space="0" w:color="auto"/>
      </w:divBdr>
    </w:div>
    <w:div w:id="837119589">
      <w:bodyDiv w:val="1"/>
      <w:marLeft w:val="0"/>
      <w:marRight w:val="0"/>
      <w:marTop w:val="0"/>
      <w:marBottom w:val="0"/>
      <w:divBdr>
        <w:top w:val="none" w:sz="0" w:space="0" w:color="auto"/>
        <w:left w:val="none" w:sz="0" w:space="0" w:color="auto"/>
        <w:bottom w:val="none" w:sz="0" w:space="0" w:color="auto"/>
        <w:right w:val="none" w:sz="0" w:space="0" w:color="auto"/>
      </w:divBdr>
    </w:div>
    <w:div w:id="963537316">
      <w:bodyDiv w:val="1"/>
      <w:marLeft w:val="0"/>
      <w:marRight w:val="0"/>
      <w:marTop w:val="0"/>
      <w:marBottom w:val="0"/>
      <w:divBdr>
        <w:top w:val="none" w:sz="0" w:space="0" w:color="auto"/>
        <w:left w:val="none" w:sz="0" w:space="0" w:color="auto"/>
        <w:bottom w:val="none" w:sz="0" w:space="0" w:color="auto"/>
        <w:right w:val="none" w:sz="0" w:space="0" w:color="auto"/>
      </w:divBdr>
    </w:div>
    <w:div w:id="991180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849">
          <w:marLeft w:val="0"/>
          <w:marRight w:val="0"/>
          <w:marTop w:val="0"/>
          <w:marBottom w:val="0"/>
          <w:divBdr>
            <w:top w:val="none" w:sz="0" w:space="0" w:color="auto"/>
            <w:left w:val="none" w:sz="0" w:space="0" w:color="auto"/>
            <w:bottom w:val="none" w:sz="0" w:space="0" w:color="auto"/>
            <w:right w:val="none" w:sz="0" w:space="0" w:color="auto"/>
          </w:divBdr>
          <w:divsChild>
            <w:div w:id="43648094">
              <w:marLeft w:val="0"/>
              <w:marRight w:val="0"/>
              <w:marTop w:val="0"/>
              <w:marBottom w:val="0"/>
              <w:divBdr>
                <w:top w:val="none" w:sz="0" w:space="0" w:color="auto"/>
                <w:left w:val="none" w:sz="0" w:space="0" w:color="auto"/>
                <w:bottom w:val="none" w:sz="0" w:space="0" w:color="auto"/>
                <w:right w:val="none" w:sz="0" w:space="0" w:color="auto"/>
              </w:divBdr>
              <w:divsChild>
                <w:div w:id="2547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2644">
      <w:bodyDiv w:val="1"/>
      <w:marLeft w:val="0"/>
      <w:marRight w:val="0"/>
      <w:marTop w:val="0"/>
      <w:marBottom w:val="0"/>
      <w:divBdr>
        <w:top w:val="none" w:sz="0" w:space="0" w:color="auto"/>
        <w:left w:val="none" w:sz="0" w:space="0" w:color="auto"/>
        <w:bottom w:val="none" w:sz="0" w:space="0" w:color="auto"/>
        <w:right w:val="none" w:sz="0" w:space="0" w:color="auto"/>
      </w:divBdr>
    </w:div>
    <w:div w:id="1106148105">
      <w:bodyDiv w:val="1"/>
      <w:marLeft w:val="0"/>
      <w:marRight w:val="0"/>
      <w:marTop w:val="0"/>
      <w:marBottom w:val="0"/>
      <w:divBdr>
        <w:top w:val="none" w:sz="0" w:space="0" w:color="auto"/>
        <w:left w:val="none" w:sz="0" w:space="0" w:color="auto"/>
        <w:bottom w:val="none" w:sz="0" w:space="0" w:color="auto"/>
        <w:right w:val="none" w:sz="0" w:space="0" w:color="auto"/>
      </w:divBdr>
    </w:div>
    <w:div w:id="1221356813">
      <w:bodyDiv w:val="1"/>
      <w:marLeft w:val="0"/>
      <w:marRight w:val="0"/>
      <w:marTop w:val="0"/>
      <w:marBottom w:val="0"/>
      <w:divBdr>
        <w:top w:val="none" w:sz="0" w:space="0" w:color="auto"/>
        <w:left w:val="none" w:sz="0" w:space="0" w:color="auto"/>
        <w:bottom w:val="none" w:sz="0" w:space="0" w:color="auto"/>
        <w:right w:val="none" w:sz="0" w:space="0" w:color="auto"/>
      </w:divBdr>
    </w:div>
    <w:div w:id="1241138972">
      <w:bodyDiv w:val="1"/>
      <w:marLeft w:val="0"/>
      <w:marRight w:val="0"/>
      <w:marTop w:val="0"/>
      <w:marBottom w:val="0"/>
      <w:divBdr>
        <w:top w:val="none" w:sz="0" w:space="0" w:color="auto"/>
        <w:left w:val="none" w:sz="0" w:space="0" w:color="auto"/>
        <w:bottom w:val="none" w:sz="0" w:space="0" w:color="auto"/>
        <w:right w:val="none" w:sz="0" w:space="0" w:color="auto"/>
      </w:divBdr>
    </w:div>
    <w:div w:id="1295453611">
      <w:bodyDiv w:val="1"/>
      <w:marLeft w:val="0"/>
      <w:marRight w:val="0"/>
      <w:marTop w:val="0"/>
      <w:marBottom w:val="0"/>
      <w:divBdr>
        <w:top w:val="none" w:sz="0" w:space="0" w:color="auto"/>
        <w:left w:val="none" w:sz="0" w:space="0" w:color="auto"/>
        <w:bottom w:val="none" w:sz="0" w:space="0" w:color="auto"/>
        <w:right w:val="none" w:sz="0" w:space="0" w:color="auto"/>
      </w:divBdr>
    </w:div>
    <w:div w:id="1318460561">
      <w:bodyDiv w:val="1"/>
      <w:marLeft w:val="0"/>
      <w:marRight w:val="0"/>
      <w:marTop w:val="0"/>
      <w:marBottom w:val="0"/>
      <w:divBdr>
        <w:top w:val="none" w:sz="0" w:space="0" w:color="auto"/>
        <w:left w:val="none" w:sz="0" w:space="0" w:color="auto"/>
        <w:bottom w:val="none" w:sz="0" w:space="0" w:color="auto"/>
        <w:right w:val="none" w:sz="0" w:space="0" w:color="auto"/>
      </w:divBdr>
      <w:divsChild>
        <w:div w:id="1517648683">
          <w:marLeft w:val="0"/>
          <w:marRight w:val="0"/>
          <w:marTop w:val="0"/>
          <w:marBottom w:val="0"/>
          <w:divBdr>
            <w:top w:val="none" w:sz="0" w:space="0" w:color="auto"/>
            <w:left w:val="none" w:sz="0" w:space="0" w:color="auto"/>
            <w:bottom w:val="none" w:sz="0" w:space="0" w:color="auto"/>
            <w:right w:val="none" w:sz="0" w:space="0" w:color="auto"/>
          </w:divBdr>
          <w:divsChild>
            <w:div w:id="2072844252">
              <w:marLeft w:val="0"/>
              <w:marRight w:val="0"/>
              <w:marTop w:val="0"/>
              <w:marBottom w:val="0"/>
              <w:divBdr>
                <w:top w:val="none" w:sz="0" w:space="0" w:color="auto"/>
                <w:left w:val="none" w:sz="0" w:space="0" w:color="auto"/>
                <w:bottom w:val="none" w:sz="0" w:space="0" w:color="auto"/>
                <w:right w:val="none" w:sz="0" w:space="0" w:color="auto"/>
              </w:divBdr>
              <w:divsChild>
                <w:div w:id="3189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3280">
      <w:bodyDiv w:val="1"/>
      <w:marLeft w:val="0"/>
      <w:marRight w:val="0"/>
      <w:marTop w:val="0"/>
      <w:marBottom w:val="0"/>
      <w:divBdr>
        <w:top w:val="none" w:sz="0" w:space="0" w:color="auto"/>
        <w:left w:val="none" w:sz="0" w:space="0" w:color="auto"/>
        <w:bottom w:val="none" w:sz="0" w:space="0" w:color="auto"/>
        <w:right w:val="none" w:sz="0" w:space="0" w:color="auto"/>
      </w:divBdr>
      <w:divsChild>
        <w:div w:id="517307136">
          <w:marLeft w:val="0"/>
          <w:marRight w:val="0"/>
          <w:marTop w:val="0"/>
          <w:marBottom w:val="0"/>
          <w:divBdr>
            <w:top w:val="none" w:sz="0" w:space="0" w:color="auto"/>
            <w:left w:val="none" w:sz="0" w:space="0" w:color="auto"/>
            <w:bottom w:val="none" w:sz="0" w:space="0" w:color="auto"/>
            <w:right w:val="none" w:sz="0" w:space="0" w:color="auto"/>
          </w:divBdr>
          <w:divsChild>
            <w:div w:id="1797750036">
              <w:marLeft w:val="0"/>
              <w:marRight w:val="0"/>
              <w:marTop w:val="0"/>
              <w:marBottom w:val="0"/>
              <w:divBdr>
                <w:top w:val="none" w:sz="0" w:space="0" w:color="auto"/>
                <w:left w:val="none" w:sz="0" w:space="0" w:color="auto"/>
                <w:bottom w:val="none" w:sz="0" w:space="0" w:color="auto"/>
                <w:right w:val="none" w:sz="0" w:space="0" w:color="auto"/>
              </w:divBdr>
              <w:divsChild>
                <w:div w:id="2320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0198">
      <w:bodyDiv w:val="1"/>
      <w:marLeft w:val="0"/>
      <w:marRight w:val="0"/>
      <w:marTop w:val="0"/>
      <w:marBottom w:val="0"/>
      <w:divBdr>
        <w:top w:val="none" w:sz="0" w:space="0" w:color="auto"/>
        <w:left w:val="none" w:sz="0" w:space="0" w:color="auto"/>
        <w:bottom w:val="none" w:sz="0" w:space="0" w:color="auto"/>
        <w:right w:val="none" w:sz="0" w:space="0" w:color="auto"/>
      </w:divBdr>
    </w:div>
    <w:div w:id="1811509557">
      <w:bodyDiv w:val="1"/>
      <w:marLeft w:val="0"/>
      <w:marRight w:val="0"/>
      <w:marTop w:val="0"/>
      <w:marBottom w:val="0"/>
      <w:divBdr>
        <w:top w:val="none" w:sz="0" w:space="0" w:color="auto"/>
        <w:left w:val="none" w:sz="0" w:space="0" w:color="auto"/>
        <w:bottom w:val="none" w:sz="0" w:space="0" w:color="auto"/>
        <w:right w:val="none" w:sz="0" w:space="0" w:color="auto"/>
      </w:divBdr>
    </w:div>
    <w:div w:id="1954247355">
      <w:bodyDiv w:val="1"/>
      <w:marLeft w:val="0"/>
      <w:marRight w:val="0"/>
      <w:marTop w:val="0"/>
      <w:marBottom w:val="0"/>
      <w:divBdr>
        <w:top w:val="none" w:sz="0" w:space="0" w:color="auto"/>
        <w:left w:val="none" w:sz="0" w:space="0" w:color="auto"/>
        <w:bottom w:val="none" w:sz="0" w:space="0" w:color="auto"/>
        <w:right w:val="none" w:sz="0" w:space="0" w:color="auto"/>
      </w:divBdr>
    </w:div>
    <w:div w:id="2028286572">
      <w:bodyDiv w:val="1"/>
      <w:marLeft w:val="0"/>
      <w:marRight w:val="0"/>
      <w:marTop w:val="0"/>
      <w:marBottom w:val="0"/>
      <w:divBdr>
        <w:top w:val="none" w:sz="0" w:space="0" w:color="auto"/>
        <w:left w:val="none" w:sz="0" w:space="0" w:color="auto"/>
        <w:bottom w:val="none" w:sz="0" w:space="0" w:color="auto"/>
        <w:right w:val="none" w:sz="0" w:space="0" w:color="auto"/>
      </w:divBdr>
    </w:div>
    <w:div w:id="2092190152">
      <w:bodyDiv w:val="1"/>
      <w:marLeft w:val="0"/>
      <w:marRight w:val="0"/>
      <w:marTop w:val="0"/>
      <w:marBottom w:val="0"/>
      <w:divBdr>
        <w:top w:val="none" w:sz="0" w:space="0" w:color="auto"/>
        <w:left w:val="none" w:sz="0" w:space="0" w:color="auto"/>
        <w:bottom w:val="none" w:sz="0" w:space="0" w:color="auto"/>
        <w:right w:val="none" w:sz="0" w:space="0" w:color="auto"/>
      </w:divBdr>
    </w:div>
    <w:div w:id="2092577348">
      <w:bodyDiv w:val="1"/>
      <w:marLeft w:val="0"/>
      <w:marRight w:val="0"/>
      <w:marTop w:val="0"/>
      <w:marBottom w:val="0"/>
      <w:divBdr>
        <w:top w:val="none" w:sz="0" w:space="0" w:color="auto"/>
        <w:left w:val="none" w:sz="0" w:space="0" w:color="auto"/>
        <w:bottom w:val="none" w:sz="0" w:space="0" w:color="auto"/>
        <w:right w:val="none" w:sz="0" w:space="0" w:color="auto"/>
      </w:divBdr>
      <w:divsChild>
        <w:div w:id="976297269">
          <w:marLeft w:val="0"/>
          <w:marRight w:val="0"/>
          <w:marTop w:val="0"/>
          <w:marBottom w:val="0"/>
          <w:divBdr>
            <w:top w:val="none" w:sz="0" w:space="0" w:color="auto"/>
            <w:left w:val="none" w:sz="0" w:space="0" w:color="auto"/>
            <w:bottom w:val="none" w:sz="0" w:space="0" w:color="auto"/>
            <w:right w:val="none" w:sz="0" w:space="0" w:color="auto"/>
          </w:divBdr>
          <w:divsChild>
            <w:div w:id="490175375">
              <w:marLeft w:val="0"/>
              <w:marRight w:val="0"/>
              <w:marTop w:val="0"/>
              <w:marBottom w:val="0"/>
              <w:divBdr>
                <w:top w:val="none" w:sz="0" w:space="0" w:color="auto"/>
                <w:left w:val="none" w:sz="0" w:space="0" w:color="auto"/>
                <w:bottom w:val="none" w:sz="0" w:space="0" w:color="auto"/>
                <w:right w:val="none" w:sz="0" w:space="0" w:color="auto"/>
              </w:divBdr>
              <w:divsChild>
                <w:div w:id="576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278">
      <w:bodyDiv w:val="1"/>
      <w:marLeft w:val="0"/>
      <w:marRight w:val="0"/>
      <w:marTop w:val="0"/>
      <w:marBottom w:val="0"/>
      <w:divBdr>
        <w:top w:val="none" w:sz="0" w:space="0" w:color="auto"/>
        <w:left w:val="none" w:sz="0" w:space="0" w:color="auto"/>
        <w:bottom w:val="none" w:sz="0" w:space="0" w:color="auto"/>
        <w:right w:val="none" w:sz="0" w:space="0" w:color="auto"/>
      </w:divBdr>
    </w:div>
    <w:div w:id="2100789173">
      <w:bodyDiv w:val="1"/>
      <w:marLeft w:val="0"/>
      <w:marRight w:val="0"/>
      <w:marTop w:val="0"/>
      <w:marBottom w:val="0"/>
      <w:divBdr>
        <w:top w:val="none" w:sz="0" w:space="0" w:color="auto"/>
        <w:left w:val="none" w:sz="0" w:space="0" w:color="auto"/>
        <w:bottom w:val="none" w:sz="0" w:space="0" w:color="auto"/>
        <w:right w:val="none" w:sz="0" w:space="0" w:color="auto"/>
      </w:divBdr>
    </w:div>
    <w:div w:id="2106420950">
      <w:bodyDiv w:val="1"/>
      <w:marLeft w:val="0"/>
      <w:marRight w:val="0"/>
      <w:marTop w:val="0"/>
      <w:marBottom w:val="0"/>
      <w:divBdr>
        <w:top w:val="none" w:sz="0" w:space="0" w:color="auto"/>
        <w:left w:val="none" w:sz="0" w:space="0" w:color="auto"/>
        <w:bottom w:val="none" w:sz="0" w:space="0" w:color="auto"/>
        <w:right w:val="none" w:sz="0" w:space="0" w:color="auto"/>
      </w:divBdr>
      <w:divsChild>
        <w:div w:id="806237041">
          <w:marLeft w:val="0"/>
          <w:marRight w:val="0"/>
          <w:marTop w:val="0"/>
          <w:marBottom w:val="0"/>
          <w:divBdr>
            <w:top w:val="none" w:sz="0" w:space="0" w:color="auto"/>
            <w:left w:val="none" w:sz="0" w:space="0" w:color="auto"/>
            <w:bottom w:val="none" w:sz="0" w:space="0" w:color="auto"/>
            <w:right w:val="none" w:sz="0" w:space="0" w:color="auto"/>
          </w:divBdr>
          <w:divsChild>
            <w:div w:id="248126927">
              <w:marLeft w:val="0"/>
              <w:marRight w:val="0"/>
              <w:marTop w:val="0"/>
              <w:marBottom w:val="0"/>
              <w:divBdr>
                <w:top w:val="none" w:sz="0" w:space="0" w:color="auto"/>
                <w:left w:val="none" w:sz="0" w:space="0" w:color="auto"/>
                <w:bottom w:val="none" w:sz="0" w:space="0" w:color="auto"/>
                <w:right w:val="none" w:sz="0" w:space="0" w:color="auto"/>
              </w:divBdr>
              <w:divsChild>
                <w:div w:id="20957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85192.2019.15695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E84C-800C-4F11-A45D-3FE4C912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13681</Words>
  <Characters>77985</Characters>
  <Application>Microsoft Office Word</Application>
  <DocSecurity>0</DocSecurity>
  <Lines>649</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Avetisyan</dc:creator>
  <cp:keywords/>
  <dc:description/>
  <cp:lastModifiedBy>Katherine Travis</cp:lastModifiedBy>
  <cp:revision>2</cp:revision>
  <dcterms:created xsi:type="dcterms:W3CDTF">2024-02-12T11:37:00Z</dcterms:created>
  <dcterms:modified xsi:type="dcterms:W3CDTF">2024-02-12T11:37:00Z</dcterms:modified>
</cp:coreProperties>
</file>