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D11F" w14:textId="5FF2E1C6" w:rsidR="00E8522B" w:rsidRPr="00441D1B" w:rsidRDefault="00B8766D" w:rsidP="00117FE3">
      <w:pPr>
        <w:spacing w:line="480" w:lineRule="auto"/>
        <w:rPr>
          <w:rFonts w:cs="Calibri"/>
          <w:b/>
          <w:sz w:val="36"/>
          <w:szCs w:val="40"/>
        </w:rPr>
      </w:pPr>
      <w:r w:rsidRPr="00441D1B">
        <w:rPr>
          <w:rFonts w:cs="Calibri"/>
          <w:b/>
          <w:sz w:val="36"/>
          <w:szCs w:val="40"/>
        </w:rPr>
        <w:t>R</w:t>
      </w:r>
      <w:r w:rsidR="00CE3170" w:rsidRPr="00441D1B">
        <w:rPr>
          <w:rFonts w:cs="Calibri"/>
          <w:b/>
          <w:sz w:val="36"/>
          <w:szCs w:val="40"/>
        </w:rPr>
        <w:t xml:space="preserve">espiratory syncytial virus </w:t>
      </w:r>
      <w:r w:rsidR="00AA34E7" w:rsidRPr="00441D1B">
        <w:rPr>
          <w:rFonts w:cs="Calibri"/>
          <w:b/>
          <w:sz w:val="36"/>
          <w:szCs w:val="40"/>
        </w:rPr>
        <w:t xml:space="preserve">and influenza </w:t>
      </w:r>
      <w:r w:rsidRPr="00441D1B">
        <w:rPr>
          <w:rFonts w:cs="Calibri"/>
          <w:b/>
          <w:sz w:val="36"/>
          <w:szCs w:val="40"/>
        </w:rPr>
        <w:t xml:space="preserve">virus infection </w:t>
      </w:r>
      <w:r w:rsidR="004F0B38" w:rsidRPr="00441D1B">
        <w:rPr>
          <w:rFonts w:cs="Calibri"/>
          <w:b/>
          <w:sz w:val="36"/>
          <w:szCs w:val="40"/>
        </w:rPr>
        <w:t>in</w:t>
      </w:r>
      <w:r w:rsidR="00CE3170" w:rsidRPr="00441D1B">
        <w:rPr>
          <w:rFonts w:cs="Calibri"/>
          <w:b/>
          <w:sz w:val="36"/>
          <w:szCs w:val="40"/>
        </w:rPr>
        <w:t xml:space="preserve"> </w:t>
      </w:r>
      <w:r w:rsidR="00EE17C4" w:rsidRPr="00441D1B">
        <w:rPr>
          <w:rFonts w:cs="Calibri"/>
          <w:b/>
          <w:sz w:val="36"/>
          <w:szCs w:val="40"/>
        </w:rPr>
        <w:t xml:space="preserve"> </w:t>
      </w:r>
      <w:r w:rsidR="00CE3170" w:rsidRPr="00441D1B">
        <w:rPr>
          <w:rFonts w:cs="Calibri"/>
          <w:b/>
          <w:sz w:val="36"/>
          <w:szCs w:val="40"/>
        </w:rPr>
        <w:t>adult</w:t>
      </w:r>
      <w:r w:rsidRPr="00441D1B">
        <w:rPr>
          <w:rFonts w:cs="Calibri"/>
          <w:b/>
          <w:sz w:val="36"/>
          <w:szCs w:val="40"/>
        </w:rPr>
        <w:t xml:space="preserve"> primary care patient</w:t>
      </w:r>
      <w:r w:rsidR="00CE3170" w:rsidRPr="00441D1B">
        <w:rPr>
          <w:rFonts w:cs="Calibri"/>
          <w:b/>
          <w:sz w:val="36"/>
          <w:szCs w:val="40"/>
        </w:rPr>
        <w:t>s</w:t>
      </w:r>
      <w:r w:rsidRPr="00441D1B">
        <w:rPr>
          <w:rFonts w:cs="Calibri"/>
          <w:b/>
          <w:sz w:val="36"/>
          <w:szCs w:val="40"/>
        </w:rPr>
        <w:t>:</w:t>
      </w:r>
      <w:r w:rsidR="00E8522B" w:rsidRPr="00441D1B">
        <w:rPr>
          <w:rFonts w:cs="Calibri"/>
          <w:b/>
          <w:sz w:val="36"/>
          <w:szCs w:val="40"/>
        </w:rPr>
        <w:t xml:space="preserve"> association of age with prevalence</w:t>
      </w:r>
      <w:r w:rsidR="0017613E" w:rsidRPr="00441D1B">
        <w:rPr>
          <w:rFonts w:cs="Calibri"/>
          <w:b/>
          <w:sz w:val="36"/>
          <w:szCs w:val="40"/>
        </w:rPr>
        <w:t>, diagnostic features</w:t>
      </w:r>
      <w:r w:rsidR="00E8522B" w:rsidRPr="00441D1B">
        <w:rPr>
          <w:rFonts w:cs="Calibri"/>
          <w:b/>
          <w:sz w:val="36"/>
          <w:szCs w:val="40"/>
        </w:rPr>
        <w:t xml:space="preserve"> and illness course </w:t>
      </w:r>
    </w:p>
    <w:p w14:paraId="09CB6F4B" w14:textId="51A473EC" w:rsidR="00E50A77" w:rsidRPr="00441D1B" w:rsidRDefault="007662DD" w:rsidP="00117FE3">
      <w:pPr>
        <w:spacing w:line="480" w:lineRule="auto"/>
        <w:rPr>
          <w:rFonts w:cs="Calibri"/>
          <w:sz w:val="26"/>
          <w:szCs w:val="26"/>
          <w:lang w:val="en-GB"/>
        </w:rPr>
      </w:pPr>
      <w:r w:rsidRPr="00441D1B">
        <w:rPr>
          <w:rFonts w:cs="Calibri"/>
          <w:sz w:val="26"/>
          <w:szCs w:val="26"/>
          <w:lang w:val="en-GB"/>
        </w:rPr>
        <w:t>Robin Bruyndonckx</w:t>
      </w:r>
      <w:r w:rsidRPr="00441D1B">
        <w:rPr>
          <w:rFonts w:cs="Calibri"/>
          <w:sz w:val="26"/>
          <w:szCs w:val="26"/>
          <w:vertAlign w:val="superscript"/>
          <w:lang w:val="en-GB"/>
        </w:rPr>
        <w:t>1,2,*</w:t>
      </w:r>
      <w:r w:rsidRPr="00441D1B">
        <w:rPr>
          <w:rFonts w:cs="Calibri"/>
          <w:sz w:val="26"/>
          <w:szCs w:val="26"/>
          <w:lang w:val="en-GB"/>
        </w:rPr>
        <w:t xml:space="preserve">, </w:t>
      </w:r>
      <w:r w:rsidR="00CE3170" w:rsidRPr="00441D1B">
        <w:rPr>
          <w:rFonts w:cs="Calibri"/>
          <w:sz w:val="26"/>
          <w:szCs w:val="26"/>
          <w:lang w:val="en-GB"/>
        </w:rPr>
        <w:t>Samuel Coenen</w:t>
      </w:r>
      <w:r w:rsidR="00CE3170" w:rsidRPr="00441D1B">
        <w:rPr>
          <w:rFonts w:cs="Calibri"/>
          <w:sz w:val="26"/>
          <w:szCs w:val="26"/>
          <w:vertAlign w:val="superscript"/>
          <w:lang w:val="en-GB"/>
        </w:rPr>
        <w:t>2,3</w:t>
      </w:r>
      <w:r w:rsidR="00E50A77" w:rsidRPr="00441D1B">
        <w:rPr>
          <w:rFonts w:cs="Calibri"/>
          <w:sz w:val="26"/>
          <w:szCs w:val="26"/>
          <w:vertAlign w:val="superscript"/>
          <w:lang w:val="en-GB"/>
        </w:rPr>
        <w:t>,4</w:t>
      </w:r>
      <w:r w:rsidR="00E50A77" w:rsidRPr="00441D1B">
        <w:rPr>
          <w:rFonts w:cs="Calibri"/>
          <w:sz w:val="26"/>
          <w:szCs w:val="26"/>
          <w:lang w:val="en-GB"/>
        </w:rPr>
        <w:t xml:space="preserve">, </w:t>
      </w:r>
      <w:r w:rsidR="008C6256" w:rsidRPr="00441D1B">
        <w:rPr>
          <w:rFonts w:cs="Calibri"/>
          <w:sz w:val="26"/>
          <w:szCs w:val="26"/>
          <w:lang w:val="en-GB"/>
        </w:rPr>
        <w:t>Chris Butler</w:t>
      </w:r>
      <w:r w:rsidR="00802657" w:rsidRPr="00441D1B">
        <w:rPr>
          <w:rFonts w:cs="Calibri"/>
          <w:sz w:val="26"/>
          <w:szCs w:val="26"/>
          <w:vertAlign w:val="superscript"/>
          <w:lang w:val="en-GB"/>
        </w:rPr>
        <w:t>5</w:t>
      </w:r>
      <w:r w:rsidR="008C6256" w:rsidRPr="00441D1B">
        <w:rPr>
          <w:rFonts w:cs="Calibri"/>
          <w:sz w:val="26"/>
          <w:szCs w:val="26"/>
          <w:vertAlign w:val="superscript"/>
          <w:lang w:val="en-GB"/>
        </w:rPr>
        <w:t xml:space="preserve">, </w:t>
      </w:r>
      <w:r w:rsidR="00E50A77" w:rsidRPr="00441D1B">
        <w:rPr>
          <w:rFonts w:cs="Calibri"/>
          <w:sz w:val="26"/>
          <w:szCs w:val="26"/>
          <w:lang w:val="en-GB"/>
        </w:rPr>
        <w:t>Theo Verheij</w:t>
      </w:r>
      <w:r w:rsidR="00802657" w:rsidRPr="00441D1B">
        <w:rPr>
          <w:rFonts w:cs="Calibri"/>
          <w:sz w:val="26"/>
          <w:szCs w:val="26"/>
          <w:vertAlign w:val="superscript"/>
          <w:lang w:val="en-GB"/>
        </w:rPr>
        <w:t>6</w:t>
      </w:r>
      <w:r w:rsidR="00E50A77" w:rsidRPr="00441D1B">
        <w:rPr>
          <w:rFonts w:cs="Calibri"/>
          <w:sz w:val="26"/>
          <w:szCs w:val="26"/>
          <w:lang w:val="en-GB"/>
        </w:rPr>
        <w:t xml:space="preserve">, </w:t>
      </w:r>
      <w:r w:rsidR="000B6AFA" w:rsidRPr="00441D1B">
        <w:rPr>
          <w:rFonts w:cs="Calibri"/>
          <w:sz w:val="26"/>
          <w:szCs w:val="26"/>
          <w:lang w:val="en-GB"/>
        </w:rPr>
        <w:t>Paul Little</w:t>
      </w:r>
      <w:r w:rsidR="000B6AFA" w:rsidRPr="00441D1B">
        <w:rPr>
          <w:rFonts w:cs="Calibri"/>
          <w:sz w:val="26"/>
          <w:szCs w:val="26"/>
          <w:vertAlign w:val="superscript"/>
          <w:lang w:val="en-GB"/>
        </w:rPr>
        <w:t>7</w:t>
      </w:r>
      <w:r w:rsidR="000B6AFA" w:rsidRPr="00441D1B">
        <w:rPr>
          <w:rFonts w:cs="Calibri"/>
          <w:sz w:val="26"/>
          <w:szCs w:val="26"/>
          <w:lang w:val="en-GB"/>
        </w:rPr>
        <w:t>, Niel Hens</w:t>
      </w:r>
      <w:r w:rsidR="000B6AFA" w:rsidRPr="00441D1B">
        <w:rPr>
          <w:rFonts w:cs="Calibri"/>
          <w:sz w:val="26"/>
          <w:szCs w:val="26"/>
          <w:vertAlign w:val="superscript"/>
          <w:lang w:val="en-GB"/>
        </w:rPr>
        <w:t>1,8</w:t>
      </w:r>
      <w:r w:rsidR="000B6AFA" w:rsidRPr="00441D1B">
        <w:rPr>
          <w:rFonts w:cs="Calibri"/>
          <w:sz w:val="26"/>
          <w:szCs w:val="26"/>
          <w:lang w:val="en-GB"/>
        </w:rPr>
        <w:t>, Philippe Beutels</w:t>
      </w:r>
      <w:r w:rsidR="000B6AFA" w:rsidRPr="00441D1B">
        <w:rPr>
          <w:rFonts w:cs="Calibri"/>
          <w:sz w:val="26"/>
          <w:szCs w:val="26"/>
          <w:vertAlign w:val="superscript"/>
          <w:lang w:val="en-GB"/>
        </w:rPr>
        <w:t>8</w:t>
      </w:r>
      <w:r w:rsidR="000B6AFA" w:rsidRPr="00441D1B">
        <w:rPr>
          <w:rFonts w:cs="Calibri"/>
          <w:sz w:val="26"/>
          <w:szCs w:val="26"/>
          <w:lang w:val="en-GB"/>
        </w:rPr>
        <w:t xml:space="preserve">, </w:t>
      </w:r>
      <w:r w:rsidR="007236C1">
        <w:rPr>
          <w:rFonts w:cs="Calibri"/>
          <w:sz w:val="26"/>
          <w:szCs w:val="26"/>
          <w:lang w:val="en-GB"/>
        </w:rPr>
        <w:t>Margareta</w:t>
      </w:r>
      <w:bookmarkStart w:id="0" w:name="_GoBack"/>
      <w:bookmarkEnd w:id="0"/>
      <w:r w:rsidR="000B6AFA" w:rsidRPr="00441D1B">
        <w:rPr>
          <w:rFonts w:cs="Calibri"/>
          <w:sz w:val="26"/>
          <w:szCs w:val="26"/>
          <w:lang w:val="en-GB"/>
        </w:rPr>
        <w:t xml:space="preserve"> Ieven</w:t>
      </w:r>
      <w:r w:rsidR="000B6AFA" w:rsidRPr="00441D1B">
        <w:rPr>
          <w:rFonts w:cs="Calibri"/>
          <w:sz w:val="26"/>
          <w:szCs w:val="26"/>
          <w:vertAlign w:val="superscript"/>
          <w:lang w:val="en-GB"/>
        </w:rPr>
        <w:t>2</w:t>
      </w:r>
      <w:r w:rsidR="000B6AFA" w:rsidRPr="00441D1B">
        <w:rPr>
          <w:rFonts w:cs="Calibri"/>
          <w:sz w:val="26"/>
          <w:szCs w:val="26"/>
          <w:lang w:val="en-GB"/>
        </w:rPr>
        <w:t>, Herman Goossens</w:t>
      </w:r>
      <w:r w:rsidR="000B6AFA" w:rsidRPr="00441D1B">
        <w:rPr>
          <w:rFonts w:cs="Calibri"/>
          <w:sz w:val="26"/>
          <w:szCs w:val="26"/>
          <w:vertAlign w:val="superscript"/>
          <w:lang w:val="en-GB"/>
        </w:rPr>
        <w:t>2</w:t>
      </w:r>
      <w:r w:rsidR="000B6AFA" w:rsidRPr="00441D1B">
        <w:rPr>
          <w:rFonts w:cs="Calibri"/>
          <w:sz w:val="26"/>
          <w:szCs w:val="26"/>
          <w:lang w:val="en-GB"/>
        </w:rPr>
        <w:t xml:space="preserve"> and the GRACE project group</w:t>
      </w:r>
    </w:p>
    <w:p w14:paraId="4408F957" w14:textId="036B1A81" w:rsidR="007662DD" w:rsidRPr="00441D1B" w:rsidRDefault="007662DD" w:rsidP="00117FE3">
      <w:pPr>
        <w:spacing w:line="480" w:lineRule="auto"/>
        <w:rPr>
          <w:sz w:val="20"/>
          <w:szCs w:val="20"/>
          <w:lang w:val="en-GB"/>
        </w:rPr>
      </w:pPr>
      <w:r w:rsidRPr="00441D1B">
        <w:rPr>
          <w:rFonts w:cs="Calibri"/>
          <w:sz w:val="20"/>
          <w:szCs w:val="24"/>
          <w:vertAlign w:val="superscript"/>
          <w:lang w:val="en-GB"/>
        </w:rPr>
        <w:t>1.</w:t>
      </w:r>
      <w:r w:rsidRPr="00441D1B">
        <w:rPr>
          <w:rFonts w:cs="Calibri"/>
          <w:sz w:val="20"/>
          <w:szCs w:val="24"/>
          <w:lang w:val="en-GB"/>
        </w:rPr>
        <w:t xml:space="preserve"> </w:t>
      </w:r>
      <w:r w:rsidR="008B653F" w:rsidRPr="00441D1B">
        <w:rPr>
          <w:rFonts w:cs="Calibri"/>
          <w:sz w:val="20"/>
          <w:szCs w:val="24"/>
          <w:lang w:val="en-GB"/>
        </w:rPr>
        <w:t>Data Science Institute</w:t>
      </w:r>
      <w:r w:rsidRPr="00441D1B">
        <w:rPr>
          <w:rFonts w:cs="Calibri"/>
          <w:sz w:val="20"/>
          <w:szCs w:val="24"/>
          <w:lang w:val="en-GB"/>
        </w:rPr>
        <w:t xml:space="preserve"> (</w:t>
      </w:r>
      <w:r w:rsidR="008B653F" w:rsidRPr="00441D1B">
        <w:rPr>
          <w:rFonts w:cs="Calibri"/>
          <w:sz w:val="20"/>
          <w:szCs w:val="24"/>
          <w:lang w:val="en-GB"/>
        </w:rPr>
        <w:t>DSI</w:t>
      </w:r>
      <w:r w:rsidRPr="00441D1B">
        <w:rPr>
          <w:rFonts w:cs="Calibri"/>
          <w:sz w:val="20"/>
          <w:szCs w:val="24"/>
          <w:lang w:val="en-GB"/>
        </w:rPr>
        <w:t xml:space="preserve">), Hasselt, Hasselt University, </w:t>
      </w:r>
      <w:r w:rsidR="007047A9" w:rsidRPr="00441D1B">
        <w:rPr>
          <w:rFonts w:cs="Calibri"/>
          <w:sz w:val="20"/>
          <w:szCs w:val="24"/>
          <w:lang w:val="en-GB"/>
        </w:rPr>
        <w:t xml:space="preserve">Hasselt, </w:t>
      </w:r>
      <w:r w:rsidRPr="00441D1B">
        <w:rPr>
          <w:rFonts w:cs="Calibri"/>
          <w:sz w:val="20"/>
          <w:szCs w:val="24"/>
          <w:lang w:val="en-GB"/>
        </w:rPr>
        <w:t>Belgium;</w:t>
      </w:r>
      <w:r w:rsidR="00117FE3" w:rsidRPr="00441D1B">
        <w:rPr>
          <w:rFonts w:cs="Calibri"/>
          <w:sz w:val="20"/>
          <w:szCs w:val="24"/>
          <w:lang w:val="en-GB"/>
        </w:rPr>
        <w:t xml:space="preserve"> </w:t>
      </w:r>
      <w:r w:rsidRPr="00441D1B">
        <w:rPr>
          <w:sz w:val="20"/>
          <w:szCs w:val="20"/>
          <w:vertAlign w:val="superscript"/>
          <w:lang w:val="en-GB"/>
        </w:rPr>
        <w:t>2</w:t>
      </w:r>
      <w:r w:rsidRPr="00441D1B">
        <w:rPr>
          <w:sz w:val="20"/>
          <w:szCs w:val="20"/>
          <w:lang w:val="en-GB"/>
        </w:rPr>
        <w:t xml:space="preserve"> Laboratory of Medical Microbiology, Vaccine &amp; Infectious Diseases Institute (VAXINFECTIO), University of Antwerp, Antwerp, Belgium</w:t>
      </w:r>
      <w:r w:rsidR="00117FE3" w:rsidRPr="00441D1B">
        <w:rPr>
          <w:sz w:val="20"/>
          <w:szCs w:val="20"/>
          <w:lang w:val="en-GB"/>
        </w:rPr>
        <w:t xml:space="preserve">; </w:t>
      </w:r>
      <w:r w:rsidRPr="00441D1B">
        <w:rPr>
          <w:sz w:val="20"/>
          <w:szCs w:val="20"/>
          <w:vertAlign w:val="superscript"/>
          <w:lang w:val="en-GB"/>
        </w:rPr>
        <w:t xml:space="preserve">3 </w:t>
      </w:r>
      <w:r w:rsidRPr="00441D1B">
        <w:rPr>
          <w:sz w:val="20"/>
          <w:szCs w:val="20"/>
          <w:lang w:val="en-GB"/>
        </w:rPr>
        <w:t>Department of Epidemiology and Social Medicine (ESOC), University of Antwerp, Antwerp, Belgium</w:t>
      </w:r>
      <w:r w:rsidR="00117FE3" w:rsidRPr="00441D1B">
        <w:rPr>
          <w:sz w:val="20"/>
          <w:szCs w:val="20"/>
          <w:lang w:val="en-GB"/>
        </w:rPr>
        <w:t xml:space="preserve">; </w:t>
      </w:r>
      <w:r w:rsidR="000B6AFA" w:rsidRPr="00441D1B">
        <w:rPr>
          <w:sz w:val="20"/>
          <w:szCs w:val="20"/>
          <w:vertAlign w:val="superscript"/>
          <w:lang w:val="en-GB"/>
        </w:rPr>
        <w:t xml:space="preserve">4 </w:t>
      </w:r>
      <w:r w:rsidR="000B6AFA" w:rsidRPr="00441D1B">
        <w:rPr>
          <w:sz w:val="20"/>
          <w:szCs w:val="20"/>
          <w:lang w:val="en-GB"/>
        </w:rPr>
        <w:t>Department of Primary and Interdisciplinary Care (ELIZA), University of Antwerp, Antwerp, Belgium</w:t>
      </w:r>
      <w:r w:rsidR="00117FE3" w:rsidRPr="00441D1B">
        <w:rPr>
          <w:sz w:val="20"/>
          <w:szCs w:val="20"/>
          <w:lang w:val="en-GB"/>
        </w:rPr>
        <w:t xml:space="preserve">; </w:t>
      </w:r>
      <w:r w:rsidR="00802657" w:rsidRPr="00441D1B">
        <w:rPr>
          <w:sz w:val="20"/>
          <w:szCs w:val="20"/>
          <w:vertAlign w:val="superscript"/>
          <w:lang w:val="en-GB"/>
        </w:rPr>
        <w:t>5</w:t>
      </w:r>
      <w:r w:rsidR="00802657" w:rsidRPr="00441D1B">
        <w:rPr>
          <w:sz w:val="20"/>
          <w:szCs w:val="20"/>
          <w:lang w:val="en-GB"/>
        </w:rPr>
        <w:t xml:space="preserve"> Institute for Primary Care and Public Health, Cardiff University, Cardiff, UK</w:t>
      </w:r>
      <w:r w:rsidR="00117FE3" w:rsidRPr="00441D1B">
        <w:rPr>
          <w:sz w:val="20"/>
          <w:szCs w:val="20"/>
          <w:lang w:val="en-GB"/>
        </w:rPr>
        <w:t xml:space="preserve">; </w:t>
      </w:r>
      <w:r w:rsidR="00802657" w:rsidRPr="00441D1B">
        <w:rPr>
          <w:sz w:val="20"/>
          <w:szCs w:val="20"/>
          <w:vertAlign w:val="superscript"/>
          <w:lang w:val="en-GB"/>
        </w:rPr>
        <w:t>6</w:t>
      </w:r>
      <w:r w:rsidR="000B6AFA" w:rsidRPr="00441D1B">
        <w:rPr>
          <w:sz w:val="20"/>
          <w:szCs w:val="20"/>
          <w:lang w:val="en-GB"/>
        </w:rPr>
        <w:t xml:space="preserve"> Julius Centre for Health, Sciences and Primary Care, University Medical Centre Utrecht, Utrecht, the Netherlands</w:t>
      </w:r>
      <w:r w:rsidR="00117FE3" w:rsidRPr="00441D1B">
        <w:rPr>
          <w:sz w:val="20"/>
          <w:szCs w:val="20"/>
          <w:lang w:val="en-GB"/>
        </w:rPr>
        <w:t xml:space="preserve">; </w:t>
      </w:r>
      <w:r w:rsidR="000B6AFA" w:rsidRPr="00441D1B">
        <w:rPr>
          <w:sz w:val="20"/>
          <w:szCs w:val="20"/>
          <w:vertAlign w:val="superscript"/>
          <w:lang w:val="en-GB"/>
        </w:rPr>
        <w:t>7</w:t>
      </w:r>
      <w:r w:rsidR="000B6AFA" w:rsidRPr="00441D1B">
        <w:rPr>
          <w:sz w:val="20"/>
          <w:szCs w:val="20"/>
          <w:lang w:val="en-GB"/>
        </w:rPr>
        <w:t xml:space="preserve"> Aldermoor Health Centre, University of Southampton, Southampton, UK</w:t>
      </w:r>
      <w:r w:rsidR="00117FE3" w:rsidRPr="00441D1B">
        <w:rPr>
          <w:sz w:val="20"/>
          <w:szCs w:val="20"/>
          <w:lang w:val="en-GB"/>
        </w:rPr>
        <w:t xml:space="preserve">; </w:t>
      </w:r>
      <w:r w:rsidR="000B6AFA" w:rsidRPr="00441D1B">
        <w:rPr>
          <w:sz w:val="20"/>
          <w:szCs w:val="20"/>
          <w:vertAlign w:val="superscript"/>
          <w:lang w:val="en-GB"/>
        </w:rPr>
        <w:t>8</w:t>
      </w:r>
      <w:r w:rsidR="000B6AFA" w:rsidRPr="00441D1B">
        <w:rPr>
          <w:sz w:val="20"/>
          <w:szCs w:val="20"/>
          <w:lang w:val="en-GB"/>
        </w:rPr>
        <w:t xml:space="preserve"> </w:t>
      </w:r>
      <w:r w:rsidRPr="00441D1B">
        <w:rPr>
          <w:sz w:val="20"/>
          <w:szCs w:val="20"/>
          <w:lang w:val="en-GB"/>
        </w:rPr>
        <w:t>Centre for Health Economic Research and Modelling Infectious Diseases (CHERMID), Vaccine &amp; Infectious Disease Institute, University of Antwerp, Antwerp, Belgium</w:t>
      </w:r>
    </w:p>
    <w:p w14:paraId="0DB991E3" w14:textId="45ED8AF1" w:rsidR="007662DD" w:rsidRPr="00441D1B" w:rsidRDefault="007662DD" w:rsidP="00117FE3">
      <w:pPr>
        <w:spacing w:line="480" w:lineRule="auto"/>
        <w:rPr>
          <w:rFonts w:cs="Calibri"/>
          <w:lang w:val="en-GB"/>
        </w:rPr>
      </w:pPr>
      <w:r w:rsidRPr="00441D1B">
        <w:rPr>
          <w:rFonts w:cs="Calibri"/>
          <w:lang w:val="en-GB"/>
        </w:rPr>
        <w:t>Corresponding author: Robin Bruyndonckx</w:t>
      </w:r>
      <w:r w:rsidRPr="00441D1B">
        <w:rPr>
          <w:rFonts w:cs="Calibri"/>
          <w:lang w:val="en-GB"/>
        </w:rPr>
        <w:br/>
        <w:t xml:space="preserve">Postal address: </w:t>
      </w:r>
      <w:r w:rsidR="008B653F" w:rsidRPr="00441D1B">
        <w:rPr>
          <w:rFonts w:cs="Calibri"/>
          <w:lang w:val="en-GB"/>
        </w:rPr>
        <w:t>Data Science Institute</w:t>
      </w:r>
      <w:r w:rsidRPr="00441D1B">
        <w:rPr>
          <w:rFonts w:cs="Calibri"/>
          <w:lang w:val="en-GB"/>
        </w:rPr>
        <w:t>, Hasselt University, Martelarenlaan 42, 3500 Hasselt, Belgium</w:t>
      </w:r>
      <w:r w:rsidRPr="00441D1B">
        <w:rPr>
          <w:rFonts w:cs="Calibri"/>
          <w:lang w:val="en-GB"/>
        </w:rPr>
        <w:br/>
        <w:t xml:space="preserve">Phone: 0032 11 268 631 </w:t>
      </w:r>
      <w:r w:rsidRPr="00441D1B">
        <w:rPr>
          <w:rFonts w:cs="Calibri"/>
          <w:lang w:val="en-GB"/>
        </w:rPr>
        <w:br/>
        <w:t>Fax: 0032 11 268 299</w:t>
      </w:r>
      <w:r w:rsidRPr="00441D1B">
        <w:rPr>
          <w:rFonts w:cs="Calibri"/>
          <w:lang w:val="en-GB"/>
        </w:rPr>
        <w:br/>
        <w:t xml:space="preserve">E-mail: </w:t>
      </w:r>
      <w:hyperlink r:id="rId6" w:history="1">
        <w:r w:rsidRPr="00441D1B">
          <w:rPr>
            <w:rStyle w:val="Hyperlink"/>
            <w:rFonts w:cs="Calibri"/>
            <w:lang w:val="en-GB"/>
          </w:rPr>
          <w:t>robin.bruyndonckx@uhasselt.be</w:t>
        </w:r>
      </w:hyperlink>
    </w:p>
    <w:p w14:paraId="231E6EFC" w14:textId="7480E083" w:rsidR="007662DD" w:rsidRPr="00441D1B" w:rsidRDefault="007662DD" w:rsidP="00117FE3">
      <w:pPr>
        <w:spacing w:line="480" w:lineRule="auto"/>
        <w:rPr>
          <w:rFonts w:cs="Calibri"/>
          <w:lang w:val="en-GB"/>
        </w:rPr>
      </w:pPr>
      <w:r w:rsidRPr="00441D1B">
        <w:rPr>
          <w:rFonts w:cs="Calibri"/>
          <w:b/>
          <w:lang w:val="en-GB"/>
        </w:rPr>
        <w:t>Keywords:</w:t>
      </w:r>
      <w:r w:rsidRPr="00441D1B">
        <w:rPr>
          <w:rFonts w:cs="Calibri"/>
          <w:lang w:val="en-GB"/>
        </w:rPr>
        <w:t xml:space="preserve"> </w:t>
      </w:r>
      <w:r w:rsidR="001901C3" w:rsidRPr="00441D1B">
        <w:rPr>
          <w:rFonts w:cs="Calibri"/>
          <w:lang w:val="en-GB"/>
        </w:rPr>
        <w:t xml:space="preserve">respiratory syncytial virus, </w:t>
      </w:r>
      <w:r w:rsidR="00B613D5" w:rsidRPr="00441D1B">
        <w:rPr>
          <w:rFonts w:cs="Calibri"/>
          <w:lang w:val="en-GB"/>
        </w:rPr>
        <w:t>influenza</w:t>
      </w:r>
      <w:r w:rsidR="005739C0" w:rsidRPr="00441D1B">
        <w:rPr>
          <w:rFonts w:cs="Calibri"/>
          <w:lang w:val="en-GB"/>
        </w:rPr>
        <w:t xml:space="preserve"> virus</w:t>
      </w:r>
      <w:r w:rsidR="00B613D5" w:rsidRPr="00441D1B">
        <w:rPr>
          <w:rFonts w:cs="Calibri"/>
          <w:lang w:val="en-GB"/>
        </w:rPr>
        <w:t xml:space="preserve">, </w:t>
      </w:r>
      <w:r w:rsidR="001901C3" w:rsidRPr="00441D1B">
        <w:rPr>
          <w:rFonts w:cs="Calibri"/>
          <w:lang w:val="en-GB"/>
        </w:rPr>
        <w:t>primary care, acute cough</w:t>
      </w:r>
      <w:r w:rsidRPr="00441D1B">
        <w:rPr>
          <w:rFonts w:cs="Calibri"/>
          <w:lang w:val="en-GB"/>
        </w:rPr>
        <w:t xml:space="preserve"> </w:t>
      </w:r>
    </w:p>
    <w:p w14:paraId="619471E4" w14:textId="77777777" w:rsidR="007662DD" w:rsidRPr="00441D1B" w:rsidRDefault="007662DD" w:rsidP="00117FE3">
      <w:pPr>
        <w:spacing w:after="160" w:line="480" w:lineRule="auto"/>
        <w:rPr>
          <w:rFonts w:cs="Calibri"/>
          <w:lang w:val="en-GB"/>
        </w:rPr>
      </w:pPr>
      <w:r w:rsidRPr="00441D1B">
        <w:rPr>
          <w:rFonts w:cs="Calibri"/>
          <w:lang w:val="en-GB"/>
        </w:rPr>
        <w:br w:type="page"/>
      </w:r>
    </w:p>
    <w:p w14:paraId="16E22873" w14:textId="77777777" w:rsidR="007662DD" w:rsidRPr="00441D1B" w:rsidRDefault="007662DD" w:rsidP="00117FE3">
      <w:pPr>
        <w:spacing w:line="480" w:lineRule="auto"/>
        <w:rPr>
          <w:rFonts w:cs="Calibri"/>
          <w:b/>
          <w:sz w:val="28"/>
          <w:lang w:val="en-GB"/>
        </w:rPr>
      </w:pPr>
      <w:r w:rsidRPr="00441D1B">
        <w:rPr>
          <w:rFonts w:cs="Calibri"/>
          <w:b/>
          <w:sz w:val="28"/>
          <w:lang w:val="en-GB"/>
        </w:rPr>
        <w:lastRenderedPageBreak/>
        <w:t>Abstract</w:t>
      </w:r>
    </w:p>
    <w:p w14:paraId="0832E926" w14:textId="11D14AE2" w:rsidR="00CE7B92" w:rsidRPr="00441D1B" w:rsidRDefault="00565D40" w:rsidP="00117FE3">
      <w:pPr>
        <w:spacing w:line="480" w:lineRule="auto"/>
        <w:rPr>
          <w:rFonts w:cs="Calibri"/>
          <w:b/>
          <w:lang w:val="en-GB"/>
        </w:rPr>
      </w:pPr>
      <w:r w:rsidRPr="00441D1B">
        <w:rPr>
          <w:rFonts w:cs="Calibri"/>
          <w:b/>
          <w:lang w:val="en-GB"/>
        </w:rPr>
        <w:t>Objectives</w:t>
      </w:r>
      <w:r w:rsidR="007662DD" w:rsidRPr="00441D1B">
        <w:rPr>
          <w:rFonts w:cs="Calibri"/>
          <w:b/>
          <w:lang w:val="en-GB"/>
        </w:rPr>
        <w:t>:</w:t>
      </w:r>
      <w:r w:rsidR="00CE7B92" w:rsidRPr="00441D1B">
        <w:rPr>
          <w:rFonts w:cs="Calibri"/>
          <w:b/>
          <w:lang w:val="en-GB"/>
        </w:rPr>
        <w:t xml:space="preserve"> </w:t>
      </w:r>
      <w:r w:rsidR="0017613E" w:rsidRPr="00441D1B">
        <w:t xml:space="preserve">To better target </w:t>
      </w:r>
      <w:r w:rsidR="00CE7B92" w:rsidRPr="00441D1B">
        <w:t xml:space="preserve">new vaccines and treatments being developed for </w:t>
      </w:r>
      <w:r w:rsidR="00C847E7" w:rsidRPr="00441D1B">
        <w:t>respiratory syncytial virus (RSV)</w:t>
      </w:r>
      <w:r w:rsidR="00CE7B92" w:rsidRPr="00441D1B">
        <w:t xml:space="preserve"> and influenza </w:t>
      </w:r>
      <w:r w:rsidR="00C847E7" w:rsidRPr="00441D1B">
        <w:t>virus (influenza)</w:t>
      </w:r>
      <w:r w:rsidR="00CE7B92" w:rsidRPr="00441D1B">
        <w:t xml:space="preserve">, we studied the association </w:t>
      </w:r>
      <w:r w:rsidR="00C847E7" w:rsidRPr="00441D1B">
        <w:t>of age with</w:t>
      </w:r>
      <w:r w:rsidR="00CE7B92" w:rsidRPr="00441D1B">
        <w:t xml:space="preserve"> </w:t>
      </w:r>
      <w:r w:rsidR="0017613E" w:rsidRPr="00441D1B">
        <w:t xml:space="preserve">prevalence, </w:t>
      </w:r>
      <w:r w:rsidR="00CE7B92" w:rsidRPr="00441D1B">
        <w:t xml:space="preserve">diagnostic features and </w:t>
      </w:r>
      <w:r w:rsidR="00AD22F6" w:rsidRPr="00441D1B">
        <w:t xml:space="preserve">course of </w:t>
      </w:r>
      <w:r w:rsidR="00CE7B92" w:rsidRPr="00441D1B">
        <w:t xml:space="preserve">illness </w:t>
      </w:r>
      <w:r w:rsidR="00AD22F6" w:rsidRPr="00441D1B">
        <w:t xml:space="preserve">of </w:t>
      </w:r>
      <w:r w:rsidR="00CE7B92" w:rsidRPr="00441D1B">
        <w:t xml:space="preserve">these infections in </w:t>
      </w:r>
      <w:r w:rsidR="00F14E45" w:rsidRPr="00441D1B">
        <w:t xml:space="preserve">primary care </w:t>
      </w:r>
      <w:r w:rsidR="00CE7B92" w:rsidRPr="00441D1B">
        <w:t>patients</w:t>
      </w:r>
      <w:r w:rsidR="00C847E7" w:rsidRPr="00441D1B">
        <w:t>.</w:t>
      </w:r>
    </w:p>
    <w:p w14:paraId="2D9269E6" w14:textId="28289560" w:rsidR="007662DD" w:rsidRPr="00441D1B" w:rsidRDefault="007662DD" w:rsidP="00117FE3">
      <w:pPr>
        <w:spacing w:line="480" w:lineRule="auto"/>
        <w:rPr>
          <w:rFonts w:cs="Calibri"/>
          <w:lang w:val="en-GB"/>
        </w:rPr>
      </w:pPr>
      <w:r w:rsidRPr="00441D1B">
        <w:rPr>
          <w:rFonts w:cs="Calibri"/>
          <w:b/>
          <w:lang w:val="en-GB"/>
        </w:rPr>
        <w:t xml:space="preserve">Methods: </w:t>
      </w:r>
      <w:r w:rsidR="00B8766D" w:rsidRPr="00441D1B">
        <w:rPr>
          <w:rFonts w:cs="Calibri"/>
          <w:lang w:val="en-GB"/>
        </w:rPr>
        <w:t xml:space="preserve">Secondary analysis of observational </w:t>
      </w:r>
      <w:r w:rsidR="0017613E" w:rsidRPr="00441D1B">
        <w:rPr>
          <w:rFonts w:cs="Calibri"/>
          <w:lang w:val="en-GB"/>
        </w:rPr>
        <w:t xml:space="preserve">data </w:t>
      </w:r>
      <w:r w:rsidR="00B8766D" w:rsidRPr="00441D1B">
        <w:rPr>
          <w:rFonts w:cs="Calibri"/>
          <w:lang w:val="en-GB"/>
        </w:rPr>
        <w:t>on the aetiology, diagnosis and prognosis in</w:t>
      </w:r>
      <w:r w:rsidR="003A45E1" w:rsidRPr="00441D1B">
        <w:rPr>
          <w:rFonts w:cs="Calibri"/>
          <w:lang w:val="en-GB"/>
        </w:rPr>
        <w:t xml:space="preserve"> adults </w:t>
      </w:r>
      <w:r w:rsidR="00B8766D" w:rsidRPr="00441D1B">
        <w:rPr>
          <w:rFonts w:cs="Calibri"/>
          <w:lang w:val="en-GB"/>
        </w:rPr>
        <w:t>presenting to primary care</w:t>
      </w:r>
      <w:r w:rsidR="003A45E1" w:rsidRPr="00441D1B">
        <w:rPr>
          <w:rFonts w:cs="Calibri"/>
          <w:lang w:val="en-GB"/>
        </w:rPr>
        <w:t xml:space="preserve"> with acute cough in 12 European countries (2007-2010) </w:t>
      </w:r>
      <w:r w:rsidR="00910DAA" w:rsidRPr="00441D1B">
        <w:rPr>
          <w:rFonts w:cs="Calibri"/>
          <w:lang w:val="en-GB"/>
        </w:rPr>
        <w:t>using</w:t>
      </w:r>
      <w:r w:rsidR="00B8766D" w:rsidRPr="00441D1B">
        <w:rPr>
          <w:rFonts w:cs="Calibri"/>
          <w:lang w:val="en-GB"/>
        </w:rPr>
        <w:t xml:space="preserve"> </w:t>
      </w:r>
      <w:r w:rsidR="003A45E1" w:rsidRPr="00441D1B">
        <w:rPr>
          <w:rFonts w:cs="Calibri"/>
          <w:lang w:val="en-GB"/>
        </w:rPr>
        <w:t>regression analyses</w:t>
      </w:r>
      <w:r w:rsidR="004C685D" w:rsidRPr="00441D1B">
        <w:rPr>
          <w:rFonts w:cs="Calibri"/>
          <w:lang w:val="en-GB"/>
        </w:rPr>
        <w:t xml:space="preserve"> corrected for clustering of patients within countries</w:t>
      </w:r>
      <w:r w:rsidR="004D2C66" w:rsidRPr="00441D1B">
        <w:rPr>
          <w:rFonts w:cs="Calibri"/>
          <w:lang w:val="en-GB"/>
        </w:rPr>
        <w:t>.</w:t>
      </w:r>
      <w:r w:rsidR="00FC322A" w:rsidRPr="00441D1B">
        <w:rPr>
          <w:rFonts w:cs="Calibri"/>
          <w:lang w:val="en-GB"/>
        </w:rPr>
        <w:t xml:space="preserve"> Age </w:t>
      </w:r>
      <w:r w:rsidR="00F14E45" w:rsidRPr="00441D1B">
        <w:rPr>
          <w:rFonts w:cs="Calibri"/>
          <w:lang w:val="en-GB"/>
        </w:rPr>
        <w:t xml:space="preserve">groups </w:t>
      </w:r>
      <w:r w:rsidR="00FC322A" w:rsidRPr="00441D1B">
        <w:rPr>
          <w:rFonts w:cs="Calibri"/>
          <w:lang w:val="en-GB"/>
        </w:rPr>
        <w:t xml:space="preserve">were </w:t>
      </w:r>
      <w:r w:rsidR="00D241B8" w:rsidRPr="00441D1B">
        <w:t>18-</w:t>
      </w:r>
      <w:r w:rsidR="004D2C66" w:rsidRPr="00441D1B">
        <w:t>59</w:t>
      </w:r>
      <w:r w:rsidR="00FC322A" w:rsidRPr="00441D1B">
        <w:t xml:space="preserve"> years, </w:t>
      </w:r>
      <w:r w:rsidR="004D2C66" w:rsidRPr="00441D1B">
        <w:t>60-74</w:t>
      </w:r>
      <w:r w:rsidR="00FC322A" w:rsidRPr="00441D1B">
        <w:t xml:space="preserve"> years, and</w:t>
      </w:r>
      <w:r w:rsidR="00910DAA" w:rsidRPr="00441D1B">
        <w:t xml:space="preserve"> 75 years and older</w:t>
      </w:r>
      <w:r w:rsidR="00F14E45" w:rsidRPr="00441D1B">
        <w:t xml:space="preserve"> (75+)</w:t>
      </w:r>
      <w:r w:rsidR="004D2C66" w:rsidRPr="00441D1B">
        <w:t xml:space="preserve">. </w:t>
      </w:r>
      <w:r w:rsidR="003A45E1" w:rsidRPr="00441D1B">
        <w:rPr>
          <w:rFonts w:cs="Calibri"/>
          <w:lang w:val="en-GB"/>
        </w:rPr>
        <w:t xml:space="preserve">  </w:t>
      </w:r>
    </w:p>
    <w:p w14:paraId="41322C6A" w14:textId="77777777" w:rsidR="00F55331" w:rsidRPr="00441D1B" w:rsidRDefault="00F55331" w:rsidP="00F55331">
      <w:pPr>
        <w:spacing w:line="480" w:lineRule="auto"/>
        <w:rPr>
          <w:rFonts w:cs="Calibri"/>
          <w:lang w:val="en-GB"/>
        </w:rPr>
      </w:pPr>
      <w:r w:rsidRPr="00441D1B">
        <w:rPr>
          <w:rFonts w:cs="Calibri"/>
          <w:b/>
          <w:lang w:val="en-GB"/>
        </w:rPr>
        <w:t xml:space="preserve">Results: </w:t>
      </w:r>
      <w:r w:rsidRPr="00441D1B">
        <w:rPr>
          <w:rFonts w:cs="Calibri"/>
          <w:lang w:val="en-GB"/>
        </w:rPr>
        <w:t>Nasopharyngeal swabs for</w:t>
      </w:r>
      <w:r w:rsidRPr="00441D1B">
        <w:rPr>
          <w:lang w:val="en-GB"/>
        </w:rPr>
        <w:t xml:space="preserve"> 144 (4.6%), 169 (5.4%) and 104 (3.4%) out of 3104 patients were polymerase chain reaction (PCR) positive for RSV, influenza A and influenza B, respectively. RSV-prevalence in patients 75+ </w:t>
      </w:r>
      <w:r w:rsidRPr="00441D1B">
        <w:t xml:space="preserve">(8.5%) </w:t>
      </w:r>
      <w:r w:rsidRPr="00441D1B">
        <w:rPr>
          <w:lang w:val="en-GB"/>
        </w:rPr>
        <w:t xml:space="preserve">was </w:t>
      </w:r>
      <w:r w:rsidRPr="00441D1B">
        <w:t xml:space="preserve">twice the prevalence in those under 60 years (4.2%). </w:t>
      </w:r>
      <w:r w:rsidRPr="00441D1B">
        <w:rPr>
          <w:lang w:val="en-GB"/>
        </w:rPr>
        <w:t xml:space="preserve">Influenza prevalence was not associated with age. Diagnostic features for these viruses were not associated with age. Symptom duration was associated with age for RSV and influenza B, but not for influenza A. The odds of unresolved symptoms after 28 days was associated with age for RSV only. Illness deterioration was associated with age for RSV, with patients 75+ at increased risk, but not for influenza. </w:t>
      </w:r>
    </w:p>
    <w:p w14:paraId="668FC1C3" w14:textId="005043D5" w:rsidR="007662DD" w:rsidRPr="00441D1B" w:rsidRDefault="007662DD" w:rsidP="00917254">
      <w:pPr>
        <w:spacing w:line="480" w:lineRule="auto"/>
        <w:rPr>
          <w:rFonts w:cs="Calibri"/>
          <w:b/>
          <w:lang w:val="en-GB"/>
        </w:rPr>
      </w:pPr>
      <w:r w:rsidRPr="00441D1B">
        <w:rPr>
          <w:rFonts w:cs="Calibri"/>
          <w:b/>
          <w:lang w:val="en-GB"/>
        </w:rPr>
        <w:t>Conclusion</w:t>
      </w:r>
      <w:r w:rsidR="00C01F82" w:rsidRPr="00441D1B">
        <w:rPr>
          <w:lang w:val="en-GB"/>
        </w:rPr>
        <w:t xml:space="preserve"> </w:t>
      </w:r>
      <w:r w:rsidR="00A02322" w:rsidRPr="00441D1B">
        <w:t xml:space="preserve">In </w:t>
      </w:r>
      <w:r w:rsidR="00F14E45" w:rsidRPr="00441D1B">
        <w:t xml:space="preserve">adults </w:t>
      </w:r>
      <w:r w:rsidR="00A02322" w:rsidRPr="00441D1B">
        <w:t>presenting to primary care with acute cough</w:t>
      </w:r>
      <w:r w:rsidR="00E80A66" w:rsidRPr="00441D1B">
        <w:t xml:space="preserve">, </w:t>
      </w:r>
      <w:r w:rsidR="00B8766D" w:rsidRPr="00441D1B">
        <w:t xml:space="preserve">the </w:t>
      </w:r>
      <w:r w:rsidR="0017613E" w:rsidRPr="00441D1B">
        <w:t>diagnostic features</w:t>
      </w:r>
      <w:r w:rsidR="00B8766D" w:rsidRPr="00441D1B">
        <w:t xml:space="preserve"> of RSV or influenza infection are not</w:t>
      </w:r>
      <w:r w:rsidR="00BE23B2" w:rsidRPr="00441D1B">
        <w:t xml:space="preserve"> associated with age.</w:t>
      </w:r>
      <w:r w:rsidR="00B8766D" w:rsidRPr="00441D1B">
        <w:t xml:space="preserve"> For RSV both </w:t>
      </w:r>
      <w:r w:rsidR="00E80A66" w:rsidRPr="00441D1B">
        <w:t xml:space="preserve">the prevalence and illness course </w:t>
      </w:r>
      <w:r w:rsidR="00B8766D" w:rsidRPr="00441D1B">
        <w:t xml:space="preserve">are significantly worse at higher age, for influenza only the </w:t>
      </w:r>
      <w:r w:rsidR="00E80A66" w:rsidRPr="00441D1B">
        <w:t>illness course</w:t>
      </w:r>
      <w:r w:rsidR="00B8766D" w:rsidRPr="00441D1B">
        <w:t xml:space="preserve"> is</w:t>
      </w:r>
      <w:r w:rsidR="00E80A66" w:rsidRPr="00441D1B">
        <w:t xml:space="preserve">. </w:t>
      </w:r>
      <w:r w:rsidR="00A02322" w:rsidRPr="00441D1B">
        <w:t xml:space="preserve"> </w:t>
      </w:r>
      <w:r w:rsidRPr="00441D1B">
        <w:rPr>
          <w:rFonts w:cs="Calibri"/>
          <w:b/>
          <w:lang w:val="en-GB"/>
        </w:rPr>
        <w:br w:type="page"/>
      </w:r>
    </w:p>
    <w:p w14:paraId="3409311B" w14:textId="79D15974" w:rsidR="007662DD" w:rsidRPr="00441D1B" w:rsidRDefault="007662DD" w:rsidP="00117FE3">
      <w:pPr>
        <w:spacing w:line="480" w:lineRule="auto"/>
        <w:rPr>
          <w:rFonts w:cs="Calibri"/>
          <w:b/>
          <w:sz w:val="28"/>
          <w:lang w:val="en-GB"/>
        </w:rPr>
      </w:pPr>
      <w:r w:rsidRPr="00441D1B">
        <w:rPr>
          <w:rFonts w:cs="Calibri"/>
          <w:b/>
          <w:sz w:val="28"/>
          <w:lang w:val="en-GB"/>
        </w:rPr>
        <w:lastRenderedPageBreak/>
        <w:t>Introduction</w:t>
      </w:r>
    </w:p>
    <w:p w14:paraId="2E0FE746" w14:textId="156FD978" w:rsidR="00FA227B" w:rsidRPr="00441D1B" w:rsidRDefault="008B276D" w:rsidP="00117FE3">
      <w:pPr>
        <w:spacing w:line="480" w:lineRule="auto"/>
        <w:rPr>
          <w:lang w:val="en-GB"/>
        </w:rPr>
      </w:pPr>
      <w:r w:rsidRPr="00441D1B">
        <w:rPr>
          <w:rFonts w:cs="Calibri"/>
          <w:lang w:val="en-GB"/>
        </w:rPr>
        <w:t xml:space="preserve">Viral respiratory tract infections </w:t>
      </w:r>
      <w:r w:rsidR="00DE4F66" w:rsidRPr="00441D1B">
        <w:rPr>
          <w:rFonts w:cs="Calibri"/>
          <w:lang w:val="en-GB"/>
        </w:rPr>
        <w:t>(RTI</w:t>
      </w:r>
      <w:r w:rsidR="00D83A8D" w:rsidRPr="00441D1B">
        <w:rPr>
          <w:rFonts w:cs="Calibri"/>
          <w:lang w:val="en-GB"/>
        </w:rPr>
        <w:t>s</w:t>
      </w:r>
      <w:r w:rsidR="00DE4F66" w:rsidRPr="00441D1B">
        <w:rPr>
          <w:rFonts w:cs="Calibri"/>
          <w:lang w:val="en-GB"/>
        </w:rPr>
        <w:t xml:space="preserve">) </w:t>
      </w:r>
      <w:r w:rsidRPr="00441D1B">
        <w:rPr>
          <w:rFonts w:cs="Calibri"/>
          <w:lang w:val="en-GB"/>
        </w:rPr>
        <w:t>are a major public health problem due to their ease of transmission, substantial morbidity and wide occurrence.</w:t>
      </w:r>
      <w:r w:rsidR="00F417F9" w:rsidRPr="00441D1B">
        <w:rPr>
          <w:rFonts w:cs="Calibri"/>
          <w:lang w:val="en-GB"/>
        </w:rPr>
        <w:t xml:space="preserve"> </w:t>
      </w:r>
      <w:r w:rsidR="007B4271" w:rsidRPr="00441D1B">
        <w:rPr>
          <w:rFonts w:cs="Calibri"/>
        </w:rPr>
        <w:t>Their higher incidence and severity during winter months increases the burden of RTIs</w:t>
      </w:r>
      <w:r w:rsidR="001B5C36" w:rsidRPr="00441D1B">
        <w:rPr>
          <w:rFonts w:cs="Calibri"/>
          <w:lang w:val="en-GB"/>
        </w:rPr>
        <w:t xml:space="preserve">. </w:t>
      </w:r>
      <w:r w:rsidR="00DE4F66" w:rsidRPr="00441D1B">
        <w:rPr>
          <w:rFonts w:cs="Calibri"/>
          <w:lang w:val="en-GB"/>
        </w:rPr>
        <w:t xml:space="preserve">Associated </w:t>
      </w:r>
      <w:r w:rsidR="00B30E68" w:rsidRPr="00441D1B">
        <w:rPr>
          <w:rFonts w:cs="Calibri"/>
          <w:lang w:val="en-GB"/>
        </w:rPr>
        <w:t>pathogens confined to winter months, with often overlapping epidemics, are respiratory syncytial virus (RSV) and influenza</w:t>
      </w:r>
      <w:r w:rsidR="00B8766D" w:rsidRPr="00441D1B">
        <w:rPr>
          <w:rFonts w:cs="Calibri"/>
          <w:lang w:val="en-GB"/>
        </w:rPr>
        <w:t xml:space="preserve"> virus (influenza)</w:t>
      </w:r>
      <w:r w:rsidR="00DE4F66" w:rsidRPr="00441D1B">
        <w:rPr>
          <w:rFonts w:cs="Calibri"/>
          <w:lang w:val="en-GB"/>
        </w:rPr>
        <w:fldChar w:fldCharType="begin" w:fldLock="1"/>
      </w:r>
      <w:r w:rsidR="0065127A" w:rsidRPr="00441D1B">
        <w:rPr>
          <w:rFonts w:cs="Calibri"/>
          <w:lang w:val="en-GB"/>
        </w:rPr>
        <w:instrText>ADDIN CSL_CITATION {"citationItems":[{"id":"ITEM-1","itemData":{"ISSN":"0003-9926","PMID":"12038940","abstract":"BACKGROUND Chronic lung disease predisposes to serious consequences of respiratory viruses. While increasing influenza immunization rates in older adults signals an awareness of the impact of influenza, children with asthma are infrequently immunized. While respiratory syncytial virus (RSV) is recognized as an important target of vaccine development for infants, its impact on adults is underappreciated. METHODS We performed a retrospective cohort study to estimate rates of hospitalizations, deaths, outpatient visits, and antibiotic courses due to influenza and RSV in persons with chronic lung disease in the Tennessee Medicaid program from 1995 to 1999. Differences between study event rates when influenza was cocirculating with RSV and event rates when RSV was circulating alone were used to calculate influenza-attributable morbidity. Differences in rates when RSV was circulating alone and during summer months were calculated to assess the effect of RSV. RESULTS Influenza- and RSV-associated hospitalizations were highest at the extremes of age. There were an estimated 8 and 23 hospitalizations per 1000 children younger than 5 years annually due to influenza and RSV, respectively. There were 23 and 18 hospitalizations, as well as 2 and 5 deaths per 1000 persons 65 years or older annually due to influenza and RSV, respectively. Both viruses were associated with an excess of outpatient visits in children, and antibiotic prescriptions in all age groups. CONCLUSION Among persons with chronic lung disease, influenza virus and RSV accounted for 15% to 33% of acute respiratory hospitalizations in children, 7% to 9% of such hospitalizations in adults, and 9% of deaths in those 65 years or older.","author":[{"dropping-particle":"","family":"Griffin","given":"Marie R","non-dropping-particle":"","parse-names":false,"suffix":""},{"dropping-particle":"","family":"Coffey","given":"Christopher S","non-dropping-particle":"","parse-names":false,"suffix":""},{"dropping-particle":"","family":"Neuzil","given":"Kathleen M","non-dropping-particle":"","parse-names":false,"suffix":""},{"dropping-particle":"","family":"Mitchel","given":"Edward F","non-dropping-particle":"","parse-names":false,"suffix":""},{"dropping-particle":"","family":"Wright","given":"Peter F","non-dropping-particle":"","parse-names":false,"suffix":""},{"dropping-particle":"","family":"Edwards","given":"Kathryn M","non-dropping-particle":"","parse-names":false,"suffix":""}],"container-title":"Archives of internal medicine","id":"ITEM-1","issue":"11","issued":{"date-parts":[["2002","6","10"]]},"page":"1229-36","title":"Winter viruses: influenza- and respiratory syncytial virus-related morbidity in chronic lung disease.","type":"article-journal","volume":"162"},"uris":["http://www.mendeley.com/documents/?uuid=ce1cf772-847e-369a-919a-1c07df7d61cb"]},{"id":"ITEM-2","itemData":{"ISSN":"1027-3719","PMID":"17705968","abstract":"There is a constant increase in hospitalizations and mortality during winter months; cardiovascular diseases as well as respiratory infections are responsible for a large proportion of this added morbidity and mortality. Exposure to cold has often been associated with increased incidence and severity of respiratory tract infections. The data available suggest that exposure to cold, either through exposure to low environmental temperatures or during induced hypothermia, increases the risk of developing upper and lower respiratory tract infections and dying from them; in addition, the longer the duration of exposure the higher the risk of infection. Although not all studies agree, most of the available evidence from laboratory and clinical studies suggests that inhaled cold air, cooling of the body surface and cold stress induced by lowering the core body temperature cause pathophysiological responses such as vasoconstriction in the respiratory tract mucosa and suppression of immune responses, which are responsible for increased susceptibility to infections. The general public and public health authorities should therefore keep this in mind and take appropriate measures to prevent increases in morbidity and mortality during winter due to respiratory infections.","author":[{"dropping-particle":"","family":"Mourtzoukou","given":"E G","non-dropping-particle":"","parse-names":false,"suffix":""},{"dropping-particle":"","family":"Falagas","given":"M E","non-dropping-particle":"","parse-names":false,"suffix":""}],"container-title":"The international journal of tuberculosis and lung disease : the official journal of the International Union against Tuberculosis and Lung Disease","id":"ITEM-2","issue":"9","issued":{"date-parts":[["2007","9"]]},"page":"938-43","title":"Exposure to cold and respiratory tract infections.","type":"article-journal","volume":"11"},"uris":["http://www.mendeley.com/documents/?uuid=9693f501-78a4-3ff2-9edd-ca27e0870141"]},{"id":"ITEM-3","itemData":{"DOI":"10.1080/00016480252814207","ISSN":"0001-6489","abstract":"Despite a great increase in our understanding of the molecular biology of the viruses associated with acute upper respiratory tract viral infections (URTIs) there is a remarkable lack of knowledge ...","author":[{"dropping-particle":"","family":"Eccles","given":"R.","non-dropping-particle":"","parse-names":false,"suffix":""}],"container-title":"Acta Oto-Laryngologica","id":"ITEM-3","issue":"2","issued":{"date-parts":[["2002","1","8"]]},"page":"183-191","publisher":"Taylor &amp; Francis","title":"An Explanation for the Seasonality of Acute Upper Respiratory Tract Viral Infections","type":"article-journal","volume":"122"},"uris":["http://www.mendeley.com/documents/?uuid=9209d2a0-669c-3718-b749-ed257231ed1c"]}],"mendeley":{"formattedCitation":"(Eccles 2002; Griffin et al. 2002; Mourtzoukou and Falagas 2007)","plainTextFormattedCitation":"(Eccles 2002; Griffin et al. 2002; Mourtzoukou and Falagas 2007)","previouslyFormattedCitation":"(Eccles 2002; Griffin et al. 2002; Mourtzoukou and Falagas 2007)"},"properties":{"noteIndex":0},"schema":"https://github.com/citation-style-language/schema/raw/master/csl-citation.json"}</w:instrText>
      </w:r>
      <w:r w:rsidR="00DE4F66" w:rsidRPr="00441D1B">
        <w:rPr>
          <w:rFonts w:cs="Calibri"/>
          <w:lang w:val="en-GB"/>
        </w:rPr>
        <w:fldChar w:fldCharType="separate"/>
      </w:r>
      <w:r w:rsidR="00293421" w:rsidRPr="00441D1B">
        <w:rPr>
          <w:rFonts w:cs="Calibri"/>
          <w:noProof/>
          <w:lang w:val="en-GB"/>
        </w:rPr>
        <w:t>(Eccles 2002; Griffin et al. 2002; Mourtzoukou and Falagas 2007)</w:t>
      </w:r>
      <w:r w:rsidR="00DE4F66" w:rsidRPr="00441D1B">
        <w:rPr>
          <w:rFonts w:cs="Calibri"/>
          <w:lang w:val="en-GB"/>
        </w:rPr>
        <w:fldChar w:fldCharType="end"/>
      </w:r>
      <w:r w:rsidR="00917254" w:rsidRPr="00441D1B">
        <w:rPr>
          <w:rFonts w:cs="Calibri"/>
          <w:lang w:val="en-GB"/>
        </w:rPr>
        <w:t>.</w:t>
      </w:r>
      <w:r w:rsidR="00B30E68" w:rsidRPr="00441D1B">
        <w:rPr>
          <w:rFonts w:cs="Calibri"/>
          <w:lang w:val="en-GB"/>
        </w:rPr>
        <w:t xml:space="preserve"> </w:t>
      </w:r>
      <w:r w:rsidR="00DE4F66" w:rsidRPr="00441D1B">
        <w:rPr>
          <w:rFonts w:cs="Calibri"/>
          <w:lang w:val="en-GB"/>
        </w:rPr>
        <w:t>Although RTI</w:t>
      </w:r>
      <w:r w:rsidR="00D83A8D" w:rsidRPr="00441D1B">
        <w:rPr>
          <w:rFonts w:cs="Calibri"/>
          <w:lang w:val="en-GB"/>
        </w:rPr>
        <w:t>s</w:t>
      </w:r>
      <w:r w:rsidR="00DE4F66" w:rsidRPr="00441D1B">
        <w:rPr>
          <w:rFonts w:cs="Calibri"/>
          <w:lang w:val="en-GB"/>
        </w:rPr>
        <w:t xml:space="preserve"> in patients presenting to primary care </w:t>
      </w:r>
      <w:r w:rsidR="0014568D" w:rsidRPr="00441D1B">
        <w:rPr>
          <w:rFonts w:cs="Calibri"/>
          <w:lang w:val="en-GB"/>
        </w:rPr>
        <w:t>are usually self-limiting</w:t>
      </w:r>
      <w:r w:rsidR="00DE4F66" w:rsidRPr="00441D1B">
        <w:rPr>
          <w:rFonts w:cs="Calibri"/>
          <w:lang w:val="en-GB"/>
        </w:rPr>
        <w:t xml:space="preserve">, </w:t>
      </w:r>
      <w:r w:rsidR="00C07495" w:rsidRPr="00441D1B">
        <w:rPr>
          <w:rFonts w:cs="Calibri"/>
          <w:lang w:val="en-GB"/>
        </w:rPr>
        <w:t>infection</w:t>
      </w:r>
      <w:r w:rsidR="00CD56AB" w:rsidRPr="00441D1B">
        <w:rPr>
          <w:rFonts w:cs="Calibri"/>
          <w:lang w:val="en-GB"/>
        </w:rPr>
        <w:t>s</w:t>
      </w:r>
      <w:r w:rsidR="00A66599" w:rsidRPr="00441D1B">
        <w:rPr>
          <w:lang w:val="en-GB"/>
        </w:rPr>
        <w:t xml:space="preserve"> in individuals at the extremes of the age spectrum</w:t>
      </w:r>
      <w:r w:rsidR="00C07495" w:rsidRPr="00441D1B">
        <w:rPr>
          <w:lang w:val="en-GB"/>
        </w:rPr>
        <w:t xml:space="preserve"> are typically more severe, with prolonged symptoms and an increased risk of complications</w:t>
      </w:r>
      <w:r w:rsidR="00917254" w:rsidRPr="00441D1B">
        <w:rPr>
          <w:lang w:val="en-GB"/>
        </w:rPr>
        <w:t xml:space="preserve"> </w:t>
      </w:r>
      <w:r w:rsidR="00A83231" w:rsidRPr="00441D1B">
        <w:rPr>
          <w:lang w:val="en-GB"/>
        </w:rPr>
        <w:fldChar w:fldCharType="begin" w:fldLock="1"/>
      </w:r>
      <w:r w:rsidR="0065127A" w:rsidRPr="00441D1B">
        <w:rPr>
          <w:lang w:val="en-GB"/>
        </w:rPr>
        <w:instrText>ADDIN CSL_CITATION {"citationItems":[{"id":"ITEM-1","itemData":{"DOI":"10.1056/NEJMoa043951","ISSN":"0028-4793","abstract":"Background Respiratory syncytial virus (RSV) is an increasingly recognized cause of illness in adults. Data on the epidemiology and clinical effects in community-dwelling elderly persons and high-risk adults can help in assessing the need for vaccine development. Methods During four consecutive winters, we evaluated all respiratory illnesses in prospective cohorts of healthy elderly patients (≥65 years of age) and high-risk adults (those with chronic heart or lung disease) and in patients hospitalized with acute cardiopulmonary conditions. RSV infection and influenza A were diagnosed on the basis of culture, reverse-transcriptase polymerase chain reaction, and serologic studies. Results A total of 608 healthy elderly patients and 540 high-risk adults were enrolled in prospective surveillance, and 1388 hospitalized patients were enrolled. A total of 2514 illnesses were evaluated. RSV infection was identified in 102 patients in the prospective cohorts and 142 hospitalized patients, and influenza A was diagn...","author":[{"dropping-particle":"","family":"Falsey","given":"Ann R.","non-dropping-particle":"","parse-names":false,"suffix":""},{"dropping-particle":"","family":"Hennessey","given":"Patricia A.","non-dropping-particle":"","parse-names":false,"suffix":""},{"dropping-particle":"","family":"Formica","given":"Maria A.","non-dropping-particle":"","parse-names":false,"suffix":""},{"dropping-particle":"","family":"Cox","given":"Christopher","non-dropping-particle":"","parse-names":false,"suffix":""},{"dropping-particle":"","family":"Walsh","given":"Edward E.","non-dropping-particle":"","parse-names":false,"suffix":""}],"container-title":"New England Journal of Medicine","id":"ITEM-1","issue":"17","issued":{"date-parts":[["2005","4","28"]]},"page":"1749-1759","publisher":" Massachusetts Medical Society ","title":"Respiratory Syncytial Virus Infection in Elderly and High-Risk Adults","type":"article-journal","volume":"352"},"uris":["http://www.mendeley.com/documents/?uuid=b6c11a54-c62d-34a8-b0ee-a19ce8683556"]},{"id":"ITEM-2","itemData":{"DOI":"10.1186/s12913-018-3066-1","ISSN":"1472-6963","PMID":"29678177","abstract":"BACKGROUND Despite several studies that have estimated the economic impact of Respiratory Syncytial Virus (RSV) in infants, limited data are available on healthcare resource use and costs attributable to RSV across age groups. The aim of this study was to quantify age-specific RSV-related healthcare resource use and costs on the US healthcare system. METHODS This retrospective case-control study identified patients aged ≥1 year with an RSV event in the Truven Health Marketscan® Commercial Claims and Encounters and Medicare Supplemental and Coordination of Benefits databases between August 31, 2012 and August 1, 2013. RSV patients were matched 1:1 with non-RSV controls for age, gender, region, healthcare plan and index date (n = 11,432 in each group). Stratified analyses for healthcare resource use and costs were conducted by age groups. RSV-attributable resource use and costs were assessed based on the incremental differences between RSV cases and controls using multivariate analysis. RESULTS RSV patients had a higher healthcare resource use (hospital stays, emergency room/urgent care visits, ambulatory visits and outpatient visits) than non-RSV matched controls for all age groups (all p &lt; 0.0001), particularly in the elderly age groups with RSV (1.9 to 3 days length of stay, 0.4 to 0.5 more ER/UC visits, 0.7 to 2.7 more ambulatory visits, 12.1 to 18.6 more outpatient visits and 9.5 to 14.6 more prescriptions than elderly in the control groups). The incremental difference in adjusted mean annual costs between RSV and non-RSV controls was higher in elderly (≥65; $12,030 to $23,194) than in those aged &lt; 65 years ($2251 to $5391). Among children, adjusted costs attributable to RSV were higher in children aged 5-17 years ($3192), than those 1-4 years ($2251 to $2521). CONCLUSIONS Our findings showed a substantial annual RSV-attributable healthcare resource use and costs in the US across age groups, with the highest burden in those aged ≥65 years. These data can be used in cost-effectiveness analyses, and may be useful for policymakers to guide future RSV vaccination and other prevention programs.","author":[{"dropping-particle":"","family":"Amand","given":"Caroline","non-dropping-particle":"","parse-names":false,"suffix":""},{"dropping-particle":"","family":"Tong","given":"Sabine","non-dropping-particle":"","parse-names":false,"suffix":""},{"dropping-particle":"","family":"Kieffer","given":"Alexia","non-dropping-particle":"","parse-names":false,"suffix":""},{"dropping-particle":"","family":"Kyaw","given":"Moe H.","non-dropping-particle":"","parse-names":false,"suffix":""}],"container-title":"BMC Health Services Research","id":"ITEM-2","issue":"1","issued":{"date-parts":[["2018","12","20"]]},"page":"294","title":"Healthcare resource use and economic burden attributable to respiratory syncytial virus in the United States: a claims database analysis","type":"article-journal","volume":"18"},"uris":["http://www.mendeley.com/documents/?uuid=8df9ec4a-fabf-3dbf-9c8c-f030f2031213"]},{"id":"ITEM-3","itemData":{"ISSN":"0098-7484","PMID":"12517228","abstract":"CONTEXT Influenza and respiratory syncytial virus (RSV) cause substantial morbidity and mortality. Statistical methods used to estimate deaths in the United States attributable to influenza have not accounted for RSV circulation. OBJECTIVE To develop a statistical model using national mortality and viral surveillance data to estimate annual influenza- and RSV-associated deaths in the United States, by age group, virus, and influenza type and subtype. DESIGN, SETTING, AND POPULATION Age-specific Poisson regression models using national viral surveillance data for the 1976-1977 through 1998-1999 seasons were used to estimate influenza-associated deaths. Influenza- and RSV-associated deaths were simultaneously estimated for the 1990-1991 through 1998-1999 seasons. MAIN OUTCOME MEASURES Attributable deaths for 3 categories: underlying pneumonia and influenza, underlying respiratory and circulatory, and all causes. RESULTS Annual estimates of influenza-associated deaths increased significantly between the 1976-1977 and 1998-1999 seasons for all 3 death categories (P&lt;.001 for each category). For the 1990-1991 through 1998-1999 seasons, the greatest mean numbers of deaths were associated with influenza A(H3N2) viruses, followed by RSV, influenza B, and influenza A(H1N1). Influenza viruses and RSV, respectively, were associated with annual means (SD) of 8097 (3084) and 2707 (196) underlying pneumonia and influenza deaths, 36 155 (11 055) and 11 321 (668) underlying respiratory and circulatory deaths, and 51 203 (15 081) and 17 358 (1086) all-cause deaths. For underlying respiratory and circulatory deaths, 90% of influenza- and 78% of RSV-associated deaths occurred among persons aged 65 years or older. Influenza was associated with more deaths than RSV in all age groups except for children younger than 1 year. On average, influenza was associated with 3 times as many deaths as RSV. CONCLUSIONS Mortality associated with both influenza and RSV circulation disproportionately affects elderly persons. Influenza deaths have increased substantially in the last 2 decades, in part because of aging of the population, underscoring the need for better prevention measures, including more effective vaccines and vaccination programs for elderly persons.","author":[{"dropping-particle":"","family":"Thompson","given":"William W","non-dropping-particle":"","parse-names":false,"suffix":""},{"dropping-particle":"","family":"Shay","given":"David K","non-dropping-particle":"","parse-names":false,"suffix":""},{"dropping-particle":"","family":"Weintraub","given":"Eric","non-dropping-particle":"","parse-names":false,"suffix":""},{"dropping-particle":"","family":"Brammer","given":"Lynnette","non-dropping-particle":"","parse-names":false,"suffix":""},{"dropping-particle":"","family":"Cox","given":"Nancy","non-dropping-particle":"","parse-names":false,"suffix":""},{"dropping-particle":"","family":"Anderson","given":"Larry J","non-dropping-particle":"","parse-names":false,"suffix":""},{"dropping-particle":"","family":"Fukuda","given":"Keiji","non-dropping-particle":"","parse-names":false,"suffix":""}],"container-title":"JAMA","id":"ITEM-3","issue":"2","issued":{"date-parts":[["2003","1","8"]]},"page":"179-86","title":"Mortality associated with influenza and respiratory syncytial virus in the United States.","type":"article-journal","volume":"289"},"uris":["http://www.mendeley.com/documents/?uuid=c2384f56-68b4-3917-b1d5-fb93b1372ee2"]},{"id":"ITEM-4","itemData":{"DOI":"10.1093/ofid/ofy316","ISSN":"2328-8957","author":[{"dropping-particle":"","family":"Belongia","given":"Edward A","non-dropping-particle":"","parse-names":false,"suffix":""},{"dropping-particle":"","family":"King","given":"Jennifer P","non-dropping-particle":"","parse-names":false,"suffix":""},{"dropping-particle":"","family":"Kieke","given":"Burney A","non-dropping-particle":"","parse-names":false,"suffix":""},{"dropping-particle":"","family":"Pluta","given":"Joanna","non-dropping-particle":"","parse-names":false,"suffix":""},{"dropping-particle":"","family":"Al-Hilli","given":"Ali","non-dropping-particle":"","parse-names":false,"suffix":""},{"dropping-particle":"","family":"Meece","given":"Jennifer K","non-dropping-particle":"","parse-names":false,"suffix":""},{"dropping-particle":"","family":"Shinde","given":"Vivek","non-dropping-particle":"","parse-names":false,"suffix":""}],"container-title":"Open Forum Infectious Diseases","id":"ITEM-4","issue":"12","issued":{"date-parts":[["2018","12","1"]]},"publisher":"Oxford University Press","title":"Clinical Features, Severity, and Incidence of RSV Illness During 12 Consecutive Seasons in a Community Cohort of Adults ≥60 Years Old","type":"article-journal","volume":"5"},"uris":["http://www.mendeley.com/documents/?uuid=6829c0e8-b96f-30f8-a838-144f7a580227"]}],"mendeley":{"formattedCitation":"(Thompson et al. 2003; Falsey et al. 2005; Amand et al. 2018; Belongia et al. 2018a)","plainTextFormattedCitation":"(Thompson et al. 2003; Falsey et al. 2005; Amand et al. 2018; Belongia et al. 2018a)","previouslyFormattedCitation":"(Thompson et al. 2003; Falsey et al. 2005; Amand et al. 2018; Belongia et al. 2018a)"},"properties":{"noteIndex":0},"schema":"https://github.com/citation-style-language/schema/raw/master/csl-citation.json"}</w:instrText>
      </w:r>
      <w:r w:rsidR="00A83231" w:rsidRPr="00441D1B">
        <w:rPr>
          <w:lang w:val="en-GB"/>
        </w:rPr>
        <w:fldChar w:fldCharType="separate"/>
      </w:r>
      <w:r w:rsidR="00293421" w:rsidRPr="00441D1B">
        <w:rPr>
          <w:noProof/>
          <w:lang w:val="en-GB"/>
        </w:rPr>
        <w:t>(Thompson et al. 2003; Falsey et al. 2005; Amand et al. 2018; Belongia et al. 2018a)</w:t>
      </w:r>
      <w:r w:rsidR="00A83231" w:rsidRPr="00441D1B">
        <w:rPr>
          <w:lang w:val="en-GB"/>
        </w:rPr>
        <w:fldChar w:fldCharType="end"/>
      </w:r>
      <w:r w:rsidR="00917254" w:rsidRPr="00441D1B">
        <w:rPr>
          <w:lang w:val="en-GB"/>
        </w:rPr>
        <w:t>.</w:t>
      </w:r>
      <w:r w:rsidR="00FA227B" w:rsidRPr="00441D1B">
        <w:rPr>
          <w:lang w:val="en-GB"/>
        </w:rPr>
        <w:t xml:space="preserve"> A</w:t>
      </w:r>
      <w:r w:rsidR="00C07495" w:rsidRPr="00441D1B">
        <w:rPr>
          <w:lang w:val="en-GB"/>
        </w:rPr>
        <w:t>lso in individuals between</w:t>
      </w:r>
      <w:r w:rsidR="00FB0748" w:rsidRPr="00441D1B">
        <w:rPr>
          <w:lang w:val="en-GB"/>
        </w:rPr>
        <w:t xml:space="preserve"> the ends of the age spectrum</w:t>
      </w:r>
      <w:r w:rsidR="00814732" w:rsidRPr="00441D1B">
        <w:rPr>
          <w:lang w:val="en-GB"/>
        </w:rPr>
        <w:t xml:space="preserve"> (mostly </w:t>
      </w:r>
      <w:r w:rsidR="00FB0748" w:rsidRPr="00441D1B">
        <w:rPr>
          <w:lang w:val="en-GB"/>
        </w:rPr>
        <w:t>working adults</w:t>
      </w:r>
      <w:r w:rsidR="00814732" w:rsidRPr="00441D1B">
        <w:rPr>
          <w:lang w:val="en-GB"/>
        </w:rPr>
        <w:t>)</w:t>
      </w:r>
      <w:r w:rsidR="00FB0748" w:rsidRPr="00441D1B">
        <w:rPr>
          <w:lang w:val="en-GB"/>
        </w:rPr>
        <w:t>, RSV</w:t>
      </w:r>
      <w:r w:rsidR="003A00E6" w:rsidRPr="00441D1B">
        <w:rPr>
          <w:lang w:val="en-GB"/>
        </w:rPr>
        <w:t xml:space="preserve"> and </w:t>
      </w:r>
      <w:r w:rsidR="00FA227B" w:rsidRPr="00441D1B">
        <w:rPr>
          <w:lang w:val="en-GB"/>
        </w:rPr>
        <w:t xml:space="preserve">influenza </w:t>
      </w:r>
      <w:r w:rsidR="003A00E6" w:rsidRPr="00441D1B">
        <w:rPr>
          <w:lang w:val="en-GB"/>
        </w:rPr>
        <w:t>are</w:t>
      </w:r>
      <w:r w:rsidR="00FB0748" w:rsidRPr="00441D1B">
        <w:rPr>
          <w:lang w:val="en-GB"/>
        </w:rPr>
        <w:t xml:space="preserve"> </w:t>
      </w:r>
      <w:r w:rsidR="002A634D" w:rsidRPr="00441D1B">
        <w:rPr>
          <w:lang w:val="en-GB"/>
        </w:rPr>
        <w:t>considered</w:t>
      </w:r>
      <w:r w:rsidR="00FB0748" w:rsidRPr="00441D1B">
        <w:rPr>
          <w:lang w:val="en-GB"/>
        </w:rPr>
        <w:t xml:space="preserve"> important pathogen</w:t>
      </w:r>
      <w:r w:rsidR="003A00E6" w:rsidRPr="00441D1B">
        <w:rPr>
          <w:lang w:val="en-GB"/>
        </w:rPr>
        <w:t>s</w:t>
      </w:r>
      <w:r w:rsidR="00917254" w:rsidRPr="00441D1B">
        <w:rPr>
          <w:lang w:val="en-GB"/>
        </w:rPr>
        <w:t xml:space="preserve"> </w:t>
      </w:r>
      <w:r w:rsidR="00FA227B" w:rsidRPr="00441D1B">
        <w:rPr>
          <w:lang w:val="en-GB"/>
        </w:rPr>
        <w:fldChar w:fldCharType="begin" w:fldLock="1"/>
      </w:r>
      <w:r w:rsidR="0065127A" w:rsidRPr="00441D1B">
        <w:rPr>
          <w:lang w:val="en-GB"/>
        </w:rPr>
        <w:instrText>ADDIN CSL_CITATION {"citationItems":[{"id":"ITEM-1","itemData":{"ISSN":"1386-6532","PMID":"12727524","abstract":"Respiratory syncytial virus (RSV) is well recognized as a major pathogen of lower respiratory tract infection and hospitalization in young infants. More recently the pathogenicity of RSV has been demonstrated in elderly adults, institutionalized individuals, and those with compromised immune function. In these populations RSV spreads with ease and frequently results in severe or fatal cardiopulmonary complications. In younger, healthy adults, however, the manifestations and importance of RSV infection have been studied little, and RSV is generally not considered as a cause of respiratory illness in this healthy, working population. RSV occurs in yearly outbreaks and is highly contagious. Immunity after infection is neither complete nor durable. Repeated infections, therefore, occur throughout life. In most cases these recurrent infections involve the upper respiratory tract and thus do not receive a specific diagnosis. However, recent studies indicate that in the younger, healthy adult these respiratory illnesses tend to be more severe than the average 'cold' and may have manifestations similar to influenza. An appreciable proportion results in work absence. Thus, the emerging information suggests that RSV infection clearly occurs frequently in healthy adults in contact with children, but is generally not diagnosed. The potential burden on the healthcare system is unestimated, possibly unappreciated, and should be considered in strategies being developed for preventing RSV infection.","author":[{"dropping-particle":"","family":"Hashem","given":"Mohamed","non-dropping-particle":"","parse-names":false,"suffix":""},{"dropping-particle":"","family":"Hall","given":"Caroline Breese","non-dropping-particle":"","parse-names":false,"suffix":""}],"container-title":"Journal of clinical virology : the official publication of the Pan American Society for Clinical Virology","id":"ITEM-1","issue":"1","issued":{"date-parts":[["2003","5"]]},"page":"14-21","title":"Respiratory syncytial virus in healthy adults: the cost of a cold.","type":"article-journal","volume":"27"},"uris":["http://www.mendeley.com/documents/?uuid=5b4b82df-8d36-3dc6-8a60-724e21353ff4"]},{"id":"ITEM-2","itemData":{"DOI":"10.1056/NEJMoa0804877","ISSN":"0028-4793","abstract":"Background The primary role of respiratory syncytial virus (RSV) in causing infant hospitalizations is well recognized, but the total burden of RSV infection among young children remains poorly defined. Methods We conducted prospective, population-based surveillance of acute respiratory infections among children under 5 years of age in three U.S. counties. We enrolled hospitalized children from 2000 through 2004 and children presenting as outpatients in emergency departments and pediatric offices from 2002 through 2004. RSV was detected by culture and reverse-transcriptase polymerase chain reaction. Clinical information was obtained from parents and medical records. We calculated population-based rates of hospitalization associated with RSV infection and estimated the rates of RSV-associated outpatient visits. Results Among 5067 children enrolled in the study, 919 (18%) had RSV infections. Overall, RSV was associated with 20% of hospitalizations, 18% of emergency department visits, and 15% of office visit...","author":[{"dropping-particle":"","family":"Hall","given":"Caroline Breese","non-dropping-particle":"","parse-names":false,"suffix":""},{"dropping-particle":"","family":"Weinberg","given":"Geoffrey A.","non-dropping-particle":"","parse-names":false,"suffix":""},{"dropping-particle":"","family":"Iwane","given":"Marika K.","non-dropping-particle":"","parse-names":false,"suffix":""},{"dropping-particle":"","family":"Blumkin","given":"Aaron K.","non-dropping-particle":"","parse-names":false,"suffix":""},{"dropping-particle":"","family":"Edwards","given":"Kathryn M.","non-dropping-particle":"","parse-names":false,"suffix":""},{"dropping-particle":"","family":"Staat","given":"Mary A.","non-dropping-particle":"","parse-names":false,"suffix":""},{"dropping-particle":"","family":"Auinger","given":"Peggy","non-dropping-particle":"","parse-names":false,"suffix":""},{"dropping-particle":"","family":"Griffin","given":"Marie R.","non-dropping-particle":"","parse-names":false,"suffix":""},{"dropping-particle":"","family":"Poehling","given":"Katherine A.","non-dropping-particle":"","parse-names":false,"suffix":""},{"dropping-particle":"","family":"Erdman","given":"Dean","non-dropping-particle":"","parse-names":false,"suffix":""},{"dropping-particle":"","family":"Grijalva","given":"Carlos G.","non-dropping-particle":"","parse-names":false,"suffix":""},{"dropping-particle":"","family":"Zhu","given":"Yuwei","non-dropping-particle":"","parse-names":false,"suffix":""},{"dropping-particle":"","family":"Szilagyi","given":"Peter","non-dropping-particle":"","parse-names":false,"suffix":""}],"container-title":"New England Journal of Medicine","id":"ITEM-2","issue":"6","issued":{"date-parts":[["2009","2","5"]]},"page":"588-598","publisher":" Massachusetts Medical Society ","title":"The Burden of Respiratory Syncytial Virus Infection in Young Children","type":"article-journal","volume":"360"},"uris":["http://www.mendeley.com/documents/?uuid=fc513552-2e2e-3795-9780-10354bd62452"]}],"mendeley":{"formattedCitation":"(Hashem and Hall 2003; Hall et al. 2009)","plainTextFormattedCitation":"(Hashem and Hall 2003; Hall et al. 2009)","previouslyFormattedCitation":"(Hashem and Hall 2003; Hall et al. 2009)"},"properties":{"noteIndex":0},"schema":"https://github.com/citation-style-language/schema/raw/master/csl-citation.json"}</w:instrText>
      </w:r>
      <w:r w:rsidR="00FA227B" w:rsidRPr="00441D1B">
        <w:rPr>
          <w:lang w:val="en-GB"/>
        </w:rPr>
        <w:fldChar w:fldCharType="separate"/>
      </w:r>
      <w:r w:rsidR="00293421" w:rsidRPr="00441D1B">
        <w:rPr>
          <w:noProof/>
          <w:lang w:val="en-GB"/>
        </w:rPr>
        <w:t>(Hashem and Hall 2003; Hall et al. 2009)</w:t>
      </w:r>
      <w:r w:rsidR="00FA227B" w:rsidRPr="00441D1B">
        <w:rPr>
          <w:lang w:val="en-GB"/>
        </w:rPr>
        <w:fldChar w:fldCharType="end"/>
      </w:r>
      <w:r w:rsidR="00917254" w:rsidRPr="00441D1B">
        <w:rPr>
          <w:lang w:val="en-GB"/>
        </w:rPr>
        <w:t>.</w:t>
      </w:r>
    </w:p>
    <w:p w14:paraId="3DA18A75" w14:textId="6F708ADC" w:rsidR="007064E1" w:rsidRPr="00441D1B" w:rsidRDefault="00857E9E" w:rsidP="007064E1">
      <w:pPr>
        <w:spacing w:line="480" w:lineRule="auto"/>
        <w:rPr>
          <w:rFonts w:eastAsiaTheme="minorHAnsi" w:cs="Calibri"/>
          <w:lang w:val="en-GB"/>
        </w:rPr>
      </w:pPr>
      <w:r w:rsidRPr="00441D1B">
        <w:rPr>
          <w:lang w:val="en-GB"/>
        </w:rPr>
        <w:t>With ne</w:t>
      </w:r>
      <w:r w:rsidR="00FD0E2A" w:rsidRPr="00441D1B">
        <w:rPr>
          <w:lang w:val="en-GB"/>
        </w:rPr>
        <w:t>w vaccines and treatments under development</w:t>
      </w:r>
      <w:r w:rsidRPr="00441D1B">
        <w:rPr>
          <w:lang w:val="en-GB"/>
        </w:rPr>
        <w:t>, identifying phenotypic features</w:t>
      </w:r>
      <w:r w:rsidR="00E61138" w:rsidRPr="00441D1B">
        <w:rPr>
          <w:lang w:val="en-GB"/>
        </w:rPr>
        <w:t xml:space="preserve"> and risk groups</w:t>
      </w:r>
      <w:r w:rsidRPr="00441D1B">
        <w:rPr>
          <w:lang w:val="en-GB"/>
        </w:rPr>
        <w:t xml:space="preserve"> that </w:t>
      </w:r>
      <w:r w:rsidR="00FD0E2A" w:rsidRPr="00441D1B">
        <w:rPr>
          <w:lang w:val="en-GB"/>
        </w:rPr>
        <w:t xml:space="preserve">can be targeted </w:t>
      </w:r>
      <w:r w:rsidR="00E61138" w:rsidRPr="00441D1B">
        <w:rPr>
          <w:lang w:val="en-GB"/>
        </w:rPr>
        <w:t xml:space="preserve">with </w:t>
      </w:r>
      <w:r w:rsidR="00FD0E2A" w:rsidRPr="00441D1B">
        <w:rPr>
          <w:lang w:val="en-GB"/>
        </w:rPr>
        <w:t xml:space="preserve">these potential vaccines and treatments for RSV and influenza is becoming increasingly </w:t>
      </w:r>
      <w:r w:rsidR="00E61138" w:rsidRPr="00441D1B">
        <w:rPr>
          <w:lang w:val="en-GB"/>
        </w:rPr>
        <w:t>relevant</w:t>
      </w:r>
      <w:r w:rsidR="00FD0E2A" w:rsidRPr="00441D1B">
        <w:rPr>
          <w:lang w:val="en-GB"/>
        </w:rPr>
        <w:t>.</w:t>
      </w:r>
      <w:r w:rsidR="00917254" w:rsidRPr="00441D1B">
        <w:rPr>
          <w:lang w:val="en-GB"/>
        </w:rPr>
        <w:t xml:space="preserve"> A promising example </w:t>
      </w:r>
      <w:r w:rsidR="0034716B" w:rsidRPr="00441D1B">
        <w:rPr>
          <w:lang w:val="en-GB"/>
        </w:rPr>
        <w:t xml:space="preserve">of targeted treatment </w:t>
      </w:r>
      <w:r w:rsidR="00917254" w:rsidRPr="00441D1B">
        <w:rPr>
          <w:lang w:val="en-GB"/>
        </w:rPr>
        <w:t xml:space="preserve">is the use of different treatment strategies across age groups. </w:t>
      </w:r>
      <w:r w:rsidR="00FD0E2A" w:rsidRPr="00441D1B">
        <w:rPr>
          <w:lang w:val="en-GB"/>
        </w:rPr>
        <w:t xml:space="preserve">However, the association of age with prevalence, diagnostic features and illness course of RSV and influenza infection in adults is not well described. </w:t>
      </w:r>
      <w:r w:rsidR="003D72B0" w:rsidRPr="00441D1B">
        <w:rPr>
          <w:rFonts w:eastAsiaTheme="minorHAnsi" w:cs="Calibri"/>
          <w:lang w:val="en-GB"/>
        </w:rPr>
        <w:t>Several international studies reported on the prevalence of RSV among adults with cough in primary care. However, these studies recruited from a single country, mostly the US</w:t>
      </w:r>
      <w:r w:rsidR="00917254" w:rsidRPr="00441D1B">
        <w:rPr>
          <w:rFonts w:eastAsiaTheme="minorHAnsi" w:cs="Calibri"/>
          <w:lang w:val="en-GB"/>
        </w:rPr>
        <w:t xml:space="preserve"> </w:t>
      </w:r>
      <w:r w:rsidR="00402612" w:rsidRPr="00441D1B">
        <w:rPr>
          <w:rFonts w:eastAsiaTheme="minorHAnsi" w:cs="Calibri"/>
          <w:lang w:val="en-GB"/>
        </w:rPr>
        <w:fldChar w:fldCharType="begin" w:fldLock="1"/>
      </w:r>
      <w:r w:rsidR="0065127A" w:rsidRPr="00441D1B">
        <w:rPr>
          <w:rFonts w:eastAsiaTheme="minorHAnsi" w:cs="Calibri"/>
          <w:lang w:val="en-GB"/>
        </w:rPr>
        <w:instrText>ADDIN CSL_CITATION {"citationItems":[{"id":"ITEM-1","itemData":{"DOI":"10.1086/322657","ISSN":"1058-4838","author":[{"dropping-particle":"","family":"Hall","given":"Caroline Breese","non-dropping-particle":"","parse-names":false,"suffix":""},{"dropping-particle":"","family":"Long","given":"Christine E.","non-dropping-particle":"","parse-names":false,"suffix":""},{"dropping-particle":"","family":"Schnabel","given":"Kenneth C.","non-dropping-particle":"","parse-names":false,"suffix":""}],"container-title":"Clinical Infectious Diseases","id":"ITEM-1","issue":"6","issued":{"date-parts":[["2001","9","15"]]},"page":"792-796","publisher":"Oxford University Press","title":"Respiratory Syncytial Virus Infections in Previously Healthy Working Adults","type":"article-journal","volume":"33"},"uris":["http://www.mendeley.com/documents/?uuid=c514a264-e16b-42dc-91e2-c0cba6ffae46"]},{"id":"ITEM-2","itemData":{"DOI":"10.1086/431591","ISSN":"1058-4838","author":[{"dropping-particle":"","family":"O'Shea","given":"M. K.","non-dropping-particle":"","parse-names":false,"suffix":""},{"dropping-particle":"","family":"Ryan","given":"M. A. K.","non-dropping-particle":"","parse-names":false,"suffix":""},{"dropping-particle":"","family":"Hawksworth","given":"A. W.","non-dropping-particle":"","parse-names":false,"suffix":""},{"dropping-particle":"","family":"Alsip","given":"B. J.","non-dropping-particle":"","parse-names":false,"suffix":""},{"dropping-particle":"","family":"Gray","given":"G. C.","non-dropping-particle":"","parse-names":false,"suffix":""}],"container-title":"Clinical Infectious Diseases","id":"ITEM-2","issue":"3","issued":{"date-parts":[["2005","8","1"]]},"page":"311-317","publisher":"Oxford University Press","title":"Symptomatic Respiratory Syncytial Virus Infection in Previously Healthy Young Adults Living in a Crowded Military Environment","type":"article-journal","volume":"41"},"uris":["http://www.mendeley.com/documents/?uuid=8d472b70-ff55-3df3-b094-5a79793d3730"]},{"id":"ITEM-3","itemData":{"DOI":"10.1186/s12879-014-0665-2","ISSN":"1471-2334","abstract":"Once considered primarily a pediatric concern, respiratory syncytial virus (RSV) infection is gaining recognition as a cause of significant morbidity and mortality in adults. A better understanding of RSV epidemiology and disease in adults is needed to guide patient management and to assess the need for prophylaxis, vaccines, and treatments. We conducted a retrospective cohort study of adults admitted to four hospitals in Toronto, Canada, between September 2012 and June 2013 with RSV identified by a qualitative real-time reverse-transcriptase polymerase chain reaction assay in nasopharyngeal swab or bronchoscopy specimens. Main outcomes were hospital length of stay, need for intensive care unit (ICU) or mechanical ventilation, and all-cause mortality. Eighty-six patients were identified as requiring hospitalization for RSV infection (56% female). Median age was 74 (range 19–102) years; 29 (34%) were &lt; 65 years. Eighty-three (97%) had underlying chronic medical conditions; 27 (31%) were immunosuppressed, and 10 (12%) known smokers. The most common symptoms and signs were cough in 73 (85%), shortness of breath in 68 (79%), sputum production in 54 (63%), weakness in 43 (50%), fever in 41 (48%), and wheezing in 33 (38%). Lower respiratory tract complications occurred in 45 (52%), cardiovascular complications occurred in 19 (22%), and possible co-pathogens were identified in 11 (13%). Sixty-seven (78%) were treated with antibiotics and 31 (36%) with anti-influenza therapy. Thirteen (15%) required ICU care and 8 (9%) required mechanical ventilation. Five (6%) died during hospitalization. Need for ICU and mechanical ventilation were associated with mortality (P ≤ 0.02). Median hospital length of stay was 6 days (mean 10.8 days). RSV infection is associated with the need for extended hospital stay, ICU care and mortality in adults of all ages with chronic underlying conditions. Presenting signs and symptoms are nonspecific, co-infections occur, and patients often receive antibiotics and anti-influenza therapy. There is need for ongoing research and development of RSV prophylaxis, vaccines and treatments for adults.","author":[{"dropping-particle":"","family":"Volling","given":"Cheryl","non-dropping-particle":"","parse-names":false,"suffix":""},{"dropping-particle":"","family":"Hassan","given":"Kazi","non-dropping-particle":"","parse-names":false,"suffix":""},{"dropping-particle":"","family":"Mazzulli","given":"Tony","non-dropping-particle":"","parse-names":false,"suffix":""},{"dropping-particle":"","family":"Green","given":"Karen","non-dropping-particle":"","parse-names":false,"suffix":""},{"dropping-particle":"","family":"Al-Den","given":"Ahmed","non-dropping-particle":"","parse-names":false,"suffix":""},{"dropping-particle":"","family":"Hunter","given":"Paul","non-dropping-particle":"","parse-names":false,"suffix":""},{"dropping-particle":"","family":"Mangat","given":"Rupi","non-dropping-particle":"","parse-names":false,"suffix":""},{"dropping-particle":"","family":"Ng","given":"John","non-dropping-particle":"","parse-names":false,"suffix":""},{"dropping-particle":"","family":"McGeer","given":"Allison","non-dropping-particle":"","parse-names":false,"suffix":""}],"container-title":"BMC Infectious Diseases","id":"ITEM-3","issue":"1","issued":{"date-parts":[["2014","12","13"]]},"page":"665","publisher":"BioMed Central","title":"Respiratory syncytial virus infection-associated hospitalization in adults: a retrospective cohort study","type":"article-journal","volume":"14"},"uris":["http://www.mendeley.com/documents/?uuid=557c9210-f634-3ebf-b7bc-9179b0ccba33"]},{"id":"ITEM-4","itemData":{"DOI":"10.1093/infdis/174.3.456","ISSN":"0022-1899","author":[{"dropping-particle":"","family":"Dowell","given":"S. F.","non-dropping-particle":"","parse-names":false,"suffix":""},{"dropping-particle":"","family":"Anderson","given":"L. J.","non-dropping-particle":"","parse-names":false,"suffix":""},{"dropping-particle":"","family":"Gary","given":"H. E.","non-dropping-particle":"","parse-names":false,"suff</w:instrText>
      </w:r>
      <w:r w:rsidR="0065127A" w:rsidRPr="00441D1B">
        <w:rPr>
          <w:rFonts w:eastAsiaTheme="minorHAnsi" w:cs="Calibri"/>
          <w:lang w:val="nl-BE"/>
        </w:rPr>
        <w:instrText>ix":""},{"dropping-particle":"","family":"Erdman","given":"D. D.","non-dropping-particle":"","parse-names":false,"suffix":""},{"dropping-particle":"","family":"Plouffe","given":"J. F.","non-dropping-particle":"","parse-names":false,"suffix":""},{"dropping-particle":"","family":"File","given":"T. M.","non-dropping-particle":"","parse-names":false,"suffix":""},{"dropping-particle":"","family":"Marston","given":"B. J.","non-dropping-particle":"","parse-names":false,"suffix":""},{"dropping-particle":"","family":"Breiman","given":"R. F.","non-dropping-particle":"","parse-names":false,"suffix":""}],"container-title":"Journal of Infectious Diseases","id":"ITEM-4","issue":"3","issued":{"date-parts":[["1996","9","1"]]},"page":"456-462","publisher":"Oxford University Press","title":"Respiratory Syncytial Virus Is an Important Cause of Community-Acquired Lower Respiratory Infection among Hospitalized Adults","type":"article-journal","volume":"174"},"uris":["http://www.mendeley.com/documents/?uuid=0f16f356-8508-3245-b137-d136de95af4e"]}],"mendeley":{"formattedCitation":"(Dowell et al. 1996; Hall et al. 2001; O’Shea et al. 2005; Volling et al. 2014)","plainTextFormattedCitation":"(Dowell et al. 1996; Hall et al. 2001; O’Shea et al. 2005; Volling et al. 2014)","previouslyFormattedCitation":"(Dowell et al. 1996; Hall et al. 2001; O’Shea et al. 2005; Volling et al. 2014)"},"properties":{"noteIndex":0},"schema":"https://github.com/citation-style-language/schema/raw/master/csl-citation.json"}</w:instrText>
      </w:r>
      <w:r w:rsidR="00402612" w:rsidRPr="00441D1B">
        <w:rPr>
          <w:rFonts w:eastAsiaTheme="minorHAnsi" w:cs="Calibri"/>
          <w:lang w:val="en-GB"/>
        </w:rPr>
        <w:fldChar w:fldCharType="separate"/>
      </w:r>
      <w:r w:rsidR="00293421" w:rsidRPr="00441D1B">
        <w:rPr>
          <w:rFonts w:eastAsiaTheme="minorHAnsi" w:cs="Calibri"/>
          <w:noProof/>
          <w:lang w:val="nl-BE"/>
        </w:rPr>
        <w:t>(Dowell et al. 1996; Hall et al. 2001; O’Shea et al. 2005; Volling et al. 2014)</w:t>
      </w:r>
      <w:r w:rsidR="00402612" w:rsidRPr="00441D1B">
        <w:rPr>
          <w:rFonts w:eastAsiaTheme="minorHAnsi" w:cs="Calibri"/>
          <w:lang w:val="en-GB"/>
        </w:rPr>
        <w:fldChar w:fldCharType="end"/>
      </w:r>
      <w:r w:rsidR="00917254" w:rsidRPr="00441D1B">
        <w:rPr>
          <w:rFonts w:eastAsiaTheme="minorHAnsi" w:cs="Calibri"/>
          <w:lang w:val="nl-BE"/>
        </w:rPr>
        <w:t>.</w:t>
      </w:r>
      <w:r w:rsidR="00402612" w:rsidRPr="00441D1B">
        <w:rPr>
          <w:rFonts w:eastAsiaTheme="minorHAnsi" w:cs="Calibri"/>
          <w:lang w:val="nl-BE"/>
        </w:rPr>
        <w:t xml:space="preserve"> </w:t>
      </w:r>
      <w:r w:rsidR="00911343" w:rsidRPr="00441D1B">
        <w:rPr>
          <w:lang w:val="en-GB"/>
        </w:rPr>
        <w:t>Epidemiologic</w:t>
      </w:r>
      <w:r w:rsidR="008F3946" w:rsidRPr="00441D1B">
        <w:rPr>
          <w:lang w:val="en-GB"/>
        </w:rPr>
        <w:t>al studies suggested</w:t>
      </w:r>
      <w:r w:rsidR="00911343" w:rsidRPr="00441D1B">
        <w:rPr>
          <w:lang w:val="en-GB"/>
        </w:rPr>
        <w:t xml:space="preserve"> that the </w:t>
      </w:r>
      <w:r w:rsidR="00BF4762" w:rsidRPr="00441D1B">
        <w:rPr>
          <w:rFonts w:cs="Calibri"/>
          <w:lang w:val="en-GB"/>
        </w:rPr>
        <w:t xml:space="preserve">illness </w:t>
      </w:r>
      <w:r w:rsidR="00B92E0E" w:rsidRPr="00441D1B">
        <w:rPr>
          <w:lang w:val="en-GB"/>
        </w:rPr>
        <w:t>course</w:t>
      </w:r>
      <w:r w:rsidR="00911343" w:rsidRPr="00441D1B">
        <w:rPr>
          <w:lang w:val="en-GB"/>
        </w:rPr>
        <w:t xml:space="preserve"> of RSV approaches that of influenza, with the elderly at </w:t>
      </w:r>
      <w:r w:rsidR="003C0AAA" w:rsidRPr="00441D1B">
        <w:rPr>
          <w:lang w:val="en-GB"/>
        </w:rPr>
        <w:t>higher</w:t>
      </w:r>
      <w:r w:rsidR="00911343" w:rsidRPr="00441D1B">
        <w:rPr>
          <w:lang w:val="en-GB"/>
        </w:rPr>
        <w:t xml:space="preserve"> risk of serious </w:t>
      </w:r>
      <w:r w:rsidR="00BF4762" w:rsidRPr="00441D1B">
        <w:rPr>
          <w:rFonts w:cs="Calibri"/>
          <w:lang w:val="en-GB"/>
        </w:rPr>
        <w:t>illness</w:t>
      </w:r>
      <w:r w:rsidR="00917254" w:rsidRPr="00441D1B">
        <w:rPr>
          <w:lang w:val="en-GB"/>
        </w:rPr>
        <w:t xml:space="preserve"> </w:t>
      </w:r>
      <w:r w:rsidR="00CE771D" w:rsidRPr="00441D1B">
        <w:rPr>
          <w:lang w:val="en-GB"/>
        </w:rPr>
        <w:fldChar w:fldCharType="begin" w:fldLock="1"/>
      </w:r>
      <w:r w:rsidR="0065127A" w:rsidRPr="00441D1B">
        <w:rPr>
          <w:lang w:val="en-GB"/>
        </w:rPr>
        <w:instrText>ADDIN CSL_CITATION {"citationItems":[{"id":"ITEM-1","itemData":{"DOI":"10.1016/J.MEDMAL.2018.01.008","ISSN":"0399-077X","abstract":"Respiratory syncytial virus (RSV) is a major cause of severe lower respiratory tract infections in infants and young children. Reinfections are common throughout adult life with more severe presentations occurring in immunocompromised individuals, subjects with underlying high-risk cardiopulmonary diseases, and in the elderly. There is now a significant body of literature indicating that the impact of RSV in elderly adults is similar to that of non-pandemic influenza, both in the community and in nursing homes. Clinical manifestations of RSV infections are similar to those caused by other viral respiratory pathogens, including influenza viruses. Molecular tests (reverse transcription-PCR) now provide a rapid diagnosis. The sputum sample combined with nasopharyngeal swab increases the diagnostic yield. At the present time, treatment is mainly symptomatic. The prevention of RSV consists in various infection control strategies, such as standard precautions, especially hand washing and droplet precautions to limit the nosocomial spread. Vaccines and antiviral agents for the prevention and treatment of RSV infections in elderly adults are currently not available, but they are being developed. Le virus respiratoire syncytial (VRS) est une cause majeure d’infection respiratoire basse aiguë du nourrisson et du jeune enfant. Chez l’adulte, les réinfections sont fréquentes, avec des formes sévères survenant principalement chez les sujets atteints de broncho-pneumopathie chronique obstructive ou d’insuffisance cardiaque, les adultes immunodéprimés et les sujets âgés. Des études de plus en plus nombreuses indiquent que le VRS est associé à une morbi-mortalité équivalente à celle des virus grippaux chez les sujets âgés, qu’il s’agisse de sujets âgés vivant à domicile ou en institution. Les manifestations cliniques sont similaires à celles des autres viroses respiratoires, y compris des infections grippales. Les techniques d’amplification génique (reverse transcription-PCR) permettent actuellement un diagnostic rapide. La réalisation de prélèvement de crachat, en complément d’un écouvillonnage nasopharyngé améliore le taux de détection virale. Actuellement, le traitement est essentiellement symptomatique. Les mesures préventives reposent sur la mise en place des précautions standards, avec notamment le lavage des mains et des précautions de type « gouttelettes » afin de limiter la diffusion nosocomiale. Aucun vaccin n’est disponible actuellement. Cependant, plusieurs…","author":[{"dropping-particle":"","family":"Haber","given":"N.","non-dropping-particle":"","parse-names":false,"suffix":""}],"container-title":"Médecine et Maladies Infectieuses","id":"ITEM-1","issue":"6","issued":{"date-parts":[["2018","9","1"]]},"page":"377-382","publisher":"Elsevier Masson","title":"Respiratory syncytial virus infection in elderly adults","type":"article-journal","volume":"48"},"uris":["http://www.mendeley.com/documents/?uuid=b12335ba-8795-3f4b-b8a1-68eb1622c37c"]}],"mendeley":{"formattedCitation":"(Haber 2018)","plainTextFormattedCitation":"(Haber 2018)","previouslyFormattedCitation":"(Haber 2018)"},"properties":{"noteIndex":0},"schema":"https://github.com/citation-style-language/schema/raw/master/csl-citation.json"}</w:instrText>
      </w:r>
      <w:r w:rsidR="00CE771D" w:rsidRPr="00441D1B">
        <w:rPr>
          <w:lang w:val="en-GB"/>
        </w:rPr>
        <w:fldChar w:fldCharType="separate"/>
      </w:r>
      <w:r w:rsidR="00293421" w:rsidRPr="00441D1B">
        <w:rPr>
          <w:noProof/>
          <w:lang w:val="en-GB"/>
        </w:rPr>
        <w:t>(Haber 2018)</w:t>
      </w:r>
      <w:r w:rsidR="00CE771D" w:rsidRPr="00441D1B">
        <w:rPr>
          <w:lang w:val="en-GB"/>
        </w:rPr>
        <w:fldChar w:fldCharType="end"/>
      </w:r>
      <w:r w:rsidR="00917254" w:rsidRPr="00441D1B">
        <w:rPr>
          <w:lang w:val="en-GB"/>
        </w:rPr>
        <w:t>.</w:t>
      </w:r>
      <w:r w:rsidR="00911343" w:rsidRPr="00441D1B">
        <w:rPr>
          <w:lang w:val="en-GB"/>
        </w:rPr>
        <w:t xml:space="preserve"> </w:t>
      </w:r>
      <w:r w:rsidR="00827A3A" w:rsidRPr="00441D1B">
        <w:rPr>
          <w:lang w:val="en-GB"/>
        </w:rPr>
        <w:t>D</w:t>
      </w:r>
      <w:r w:rsidR="0009504B" w:rsidRPr="00441D1B">
        <w:rPr>
          <w:lang w:val="en-GB"/>
        </w:rPr>
        <w:t xml:space="preserve">espite </w:t>
      </w:r>
      <w:r w:rsidR="00FD0E2A" w:rsidRPr="00441D1B">
        <w:rPr>
          <w:lang w:val="en-GB"/>
        </w:rPr>
        <w:t>the increase in</w:t>
      </w:r>
      <w:r w:rsidR="0009504B" w:rsidRPr="00441D1B">
        <w:rPr>
          <w:lang w:val="en-GB"/>
        </w:rPr>
        <w:t xml:space="preserve"> awareness</w:t>
      </w:r>
      <w:r w:rsidR="00FD0E2A" w:rsidRPr="00441D1B">
        <w:rPr>
          <w:lang w:val="en-GB"/>
        </w:rPr>
        <w:t xml:space="preserve"> of a possible association with age</w:t>
      </w:r>
      <w:r w:rsidR="0009504B" w:rsidRPr="00441D1B">
        <w:rPr>
          <w:lang w:val="en-GB"/>
        </w:rPr>
        <w:t xml:space="preserve">, our understanding of </w:t>
      </w:r>
      <w:r w:rsidR="00624526" w:rsidRPr="00441D1B">
        <w:rPr>
          <w:lang w:val="en-GB"/>
        </w:rPr>
        <w:t xml:space="preserve">the illness course of </w:t>
      </w:r>
      <w:r w:rsidR="0009504B" w:rsidRPr="00441D1B">
        <w:rPr>
          <w:lang w:val="en-GB"/>
        </w:rPr>
        <w:t xml:space="preserve">RSV </w:t>
      </w:r>
      <w:r w:rsidR="003A00E6" w:rsidRPr="00441D1B">
        <w:rPr>
          <w:lang w:val="en-GB"/>
        </w:rPr>
        <w:t xml:space="preserve">and influenza </w:t>
      </w:r>
      <w:r w:rsidR="00624526" w:rsidRPr="00441D1B">
        <w:rPr>
          <w:lang w:val="en-GB"/>
        </w:rPr>
        <w:t xml:space="preserve">across </w:t>
      </w:r>
      <w:r w:rsidR="00827A3A" w:rsidRPr="00441D1B">
        <w:rPr>
          <w:lang w:val="en-GB"/>
        </w:rPr>
        <w:t>different age groups</w:t>
      </w:r>
      <w:r w:rsidR="00624526" w:rsidRPr="00441D1B">
        <w:rPr>
          <w:lang w:val="en-GB"/>
        </w:rPr>
        <w:t xml:space="preserve"> is poor</w:t>
      </w:r>
      <w:r w:rsidR="0009504B" w:rsidRPr="00441D1B">
        <w:rPr>
          <w:lang w:val="en-GB"/>
        </w:rPr>
        <w:t xml:space="preserve">. </w:t>
      </w:r>
      <w:r w:rsidR="006C2D81" w:rsidRPr="00441D1B">
        <w:rPr>
          <w:rFonts w:eastAsiaTheme="minorHAnsi" w:cs="Calibri"/>
          <w:lang w:val="en-GB"/>
        </w:rPr>
        <w:t>T</w:t>
      </w:r>
      <w:r w:rsidR="00FA46F6" w:rsidRPr="00441D1B">
        <w:rPr>
          <w:rFonts w:eastAsiaTheme="minorHAnsi" w:cs="Calibri"/>
          <w:lang w:val="en-GB"/>
        </w:rPr>
        <w:t xml:space="preserve">herefore, </w:t>
      </w:r>
      <w:r w:rsidR="00B8766D" w:rsidRPr="00441D1B">
        <w:rPr>
          <w:rFonts w:eastAsiaTheme="minorHAnsi" w:cs="Calibri"/>
          <w:lang w:val="en-GB"/>
        </w:rPr>
        <w:t>we set out to</w:t>
      </w:r>
      <w:r w:rsidR="00FA46F6" w:rsidRPr="00441D1B">
        <w:rPr>
          <w:rFonts w:eastAsiaTheme="minorHAnsi" w:cs="Calibri"/>
          <w:lang w:val="en-GB"/>
        </w:rPr>
        <w:t xml:space="preserve"> </w:t>
      </w:r>
      <w:r w:rsidR="006E0DB1" w:rsidRPr="00441D1B">
        <w:rPr>
          <w:rFonts w:eastAsiaTheme="minorHAnsi" w:cs="Calibri"/>
          <w:lang w:val="en-GB"/>
        </w:rPr>
        <w:t>asses</w:t>
      </w:r>
      <w:r w:rsidR="003908FB" w:rsidRPr="00441D1B">
        <w:rPr>
          <w:rFonts w:eastAsiaTheme="minorHAnsi" w:cs="Calibri"/>
          <w:lang w:val="en-GB"/>
        </w:rPr>
        <w:t>s</w:t>
      </w:r>
      <w:r w:rsidR="00FA46F6" w:rsidRPr="00441D1B">
        <w:rPr>
          <w:rFonts w:eastAsiaTheme="minorHAnsi" w:cs="Calibri"/>
          <w:lang w:val="en-GB"/>
        </w:rPr>
        <w:t xml:space="preserve"> the</w:t>
      </w:r>
      <w:r w:rsidR="006C5535" w:rsidRPr="00441D1B">
        <w:rPr>
          <w:rFonts w:eastAsiaTheme="minorHAnsi" w:cs="Calibri"/>
          <w:lang w:val="en-GB"/>
        </w:rPr>
        <w:t xml:space="preserve"> </w:t>
      </w:r>
      <w:r w:rsidR="00FD0E2A" w:rsidRPr="00441D1B">
        <w:rPr>
          <w:rFonts w:eastAsiaTheme="minorHAnsi" w:cs="Calibri"/>
          <w:lang w:val="en-GB"/>
        </w:rPr>
        <w:t>association of age with</w:t>
      </w:r>
      <w:r w:rsidR="00FA46F6" w:rsidRPr="00441D1B">
        <w:rPr>
          <w:rFonts w:eastAsiaTheme="minorHAnsi" w:cs="Calibri"/>
          <w:lang w:val="en-GB"/>
        </w:rPr>
        <w:t xml:space="preserve"> prevalence, </w:t>
      </w:r>
      <w:r w:rsidR="00FD0E2A" w:rsidRPr="00441D1B">
        <w:rPr>
          <w:rFonts w:eastAsiaTheme="minorHAnsi" w:cs="Calibri"/>
          <w:lang w:val="en-GB"/>
        </w:rPr>
        <w:t xml:space="preserve">diagnostic features </w:t>
      </w:r>
      <w:r w:rsidR="00FA46F6" w:rsidRPr="00441D1B">
        <w:rPr>
          <w:rFonts w:eastAsiaTheme="minorHAnsi" w:cs="Calibri"/>
          <w:lang w:val="en-GB"/>
        </w:rPr>
        <w:t xml:space="preserve">and </w:t>
      </w:r>
      <w:r w:rsidR="00BF4762" w:rsidRPr="00441D1B">
        <w:rPr>
          <w:rFonts w:cs="Calibri"/>
          <w:lang w:val="en-GB"/>
        </w:rPr>
        <w:t xml:space="preserve">illness </w:t>
      </w:r>
      <w:r w:rsidR="00B92E0E" w:rsidRPr="00441D1B">
        <w:rPr>
          <w:rFonts w:eastAsiaTheme="minorHAnsi" w:cs="Calibri"/>
          <w:lang w:val="en-GB"/>
        </w:rPr>
        <w:t>course</w:t>
      </w:r>
      <w:r w:rsidR="0009681C" w:rsidRPr="00441D1B">
        <w:rPr>
          <w:rFonts w:eastAsiaTheme="minorHAnsi" w:cs="Calibri"/>
          <w:lang w:val="en-GB"/>
        </w:rPr>
        <w:t xml:space="preserve"> </w:t>
      </w:r>
      <w:r w:rsidR="00FA46F6" w:rsidRPr="00441D1B">
        <w:rPr>
          <w:rFonts w:eastAsiaTheme="minorHAnsi" w:cs="Calibri"/>
          <w:lang w:val="en-GB"/>
        </w:rPr>
        <w:t xml:space="preserve">of RSV </w:t>
      </w:r>
      <w:r w:rsidR="003829C5" w:rsidRPr="00441D1B">
        <w:rPr>
          <w:rFonts w:eastAsiaTheme="minorHAnsi" w:cs="Calibri"/>
          <w:lang w:val="en-GB"/>
        </w:rPr>
        <w:t>and influenza</w:t>
      </w:r>
      <w:r w:rsidR="00B8766D" w:rsidRPr="00441D1B">
        <w:rPr>
          <w:rFonts w:eastAsiaTheme="minorHAnsi" w:cs="Calibri"/>
          <w:lang w:val="en-GB"/>
        </w:rPr>
        <w:t xml:space="preserve"> infection</w:t>
      </w:r>
      <w:r w:rsidR="003829C5" w:rsidRPr="00441D1B">
        <w:rPr>
          <w:rFonts w:eastAsiaTheme="minorHAnsi" w:cs="Calibri"/>
          <w:lang w:val="en-GB"/>
        </w:rPr>
        <w:t xml:space="preserve"> </w:t>
      </w:r>
      <w:r w:rsidR="00FA46F6" w:rsidRPr="00441D1B">
        <w:rPr>
          <w:rFonts w:eastAsiaTheme="minorHAnsi" w:cs="Calibri"/>
          <w:lang w:val="en-GB"/>
        </w:rPr>
        <w:t>in adults presenting to primary care with acute cough</w:t>
      </w:r>
      <w:r w:rsidR="006C5535" w:rsidRPr="00441D1B">
        <w:rPr>
          <w:rFonts w:eastAsiaTheme="minorHAnsi" w:cs="Calibri"/>
          <w:lang w:val="en-GB"/>
        </w:rPr>
        <w:t>.</w:t>
      </w:r>
      <w:r w:rsidR="007064E1" w:rsidRPr="00441D1B">
        <w:rPr>
          <w:b/>
          <w:sz w:val="28"/>
          <w:lang w:val="en-GB"/>
        </w:rPr>
        <w:br w:type="page"/>
      </w:r>
    </w:p>
    <w:p w14:paraId="5FAD956D" w14:textId="64376EC6" w:rsidR="007662DD" w:rsidRPr="00441D1B" w:rsidRDefault="007662DD" w:rsidP="00117FE3">
      <w:pPr>
        <w:spacing w:line="480" w:lineRule="auto"/>
        <w:rPr>
          <w:b/>
          <w:sz w:val="28"/>
          <w:lang w:val="en-GB"/>
        </w:rPr>
      </w:pPr>
      <w:r w:rsidRPr="00441D1B">
        <w:rPr>
          <w:b/>
          <w:sz w:val="28"/>
          <w:lang w:val="en-GB"/>
        </w:rPr>
        <w:lastRenderedPageBreak/>
        <w:t>Methods</w:t>
      </w:r>
    </w:p>
    <w:p w14:paraId="48CE46DD" w14:textId="154B9C3D" w:rsidR="00494FA1" w:rsidRPr="00441D1B" w:rsidRDefault="00494FA1" w:rsidP="00117FE3">
      <w:pPr>
        <w:pStyle w:val="Subtitle"/>
        <w:spacing w:line="480" w:lineRule="auto"/>
        <w:rPr>
          <w:lang w:val="en-GB"/>
        </w:rPr>
      </w:pPr>
      <w:r w:rsidRPr="00441D1B">
        <w:rPr>
          <w:lang w:val="en-GB"/>
        </w:rPr>
        <w:t>Data</w:t>
      </w:r>
    </w:p>
    <w:p w14:paraId="2E87909A" w14:textId="7216461F" w:rsidR="00592E4E" w:rsidRPr="00441D1B" w:rsidRDefault="0043715F" w:rsidP="00117FE3">
      <w:pPr>
        <w:spacing w:line="480" w:lineRule="auto"/>
      </w:pPr>
      <w:r w:rsidRPr="00441D1B">
        <w:t xml:space="preserve">The data used in this study were part of the prospective GRACE (Genomics to combat Resistance against Antimicrobials in Community-acquired lower respiratory tract infection (LRTI) in Europe; </w:t>
      </w:r>
      <w:r w:rsidR="00C33FED" w:rsidRPr="00441D1B">
        <w:t>www.grace-lrti.org</w:t>
      </w:r>
      <w:r w:rsidRPr="00441D1B">
        <w:t>)</w:t>
      </w:r>
      <w:r w:rsidR="006D3359" w:rsidRPr="00441D1B">
        <w:t xml:space="preserve"> study</w:t>
      </w:r>
      <w:r w:rsidR="00C96770" w:rsidRPr="00441D1B">
        <w:t xml:space="preserve">. A detailed description of the original study can be found elsewhere </w:t>
      </w:r>
      <w:r w:rsidR="00C96770" w:rsidRPr="00441D1B">
        <w:fldChar w:fldCharType="begin" w:fldLock="1"/>
      </w:r>
      <w:r w:rsidR="009946CE" w:rsidRPr="00441D1B">
        <w:instrText>ADDIN CSL_CITATION {"citationItems":[{"id":"ITEM-1","itemData":{"DOI":"10.1016/j.cmi.2018.02.004","ISSN":"1198743X","PMID":"29447989","abstract":"OBJECTIVES To describe the role of bacteria (including bacterial resistance), viruses (including those recently described) and mixed bacterial-viral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β-lactamase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β-lactamase-producing H. influenzae are uncommon. These new findings support a restrictive approach to antibiotic prescribing for LRTI and the use of first-line, narrow-spectrum agents in primary care.","author":[{"dropping-particle":"","family":"Ieven","given":"M.","non-dropping-particle":"","parse-names":false,"suffix":""},{"dropping-particle":"","family":"Coenen","given":"S.","non-dropping-particle":"","parse-names":false,"suffix":""},{"dropping-particle":"","family":"Loens","given":"K.","non-dropping-particle":"","parse-names":false,"suffix":""},{"dropping-particle":"","family":"Lammens","given":"C.","non-dropping-particle":"","parse-names":false,"suffix":""},{"dropping-particle":"","family":"Coenjaerts","given":"F.","non-dropping-particle":"","parse-names":false,"suffix":""},{"dropping-particle":"","family":"Vanderstraeten","given":"A.","non-dropping-particle":"","parse-names":false,"suffix":""},{"dropping-particle":"","family":"Henriques-Normark","given":"B.","non-dropping-particle":"","parse-names":false,"suffix":""},{"dropping-particle":"","family":"Crook","given":"D.","non-dropping-particle":"","parse-names":false,"suffix":""},{"dropping-particle":"","family":"Huygen","given":"K.","non-dropping-particle":"","parse-names":false,"suffix":""},{"dropping-particle":"","family":"Butler","given":"C.C.","non-dropping-particle":"","parse-names":false,"suffix":""},{"dropping-particle":"","family":"Verheij","given":"T.J.M.","non-dropping-particle":"","parse-names":false,"suffix":""},{"dropping-particle":"","family":"Little","given":"P.","non-dropping-particle":"","parse-names":false,"suffix":""},{"dropping-particle":"","family":"Zlateva","given":"K.","non-dropping-particle":"","parse-names":false,"suffix":""},{"dropping-particle":"","family":"Loon","given":"A.","non-dropping-particle":"van","parse-names":false,"suffix":""},{"dropping-particle":"","family":"Claas","given":"E.C.J.","non-dropping-particle":"","parse-names":false,"suffix":""},{"dropping-particle":"","family":"Goossens","given":"H.","non-dropping-particle":"","parse-names":false,"suffix":""},{"dropping-particle":"","family":"GRACE consortium","given":"","non-dropping-particle":"","parse-names":false,"suffix":""}],"container-title":"Clinical Microbiology and Infection","id":"ITEM-1","issue":"11","issued":{"date-parts":[["2018","11"]]},"page":"1158-1163","title":"Aetiology of lower respiratory tract infection in adults in primary care: a prospective study in 11 European countries","type":"article-journal","volume":"24"},"uris":["http://www.mendeley.com/documents/?uuid=951ada4f-fdd8-3caa-9139-4d147a5ff408"]}],"mendeley":{"formattedCitation":"(Ieven et al. 2018)","plainTextFormattedCitation":"(Ieven et al. 2018)","previouslyFormattedCitation":"(Little et al. 2013; Ieven et al. 2018)"},"properties":{"noteIndex":0},"schema":"https://github.com/citation-style-language/schema/raw/master/csl-citation.json"}</w:instrText>
      </w:r>
      <w:r w:rsidR="00C96770" w:rsidRPr="00441D1B">
        <w:fldChar w:fldCharType="separate"/>
      </w:r>
      <w:r w:rsidR="009946CE" w:rsidRPr="00441D1B">
        <w:rPr>
          <w:noProof/>
        </w:rPr>
        <w:t>(Ieven et al. 2018)</w:t>
      </w:r>
      <w:r w:rsidR="00C96770" w:rsidRPr="00441D1B">
        <w:fldChar w:fldCharType="end"/>
      </w:r>
      <w:r w:rsidR="00C96770" w:rsidRPr="00441D1B">
        <w:t xml:space="preserve">. In summary, </w:t>
      </w:r>
      <w:r w:rsidR="006D3359" w:rsidRPr="00441D1B">
        <w:t xml:space="preserve">GPs from 16 primary care </w:t>
      </w:r>
      <w:r w:rsidR="00C922E0" w:rsidRPr="00441D1B">
        <w:t xml:space="preserve">research </w:t>
      </w:r>
      <w:r w:rsidR="006D3359" w:rsidRPr="00441D1B">
        <w:t xml:space="preserve">networks </w:t>
      </w:r>
      <w:r w:rsidRPr="00441D1B">
        <w:t>included 3104 adults</w:t>
      </w:r>
      <w:r w:rsidR="00C407CE" w:rsidRPr="00441D1B">
        <w:t xml:space="preserve"> </w:t>
      </w:r>
      <w:r w:rsidRPr="00441D1B">
        <w:t>that consulted with acute cough for the first time</w:t>
      </w:r>
      <w:r w:rsidR="006D3359" w:rsidRPr="00441D1B">
        <w:t xml:space="preserve"> between October 2007 and April 2010</w:t>
      </w:r>
      <w:r w:rsidRPr="00441D1B">
        <w:t xml:space="preserve">. </w:t>
      </w:r>
      <w:r w:rsidR="006D3359" w:rsidRPr="00441D1B">
        <w:t>P</w:t>
      </w:r>
      <w:r w:rsidRPr="00441D1B">
        <w:t xml:space="preserve">rimary care </w:t>
      </w:r>
      <w:r w:rsidR="00C922E0" w:rsidRPr="00441D1B">
        <w:t xml:space="preserve">research </w:t>
      </w:r>
      <w:r w:rsidRPr="00441D1B">
        <w:t xml:space="preserve">networks </w:t>
      </w:r>
      <w:r w:rsidR="006D3359" w:rsidRPr="00441D1B">
        <w:t xml:space="preserve">were located </w:t>
      </w:r>
      <w:r w:rsidRPr="00441D1B">
        <w:t xml:space="preserve">in 12 </w:t>
      </w:r>
      <w:r w:rsidR="006D3359" w:rsidRPr="00441D1B">
        <w:t xml:space="preserve">European </w:t>
      </w:r>
      <w:r w:rsidRPr="00441D1B">
        <w:t xml:space="preserve">countries (Belgium, England, France, Germany, Italy, the Netherlands, Poland, Spain, Slovakia, Slovenia, Sweden and Wales). </w:t>
      </w:r>
      <w:r w:rsidR="00C3658A" w:rsidRPr="00441D1B">
        <w:t xml:space="preserve">Exclusion criteria </w:t>
      </w:r>
      <w:r w:rsidR="00961156" w:rsidRPr="00441D1B">
        <w:t xml:space="preserve">were pregnancy, consumption of antibiotics in the </w:t>
      </w:r>
      <w:r w:rsidR="000763B1" w:rsidRPr="00441D1B">
        <w:t>previous</w:t>
      </w:r>
      <w:r w:rsidR="00961156" w:rsidRPr="00441D1B">
        <w:t xml:space="preserve"> month and </w:t>
      </w:r>
      <w:r w:rsidR="00B7465C" w:rsidRPr="00441D1B">
        <w:t>any condition associated with immunodeficiency</w:t>
      </w:r>
      <w:r w:rsidR="00961156" w:rsidRPr="00441D1B">
        <w:t xml:space="preserve">. </w:t>
      </w:r>
      <w:r w:rsidR="00592E4E" w:rsidRPr="00441D1B">
        <w:t>For this secondary analysis, patients without etiology results were excluded.</w:t>
      </w:r>
    </w:p>
    <w:p w14:paraId="76B4D130" w14:textId="2AB63681" w:rsidR="007A0A15" w:rsidRPr="00441D1B" w:rsidRDefault="00AB5F29" w:rsidP="00117FE3">
      <w:pPr>
        <w:spacing w:line="480" w:lineRule="auto"/>
      </w:pPr>
      <w:r w:rsidRPr="00441D1B">
        <w:t xml:space="preserve">GPs </w:t>
      </w:r>
      <w:r w:rsidR="00522AAC" w:rsidRPr="00441D1B">
        <w:t>reported</w:t>
      </w:r>
      <w:r w:rsidR="006F71E7" w:rsidRPr="00441D1B">
        <w:t xml:space="preserve"> the</w:t>
      </w:r>
      <w:r w:rsidR="00522AAC" w:rsidRPr="00441D1B">
        <w:t xml:space="preserve"> </w:t>
      </w:r>
      <w:r w:rsidR="004A7AD8" w:rsidRPr="00441D1B">
        <w:t>patient</w:t>
      </w:r>
      <w:r w:rsidR="006F71E7" w:rsidRPr="00441D1B">
        <w:t>’</w:t>
      </w:r>
      <w:r w:rsidR="00522AAC" w:rsidRPr="00441D1B">
        <w:t>s symptoms and comorbidities in</w:t>
      </w:r>
      <w:r w:rsidR="00A11EDD" w:rsidRPr="00441D1B">
        <w:t xml:space="preserve"> a case report form</w:t>
      </w:r>
      <w:r w:rsidRPr="00441D1B">
        <w:t xml:space="preserve"> </w:t>
      </w:r>
      <w:r w:rsidR="004A7AD8" w:rsidRPr="00441D1B">
        <w:t>on</w:t>
      </w:r>
      <w:r w:rsidRPr="00441D1B">
        <w:t xml:space="preserve"> the day of consultation. </w:t>
      </w:r>
      <w:r w:rsidR="007A0A15" w:rsidRPr="00441D1B">
        <w:t xml:space="preserve">For each patient, </w:t>
      </w:r>
      <w:r w:rsidR="00EF4C0E" w:rsidRPr="00441D1B">
        <w:t>two</w:t>
      </w:r>
      <w:r w:rsidR="007A0A15" w:rsidRPr="00441D1B">
        <w:t xml:space="preserve"> </w:t>
      </w:r>
      <w:r w:rsidR="004A7AD8" w:rsidRPr="00441D1B">
        <w:t>nasopharyngeal swab</w:t>
      </w:r>
      <w:r w:rsidR="00EF4C0E" w:rsidRPr="00441D1B">
        <w:t>s</w:t>
      </w:r>
      <w:r w:rsidR="004A7AD8" w:rsidRPr="00441D1B">
        <w:t xml:space="preserve"> </w:t>
      </w:r>
      <w:r w:rsidR="009A5E38" w:rsidRPr="00441D1B">
        <w:t xml:space="preserve">(NPS) </w:t>
      </w:r>
      <w:r w:rsidR="004A7AD8" w:rsidRPr="00441D1B">
        <w:t>w</w:t>
      </w:r>
      <w:r w:rsidR="00EF4C0E" w:rsidRPr="00441D1B">
        <w:t>ere</w:t>
      </w:r>
      <w:r w:rsidR="004A7AD8" w:rsidRPr="00441D1B">
        <w:t xml:space="preserve"> taken, which </w:t>
      </w:r>
      <w:r w:rsidR="006F71E7" w:rsidRPr="00441D1B">
        <w:t>w</w:t>
      </w:r>
      <w:r w:rsidR="00EF4C0E" w:rsidRPr="00441D1B">
        <w:t>er</w:t>
      </w:r>
      <w:r w:rsidR="00272DED" w:rsidRPr="00441D1B">
        <w:t>e</w:t>
      </w:r>
      <w:r w:rsidR="004A7AD8" w:rsidRPr="00441D1B">
        <w:t xml:space="preserve"> transported to the central lab </w:t>
      </w:r>
      <w:r w:rsidR="00FF776A" w:rsidRPr="00441D1B">
        <w:t>at</w:t>
      </w:r>
      <w:r w:rsidR="004A7AD8" w:rsidRPr="00441D1B">
        <w:t xml:space="preserve"> the University hospital (Antwerp, Belgium).</w:t>
      </w:r>
      <w:r w:rsidR="007A0A15" w:rsidRPr="00441D1B">
        <w:t xml:space="preserve"> Presence of bacterial pathogens (</w:t>
      </w:r>
      <w:r w:rsidR="007A0A15" w:rsidRPr="00441D1B">
        <w:rPr>
          <w:i/>
        </w:rPr>
        <w:t>Streptococcus pneumoniae, Haemo</w:t>
      </w:r>
      <w:r w:rsidR="00814732" w:rsidRPr="00441D1B">
        <w:rPr>
          <w:i/>
        </w:rPr>
        <w:t>ph</w:t>
      </w:r>
      <w:r w:rsidR="007A0A15" w:rsidRPr="00441D1B">
        <w:rPr>
          <w:i/>
        </w:rPr>
        <w:t>ilus influenza</w:t>
      </w:r>
      <w:r w:rsidR="00814732" w:rsidRPr="00441D1B">
        <w:rPr>
          <w:i/>
        </w:rPr>
        <w:t>e</w:t>
      </w:r>
      <w:r w:rsidR="007A0A15" w:rsidRPr="00441D1B">
        <w:rPr>
          <w:i/>
        </w:rPr>
        <w:t xml:space="preserve">, Mycoplasma pneumoniae, </w:t>
      </w:r>
      <w:r w:rsidR="00540635" w:rsidRPr="00441D1B">
        <w:rPr>
          <w:i/>
        </w:rPr>
        <w:t xml:space="preserve">Chlamydia pneumoniae, </w:t>
      </w:r>
      <w:r w:rsidR="007A0A15" w:rsidRPr="00441D1B">
        <w:rPr>
          <w:i/>
        </w:rPr>
        <w:t>Bord</w:t>
      </w:r>
      <w:r w:rsidR="00814732" w:rsidRPr="00441D1B">
        <w:rPr>
          <w:i/>
        </w:rPr>
        <w:t>e</w:t>
      </w:r>
      <w:r w:rsidR="007A0A15" w:rsidRPr="00441D1B">
        <w:rPr>
          <w:i/>
        </w:rPr>
        <w:t>tella pertussis and Legionella pneumoniae</w:t>
      </w:r>
      <w:r w:rsidR="007A0A15" w:rsidRPr="00441D1B">
        <w:t>) and viral pathogens</w:t>
      </w:r>
      <w:r w:rsidR="00C4029B" w:rsidRPr="00441D1B">
        <w:t xml:space="preserve"> (RSV</w:t>
      </w:r>
      <w:r w:rsidR="00296061" w:rsidRPr="00441D1B">
        <w:t xml:space="preserve"> and influenza</w:t>
      </w:r>
      <w:r w:rsidR="00C4029B" w:rsidRPr="00441D1B">
        <w:t xml:space="preserve">, but also rhinovirus, coronavirus, </w:t>
      </w:r>
      <w:r w:rsidR="000415F4" w:rsidRPr="00441D1B">
        <w:t xml:space="preserve">metapneumovirus, </w:t>
      </w:r>
      <w:r w:rsidR="00C4029B" w:rsidRPr="00441D1B">
        <w:t>parainfluenza, adenovirus</w:t>
      </w:r>
      <w:r w:rsidR="000415F4" w:rsidRPr="00441D1B">
        <w:t>,</w:t>
      </w:r>
      <w:r w:rsidR="00F3388C" w:rsidRPr="00441D1B">
        <w:t xml:space="preserve"> </w:t>
      </w:r>
      <w:r w:rsidR="00C4029B" w:rsidRPr="00441D1B">
        <w:t>polyomavirus</w:t>
      </w:r>
      <w:r w:rsidR="000415F4" w:rsidRPr="00441D1B">
        <w:t xml:space="preserve"> and bocavirus</w:t>
      </w:r>
      <w:r w:rsidR="00C4029B" w:rsidRPr="00441D1B">
        <w:t>)</w:t>
      </w:r>
      <w:r w:rsidR="007A0A15" w:rsidRPr="00441D1B">
        <w:t xml:space="preserve"> was </w:t>
      </w:r>
      <w:r w:rsidR="004A7AD8" w:rsidRPr="00441D1B">
        <w:t>assessed</w:t>
      </w:r>
      <w:r w:rsidR="007A0A15" w:rsidRPr="00441D1B">
        <w:t xml:space="preserve"> using </w:t>
      </w:r>
      <w:r w:rsidR="009A5E38" w:rsidRPr="00441D1B">
        <w:t xml:space="preserve">bacterial cultures, serology and/or </w:t>
      </w:r>
      <w:r w:rsidR="0012681E" w:rsidRPr="00441D1B">
        <w:t xml:space="preserve">in-house </w:t>
      </w:r>
      <w:r w:rsidR="007A0A15" w:rsidRPr="00441D1B">
        <w:t>polymerase chain reaction</w:t>
      </w:r>
      <w:r w:rsidR="009A5E38" w:rsidRPr="00441D1B">
        <w:t>s</w:t>
      </w:r>
      <w:r w:rsidR="00EF4C0E" w:rsidRPr="00441D1B">
        <w:t xml:space="preserve"> (PCR</w:t>
      </w:r>
      <w:r w:rsidR="009A5E38" w:rsidRPr="00441D1B">
        <w:t>s</w:t>
      </w:r>
      <w:r w:rsidR="00EF4C0E" w:rsidRPr="00441D1B">
        <w:t>)</w:t>
      </w:r>
      <w:r w:rsidR="00154C3F" w:rsidRPr="00441D1B">
        <w:t xml:space="preserve"> </w:t>
      </w:r>
      <w:r w:rsidR="009A5E38" w:rsidRPr="00441D1B">
        <w:t>as described before</w:t>
      </w:r>
      <w:r w:rsidR="008C4949" w:rsidRPr="00441D1B">
        <w:t xml:space="preserve"> </w:t>
      </w:r>
      <w:r w:rsidR="00272DED" w:rsidRPr="00441D1B">
        <w:fldChar w:fldCharType="begin" w:fldLock="1"/>
      </w:r>
      <w:r w:rsidR="0065127A" w:rsidRPr="00441D1B">
        <w:instrText>ADDIN CSL_CITATION {"citationItems":[{"id":"ITEM-1","itemData":{"DOI":"10.1016/j.cmi.2018.02.004","ISSN":"1198743X","PMID":"29447989","abstract":"OBJECTIVES To describe the role of bacteria (including bacterial resistance), viruses (including those recently described) and mixed bacterial-viral infections in adults presenting to primary care with lower respiratory tract infection (LRTI). METHODS In all, 3104 adults with LRTI were enrolled, of whom 141 (4.5%) had community-acquired pneumonia (CAP), and 2985 matched controls in a prospective study in 16 primary care networks in Europe, and followed patients up at 28-35 days. We detected Streptococcus pneumoniae and Haemophilus influenzae and assessed susceptibility, atypical bacteria and viruses. RESULTS A potential pathogen was detected in 1844 (59%) (in 350 (11%) bacterial pathogens only, in 1190 (38%) viral pathogens only, and in 304 (10%) both bacterial and viral pathogens). The most common bacterial pathogens isolated were S. pneumoniae (5.5% overall, 9.2% in CAP patients) and H. influenzae (5.4% overall, 14.2% in CAP patients). Less than 1% of S. pneumoniae were highly resistant to penicillin and 12.6% of H. influenzae were β-lactamase positive. The most common viral pathogens detected were human rhinovirus (20.1%), influenza viruses (9.9%), and human coronavirus (7.4%). Influenza virus, human parainfluenza viruses and human respiratory syncytial virus as well as human rhinovirus, human coronavirus and human metapneumovirus were detected significantly more frequently in LRTI patients than in controls. CONCLUSIONS A bacterial pathogen is identified in approximately one in five adult patients with LRTI in primary care, and a viral pathogen in just under half, with mixed infections in one in ten. Penicillin-resistant pneumococci and β-lactamase-producing H. influenzae are uncommon. These new findings support a restrictive approach to antibiotic prescribing for LRTI and the use of first-line, narrow-spectrum agents in primary care.","author":[{"dropping-particle":"","family":"Ieven","given":"M.","non-dropping-particle":"","parse-names":false,"suffix":""},{"dropping-particle":"","family":"Coenen","given":"S.","non-dropping-particle":"","parse-names":false,"suffix":""},{"dropping-particle":"","family":"Loens","given":"K.","non-dropping-particle":"","parse-names":false,"suffix":""},{"dropping-particle":"","family":"Lammens","given":"C.","non-dropping-particle":"","parse-names":false,"suffix":""},{"dropping-particle":"","family":"Coenjaerts","given":"F.","non-dropping-particle":"","parse-names":false,"suffix":""},{"dropping-particle":"","family":"Vanderstraeten","given":"A.","non-dropping-particle":"","parse-names":false,"suffix":""},{"dropping-particle":"","family":"Henriques-Normark","given":"B.","non-dropping-particle":"","parse-names":false,"suffix":""},{"dropping-particle":"","family":"Crook","given":"D.","non-dropping-particle":"","parse-names":false,"suffix":""},{"dropping-particle":"","family":"Huygen","given":"K.","non-dropping-particle":"","parse-names":false,"suffix":""},{"dropping-particle":"","family":"Butler","given":"C.C.","non-dropping-particle":"","parse-names":false,"suffix":""},{"dropping-particle":"","family":"Verheij","given":"T.J.M.","non-dropping-particle":"","parse-names":false,"suffix":""},{"dropping-particle":"","family":"Little","given":"P.","non-dropping-particle":"","parse-names":false,"suffix":""},{"dropping-particle":"","family":"Zlateva","given":"K.","non-dropping-particle":"","parse-names":false,"suffix":""},{"dropping-particle":"","family":"Loon","given":"A.","non-dropping-particle":"van","parse-names":false,"suffix":""},{"dropping-particle":"","family":"Claas","given":"E.C.J.","non-dropping-particle":"","parse-names":false,"suffix":""},{"dropping-particle":"","family":"Goossens","given":"H.","non-dropping-particle":"","parse-names":false,"suffix":""},{"dropping-particle":"","family":"GRACE consortium","given":"","non-dropping-particle":"","parse-names":false,"suffix":""}],"container-title":"Clinical Microbiology and Infection","id":"ITEM-1","issue":"11","issued":{"date-parts":[["2018","11"]]},"page":"1158-1163","title":"Aetiology of lower respiratory tract infection in adults in primary care: a prospective study in 11 European countries","type":"article-journal","volume":"24"},"uris":["http://www.mendeley.com/documents/?uuid=951ada4f-fdd8-3caa-9139-4d147a5ff408"]}],"mendeley":{"formattedCitation":"(Ieven et al. 2018)","plainTextFormattedCitation":"(Ieven et al. 2018)","previouslyFormattedCitation":"(Ieven et al. 2018)"},"properties":{"noteIndex":0},"schema":"https://github.com/citation-style-language/schema/raw/master/csl-citation.json"}</w:instrText>
      </w:r>
      <w:r w:rsidR="00272DED" w:rsidRPr="00441D1B">
        <w:fldChar w:fldCharType="separate"/>
      </w:r>
      <w:r w:rsidR="00293421" w:rsidRPr="00441D1B">
        <w:rPr>
          <w:noProof/>
        </w:rPr>
        <w:t>(Ieven et al. 2018)</w:t>
      </w:r>
      <w:r w:rsidR="00272DED" w:rsidRPr="00441D1B">
        <w:fldChar w:fldCharType="end"/>
      </w:r>
      <w:r w:rsidR="008C4949" w:rsidRPr="00441D1B">
        <w:t>.</w:t>
      </w:r>
      <w:r w:rsidR="00EF4C0E" w:rsidRPr="00441D1B">
        <w:t xml:space="preserve"> The presence of pneumonia was assessed in all patients using chest radiograph</w:t>
      </w:r>
      <w:r w:rsidR="00272DED" w:rsidRPr="00441D1B">
        <w:t>y</w:t>
      </w:r>
      <w:r w:rsidR="008C4949" w:rsidRPr="00441D1B">
        <w:t xml:space="preserve"> </w:t>
      </w:r>
      <w:r w:rsidR="00272DED" w:rsidRPr="00441D1B">
        <w:fldChar w:fldCharType="begin" w:fldLock="1"/>
      </w:r>
      <w:r w:rsidR="0065127A" w:rsidRPr="00441D1B">
        <w:instrText>ADDIN CSL_CITATION {"citationItems":[{"id":"ITEM-1","itemData":{"DOI":"10.1183/09031936.00111012","ISSN":"0903-1936","PMID":"23349450","abstract":"Pneumonia is often diagnosed and treated empirically. We set out to determine the diagnostic accuracy of clinical judgment based on signs and symptoms to detect radiographic pneumonia in patients presenting with acute cough in primary care. In 2810 European patients with acute cough, general practitioners (GPs) recorded whether they considered pneumonia to be present (\"yes\" or \"no\") immediately after history and physical examination. Chest radiography was performed within 1 week by local radiologists blind to other patient characteristics. 140 patients had radiographic pneumonia (5%), of whom 41 (29%) had been diagnosed as such. 31 (1%) patients had a clinical diagnosis that was not confirmed by radiography (n=2670). In clinically suspected pneumonia, 57% of subjects were subsequently diagnosed with radiographic pneumonia. Negative predictive value (NPV), sensitivity and specificity of GPs' clinical judgment were 96%, 29% and 99%, respectively. Compared to patients with a clinical diagnosis of pneumonia, less severe symptoms were found in radiographic pneumonia cases not suspected clinically (p&lt;0.05). The predictive values of GPs' clinical judgment, particularly the high NPVs, are helpful in routine care. Nonetheless, the majority of diagnoses of radiographic pneumonias was not suspected on clinical grounds. There is a need to further support the detection of clinically relevant pneumonia in primary care.","author":[{"dropping-particle":"","family":"Vugt","given":"Saskia F.","non-dropping-particle":"van","parse-names":false,"suffix":""},{"dropping-particle":"","family":"Verheij","given":"Theo J.M.","non-dropping-particle":"","parse-names":false,"suffix":""},{"dropping-particle":"","family":"Jong","given":"Pim A.","non-dropping-particle":"de","parse-names":false,"suffix":""},{"dropping-particle":"","family":"Butler","given":"Chris C.","non-dropping-particle":"","parse-names":false,"suffix":""},{"dropping-particle":"","family":"Hood","given":"Kerenza","non-dropping-particle":"","parse-names":false,"suffix":""},{"dropping-particle":"","family":"Coenen","given":"Samuel","non-dropping-particle":"","parse-names":false,"suffix":""},{"dropping-particle":"","family":"Goossens","given":"Herman","non-dropping-particle":"","parse-names":false,"suffix":""},{"dropping-particle":"","family":"Little","given":"Paul","non-dropping-particle":"","parse-names":false,"suffix":""},{"dropping-particle":"","family":"Broekhuizen","given":"Berna D.L.","non-dropping-particle":"","parse-names":false,"suffix":""},{"dropping-particle":"","family":"GRACE Project Group","given":"","non-dropping-particle":"","parse-names":false,"suffix":""}],"container-title":"European Respiratory Journal","id":"ITEM-1","issue":"4","issued":{"date-parts":[["2013","10"]]},"page":"1076-1082","title":"Diagnosing pneumonia in patients with acute cough: clinical judgment compared to chest radiography","type":"article-journal","volume":"42"},"uris":["http://www.mendeley.com/documents/?uuid=2fd54b04-4a44-3b91-b6ea-0e7fb48f86e5"]}],"mendeley":{"formattedCitation":"(van Vugt et al. 2013)","plainTextFormattedCitation":"(van Vugt et al. 2013)","previouslyFormattedCitation":"(van Vugt et al. 2013)"},"properties":{"noteIndex":0},"schema":"https://github.com/citation-style-language/schema/raw/master/csl-citation.json"}</w:instrText>
      </w:r>
      <w:r w:rsidR="00272DED" w:rsidRPr="00441D1B">
        <w:fldChar w:fldCharType="separate"/>
      </w:r>
      <w:r w:rsidR="00293421" w:rsidRPr="00441D1B">
        <w:rPr>
          <w:noProof/>
        </w:rPr>
        <w:t>(van Vugt et al. 2013)</w:t>
      </w:r>
      <w:r w:rsidR="00272DED" w:rsidRPr="00441D1B">
        <w:fldChar w:fldCharType="end"/>
      </w:r>
      <w:r w:rsidR="008C4949" w:rsidRPr="00441D1B">
        <w:t>.</w:t>
      </w:r>
    </w:p>
    <w:p w14:paraId="2F0C9F61" w14:textId="4132C89A" w:rsidR="00AB5F29" w:rsidRPr="00441D1B" w:rsidRDefault="00AB5F29" w:rsidP="00117FE3">
      <w:pPr>
        <w:spacing w:line="480" w:lineRule="auto"/>
      </w:pPr>
      <w:r w:rsidRPr="00441D1B">
        <w:t xml:space="preserve">In addition, patients filled out a symptom diary </w:t>
      </w:r>
      <w:r w:rsidR="00672F1A" w:rsidRPr="00441D1B">
        <w:t xml:space="preserve">each day </w:t>
      </w:r>
      <w:r w:rsidRPr="00441D1B">
        <w:t xml:space="preserve">until their symptoms cleared, up to a maximum of 28 days. Among other </w:t>
      </w:r>
      <w:r w:rsidR="00672F1A" w:rsidRPr="00441D1B">
        <w:t>features</w:t>
      </w:r>
      <w:r w:rsidRPr="00441D1B">
        <w:t xml:space="preserve">, they rated the severity of cough, shortness of breath, wheezing, </w:t>
      </w:r>
      <w:r w:rsidR="00F56D01" w:rsidRPr="00441D1B">
        <w:t xml:space="preserve">runny nose, </w:t>
      </w:r>
      <w:r w:rsidRPr="00441D1B">
        <w:t>chest pain,</w:t>
      </w:r>
      <w:r w:rsidR="00F56D01" w:rsidRPr="00441D1B">
        <w:t xml:space="preserve"> fever,</w:t>
      </w:r>
      <w:r w:rsidRPr="00441D1B">
        <w:t xml:space="preserve"> disturbed sleep</w:t>
      </w:r>
      <w:r w:rsidR="00B87D7B" w:rsidRPr="00441D1B">
        <w:t xml:space="preserve"> and </w:t>
      </w:r>
      <w:r w:rsidR="00F56D01" w:rsidRPr="00441D1B">
        <w:t>int</w:t>
      </w:r>
      <w:r w:rsidR="00B87D7B" w:rsidRPr="00441D1B">
        <w:t>erference with normal activities</w:t>
      </w:r>
      <w:r w:rsidR="006F71E7" w:rsidRPr="00441D1B">
        <w:t xml:space="preserve"> or work</w:t>
      </w:r>
      <w:r w:rsidR="005E79AA" w:rsidRPr="00441D1B">
        <w:t>. Each symptom received a daily score</w:t>
      </w:r>
      <w:r w:rsidRPr="00441D1B">
        <w:t xml:space="preserve"> from 0 (indicating no problem) to 6 (indicating that the </w:t>
      </w:r>
      <w:r w:rsidRPr="00441D1B">
        <w:lastRenderedPageBreak/>
        <w:t xml:space="preserve">problem is as bad as it could be). </w:t>
      </w:r>
      <w:r w:rsidR="00333C92" w:rsidRPr="00441D1B">
        <w:t xml:space="preserve">A review </w:t>
      </w:r>
      <w:r w:rsidR="00672F1A" w:rsidRPr="00441D1B">
        <w:t xml:space="preserve">of their primary care medical records </w:t>
      </w:r>
      <w:r w:rsidRPr="00441D1B">
        <w:t xml:space="preserve">was performed to extract </w:t>
      </w:r>
      <w:r w:rsidR="00C31749" w:rsidRPr="00441D1B">
        <w:t>information</w:t>
      </w:r>
      <w:r w:rsidR="00FF776A" w:rsidRPr="00441D1B">
        <w:t xml:space="preserve"> on</w:t>
      </w:r>
      <w:r w:rsidR="00C31749" w:rsidRPr="00441D1B">
        <w:t xml:space="preserve"> </w:t>
      </w:r>
      <w:r w:rsidRPr="00441D1B">
        <w:t>re</w:t>
      </w:r>
      <w:r w:rsidR="00B8766D" w:rsidRPr="00441D1B">
        <w:t>-</w:t>
      </w:r>
      <w:r w:rsidRPr="00441D1B">
        <w:t>consultation</w:t>
      </w:r>
      <w:r w:rsidR="00C31749" w:rsidRPr="00441D1B">
        <w:t xml:space="preserve"> with new or worsened symptoms</w:t>
      </w:r>
      <w:r w:rsidR="00FF776A" w:rsidRPr="00441D1B">
        <w:t xml:space="preserve"> or</w:t>
      </w:r>
      <w:r w:rsidR="00C31749" w:rsidRPr="00441D1B">
        <w:t xml:space="preserve"> </w:t>
      </w:r>
      <w:r w:rsidRPr="00441D1B">
        <w:t>admission to hospital</w:t>
      </w:r>
      <w:r w:rsidR="002D2183" w:rsidRPr="00441D1B">
        <w:t xml:space="preserve"> </w:t>
      </w:r>
      <w:r w:rsidRPr="00441D1B">
        <w:t xml:space="preserve">within four weeks of the initial consultation. </w:t>
      </w:r>
    </w:p>
    <w:p w14:paraId="1E56F816" w14:textId="753DED61" w:rsidR="00494FA1" w:rsidRPr="00441D1B" w:rsidRDefault="009F167A" w:rsidP="00117FE3">
      <w:pPr>
        <w:pStyle w:val="Subtitle"/>
        <w:spacing w:line="480" w:lineRule="auto"/>
      </w:pPr>
      <w:r w:rsidRPr="00441D1B">
        <w:t>Analysi</w:t>
      </w:r>
      <w:r w:rsidR="00494FA1" w:rsidRPr="00441D1B">
        <w:t>s</w:t>
      </w:r>
    </w:p>
    <w:p w14:paraId="1DA44AB8" w14:textId="752B1CD0" w:rsidR="00D87801" w:rsidRPr="00441D1B" w:rsidRDefault="007501D3" w:rsidP="00117FE3">
      <w:pPr>
        <w:spacing w:line="480" w:lineRule="auto"/>
      </w:pPr>
      <w:r w:rsidRPr="00441D1B">
        <w:t>We</w:t>
      </w:r>
      <w:r w:rsidR="00223677" w:rsidRPr="00441D1B">
        <w:t xml:space="preserve"> </w:t>
      </w:r>
      <w:r w:rsidR="00D03099" w:rsidRPr="00441D1B">
        <w:t>assessed</w:t>
      </w:r>
      <w:r w:rsidR="007725F3" w:rsidRPr="00441D1B">
        <w:t xml:space="preserve"> the </w:t>
      </w:r>
      <w:r w:rsidR="00FE4DCE" w:rsidRPr="00441D1B">
        <w:t>association of age with</w:t>
      </w:r>
      <w:r w:rsidR="00CF2B74" w:rsidRPr="00441D1B">
        <w:t xml:space="preserve"> </w:t>
      </w:r>
      <w:r w:rsidR="00223677" w:rsidRPr="00441D1B">
        <w:t xml:space="preserve">prevalence, </w:t>
      </w:r>
      <w:r w:rsidR="002E5894" w:rsidRPr="00441D1B">
        <w:t>diagnostic features</w:t>
      </w:r>
      <w:r w:rsidR="00223677" w:rsidRPr="00441D1B">
        <w:t xml:space="preserve"> and </w:t>
      </w:r>
      <w:r w:rsidR="00BF4762" w:rsidRPr="00441D1B">
        <w:rPr>
          <w:rFonts w:cs="Calibri"/>
          <w:lang w:val="en-GB"/>
        </w:rPr>
        <w:t xml:space="preserve">illness </w:t>
      </w:r>
      <w:r w:rsidR="00223677" w:rsidRPr="00441D1B">
        <w:t>course of RSV</w:t>
      </w:r>
      <w:r w:rsidR="00296061" w:rsidRPr="00441D1B">
        <w:t xml:space="preserve"> and influenza</w:t>
      </w:r>
      <w:r w:rsidR="00B8766D" w:rsidRPr="00441D1B">
        <w:t xml:space="preserve"> infection</w:t>
      </w:r>
      <w:r w:rsidR="007725F3" w:rsidRPr="00441D1B">
        <w:t xml:space="preserve">. </w:t>
      </w:r>
      <w:r w:rsidR="003C0A69" w:rsidRPr="00441D1B">
        <w:t xml:space="preserve">The data were categorized in three </w:t>
      </w:r>
      <w:r w:rsidR="007725F3" w:rsidRPr="00441D1B">
        <w:t>age groups</w:t>
      </w:r>
      <w:r w:rsidR="00B70C35" w:rsidRPr="00441D1B">
        <w:t xml:space="preserve">: </w:t>
      </w:r>
      <w:r w:rsidR="005C62D2" w:rsidRPr="00441D1B">
        <w:t>18 – 59</w:t>
      </w:r>
      <w:r w:rsidR="00A70AC4" w:rsidRPr="00441D1B">
        <w:t xml:space="preserve"> years</w:t>
      </w:r>
      <w:r w:rsidR="005C62D2" w:rsidRPr="00441D1B">
        <w:t>, 60-74</w:t>
      </w:r>
      <w:r w:rsidR="00A70AC4" w:rsidRPr="00441D1B">
        <w:t xml:space="preserve"> years</w:t>
      </w:r>
      <w:r w:rsidR="005C62D2" w:rsidRPr="00441D1B">
        <w:t xml:space="preserve"> and </w:t>
      </w:r>
      <w:r w:rsidR="00A70AC4" w:rsidRPr="00441D1B">
        <w:t>75 years and older</w:t>
      </w:r>
      <w:r w:rsidR="005C62D2" w:rsidRPr="00441D1B">
        <w:t xml:space="preserve">. </w:t>
      </w:r>
      <w:r w:rsidR="00223677" w:rsidRPr="00441D1B">
        <w:t>Prevalence of RSV</w:t>
      </w:r>
      <w:r w:rsidR="00296061" w:rsidRPr="00441D1B">
        <w:t xml:space="preserve"> </w:t>
      </w:r>
      <w:r w:rsidR="00CB0928" w:rsidRPr="00441D1B">
        <w:t>and i</w:t>
      </w:r>
      <w:r w:rsidR="00296061" w:rsidRPr="00441D1B">
        <w:t>nfluenza was</w:t>
      </w:r>
      <w:r w:rsidR="00223677" w:rsidRPr="00441D1B">
        <w:t xml:space="preserve"> defined as the number of</w:t>
      </w:r>
      <w:r w:rsidR="00D87801" w:rsidRPr="00441D1B">
        <w:t xml:space="preserve"> positive</w:t>
      </w:r>
      <w:r w:rsidR="00223677" w:rsidRPr="00441D1B">
        <w:t xml:space="preserve"> cases out of the total number of patients</w:t>
      </w:r>
      <w:r w:rsidR="00201C92" w:rsidRPr="00441D1B">
        <w:t xml:space="preserve"> with available PCR </w:t>
      </w:r>
      <w:r w:rsidR="00FC7DB5" w:rsidRPr="00441D1B">
        <w:t xml:space="preserve">results </w:t>
      </w:r>
      <w:r w:rsidR="00201C92" w:rsidRPr="00441D1B">
        <w:t xml:space="preserve">for </w:t>
      </w:r>
      <w:r w:rsidR="00296061" w:rsidRPr="00441D1B">
        <w:t xml:space="preserve">RSV </w:t>
      </w:r>
      <w:r w:rsidR="00CB0928" w:rsidRPr="00441D1B">
        <w:t>and i</w:t>
      </w:r>
      <w:r w:rsidR="00296061" w:rsidRPr="00441D1B">
        <w:t>nfluenza</w:t>
      </w:r>
      <w:r w:rsidR="00CB0928" w:rsidRPr="00441D1B">
        <w:t>, respectively</w:t>
      </w:r>
      <w:r w:rsidR="00223677" w:rsidRPr="00441D1B">
        <w:t>. For the country-specific prevalence, England and Wales were combined into ‘UK’.</w:t>
      </w:r>
      <w:r w:rsidR="00E2349D" w:rsidRPr="00441D1B">
        <w:t xml:space="preserve"> Because patients </w:t>
      </w:r>
      <w:r w:rsidR="00A303B0" w:rsidRPr="00441D1B">
        <w:t>were</w:t>
      </w:r>
      <w:r w:rsidR="00E2349D" w:rsidRPr="00441D1B">
        <w:t xml:space="preserve"> clustered within countries, </w:t>
      </w:r>
      <w:r w:rsidR="00DC5B95" w:rsidRPr="00441D1B">
        <w:t xml:space="preserve">virus-specific </w:t>
      </w:r>
      <w:r w:rsidR="007726CA" w:rsidRPr="00441D1B">
        <w:t>association of age with</w:t>
      </w:r>
      <w:r w:rsidR="00DD015D" w:rsidRPr="00441D1B">
        <w:t xml:space="preserve"> p</w:t>
      </w:r>
      <w:r w:rsidR="00CB395A" w:rsidRPr="00441D1B">
        <w:t>revalence</w:t>
      </w:r>
      <w:r w:rsidR="00F0280D" w:rsidRPr="00441D1B">
        <w:t xml:space="preserve"> </w:t>
      </w:r>
      <w:r w:rsidR="00CB395A" w:rsidRPr="00441D1B">
        <w:t>was</w:t>
      </w:r>
      <w:r w:rsidR="00F0280D" w:rsidRPr="00441D1B">
        <w:t xml:space="preserve"> </w:t>
      </w:r>
      <w:r w:rsidR="00DD015D" w:rsidRPr="00441D1B">
        <w:t>assessed</w:t>
      </w:r>
      <w:r w:rsidR="00F0280D" w:rsidRPr="00441D1B">
        <w:t xml:space="preserve"> using </w:t>
      </w:r>
      <w:r w:rsidR="00E2349D" w:rsidRPr="00441D1B">
        <w:t>a</w:t>
      </w:r>
      <w:r w:rsidR="00D87801" w:rsidRPr="00441D1B">
        <w:t xml:space="preserve"> hierarchical generalized linear model</w:t>
      </w:r>
      <w:r w:rsidR="00AA1BC3" w:rsidRPr="00441D1B">
        <w:t xml:space="preserve"> (HGLM)</w:t>
      </w:r>
      <w:r w:rsidR="00AA1BC3" w:rsidRPr="00441D1B">
        <w:fldChar w:fldCharType="begin" w:fldLock="1"/>
      </w:r>
      <w:r w:rsidR="0065127A" w:rsidRPr="00441D1B">
        <w:instrText>ADDIN CSL_CITATION {"citationItems":[{"id":"ITEM-1","itemData":{"author":[{"dropping-particle":"","family":"Verbeke","given":"Geert","non-dropping-particle":"","parse-names":false,"suffix":""},{"dropping-particle":"","family":"Molenberghs","given":"Geert","non-dropping-particle":"","parse-names":false,"suffix":""}],"id":"ITEM-1","issued":{"date-parts":[["2009"]]},"publisher":"Springer Verlag","publisher-place":"New York","title":"Linear Mixed Models for Longitudinal Data","type":"book"},"uris":["http://www.mendeley.com/documents/?uuid=a9e50bf9-aa7e-412c-8468-76fcbedbc7e6"]}],"mendeley":{"formattedCitation":"(Verbeke and Molenberghs 2009)","plainTextFormattedCitation":"(Verbeke and Molenberghs 2009)","previouslyFormattedCitation":"(Verbeke and Molenberghs 2009)"},"properties":{"noteIndex":0},"schema":"https://github.com/citation-style-language/schema/raw/master/csl-citation.json"}</w:instrText>
      </w:r>
      <w:r w:rsidR="00AA1BC3" w:rsidRPr="00441D1B">
        <w:fldChar w:fldCharType="separate"/>
      </w:r>
      <w:r w:rsidR="00293421" w:rsidRPr="00441D1B">
        <w:rPr>
          <w:noProof/>
        </w:rPr>
        <w:t>(Verbeke and Molenberghs 2009)</w:t>
      </w:r>
      <w:r w:rsidR="00AA1BC3" w:rsidRPr="00441D1B">
        <w:fldChar w:fldCharType="end"/>
      </w:r>
      <w:r w:rsidR="00D41C83" w:rsidRPr="00441D1B">
        <w:t>.</w:t>
      </w:r>
      <w:r w:rsidR="00D87801" w:rsidRPr="00441D1B">
        <w:t xml:space="preserve"> </w:t>
      </w:r>
      <w:r w:rsidR="00930537" w:rsidRPr="00441D1B">
        <w:t xml:space="preserve">A </w:t>
      </w:r>
      <w:r w:rsidR="00AA1BC3" w:rsidRPr="00441D1B">
        <w:t xml:space="preserve">Tukey multiple comparisons correction was </w:t>
      </w:r>
      <w:r w:rsidR="00930537" w:rsidRPr="00441D1B">
        <w:t>used to compare prevalence between age groups</w:t>
      </w:r>
      <w:r w:rsidR="00D41C83" w:rsidRPr="00441D1B">
        <w:t xml:space="preserve"> </w:t>
      </w:r>
      <w:r w:rsidR="00AA1BC3" w:rsidRPr="00441D1B">
        <w:fldChar w:fldCharType="begin" w:fldLock="1"/>
      </w:r>
      <w:r w:rsidR="0065127A" w:rsidRPr="00441D1B">
        <w:instrText>ADDIN CSL_CITATION {"citationItems":[{"id":"ITEM-1","itemData":{"ISSN":"08834237","abstract":"[This paper is based on the 1989 Miller Memorial Lecture at Stanford University. The topic was chosen because of Rupert Miller's long involvement and significant contributions to multiple comparison procedures and theory. Our emphasis will be on the major questions that have received relatively little attention--on what one wants multiple comparisons to do, on why one wants to do that, and on how one can communicate the results. Very little attention will be given to how the results can be calculated--after all, there are books about that (e.g., Miller, 1966, 1981; Hochberg and Tamhane, 1987).]","author":[{"dropping-particle":"","family":"Tukey","given":"John W","non-dropping-particle":"","parse-names":false,"suffix":""}],"container-title":"Statistical Science","id":"ITEM-1","issue":"1","issued":{"date-parts":[["1991"]]},"page":"100-116","publisher":"Institute of Mathematical Statistics","title":"The Philosophy of Multiple Comparisons","type":"article-journal","volume":"6"},"uris":["http://www.mendeley.com/documents/?uuid=8cbf1e6a-3ccf-4a71-9101-e260d19eb0b2"]}],"mendeley":{"formattedCitation":"(Tukey 1991)","plainTextFormattedCitation":"(Tukey 1991)","previouslyFormattedCitation":"(Tukey 1991)"},"properties":{"noteIndex":0},"schema":"https://github.com/citation-style-language/schema/raw/master/csl-citation.json"}</w:instrText>
      </w:r>
      <w:r w:rsidR="00AA1BC3" w:rsidRPr="00441D1B">
        <w:fldChar w:fldCharType="separate"/>
      </w:r>
      <w:r w:rsidR="00293421" w:rsidRPr="00441D1B">
        <w:rPr>
          <w:noProof/>
        </w:rPr>
        <w:t>(Tukey 1991)</w:t>
      </w:r>
      <w:r w:rsidR="00AA1BC3" w:rsidRPr="00441D1B">
        <w:fldChar w:fldCharType="end"/>
      </w:r>
      <w:r w:rsidR="00D41C83" w:rsidRPr="00441D1B">
        <w:t>.</w:t>
      </w:r>
      <w:r w:rsidR="00AA1BC3" w:rsidRPr="00441D1B">
        <w:t xml:space="preserve"> </w:t>
      </w:r>
    </w:p>
    <w:p w14:paraId="441ACBE0" w14:textId="1A0D7956" w:rsidR="005D2DE0" w:rsidRPr="00441D1B" w:rsidRDefault="00201C92" w:rsidP="00117FE3">
      <w:pPr>
        <w:pStyle w:val="CommentText"/>
        <w:spacing w:line="480" w:lineRule="auto"/>
        <w:rPr>
          <w:sz w:val="22"/>
          <w:szCs w:val="22"/>
        </w:rPr>
      </w:pPr>
      <w:r w:rsidRPr="00441D1B">
        <w:rPr>
          <w:sz w:val="22"/>
          <w:szCs w:val="22"/>
        </w:rPr>
        <w:t xml:space="preserve">Diagnosis of RSV </w:t>
      </w:r>
      <w:r w:rsidR="00A6592C" w:rsidRPr="00441D1B">
        <w:rPr>
          <w:sz w:val="22"/>
          <w:szCs w:val="22"/>
        </w:rPr>
        <w:t xml:space="preserve">and </w:t>
      </w:r>
      <w:r w:rsidR="00296061" w:rsidRPr="00441D1B">
        <w:rPr>
          <w:sz w:val="22"/>
          <w:szCs w:val="22"/>
        </w:rPr>
        <w:t>influenza</w:t>
      </w:r>
      <w:r w:rsidR="00D03099" w:rsidRPr="00441D1B">
        <w:rPr>
          <w:sz w:val="22"/>
          <w:szCs w:val="22"/>
        </w:rPr>
        <w:t xml:space="preserve"> </w:t>
      </w:r>
      <w:r w:rsidR="00B8766D" w:rsidRPr="00441D1B">
        <w:rPr>
          <w:sz w:val="22"/>
          <w:szCs w:val="22"/>
        </w:rPr>
        <w:t xml:space="preserve">infection </w:t>
      </w:r>
      <w:r w:rsidRPr="00441D1B">
        <w:rPr>
          <w:sz w:val="22"/>
          <w:szCs w:val="22"/>
        </w:rPr>
        <w:t xml:space="preserve">was defined as a PCR positive </w:t>
      </w:r>
      <w:r w:rsidR="009A5E38" w:rsidRPr="00441D1B">
        <w:rPr>
          <w:sz w:val="22"/>
          <w:szCs w:val="22"/>
        </w:rPr>
        <w:t>NPS</w:t>
      </w:r>
      <w:r w:rsidR="00D90B94" w:rsidRPr="00441D1B">
        <w:rPr>
          <w:sz w:val="22"/>
          <w:szCs w:val="22"/>
        </w:rPr>
        <w:t xml:space="preserve"> </w:t>
      </w:r>
      <w:r w:rsidRPr="00441D1B">
        <w:rPr>
          <w:sz w:val="22"/>
          <w:szCs w:val="22"/>
        </w:rPr>
        <w:t>result</w:t>
      </w:r>
      <w:r w:rsidR="00265548" w:rsidRPr="00441D1B">
        <w:rPr>
          <w:sz w:val="22"/>
          <w:szCs w:val="22"/>
        </w:rPr>
        <w:t xml:space="preserve"> for the respective virus</w:t>
      </w:r>
      <w:r w:rsidRPr="00441D1B">
        <w:rPr>
          <w:sz w:val="22"/>
          <w:szCs w:val="22"/>
        </w:rPr>
        <w:t xml:space="preserve">. </w:t>
      </w:r>
      <w:r w:rsidR="00E2393E" w:rsidRPr="00441D1B">
        <w:rPr>
          <w:sz w:val="22"/>
          <w:szCs w:val="22"/>
        </w:rPr>
        <w:t xml:space="preserve">Virus-specific </w:t>
      </w:r>
      <w:r w:rsidR="007726CA" w:rsidRPr="00441D1B">
        <w:rPr>
          <w:sz w:val="22"/>
          <w:szCs w:val="22"/>
        </w:rPr>
        <w:t>association of age with</w:t>
      </w:r>
      <w:r w:rsidR="00E2393E" w:rsidRPr="00441D1B">
        <w:rPr>
          <w:sz w:val="22"/>
          <w:szCs w:val="22"/>
        </w:rPr>
        <w:t xml:space="preserve"> </w:t>
      </w:r>
      <w:r w:rsidR="007726CA" w:rsidRPr="00441D1B">
        <w:rPr>
          <w:sz w:val="22"/>
          <w:szCs w:val="22"/>
        </w:rPr>
        <w:t xml:space="preserve">diagnostic features, i.e. </w:t>
      </w:r>
      <w:r w:rsidR="00E2393E" w:rsidRPr="00441D1B">
        <w:rPr>
          <w:sz w:val="22"/>
          <w:szCs w:val="22"/>
        </w:rPr>
        <w:t>p</w:t>
      </w:r>
      <w:r w:rsidR="009F387E" w:rsidRPr="00441D1B">
        <w:rPr>
          <w:sz w:val="22"/>
          <w:szCs w:val="22"/>
        </w:rPr>
        <w:t>atient</w:t>
      </w:r>
      <w:r w:rsidR="00D87297" w:rsidRPr="00441D1B">
        <w:rPr>
          <w:sz w:val="22"/>
          <w:szCs w:val="22"/>
        </w:rPr>
        <w:t xml:space="preserve"> characteristics</w:t>
      </w:r>
      <w:r w:rsidR="00AA1BC3" w:rsidRPr="00441D1B">
        <w:rPr>
          <w:sz w:val="22"/>
          <w:szCs w:val="22"/>
        </w:rPr>
        <w:t>,</w:t>
      </w:r>
      <w:r w:rsidR="00D87297" w:rsidRPr="00441D1B">
        <w:rPr>
          <w:sz w:val="22"/>
          <w:szCs w:val="22"/>
        </w:rPr>
        <w:t xml:space="preserve"> </w:t>
      </w:r>
      <w:r w:rsidR="00265903" w:rsidRPr="00441D1B">
        <w:rPr>
          <w:sz w:val="22"/>
          <w:szCs w:val="22"/>
        </w:rPr>
        <w:t xml:space="preserve">presenting </w:t>
      </w:r>
      <w:r w:rsidR="009F387E" w:rsidRPr="00441D1B">
        <w:rPr>
          <w:sz w:val="22"/>
          <w:szCs w:val="22"/>
        </w:rPr>
        <w:t>s</w:t>
      </w:r>
      <w:r w:rsidR="00FC7DB5" w:rsidRPr="00441D1B">
        <w:rPr>
          <w:sz w:val="22"/>
          <w:szCs w:val="22"/>
        </w:rPr>
        <w:t xml:space="preserve">ymptoms </w:t>
      </w:r>
      <w:r w:rsidR="00AA1BC3" w:rsidRPr="00441D1B">
        <w:rPr>
          <w:sz w:val="22"/>
          <w:szCs w:val="22"/>
        </w:rPr>
        <w:t>and additional test results</w:t>
      </w:r>
      <w:r w:rsidR="007726CA" w:rsidRPr="00441D1B">
        <w:rPr>
          <w:sz w:val="22"/>
          <w:szCs w:val="22"/>
        </w:rPr>
        <w:t>,</w:t>
      </w:r>
      <w:r w:rsidR="00AA1BC3" w:rsidRPr="00441D1B">
        <w:rPr>
          <w:sz w:val="22"/>
          <w:szCs w:val="22"/>
        </w:rPr>
        <w:t xml:space="preserve"> </w:t>
      </w:r>
      <w:r w:rsidR="00E2393E" w:rsidRPr="00441D1B">
        <w:rPr>
          <w:sz w:val="22"/>
          <w:szCs w:val="22"/>
        </w:rPr>
        <w:t>was evaluated</w:t>
      </w:r>
      <w:r w:rsidR="005D2DE0" w:rsidRPr="00441D1B">
        <w:rPr>
          <w:sz w:val="22"/>
          <w:szCs w:val="22"/>
        </w:rPr>
        <w:t xml:space="preserve"> </w:t>
      </w:r>
      <w:r w:rsidR="0050461A" w:rsidRPr="00441D1B">
        <w:rPr>
          <w:sz w:val="22"/>
          <w:szCs w:val="22"/>
        </w:rPr>
        <w:t xml:space="preserve">using </w:t>
      </w:r>
      <w:r w:rsidR="00AA1BC3" w:rsidRPr="00441D1B">
        <w:rPr>
          <w:sz w:val="22"/>
          <w:szCs w:val="22"/>
        </w:rPr>
        <w:t>a</w:t>
      </w:r>
      <w:r w:rsidR="00B8766D" w:rsidRPr="00441D1B">
        <w:rPr>
          <w:sz w:val="22"/>
          <w:szCs w:val="22"/>
        </w:rPr>
        <w:t>n</w:t>
      </w:r>
      <w:r w:rsidR="00AA1BC3" w:rsidRPr="00441D1B">
        <w:rPr>
          <w:sz w:val="22"/>
          <w:szCs w:val="22"/>
        </w:rPr>
        <w:t xml:space="preserve"> </w:t>
      </w:r>
      <w:r w:rsidR="00AA1BC3" w:rsidRPr="00441D1B">
        <w:t>HGLM</w:t>
      </w:r>
      <w:r w:rsidR="00FC7DB5" w:rsidRPr="00441D1B">
        <w:rPr>
          <w:sz w:val="22"/>
          <w:szCs w:val="22"/>
        </w:rPr>
        <w:t xml:space="preserve">. </w:t>
      </w:r>
      <w:r w:rsidR="00B87D7B" w:rsidRPr="00441D1B">
        <w:rPr>
          <w:sz w:val="22"/>
          <w:szCs w:val="22"/>
        </w:rPr>
        <w:t>Included patient characteristics were gender</w:t>
      </w:r>
      <w:r w:rsidR="00C44CB4" w:rsidRPr="00441D1B">
        <w:rPr>
          <w:sz w:val="22"/>
          <w:szCs w:val="22"/>
        </w:rPr>
        <w:t xml:space="preserve"> (male/female)</w:t>
      </w:r>
      <w:r w:rsidR="00B87D7B" w:rsidRPr="00441D1B">
        <w:rPr>
          <w:sz w:val="22"/>
          <w:szCs w:val="22"/>
        </w:rPr>
        <w:t xml:space="preserve">, </w:t>
      </w:r>
      <w:r w:rsidR="009D22A5" w:rsidRPr="00441D1B">
        <w:rPr>
          <w:sz w:val="22"/>
          <w:szCs w:val="22"/>
        </w:rPr>
        <w:t>current smoker (</w:t>
      </w:r>
      <w:r w:rsidR="00C44CB4" w:rsidRPr="00441D1B">
        <w:rPr>
          <w:sz w:val="22"/>
          <w:szCs w:val="22"/>
        </w:rPr>
        <w:t>yes/no)</w:t>
      </w:r>
      <w:r w:rsidR="007F3ABA" w:rsidRPr="00441D1B">
        <w:rPr>
          <w:sz w:val="22"/>
          <w:szCs w:val="22"/>
        </w:rPr>
        <w:t xml:space="preserve">, </w:t>
      </w:r>
      <w:r w:rsidR="009D22A5" w:rsidRPr="00441D1B">
        <w:rPr>
          <w:sz w:val="22"/>
          <w:szCs w:val="22"/>
        </w:rPr>
        <w:t xml:space="preserve">history of </w:t>
      </w:r>
      <w:r w:rsidR="007F3ABA" w:rsidRPr="00441D1B">
        <w:rPr>
          <w:sz w:val="22"/>
          <w:szCs w:val="22"/>
        </w:rPr>
        <w:t xml:space="preserve">pulmonary </w:t>
      </w:r>
      <w:r w:rsidR="00B87D7B" w:rsidRPr="00441D1B">
        <w:rPr>
          <w:sz w:val="22"/>
          <w:szCs w:val="22"/>
        </w:rPr>
        <w:t>comorbidities</w:t>
      </w:r>
      <w:r w:rsidR="007F3ABA" w:rsidRPr="00441D1B">
        <w:rPr>
          <w:sz w:val="22"/>
          <w:szCs w:val="22"/>
        </w:rPr>
        <w:t xml:space="preserve"> (asthma and/or chronic obstructive pulmonary disease and/or other chronic lung disease</w:t>
      </w:r>
      <w:r w:rsidR="009D22A5" w:rsidRPr="00441D1B">
        <w:rPr>
          <w:sz w:val="22"/>
          <w:szCs w:val="22"/>
        </w:rPr>
        <w:t>; yes/no</w:t>
      </w:r>
      <w:r w:rsidR="007F3ABA" w:rsidRPr="00441D1B">
        <w:rPr>
          <w:sz w:val="22"/>
          <w:szCs w:val="22"/>
        </w:rPr>
        <w:t>) and</w:t>
      </w:r>
      <w:r w:rsidR="009D22A5" w:rsidRPr="00441D1B">
        <w:rPr>
          <w:sz w:val="22"/>
          <w:szCs w:val="22"/>
        </w:rPr>
        <w:t xml:space="preserve"> </w:t>
      </w:r>
      <w:r w:rsidR="002D55BA" w:rsidRPr="00441D1B">
        <w:rPr>
          <w:sz w:val="22"/>
          <w:szCs w:val="22"/>
        </w:rPr>
        <w:t>history</w:t>
      </w:r>
      <w:r w:rsidR="009D22A5" w:rsidRPr="00441D1B">
        <w:rPr>
          <w:sz w:val="22"/>
          <w:szCs w:val="22"/>
        </w:rPr>
        <w:t xml:space="preserve"> of</w:t>
      </w:r>
      <w:r w:rsidR="007F3ABA" w:rsidRPr="00441D1B">
        <w:rPr>
          <w:sz w:val="22"/>
          <w:szCs w:val="22"/>
        </w:rPr>
        <w:t xml:space="preserve"> cardiac comorbidities (</w:t>
      </w:r>
      <w:r w:rsidR="00DF5CAB" w:rsidRPr="00441D1B">
        <w:rPr>
          <w:sz w:val="22"/>
          <w:szCs w:val="22"/>
        </w:rPr>
        <w:t>heart failure and/or ischemic heart disease and/or other heart disease</w:t>
      </w:r>
      <w:r w:rsidR="009D22A5" w:rsidRPr="00441D1B">
        <w:rPr>
          <w:sz w:val="22"/>
          <w:szCs w:val="22"/>
        </w:rPr>
        <w:t>; yes/no</w:t>
      </w:r>
      <w:r w:rsidR="007F3ABA" w:rsidRPr="00441D1B">
        <w:rPr>
          <w:sz w:val="22"/>
          <w:szCs w:val="22"/>
        </w:rPr>
        <w:t>)</w:t>
      </w:r>
      <w:r w:rsidR="00B87D7B" w:rsidRPr="00441D1B">
        <w:rPr>
          <w:sz w:val="22"/>
          <w:szCs w:val="22"/>
        </w:rPr>
        <w:t xml:space="preserve">. Selected symptoms related to RSV </w:t>
      </w:r>
      <w:r w:rsidR="00296061" w:rsidRPr="00441D1B">
        <w:rPr>
          <w:sz w:val="22"/>
          <w:szCs w:val="22"/>
        </w:rPr>
        <w:t xml:space="preserve">or influenza </w:t>
      </w:r>
      <w:r w:rsidR="00B8766D" w:rsidRPr="00441D1B">
        <w:rPr>
          <w:sz w:val="22"/>
          <w:szCs w:val="22"/>
        </w:rPr>
        <w:t xml:space="preserve">infection </w:t>
      </w:r>
      <w:r w:rsidR="00B87D7B" w:rsidRPr="00441D1B">
        <w:rPr>
          <w:sz w:val="22"/>
          <w:szCs w:val="22"/>
        </w:rPr>
        <w:t>were r</w:t>
      </w:r>
      <w:r w:rsidR="00870457" w:rsidRPr="00441D1B">
        <w:rPr>
          <w:sz w:val="22"/>
          <w:szCs w:val="22"/>
        </w:rPr>
        <w:t>unny nose</w:t>
      </w:r>
      <w:r w:rsidR="009D22A5" w:rsidRPr="00441D1B">
        <w:rPr>
          <w:sz w:val="22"/>
          <w:szCs w:val="22"/>
        </w:rPr>
        <w:t xml:space="preserve"> (yes/no)</w:t>
      </w:r>
      <w:r w:rsidR="00870457" w:rsidRPr="00441D1B">
        <w:rPr>
          <w:sz w:val="22"/>
          <w:szCs w:val="22"/>
        </w:rPr>
        <w:t>, fever</w:t>
      </w:r>
      <w:r w:rsidR="009D22A5" w:rsidRPr="00441D1B">
        <w:rPr>
          <w:sz w:val="22"/>
          <w:szCs w:val="22"/>
        </w:rPr>
        <w:t xml:space="preserve"> (yes/no)</w:t>
      </w:r>
      <w:r w:rsidR="00E05F09" w:rsidRPr="00441D1B">
        <w:rPr>
          <w:sz w:val="22"/>
          <w:szCs w:val="22"/>
        </w:rPr>
        <w:t>, wheeze</w:t>
      </w:r>
      <w:r w:rsidR="009D22A5" w:rsidRPr="00441D1B">
        <w:rPr>
          <w:sz w:val="22"/>
          <w:szCs w:val="22"/>
        </w:rPr>
        <w:t xml:space="preserve"> (yes/no)</w:t>
      </w:r>
      <w:r w:rsidR="00E05F09" w:rsidRPr="00441D1B">
        <w:rPr>
          <w:sz w:val="22"/>
          <w:szCs w:val="22"/>
        </w:rPr>
        <w:t xml:space="preserve"> and</w:t>
      </w:r>
      <w:r w:rsidR="00B87D7B" w:rsidRPr="00441D1B">
        <w:rPr>
          <w:sz w:val="22"/>
          <w:szCs w:val="22"/>
        </w:rPr>
        <w:t xml:space="preserve"> interference with normal activities</w:t>
      </w:r>
      <w:r w:rsidR="006F71E7" w:rsidRPr="00441D1B">
        <w:rPr>
          <w:sz w:val="22"/>
          <w:szCs w:val="22"/>
        </w:rPr>
        <w:t xml:space="preserve"> or work</w:t>
      </w:r>
      <w:r w:rsidR="009D22A5" w:rsidRPr="00441D1B">
        <w:rPr>
          <w:sz w:val="22"/>
          <w:szCs w:val="22"/>
        </w:rPr>
        <w:t xml:space="preserve"> (yes/no)</w:t>
      </w:r>
      <w:r w:rsidR="00B87D7B" w:rsidRPr="00441D1B">
        <w:rPr>
          <w:sz w:val="22"/>
          <w:szCs w:val="22"/>
        </w:rPr>
        <w:t xml:space="preserve">. In addition, </w:t>
      </w:r>
      <w:r w:rsidR="002D55BA" w:rsidRPr="00441D1B">
        <w:rPr>
          <w:sz w:val="22"/>
          <w:szCs w:val="22"/>
        </w:rPr>
        <w:t>virus-specific</w:t>
      </w:r>
      <w:r w:rsidR="009D22A5" w:rsidRPr="00441D1B">
        <w:rPr>
          <w:sz w:val="22"/>
          <w:szCs w:val="22"/>
        </w:rPr>
        <w:t xml:space="preserve"> </w:t>
      </w:r>
      <w:r w:rsidR="007726CA" w:rsidRPr="00441D1B">
        <w:rPr>
          <w:sz w:val="22"/>
          <w:szCs w:val="22"/>
        </w:rPr>
        <w:t>association of age with</w:t>
      </w:r>
      <w:r w:rsidR="002B55E3" w:rsidRPr="00441D1B">
        <w:rPr>
          <w:sz w:val="22"/>
          <w:szCs w:val="22"/>
        </w:rPr>
        <w:t xml:space="preserve"> </w:t>
      </w:r>
      <w:r w:rsidR="009D22A5" w:rsidRPr="00441D1B">
        <w:rPr>
          <w:sz w:val="22"/>
          <w:szCs w:val="22"/>
        </w:rPr>
        <w:t xml:space="preserve">the presence of pneumonia </w:t>
      </w:r>
      <w:r w:rsidR="00BB6B83" w:rsidRPr="00441D1B">
        <w:rPr>
          <w:sz w:val="22"/>
          <w:szCs w:val="22"/>
        </w:rPr>
        <w:t xml:space="preserve">on a chest radiograph (yes/no), and detection of </w:t>
      </w:r>
      <w:r w:rsidR="009D22A5" w:rsidRPr="00441D1B">
        <w:rPr>
          <w:sz w:val="22"/>
          <w:szCs w:val="22"/>
        </w:rPr>
        <w:t>bacteria (yes/no) and viruses (yes/no)</w:t>
      </w:r>
      <w:r w:rsidR="00BB6B83" w:rsidRPr="00441D1B">
        <w:rPr>
          <w:sz w:val="22"/>
          <w:szCs w:val="22"/>
        </w:rPr>
        <w:t xml:space="preserve"> on a </w:t>
      </w:r>
      <w:r w:rsidR="009A5E38" w:rsidRPr="00441D1B">
        <w:rPr>
          <w:sz w:val="22"/>
          <w:szCs w:val="22"/>
        </w:rPr>
        <w:t>NPS</w:t>
      </w:r>
      <w:r w:rsidR="009D22A5" w:rsidRPr="00441D1B">
        <w:rPr>
          <w:sz w:val="22"/>
          <w:szCs w:val="22"/>
        </w:rPr>
        <w:t xml:space="preserve"> was</w:t>
      </w:r>
      <w:r w:rsidR="00142C71" w:rsidRPr="00441D1B">
        <w:rPr>
          <w:sz w:val="22"/>
          <w:szCs w:val="22"/>
        </w:rPr>
        <w:t xml:space="preserve"> assessed</w:t>
      </w:r>
      <w:r w:rsidR="00B87D7B" w:rsidRPr="00441D1B">
        <w:rPr>
          <w:sz w:val="22"/>
          <w:szCs w:val="22"/>
        </w:rPr>
        <w:t>.</w:t>
      </w:r>
      <w:r w:rsidR="00B3648D" w:rsidRPr="00441D1B">
        <w:rPr>
          <w:sz w:val="22"/>
          <w:szCs w:val="22"/>
        </w:rPr>
        <w:t xml:space="preserve"> </w:t>
      </w:r>
    </w:p>
    <w:p w14:paraId="4DB62137" w14:textId="0A216F7F" w:rsidR="006E0466" w:rsidRPr="00441D1B" w:rsidRDefault="007E6A17" w:rsidP="00117FE3">
      <w:pPr>
        <w:pStyle w:val="CommentText"/>
        <w:spacing w:line="480" w:lineRule="auto"/>
        <w:rPr>
          <w:sz w:val="22"/>
          <w:szCs w:val="22"/>
        </w:rPr>
      </w:pPr>
      <w:r w:rsidRPr="00441D1B">
        <w:rPr>
          <w:sz w:val="22"/>
          <w:szCs w:val="22"/>
        </w:rPr>
        <w:t xml:space="preserve">Virus-specific </w:t>
      </w:r>
      <w:r w:rsidR="007726CA" w:rsidRPr="00441D1B">
        <w:rPr>
          <w:sz w:val="22"/>
          <w:szCs w:val="22"/>
        </w:rPr>
        <w:t>association of age with</w:t>
      </w:r>
      <w:r w:rsidRPr="00441D1B">
        <w:rPr>
          <w:sz w:val="22"/>
          <w:szCs w:val="22"/>
        </w:rPr>
        <w:t xml:space="preserve"> the </w:t>
      </w:r>
      <w:r w:rsidR="00BF4762" w:rsidRPr="00441D1B">
        <w:rPr>
          <w:rFonts w:cs="Calibri"/>
          <w:sz w:val="22"/>
          <w:szCs w:val="22"/>
          <w:lang w:val="en-GB"/>
        </w:rPr>
        <w:t>illness</w:t>
      </w:r>
      <w:r w:rsidR="00BF4762" w:rsidRPr="00441D1B">
        <w:rPr>
          <w:rFonts w:cs="Calibri"/>
          <w:lang w:val="en-GB"/>
        </w:rPr>
        <w:t xml:space="preserve"> </w:t>
      </w:r>
      <w:r w:rsidRPr="00441D1B">
        <w:rPr>
          <w:sz w:val="22"/>
          <w:szCs w:val="22"/>
        </w:rPr>
        <w:t>course</w:t>
      </w:r>
      <w:r w:rsidR="002D2183" w:rsidRPr="00441D1B">
        <w:rPr>
          <w:sz w:val="22"/>
          <w:szCs w:val="22"/>
        </w:rPr>
        <w:t xml:space="preserve"> </w:t>
      </w:r>
      <w:r w:rsidR="00FD2141" w:rsidRPr="00441D1B">
        <w:rPr>
          <w:sz w:val="22"/>
          <w:szCs w:val="22"/>
        </w:rPr>
        <w:t>of RSV</w:t>
      </w:r>
      <w:r w:rsidR="00CB0928" w:rsidRPr="00441D1B">
        <w:rPr>
          <w:sz w:val="22"/>
          <w:szCs w:val="22"/>
        </w:rPr>
        <w:t xml:space="preserve"> </w:t>
      </w:r>
      <w:r w:rsidR="00A660A9" w:rsidRPr="00441D1B">
        <w:rPr>
          <w:sz w:val="22"/>
          <w:szCs w:val="22"/>
        </w:rPr>
        <w:t xml:space="preserve">and </w:t>
      </w:r>
      <w:r w:rsidR="00CB0928" w:rsidRPr="00441D1B">
        <w:rPr>
          <w:sz w:val="22"/>
          <w:szCs w:val="22"/>
        </w:rPr>
        <w:t>influenza</w:t>
      </w:r>
      <w:r w:rsidR="00FD2141" w:rsidRPr="00441D1B">
        <w:rPr>
          <w:sz w:val="22"/>
          <w:szCs w:val="22"/>
        </w:rPr>
        <w:t xml:space="preserve"> was </w:t>
      </w:r>
      <w:r w:rsidR="00677D17" w:rsidRPr="00441D1B">
        <w:rPr>
          <w:sz w:val="22"/>
          <w:szCs w:val="22"/>
        </w:rPr>
        <w:t xml:space="preserve">examined after exclusion of patients that did not return their diary and was </w:t>
      </w:r>
      <w:r w:rsidR="00FD2141" w:rsidRPr="00441D1B">
        <w:rPr>
          <w:sz w:val="22"/>
          <w:szCs w:val="22"/>
        </w:rPr>
        <w:t xml:space="preserve">defined using three outcomes: duration of symptoms, </w:t>
      </w:r>
      <w:r w:rsidR="00677D17" w:rsidRPr="00441D1B">
        <w:rPr>
          <w:sz w:val="22"/>
          <w:szCs w:val="22"/>
        </w:rPr>
        <w:t xml:space="preserve">unresolved symptoms at day 28 and </w:t>
      </w:r>
      <w:r w:rsidR="005F2655" w:rsidRPr="00441D1B">
        <w:rPr>
          <w:sz w:val="22"/>
          <w:szCs w:val="22"/>
        </w:rPr>
        <w:t>illness deterioration</w:t>
      </w:r>
      <w:r w:rsidR="00677D17" w:rsidRPr="00441D1B">
        <w:rPr>
          <w:sz w:val="22"/>
          <w:szCs w:val="22"/>
        </w:rPr>
        <w:t xml:space="preserve"> defined as either re</w:t>
      </w:r>
      <w:r w:rsidR="00B8766D" w:rsidRPr="00441D1B">
        <w:rPr>
          <w:sz w:val="22"/>
          <w:szCs w:val="22"/>
        </w:rPr>
        <w:t>-</w:t>
      </w:r>
      <w:r w:rsidR="00677D17" w:rsidRPr="00441D1B">
        <w:rPr>
          <w:sz w:val="22"/>
          <w:szCs w:val="22"/>
        </w:rPr>
        <w:lastRenderedPageBreak/>
        <w:t xml:space="preserve">consultation with new or worsened </w:t>
      </w:r>
      <w:r w:rsidR="005519F1" w:rsidRPr="00441D1B">
        <w:rPr>
          <w:sz w:val="22"/>
          <w:szCs w:val="22"/>
        </w:rPr>
        <w:t>complaints</w:t>
      </w:r>
      <w:r w:rsidR="00677D17" w:rsidRPr="00441D1B">
        <w:rPr>
          <w:sz w:val="22"/>
          <w:szCs w:val="22"/>
        </w:rPr>
        <w:t xml:space="preserve"> or admission to a hospital. </w:t>
      </w:r>
      <w:r w:rsidRPr="00441D1B">
        <w:rPr>
          <w:sz w:val="22"/>
          <w:szCs w:val="22"/>
        </w:rPr>
        <w:t xml:space="preserve">Included symptoms were cough, shortness of breath, wheeze, runny nose, chest pain, fever, disturbed sleep and interference with normal activities or work. </w:t>
      </w:r>
      <w:r w:rsidR="00677D17" w:rsidRPr="00441D1B">
        <w:rPr>
          <w:sz w:val="22"/>
          <w:szCs w:val="22"/>
        </w:rPr>
        <w:t xml:space="preserve">Duration of symptoms was defined as the number of days until the patients rated </w:t>
      </w:r>
      <w:r w:rsidR="00082E76" w:rsidRPr="00441D1B">
        <w:rPr>
          <w:sz w:val="22"/>
          <w:szCs w:val="22"/>
        </w:rPr>
        <w:t>thei</w:t>
      </w:r>
      <w:r w:rsidR="00677D17" w:rsidRPr="00441D1B">
        <w:rPr>
          <w:sz w:val="22"/>
          <w:szCs w:val="22"/>
        </w:rPr>
        <w:t>r symptoms as ‘no problem’ (score = 0)</w:t>
      </w:r>
      <w:r w:rsidR="00342AA2" w:rsidRPr="00441D1B">
        <w:rPr>
          <w:sz w:val="22"/>
          <w:szCs w:val="22"/>
        </w:rPr>
        <w:t>. For each symptom,</w:t>
      </w:r>
      <w:r w:rsidR="00677D17" w:rsidRPr="00441D1B">
        <w:rPr>
          <w:sz w:val="22"/>
          <w:szCs w:val="22"/>
        </w:rPr>
        <w:t xml:space="preserve"> </w:t>
      </w:r>
      <w:r w:rsidR="00342AA2" w:rsidRPr="00441D1B">
        <w:rPr>
          <w:sz w:val="22"/>
          <w:szCs w:val="22"/>
        </w:rPr>
        <w:t xml:space="preserve">virus-specific </w:t>
      </w:r>
      <w:r w:rsidR="007726CA" w:rsidRPr="00441D1B">
        <w:rPr>
          <w:sz w:val="22"/>
          <w:szCs w:val="22"/>
        </w:rPr>
        <w:t xml:space="preserve">association of age with duration of the symptom </w:t>
      </w:r>
      <w:r w:rsidR="00342AA2" w:rsidRPr="00441D1B">
        <w:rPr>
          <w:sz w:val="22"/>
          <w:szCs w:val="22"/>
        </w:rPr>
        <w:t xml:space="preserve">was </w:t>
      </w:r>
      <w:r w:rsidR="008324E4" w:rsidRPr="00441D1B">
        <w:rPr>
          <w:sz w:val="22"/>
          <w:szCs w:val="22"/>
        </w:rPr>
        <w:t>studied</w:t>
      </w:r>
      <w:r w:rsidR="00342AA2" w:rsidRPr="00441D1B">
        <w:rPr>
          <w:sz w:val="22"/>
          <w:szCs w:val="22"/>
        </w:rPr>
        <w:t xml:space="preserve"> using an accelerated failure time model </w:t>
      </w:r>
      <w:r w:rsidR="00A0258F" w:rsidRPr="00441D1B">
        <w:rPr>
          <w:sz w:val="22"/>
          <w:szCs w:val="22"/>
        </w:rPr>
        <w:t xml:space="preserve">with Weibull distributed error terms </w:t>
      </w:r>
      <w:r w:rsidR="00342AA2" w:rsidRPr="00441D1B">
        <w:rPr>
          <w:sz w:val="22"/>
          <w:szCs w:val="22"/>
        </w:rPr>
        <w:t xml:space="preserve">that accounts for clustering </w:t>
      </w:r>
      <w:r w:rsidR="00B8766D" w:rsidRPr="00441D1B">
        <w:rPr>
          <w:sz w:val="22"/>
          <w:szCs w:val="22"/>
        </w:rPr>
        <w:t xml:space="preserve">of patients </w:t>
      </w:r>
      <w:r w:rsidR="00342AA2" w:rsidRPr="00441D1B">
        <w:rPr>
          <w:sz w:val="22"/>
          <w:szCs w:val="22"/>
        </w:rPr>
        <w:t>within countries</w:t>
      </w:r>
      <w:r w:rsidR="00677D17" w:rsidRPr="00441D1B">
        <w:rPr>
          <w:sz w:val="22"/>
          <w:szCs w:val="22"/>
        </w:rPr>
        <w:t>. Patients who were still experiencing symptoms at day 28 were labelled as patients with un</w:t>
      </w:r>
      <w:r w:rsidR="00BC47E8" w:rsidRPr="00441D1B">
        <w:rPr>
          <w:sz w:val="22"/>
          <w:szCs w:val="22"/>
        </w:rPr>
        <w:t>resolved symptoms. Th</w:t>
      </w:r>
      <w:r w:rsidR="00677D17" w:rsidRPr="00441D1B">
        <w:rPr>
          <w:sz w:val="22"/>
          <w:szCs w:val="22"/>
        </w:rPr>
        <w:t>e odds</w:t>
      </w:r>
      <w:r w:rsidR="00BC47E8" w:rsidRPr="00441D1B">
        <w:rPr>
          <w:sz w:val="22"/>
          <w:szCs w:val="22"/>
        </w:rPr>
        <w:t xml:space="preserve"> of unresolved symptoms </w:t>
      </w:r>
      <w:r w:rsidR="000527CF" w:rsidRPr="00441D1B">
        <w:rPr>
          <w:sz w:val="22"/>
          <w:szCs w:val="22"/>
        </w:rPr>
        <w:t>was</w:t>
      </w:r>
      <w:r w:rsidR="00677D17" w:rsidRPr="00441D1B">
        <w:rPr>
          <w:sz w:val="22"/>
          <w:szCs w:val="22"/>
        </w:rPr>
        <w:t xml:space="preserve"> compared using </w:t>
      </w:r>
      <w:r w:rsidR="00574DB6" w:rsidRPr="00441D1B">
        <w:rPr>
          <w:sz w:val="22"/>
          <w:szCs w:val="22"/>
        </w:rPr>
        <w:t xml:space="preserve">a </w:t>
      </w:r>
      <w:r w:rsidR="001B3E7B" w:rsidRPr="00441D1B">
        <w:rPr>
          <w:sz w:val="22"/>
          <w:szCs w:val="22"/>
        </w:rPr>
        <w:t xml:space="preserve">Firth-adjusted </w:t>
      </w:r>
      <w:r w:rsidR="00574DB6" w:rsidRPr="00441D1B">
        <w:rPr>
          <w:sz w:val="22"/>
          <w:szCs w:val="22"/>
        </w:rPr>
        <w:t xml:space="preserve">HGLM </w:t>
      </w:r>
      <w:r w:rsidR="00393B74" w:rsidRPr="00441D1B">
        <w:rPr>
          <w:sz w:val="22"/>
          <w:szCs w:val="22"/>
        </w:rPr>
        <w:t>for each</w:t>
      </w:r>
      <w:r w:rsidR="000527CF" w:rsidRPr="00441D1B">
        <w:rPr>
          <w:sz w:val="22"/>
          <w:szCs w:val="22"/>
        </w:rPr>
        <w:t xml:space="preserve"> symptom</w:t>
      </w:r>
      <w:r w:rsidR="00576541" w:rsidRPr="00441D1B">
        <w:rPr>
          <w:sz w:val="22"/>
          <w:szCs w:val="22"/>
        </w:rPr>
        <w:t xml:space="preserve"> </w:t>
      </w:r>
      <w:r w:rsidR="00CE2484" w:rsidRPr="00441D1B">
        <w:rPr>
          <w:sz w:val="22"/>
          <w:szCs w:val="22"/>
        </w:rPr>
        <w:fldChar w:fldCharType="begin" w:fldLock="1"/>
      </w:r>
      <w:r w:rsidR="0065127A" w:rsidRPr="00441D1B">
        <w:rPr>
          <w:sz w:val="22"/>
          <w:szCs w:val="22"/>
        </w:rPr>
        <w:instrText>ADDIN CSL_CITATION {"citationItems":[{"id":"ITEM-1","itemData":{"DOI":"10.2307/2336755","ISSN":"00063444","author":[{"dropping-particle":"","family":"Firth","given":"David","non-dropping-particle":"","parse-names":false,"suffix":""}],"container-title":"Biometrika","id":"ITEM-1","issue":"1","issued":{"date-parts":[["1993","3"]]},"page":"27","title":"Bias Reduction of Maximum Likelihood Estimates","type":"article-journal","volume":"80"},"uris":["http://www.mendeley.com/documents/?uuid=85065117-eb37-3b87-b7a2-ad4af5dd9bdc"]}],"mendeley":{"formattedCitation":"(Firth 1993)","plainTextFormattedCitation":"(Firth 1993)","previouslyFormattedCitation":"(Firth 1993)"},"properties":{"noteIndex":0},"schema":"https://github.com/citation-style-language/schema/raw/master/csl-citation.json"}</w:instrText>
      </w:r>
      <w:r w:rsidR="00CE2484" w:rsidRPr="00441D1B">
        <w:rPr>
          <w:sz w:val="22"/>
          <w:szCs w:val="22"/>
        </w:rPr>
        <w:fldChar w:fldCharType="separate"/>
      </w:r>
      <w:r w:rsidR="00293421" w:rsidRPr="00441D1B">
        <w:rPr>
          <w:noProof/>
          <w:sz w:val="22"/>
          <w:szCs w:val="22"/>
        </w:rPr>
        <w:t>(Firth 1993)</w:t>
      </w:r>
      <w:r w:rsidR="00CE2484" w:rsidRPr="00441D1B">
        <w:rPr>
          <w:sz w:val="22"/>
          <w:szCs w:val="22"/>
        </w:rPr>
        <w:fldChar w:fldCharType="end"/>
      </w:r>
      <w:r w:rsidR="00576541" w:rsidRPr="00441D1B">
        <w:rPr>
          <w:sz w:val="22"/>
          <w:szCs w:val="22"/>
        </w:rPr>
        <w:t>.</w:t>
      </w:r>
      <w:r w:rsidR="000527CF" w:rsidRPr="00441D1B">
        <w:rPr>
          <w:sz w:val="22"/>
          <w:szCs w:val="22"/>
        </w:rPr>
        <w:t xml:space="preserve"> The odds </w:t>
      </w:r>
      <w:r w:rsidR="00C11862" w:rsidRPr="00441D1B">
        <w:rPr>
          <w:sz w:val="22"/>
          <w:szCs w:val="22"/>
        </w:rPr>
        <w:t>of</w:t>
      </w:r>
      <w:r w:rsidR="000527CF" w:rsidRPr="00441D1B">
        <w:rPr>
          <w:sz w:val="22"/>
          <w:szCs w:val="22"/>
        </w:rPr>
        <w:t xml:space="preserve"> </w:t>
      </w:r>
      <w:r w:rsidR="00A05DFD" w:rsidRPr="00441D1B">
        <w:rPr>
          <w:sz w:val="22"/>
          <w:szCs w:val="22"/>
        </w:rPr>
        <w:t>illness deterioration</w:t>
      </w:r>
      <w:r w:rsidR="00677D17" w:rsidRPr="00441D1B">
        <w:rPr>
          <w:sz w:val="22"/>
          <w:szCs w:val="22"/>
        </w:rPr>
        <w:t xml:space="preserve"> </w:t>
      </w:r>
      <w:r w:rsidR="000527CF" w:rsidRPr="00441D1B">
        <w:rPr>
          <w:sz w:val="22"/>
          <w:szCs w:val="22"/>
        </w:rPr>
        <w:t xml:space="preserve">was compared </w:t>
      </w:r>
      <w:r w:rsidR="00574DB6" w:rsidRPr="00441D1B">
        <w:rPr>
          <w:sz w:val="22"/>
          <w:szCs w:val="22"/>
        </w:rPr>
        <w:t xml:space="preserve">using an additional </w:t>
      </w:r>
      <w:r w:rsidR="001B3E7B" w:rsidRPr="00441D1B">
        <w:rPr>
          <w:sz w:val="22"/>
          <w:szCs w:val="22"/>
        </w:rPr>
        <w:t xml:space="preserve">Firth-adjusted </w:t>
      </w:r>
      <w:r w:rsidR="00574DB6" w:rsidRPr="00441D1B">
        <w:rPr>
          <w:sz w:val="22"/>
          <w:szCs w:val="22"/>
        </w:rPr>
        <w:t>HGLM.</w:t>
      </w:r>
      <w:r w:rsidR="006E0466" w:rsidRPr="00441D1B">
        <w:rPr>
          <w:sz w:val="22"/>
          <w:szCs w:val="22"/>
        </w:rPr>
        <w:t xml:space="preserve"> </w:t>
      </w:r>
    </w:p>
    <w:p w14:paraId="6BD33302" w14:textId="13EF34DF" w:rsidR="007952CB" w:rsidRPr="00441D1B" w:rsidRDefault="005B5927" w:rsidP="00117FE3">
      <w:pPr>
        <w:pStyle w:val="CommentText"/>
        <w:spacing w:line="480" w:lineRule="auto"/>
        <w:rPr>
          <w:sz w:val="22"/>
          <w:szCs w:val="22"/>
        </w:rPr>
      </w:pPr>
      <w:r w:rsidRPr="00441D1B">
        <w:rPr>
          <w:sz w:val="22"/>
          <w:szCs w:val="22"/>
        </w:rPr>
        <w:t xml:space="preserve">Due to data sparseness, </w:t>
      </w:r>
      <w:r w:rsidR="00DC5CA1" w:rsidRPr="00441D1B">
        <w:rPr>
          <w:sz w:val="22"/>
          <w:szCs w:val="22"/>
        </w:rPr>
        <w:t>the</w:t>
      </w:r>
      <w:r w:rsidR="00FC76A5" w:rsidRPr="00441D1B">
        <w:rPr>
          <w:sz w:val="22"/>
          <w:szCs w:val="22"/>
        </w:rPr>
        <w:t xml:space="preserve"> analyses </w:t>
      </w:r>
      <w:r w:rsidR="006E0466" w:rsidRPr="00441D1B">
        <w:rPr>
          <w:sz w:val="22"/>
          <w:szCs w:val="22"/>
        </w:rPr>
        <w:t>were</w:t>
      </w:r>
      <w:r w:rsidR="00F0280D" w:rsidRPr="00441D1B">
        <w:rPr>
          <w:sz w:val="22"/>
          <w:szCs w:val="22"/>
        </w:rPr>
        <w:t xml:space="preserve"> adjusted for </w:t>
      </w:r>
      <w:r w:rsidR="0075328A" w:rsidRPr="00441D1B">
        <w:rPr>
          <w:sz w:val="22"/>
          <w:szCs w:val="22"/>
        </w:rPr>
        <w:t xml:space="preserve">significant </w:t>
      </w:r>
      <w:r w:rsidR="00DC5CA1" w:rsidRPr="00441D1B">
        <w:rPr>
          <w:sz w:val="22"/>
          <w:szCs w:val="22"/>
        </w:rPr>
        <w:t>covariates</w:t>
      </w:r>
      <w:r w:rsidRPr="00441D1B">
        <w:rPr>
          <w:sz w:val="22"/>
          <w:szCs w:val="22"/>
        </w:rPr>
        <w:t xml:space="preserve"> </w:t>
      </w:r>
      <w:r w:rsidR="00DC5CA1" w:rsidRPr="00441D1B">
        <w:rPr>
          <w:sz w:val="22"/>
          <w:szCs w:val="22"/>
        </w:rPr>
        <w:t xml:space="preserve">only </w:t>
      </w:r>
      <w:r w:rsidR="0075328A" w:rsidRPr="00441D1B">
        <w:rPr>
          <w:sz w:val="22"/>
          <w:szCs w:val="22"/>
        </w:rPr>
        <w:t>(</w:t>
      </w:r>
      <w:r w:rsidR="00985204" w:rsidRPr="00441D1B">
        <w:rPr>
          <w:sz w:val="22"/>
          <w:szCs w:val="22"/>
        </w:rPr>
        <w:t xml:space="preserve">univariate </w:t>
      </w:r>
      <w:r w:rsidR="0075328A" w:rsidRPr="00441D1B">
        <w:rPr>
          <w:sz w:val="22"/>
          <w:szCs w:val="22"/>
        </w:rPr>
        <w:t>p</w:t>
      </w:r>
      <w:r w:rsidR="00985204" w:rsidRPr="00441D1B">
        <w:rPr>
          <w:sz w:val="22"/>
          <w:szCs w:val="22"/>
        </w:rPr>
        <w:t>-value</w:t>
      </w:r>
      <w:r w:rsidR="0075328A" w:rsidRPr="00441D1B">
        <w:rPr>
          <w:sz w:val="22"/>
          <w:szCs w:val="22"/>
        </w:rPr>
        <w:t xml:space="preserve"> &lt; 0.10). Covariates that were considered include </w:t>
      </w:r>
      <w:r w:rsidR="00F0280D" w:rsidRPr="00441D1B">
        <w:rPr>
          <w:sz w:val="22"/>
          <w:szCs w:val="22"/>
        </w:rPr>
        <w:t xml:space="preserve">gender (male/female), </w:t>
      </w:r>
      <w:r w:rsidR="006702A0" w:rsidRPr="00441D1B">
        <w:rPr>
          <w:sz w:val="22"/>
          <w:szCs w:val="22"/>
        </w:rPr>
        <w:t xml:space="preserve">history of </w:t>
      </w:r>
      <w:r w:rsidR="00F0280D" w:rsidRPr="00441D1B">
        <w:rPr>
          <w:sz w:val="22"/>
          <w:szCs w:val="22"/>
        </w:rPr>
        <w:t>p</w:t>
      </w:r>
      <w:r w:rsidR="007F3ABA" w:rsidRPr="00441D1B">
        <w:rPr>
          <w:sz w:val="22"/>
          <w:szCs w:val="22"/>
        </w:rPr>
        <w:t>ulmonary comorbidities (yes/no</w:t>
      </w:r>
      <w:r w:rsidR="0000627F" w:rsidRPr="00441D1B">
        <w:rPr>
          <w:sz w:val="22"/>
          <w:szCs w:val="22"/>
        </w:rPr>
        <w:t xml:space="preserve">), </w:t>
      </w:r>
      <w:r w:rsidR="006702A0" w:rsidRPr="00441D1B">
        <w:rPr>
          <w:sz w:val="22"/>
          <w:szCs w:val="22"/>
        </w:rPr>
        <w:t xml:space="preserve">history of </w:t>
      </w:r>
      <w:r w:rsidR="0000627F" w:rsidRPr="00441D1B">
        <w:rPr>
          <w:sz w:val="22"/>
          <w:szCs w:val="22"/>
        </w:rPr>
        <w:t>cardiac comorbidities</w:t>
      </w:r>
      <w:r w:rsidR="006702A0" w:rsidRPr="00441D1B">
        <w:rPr>
          <w:sz w:val="22"/>
          <w:szCs w:val="22"/>
        </w:rPr>
        <w:t xml:space="preserve"> (yes/no), current smoker</w:t>
      </w:r>
      <w:r w:rsidR="00F0280D" w:rsidRPr="00441D1B">
        <w:rPr>
          <w:sz w:val="22"/>
          <w:szCs w:val="22"/>
        </w:rPr>
        <w:t xml:space="preserve"> (yes/no), </w:t>
      </w:r>
      <w:r w:rsidR="006702A0" w:rsidRPr="00441D1B">
        <w:rPr>
          <w:sz w:val="22"/>
          <w:szCs w:val="22"/>
        </w:rPr>
        <w:t xml:space="preserve">received </w:t>
      </w:r>
      <w:r w:rsidR="00F0280D" w:rsidRPr="00441D1B">
        <w:rPr>
          <w:sz w:val="22"/>
          <w:szCs w:val="22"/>
        </w:rPr>
        <w:t xml:space="preserve">influenza vaccination (yes/no), </w:t>
      </w:r>
      <w:r w:rsidR="00B8402F" w:rsidRPr="00441D1B">
        <w:rPr>
          <w:sz w:val="22"/>
          <w:szCs w:val="22"/>
        </w:rPr>
        <w:t>number</w:t>
      </w:r>
      <w:r w:rsidR="00F0280D" w:rsidRPr="00441D1B">
        <w:rPr>
          <w:sz w:val="22"/>
          <w:szCs w:val="22"/>
        </w:rPr>
        <w:t xml:space="preserve"> of </w:t>
      </w:r>
      <w:r w:rsidR="006702A0" w:rsidRPr="00441D1B">
        <w:rPr>
          <w:sz w:val="22"/>
          <w:szCs w:val="22"/>
        </w:rPr>
        <w:t>days coughing before consultation</w:t>
      </w:r>
      <w:r w:rsidR="00B45BEF" w:rsidRPr="00441D1B">
        <w:rPr>
          <w:sz w:val="22"/>
          <w:szCs w:val="22"/>
        </w:rPr>
        <w:t>, detection of bacteria</w:t>
      </w:r>
      <w:r w:rsidR="006702A0" w:rsidRPr="00441D1B">
        <w:rPr>
          <w:sz w:val="22"/>
          <w:szCs w:val="22"/>
        </w:rPr>
        <w:t xml:space="preserve"> </w:t>
      </w:r>
      <w:r w:rsidR="007F3E73" w:rsidRPr="00441D1B">
        <w:rPr>
          <w:sz w:val="22"/>
          <w:szCs w:val="22"/>
        </w:rPr>
        <w:t xml:space="preserve">and detection of </w:t>
      </w:r>
      <w:r w:rsidR="00F0280D" w:rsidRPr="00441D1B">
        <w:rPr>
          <w:sz w:val="22"/>
          <w:szCs w:val="22"/>
        </w:rPr>
        <w:t>virus</w:t>
      </w:r>
      <w:r w:rsidR="00B45BEF" w:rsidRPr="00441D1B">
        <w:rPr>
          <w:sz w:val="22"/>
          <w:szCs w:val="22"/>
        </w:rPr>
        <w:t>es</w:t>
      </w:r>
      <w:r w:rsidR="003D2C33" w:rsidRPr="00441D1B">
        <w:rPr>
          <w:sz w:val="22"/>
          <w:szCs w:val="22"/>
        </w:rPr>
        <w:t xml:space="preserve"> other than the studied virus</w:t>
      </w:r>
      <w:r w:rsidR="007E6A17" w:rsidRPr="00441D1B">
        <w:rPr>
          <w:sz w:val="22"/>
          <w:szCs w:val="22"/>
        </w:rPr>
        <w:t xml:space="preserve"> (yes/no). </w:t>
      </w:r>
      <w:r w:rsidR="007952CB" w:rsidRPr="00441D1B">
        <w:rPr>
          <w:sz w:val="22"/>
          <w:szCs w:val="22"/>
        </w:rPr>
        <w:t xml:space="preserve">The average symptom severity (as assessed by the GP at consultation) was considered as an additional </w:t>
      </w:r>
      <w:r w:rsidR="002379FA" w:rsidRPr="00441D1B">
        <w:rPr>
          <w:sz w:val="22"/>
          <w:szCs w:val="22"/>
        </w:rPr>
        <w:t>covariate</w:t>
      </w:r>
      <w:r w:rsidR="007952CB" w:rsidRPr="00441D1B">
        <w:rPr>
          <w:sz w:val="22"/>
          <w:szCs w:val="22"/>
        </w:rPr>
        <w:t xml:space="preserve"> in the analyses of illness course. </w:t>
      </w:r>
    </w:p>
    <w:p w14:paraId="669AB5A3" w14:textId="77777777" w:rsidR="007E6A17" w:rsidRPr="00441D1B" w:rsidRDefault="007E6A17" w:rsidP="00117FE3">
      <w:pPr>
        <w:pStyle w:val="CommentText"/>
        <w:spacing w:line="480" w:lineRule="auto"/>
        <w:rPr>
          <w:sz w:val="22"/>
          <w:szCs w:val="22"/>
        </w:rPr>
      </w:pPr>
    </w:p>
    <w:p w14:paraId="214A4E6A" w14:textId="23EBB28A" w:rsidR="007662DD" w:rsidRPr="00441D1B" w:rsidRDefault="007662DD" w:rsidP="00117FE3">
      <w:pPr>
        <w:spacing w:line="480" w:lineRule="auto"/>
        <w:rPr>
          <w:b/>
          <w:sz w:val="28"/>
          <w:lang w:val="en-GB"/>
        </w:rPr>
      </w:pPr>
      <w:r w:rsidRPr="00441D1B">
        <w:rPr>
          <w:b/>
          <w:sz w:val="28"/>
          <w:lang w:val="en-GB"/>
        </w:rPr>
        <w:t>Results</w:t>
      </w:r>
    </w:p>
    <w:p w14:paraId="19A7935A" w14:textId="68D6D1B9" w:rsidR="00E36374" w:rsidRPr="00441D1B" w:rsidRDefault="00E36374" w:rsidP="00117FE3">
      <w:pPr>
        <w:pStyle w:val="Subtitle"/>
        <w:spacing w:line="480" w:lineRule="auto"/>
        <w:rPr>
          <w:lang w:val="en-GB"/>
        </w:rPr>
      </w:pPr>
      <w:r w:rsidRPr="00441D1B">
        <w:rPr>
          <w:lang w:val="en-GB"/>
        </w:rPr>
        <w:t xml:space="preserve">Prevalence of </w:t>
      </w:r>
      <w:r w:rsidR="00B45FAB" w:rsidRPr="00441D1B">
        <w:rPr>
          <w:lang w:val="en-GB"/>
        </w:rPr>
        <w:t>illness</w:t>
      </w:r>
    </w:p>
    <w:p w14:paraId="7DD4915B" w14:textId="6C960ADE" w:rsidR="008A60B7" w:rsidRPr="00441D1B" w:rsidRDefault="004072E5" w:rsidP="00117FE3">
      <w:pPr>
        <w:spacing w:line="480" w:lineRule="auto"/>
        <w:rPr>
          <w:lang w:val="en-GB"/>
        </w:rPr>
      </w:pPr>
      <w:r w:rsidRPr="00441D1B">
        <w:rPr>
          <w:lang w:val="en-GB"/>
        </w:rPr>
        <w:t>A total of 3104 pati</w:t>
      </w:r>
      <w:r w:rsidR="00AE04D4" w:rsidRPr="00441D1B">
        <w:rPr>
          <w:lang w:val="en-GB"/>
        </w:rPr>
        <w:t xml:space="preserve">ents were included in the </w:t>
      </w:r>
      <w:r w:rsidR="007D56ED" w:rsidRPr="00441D1B">
        <w:rPr>
          <w:lang w:val="en-GB"/>
        </w:rPr>
        <w:t xml:space="preserve">original </w:t>
      </w:r>
      <w:r w:rsidR="00AE04D4" w:rsidRPr="00441D1B">
        <w:rPr>
          <w:lang w:val="en-GB"/>
        </w:rPr>
        <w:t>study. Patients that did not have a PCR result available (90/3104) were excluded from th</w:t>
      </w:r>
      <w:r w:rsidR="00A23C2D" w:rsidRPr="00441D1B">
        <w:rPr>
          <w:lang w:val="en-GB"/>
        </w:rPr>
        <w:t>is secondary</w:t>
      </w:r>
      <w:r w:rsidR="00AE04D4" w:rsidRPr="00441D1B">
        <w:rPr>
          <w:lang w:val="en-GB"/>
        </w:rPr>
        <w:t xml:space="preserve"> analysis.</w:t>
      </w:r>
      <w:r w:rsidR="006D4299" w:rsidRPr="00441D1B">
        <w:rPr>
          <w:lang w:val="en-GB"/>
        </w:rPr>
        <w:t xml:space="preserve"> </w:t>
      </w:r>
      <w:r w:rsidR="006A7676" w:rsidRPr="00441D1B">
        <w:rPr>
          <w:lang w:val="en-GB"/>
        </w:rPr>
        <w:t>In this patient subset, 144 patients (4.8%) tested positive for RSV and 307 patients (10.2%) tested positive for influenza</w:t>
      </w:r>
      <w:r w:rsidR="001D318E" w:rsidRPr="00441D1B">
        <w:rPr>
          <w:lang w:val="en-GB"/>
        </w:rPr>
        <w:t xml:space="preserve"> (169 influenza A, 104 influenza B, 34 type not determined)</w:t>
      </w:r>
      <w:r w:rsidR="006A7676" w:rsidRPr="00441D1B">
        <w:rPr>
          <w:lang w:val="en-GB"/>
        </w:rPr>
        <w:t>.</w:t>
      </w:r>
      <w:r w:rsidR="001D318E" w:rsidRPr="00441D1B">
        <w:rPr>
          <w:lang w:val="en-GB"/>
        </w:rPr>
        <w:t xml:space="preserve"> </w:t>
      </w:r>
      <w:r w:rsidR="006A7676" w:rsidRPr="00441D1B">
        <w:rPr>
          <w:lang w:val="en-GB"/>
        </w:rPr>
        <w:t xml:space="preserve"> </w:t>
      </w:r>
      <w:r w:rsidR="00A716A8" w:rsidRPr="00441D1B">
        <w:rPr>
          <w:lang w:val="en-GB"/>
        </w:rPr>
        <w:t>S</w:t>
      </w:r>
      <w:r w:rsidR="00C12F8B" w:rsidRPr="00441D1B">
        <w:rPr>
          <w:lang w:val="en-GB"/>
        </w:rPr>
        <w:t xml:space="preserve">ix patients </w:t>
      </w:r>
      <w:r w:rsidR="00A716A8" w:rsidRPr="00441D1B">
        <w:rPr>
          <w:lang w:val="en-GB"/>
        </w:rPr>
        <w:t xml:space="preserve">tested positive for both </w:t>
      </w:r>
      <w:r w:rsidR="006A7676" w:rsidRPr="00441D1B">
        <w:rPr>
          <w:lang w:val="en-GB"/>
        </w:rPr>
        <w:t>viruses</w:t>
      </w:r>
      <w:r w:rsidR="009F6A0C" w:rsidRPr="00441D1B">
        <w:rPr>
          <w:lang w:val="en-GB"/>
        </w:rPr>
        <w:t xml:space="preserve"> </w:t>
      </w:r>
      <w:r w:rsidR="00C12F8B" w:rsidRPr="00441D1B">
        <w:rPr>
          <w:lang w:val="en-GB"/>
        </w:rPr>
        <w:t xml:space="preserve">(0.2% of </w:t>
      </w:r>
      <w:r w:rsidR="00C12F8B" w:rsidRPr="00441D1B">
        <w:rPr>
          <w:lang w:val="en-GB"/>
        </w:rPr>
        <w:lastRenderedPageBreak/>
        <w:t>analysed samples</w:t>
      </w:r>
      <w:r w:rsidR="00E00417" w:rsidRPr="00441D1B">
        <w:rPr>
          <w:lang w:val="en-GB"/>
        </w:rPr>
        <w:t>; 3 influenza A, 2 influenza B, 1 type not determined</w:t>
      </w:r>
      <w:r w:rsidR="00C12F8B" w:rsidRPr="00441D1B">
        <w:rPr>
          <w:lang w:val="en-GB"/>
        </w:rPr>
        <w:t>).</w:t>
      </w:r>
      <w:r w:rsidR="00BA73F9" w:rsidRPr="00441D1B">
        <w:rPr>
          <w:lang w:val="en-GB"/>
        </w:rPr>
        <w:t xml:space="preserve"> </w:t>
      </w:r>
      <w:r w:rsidR="00B77D2E" w:rsidRPr="00441D1B">
        <w:rPr>
          <w:lang w:val="en-GB"/>
        </w:rPr>
        <w:t>Other baseline characteristics are reported in Table 1</w:t>
      </w:r>
      <w:r w:rsidR="008A60B7" w:rsidRPr="00441D1B">
        <w:rPr>
          <w:lang w:val="en-GB"/>
        </w:rPr>
        <w:t>.</w:t>
      </w:r>
    </w:p>
    <w:p w14:paraId="64D46045" w14:textId="5BADB67D" w:rsidR="00DB321B" w:rsidRPr="00441D1B" w:rsidRDefault="00DB321B" w:rsidP="00117FE3">
      <w:pPr>
        <w:pStyle w:val="Caption"/>
        <w:keepNext/>
        <w:spacing w:line="480" w:lineRule="auto"/>
      </w:pPr>
      <w:r w:rsidRPr="00441D1B">
        <w:t xml:space="preserve">Table </w:t>
      </w:r>
      <w:r w:rsidRPr="00441D1B">
        <w:fldChar w:fldCharType="begin"/>
      </w:r>
      <w:r w:rsidRPr="00441D1B">
        <w:instrText xml:space="preserve"> SEQ Table \* ARABIC </w:instrText>
      </w:r>
      <w:r w:rsidRPr="00441D1B">
        <w:fldChar w:fldCharType="separate"/>
      </w:r>
      <w:r w:rsidR="00142445" w:rsidRPr="00441D1B">
        <w:rPr>
          <w:noProof/>
        </w:rPr>
        <w:t>1</w:t>
      </w:r>
      <w:r w:rsidRPr="00441D1B">
        <w:fldChar w:fldCharType="end"/>
      </w:r>
      <w:r w:rsidRPr="00441D1B">
        <w:t xml:space="preserve">. Baseline characteristics </w:t>
      </w:r>
      <w:r w:rsidR="003C4C25" w:rsidRPr="00441D1B">
        <w:t xml:space="preserve">for </w:t>
      </w:r>
      <w:r w:rsidR="00064F26" w:rsidRPr="00441D1B">
        <w:t xml:space="preserve">adult </w:t>
      </w:r>
      <w:r w:rsidR="003C4C25" w:rsidRPr="00441D1B">
        <w:t>acute cough</w:t>
      </w:r>
      <w:r w:rsidR="00D12AF9" w:rsidRPr="00441D1B">
        <w:t xml:space="preserve"> </w:t>
      </w:r>
      <w:r w:rsidRPr="00441D1B">
        <w:t>patients</w:t>
      </w:r>
      <w:r w:rsidR="00064F26" w:rsidRPr="00441D1B">
        <w:t xml:space="preserve"> </w:t>
      </w:r>
      <w:r w:rsidR="00013719" w:rsidRPr="00441D1B">
        <w:t>in</w:t>
      </w:r>
      <w:r w:rsidR="00064F26" w:rsidRPr="00441D1B">
        <w:t xml:space="preserve"> primary care</w:t>
      </w:r>
      <w:r w:rsidRPr="00441D1B">
        <w:t>.</w:t>
      </w:r>
    </w:p>
    <w:p w14:paraId="5E39DA4C" w14:textId="6223AC73" w:rsidR="00952C39" w:rsidRPr="00441D1B" w:rsidRDefault="00952C39" w:rsidP="00117FE3">
      <w:pPr>
        <w:spacing w:line="480" w:lineRule="auto"/>
        <w:rPr>
          <w:lang w:val="en-GB"/>
        </w:rPr>
      </w:pPr>
      <w:r w:rsidRPr="00441D1B">
        <w:rPr>
          <w:lang w:val="en-GB"/>
        </w:rPr>
        <w:t xml:space="preserve">The </w:t>
      </w:r>
      <w:r w:rsidR="00B8766D" w:rsidRPr="00441D1B">
        <w:rPr>
          <w:lang w:val="en-GB"/>
        </w:rPr>
        <w:t>prevalence of</w:t>
      </w:r>
      <w:r w:rsidR="009F0ECE" w:rsidRPr="00441D1B">
        <w:rPr>
          <w:lang w:val="en-GB"/>
        </w:rPr>
        <w:t xml:space="preserve"> RSV </w:t>
      </w:r>
      <w:r w:rsidR="00B8766D" w:rsidRPr="00441D1B">
        <w:rPr>
          <w:lang w:val="en-GB"/>
        </w:rPr>
        <w:t xml:space="preserve">infection </w:t>
      </w:r>
      <w:r w:rsidRPr="00441D1B">
        <w:rPr>
          <w:lang w:val="en-GB"/>
        </w:rPr>
        <w:t>differed between the three age</w:t>
      </w:r>
      <w:r w:rsidR="003E599A" w:rsidRPr="00441D1B">
        <w:rPr>
          <w:lang w:val="en-GB"/>
        </w:rPr>
        <w:t xml:space="preserve"> groups</w:t>
      </w:r>
      <w:r w:rsidRPr="00441D1B">
        <w:rPr>
          <w:lang w:val="en-GB"/>
        </w:rPr>
        <w:t xml:space="preserve"> under study (p=0.0255): 84 out of 1999 </w:t>
      </w:r>
      <w:r w:rsidR="00C470E7" w:rsidRPr="00441D1B">
        <w:rPr>
          <w:lang w:val="en-GB"/>
        </w:rPr>
        <w:t>patients aged 18-59 years</w:t>
      </w:r>
      <w:r w:rsidRPr="00441D1B">
        <w:rPr>
          <w:lang w:val="en-GB"/>
        </w:rPr>
        <w:t xml:space="preserve"> (4.2%), 41 out of 791 </w:t>
      </w:r>
      <w:r w:rsidR="00C470E7" w:rsidRPr="00441D1B">
        <w:rPr>
          <w:lang w:val="en-GB"/>
        </w:rPr>
        <w:t>patients aged 60-74 years</w:t>
      </w:r>
      <w:r w:rsidRPr="00441D1B">
        <w:rPr>
          <w:lang w:val="en-GB"/>
        </w:rPr>
        <w:t xml:space="preserve"> (5.2%) and 19 out of 224 </w:t>
      </w:r>
      <w:r w:rsidR="00C470E7" w:rsidRPr="00441D1B">
        <w:rPr>
          <w:lang w:val="en-GB"/>
        </w:rPr>
        <w:t>patients aged 75 years and older</w:t>
      </w:r>
      <w:r w:rsidRPr="00441D1B">
        <w:rPr>
          <w:lang w:val="en-GB"/>
        </w:rPr>
        <w:t xml:space="preserve"> (8.5%) tested positive. </w:t>
      </w:r>
      <w:r w:rsidR="003E599A" w:rsidRPr="00441D1B">
        <w:rPr>
          <w:lang w:val="en-GB"/>
        </w:rPr>
        <w:t>P</w:t>
      </w:r>
      <w:r w:rsidR="00403779" w:rsidRPr="00441D1B">
        <w:rPr>
          <w:lang w:val="en-GB"/>
        </w:rPr>
        <w:t xml:space="preserve">atients aged 75 years and older </w:t>
      </w:r>
      <w:r w:rsidRPr="00441D1B">
        <w:rPr>
          <w:lang w:val="en-GB"/>
        </w:rPr>
        <w:t xml:space="preserve">were significantly more likely to </w:t>
      </w:r>
      <w:r w:rsidR="007028AD" w:rsidRPr="00441D1B">
        <w:rPr>
          <w:lang w:val="en-GB"/>
        </w:rPr>
        <w:t>test positive for</w:t>
      </w:r>
      <w:r w:rsidRPr="00441D1B">
        <w:rPr>
          <w:lang w:val="en-GB"/>
        </w:rPr>
        <w:t xml:space="preserve"> RSV</w:t>
      </w:r>
      <w:r w:rsidR="00572555" w:rsidRPr="00441D1B">
        <w:rPr>
          <w:lang w:val="en-GB"/>
        </w:rPr>
        <w:t xml:space="preserve"> </w:t>
      </w:r>
      <w:r w:rsidR="00F57F8F" w:rsidRPr="00441D1B">
        <w:rPr>
          <w:lang w:val="en-GB"/>
        </w:rPr>
        <w:t>when compared to</w:t>
      </w:r>
      <w:r w:rsidRPr="00441D1B">
        <w:rPr>
          <w:lang w:val="en-GB"/>
        </w:rPr>
        <w:t xml:space="preserve"> th</w:t>
      </w:r>
      <w:r w:rsidR="003E599A" w:rsidRPr="00441D1B">
        <w:rPr>
          <w:lang w:val="en-GB"/>
        </w:rPr>
        <w:t>ose aged 18-59 years</w:t>
      </w:r>
      <w:r w:rsidRPr="00441D1B">
        <w:rPr>
          <w:lang w:val="en-GB"/>
        </w:rPr>
        <w:t xml:space="preserve"> (odds ratio (OR): 2.11, 95% confidence interval (CI):</w:t>
      </w:r>
      <w:r w:rsidR="00D70DB4" w:rsidRPr="00441D1B">
        <w:rPr>
          <w:lang w:val="en-GB"/>
        </w:rPr>
        <w:t xml:space="preserve"> [1.14</w:t>
      </w:r>
      <w:r w:rsidRPr="00441D1B">
        <w:rPr>
          <w:lang w:val="en-GB"/>
        </w:rPr>
        <w:t xml:space="preserve"> – 3.</w:t>
      </w:r>
      <w:r w:rsidR="00D70DB4" w:rsidRPr="00441D1B">
        <w:rPr>
          <w:lang w:val="en-GB"/>
        </w:rPr>
        <w:t>91</w:t>
      </w:r>
      <w:r w:rsidRPr="00441D1B">
        <w:rPr>
          <w:lang w:val="en-GB"/>
        </w:rPr>
        <w:t xml:space="preserve">]). After accounting for significant </w:t>
      </w:r>
      <w:r w:rsidR="000C01A3" w:rsidRPr="00441D1B">
        <w:rPr>
          <w:lang w:val="en-GB"/>
        </w:rPr>
        <w:t>covariates</w:t>
      </w:r>
      <w:r w:rsidRPr="00441D1B">
        <w:rPr>
          <w:lang w:val="en-GB"/>
        </w:rPr>
        <w:t xml:space="preserve">, the prevalence of RSV remained </w:t>
      </w:r>
      <w:r w:rsidR="00403779" w:rsidRPr="00441D1B">
        <w:rPr>
          <w:lang w:val="en-GB"/>
        </w:rPr>
        <w:t>associated with age</w:t>
      </w:r>
      <w:r w:rsidRPr="00441D1B">
        <w:rPr>
          <w:lang w:val="en-GB"/>
        </w:rPr>
        <w:t xml:space="preserve"> (p=0.0</w:t>
      </w:r>
      <w:r w:rsidR="00ED1EEE" w:rsidRPr="00441D1B">
        <w:rPr>
          <w:lang w:val="en-GB"/>
        </w:rPr>
        <w:t>264</w:t>
      </w:r>
      <w:r w:rsidR="000152CD" w:rsidRPr="00441D1B">
        <w:rPr>
          <w:lang w:val="en-GB"/>
        </w:rPr>
        <w:t>, OR: 2.27</w:t>
      </w:r>
      <w:r w:rsidRPr="00441D1B">
        <w:rPr>
          <w:lang w:val="en-GB"/>
        </w:rPr>
        <w:t>, 95% CI: [1.</w:t>
      </w:r>
      <w:r w:rsidR="00D70DB4" w:rsidRPr="00441D1B">
        <w:rPr>
          <w:lang w:val="en-GB"/>
        </w:rPr>
        <w:t>1</w:t>
      </w:r>
      <w:r w:rsidR="000152CD" w:rsidRPr="00441D1B">
        <w:rPr>
          <w:lang w:val="en-GB"/>
        </w:rPr>
        <w:t>2</w:t>
      </w:r>
      <w:r w:rsidRPr="00441D1B">
        <w:rPr>
          <w:lang w:val="en-GB"/>
        </w:rPr>
        <w:t xml:space="preserve"> – 4.</w:t>
      </w:r>
      <w:r w:rsidR="00D70DB4" w:rsidRPr="00441D1B">
        <w:rPr>
          <w:lang w:val="en-GB"/>
        </w:rPr>
        <w:t>6</w:t>
      </w:r>
      <w:r w:rsidR="000152CD" w:rsidRPr="00441D1B">
        <w:rPr>
          <w:lang w:val="en-GB"/>
        </w:rPr>
        <w:t>4</w:t>
      </w:r>
      <w:r w:rsidRPr="00441D1B">
        <w:rPr>
          <w:lang w:val="en-GB"/>
        </w:rPr>
        <w:t xml:space="preserve">]). </w:t>
      </w:r>
      <w:r w:rsidR="0012660D" w:rsidRPr="00441D1B">
        <w:rPr>
          <w:lang w:val="en-GB"/>
        </w:rPr>
        <w:t xml:space="preserve">Odds ratios and 95% confidence intervals are reported in Table 2. </w:t>
      </w:r>
    </w:p>
    <w:p w14:paraId="6C787E48" w14:textId="6A3CD4AE" w:rsidR="00952C39" w:rsidRPr="00441D1B" w:rsidRDefault="00952C39" w:rsidP="00117FE3">
      <w:pPr>
        <w:spacing w:line="480" w:lineRule="auto"/>
      </w:pPr>
      <w:r w:rsidRPr="00441D1B">
        <w:rPr>
          <w:lang w:val="en-GB"/>
        </w:rPr>
        <w:t xml:space="preserve">The </w:t>
      </w:r>
      <w:r w:rsidR="00B8766D" w:rsidRPr="00441D1B">
        <w:rPr>
          <w:lang w:val="en-GB"/>
        </w:rPr>
        <w:t xml:space="preserve">prevalence of </w:t>
      </w:r>
      <w:r w:rsidRPr="00441D1B">
        <w:rPr>
          <w:lang w:val="en-GB"/>
        </w:rPr>
        <w:t xml:space="preserve">influenza </w:t>
      </w:r>
      <w:r w:rsidR="00B8766D" w:rsidRPr="00441D1B">
        <w:rPr>
          <w:lang w:val="en-GB"/>
        </w:rPr>
        <w:t xml:space="preserve">infection </w:t>
      </w:r>
      <w:r w:rsidRPr="00441D1B">
        <w:rPr>
          <w:lang w:val="en-GB"/>
        </w:rPr>
        <w:t xml:space="preserve">also differed between the three age groups (p&lt;0.0001): 243 </w:t>
      </w:r>
      <w:r w:rsidR="00357D30" w:rsidRPr="00441D1B">
        <w:rPr>
          <w:lang w:val="en-GB"/>
        </w:rPr>
        <w:t>patients aged 18-59 years</w:t>
      </w:r>
      <w:r w:rsidR="00357D30" w:rsidRPr="00441D1B">
        <w:t xml:space="preserve"> </w:t>
      </w:r>
      <w:r w:rsidRPr="00441D1B">
        <w:rPr>
          <w:lang w:val="en-GB"/>
        </w:rPr>
        <w:t>(12.2%</w:t>
      </w:r>
      <w:r w:rsidR="006D455D" w:rsidRPr="00441D1B">
        <w:rPr>
          <w:lang w:val="en-GB"/>
        </w:rPr>
        <w:t>: 136 influenza A, 82 influenza B, 25 type not determined</w:t>
      </w:r>
      <w:r w:rsidRPr="00441D1B">
        <w:rPr>
          <w:lang w:val="en-GB"/>
        </w:rPr>
        <w:t xml:space="preserve">), 52 </w:t>
      </w:r>
      <w:r w:rsidR="00357D30" w:rsidRPr="00441D1B">
        <w:rPr>
          <w:lang w:val="en-GB"/>
        </w:rPr>
        <w:t xml:space="preserve">patients aged 60-74 years </w:t>
      </w:r>
      <w:r w:rsidRPr="00441D1B">
        <w:rPr>
          <w:lang w:val="en-GB"/>
        </w:rPr>
        <w:t>(6.6%</w:t>
      </w:r>
      <w:r w:rsidR="006D455D" w:rsidRPr="00441D1B">
        <w:rPr>
          <w:lang w:val="en-GB"/>
        </w:rPr>
        <w:t>: 28 influenza A, 17 influenza B, 7 type not determined</w:t>
      </w:r>
      <w:r w:rsidRPr="00441D1B">
        <w:rPr>
          <w:lang w:val="en-GB"/>
        </w:rPr>
        <w:t xml:space="preserve">) and 12 </w:t>
      </w:r>
      <w:r w:rsidR="00F65AD6" w:rsidRPr="00441D1B">
        <w:rPr>
          <w:lang w:val="en-GB"/>
        </w:rPr>
        <w:t xml:space="preserve">patients aged 75 years and older </w:t>
      </w:r>
      <w:r w:rsidRPr="00441D1B">
        <w:rPr>
          <w:lang w:val="en-GB"/>
        </w:rPr>
        <w:t>(5.4%</w:t>
      </w:r>
      <w:r w:rsidR="006D455D" w:rsidRPr="00441D1B">
        <w:rPr>
          <w:lang w:val="en-GB"/>
        </w:rPr>
        <w:t>: 5 influenza A, 5 influenza B, 2 type not determined</w:t>
      </w:r>
      <w:r w:rsidRPr="00441D1B">
        <w:rPr>
          <w:lang w:val="en-GB"/>
        </w:rPr>
        <w:t>) tested positive</w:t>
      </w:r>
      <w:r w:rsidR="00B862AE" w:rsidRPr="00441D1B">
        <w:rPr>
          <w:lang w:val="en-GB"/>
        </w:rPr>
        <w:t>.</w:t>
      </w:r>
      <w:r w:rsidRPr="00441D1B">
        <w:rPr>
          <w:lang w:val="en-GB"/>
        </w:rPr>
        <w:t xml:space="preserve"> </w:t>
      </w:r>
      <w:r w:rsidR="00960E51" w:rsidRPr="00441D1B">
        <w:rPr>
          <w:lang w:val="en-GB"/>
        </w:rPr>
        <w:t>T</w:t>
      </w:r>
      <w:r w:rsidRPr="00441D1B">
        <w:rPr>
          <w:lang w:val="en-GB"/>
        </w:rPr>
        <w:t xml:space="preserve">he </w:t>
      </w:r>
      <w:r w:rsidR="00F65AD6" w:rsidRPr="00441D1B">
        <w:rPr>
          <w:lang w:val="en-GB"/>
        </w:rPr>
        <w:t xml:space="preserve">patients aged 60 years and older </w:t>
      </w:r>
      <w:r w:rsidRPr="00441D1B">
        <w:rPr>
          <w:lang w:val="en-GB"/>
        </w:rPr>
        <w:t xml:space="preserve">were significantly less likely to </w:t>
      </w:r>
      <w:r w:rsidR="00684A7B" w:rsidRPr="00441D1B">
        <w:rPr>
          <w:lang w:val="en-GB"/>
        </w:rPr>
        <w:t>test positive for</w:t>
      </w:r>
      <w:r w:rsidRPr="00441D1B">
        <w:rPr>
          <w:lang w:val="en-GB"/>
        </w:rPr>
        <w:t xml:space="preserve"> influenza </w:t>
      </w:r>
      <w:r w:rsidR="00960E51" w:rsidRPr="00441D1B">
        <w:rPr>
          <w:lang w:val="en-GB"/>
        </w:rPr>
        <w:t xml:space="preserve">A </w:t>
      </w:r>
      <w:r w:rsidR="00684A7B" w:rsidRPr="00441D1B">
        <w:rPr>
          <w:lang w:val="en-GB"/>
        </w:rPr>
        <w:t>when compared to</w:t>
      </w:r>
      <w:r w:rsidRPr="00441D1B">
        <w:rPr>
          <w:lang w:val="en-GB"/>
        </w:rPr>
        <w:t xml:space="preserve"> </w:t>
      </w:r>
      <w:r w:rsidR="00357D30" w:rsidRPr="00441D1B">
        <w:rPr>
          <w:lang w:val="en-GB"/>
        </w:rPr>
        <w:t>patients aged 18-59 years</w:t>
      </w:r>
      <w:r w:rsidR="00357D30" w:rsidRPr="00441D1B">
        <w:t xml:space="preserve"> </w:t>
      </w:r>
      <w:r w:rsidRPr="00441D1B">
        <w:rPr>
          <w:lang w:val="en-GB"/>
        </w:rPr>
        <w:t>(</w:t>
      </w:r>
      <w:r w:rsidR="00960E51" w:rsidRPr="00441D1B">
        <w:rPr>
          <w:lang w:val="en-GB"/>
        </w:rPr>
        <w:t>OR: 0.51</w:t>
      </w:r>
      <w:r w:rsidR="003D2883" w:rsidRPr="00441D1B">
        <w:rPr>
          <w:lang w:val="en-GB"/>
        </w:rPr>
        <w:t>, 95% CI: [0.3</w:t>
      </w:r>
      <w:r w:rsidR="00960E51" w:rsidRPr="00441D1B">
        <w:rPr>
          <w:lang w:val="en-GB"/>
        </w:rPr>
        <w:t>1 – 0.83] and OR: 0.3</w:t>
      </w:r>
      <w:r w:rsidR="006E184E" w:rsidRPr="00441D1B">
        <w:rPr>
          <w:lang w:val="en-GB"/>
        </w:rPr>
        <w:t>3</w:t>
      </w:r>
      <w:r w:rsidRPr="00441D1B">
        <w:rPr>
          <w:lang w:val="en-GB"/>
        </w:rPr>
        <w:t>, 95% CI: [0.</w:t>
      </w:r>
      <w:r w:rsidR="00960E51" w:rsidRPr="00441D1B">
        <w:rPr>
          <w:lang w:val="en-GB"/>
        </w:rPr>
        <w:t>1</w:t>
      </w:r>
      <w:r w:rsidR="006E184E" w:rsidRPr="00441D1B">
        <w:rPr>
          <w:lang w:val="en-GB"/>
        </w:rPr>
        <w:t>1</w:t>
      </w:r>
      <w:r w:rsidRPr="00441D1B">
        <w:rPr>
          <w:lang w:val="en-GB"/>
        </w:rPr>
        <w:t xml:space="preserve"> – 0.</w:t>
      </w:r>
      <w:r w:rsidR="00960E51" w:rsidRPr="00441D1B">
        <w:rPr>
          <w:lang w:val="en-GB"/>
        </w:rPr>
        <w:t>95</w:t>
      </w:r>
      <w:r w:rsidRPr="00441D1B">
        <w:rPr>
          <w:lang w:val="en-GB"/>
        </w:rPr>
        <w:t xml:space="preserve">], respectively). </w:t>
      </w:r>
      <w:r w:rsidR="00960E51" w:rsidRPr="00441D1B">
        <w:rPr>
          <w:lang w:val="en-GB"/>
        </w:rPr>
        <w:t xml:space="preserve">Patients aged 60-74 years were significantly less likely to test positive for influenza B when compared to patients aged 18-59 years (OR: 0.53, 95% CI: [0.28 – 0.99]). </w:t>
      </w:r>
      <w:r w:rsidRPr="00441D1B">
        <w:rPr>
          <w:lang w:val="en-GB"/>
        </w:rPr>
        <w:t xml:space="preserve">After accounting for significant </w:t>
      </w:r>
      <w:r w:rsidR="000C01A3" w:rsidRPr="00441D1B">
        <w:rPr>
          <w:lang w:val="en-GB"/>
        </w:rPr>
        <w:t>covariates</w:t>
      </w:r>
      <w:r w:rsidRPr="00441D1B">
        <w:rPr>
          <w:lang w:val="en-GB"/>
        </w:rPr>
        <w:t xml:space="preserve">, the </w:t>
      </w:r>
      <w:r w:rsidR="009F0ECE" w:rsidRPr="00441D1B">
        <w:rPr>
          <w:lang w:val="en-GB"/>
        </w:rPr>
        <w:t>odds</w:t>
      </w:r>
      <w:r w:rsidRPr="00441D1B">
        <w:rPr>
          <w:lang w:val="en-GB"/>
        </w:rPr>
        <w:t xml:space="preserve"> of influenza was </w:t>
      </w:r>
      <w:r w:rsidR="00F65AD6" w:rsidRPr="00441D1B">
        <w:rPr>
          <w:lang w:val="en-GB"/>
        </w:rPr>
        <w:t>not associated with age anymore</w:t>
      </w:r>
      <w:r w:rsidR="00FD1DB4" w:rsidRPr="00441D1B">
        <w:rPr>
          <w:lang w:val="en-GB"/>
        </w:rPr>
        <w:t xml:space="preserve"> </w:t>
      </w:r>
      <w:r w:rsidRPr="00441D1B">
        <w:rPr>
          <w:lang w:val="en-GB"/>
        </w:rPr>
        <w:t>(p=0.</w:t>
      </w:r>
      <w:r w:rsidR="00960E51" w:rsidRPr="00441D1B">
        <w:rPr>
          <w:lang w:val="en-GB"/>
        </w:rPr>
        <w:t>2179 for influenza A and p=0.7330 for influenza B</w:t>
      </w:r>
      <w:r w:rsidRPr="00441D1B">
        <w:rPr>
          <w:lang w:val="en-GB"/>
        </w:rPr>
        <w:t xml:space="preserve">). </w:t>
      </w:r>
      <w:r w:rsidR="0012660D" w:rsidRPr="00441D1B">
        <w:rPr>
          <w:lang w:val="en-GB"/>
        </w:rPr>
        <w:t>Odds ratios and 95% confidence intervals</w:t>
      </w:r>
      <w:r w:rsidRPr="00441D1B">
        <w:rPr>
          <w:lang w:val="en-GB"/>
        </w:rPr>
        <w:t xml:space="preserve"> are reported in Table 2. </w:t>
      </w:r>
    </w:p>
    <w:p w14:paraId="32F6A63B" w14:textId="77777777" w:rsidR="009C5EFE" w:rsidRPr="00441D1B" w:rsidRDefault="009C5EFE">
      <w:pPr>
        <w:spacing w:after="160" w:line="259" w:lineRule="auto"/>
        <w:rPr>
          <w:rFonts w:eastAsiaTheme="minorEastAsia" w:cs="Calibri"/>
          <w:color w:val="5A5A5A" w:themeColor="text1" w:themeTint="A5"/>
          <w:spacing w:val="15"/>
          <w:lang w:val="en-GB"/>
        </w:rPr>
      </w:pPr>
      <w:r w:rsidRPr="00441D1B">
        <w:rPr>
          <w:rFonts w:cs="Calibri"/>
          <w:lang w:val="en-GB"/>
        </w:rPr>
        <w:br w:type="page"/>
      </w:r>
    </w:p>
    <w:p w14:paraId="7479374D" w14:textId="5FF41C83" w:rsidR="005157F3" w:rsidRPr="00441D1B" w:rsidRDefault="005157F3" w:rsidP="00117FE3">
      <w:pPr>
        <w:pStyle w:val="Subtitle"/>
        <w:spacing w:line="480" w:lineRule="auto"/>
        <w:rPr>
          <w:rFonts w:ascii="Calibri" w:hAnsi="Calibri" w:cs="Calibri"/>
          <w:lang w:val="en-GB"/>
        </w:rPr>
      </w:pPr>
      <w:r w:rsidRPr="00441D1B">
        <w:rPr>
          <w:rFonts w:ascii="Calibri" w:hAnsi="Calibri" w:cs="Calibri"/>
          <w:lang w:val="en-GB"/>
        </w:rPr>
        <w:lastRenderedPageBreak/>
        <w:t>Diagnostic value of patient characteristics</w:t>
      </w:r>
    </w:p>
    <w:p w14:paraId="694B8194" w14:textId="23C3BB48" w:rsidR="005157F3" w:rsidRPr="00441D1B" w:rsidRDefault="005157F3" w:rsidP="00117FE3">
      <w:pPr>
        <w:spacing w:line="480" w:lineRule="auto"/>
        <w:rPr>
          <w:rFonts w:cs="Calibri"/>
          <w:lang w:val="en-GB"/>
        </w:rPr>
      </w:pPr>
      <w:r w:rsidRPr="00441D1B">
        <w:rPr>
          <w:rFonts w:cs="Calibri"/>
        </w:rPr>
        <w:t xml:space="preserve">The odds of RSV was significantly lower when the patient was a current smoker (OR: </w:t>
      </w:r>
      <w:r w:rsidRPr="00441D1B">
        <w:rPr>
          <w:rFonts w:cs="Calibri"/>
          <w:lang w:val="en-GB"/>
        </w:rPr>
        <w:t>0.66, 95% CI: [0.44-0.99]</w:t>
      </w:r>
      <w:r w:rsidRPr="00441D1B">
        <w:rPr>
          <w:rFonts w:cs="Calibri"/>
        </w:rPr>
        <w:t>).</w:t>
      </w:r>
      <w:r w:rsidR="00F7065A" w:rsidRPr="00441D1B">
        <w:rPr>
          <w:rFonts w:cs="Calibri"/>
        </w:rPr>
        <w:t xml:space="preserve"> </w:t>
      </w:r>
      <w:r w:rsidRPr="00441D1B">
        <w:rPr>
          <w:rFonts w:cs="Calibri"/>
          <w:lang w:val="en-GB"/>
        </w:rPr>
        <w:t xml:space="preserve">After accounting for significant </w:t>
      </w:r>
      <w:r w:rsidRPr="00441D1B">
        <w:rPr>
          <w:lang w:val="en-GB"/>
        </w:rPr>
        <w:t>covariates</w:t>
      </w:r>
      <w:r w:rsidRPr="00441D1B">
        <w:rPr>
          <w:rFonts w:cs="Calibri"/>
          <w:lang w:val="en-GB"/>
        </w:rPr>
        <w:t xml:space="preserve">, the odds of RSV was no longer associated with smoking status (p=0.3534; Table 3). </w:t>
      </w:r>
    </w:p>
    <w:p w14:paraId="10B6E74E" w14:textId="4E681541" w:rsidR="005157F3" w:rsidRPr="00441D1B" w:rsidRDefault="002712F3" w:rsidP="00117FE3">
      <w:pPr>
        <w:spacing w:line="480" w:lineRule="auto"/>
        <w:rPr>
          <w:rFonts w:cs="Calibri"/>
        </w:rPr>
      </w:pPr>
      <w:r w:rsidRPr="00441D1B">
        <w:rPr>
          <w:rFonts w:cs="Calibri"/>
          <w:lang w:val="en-GB"/>
        </w:rPr>
        <w:t xml:space="preserve">The odds of influenza A was significantly </w:t>
      </w:r>
      <w:r w:rsidR="00A94BD9" w:rsidRPr="00441D1B">
        <w:rPr>
          <w:rFonts w:cs="Calibri"/>
          <w:lang w:val="en-GB"/>
        </w:rPr>
        <w:t>lower when the patient was current smoker (OR: 0.68, 95% CI: [0.47-0.99] or had a history of cardiac comorbidities (OR: 0.41, 95% CI: [0.19-0.87]). The odds of influenza B was significantly lower when the patient had a history of pulmonary comorbidities (OR: 0.48, 95% CI: [0.24-0.95]).</w:t>
      </w:r>
      <w:r w:rsidR="00D112E1" w:rsidRPr="00441D1B">
        <w:rPr>
          <w:rFonts w:cs="Calibri"/>
          <w:lang w:val="en-GB"/>
        </w:rPr>
        <w:t xml:space="preserve"> </w:t>
      </w:r>
      <w:r w:rsidR="005157F3" w:rsidRPr="00441D1B">
        <w:rPr>
          <w:rFonts w:cs="Calibri"/>
        </w:rPr>
        <w:t xml:space="preserve">After accounting for significant </w:t>
      </w:r>
      <w:r w:rsidR="005157F3" w:rsidRPr="00441D1B">
        <w:rPr>
          <w:lang w:val="en-GB"/>
        </w:rPr>
        <w:t>covariates</w:t>
      </w:r>
      <w:r w:rsidR="005157F3" w:rsidRPr="00441D1B">
        <w:rPr>
          <w:rFonts w:cs="Calibri"/>
        </w:rPr>
        <w:t>, the odds of Influenza was no longer associated with a history of pulmonary (p=0.</w:t>
      </w:r>
      <w:r w:rsidR="00D112E1" w:rsidRPr="00441D1B">
        <w:rPr>
          <w:rFonts w:cs="Calibri"/>
        </w:rPr>
        <w:t>1026</w:t>
      </w:r>
      <w:r w:rsidR="005157F3" w:rsidRPr="00441D1B">
        <w:rPr>
          <w:rFonts w:cs="Calibri"/>
        </w:rPr>
        <w:t>) or cardiac (p=0.</w:t>
      </w:r>
      <w:r w:rsidR="00D112E1" w:rsidRPr="00441D1B">
        <w:rPr>
          <w:rFonts w:cs="Calibri"/>
        </w:rPr>
        <w:t>2798</w:t>
      </w:r>
      <w:r w:rsidR="005157F3" w:rsidRPr="00441D1B">
        <w:rPr>
          <w:rFonts w:cs="Calibri"/>
        </w:rPr>
        <w:t xml:space="preserve">) comorbidities (Table 3). The association between the odds of influenza </w:t>
      </w:r>
      <w:r w:rsidR="00AA2E82" w:rsidRPr="00441D1B">
        <w:rPr>
          <w:rFonts w:cs="Calibri"/>
        </w:rPr>
        <w:t xml:space="preserve">A </w:t>
      </w:r>
      <w:r w:rsidR="005157F3" w:rsidRPr="00441D1B">
        <w:rPr>
          <w:rFonts w:cs="Calibri"/>
        </w:rPr>
        <w:t xml:space="preserve">and smoking status remained significant (OR: </w:t>
      </w:r>
      <w:r w:rsidR="005157F3" w:rsidRPr="00441D1B">
        <w:rPr>
          <w:rFonts w:cs="Calibri"/>
          <w:lang w:val="en-GB"/>
        </w:rPr>
        <w:t>0.</w:t>
      </w:r>
      <w:r w:rsidR="00AA2E82" w:rsidRPr="00441D1B">
        <w:rPr>
          <w:rFonts w:cs="Calibri"/>
          <w:lang w:val="en-GB"/>
        </w:rPr>
        <w:t>60</w:t>
      </w:r>
      <w:r w:rsidR="005157F3" w:rsidRPr="00441D1B">
        <w:rPr>
          <w:rFonts w:cs="Calibri"/>
          <w:lang w:val="en-GB"/>
        </w:rPr>
        <w:t>, 95% CI: [0.</w:t>
      </w:r>
      <w:r w:rsidR="00AA2E82" w:rsidRPr="00441D1B">
        <w:rPr>
          <w:rFonts w:cs="Calibri"/>
          <w:lang w:val="en-GB"/>
        </w:rPr>
        <w:t>40-0.89</w:t>
      </w:r>
      <w:r w:rsidR="005157F3" w:rsidRPr="00441D1B">
        <w:rPr>
          <w:rFonts w:cs="Calibri"/>
          <w:lang w:val="en-GB"/>
        </w:rPr>
        <w:t>]</w:t>
      </w:r>
      <w:r w:rsidR="005157F3" w:rsidRPr="00441D1B">
        <w:rPr>
          <w:rFonts w:cs="Calibri"/>
        </w:rPr>
        <w:t>).</w:t>
      </w:r>
      <w:r w:rsidR="001B1510" w:rsidRPr="00441D1B">
        <w:rPr>
          <w:rFonts w:cs="Calibri"/>
        </w:rPr>
        <w:t xml:space="preserve"> </w:t>
      </w:r>
      <w:r w:rsidR="005157F3" w:rsidRPr="00441D1B">
        <w:rPr>
          <w:rFonts w:cs="Calibri"/>
        </w:rPr>
        <w:t>However, this association was not associated with age (p=0.</w:t>
      </w:r>
      <w:r w:rsidR="001B1510" w:rsidRPr="00441D1B">
        <w:rPr>
          <w:rFonts w:cs="Calibri"/>
        </w:rPr>
        <w:t>0799)</w:t>
      </w:r>
      <w:r w:rsidR="005157F3" w:rsidRPr="00441D1B">
        <w:rPr>
          <w:rFonts w:cs="Calibri"/>
        </w:rPr>
        <w:t xml:space="preserve">. </w:t>
      </w:r>
    </w:p>
    <w:p w14:paraId="14C05DA4" w14:textId="77777777" w:rsidR="005157F3" w:rsidRPr="00441D1B" w:rsidRDefault="005157F3" w:rsidP="00117FE3">
      <w:pPr>
        <w:pStyle w:val="Subtitle"/>
        <w:spacing w:line="480" w:lineRule="auto"/>
        <w:rPr>
          <w:rFonts w:ascii="Calibri" w:hAnsi="Calibri" w:cs="Calibri"/>
          <w:lang w:val="en-GB"/>
        </w:rPr>
      </w:pPr>
      <w:r w:rsidRPr="00441D1B">
        <w:rPr>
          <w:rFonts w:ascii="Calibri" w:hAnsi="Calibri" w:cs="Calibri"/>
          <w:lang w:val="en-GB"/>
        </w:rPr>
        <w:t>Diagnostic value of presenting symptoms</w:t>
      </w:r>
    </w:p>
    <w:p w14:paraId="32D511EE" w14:textId="6EB6EEC6" w:rsidR="005157F3" w:rsidRPr="00441D1B" w:rsidRDefault="005157F3" w:rsidP="00117FE3">
      <w:pPr>
        <w:spacing w:line="480" w:lineRule="auto"/>
        <w:rPr>
          <w:rFonts w:cs="Calibri"/>
          <w:lang w:val="en-GB"/>
        </w:rPr>
      </w:pPr>
      <w:r w:rsidRPr="00441D1B">
        <w:rPr>
          <w:rFonts w:cs="Calibri"/>
          <w:lang w:val="en-GB"/>
        </w:rPr>
        <w:t xml:space="preserve">The odds of RSV was significantly higher when the patient presented with a runny nose (OR: 1.95, 95% CI: [1.25-3.02]). After accounting for significant </w:t>
      </w:r>
      <w:r w:rsidRPr="00441D1B">
        <w:rPr>
          <w:lang w:val="en-GB"/>
        </w:rPr>
        <w:t>covariates</w:t>
      </w:r>
      <w:r w:rsidRPr="00441D1B">
        <w:rPr>
          <w:rFonts w:cs="Calibri"/>
          <w:lang w:val="en-GB"/>
        </w:rPr>
        <w:t xml:space="preserve">, the association between the odds of RSV and the presence of a runny nose remained significant (OR: 2.42, 95% CI: [1.54-3.78]; Table 3). However, this association was not associated with </w:t>
      </w:r>
      <w:r w:rsidR="00754A26" w:rsidRPr="00441D1B">
        <w:rPr>
          <w:rFonts w:cs="Calibri"/>
          <w:lang w:val="en-GB"/>
        </w:rPr>
        <w:t xml:space="preserve">age </w:t>
      </w:r>
      <w:r w:rsidRPr="00441D1B">
        <w:rPr>
          <w:rFonts w:cs="Calibri"/>
          <w:lang w:val="en-GB"/>
        </w:rPr>
        <w:t>(p=0.2508).</w:t>
      </w:r>
    </w:p>
    <w:p w14:paraId="5A60EEC7" w14:textId="465FD444" w:rsidR="003F198A" w:rsidRPr="00441D1B" w:rsidRDefault="003F198A" w:rsidP="00117FE3">
      <w:pPr>
        <w:spacing w:line="480" w:lineRule="auto"/>
        <w:rPr>
          <w:rFonts w:cs="Calibri"/>
          <w:lang w:val="en-GB"/>
        </w:rPr>
      </w:pPr>
      <w:r w:rsidRPr="00441D1B">
        <w:rPr>
          <w:rFonts w:cs="Calibri"/>
          <w:lang w:val="en-GB"/>
        </w:rPr>
        <w:t>Fever both – wheezing B only – interference normal activities both</w:t>
      </w:r>
    </w:p>
    <w:p w14:paraId="331D9787" w14:textId="083A26A4" w:rsidR="005157F3" w:rsidRPr="00441D1B" w:rsidRDefault="005157F3" w:rsidP="00117FE3">
      <w:pPr>
        <w:spacing w:line="480" w:lineRule="auto"/>
        <w:rPr>
          <w:rFonts w:cs="Calibri"/>
          <w:lang w:val="en-GB"/>
        </w:rPr>
      </w:pPr>
      <w:r w:rsidRPr="00441D1B">
        <w:rPr>
          <w:rFonts w:cs="Calibri"/>
          <w:lang w:val="en-GB"/>
        </w:rPr>
        <w:t xml:space="preserve">The odds of influenza </w:t>
      </w:r>
      <w:r w:rsidR="00596CF1" w:rsidRPr="00441D1B">
        <w:rPr>
          <w:rFonts w:cs="Calibri"/>
          <w:lang w:val="en-GB"/>
        </w:rPr>
        <w:t xml:space="preserve">A </w:t>
      </w:r>
      <w:r w:rsidRPr="00441D1B">
        <w:rPr>
          <w:rFonts w:cs="Calibri"/>
          <w:lang w:val="en-GB"/>
        </w:rPr>
        <w:t>was significantly higher when the patien</w:t>
      </w:r>
      <w:r w:rsidR="00596CF1" w:rsidRPr="00441D1B">
        <w:rPr>
          <w:rFonts w:cs="Calibri"/>
          <w:lang w:val="en-GB"/>
        </w:rPr>
        <w:t>t presented with fever (OR: 4.79, 95% CI: [3.41</w:t>
      </w:r>
      <w:r w:rsidRPr="00441D1B">
        <w:rPr>
          <w:rFonts w:cs="Calibri"/>
          <w:lang w:val="en-GB"/>
        </w:rPr>
        <w:t>-6.</w:t>
      </w:r>
      <w:r w:rsidR="00596CF1" w:rsidRPr="00441D1B">
        <w:rPr>
          <w:rFonts w:cs="Calibri"/>
          <w:lang w:val="en-GB"/>
        </w:rPr>
        <w:t>74</w:t>
      </w:r>
      <w:r w:rsidRPr="00441D1B">
        <w:rPr>
          <w:rFonts w:cs="Calibri"/>
          <w:lang w:val="en-GB"/>
        </w:rPr>
        <w:t>]) or interference with normal activities or work (OR: 2.</w:t>
      </w:r>
      <w:r w:rsidR="00F02D9D" w:rsidRPr="00441D1B">
        <w:rPr>
          <w:rFonts w:cs="Calibri"/>
          <w:lang w:val="en-GB"/>
        </w:rPr>
        <w:t>03</w:t>
      </w:r>
      <w:r w:rsidRPr="00441D1B">
        <w:rPr>
          <w:rFonts w:cs="Calibri"/>
          <w:lang w:val="en-GB"/>
        </w:rPr>
        <w:t>, 95% CI: [1.</w:t>
      </w:r>
      <w:r w:rsidR="00F02D9D" w:rsidRPr="00441D1B">
        <w:rPr>
          <w:rFonts w:cs="Calibri"/>
          <w:lang w:val="en-GB"/>
        </w:rPr>
        <w:t>40-2.94</w:t>
      </w:r>
      <w:r w:rsidRPr="00441D1B">
        <w:rPr>
          <w:rFonts w:cs="Calibri"/>
          <w:lang w:val="en-GB"/>
        </w:rPr>
        <w:t xml:space="preserve">]). </w:t>
      </w:r>
      <w:r w:rsidR="00B77502" w:rsidRPr="00441D1B">
        <w:rPr>
          <w:rFonts w:cs="Calibri"/>
          <w:lang w:val="en-GB"/>
        </w:rPr>
        <w:t>The odds of influenza B was significantly higher when the patient presented with fever (</w:t>
      </w:r>
      <w:r w:rsidR="0036372C" w:rsidRPr="00441D1B">
        <w:rPr>
          <w:rFonts w:cs="Calibri"/>
          <w:lang w:val="en-GB"/>
        </w:rPr>
        <w:t>OR: 4.17, 95% CI: [2.74-6.35]</w:t>
      </w:r>
      <w:r w:rsidR="00B77502" w:rsidRPr="00441D1B">
        <w:rPr>
          <w:rFonts w:cs="Calibri"/>
          <w:lang w:val="en-GB"/>
        </w:rPr>
        <w:t>), without wheezing (OR: 1.76, 95% CI: [1.13-2.74]) or interference with normal activities or work (OR: 3.18, 95% CI: [1.87-5.40]).</w:t>
      </w:r>
      <w:r w:rsidR="00743309" w:rsidRPr="00441D1B">
        <w:rPr>
          <w:rFonts w:cs="Calibri"/>
          <w:lang w:val="en-GB"/>
        </w:rPr>
        <w:t xml:space="preserve"> </w:t>
      </w:r>
      <w:r w:rsidRPr="00441D1B">
        <w:rPr>
          <w:rFonts w:cs="Calibri"/>
          <w:lang w:val="en-GB"/>
        </w:rPr>
        <w:t xml:space="preserve">After accounting for significant </w:t>
      </w:r>
      <w:r w:rsidRPr="00441D1B">
        <w:rPr>
          <w:lang w:val="en-GB"/>
        </w:rPr>
        <w:t>covariates</w:t>
      </w:r>
      <w:r w:rsidRPr="00441D1B">
        <w:rPr>
          <w:rFonts w:cs="Calibri"/>
          <w:lang w:val="en-GB"/>
        </w:rPr>
        <w:t>, the association between the odds of influenza and presenting with fever (OR: 4.</w:t>
      </w:r>
      <w:r w:rsidR="00003CCF" w:rsidRPr="00441D1B">
        <w:rPr>
          <w:rFonts w:cs="Calibri"/>
          <w:lang w:val="en-GB"/>
        </w:rPr>
        <w:t>23</w:t>
      </w:r>
      <w:r w:rsidRPr="00441D1B">
        <w:rPr>
          <w:rFonts w:cs="Calibri"/>
          <w:lang w:val="en-GB"/>
        </w:rPr>
        <w:t>, 95% CI: [</w:t>
      </w:r>
      <w:r w:rsidR="00003CCF" w:rsidRPr="00441D1B">
        <w:rPr>
          <w:rFonts w:cs="Calibri"/>
          <w:lang w:val="en-GB"/>
        </w:rPr>
        <w:t>2.95-6.07</w:t>
      </w:r>
      <w:r w:rsidRPr="00441D1B">
        <w:rPr>
          <w:rFonts w:cs="Calibri"/>
          <w:lang w:val="en-GB"/>
        </w:rPr>
        <w:t>]</w:t>
      </w:r>
      <w:r w:rsidR="00003CCF" w:rsidRPr="00441D1B">
        <w:rPr>
          <w:rFonts w:cs="Calibri"/>
          <w:lang w:val="en-GB"/>
        </w:rPr>
        <w:t xml:space="preserve"> for influenza A,</w:t>
      </w:r>
      <w:r w:rsidR="005B6DC3" w:rsidRPr="00441D1B">
        <w:rPr>
          <w:rFonts w:cs="Calibri"/>
          <w:lang w:val="en-GB"/>
        </w:rPr>
        <w:t xml:space="preserve"> OR: 3.71, 95% CI: [2.37-5.79]</w:t>
      </w:r>
      <w:r w:rsidR="00003CCF" w:rsidRPr="00441D1B">
        <w:rPr>
          <w:rFonts w:cs="Calibri"/>
          <w:lang w:val="en-GB"/>
        </w:rPr>
        <w:t xml:space="preserve"> </w:t>
      </w:r>
      <w:r w:rsidR="005B6DC3" w:rsidRPr="00441D1B">
        <w:rPr>
          <w:rFonts w:cs="Calibri"/>
          <w:lang w:val="en-GB"/>
        </w:rPr>
        <w:t>for influenza B</w:t>
      </w:r>
      <w:r w:rsidRPr="00441D1B">
        <w:rPr>
          <w:rFonts w:cs="Calibri"/>
          <w:lang w:val="en-GB"/>
        </w:rPr>
        <w:t xml:space="preserve">) and interference with normal activities or work (OR: </w:t>
      </w:r>
      <w:r w:rsidR="00F56CF1" w:rsidRPr="00441D1B">
        <w:rPr>
          <w:rFonts w:cs="Calibri"/>
          <w:lang w:val="en-GB"/>
        </w:rPr>
        <w:lastRenderedPageBreak/>
        <w:t>1.65</w:t>
      </w:r>
      <w:r w:rsidRPr="00441D1B">
        <w:rPr>
          <w:rFonts w:cs="Calibri"/>
          <w:lang w:val="en-GB"/>
        </w:rPr>
        <w:t>, 95% CI: [1.</w:t>
      </w:r>
      <w:r w:rsidR="00F56CF1" w:rsidRPr="00441D1B">
        <w:rPr>
          <w:rFonts w:cs="Calibri"/>
          <w:lang w:val="en-GB"/>
        </w:rPr>
        <w:t>12-2.44</w:t>
      </w:r>
      <w:r w:rsidRPr="00441D1B">
        <w:rPr>
          <w:rFonts w:cs="Calibri"/>
          <w:lang w:val="en-GB"/>
        </w:rPr>
        <w:t>]</w:t>
      </w:r>
      <w:r w:rsidR="00F56CF1" w:rsidRPr="00441D1B">
        <w:rPr>
          <w:rFonts w:cs="Calibri"/>
          <w:lang w:val="en-GB"/>
        </w:rPr>
        <w:t xml:space="preserve"> for influenza A, (OR: </w:t>
      </w:r>
      <w:r w:rsidR="00D26A9E" w:rsidRPr="00441D1B">
        <w:rPr>
          <w:rFonts w:cs="Calibri"/>
          <w:lang w:val="en-GB"/>
        </w:rPr>
        <w:t>2.76</w:t>
      </w:r>
      <w:r w:rsidR="00F56CF1" w:rsidRPr="00441D1B">
        <w:rPr>
          <w:rFonts w:cs="Calibri"/>
          <w:lang w:val="en-GB"/>
        </w:rPr>
        <w:t>, 95% CI: [1.</w:t>
      </w:r>
      <w:r w:rsidR="00D26A9E" w:rsidRPr="00441D1B">
        <w:rPr>
          <w:rFonts w:cs="Calibri"/>
          <w:lang w:val="en-GB"/>
        </w:rPr>
        <w:t>59</w:t>
      </w:r>
      <w:r w:rsidR="00F56CF1" w:rsidRPr="00441D1B">
        <w:rPr>
          <w:rFonts w:cs="Calibri"/>
          <w:lang w:val="en-GB"/>
        </w:rPr>
        <w:t>-</w:t>
      </w:r>
      <w:r w:rsidR="00D26A9E" w:rsidRPr="00441D1B">
        <w:rPr>
          <w:rFonts w:cs="Calibri"/>
          <w:lang w:val="en-GB"/>
        </w:rPr>
        <w:t>4.78</w:t>
      </w:r>
      <w:r w:rsidR="00F56CF1" w:rsidRPr="00441D1B">
        <w:rPr>
          <w:rFonts w:cs="Calibri"/>
          <w:lang w:val="en-GB"/>
        </w:rPr>
        <w:t>] for influenza B</w:t>
      </w:r>
      <w:r w:rsidRPr="00441D1B">
        <w:rPr>
          <w:rFonts w:cs="Calibri"/>
          <w:lang w:val="en-GB"/>
        </w:rPr>
        <w:t xml:space="preserve">) remained significant (Table 3). However, </w:t>
      </w:r>
      <w:r w:rsidR="00097FB9" w:rsidRPr="00441D1B">
        <w:rPr>
          <w:rFonts w:cs="Calibri"/>
          <w:lang w:val="en-GB"/>
        </w:rPr>
        <w:t>neither the association with fever (p=</w:t>
      </w:r>
      <w:r w:rsidR="005856E3" w:rsidRPr="00441D1B">
        <w:rPr>
          <w:rFonts w:cs="Calibri"/>
          <w:lang w:val="en-GB"/>
        </w:rPr>
        <w:t>0.4816</w:t>
      </w:r>
      <w:r w:rsidR="00097FB9" w:rsidRPr="00441D1B">
        <w:rPr>
          <w:rFonts w:cs="Calibri"/>
          <w:lang w:val="en-GB"/>
        </w:rPr>
        <w:t xml:space="preserve"> for influenza A and p=</w:t>
      </w:r>
      <w:r w:rsidR="005856E3" w:rsidRPr="00441D1B">
        <w:rPr>
          <w:rFonts w:cs="Calibri"/>
          <w:lang w:val="en-GB"/>
        </w:rPr>
        <w:t>0.3638</w:t>
      </w:r>
      <w:r w:rsidR="00097FB9" w:rsidRPr="00441D1B">
        <w:rPr>
          <w:rFonts w:cs="Calibri"/>
          <w:lang w:val="en-GB"/>
        </w:rPr>
        <w:t xml:space="preserve"> for influenza B) nor the association with interference with normal activities or work (p=</w:t>
      </w:r>
      <w:r w:rsidR="005856E3" w:rsidRPr="00441D1B">
        <w:rPr>
          <w:rFonts w:cs="Calibri"/>
          <w:lang w:val="en-GB"/>
        </w:rPr>
        <w:t>0.7193</w:t>
      </w:r>
      <w:r w:rsidR="00097FB9" w:rsidRPr="00441D1B">
        <w:rPr>
          <w:rFonts w:cs="Calibri"/>
          <w:lang w:val="en-GB"/>
        </w:rPr>
        <w:t xml:space="preserve"> for influenza A and p=0.0732 for influenza B) was associated with age.</w:t>
      </w:r>
    </w:p>
    <w:p w14:paraId="0B30BABC" w14:textId="77777777" w:rsidR="000D3310" w:rsidRPr="00441D1B" w:rsidRDefault="000D3310" w:rsidP="000D3310">
      <w:pPr>
        <w:pStyle w:val="Subtitle"/>
        <w:spacing w:line="480" w:lineRule="auto"/>
        <w:rPr>
          <w:rFonts w:ascii="Calibri" w:hAnsi="Calibri" w:cs="Calibri"/>
          <w:lang w:val="en-GB"/>
        </w:rPr>
      </w:pPr>
      <w:r w:rsidRPr="00441D1B">
        <w:rPr>
          <w:rFonts w:ascii="Calibri" w:hAnsi="Calibri" w:cs="Calibri"/>
          <w:lang w:val="en-GB"/>
        </w:rPr>
        <w:t>Diagnostic value of additional testing</w:t>
      </w:r>
    </w:p>
    <w:p w14:paraId="34D3B261" w14:textId="77777777" w:rsidR="00C51B63" w:rsidRPr="00441D1B" w:rsidRDefault="000D3310" w:rsidP="00C51B63">
      <w:pPr>
        <w:spacing w:line="480" w:lineRule="auto"/>
        <w:rPr>
          <w:rFonts w:cs="Calibri"/>
          <w:lang w:val="en-GB"/>
        </w:rPr>
      </w:pPr>
      <w:r w:rsidRPr="00441D1B">
        <w:rPr>
          <w:rFonts w:cs="Calibri"/>
          <w:lang w:val="en-GB"/>
        </w:rPr>
        <w:t xml:space="preserve">The odds of both RSV and influenza were significantly lower when another virus was detected (OR: 0.23, 95% CI: [0.14-0.35] </w:t>
      </w:r>
      <w:r w:rsidR="003F1270" w:rsidRPr="00441D1B">
        <w:rPr>
          <w:rFonts w:cs="Calibri"/>
          <w:lang w:val="en-GB"/>
        </w:rPr>
        <w:t>for RSV, OR: 0.23, 95% CI: [0.15-0.35] for influenza A and OR: 0.16, 95% CI: [0.09-0.28] for influenza B</w:t>
      </w:r>
      <w:r w:rsidRPr="00441D1B">
        <w:rPr>
          <w:rFonts w:cs="Calibri"/>
          <w:lang w:val="en-GB"/>
        </w:rPr>
        <w:t xml:space="preserve">). After accounting for significant </w:t>
      </w:r>
      <w:r w:rsidRPr="00441D1B">
        <w:rPr>
          <w:lang w:val="en-GB"/>
        </w:rPr>
        <w:t>covariates</w:t>
      </w:r>
      <w:r w:rsidRPr="00441D1B">
        <w:rPr>
          <w:rFonts w:cs="Calibri"/>
          <w:lang w:val="en-GB"/>
        </w:rPr>
        <w:t>, the association between the odds of both RSV and influenza and the presence of another virus remained significant (OR: 0.18, 95% CI: [0.12-0.29]</w:t>
      </w:r>
      <w:r w:rsidR="004C5461" w:rsidRPr="00441D1B">
        <w:rPr>
          <w:rFonts w:cs="Calibri"/>
          <w:lang w:val="en-GB"/>
        </w:rPr>
        <w:t xml:space="preserve"> for RSV,</w:t>
      </w:r>
      <w:r w:rsidRPr="00441D1B">
        <w:rPr>
          <w:rFonts w:cs="Calibri"/>
          <w:lang w:val="en-GB"/>
        </w:rPr>
        <w:t xml:space="preserve"> OR:</w:t>
      </w:r>
      <w:r w:rsidRPr="00441D1B">
        <w:rPr>
          <w:rFonts w:cs="Calibri"/>
          <w:b/>
          <w:lang w:val="en-GB"/>
        </w:rPr>
        <w:t xml:space="preserve"> </w:t>
      </w:r>
      <w:r w:rsidR="004C5461" w:rsidRPr="00441D1B">
        <w:rPr>
          <w:rFonts w:cs="Calibri"/>
          <w:lang w:val="en-GB"/>
        </w:rPr>
        <w:t>0.17</w:t>
      </w:r>
      <w:r w:rsidR="00D6681F" w:rsidRPr="00441D1B">
        <w:rPr>
          <w:rFonts w:cs="Calibri"/>
          <w:lang w:val="en-GB"/>
        </w:rPr>
        <w:t>, 95% CI: [0.11-0.2</w:t>
      </w:r>
      <w:r w:rsidR="004C5461" w:rsidRPr="00441D1B">
        <w:rPr>
          <w:rFonts w:cs="Calibri"/>
          <w:lang w:val="en-GB"/>
        </w:rPr>
        <w:t>6</w:t>
      </w:r>
      <w:r w:rsidR="00D6681F" w:rsidRPr="00441D1B">
        <w:rPr>
          <w:rFonts w:cs="Calibri"/>
          <w:lang w:val="en-GB"/>
        </w:rPr>
        <w:t xml:space="preserve">] </w:t>
      </w:r>
      <w:r w:rsidR="004C5461" w:rsidRPr="00441D1B">
        <w:rPr>
          <w:rFonts w:cs="Calibri"/>
          <w:lang w:val="en-GB"/>
        </w:rPr>
        <w:t xml:space="preserve">for influenza A </w:t>
      </w:r>
      <w:r w:rsidR="00D6681F" w:rsidRPr="00441D1B">
        <w:rPr>
          <w:rFonts w:cs="Calibri"/>
          <w:lang w:val="en-GB"/>
        </w:rPr>
        <w:t>and</w:t>
      </w:r>
      <w:r w:rsidRPr="00441D1B">
        <w:rPr>
          <w:rFonts w:cs="Calibri"/>
          <w:lang w:val="en-GB"/>
        </w:rPr>
        <w:t xml:space="preserve"> </w:t>
      </w:r>
      <w:r w:rsidR="00D6681F" w:rsidRPr="00441D1B">
        <w:rPr>
          <w:rFonts w:cs="Calibri"/>
          <w:lang w:val="en-GB"/>
        </w:rPr>
        <w:t>OR:</w:t>
      </w:r>
      <w:r w:rsidR="00D6681F" w:rsidRPr="00441D1B">
        <w:rPr>
          <w:rFonts w:cs="Calibri"/>
          <w:b/>
          <w:lang w:val="en-GB"/>
        </w:rPr>
        <w:t xml:space="preserve"> </w:t>
      </w:r>
      <w:r w:rsidR="00D6681F" w:rsidRPr="00441D1B">
        <w:rPr>
          <w:rFonts w:cs="Calibri"/>
          <w:lang w:val="en-GB"/>
        </w:rPr>
        <w:t>0.1</w:t>
      </w:r>
      <w:r w:rsidR="004C5461" w:rsidRPr="00441D1B">
        <w:rPr>
          <w:rFonts w:cs="Calibri"/>
          <w:lang w:val="en-GB"/>
        </w:rPr>
        <w:t>0, 95% CI: [0.06</w:t>
      </w:r>
      <w:r w:rsidR="00D6681F" w:rsidRPr="00441D1B">
        <w:rPr>
          <w:rFonts w:cs="Calibri"/>
          <w:lang w:val="en-GB"/>
        </w:rPr>
        <w:t>-0.</w:t>
      </w:r>
      <w:r w:rsidR="004C5461" w:rsidRPr="00441D1B">
        <w:rPr>
          <w:rFonts w:cs="Calibri"/>
          <w:lang w:val="en-GB"/>
        </w:rPr>
        <w:t>19</w:t>
      </w:r>
      <w:r w:rsidR="00D6681F" w:rsidRPr="00441D1B">
        <w:rPr>
          <w:rFonts w:cs="Calibri"/>
          <w:lang w:val="en-GB"/>
        </w:rPr>
        <w:t>]</w:t>
      </w:r>
      <w:r w:rsidR="004C5461" w:rsidRPr="00441D1B">
        <w:rPr>
          <w:rFonts w:cs="Calibri"/>
          <w:lang w:val="en-GB"/>
        </w:rPr>
        <w:t xml:space="preserve"> for influenza B</w:t>
      </w:r>
      <w:r w:rsidRPr="00441D1B">
        <w:rPr>
          <w:rFonts w:cs="Calibri"/>
          <w:lang w:val="en-GB"/>
        </w:rPr>
        <w:t>; Table 3).  However, these associations were not associated with age (p=0.3087</w:t>
      </w:r>
      <w:r w:rsidR="001011D7" w:rsidRPr="00441D1B">
        <w:rPr>
          <w:rFonts w:cs="Calibri"/>
          <w:lang w:val="en-GB"/>
        </w:rPr>
        <w:t>,</w:t>
      </w:r>
      <w:r w:rsidRPr="00441D1B">
        <w:rPr>
          <w:rFonts w:cs="Calibri"/>
          <w:lang w:val="en-GB"/>
        </w:rPr>
        <w:t xml:space="preserve"> p=0.</w:t>
      </w:r>
      <w:r w:rsidR="001011D7" w:rsidRPr="00441D1B">
        <w:rPr>
          <w:rFonts w:cs="Calibri"/>
          <w:lang w:val="en-GB"/>
        </w:rPr>
        <w:t>9828 and p=0.6462</w:t>
      </w:r>
      <w:r w:rsidR="00C51B63" w:rsidRPr="00441D1B">
        <w:rPr>
          <w:rFonts w:cs="Calibri"/>
          <w:lang w:val="en-GB"/>
        </w:rPr>
        <w:t>, respectively).</w:t>
      </w:r>
    </w:p>
    <w:p w14:paraId="67E9DBFE" w14:textId="2698ED29" w:rsidR="00853F67" w:rsidRPr="00441D1B" w:rsidRDefault="00142445" w:rsidP="00C51B63">
      <w:pPr>
        <w:pStyle w:val="Caption"/>
        <w:keepNext/>
        <w:spacing w:line="480" w:lineRule="auto"/>
      </w:pPr>
      <w:r w:rsidRPr="00441D1B">
        <w:t xml:space="preserve">Table </w:t>
      </w:r>
      <w:r w:rsidRPr="00441D1B">
        <w:fldChar w:fldCharType="begin"/>
      </w:r>
      <w:r w:rsidRPr="00441D1B">
        <w:instrText xml:space="preserve"> SEQ Table \* ARABIC </w:instrText>
      </w:r>
      <w:r w:rsidRPr="00441D1B">
        <w:fldChar w:fldCharType="separate"/>
      </w:r>
      <w:r w:rsidRPr="00441D1B">
        <w:t>2</w:t>
      </w:r>
      <w:r w:rsidRPr="00441D1B">
        <w:fldChar w:fldCharType="end"/>
      </w:r>
      <w:r w:rsidRPr="00441D1B">
        <w:t xml:space="preserve">. </w:t>
      </w:r>
      <w:r w:rsidR="00D23C35" w:rsidRPr="00441D1B">
        <w:t>Association of age with</w:t>
      </w:r>
      <w:r w:rsidR="008F616F" w:rsidRPr="00441D1B">
        <w:t xml:space="preserve"> </w:t>
      </w:r>
      <w:r w:rsidR="00B660EE" w:rsidRPr="00441D1B">
        <w:t>the prevalence of</w:t>
      </w:r>
      <w:r w:rsidR="008F616F" w:rsidRPr="00441D1B">
        <w:t xml:space="preserve"> </w:t>
      </w:r>
      <w:r w:rsidR="00B56092" w:rsidRPr="00441D1B">
        <w:t>respiratory syncytial virus (RSV)</w:t>
      </w:r>
      <w:r w:rsidR="00A91CE1" w:rsidRPr="00441D1B">
        <w:t xml:space="preserve"> </w:t>
      </w:r>
      <w:r w:rsidR="00B660EE" w:rsidRPr="00441D1B">
        <w:t>and</w:t>
      </w:r>
      <w:r w:rsidR="00A91CE1" w:rsidRPr="00441D1B">
        <w:t xml:space="preserve"> Influenza</w:t>
      </w:r>
      <w:r w:rsidR="00B660EE" w:rsidRPr="00441D1B">
        <w:t xml:space="preserve"> </w:t>
      </w:r>
      <w:r w:rsidR="00B8766D" w:rsidRPr="00441D1B">
        <w:t xml:space="preserve">virus infection </w:t>
      </w:r>
      <w:r w:rsidR="00B660EE" w:rsidRPr="00441D1B">
        <w:t>among adult acute cough patients in primary care</w:t>
      </w:r>
      <w:r w:rsidR="00A91CE1" w:rsidRPr="00441D1B">
        <w:t>.</w:t>
      </w:r>
    </w:p>
    <w:p w14:paraId="0CB676C8" w14:textId="77777777" w:rsidR="00811467" w:rsidRPr="00441D1B" w:rsidRDefault="00181E6B" w:rsidP="00117FE3">
      <w:pPr>
        <w:pStyle w:val="Caption"/>
        <w:keepNext/>
        <w:spacing w:line="480" w:lineRule="auto"/>
        <w:rPr>
          <w:lang w:val="en-GB"/>
        </w:rPr>
      </w:pPr>
      <w:r w:rsidRPr="00441D1B">
        <w:t xml:space="preserve">Table </w:t>
      </w:r>
      <w:r w:rsidRPr="00441D1B">
        <w:fldChar w:fldCharType="begin"/>
      </w:r>
      <w:r w:rsidRPr="00441D1B">
        <w:instrText xml:space="preserve"> SEQ Table \* ARABIC </w:instrText>
      </w:r>
      <w:r w:rsidRPr="00441D1B">
        <w:fldChar w:fldCharType="separate"/>
      </w:r>
      <w:r w:rsidR="00A20D9B" w:rsidRPr="00441D1B">
        <w:rPr>
          <w:noProof/>
        </w:rPr>
        <w:t>3</w:t>
      </w:r>
      <w:r w:rsidRPr="00441D1B">
        <w:fldChar w:fldCharType="end"/>
      </w:r>
      <w:r w:rsidRPr="00441D1B">
        <w:t xml:space="preserve">. </w:t>
      </w:r>
      <w:r w:rsidR="00350E87" w:rsidRPr="00441D1B">
        <w:t xml:space="preserve">Diagnostic value of patient characteristics, </w:t>
      </w:r>
      <w:r w:rsidR="00265903" w:rsidRPr="00441D1B">
        <w:t xml:space="preserve">presenting </w:t>
      </w:r>
      <w:r w:rsidR="00350E87" w:rsidRPr="00441D1B">
        <w:t xml:space="preserve">symptoms and additional testing in </w:t>
      </w:r>
      <w:r w:rsidR="00B8766D" w:rsidRPr="00441D1B">
        <w:t xml:space="preserve">adult acute cough </w:t>
      </w:r>
      <w:r w:rsidR="00350E87" w:rsidRPr="00441D1B">
        <w:t>patients</w:t>
      </w:r>
      <w:r w:rsidR="00B8766D" w:rsidRPr="00441D1B">
        <w:t xml:space="preserve"> in primary care</w:t>
      </w:r>
      <w:r w:rsidR="00350E87" w:rsidRPr="00441D1B">
        <w:t xml:space="preserve"> that tested positive for respiratory syncytial virus (RSV) or Influenza</w:t>
      </w:r>
      <w:r w:rsidR="00B8766D" w:rsidRPr="00441D1B">
        <w:t xml:space="preserve"> virus</w:t>
      </w:r>
      <w:r w:rsidR="00AC16EB" w:rsidRPr="00441D1B">
        <w:t>.</w:t>
      </w:r>
      <w:r w:rsidR="00811467" w:rsidRPr="00441D1B">
        <w:t xml:space="preserve"> </w:t>
      </w:r>
      <w:r w:rsidR="00241DD4" w:rsidRPr="00441D1B">
        <w:rPr>
          <w:lang w:val="en-GB"/>
        </w:rPr>
        <w:t xml:space="preserve"> </w:t>
      </w:r>
      <w:r w:rsidR="00AA4A6D" w:rsidRPr="00441D1B">
        <w:rPr>
          <w:lang w:val="en-GB"/>
        </w:rPr>
        <w:t xml:space="preserve"> </w:t>
      </w:r>
    </w:p>
    <w:p w14:paraId="0A77A8AB" w14:textId="5EDAD8A7" w:rsidR="00DA7885" w:rsidRPr="00441D1B" w:rsidRDefault="00DA7885" w:rsidP="00117FE3">
      <w:pPr>
        <w:pStyle w:val="Caption"/>
        <w:keepNext/>
        <w:spacing w:line="480" w:lineRule="auto"/>
      </w:pPr>
      <w:r w:rsidRPr="00441D1B">
        <w:t xml:space="preserve">Table </w:t>
      </w:r>
      <w:r w:rsidRPr="00441D1B">
        <w:fldChar w:fldCharType="begin"/>
      </w:r>
      <w:r w:rsidRPr="00441D1B">
        <w:instrText xml:space="preserve"> SEQ Table \* ARABIC </w:instrText>
      </w:r>
      <w:r w:rsidRPr="00441D1B">
        <w:fldChar w:fldCharType="separate"/>
      </w:r>
      <w:r w:rsidR="00142445" w:rsidRPr="00441D1B">
        <w:rPr>
          <w:noProof/>
        </w:rPr>
        <w:t>4</w:t>
      </w:r>
      <w:r w:rsidRPr="00441D1B">
        <w:fldChar w:fldCharType="end"/>
      </w:r>
      <w:r w:rsidRPr="00441D1B">
        <w:t xml:space="preserve">. </w:t>
      </w:r>
      <w:r w:rsidR="00B8766D" w:rsidRPr="00441D1B">
        <w:t>D</w:t>
      </w:r>
      <w:r w:rsidRPr="00441D1B">
        <w:t xml:space="preserve">uration of symptoms after the initial consultation </w:t>
      </w:r>
      <w:r w:rsidR="00CA29FE" w:rsidRPr="00441D1B">
        <w:t xml:space="preserve">(days) in </w:t>
      </w:r>
      <w:r w:rsidR="00802A9D" w:rsidRPr="00441D1B">
        <w:t xml:space="preserve">adult acute cough </w:t>
      </w:r>
      <w:r w:rsidR="00CA29FE" w:rsidRPr="00441D1B">
        <w:t>patients that tested positive for respiratory syncytial virus (RSV) or Influenza</w:t>
      </w:r>
      <w:r w:rsidR="00802A9D" w:rsidRPr="00441D1B">
        <w:t xml:space="preserve"> </w:t>
      </w:r>
      <w:r w:rsidR="00B8766D" w:rsidRPr="00441D1B">
        <w:t xml:space="preserve">virus </w:t>
      </w:r>
      <w:r w:rsidR="00802A9D" w:rsidRPr="00441D1B">
        <w:t>in primary care</w:t>
      </w:r>
      <w:r w:rsidR="00AC16EB" w:rsidRPr="00441D1B">
        <w:t>.</w:t>
      </w:r>
    </w:p>
    <w:p w14:paraId="7EAFF151" w14:textId="5E682285" w:rsidR="008915EA" w:rsidRPr="00441D1B" w:rsidRDefault="008915EA" w:rsidP="00117FE3">
      <w:pPr>
        <w:pStyle w:val="Subtitle"/>
        <w:spacing w:line="480" w:lineRule="auto"/>
        <w:rPr>
          <w:lang w:val="en-GB"/>
        </w:rPr>
      </w:pPr>
      <w:r w:rsidRPr="00441D1B">
        <w:rPr>
          <w:lang w:val="en-GB"/>
        </w:rPr>
        <w:t xml:space="preserve">Illness course: duration of symptoms </w:t>
      </w:r>
    </w:p>
    <w:p w14:paraId="53840626" w14:textId="132F1ECD" w:rsidR="008915EA" w:rsidRPr="00441D1B" w:rsidRDefault="008915EA" w:rsidP="00117FE3">
      <w:pPr>
        <w:spacing w:line="480" w:lineRule="auto"/>
        <w:rPr>
          <w:lang w:val="en-GB"/>
        </w:rPr>
      </w:pPr>
      <w:r w:rsidRPr="00441D1B">
        <w:rPr>
          <w:lang w:val="en-GB"/>
        </w:rPr>
        <w:t xml:space="preserve">Out of the patients that tested positive for RSV, 123 (85.4%) completed their diary. </w:t>
      </w:r>
      <w:r w:rsidR="00CF4A98" w:rsidRPr="00441D1B">
        <w:rPr>
          <w:lang w:val="en-GB"/>
        </w:rPr>
        <w:t>Among</w:t>
      </w:r>
      <w:r w:rsidRPr="00441D1B">
        <w:rPr>
          <w:lang w:val="en-GB"/>
        </w:rPr>
        <w:t xml:space="preserve"> patients that tested positive for influenza</w:t>
      </w:r>
      <w:r w:rsidR="004443FE" w:rsidRPr="00441D1B">
        <w:rPr>
          <w:lang w:val="en-GB"/>
        </w:rPr>
        <w:t xml:space="preserve"> A or B</w:t>
      </w:r>
      <w:r w:rsidRPr="00441D1B">
        <w:rPr>
          <w:lang w:val="en-GB"/>
        </w:rPr>
        <w:t xml:space="preserve">, </w:t>
      </w:r>
      <w:r w:rsidR="004443FE" w:rsidRPr="00441D1B">
        <w:rPr>
          <w:lang w:val="en-GB"/>
        </w:rPr>
        <w:t>138 (82.6</w:t>
      </w:r>
      <w:r w:rsidRPr="00441D1B">
        <w:rPr>
          <w:lang w:val="en-GB"/>
        </w:rPr>
        <w:t>%)</w:t>
      </w:r>
      <w:r w:rsidR="004443FE" w:rsidRPr="00441D1B">
        <w:rPr>
          <w:lang w:val="en-GB"/>
        </w:rPr>
        <w:t xml:space="preserve"> and 89 (</w:t>
      </w:r>
      <w:r w:rsidR="00B83607" w:rsidRPr="00441D1B">
        <w:rPr>
          <w:lang w:val="en-GB"/>
        </w:rPr>
        <w:t>86.4</w:t>
      </w:r>
      <w:r w:rsidR="004443FE" w:rsidRPr="00441D1B">
        <w:rPr>
          <w:lang w:val="en-GB"/>
        </w:rPr>
        <w:t>%), respectively,</w:t>
      </w:r>
      <w:r w:rsidRPr="00441D1B">
        <w:rPr>
          <w:lang w:val="en-GB"/>
        </w:rPr>
        <w:t xml:space="preserve"> completed their diary.</w:t>
      </w:r>
      <w:r w:rsidR="004443FE" w:rsidRPr="00441D1B">
        <w:rPr>
          <w:lang w:val="en-GB"/>
        </w:rPr>
        <w:t xml:space="preserve"> </w:t>
      </w:r>
      <w:r w:rsidR="00CF4A98" w:rsidRPr="00441D1B">
        <w:rPr>
          <w:lang w:val="en-GB"/>
        </w:rPr>
        <w:t>F</w:t>
      </w:r>
      <w:r w:rsidRPr="00441D1B">
        <w:rPr>
          <w:lang w:val="en-GB"/>
        </w:rPr>
        <w:t>our patients</w:t>
      </w:r>
      <w:r w:rsidR="005F2655" w:rsidRPr="00441D1B">
        <w:rPr>
          <w:lang w:val="en-GB"/>
        </w:rPr>
        <w:t xml:space="preserve"> that returned their diary</w:t>
      </w:r>
      <w:r w:rsidRPr="00441D1B">
        <w:rPr>
          <w:lang w:val="en-GB"/>
        </w:rPr>
        <w:t xml:space="preserve"> te</w:t>
      </w:r>
      <w:r w:rsidR="00494989" w:rsidRPr="00441D1B">
        <w:rPr>
          <w:lang w:val="en-GB"/>
        </w:rPr>
        <w:t>sted positive for both RSV and influenza (two influenza A and two influenza B)</w:t>
      </w:r>
      <w:r w:rsidRPr="00441D1B">
        <w:rPr>
          <w:lang w:val="en-GB"/>
        </w:rPr>
        <w:t>.</w:t>
      </w:r>
    </w:p>
    <w:p w14:paraId="11D55BDF" w14:textId="42BECC36" w:rsidR="00A11543" w:rsidRPr="00441D1B" w:rsidRDefault="00B8766D" w:rsidP="00117FE3">
      <w:pPr>
        <w:spacing w:line="480" w:lineRule="auto"/>
        <w:rPr>
          <w:lang w:val="en-GB"/>
        </w:rPr>
      </w:pPr>
      <w:r w:rsidRPr="00441D1B">
        <w:rPr>
          <w:lang w:val="en-GB"/>
        </w:rPr>
        <w:lastRenderedPageBreak/>
        <w:t>For RSV</w:t>
      </w:r>
      <w:r w:rsidR="000921C9" w:rsidRPr="00441D1B">
        <w:rPr>
          <w:lang w:val="en-GB"/>
        </w:rPr>
        <w:t>,</w:t>
      </w:r>
      <w:r w:rsidRPr="00441D1B">
        <w:rPr>
          <w:lang w:val="en-GB"/>
        </w:rPr>
        <w:t xml:space="preserve"> t</w:t>
      </w:r>
      <w:r w:rsidR="00E12CE1" w:rsidRPr="00441D1B">
        <w:rPr>
          <w:lang w:val="en-GB"/>
        </w:rPr>
        <w:t xml:space="preserve">he time until resolution of symptoms was </w:t>
      </w:r>
      <w:r w:rsidR="00E86EA3" w:rsidRPr="00441D1B">
        <w:rPr>
          <w:lang w:val="en-GB"/>
        </w:rPr>
        <w:t>associated with age</w:t>
      </w:r>
      <w:r w:rsidR="00E12CE1" w:rsidRPr="00441D1B">
        <w:rPr>
          <w:lang w:val="en-GB"/>
        </w:rPr>
        <w:t>:</w:t>
      </w:r>
      <w:r w:rsidR="00CE05F9" w:rsidRPr="00441D1B">
        <w:rPr>
          <w:lang w:val="en-GB"/>
        </w:rPr>
        <w:t xml:space="preserve"> the median time until the patient no longer experience</w:t>
      </w:r>
      <w:r w:rsidR="00A733D4" w:rsidRPr="00441D1B">
        <w:rPr>
          <w:lang w:val="en-GB"/>
        </w:rPr>
        <w:t>d</w:t>
      </w:r>
      <w:r w:rsidR="00CE05F9" w:rsidRPr="00441D1B">
        <w:rPr>
          <w:lang w:val="en-GB"/>
        </w:rPr>
        <w:t xml:space="preserve"> shortness of breath </w:t>
      </w:r>
      <w:r w:rsidR="00A733D4" w:rsidRPr="00441D1B">
        <w:rPr>
          <w:lang w:val="en-GB"/>
        </w:rPr>
        <w:t>was</w:t>
      </w:r>
      <w:r w:rsidR="004B0D62" w:rsidRPr="00441D1B">
        <w:rPr>
          <w:lang w:val="en-GB"/>
        </w:rPr>
        <w:t xml:space="preserve"> 70.9% (95% CI: [6.9%-173</w:t>
      </w:r>
      <w:r w:rsidR="00CE05F9" w:rsidRPr="00441D1B">
        <w:rPr>
          <w:lang w:val="en-GB"/>
        </w:rPr>
        <w:t xml:space="preserve">%]) longer in the </w:t>
      </w:r>
      <w:r w:rsidR="00E86EA3" w:rsidRPr="00441D1B">
        <w:rPr>
          <w:lang w:val="en-GB"/>
        </w:rPr>
        <w:t>patients aged 75 years and older</w:t>
      </w:r>
      <w:r w:rsidR="00CE05F9" w:rsidRPr="00441D1B">
        <w:rPr>
          <w:lang w:val="en-GB"/>
        </w:rPr>
        <w:t xml:space="preserve"> when compared to </w:t>
      </w:r>
      <w:r w:rsidR="00E86EA3" w:rsidRPr="00441D1B">
        <w:rPr>
          <w:lang w:val="en-GB"/>
        </w:rPr>
        <w:t>patients aged 18-59 years</w:t>
      </w:r>
      <w:r w:rsidR="00E12CE1" w:rsidRPr="00441D1B">
        <w:rPr>
          <w:lang w:val="en-GB"/>
        </w:rPr>
        <w:t>. Also, t</w:t>
      </w:r>
      <w:r w:rsidR="00A733D4" w:rsidRPr="00441D1B">
        <w:rPr>
          <w:lang w:val="en-GB"/>
        </w:rPr>
        <w:t>he median time until the patient no longer</w:t>
      </w:r>
      <w:r w:rsidR="00ED5204" w:rsidRPr="00441D1B">
        <w:rPr>
          <w:lang w:val="en-GB"/>
        </w:rPr>
        <w:t xml:space="preserve"> experienced a runny nose was 52.2% (95% CI: [9.5%-143.5</w:t>
      </w:r>
      <w:r w:rsidR="00A733D4" w:rsidRPr="00441D1B">
        <w:rPr>
          <w:lang w:val="en-GB"/>
        </w:rPr>
        <w:t xml:space="preserve">%]) longer in </w:t>
      </w:r>
      <w:r w:rsidR="00E86EA3" w:rsidRPr="00441D1B">
        <w:rPr>
          <w:lang w:val="en-GB"/>
        </w:rPr>
        <w:t xml:space="preserve">patients aged 60-74 years </w:t>
      </w:r>
      <w:r w:rsidR="00A733D4" w:rsidRPr="00441D1B">
        <w:rPr>
          <w:lang w:val="en-GB"/>
        </w:rPr>
        <w:t xml:space="preserve">when compared to </w:t>
      </w:r>
      <w:r w:rsidR="00E86EA3" w:rsidRPr="00441D1B">
        <w:rPr>
          <w:lang w:val="en-GB"/>
        </w:rPr>
        <w:t>patients aged 18-59 years</w:t>
      </w:r>
      <w:r w:rsidR="00A733D4" w:rsidRPr="00441D1B">
        <w:rPr>
          <w:lang w:val="en-GB"/>
        </w:rPr>
        <w:t>.</w:t>
      </w:r>
      <w:r w:rsidR="00E12CE1" w:rsidRPr="00441D1B">
        <w:rPr>
          <w:lang w:val="en-GB"/>
        </w:rPr>
        <w:t xml:space="preserve"> </w:t>
      </w:r>
    </w:p>
    <w:p w14:paraId="4CBDD882" w14:textId="16E54DE6" w:rsidR="00A11543" w:rsidRPr="00441D1B" w:rsidRDefault="003D00A1" w:rsidP="00117FE3">
      <w:pPr>
        <w:spacing w:line="480" w:lineRule="auto"/>
        <w:rPr>
          <w:lang w:val="en-GB"/>
        </w:rPr>
      </w:pPr>
      <w:r w:rsidRPr="00441D1B">
        <w:rPr>
          <w:lang w:val="en-GB"/>
        </w:rPr>
        <w:t>For influenza A, the time until resolution of symptoms was not associated with age (Table 4). For influenza B</w:t>
      </w:r>
      <w:r w:rsidR="00A11543" w:rsidRPr="00441D1B">
        <w:rPr>
          <w:lang w:val="en-GB"/>
        </w:rPr>
        <w:t>, the time until resolution of symptoms was associated with age: the median time until the patient no longer experienced</w:t>
      </w:r>
      <w:r w:rsidR="00712390" w:rsidRPr="00441D1B">
        <w:rPr>
          <w:lang w:val="en-GB"/>
        </w:rPr>
        <w:t xml:space="preserve"> </w:t>
      </w:r>
      <w:r w:rsidRPr="00441D1B">
        <w:rPr>
          <w:lang w:val="en-GB"/>
        </w:rPr>
        <w:t>cough</w:t>
      </w:r>
      <w:r w:rsidR="00712390" w:rsidRPr="00441D1B">
        <w:rPr>
          <w:lang w:val="en-GB"/>
        </w:rPr>
        <w:t xml:space="preserve"> was </w:t>
      </w:r>
      <w:r w:rsidRPr="00441D1B">
        <w:rPr>
          <w:lang w:val="en-GB"/>
        </w:rPr>
        <w:t>72.9</w:t>
      </w:r>
      <w:r w:rsidR="00712390" w:rsidRPr="00441D1B">
        <w:rPr>
          <w:lang w:val="en-GB"/>
        </w:rPr>
        <w:t>% (95% CI: [</w:t>
      </w:r>
      <w:r w:rsidRPr="00441D1B">
        <w:rPr>
          <w:lang w:val="en-GB"/>
        </w:rPr>
        <w:t>20.7</w:t>
      </w:r>
      <w:r w:rsidR="00712390" w:rsidRPr="00441D1B">
        <w:rPr>
          <w:lang w:val="en-GB"/>
        </w:rPr>
        <w:t>%-</w:t>
      </w:r>
      <w:r w:rsidRPr="00441D1B">
        <w:rPr>
          <w:lang w:val="en-GB"/>
        </w:rPr>
        <w:t>147.8</w:t>
      </w:r>
      <w:r w:rsidR="00712390" w:rsidRPr="00441D1B">
        <w:rPr>
          <w:lang w:val="en-GB"/>
        </w:rPr>
        <w:t xml:space="preserve">%]) longer in patients aged </w:t>
      </w:r>
      <w:r w:rsidRPr="00441D1B">
        <w:rPr>
          <w:lang w:val="en-GB"/>
        </w:rPr>
        <w:t>60</w:t>
      </w:r>
      <w:r w:rsidR="00712390" w:rsidRPr="00441D1B">
        <w:rPr>
          <w:lang w:val="en-GB"/>
        </w:rPr>
        <w:t>-</w:t>
      </w:r>
      <w:r w:rsidRPr="00441D1B">
        <w:rPr>
          <w:lang w:val="en-GB"/>
        </w:rPr>
        <w:t>74</w:t>
      </w:r>
      <w:r w:rsidR="00712390" w:rsidRPr="00441D1B">
        <w:rPr>
          <w:lang w:val="en-GB"/>
        </w:rPr>
        <w:t xml:space="preserve"> when compared to patients aged</w:t>
      </w:r>
      <w:r w:rsidR="00A11543" w:rsidRPr="00441D1B">
        <w:rPr>
          <w:lang w:val="en-GB"/>
        </w:rPr>
        <w:t xml:space="preserve"> </w:t>
      </w:r>
      <w:r w:rsidRPr="00441D1B">
        <w:rPr>
          <w:lang w:val="en-GB"/>
        </w:rPr>
        <w:t>18-59</w:t>
      </w:r>
      <w:r w:rsidR="00712390" w:rsidRPr="00441D1B">
        <w:rPr>
          <w:lang w:val="en-GB"/>
        </w:rPr>
        <w:t xml:space="preserve"> years</w:t>
      </w:r>
      <w:r w:rsidR="00A06C4E" w:rsidRPr="00441D1B">
        <w:rPr>
          <w:lang w:val="en-GB"/>
        </w:rPr>
        <w:t xml:space="preserve"> (Table 4)</w:t>
      </w:r>
      <w:r w:rsidRPr="00441D1B">
        <w:rPr>
          <w:lang w:val="en-GB"/>
        </w:rPr>
        <w:t>.</w:t>
      </w:r>
    </w:p>
    <w:p w14:paraId="783BDA6A" w14:textId="6A25593D" w:rsidR="00E6200C" w:rsidRPr="00441D1B" w:rsidRDefault="00E6200C" w:rsidP="00117FE3">
      <w:pPr>
        <w:pStyle w:val="Subtitle"/>
        <w:spacing w:line="480" w:lineRule="auto"/>
        <w:rPr>
          <w:lang w:val="en-GB"/>
        </w:rPr>
      </w:pPr>
      <w:r w:rsidRPr="00441D1B">
        <w:rPr>
          <w:lang w:val="en-GB"/>
        </w:rPr>
        <w:t xml:space="preserve">Illness course: unresolved symptoms after 28 days </w:t>
      </w:r>
    </w:p>
    <w:p w14:paraId="5F1851C0" w14:textId="43CAF384" w:rsidR="00933FB8" w:rsidRPr="00441D1B" w:rsidRDefault="00B8766D" w:rsidP="00117FE3">
      <w:pPr>
        <w:spacing w:line="480" w:lineRule="auto"/>
        <w:rPr>
          <w:lang w:val="en-GB"/>
        </w:rPr>
      </w:pPr>
      <w:r w:rsidRPr="00441D1B">
        <w:rPr>
          <w:lang w:val="en-GB"/>
        </w:rPr>
        <w:t>F</w:t>
      </w:r>
      <w:r w:rsidR="00C93C4D" w:rsidRPr="00441D1B">
        <w:rPr>
          <w:lang w:val="en-GB"/>
        </w:rPr>
        <w:t>or RSV</w:t>
      </w:r>
      <w:r w:rsidR="000921C9" w:rsidRPr="00441D1B">
        <w:rPr>
          <w:lang w:val="en-GB"/>
        </w:rPr>
        <w:t>,</w:t>
      </w:r>
      <w:r w:rsidR="00C93C4D" w:rsidRPr="00441D1B">
        <w:rPr>
          <w:lang w:val="en-GB"/>
        </w:rPr>
        <w:t xml:space="preserve"> the odds of unresolved shortness of breath </w:t>
      </w:r>
      <w:r w:rsidRPr="00441D1B">
        <w:rPr>
          <w:lang w:val="en-GB"/>
        </w:rPr>
        <w:t>wa</w:t>
      </w:r>
      <w:r w:rsidR="00C93C4D" w:rsidRPr="00441D1B">
        <w:rPr>
          <w:lang w:val="en-GB"/>
        </w:rPr>
        <w:t xml:space="preserve">s significantly higher in </w:t>
      </w:r>
      <w:r w:rsidR="00AE3D2C" w:rsidRPr="00441D1B">
        <w:rPr>
          <w:lang w:val="en-GB"/>
        </w:rPr>
        <w:t>patients aged 60-74 years</w:t>
      </w:r>
      <w:r w:rsidR="00C93C4D" w:rsidRPr="00441D1B">
        <w:rPr>
          <w:lang w:val="en-GB"/>
        </w:rPr>
        <w:t xml:space="preserve"> (OR: 2.34, 95% CI: [1.04-4.30]) and </w:t>
      </w:r>
      <w:r w:rsidR="00AE3D2C" w:rsidRPr="00441D1B">
        <w:rPr>
          <w:lang w:val="en-GB"/>
        </w:rPr>
        <w:t>patients aged 75 years and older</w:t>
      </w:r>
      <w:r w:rsidR="007C1540" w:rsidRPr="00441D1B">
        <w:rPr>
          <w:lang w:val="en-GB"/>
        </w:rPr>
        <w:t xml:space="preserve"> </w:t>
      </w:r>
      <w:r w:rsidR="00C93C4D" w:rsidRPr="00441D1B">
        <w:rPr>
          <w:lang w:val="en-GB"/>
        </w:rPr>
        <w:t>(OR</w:t>
      </w:r>
      <w:r w:rsidR="007C1540" w:rsidRPr="00441D1B">
        <w:rPr>
          <w:lang w:val="en-GB"/>
        </w:rPr>
        <w:t>: 2.90, 95% CI: [1.31-6.44]) when compared to</w:t>
      </w:r>
      <w:r w:rsidR="00C93C4D" w:rsidRPr="00441D1B">
        <w:rPr>
          <w:lang w:val="en-GB"/>
        </w:rPr>
        <w:t xml:space="preserve"> </w:t>
      </w:r>
      <w:r w:rsidR="00AE3D2C" w:rsidRPr="00441D1B">
        <w:rPr>
          <w:lang w:val="en-GB"/>
        </w:rPr>
        <w:t>patients aged 18-59 years</w:t>
      </w:r>
      <w:r w:rsidR="00A05E05" w:rsidRPr="00441D1B">
        <w:rPr>
          <w:lang w:val="en-GB"/>
        </w:rPr>
        <w:t xml:space="preserve"> (Table 5)</w:t>
      </w:r>
      <w:r w:rsidR="00C93C4D" w:rsidRPr="00441D1B">
        <w:rPr>
          <w:lang w:val="en-GB"/>
        </w:rPr>
        <w:t xml:space="preserve">. Also the odds of an unresolved runny nose (OR: 2.44, 95% CI: [1.09-4.49]) and interference with normal activities or work (OR: 2.56, 95% CI: [1.08-5.39]) was significantly higher in </w:t>
      </w:r>
      <w:r w:rsidR="00D273AF" w:rsidRPr="00441D1B">
        <w:rPr>
          <w:lang w:val="en-GB"/>
        </w:rPr>
        <w:t xml:space="preserve">patients aged 60-74 years </w:t>
      </w:r>
      <w:r w:rsidR="00C93C4D" w:rsidRPr="00441D1B">
        <w:rPr>
          <w:lang w:val="en-GB"/>
        </w:rPr>
        <w:t xml:space="preserve">when compared to </w:t>
      </w:r>
      <w:r w:rsidR="00D273AF" w:rsidRPr="00441D1B">
        <w:rPr>
          <w:lang w:val="en-GB"/>
        </w:rPr>
        <w:t xml:space="preserve">patients aged 18-59 years. </w:t>
      </w:r>
      <w:r w:rsidRPr="00441D1B">
        <w:rPr>
          <w:lang w:val="en-GB"/>
        </w:rPr>
        <w:t>F</w:t>
      </w:r>
      <w:r w:rsidR="00A05E05" w:rsidRPr="00441D1B">
        <w:rPr>
          <w:lang w:val="en-GB"/>
        </w:rPr>
        <w:t xml:space="preserve">or influenza A, the odds of unresolved symptoms was not associated with age. </w:t>
      </w:r>
      <w:r w:rsidR="009B396E" w:rsidRPr="00441D1B">
        <w:rPr>
          <w:lang w:val="en-GB"/>
        </w:rPr>
        <w:t xml:space="preserve">Data were too sparse to draw conclusions for the association between age and the odds of unresolved symptoms for influenza B. </w:t>
      </w:r>
    </w:p>
    <w:p w14:paraId="25B56ACF" w14:textId="278FD0AE" w:rsidR="00465CC1" w:rsidRPr="00441D1B" w:rsidRDefault="00465CC1" w:rsidP="00465CC1">
      <w:pPr>
        <w:pStyle w:val="Caption"/>
        <w:keepNext/>
        <w:spacing w:line="300" w:lineRule="auto"/>
      </w:pPr>
      <w:r w:rsidRPr="00441D1B">
        <w:t xml:space="preserve">Table </w:t>
      </w:r>
      <w:r w:rsidRPr="00441D1B">
        <w:fldChar w:fldCharType="begin"/>
      </w:r>
      <w:r w:rsidRPr="00441D1B">
        <w:instrText xml:space="preserve"> SEQ Table \* ARABIC </w:instrText>
      </w:r>
      <w:r w:rsidRPr="00441D1B">
        <w:fldChar w:fldCharType="separate"/>
      </w:r>
      <w:r w:rsidRPr="00441D1B">
        <w:rPr>
          <w:noProof/>
        </w:rPr>
        <w:t>5</w:t>
      </w:r>
      <w:r w:rsidRPr="00441D1B">
        <w:fldChar w:fldCharType="end"/>
      </w:r>
      <w:r w:rsidRPr="00441D1B">
        <w:t xml:space="preserve">. Unresolved symptoms after 28 days in adult acute cough patients that tested positive for respiratory syncytial virus (RSV) or Influenza virus in primary care. </w:t>
      </w:r>
    </w:p>
    <w:p w14:paraId="033AC8D5" w14:textId="0661FA7A" w:rsidR="0005538B" w:rsidRPr="00441D1B" w:rsidRDefault="0005538B" w:rsidP="00117FE3">
      <w:pPr>
        <w:pStyle w:val="Subtitle"/>
        <w:spacing w:line="480" w:lineRule="auto"/>
        <w:rPr>
          <w:lang w:val="en-GB"/>
        </w:rPr>
      </w:pPr>
      <w:r w:rsidRPr="00441D1B">
        <w:rPr>
          <w:lang w:val="en-GB"/>
        </w:rPr>
        <w:t>Illness course: illness deterioration</w:t>
      </w:r>
    </w:p>
    <w:p w14:paraId="36029489" w14:textId="73D6C17F" w:rsidR="00933FB8" w:rsidRPr="00441D1B" w:rsidRDefault="00B8766D" w:rsidP="00117FE3">
      <w:pPr>
        <w:spacing w:line="480" w:lineRule="auto"/>
        <w:rPr>
          <w:lang w:val="en-GB"/>
        </w:rPr>
      </w:pPr>
      <w:r w:rsidRPr="00441D1B">
        <w:rPr>
          <w:lang w:val="en-GB"/>
        </w:rPr>
        <w:t>F</w:t>
      </w:r>
      <w:r w:rsidR="007F3CEC" w:rsidRPr="00441D1B">
        <w:rPr>
          <w:lang w:val="en-GB"/>
        </w:rPr>
        <w:t>or RSV</w:t>
      </w:r>
      <w:r w:rsidR="000921C9" w:rsidRPr="00441D1B">
        <w:rPr>
          <w:lang w:val="en-GB"/>
        </w:rPr>
        <w:t>,</w:t>
      </w:r>
      <w:r w:rsidR="007F3CEC" w:rsidRPr="00441D1B">
        <w:rPr>
          <w:lang w:val="en-GB"/>
        </w:rPr>
        <w:t xml:space="preserve"> 22.1% (N=27) experienced illness deterioration, which was defined as re</w:t>
      </w:r>
      <w:r w:rsidRPr="00441D1B">
        <w:rPr>
          <w:lang w:val="en-GB"/>
        </w:rPr>
        <w:t>-</w:t>
      </w:r>
      <w:r w:rsidR="007F3CEC" w:rsidRPr="00441D1B">
        <w:rPr>
          <w:lang w:val="en-GB"/>
        </w:rPr>
        <w:t>consultation with new or worsened complaints</w:t>
      </w:r>
      <w:r w:rsidR="00045D7B" w:rsidRPr="00441D1B">
        <w:rPr>
          <w:lang w:val="en-GB"/>
        </w:rPr>
        <w:t xml:space="preserve"> </w:t>
      </w:r>
      <w:r w:rsidR="00B40598" w:rsidRPr="00441D1B">
        <w:rPr>
          <w:lang w:val="en-GB"/>
        </w:rPr>
        <w:t>(N=2</w:t>
      </w:r>
      <w:r w:rsidR="007C1540" w:rsidRPr="00441D1B">
        <w:rPr>
          <w:lang w:val="en-GB"/>
        </w:rPr>
        <w:t>7</w:t>
      </w:r>
      <w:r w:rsidR="00B40598" w:rsidRPr="00441D1B">
        <w:rPr>
          <w:lang w:val="en-GB"/>
        </w:rPr>
        <w:t>)</w:t>
      </w:r>
      <w:r w:rsidR="007F3CEC" w:rsidRPr="00441D1B">
        <w:rPr>
          <w:lang w:val="en-GB"/>
        </w:rPr>
        <w:t xml:space="preserve"> or admission to hospital</w:t>
      </w:r>
      <w:r w:rsidR="007C1540" w:rsidRPr="00441D1B">
        <w:rPr>
          <w:lang w:val="en-GB"/>
        </w:rPr>
        <w:t xml:space="preserve"> (N=1</w:t>
      </w:r>
      <w:r w:rsidR="00B40598" w:rsidRPr="00441D1B">
        <w:rPr>
          <w:lang w:val="en-GB"/>
        </w:rPr>
        <w:t>)</w:t>
      </w:r>
      <w:r w:rsidR="00045D7B" w:rsidRPr="00441D1B">
        <w:rPr>
          <w:lang w:val="en-GB"/>
        </w:rPr>
        <w:t xml:space="preserve"> within 28 days of the initial consultation</w:t>
      </w:r>
      <w:r w:rsidR="007F3CEC" w:rsidRPr="00441D1B">
        <w:rPr>
          <w:lang w:val="en-GB"/>
        </w:rPr>
        <w:t xml:space="preserve">. </w:t>
      </w:r>
      <w:r w:rsidR="007E7DF2" w:rsidRPr="00441D1B">
        <w:rPr>
          <w:lang w:val="en-GB"/>
        </w:rPr>
        <w:t xml:space="preserve">Patients aged 75 years and older </w:t>
      </w:r>
      <w:r w:rsidR="00A20A8D" w:rsidRPr="00441D1B">
        <w:rPr>
          <w:lang w:val="en-GB"/>
        </w:rPr>
        <w:t xml:space="preserve">were at increased risk of illness deterioration when compared to </w:t>
      </w:r>
      <w:r w:rsidR="007E7DF2" w:rsidRPr="00441D1B">
        <w:rPr>
          <w:lang w:val="en-GB"/>
        </w:rPr>
        <w:t>patients aged 18-59 years</w:t>
      </w:r>
      <w:r w:rsidR="00A20A8D" w:rsidRPr="00441D1B">
        <w:rPr>
          <w:lang w:val="en-GB"/>
        </w:rPr>
        <w:t xml:space="preserve"> (OR: 1.98, 95% CI: [1.04-4.64]). </w:t>
      </w:r>
      <w:r w:rsidRPr="00441D1B">
        <w:rPr>
          <w:lang w:val="en-GB"/>
        </w:rPr>
        <w:t>F</w:t>
      </w:r>
      <w:r w:rsidR="00283F2F" w:rsidRPr="00441D1B">
        <w:rPr>
          <w:lang w:val="en-GB"/>
        </w:rPr>
        <w:t>or influenza</w:t>
      </w:r>
      <w:r w:rsidR="00E46C8C" w:rsidRPr="00441D1B">
        <w:rPr>
          <w:lang w:val="en-GB"/>
        </w:rPr>
        <w:t xml:space="preserve"> A</w:t>
      </w:r>
      <w:r w:rsidR="000921C9" w:rsidRPr="00441D1B">
        <w:rPr>
          <w:lang w:val="en-GB"/>
        </w:rPr>
        <w:t>,</w:t>
      </w:r>
      <w:r w:rsidR="00E46C8C" w:rsidRPr="00441D1B">
        <w:rPr>
          <w:lang w:val="en-GB"/>
        </w:rPr>
        <w:t xml:space="preserve"> 17.4% (N=22</w:t>
      </w:r>
      <w:r w:rsidR="00283F2F" w:rsidRPr="00441D1B">
        <w:rPr>
          <w:lang w:val="en-GB"/>
        </w:rPr>
        <w:t xml:space="preserve">) </w:t>
      </w:r>
      <w:r w:rsidR="00283F2F" w:rsidRPr="00441D1B">
        <w:rPr>
          <w:lang w:val="en-GB"/>
        </w:rPr>
        <w:lastRenderedPageBreak/>
        <w:t>experienced illness deterioration</w:t>
      </w:r>
      <w:r w:rsidR="00D837DF" w:rsidRPr="00441D1B">
        <w:rPr>
          <w:lang w:val="en-GB"/>
        </w:rPr>
        <w:t xml:space="preserve"> </w:t>
      </w:r>
      <w:r w:rsidRPr="00441D1B">
        <w:rPr>
          <w:lang w:val="en-GB"/>
        </w:rPr>
        <w:t>(</w:t>
      </w:r>
      <w:r w:rsidR="00D837DF" w:rsidRPr="00441D1B">
        <w:rPr>
          <w:lang w:val="en-GB"/>
        </w:rPr>
        <w:t>re</w:t>
      </w:r>
      <w:r w:rsidRPr="00441D1B">
        <w:rPr>
          <w:lang w:val="en-GB"/>
        </w:rPr>
        <w:t>-</w:t>
      </w:r>
      <w:r w:rsidR="00D837DF" w:rsidRPr="00441D1B">
        <w:rPr>
          <w:lang w:val="en-GB"/>
        </w:rPr>
        <w:t>consultation w</w:t>
      </w:r>
      <w:r w:rsidR="00E46C8C" w:rsidRPr="00441D1B">
        <w:rPr>
          <w:lang w:val="en-GB"/>
        </w:rPr>
        <w:t>ith new or worsened complaints</w:t>
      </w:r>
      <w:r w:rsidRPr="00441D1B">
        <w:rPr>
          <w:lang w:val="en-GB"/>
        </w:rPr>
        <w:t>)</w:t>
      </w:r>
      <w:r w:rsidR="00D837DF" w:rsidRPr="00441D1B">
        <w:rPr>
          <w:lang w:val="en-GB"/>
        </w:rPr>
        <w:t>.</w:t>
      </w:r>
      <w:r w:rsidR="00E46C8C" w:rsidRPr="00441D1B">
        <w:rPr>
          <w:lang w:val="en-GB"/>
        </w:rPr>
        <w:t xml:space="preserve"> For influenza B, 19.5% (N=17) experienced illness deterioration (re-consultation with new or worsened complaints (N=16) or admission to hospital (N=1)).</w:t>
      </w:r>
      <w:r w:rsidR="00283F2F" w:rsidRPr="00441D1B">
        <w:rPr>
          <w:lang w:val="en-GB"/>
        </w:rPr>
        <w:t xml:space="preserve"> The odds of illness deterioration for influenza was not </w:t>
      </w:r>
      <w:r w:rsidR="007E7DF2" w:rsidRPr="00441D1B">
        <w:rPr>
          <w:lang w:val="en-GB"/>
        </w:rPr>
        <w:t>associated with age</w:t>
      </w:r>
      <w:r w:rsidR="00283F2F" w:rsidRPr="00441D1B">
        <w:rPr>
          <w:lang w:val="en-GB"/>
        </w:rPr>
        <w:t xml:space="preserve">. </w:t>
      </w:r>
    </w:p>
    <w:p w14:paraId="10CA0B6B" w14:textId="77777777" w:rsidR="00927021" w:rsidRPr="00441D1B" w:rsidRDefault="00927021" w:rsidP="00117FE3">
      <w:pPr>
        <w:spacing w:line="480" w:lineRule="auto"/>
        <w:rPr>
          <w:lang w:val="en-GB"/>
        </w:rPr>
      </w:pPr>
    </w:p>
    <w:p w14:paraId="68AC3B5E" w14:textId="77777777" w:rsidR="00A37E82" w:rsidRPr="00441D1B" w:rsidRDefault="0090315E" w:rsidP="00A37E82">
      <w:pPr>
        <w:spacing w:line="480" w:lineRule="auto"/>
        <w:rPr>
          <w:b/>
          <w:sz w:val="28"/>
          <w:lang w:val="en-GB"/>
        </w:rPr>
      </w:pPr>
      <w:r w:rsidRPr="00441D1B">
        <w:rPr>
          <w:lang w:val="en-GB"/>
        </w:rPr>
        <w:t xml:space="preserve"> </w:t>
      </w:r>
      <w:r w:rsidR="00A37E82" w:rsidRPr="00441D1B">
        <w:rPr>
          <w:b/>
          <w:sz w:val="28"/>
          <w:lang w:val="en-GB"/>
        </w:rPr>
        <w:t>Discussion</w:t>
      </w:r>
    </w:p>
    <w:p w14:paraId="04627EFF" w14:textId="64A84343" w:rsidR="00BE345A" w:rsidRPr="00441D1B" w:rsidRDefault="0004270A" w:rsidP="00BE345A">
      <w:pPr>
        <w:spacing w:line="480" w:lineRule="auto"/>
        <w:rPr>
          <w:lang w:val="en-GB"/>
        </w:rPr>
      </w:pPr>
      <w:r w:rsidRPr="00441D1B">
        <w:rPr>
          <w:lang w:val="en-GB"/>
        </w:rPr>
        <w:t>We demonstrated that</w:t>
      </w:r>
      <w:r w:rsidR="00A37E82" w:rsidRPr="00441D1B">
        <w:rPr>
          <w:lang w:val="en-GB"/>
        </w:rPr>
        <w:t xml:space="preserve"> the prevalence of RSV was associated with age, </w:t>
      </w:r>
      <w:r w:rsidRPr="00441D1B">
        <w:rPr>
          <w:lang w:val="en-GB"/>
        </w:rPr>
        <w:t xml:space="preserve">while the prevalence of influenza was not. </w:t>
      </w:r>
      <w:r w:rsidR="00A37E82" w:rsidRPr="00441D1B">
        <w:rPr>
          <w:lang w:val="en-GB"/>
        </w:rPr>
        <w:t xml:space="preserve">The diagnostic features of neither RSV nor influenza were associated with age. However, whenever another virus was detected, presence of RSV or influenza was less likely. The duration of symptoms </w:t>
      </w:r>
      <w:r w:rsidRPr="00441D1B">
        <w:rPr>
          <w:lang w:val="en-GB"/>
        </w:rPr>
        <w:t>of RSV</w:t>
      </w:r>
      <w:r w:rsidR="009B396E" w:rsidRPr="00441D1B">
        <w:rPr>
          <w:lang w:val="en-GB"/>
        </w:rPr>
        <w:t xml:space="preserve"> and influenza A</w:t>
      </w:r>
      <w:r w:rsidRPr="00441D1B">
        <w:rPr>
          <w:lang w:val="en-GB"/>
        </w:rPr>
        <w:t>, but not influenza</w:t>
      </w:r>
      <w:r w:rsidR="009B396E" w:rsidRPr="00441D1B">
        <w:rPr>
          <w:lang w:val="en-GB"/>
        </w:rPr>
        <w:t xml:space="preserve"> B</w:t>
      </w:r>
      <w:r w:rsidRPr="00441D1B">
        <w:rPr>
          <w:lang w:val="en-GB"/>
        </w:rPr>
        <w:t xml:space="preserve">, was associated with age. </w:t>
      </w:r>
      <w:r w:rsidR="00BE345A" w:rsidRPr="00441D1B">
        <w:rPr>
          <w:lang w:val="en-GB"/>
        </w:rPr>
        <w:t xml:space="preserve">Symptoms resolution after 28 days was </w:t>
      </w:r>
      <w:r w:rsidRPr="00441D1B">
        <w:rPr>
          <w:lang w:val="en-GB"/>
        </w:rPr>
        <w:t xml:space="preserve">associated with age for RSV, but not </w:t>
      </w:r>
      <w:r w:rsidR="009B396E" w:rsidRPr="00441D1B">
        <w:rPr>
          <w:lang w:val="en-GB"/>
        </w:rPr>
        <w:t xml:space="preserve">for </w:t>
      </w:r>
      <w:r w:rsidRPr="00441D1B">
        <w:rPr>
          <w:lang w:val="en-GB"/>
        </w:rPr>
        <w:t>influenza</w:t>
      </w:r>
      <w:r w:rsidR="009B396E" w:rsidRPr="00441D1B">
        <w:rPr>
          <w:lang w:val="en-GB"/>
        </w:rPr>
        <w:t xml:space="preserve"> A</w:t>
      </w:r>
      <w:r w:rsidRPr="00441D1B">
        <w:rPr>
          <w:lang w:val="en-GB"/>
        </w:rPr>
        <w:t>.</w:t>
      </w:r>
      <w:r w:rsidR="00BE345A" w:rsidRPr="00441D1B">
        <w:rPr>
          <w:lang w:val="en-GB"/>
        </w:rPr>
        <w:t xml:space="preserve"> Illness deterioration was </w:t>
      </w:r>
      <w:r w:rsidRPr="00441D1B">
        <w:rPr>
          <w:lang w:val="en-GB"/>
        </w:rPr>
        <w:t>associated with age for RSV, but not for inf</w:t>
      </w:r>
      <w:r w:rsidR="00BE345A" w:rsidRPr="00441D1B">
        <w:rPr>
          <w:lang w:val="en-GB"/>
        </w:rPr>
        <w:t>luenza</w:t>
      </w:r>
      <w:r w:rsidR="009B396E" w:rsidRPr="00441D1B">
        <w:rPr>
          <w:lang w:val="en-GB"/>
        </w:rPr>
        <w:t>.</w:t>
      </w:r>
    </w:p>
    <w:p w14:paraId="5C231B4B" w14:textId="743B6860" w:rsidR="006B21F6" w:rsidRPr="00441D1B" w:rsidRDefault="006B21F6" w:rsidP="006B21F6">
      <w:pPr>
        <w:spacing w:line="480" w:lineRule="auto"/>
        <w:rPr>
          <w:lang w:val="en-GB"/>
        </w:rPr>
      </w:pPr>
      <w:r w:rsidRPr="00441D1B">
        <w:rPr>
          <w:lang w:val="en-GB"/>
        </w:rPr>
        <w:t xml:space="preserve">The prevalence of RSV among patients aged 18-59 years (4.2%) was low when compared to the prevalence reported by Hall </w:t>
      </w:r>
      <w:r w:rsidRPr="00441D1B">
        <w:rPr>
          <w:i/>
          <w:lang w:val="en-GB"/>
        </w:rPr>
        <w:t>et al.</w:t>
      </w:r>
      <w:r w:rsidRPr="00441D1B">
        <w:rPr>
          <w:lang w:val="en-GB"/>
        </w:rPr>
        <w:t xml:space="preserve"> when focussing on symptomatic cases (6%).</w:t>
      </w:r>
      <w:r w:rsidRPr="00441D1B">
        <w:rPr>
          <w:i/>
          <w:lang w:val="en-GB"/>
        </w:rPr>
        <w:t xml:space="preserve"> </w:t>
      </w:r>
      <w:r w:rsidRPr="00441D1B">
        <w:rPr>
          <w:lang w:val="en-GB"/>
        </w:rPr>
        <w:t xml:space="preserve">However, while we focused on adults presenting to primary care with acute respiratory infection (ARI)-like complaints, Hall </w:t>
      </w:r>
      <w:r w:rsidRPr="00441D1B">
        <w:rPr>
          <w:i/>
          <w:lang w:val="en-GB"/>
        </w:rPr>
        <w:t>et al.</w:t>
      </w:r>
      <w:r w:rsidRPr="00441D1B">
        <w:rPr>
          <w:lang w:val="en-GB"/>
        </w:rPr>
        <w:t xml:space="preserve"> sampled individuals that were included in their study weekly, with RSV positive individuals eligible who would not usually consult their GP </w:t>
      </w:r>
      <w:r w:rsidRPr="00441D1B">
        <w:rPr>
          <w:lang w:val="en-GB"/>
        </w:rPr>
        <w:fldChar w:fldCharType="begin" w:fldLock="1"/>
      </w:r>
      <w:r w:rsidRPr="00441D1B">
        <w:rPr>
          <w:lang w:val="en-GB"/>
        </w:rPr>
        <w:instrText>ADDIN CSL_CITATION {"citationItems":[{"id":"ITEM-1","itemData":{"DOI":"10.1086/322657","ISSN":"1058-4838","author":[{"dropping-particle":"","family":"Hall","given":"Caroline Breese","non-dropping-particle":"","parse-names":false,"suffix":""},{"dropping-particle":"","family":"Long","given":"Christine E.","non-dropping-particle":"","parse-names":false,"suffix":""},{"dropping-particle":"","family":"Schnabel","given":"Kenneth C.","non-dropping-particle":"","parse-names":false,"suffix":""}],"container-title":"Clinical Infectious Diseases","id":"ITEM-1","issue":"6","issued":{"date-parts":[["2001","9","15"]]},"page":"792-796","publisher":"Oxford University Press","title":"Respiratory Syncytial Virus Infections in Previously Healthy Working Adults","type":"article-journal","volume":"33"},"uris":["http://www.mendeley.com/documents/?uuid=c514a264-e16b-42dc-91e2-c0cba6ffae46"]}],"mendeley":{"formattedCitation":"(Hall et al. 2001)","plainTextFormattedCitation":"(Hall et al. 2001)","previouslyFormattedCitation":"(Hall et al. 2001)"},"properties":{"noteIndex":0},"schema":"https://github.com/citation-style-language/schema/raw/master/csl-citation.json"}</w:instrText>
      </w:r>
      <w:r w:rsidRPr="00441D1B">
        <w:rPr>
          <w:lang w:val="en-GB"/>
        </w:rPr>
        <w:fldChar w:fldCharType="separate"/>
      </w:r>
      <w:r w:rsidRPr="00441D1B">
        <w:rPr>
          <w:noProof/>
          <w:lang w:val="en-GB"/>
        </w:rPr>
        <w:t>(Hall et al. 2001)</w:t>
      </w:r>
      <w:r w:rsidRPr="00441D1B">
        <w:rPr>
          <w:lang w:val="en-GB"/>
        </w:rPr>
        <w:fldChar w:fldCharType="end"/>
      </w:r>
      <w:r w:rsidRPr="00441D1B">
        <w:rPr>
          <w:lang w:val="en-GB"/>
        </w:rPr>
        <w:t xml:space="preserve">. The prevalence of influenza among patients aged 18-59 years (12.2%) was close to the prevalence reported by Chlíbek </w:t>
      </w:r>
      <w:r w:rsidRPr="00441D1B">
        <w:rPr>
          <w:i/>
          <w:lang w:val="en-GB"/>
        </w:rPr>
        <w:t>et al.</w:t>
      </w:r>
      <w:r w:rsidRPr="00441D1B">
        <w:rPr>
          <w:lang w:val="en-GB"/>
        </w:rPr>
        <w:t xml:space="preserve"> (11.5%). </w:t>
      </w:r>
    </w:p>
    <w:p w14:paraId="49DAED6E" w14:textId="60576AD2" w:rsidR="006B21F6" w:rsidRPr="00441D1B" w:rsidRDefault="006B21F6" w:rsidP="006B21F6">
      <w:pPr>
        <w:spacing w:line="480" w:lineRule="auto"/>
        <w:rPr>
          <w:lang w:val="en-GB"/>
        </w:rPr>
      </w:pPr>
      <w:r w:rsidRPr="00441D1B">
        <w:rPr>
          <w:lang w:val="en-GB"/>
        </w:rPr>
        <w:t xml:space="preserve">The prevalence of RSV among patients aged 60 years and older (5.9%) was high when compared to the prevalence reported by Nicholson </w:t>
      </w:r>
      <w:r w:rsidRPr="00441D1B">
        <w:rPr>
          <w:i/>
          <w:lang w:val="en-GB"/>
        </w:rPr>
        <w:t>et al.</w:t>
      </w:r>
      <w:r w:rsidRPr="00441D1B">
        <w:rPr>
          <w:lang w:val="en-GB"/>
        </w:rPr>
        <w:t xml:space="preserve"> (3.4% of illness episodes). Also the prevalence of influenza among patients aged 60 years and older (6.3%) was high when compared to the prevalence reported by Nicholson </w:t>
      </w:r>
      <w:r w:rsidRPr="00441D1B">
        <w:rPr>
          <w:i/>
          <w:lang w:val="en-GB"/>
        </w:rPr>
        <w:t>et al.</w:t>
      </w:r>
      <w:r w:rsidRPr="00441D1B">
        <w:rPr>
          <w:lang w:val="en-GB"/>
        </w:rPr>
        <w:t xml:space="preserve"> (4.4% of illness episodes). However, while we included adults with acute cough or other signs of LRTI, Nicholson </w:t>
      </w:r>
      <w:r w:rsidRPr="00441D1B">
        <w:rPr>
          <w:i/>
          <w:lang w:val="en-GB"/>
        </w:rPr>
        <w:t>et al.</w:t>
      </w:r>
      <w:r w:rsidRPr="00441D1B">
        <w:rPr>
          <w:lang w:val="en-GB"/>
        </w:rPr>
        <w:t xml:space="preserve"> also included patients with symptoms such as earache, face ache and gritty eyes, which are less common in RSV or influenza </w:t>
      </w:r>
      <w:r w:rsidR="00015797" w:rsidRPr="00441D1B">
        <w:rPr>
          <w:lang w:val="en-GB"/>
        </w:rPr>
        <w:t xml:space="preserve">infection </w:t>
      </w:r>
      <w:r w:rsidRPr="00441D1B">
        <w:rPr>
          <w:lang w:val="en-GB"/>
        </w:rPr>
        <w:fldChar w:fldCharType="begin" w:fldLock="1"/>
      </w:r>
      <w:r w:rsidRPr="00441D1B">
        <w:rPr>
          <w:lang w:val="en-GB"/>
        </w:rPr>
        <w:instrText>ADDIN CSL_CITATION {"citationItems":[{"id":"ITEM-1","itemData":{"DOI":"10.1136/bmj.315.7115.1060","ISSN":"0959-8138","PMID":"9366736","abstract":"OBJECTIVE To evaluate the disease burden of upper respiratory infections in elderly people living at home. DESIGN Prospective surveillance of elderly people. INTERVENTION None. SETTING Leicestershire, England SUBJECTS 533 subjects 60 to 90 years of age. MAIN OUTCOME MEASURES Pathogens, symptoms, restriction of activity, duration of illness, medical consultations, interval between onset of illness and medical consultation, antibiotic use, admission to hospital, and death. RESULTS 231 pathogens were identified for 211 (43%) of 497 episodes for which diagnostic specimens were available: 121 (52%) were rhinoviruses, 59 (26%) were coronaviruses, 22 (9.5%) were influenza A or B, 17 (7%) were respiratory syncytial virus, 7 (3%) were parainfluenza viruses, and 3 (1%) were Chlamydia species; an adenovirus and Mycoplasma pneumoniae caused one infection each. Infections occurred at a rate of 1.2 episodes per person per annum (95% confidence interval 1.0 to 1.7; range 0-10) and were clinically indistinguishable. Lower respiratory tract symptoms complicated 65% of upper respiratory infections and increased the medical consultation rate 2.4-fold (chi 2 test P &lt; 0.001). The median interval between onset of illness and medical consultation was 3 days for influenza and 5 days for other infections. Rhinoviruses caused the greatest disease burden overall followed by episodes of unknown aetiology, coronaviruses, influenza A and B, and respiratory syncytial virus. CONCLUSIONS Respiratory viruses cause substantial morbidity in elderly people. Although respiratory syncytial virus and influenza cause considerable individual morbidity, the burden of disease from rhinovirus infections and infections of unknown aetiology seems greater overall. The interval between onset of illness and consultation together with diagnostic difficulties raises concern regarding the role of antiviral drugs in treating influenza.","author":[{"dropping-particle":"","family":"Nicholson","given":"K G","non-dropping-particle":"","parse-names":false,"suffix":""},{"dropping-particle":"","family":"Kent","given":"J","non-dropping-particle":"","parse-names":false,"suffix":""},{"dropping-particle":"","family":"Hammersley","given":"V","non-dropping-particle":"","parse-names":false,"suffix":""},{"dropping-particle":"","family":"Cancio","given":"E","non-dropping-particle":"","parse-names":false,"suffix":""}],"container-title":"BMJ (Clinical research ed.)","id":"ITEM-1","issue":"7115","issued":{"date-parts":[["1997","10","25"]]},"page":"1060-4","publisher":"British Medical Journal Publishing Group","title":"Acute viral infections of upper respiratory tract in elderly people living in the community: comparative, prospective, population based study of disease burden.","type":"article-journal","volume":"315"},"uris":["http://www.mendeley.com/documents/?uuid=87aebae3-effa-362e-b812-4f31f8741786"]}],"mendeley":{"formattedCitation":"(Nicholson et al. 1997)","plainTextFormattedCitation":"(Nicholson et al. 1997)","previouslyFormattedCitation":"(Nicholson et al. 1997)"},"properties":{"noteIndex":0},"schema":"https://github.com/citation-style-language/schema/raw/master/csl-citation.json"}</w:instrText>
      </w:r>
      <w:r w:rsidRPr="00441D1B">
        <w:rPr>
          <w:lang w:val="en-GB"/>
        </w:rPr>
        <w:fldChar w:fldCharType="separate"/>
      </w:r>
      <w:r w:rsidRPr="00441D1B">
        <w:rPr>
          <w:noProof/>
          <w:lang w:val="en-GB"/>
        </w:rPr>
        <w:t xml:space="preserve">(Nicholson et al. </w:t>
      </w:r>
      <w:r w:rsidRPr="00441D1B">
        <w:rPr>
          <w:noProof/>
          <w:lang w:val="en-GB"/>
        </w:rPr>
        <w:lastRenderedPageBreak/>
        <w:t>1997)</w:t>
      </w:r>
      <w:r w:rsidRPr="00441D1B">
        <w:rPr>
          <w:lang w:val="en-GB"/>
        </w:rPr>
        <w:fldChar w:fldCharType="end"/>
      </w:r>
      <w:r w:rsidR="00015797" w:rsidRPr="00441D1B">
        <w:rPr>
          <w:lang w:val="en-GB"/>
        </w:rPr>
        <w:t>.</w:t>
      </w:r>
      <w:r w:rsidRPr="00441D1B">
        <w:rPr>
          <w:lang w:val="en-GB"/>
        </w:rPr>
        <w:t xml:space="preserve"> Falsey </w:t>
      </w:r>
      <w:r w:rsidRPr="00441D1B">
        <w:rPr>
          <w:i/>
          <w:lang w:val="en-GB"/>
        </w:rPr>
        <w:t>et al</w:t>
      </w:r>
      <w:r w:rsidRPr="00441D1B">
        <w:rPr>
          <w:lang w:val="en-GB"/>
        </w:rPr>
        <w:t xml:space="preserve">. reported a higher prevalence of RSV (8.9% of illness cases) and influenza (6.0% of illness cases). This is not unexpected, as Falsey </w:t>
      </w:r>
      <w:r w:rsidRPr="00441D1B">
        <w:rPr>
          <w:i/>
          <w:lang w:val="en-GB"/>
        </w:rPr>
        <w:t>et al.</w:t>
      </w:r>
      <w:r w:rsidRPr="00441D1B">
        <w:rPr>
          <w:lang w:val="en-GB"/>
        </w:rPr>
        <w:t xml:space="preserve"> contacted participating individuals weekly, hence also including RSV and influenza positive patients that might not have visited their GP on their own initiative. While the influenza prevalence reported by Falsey </w:t>
      </w:r>
      <w:r w:rsidRPr="00441D1B">
        <w:rPr>
          <w:i/>
          <w:lang w:val="en-GB"/>
        </w:rPr>
        <w:t>et al.</w:t>
      </w:r>
      <w:r w:rsidRPr="00441D1B">
        <w:rPr>
          <w:lang w:val="en-GB"/>
        </w:rPr>
        <w:t xml:space="preserve"> approaches ours, the prevalence of RSV is dissimilar, suggesting that influenza positive patients are more likely to consult their GP compared to RSV positive patients. A finding which is corroborated by the importance of interference with normal activities of work in influenza but not RSV (Table </w:t>
      </w:r>
      <w:r w:rsidR="00662D36" w:rsidRPr="00441D1B">
        <w:rPr>
          <w:lang w:val="en-GB"/>
        </w:rPr>
        <w:t>3</w:t>
      </w:r>
      <w:r w:rsidRPr="00441D1B">
        <w:rPr>
          <w:lang w:val="en-GB"/>
        </w:rPr>
        <w:t>). In addition to health care system accessibility characteristics, any in-depth cross-country comparison of influenza prevalence would need to carefully consider differences arising from different intensities of included influenza seasons, different vaccine efficacies for these seasons and different vaccination coverage rates by age.</w:t>
      </w:r>
    </w:p>
    <w:p w14:paraId="6ED35EFD" w14:textId="5D8D8C0E" w:rsidR="006B21F6" w:rsidRPr="00441D1B" w:rsidRDefault="006B21F6" w:rsidP="006B21F6">
      <w:pPr>
        <w:spacing w:line="480" w:lineRule="auto"/>
        <w:rPr>
          <w:lang w:val="en-GB"/>
        </w:rPr>
      </w:pPr>
      <w:r w:rsidRPr="00441D1B">
        <w:rPr>
          <w:lang w:val="en-GB"/>
        </w:rPr>
        <w:t xml:space="preserve">The most recent estimates for patients aged 60 years and older we could find in the current literature are those reported by Belongia </w:t>
      </w:r>
      <w:r w:rsidRPr="00441D1B">
        <w:rPr>
          <w:i/>
          <w:lang w:val="en-GB"/>
        </w:rPr>
        <w:t>et al.</w:t>
      </w:r>
      <w:r w:rsidRPr="00441D1B">
        <w:rPr>
          <w:lang w:val="en-GB"/>
        </w:rPr>
        <w:t xml:space="preserve"> Both for RSV (10.8%) and for influenza (23.0%), their reported prevalence was higher than the prevalence we reported. However, even though both studies focused on patients presenting with ARI-like complaints, we included only outpatients while Belongia </w:t>
      </w:r>
      <w:r w:rsidRPr="00441D1B">
        <w:rPr>
          <w:i/>
          <w:lang w:val="en-GB"/>
        </w:rPr>
        <w:t xml:space="preserve">et al. </w:t>
      </w:r>
      <w:r w:rsidRPr="00441D1B">
        <w:rPr>
          <w:lang w:val="en-GB"/>
        </w:rPr>
        <w:t>included both in- and outpatients, making a direct comparison invalid</w:t>
      </w:r>
      <w:r w:rsidR="00A83DEE" w:rsidRPr="00441D1B">
        <w:rPr>
          <w:lang w:val="en-GB"/>
        </w:rPr>
        <w:t xml:space="preserve"> </w:t>
      </w:r>
      <w:r w:rsidRPr="00441D1B">
        <w:rPr>
          <w:lang w:val="en-GB"/>
        </w:rPr>
        <w:fldChar w:fldCharType="begin" w:fldLock="1"/>
      </w:r>
      <w:r w:rsidRPr="00441D1B">
        <w:rPr>
          <w:lang w:val="en-GB"/>
        </w:rPr>
        <w:instrText>ADDIN CSL_CITATION {"citationItems":[{"id":"ITEM-1","itemData":{"DOI":"10.1093/ofid/ofy316","ISSN":"2328-8957","author":[{"dropping-particle":"","family":"Belongia","given":"Edward A","non-dropping-particle":"","parse-names":false,"suffix":""},{"dropping-particle":"","family":"King","given":"Jennifer P","non-dropping-particle":"","parse-names":false,"suffix":""},{"dropping-particle":"","family":"Kieke","given":"Burney A","non-dropping-particle":"","parse-names":false,"suffix":""},{"dropping-particle":"","family":"Pluta","given":"Joanna","non-dropping-particle":"","parse-names":false,"suffix":""},{"dropping-particle":"","family":"Al-Hilli","given":"Ali","non-dropping-particle":"","parse-names":false,"suffix":""},{"dropping-particle":"","family":"Meece","given":"Jennifer K","non-dropping-particle":"","parse-names":false,"suffix":""},{"dropping-particle":"","family":"Shinde","given":"Vivek","non-dropping-particle":"","parse-names":false,"suffix":""}],"container-title":"Open Forum Infectious Diseases","id":"ITEM-1","issue":"12","issued":{"date-parts":[["2018","12","1"]]},"publisher":"Narnia","title":"Clinical Features, Severity, and Incidence of RSV Illness During 12 Consecutive Seasons in a Community Cohort of Adults ≥60 Years Old","type":"article-journal","volume":"5"},"uris":["http://www.mendeley.com/documents/?uuid=bce32585-6879-3621-97f0-57ff7573be80"]}],"mendeley":{"formattedCitation":"(Belongia et al. 2018b)","plainTextFormattedCitation":"(Belongia et al. 2018b)","previouslyFormattedCitation":"(Belongia et al. 2018b)"},"properties":{"noteIndex":0},"schema":"https://github.com/citation-style-language/schema/raw/master/csl-citation.json"}</w:instrText>
      </w:r>
      <w:r w:rsidRPr="00441D1B">
        <w:rPr>
          <w:lang w:val="en-GB"/>
        </w:rPr>
        <w:fldChar w:fldCharType="separate"/>
      </w:r>
      <w:r w:rsidRPr="00441D1B">
        <w:rPr>
          <w:noProof/>
          <w:lang w:val="en-GB"/>
        </w:rPr>
        <w:t>(Belongia et al. 2018b)</w:t>
      </w:r>
      <w:r w:rsidRPr="00441D1B">
        <w:rPr>
          <w:lang w:val="en-GB"/>
        </w:rPr>
        <w:fldChar w:fldCharType="end"/>
      </w:r>
      <w:r w:rsidR="00A83DEE" w:rsidRPr="00441D1B">
        <w:rPr>
          <w:lang w:val="en-GB"/>
        </w:rPr>
        <w:t>.</w:t>
      </w:r>
    </w:p>
    <w:p w14:paraId="4C8F6018" w14:textId="551FBCDF" w:rsidR="006B21F6" w:rsidRPr="00441D1B" w:rsidRDefault="006B21F6" w:rsidP="00BE345A">
      <w:pPr>
        <w:spacing w:line="480" w:lineRule="auto"/>
        <w:rPr>
          <w:lang w:val="en-GB"/>
        </w:rPr>
      </w:pPr>
      <w:r w:rsidRPr="00441D1B">
        <w:rPr>
          <w:lang w:val="en-GB"/>
        </w:rPr>
        <w:t xml:space="preserve">Diagnosing RSV or influenza was significantly less likely when another virus was detected. This corresponds with findings by other authors. Shinjoh </w:t>
      </w:r>
      <w:r w:rsidRPr="00441D1B">
        <w:rPr>
          <w:i/>
          <w:lang w:val="en-GB"/>
        </w:rPr>
        <w:t>et al.</w:t>
      </w:r>
      <w:r w:rsidRPr="00441D1B">
        <w:rPr>
          <w:lang w:val="en-GB"/>
        </w:rPr>
        <w:t xml:space="preserve"> showed that the growth of RSV is blocked by coin</w:t>
      </w:r>
      <w:r w:rsidR="00373F03" w:rsidRPr="00441D1B">
        <w:rPr>
          <w:lang w:val="en-GB"/>
        </w:rPr>
        <w:t xml:space="preserve">fection with influenza in vitro </w:t>
      </w:r>
      <w:r w:rsidRPr="00441D1B">
        <w:rPr>
          <w:lang w:val="en-GB"/>
        </w:rPr>
        <w:fldChar w:fldCharType="begin" w:fldLock="1"/>
      </w:r>
      <w:r w:rsidRPr="00441D1B">
        <w:rPr>
          <w:lang w:val="en-GB"/>
        </w:rPr>
        <w:instrText>ADDIN CSL_CITATION {"citationItems":[{"id":"ITEM-1","itemData":{"ISSN":"0001-723X","PMID":"10989700","abstract":"To elucidate epidemiological interference between respiratory syncytial (RSV) and influenza viruses, the influence of influenza A (HlN1) virus on the growth of RSV was examined. Although RSV grew in MDCK cells, coinfection with influenza A virus led to a reduction of progeny RSV. The degree of growth interference depended on the time of infection with influenza A virus post infection (p.i.) with RSV. In fact, infection with influenza A virus 12 hrs p.i. with RSV did not influence growth of the latter virus. On the contrary, growth suppression of influenza A virus by RSV was observed when the coinfection began at the later stages of RSV infection. Suppression of the growth of RSV by influenza A infection was further demonstrated at the level of viral protein synthesis. An indirect immunofluorescence (IF) test revealed that a large proportion of infected cells synthesized both RSV and influenza A virus antigens. Scanning electron microscopic (SEM) examination demonstrated that influenza A and RSV virions possessing surface antigens specific for each virus were selectively released from dually infected cells. In the present study, we proved for the first time that the growth of RSV is blocked by competitive infection with influenza A virus in a susceptible cell population, competitive protein synthesis and selective budding of RSV and influenza viruses from the same infected cells.","author":[{"dropping-particle":"","family":"Shinjoh","given":"M","non-dropping-particle":"","parse-names":false,"suffix":""},{"dropping-particle":"","family":"Omoe","given":"K","non-dropping-particle":"","parse-names":false,"suffix":""},{"dropping-particle":"","family":"Saito","given":"N","non-dropping-particle":"","parse-names":false,"suffix":""},{"dropping-particle":"","family":"Matsuo","given":"N","non-dropping-particle":"","parse-names":false,"suffix":""},{"dropping-particle":"","family":"Nerome","given":"K","non-dropping-particle":"","parse-names":false,"suffix":""}],"container-title":"Acta virologica","id":"ITEM-1","issue":"2","issued":{"date-parts":[["2000","4"]]},"page":"91-7","title":"In vitro growth profiles of respiratory syncytial virus in the presence of influenza virus.","type":"article-journal","volume":"44"},"uris":["http://www.mendeley.com/documents/?uuid=be351717-ca47-31f1-b79e-ed3c720ba2ba"]}],"mendeley":{"formattedCitation":"(Shinjoh et al. 2000)","plainTextFormattedCitation":"(Shinjoh et al. 2000)","previouslyFormattedCitation":"(Shinjoh et al. 2000)"},"properties":{"noteIndex":0},"schema":"https://github.com/citation-style-language/schema/raw/master/csl-citation.json"}</w:instrText>
      </w:r>
      <w:r w:rsidRPr="00441D1B">
        <w:rPr>
          <w:lang w:val="en-GB"/>
        </w:rPr>
        <w:fldChar w:fldCharType="separate"/>
      </w:r>
      <w:r w:rsidRPr="00441D1B">
        <w:rPr>
          <w:noProof/>
          <w:lang w:val="en-GB"/>
        </w:rPr>
        <w:t>(Shinjoh et al. 2000)</w:t>
      </w:r>
      <w:r w:rsidRPr="00441D1B">
        <w:rPr>
          <w:lang w:val="en-GB"/>
        </w:rPr>
        <w:fldChar w:fldCharType="end"/>
      </w:r>
      <w:r w:rsidR="00373F03" w:rsidRPr="00441D1B">
        <w:rPr>
          <w:lang w:val="en-GB"/>
        </w:rPr>
        <w:t>.</w:t>
      </w:r>
      <w:r w:rsidRPr="00441D1B">
        <w:rPr>
          <w:lang w:val="en-GB"/>
        </w:rPr>
        <w:t xml:space="preserve"> Also in vivo, RSV epidemics have been known to be interrupted by influenza epidemics</w:t>
      </w:r>
      <w:r w:rsidR="00373F03" w:rsidRPr="00441D1B">
        <w:rPr>
          <w:lang w:val="en-GB"/>
        </w:rPr>
        <w:t xml:space="preserve"> </w:t>
      </w:r>
      <w:r w:rsidRPr="00441D1B">
        <w:rPr>
          <w:lang w:val="en-GB"/>
        </w:rPr>
        <w:fldChar w:fldCharType="begin" w:fldLock="1"/>
      </w:r>
      <w:r w:rsidRPr="00441D1B">
        <w:rPr>
          <w:lang w:val="en-GB"/>
        </w:rPr>
        <w:instrText>ADDIN CSL_CITATION {"citationItems":[{"id":"ITEM-1","itemData":{"ISSN":"0140-6736","PMID":"6121154","author":[{"dropping-particle":"","family":"Anestad","given":"G","non-dropping-particle":"","parse-names":false,"suffix":""}],"container-title":"Lancet (London, England)","id":"ITEM-1","issue":"8270","issued":{"date-parts":[["1982","2","27"]]},"page":"502","title":"Interference between outbreaks of respiratory syncytial virus and influenza virus infection.","type":"article-journal","volume":"1"},"uris":["http://www.mendeley.com/documents/?uuid=241c13e6-e6ef-3c08-bbd7-33c62589e0ac"]},{"id":"ITEM-2","itemData":{"DOI":"10.1017/s0950268800068023","ISSN":"0950-2688","PMID":"2824225","abstract":"During the 7-year period from September 1978 to August 1985, smear specimens of nasopharyngeal secretions from 3132 patients mainly hospitalized children, taken in different regions in Norway, were examined for respiratory viruses by the rapid immunofluorescence (IF) technique. A positive diagnosis for respiratory syncytial virus (RSV), parainfluenza virus type 1, 2 and 3 or influenza A and B virus was made for 896 patients (29%). The greatest prevalence for all these viruses was observed during the colder months with only sporadic cases during the summer months. A relative increase in parainfluenza virus activity, involving several parainfluenza virus types, was observed in every second autumn and during these periods only sporadic cases of RSV infection were diagnosed. Also both RSV and parainfluenza viruses were less frequently found during influenza virus epidemics and regional differences in RSV activity were observed. During the four autumn periods 1982-85 the monthly number of positive virus identifications by IF followed an epidemic curve, while the corresponding number of negative samples was relatively constant. The results of this study suggest interference between RSV, parainfluenza viruses and influenza virus in reaching their epidemiological peaks. It is suggested that interferon might be a mediator of this effect.","author":[{"dropping-particle":"","family":"Anestad","given":"G","non-dropping-particle":"","parse-names":false,"suffix":""}],"container-title":"Epidemiology and infection","id":"ITEM-2","issue":"2","issued":{"date-parts":[["1987","10"]]},"page":"523-31","title":"Surveillance of respiratory viral infections by rapid immunofluorescence diagnosis, with emphasis on virus interference.","type":"article-journal","volume":"99"},"uris":["http://www.mendeley.com/documents/?uuid=8a7e4f55-4572-3932-b7ca-9095cf0fa675"]},{"id":"ITEM-3","itemData":{"DOI":"10.1111/j.1442-200x.2005.02099.x","ISSN":"1328-8067","PMID":"16091079","abstract":"BACKGROUND Respiratory syncytial virus (RSV) and influenza virus are the primary pathogens of respiratory tract infection. However, epidemics of influenza virus infection have been observed to interrupt RSV epidemics (termed an epidemiological interference effect). METHODS At a clinic in Tsuna county, Hyogo prefecture, Japan, a total of 1262 outpatients under 6 years of age with lower respiratory tract infection due to RSV (RSV-LRTI) and upper respiratory tract infection due to influenza virus (FLU-URTI) in three successive winter seasons (1999-2000, 2000-2001 and 2001-2002) were analyzed. RESULTS The RSV-LRTI epidemic and FLU-URTI epidemic overlapped in each season, but the RSV-LRTI epidemic peak preceded that of the FLU-URTI epidemic. Epidemiological interference between RSV and influenza virus was observed in the second and third season; the number of patients with RSV-LRTI began to decrease after the start of the FLU-URTI epidemic and recovered to some extent after the FLU-URTI epidemic passed its peak. There were no differences in onset age, male-to-female ratio and severity of RSV-LRTI in outpatients before and after the start of the FLU-URTI epidemic in all the three seasons. CONCLUSION An epidemiological interference between RSV and influenza virus was observed in Tsuna county in two of the three winter seasons. However, there was no difference between the clinical features of the patients with RSV-LRTI before and after the start of the influenza virus infection epidemic. The data suggest that the clinical severity of RSV infection is not changed by the epidemiological interference effect of influenza virus infection epidemics.","author":[{"dropping-particle":"","family":"Nishimura","given":"Nozomi","non-dropping-particle":"","parse-names":false,"suffix":""},{"dropping-particle":"","family":"Nishio","given":"Hisahide","non-dropping-particle":"","parse-names":false,"suffix":""},{"dropping-particle":"","family":"Lee","given":"Myeong Jin","non-dropping-particle":"","parse-names":false,"suffix":""},{"dropping-particle":"","family":"Uemura","given":"Kanjiro","non-dropping-particle":"","parse-names":false,"suffix":""}],"container-title":"Pediatrics International","id":"ITEM-3","issue":"4","issued":{"date-parts":[["2005","8"]]},"page":"412-416","title":"The clinical features of respiratory syncytial virus: Lower respiratory tract infection after upper respiratory tract infection due to influenza virus","type":"article-journal","volume":"47"},"uris":["http://www.mendeley.com/documents/?uuid=e2a2be0a-5121-3eac-a01e-1c29cab6b7ae"]}],"mendeley":{"formattedCitation":"(Anestad 1982, 1987; Nishimura et al. 2005)","plainTextFormattedCitation":"(Anestad 1982, 1987; Nishimura et al. 2005)","previouslyFormattedCitation":"(Anestad 1982, 1987; Nishimura et al. 2005)"},"properties":{"noteIndex":0},"schema":"https://github.com/citation-style-language/schema/raw/master/csl-citation.json"}</w:instrText>
      </w:r>
      <w:r w:rsidRPr="00441D1B">
        <w:rPr>
          <w:lang w:val="en-GB"/>
        </w:rPr>
        <w:fldChar w:fldCharType="separate"/>
      </w:r>
      <w:r w:rsidRPr="00441D1B">
        <w:rPr>
          <w:noProof/>
          <w:lang w:val="en-GB"/>
        </w:rPr>
        <w:t>(Anestad 1982, 1987; Nishimura et al. 2005)</w:t>
      </w:r>
      <w:r w:rsidRPr="00441D1B">
        <w:rPr>
          <w:lang w:val="en-GB"/>
        </w:rPr>
        <w:fldChar w:fldCharType="end"/>
      </w:r>
      <w:r w:rsidR="00373F03" w:rsidRPr="00441D1B">
        <w:rPr>
          <w:lang w:val="en-GB"/>
        </w:rPr>
        <w:t>.</w:t>
      </w:r>
      <w:r w:rsidRPr="00441D1B">
        <w:rPr>
          <w:lang w:val="en-GB"/>
        </w:rPr>
        <w:t xml:space="preserve"> Other interferences have also been observed, e.g. RSV can reduce infections</w:t>
      </w:r>
      <w:r w:rsidR="00373F03" w:rsidRPr="00441D1B">
        <w:rPr>
          <w:lang w:val="en-GB"/>
        </w:rPr>
        <w:t xml:space="preserve"> with rhinovirus,</w:t>
      </w:r>
      <w:r w:rsidRPr="00441D1B">
        <w:rPr>
          <w:lang w:val="en-GB"/>
        </w:rPr>
        <w:t xml:space="preserve"> rhinovirus can reduce infections with adenovirus, parainfluenza and influenza,…</w:t>
      </w:r>
      <w:r w:rsidRPr="00441D1B">
        <w:rPr>
          <w:lang w:val="en-GB"/>
        </w:rPr>
        <w:fldChar w:fldCharType="begin" w:fldLock="1"/>
      </w:r>
      <w:r w:rsidR="00185D8D" w:rsidRPr="00441D1B">
        <w:rPr>
          <w:lang w:val="en-GB"/>
        </w:rPr>
        <w:instrText>ADDIN CSL_CITATION {"citationItems":[{"id":"ITEM-1","itemData":{"DOI":"10.1016/j.jcv.2009.03.008","ISSN":"13866532","PMID":"19376742","abstract":"BACKGROUND Human rhinoviruses (HRVs) are often concurrently detected with other viruses found in the respiratory tract because of the high total number of HRV infections occurring throughout the year. This feature has previously relegated HRVs to being considered passengers in acute respiratory infections. HRVs remain poorly characterized and are seldom included as a target in diagnostic panels despite their pathogenic potential, infection-associated healthcare expenditure and relatively unmoderated elicitation of an antiviral state. OBJECTIVES To test the hypothesis that respiratory viruses are proportionately more or less likely to co-occur, particularly the HRVs. STUDY DESIGN Retrospective PCR-based analyses of 1247 specimens for 17 viruses, including HRV strains, identified 131 specimens containing two or more targets. We investigated the proportions of co-detections and compared the proportion of upper vs. lower respiratory tract presentations in the HRV positive group. Both univariate contingency table and multivariate logistic regression analyses were conducted to identify trends of association among the viruses present in co-detections. RESULTS Many of the co-detections occurred in patterns. In particular, HRV detection was associated with a reduced probability of detecting human adenoviruses, coronaviruses, bocavirus, metapneumovirus, respiratory syncytial virus, parainfluenza virus, influenza A virus, and the polyomaviruses KIPyV and WUPyV (p &lt; or = 0.05). No single HRV species nor cluster of particular strains predominated. CONCLUSIONS HRVs were proportionately under-represented among viral co-detections. For some period, HRVs may render the host less likely to be infected by other viruses.","author":[{"dropping-particle":"","family":"Greer","given":"R.M.","non-dropping-particle":"","parse-names":false,"suffix":""},{"dropping-particle":"","family":"McErlean","given":"P.","non-dropping-particle":"","parse-names":false,"suffix":""},{"dropping-particle":"","family":"Arden","given":"K.E.","non-dropping-particle":"","parse-names":false,"suffix":""},{"dropping-particle":"","family":"Faux","given":"C.E.","non-dropping-particle":"","parse-names":false,"suffix":""},{"dropping-particle":"","family":"Nitsche","given":"A.","non-dropping-particle":"","parse-names":false,"suffix":""},{"dropping-particle":"","family":"Lambert","given":"S.B.","non-dropping-particle":"","parse-names":false,"suffix":""},{"dropping-particle":"","family":"Nissen","given":"M.D.","non-dropping-particle":"","parse-names":false,"suffix":""},{"dropping-particle":"","family":"Sloots","given":"T.P.","non-dropping-particle":"","parse-names":false,"suffix":""},{"dropping-particle":"","family":"Mackay","given":"I.M.","non-dropping-particle":"","parse-names":false,"suffix":""}],"container-title":"Journal of Clinical Virology","id":"ITEM-1","issue":"1","issued":{"date-parts":[["2009","5"]]},"page":"10-15","title":"Do rhinoviruses reduce the probability of viral co-detection during acute respiratory tract infections?","type":"article-journal","volume":"45"},"uris":["http://www.mendeley.com/documents/?uuid=2ea19b9d-5ea6-35b3-8a66-f27c074ab9df"]},{"id":"ITEM-2","itemData":{"DOI":"10.1111/j.1469-0691.2010.03167.x","ISSN":"1198743X","PMID":"20121829","abstract":"In contrast to the experience in other European countries, the onset of the A(H1N1)2009 influenza virus epidemic was unexpectedly slow in France during the first part of autumn 2009. Our objective was to test the hypothesis that intense circulation of rhinoviruses might have reduced the probability of infection by A(H1N1)2009 virus at the beginning of autumn 2009. Systematic analysis for the detection of A(H1N1)2009 (H1N1) and human rhinovirus (HRV) was performed by RT-PCR from week 36 to week 48 on respiratory samples sent to the diagnostic laboratory by the paediatric hospital (n = 2121). Retrospective analysis of the obtained data, using 2 x 2 contingency tables with Fisher's exact test, revealed evidence of an inverse relationship between HRV and H1N1 detection. Between weeks 36 and 48 of 2009, both HRV and H1N1 were detected but in different time frames. HRV dispersed widely during early September, peaking at the end of the month, whereas the H1N1 epidemic began during mid-October and was still active at the end of this survey. During the co-circulation period of these two respiratory viruses (weeks 43-46), HRV detection appeared to reduce the likelihood of H1N1 detection in the same sample (OR = 0.08-0.24 p &lt;0.0001). These results support the hypothesis that HRV infections can reduce the probability of A(H1N1) infection. This viral interference between respiratory viruses could have affected the spread of the H1N1 viruses and delayed the influenza pandemic at the beginning of autumn in France.","author":[{"dropping-particle":"","family":"Casalegno","given":"J.S.","non-dropping-particle":"","parse-names":false,"suffix":""},{"dropping-particle":"","family":"Ottmann","given":"M.","non-dropping-particle":"","parse-names":false,"suffix":""},{"dropping-particle":"","family":"Bouscambert Duchamp","given":"M.","non-dropping-particle":"","parse-names":false,"suffix":""},{"dropping-particle":"","family":"Escuret","given":"V.","non-dropping-particle":"","parse-names":false,"suffix":""},{"dropping-particle":"","family":"Billaud","given":"G.","non-dropping-particle":"","parse-names":false,"suffix":""},{"dropping-particle":"","family":"Frobert","given":"E.","non-dropping-particle":"","parse-names":false,"suffix":""},{"dropping-particle":"","family":"Morfin","given":"F.","non-dropping-particle":"","parse-names":false,"suffix":""},{"dropping-particle":"","family":"Lina","given":"B.","non-dropping-particle":"","parse-names":false,"suffix":""}],"container-title":"Clinical Microbiology and Infection","id":"ITEM-2","issue":"4","issued":{"date-parts":[["2010","4"]]},"page":"326-329","title":"Rhinoviruses delayed the circulation of the pandemic influenza A (H1N1) 2009 virus in France","type":"article-journal","volume":"16"},"uris":["http://www.mendeley.com/documents/?uuid=7b352abb-45ae-3172-910c-9a6287baf328"]},{"id":"ITEM-3","itemData":{"DOI":"10.1093/infdis/jix031","ISSN":"1537-6613","PMID":"28368456","abstract":"Background Respiratory syncytial virus (RSV) and human rhinovirus (HRV) are the most common viruses associated with acute respiratory tract infections in infancy. Viral interference is important in understanding respiratory viral circulation and the impact of vaccines. Methods To study viral interference, we evaluated cases of RSV and HRV codetection by polymerase chain reaction in 2 prospective birth cohort studies (the Infant Susceptibility to Pulmonary Infections and Asthma Following RSV Exposure [INSPIRE] study and the Tennessee Children's Respiratory Initiative [TCRI]) and a double-blinded, randomized, controlled trial (MAKI), using adjusted multivariable regression analyses. Results Among 3263 respiratory tract samples, 24.5% (798) and 37.3% (1216) were RSV and HRV positive, respectively. The odds of HRV infection were significantly lower in RSV-infected infants in all cohorts, with adjusted odds ratios of 0.30 (95% confidence interval [CI], .22-.40 in the INSPIRE study, 0.18 (95% CI, .11-.28) in the TCRI (adjusted for disease severity), and 0.34 (95% CI, .16-.72) in the MAKI trial. HRV infection was significantly more common among infants administered RSV immunoprophylaxis, compared with infants who did not receive immunoprophylaxis (OR, 1.65; 95% CI, 1.65-2.39). Conclusions A negative association of RSV on HRV codetection was consistently observed across populations, seasons, disease severity, and geographical regions. Suppressing RSV infection by RSV immunoprophylaxis might increase the risk of having HRV infection.","author":[{"dropping-particle":"","family":"Achten","given":"Niek B","non-dropping-particle":"","parse-names":false,"suffix":""},{"dropping-particle":"","family":"Wu","given":"Pingsheng","non-dropping-particle":"","parse-names":false,"suffix":""},{"dropping-particle":"","family":"Bont","given":"Louis","non-dropping-particle":"","parse-names":false,"suffix":""},{"dropping-particle":"","family":"Blanken","given":"Maarten O","non-dropping-particle":"","parse-names":false,"suffix":""},{"dropping-particle":"","family":"Gebretsadik","given":"Tebeb","non-dropping-particle":"","parse-names":false,"suffix":""},{"dropping-particle":"","family":"Chappell","given":"James D","non-dropping-particle":"","parse-names":false,"suffix":""},{"dropping-particle":"","family":"Wang","given":"Li","non-dropping-particle":"","parse-names":false,"suffix":""},{"dropping-particle":"","family":"Yu","given":"Chang","non-dropping-particle":"","parse-names":false,"suffix":""},{"dropping-particle":"","family":"Larkin","given":"Emma K","non-dropping-particle":"","parse-names":false,"suffix":""},{"dropping-particle":"","family":"Carroll","given":"Kecia N","non-dropping-particle":"","parse-names":false,"suffix":""},{"dropping-particle":"","family":"Anderson","given":"Larry J","non-dropping-particle":"","parse-names":false,"suffix":""},{"dropping-particle":"","family":"Moore","given":"Martin L","non-dropping-particle":"","parse-names":false,"suffix":""},{"dropping-particle":"","family":"Sloan","given":"Chantel D","non-dropping-particle":"","parse-names":false,"suffix":""},{"dropping-particle":"V","family":"Hartert","given":"Tina","non-dropping-particle":"","parse-names":false,"suffix":""}],"container-title":"The Journal of infectious diseases","id":"ITEM-3","issue":"7","issued":{"date-parts":[["2017","4","1"]]},"page":"1102-1106","publisher":"Oxford University Press","title":"Interference Between Respiratory Syncytial Virus and Human Rhinovirus Infection in Infancy.","type":"article-journal","volume":"215"},"uris":["http://www.mendeley.com/documents/?uuid=b16e105c-ffa7-3849-ad16-356719ca8f66"]}],"mendeley":{"formattedCitation":"(Greer et al. 2009; Casalegno et al. 2010; Achten et al. 2017)","plainTextFormattedCitation":"(Greer et al. 2009; Casalegno et al. 2010; Achten et al. 2017)","previouslyFormattedCitation":"(Greer et al. 2009; Casalegno et al. 2010; Achten et al. 2017)"},"properties":{"noteIndex":0},"schema":"https://github.com/citation-style-language/schema/raw/master/csl-citation.json"}</w:instrText>
      </w:r>
      <w:r w:rsidRPr="00441D1B">
        <w:rPr>
          <w:lang w:val="en-GB"/>
        </w:rPr>
        <w:fldChar w:fldCharType="separate"/>
      </w:r>
      <w:r w:rsidR="00373F03" w:rsidRPr="00441D1B">
        <w:rPr>
          <w:noProof/>
          <w:lang w:val="en-GB"/>
        </w:rPr>
        <w:t>(Greer et al. 2009; Casalegno et al. 2010; Achten et al. 2017)</w:t>
      </w:r>
      <w:r w:rsidRPr="00441D1B">
        <w:rPr>
          <w:lang w:val="en-GB"/>
        </w:rPr>
        <w:fldChar w:fldCharType="end"/>
      </w:r>
      <w:r w:rsidR="00373F03" w:rsidRPr="00441D1B">
        <w:rPr>
          <w:lang w:val="en-GB"/>
        </w:rPr>
        <w:t>.</w:t>
      </w:r>
      <w:r w:rsidRPr="00441D1B">
        <w:rPr>
          <w:lang w:val="en-GB"/>
        </w:rPr>
        <w:t xml:space="preserve"> </w:t>
      </w:r>
    </w:p>
    <w:p w14:paraId="4AE87464" w14:textId="0C145DE3" w:rsidR="000A44A6" w:rsidRPr="00441D1B" w:rsidRDefault="000A44A6" w:rsidP="00117FE3">
      <w:pPr>
        <w:pStyle w:val="Subtitle"/>
        <w:spacing w:line="480" w:lineRule="auto"/>
        <w:rPr>
          <w:lang w:val="en-GB"/>
        </w:rPr>
      </w:pPr>
      <w:r w:rsidRPr="00441D1B">
        <w:rPr>
          <w:lang w:val="en-GB"/>
        </w:rPr>
        <w:t>Strengths and limitations</w:t>
      </w:r>
    </w:p>
    <w:p w14:paraId="02FBE8FA" w14:textId="326DC574" w:rsidR="000628EE" w:rsidRPr="00441D1B" w:rsidRDefault="000A44A6" w:rsidP="00117FE3">
      <w:pPr>
        <w:spacing w:line="480" w:lineRule="auto"/>
        <w:rPr>
          <w:lang w:val="en-GB"/>
        </w:rPr>
      </w:pPr>
      <w:r w:rsidRPr="00441D1B">
        <w:rPr>
          <w:lang w:val="en-GB"/>
        </w:rPr>
        <w:lastRenderedPageBreak/>
        <w:t xml:space="preserve">To </w:t>
      </w:r>
      <w:r w:rsidR="002D180B" w:rsidRPr="00441D1B">
        <w:rPr>
          <w:lang w:val="en-GB"/>
        </w:rPr>
        <w:t>our</w:t>
      </w:r>
      <w:r w:rsidRPr="00441D1B">
        <w:rPr>
          <w:lang w:val="en-GB"/>
        </w:rPr>
        <w:t xml:space="preserve"> knowledge, this is the first large European study </w:t>
      </w:r>
      <w:r w:rsidR="00B8766D" w:rsidRPr="00441D1B">
        <w:rPr>
          <w:lang w:val="en-GB"/>
        </w:rPr>
        <w:t xml:space="preserve">assessing </w:t>
      </w:r>
      <w:r w:rsidRPr="00441D1B">
        <w:rPr>
          <w:lang w:val="en-GB"/>
        </w:rPr>
        <w:t xml:space="preserve">the </w:t>
      </w:r>
      <w:r w:rsidR="00A0123B" w:rsidRPr="00441D1B">
        <w:rPr>
          <w:lang w:val="en-GB"/>
        </w:rPr>
        <w:t>association of age with</w:t>
      </w:r>
      <w:r w:rsidR="00936DAD" w:rsidRPr="00441D1B">
        <w:rPr>
          <w:lang w:val="en-GB"/>
        </w:rPr>
        <w:t xml:space="preserve"> </w:t>
      </w:r>
      <w:r w:rsidRPr="00441D1B">
        <w:rPr>
          <w:lang w:val="en-GB"/>
        </w:rPr>
        <w:t xml:space="preserve">prevalence, </w:t>
      </w:r>
      <w:r w:rsidR="00A0123B" w:rsidRPr="00441D1B">
        <w:rPr>
          <w:lang w:val="en-GB"/>
        </w:rPr>
        <w:t>diagnostic features</w:t>
      </w:r>
      <w:r w:rsidRPr="00441D1B">
        <w:rPr>
          <w:lang w:val="en-GB"/>
        </w:rPr>
        <w:t xml:space="preserve"> and </w:t>
      </w:r>
      <w:r w:rsidR="00BF4762" w:rsidRPr="00441D1B">
        <w:rPr>
          <w:rFonts w:cs="Calibri"/>
          <w:lang w:val="en-GB"/>
        </w:rPr>
        <w:t xml:space="preserve">illness </w:t>
      </w:r>
      <w:r w:rsidRPr="00441D1B">
        <w:rPr>
          <w:lang w:val="en-GB"/>
        </w:rPr>
        <w:t>course of RSV</w:t>
      </w:r>
      <w:r w:rsidR="00936DAD" w:rsidRPr="00441D1B">
        <w:rPr>
          <w:lang w:val="en-GB"/>
        </w:rPr>
        <w:t xml:space="preserve"> and influenza</w:t>
      </w:r>
      <w:r w:rsidRPr="00441D1B">
        <w:rPr>
          <w:lang w:val="en-GB"/>
        </w:rPr>
        <w:t xml:space="preserve"> in adults </w:t>
      </w:r>
      <w:r w:rsidR="00B8766D" w:rsidRPr="00441D1B">
        <w:rPr>
          <w:lang w:val="en-GB"/>
        </w:rPr>
        <w:t>presenting to</w:t>
      </w:r>
      <w:r w:rsidRPr="00441D1B">
        <w:rPr>
          <w:lang w:val="en-GB"/>
        </w:rPr>
        <w:t xml:space="preserve"> primary care with acute cough. Strengths of this study include the participation of adults from different age groups across 12 European countries. A limitation is that only </w:t>
      </w:r>
      <w:r w:rsidR="005321A3" w:rsidRPr="00441D1B">
        <w:rPr>
          <w:lang w:val="en-GB"/>
        </w:rPr>
        <w:t>adults</w:t>
      </w:r>
      <w:r w:rsidRPr="00441D1B">
        <w:rPr>
          <w:lang w:val="en-GB"/>
        </w:rPr>
        <w:t xml:space="preserve"> with acute cough or </w:t>
      </w:r>
      <w:r w:rsidR="005321A3" w:rsidRPr="00441D1B">
        <w:rPr>
          <w:lang w:val="en-GB"/>
        </w:rPr>
        <w:t xml:space="preserve">adults </w:t>
      </w:r>
      <w:r w:rsidR="00041F98" w:rsidRPr="00441D1B">
        <w:rPr>
          <w:lang w:val="en-GB"/>
        </w:rPr>
        <w:t>suspected</w:t>
      </w:r>
      <w:r w:rsidRPr="00441D1B">
        <w:rPr>
          <w:lang w:val="en-GB"/>
        </w:rPr>
        <w:t xml:space="preserve"> of</w:t>
      </w:r>
      <w:r w:rsidR="00041F98" w:rsidRPr="00441D1B">
        <w:rPr>
          <w:lang w:val="en-GB"/>
        </w:rPr>
        <w:t xml:space="preserve"> an LRTI </w:t>
      </w:r>
      <w:r w:rsidRPr="00441D1B">
        <w:rPr>
          <w:lang w:val="en-GB"/>
        </w:rPr>
        <w:t>that presented to primary care were included in the study</w:t>
      </w:r>
      <w:r w:rsidR="00B6430E" w:rsidRPr="00441D1B">
        <w:rPr>
          <w:lang w:val="en-GB"/>
        </w:rPr>
        <w:t>.</w:t>
      </w:r>
      <w:r w:rsidR="001739DF" w:rsidRPr="00441D1B">
        <w:rPr>
          <w:lang w:val="en-GB"/>
        </w:rPr>
        <w:t xml:space="preserve"> </w:t>
      </w:r>
    </w:p>
    <w:p w14:paraId="1DC96F5D" w14:textId="67615ED0" w:rsidR="000A44A6" w:rsidRPr="00441D1B" w:rsidRDefault="000A44A6" w:rsidP="00117FE3">
      <w:pPr>
        <w:pStyle w:val="Subtitle"/>
        <w:spacing w:line="480" w:lineRule="auto"/>
        <w:rPr>
          <w:lang w:val="en-GB"/>
        </w:rPr>
      </w:pPr>
      <w:r w:rsidRPr="00441D1B">
        <w:rPr>
          <w:lang w:val="en-GB"/>
        </w:rPr>
        <w:t xml:space="preserve">Implications for practice </w:t>
      </w:r>
      <w:r w:rsidR="00B8766D" w:rsidRPr="00441D1B">
        <w:rPr>
          <w:lang w:val="en-GB"/>
        </w:rPr>
        <w:t>and research</w:t>
      </w:r>
    </w:p>
    <w:p w14:paraId="540E2EA1" w14:textId="0BA6E30F" w:rsidR="000A44A6" w:rsidRPr="00441D1B" w:rsidRDefault="00727484" w:rsidP="00117FE3">
      <w:pPr>
        <w:spacing w:line="480" w:lineRule="auto"/>
        <w:rPr>
          <w:lang w:val="en-GB"/>
        </w:rPr>
      </w:pPr>
      <w:r w:rsidRPr="00441D1B">
        <w:rPr>
          <w:lang w:val="en-GB"/>
        </w:rPr>
        <w:t xml:space="preserve">While </w:t>
      </w:r>
      <w:r w:rsidR="00B8766D" w:rsidRPr="00441D1B">
        <w:rPr>
          <w:lang w:val="en-GB"/>
        </w:rPr>
        <w:t xml:space="preserve">the </w:t>
      </w:r>
      <w:r w:rsidR="00265903" w:rsidRPr="00441D1B">
        <w:rPr>
          <w:lang w:val="en-GB"/>
        </w:rPr>
        <w:t>diagnostic features</w:t>
      </w:r>
      <w:r w:rsidRPr="00441D1B">
        <w:rPr>
          <w:lang w:val="en-GB"/>
        </w:rPr>
        <w:t xml:space="preserve"> </w:t>
      </w:r>
      <w:r w:rsidR="00B8766D" w:rsidRPr="00441D1B">
        <w:rPr>
          <w:lang w:val="en-GB"/>
        </w:rPr>
        <w:t>of both</w:t>
      </w:r>
      <w:r w:rsidRPr="00441D1B">
        <w:rPr>
          <w:lang w:val="en-GB"/>
        </w:rPr>
        <w:t xml:space="preserve"> RSV </w:t>
      </w:r>
      <w:r w:rsidR="00B8766D" w:rsidRPr="00441D1B">
        <w:rPr>
          <w:lang w:val="en-GB"/>
        </w:rPr>
        <w:t>and</w:t>
      </w:r>
      <w:r w:rsidRPr="00441D1B">
        <w:rPr>
          <w:lang w:val="en-GB"/>
        </w:rPr>
        <w:t xml:space="preserve"> influenza </w:t>
      </w:r>
      <w:r w:rsidR="00746AD6" w:rsidRPr="00441D1B">
        <w:rPr>
          <w:lang w:val="en-GB"/>
        </w:rPr>
        <w:t>are not associated with</w:t>
      </w:r>
      <w:r w:rsidR="00B8766D" w:rsidRPr="00441D1B">
        <w:rPr>
          <w:lang w:val="en-GB"/>
        </w:rPr>
        <w:t xml:space="preserve"> the patient’s age, the prevalence of RSV and the</w:t>
      </w:r>
      <w:r w:rsidRPr="00441D1B">
        <w:rPr>
          <w:lang w:val="en-GB"/>
        </w:rPr>
        <w:t xml:space="preserve"> illness </w:t>
      </w:r>
      <w:r w:rsidR="00B8766D" w:rsidRPr="00441D1B">
        <w:rPr>
          <w:lang w:val="en-GB"/>
        </w:rPr>
        <w:t>course</w:t>
      </w:r>
      <w:r w:rsidRPr="00441D1B">
        <w:rPr>
          <w:lang w:val="en-GB"/>
        </w:rPr>
        <w:t xml:space="preserve"> </w:t>
      </w:r>
      <w:r w:rsidR="00746AD6" w:rsidRPr="00441D1B">
        <w:rPr>
          <w:lang w:val="en-GB"/>
        </w:rPr>
        <w:t>of</w:t>
      </w:r>
      <w:r w:rsidRPr="00441D1B">
        <w:rPr>
          <w:lang w:val="en-GB"/>
        </w:rPr>
        <w:t xml:space="preserve"> both viruses </w:t>
      </w:r>
      <w:r w:rsidR="00746AD6" w:rsidRPr="00441D1B">
        <w:rPr>
          <w:lang w:val="en-GB"/>
        </w:rPr>
        <w:t>are, making</w:t>
      </w:r>
      <w:r w:rsidR="00B8766D" w:rsidRPr="00441D1B">
        <w:rPr>
          <w:lang w:val="en-GB"/>
        </w:rPr>
        <w:t xml:space="preserve"> it is reasonable to believe that these viruses hit the elderly harder. </w:t>
      </w:r>
      <w:r w:rsidRPr="00441D1B">
        <w:rPr>
          <w:lang w:val="en-GB"/>
        </w:rPr>
        <w:t xml:space="preserve">For this reason, GPs should take age into account when </w:t>
      </w:r>
      <w:r w:rsidR="00A1140A" w:rsidRPr="00441D1B">
        <w:rPr>
          <w:lang w:val="en-GB"/>
        </w:rPr>
        <w:t xml:space="preserve">following up </w:t>
      </w:r>
      <w:r w:rsidR="00746AD6" w:rsidRPr="00441D1B">
        <w:rPr>
          <w:lang w:val="en-GB"/>
        </w:rPr>
        <w:t>their</w:t>
      </w:r>
      <w:r w:rsidRPr="00441D1B">
        <w:rPr>
          <w:lang w:val="en-GB"/>
        </w:rPr>
        <w:t xml:space="preserve"> patients</w:t>
      </w:r>
      <w:r w:rsidR="00B8766D" w:rsidRPr="00441D1B">
        <w:rPr>
          <w:lang w:val="en-GB"/>
        </w:rPr>
        <w:t xml:space="preserve"> and f</w:t>
      </w:r>
      <w:r w:rsidRPr="00441D1B">
        <w:rPr>
          <w:lang w:val="en-GB"/>
        </w:rPr>
        <w:t xml:space="preserve">urther </w:t>
      </w:r>
      <w:r w:rsidR="0036741B" w:rsidRPr="00441D1B">
        <w:rPr>
          <w:lang w:val="en-GB"/>
        </w:rPr>
        <w:t>research</w:t>
      </w:r>
      <w:r w:rsidRPr="00441D1B">
        <w:rPr>
          <w:lang w:val="en-GB"/>
        </w:rPr>
        <w:t xml:space="preserve"> </w:t>
      </w:r>
      <w:r w:rsidR="004C5B65" w:rsidRPr="00441D1B">
        <w:rPr>
          <w:lang w:val="en-GB"/>
        </w:rPr>
        <w:t>on</w:t>
      </w:r>
      <w:r w:rsidR="00265903" w:rsidRPr="00441D1B">
        <w:rPr>
          <w:lang w:val="en-GB"/>
        </w:rPr>
        <w:t xml:space="preserve"> the management of</w:t>
      </w:r>
      <w:r w:rsidR="004C5B65" w:rsidRPr="00441D1B">
        <w:rPr>
          <w:lang w:val="en-GB"/>
        </w:rPr>
        <w:t xml:space="preserve"> RSV or influenza </w:t>
      </w:r>
      <w:r w:rsidR="00265903" w:rsidRPr="00441D1B">
        <w:rPr>
          <w:lang w:val="en-GB"/>
        </w:rPr>
        <w:t xml:space="preserve">infections </w:t>
      </w:r>
      <w:r w:rsidRPr="00441D1B">
        <w:rPr>
          <w:lang w:val="en-GB"/>
        </w:rPr>
        <w:t xml:space="preserve">should </w:t>
      </w:r>
      <w:r w:rsidR="00A1140A" w:rsidRPr="00441D1B">
        <w:rPr>
          <w:lang w:val="en-GB"/>
        </w:rPr>
        <w:t xml:space="preserve">at least </w:t>
      </w:r>
      <w:r w:rsidRPr="00441D1B">
        <w:rPr>
          <w:lang w:val="en-GB"/>
        </w:rPr>
        <w:t xml:space="preserve">distinguish between </w:t>
      </w:r>
      <w:r w:rsidR="00511DE6" w:rsidRPr="00441D1B">
        <w:rPr>
          <w:lang w:val="en-GB"/>
        </w:rPr>
        <w:t>patients under and over 60 years of age</w:t>
      </w:r>
      <w:r w:rsidRPr="00441D1B">
        <w:rPr>
          <w:lang w:val="en-GB"/>
        </w:rPr>
        <w:t xml:space="preserve">. </w:t>
      </w:r>
    </w:p>
    <w:p w14:paraId="1C617A69" w14:textId="77777777" w:rsidR="00F35956" w:rsidRPr="00441D1B" w:rsidRDefault="00F35956" w:rsidP="00117FE3">
      <w:pPr>
        <w:spacing w:line="480" w:lineRule="auto"/>
        <w:rPr>
          <w:lang w:val="en-GB"/>
        </w:rPr>
      </w:pPr>
    </w:p>
    <w:p w14:paraId="1DD6F967" w14:textId="77777777" w:rsidR="005F641C" w:rsidRPr="00441D1B" w:rsidRDefault="005F641C" w:rsidP="005F641C">
      <w:pPr>
        <w:spacing w:line="480" w:lineRule="auto"/>
        <w:rPr>
          <w:b/>
          <w:sz w:val="28"/>
        </w:rPr>
      </w:pPr>
      <w:r w:rsidRPr="00441D1B">
        <w:rPr>
          <w:b/>
          <w:sz w:val="28"/>
        </w:rPr>
        <w:t>Funding</w:t>
      </w:r>
    </w:p>
    <w:p w14:paraId="5B2AB5CA" w14:textId="248A83F9" w:rsidR="005F641C" w:rsidRPr="00441D1B" w:rsidRDefault="005F641C" w:rsidP="005F641C">
      <w:pPr>
        <w:pStyle w:val="CommentText"/>
        <w:spacing w:line="480" w:lineRule="auto"/>
        <w:jc w:val="both"/>
        <w:rPr>
          <w:lang w:val="en-GB"/>
        </w:rPr>
      </w:pPr>
      <w:r w:rsidRPr="00441D1B">
        <w:rPr>
          <w:lang w:val="en-GB"/>
        </w:rPr>
        <w:t xml:space="preserve">RB is funded as a postdoctoral researcher by the Research Foundation – Flanders (FWO). SC, CB, NH, PB and HG are members of the Respiratory Syncytial Virus Consortium in Europe (RESCUE). RESCUE has received funding from the Innovative Medicines Initiative 2 Joint Undertaking under grant agreement N° 116019. NH acknowledges support from the University of Antwerp scientific chair in Evidence-Based Vaccinology, financed in 2009 </w:t>
      </w:r>
      <w:r w:rsidRPr="00441D1B">
        <w:rPr>
          <w:rFonts w:eastAsia="CMSY10"/>
          <w:lang w:val="en-GB"/>
        </w:rPr>
        <w:t xml:space="preserve">− </w:t>
      </w:r>
      <w:r w:rsidR="0004270A" w:rsidRPr="00441D1B">
        <w:rPr>
          <w:lang w:val="en-GB"/>
        </w:rPr>
        <w:t>2020</w:t>
      </w:r>
      <w:r w:rsidRPr="00441D1B">
        <w:rPr>
          <w:lang w:val="en-GB"/>
        </w:rPr>
        <w:t xml:space="preserve"> by a gift from Pfizer and in 2016-2019 from GSK.</w:t>
      </w:r>
    </w:p>
    <w:p w14:paraId="108CEA44" w14:textId="77777777" w:rsidR="005F641C" w:rsidRPr="00441D1B" w:rsidRDefault="005F641C" w:rsidP="005F641C">
      <w:pPr>
        <w:pStyle w:val="CommentText"/>
        <w:spacing w:line="480" w:lineRule="auto"/>
        <w:jc w:val="both"/>
        <w:rPr>
          <w:szCs w:val="24"/>
        </w:rPr>
      </w:pPr>
      <w:r w:rsidRPr="00441D1B">
        <w:rPr>
          <w:lang w:val="en-GB"/>
        </w:rPr>
        <w:t xml:space="preserve">The GRACE project was funded by the European Community’s Sixth Framework Programme (grant agreement 518226). Work in the UK was also supported by the National Institute for Health Research. Work in Barcelona was also supported by 2009 SGR 911 Ciber de Enfermedades Respiratorias (Ciberes CB06/06/0028). Work in Belgium was also supported by the Methusalem financing programme of the Flemish Government and by FWO (G.0274.08N). </w:t>
      </w:r>
      <w:r w:rsidRPr="00441D1B">
        <w:rPr>
          <w:szCs w:val="24"/>
        </w:rPr>
        <w:t>This work was also supported through the European Science Foundation (ESF), in the framework of the Research Networking Programme TRACE (</w:t>
      </w:r>
      <w:hyperlink r:id="rId7" w:history="1">
        <w:r w:rsidRPr="00441D1B">
          <w:rPr>
            <w:rStyle w:val="Hyperlink"/>
            <w:szCs w:val="24"/>
          </w:rPr>
          <w:t>www.esf.org/trace</w:t>
        </w:r>
      </w:hyperlink>
      <w:r w:rsidRPr="00441D1B">
        <w:rPr>
          <w:szCs w:val="24"/>
        </w:rPr>
        <w:t xml:space="preserve">). </w:t>
      </w:r>
    </w:p>
    <w:p w14:paraId="7C87EC0C" w14:textId="178E01BE" w:rsidR="00507700" w:rsidRPr="00441D1B" w:rsidRDefault="00507700" w:rsidP="00507700">
      <w:pPr>
        <w:spacing w:line="480" w:lineRule="auto"/>
        <w:rPr>
          <w:b/>
          <w:sz w:val="28"/>
        </w:rPr>
      </w:pPr>
      <w:r w:rsidRPr="00441D1B">
        <w:rPr>
          <w:b/>
          <w:sz w:val="28"/>
        </w:rPr>
        <w:lastRenderedPageBreak/>
        <w:t>Acknowledgements</w:t>
      </w:r>
    </w:p>
    <w:p w14:paraId="057793A8" w14:textId="77777777" w:rsidR="00507700" w:rsidRPr="00441D1B" w:rsidRDefault="00507700" w:rsidP="00003D05">
      <w:pPr>
        <w:pStyle w:val="CommentText"/>
        <w:spacing w:line="360" w:lineRule="auto"/>
        <w:jc w:val="both"/>
        <w:rPr>
          <w:b/>
          <w:sz w:val="28"/>
          <w:lang w:val="en-GB"/>
        </w:rPr>
      </w:pPr>
      <w:r w:rsidRPr="00441D1B">
        <w:rPr>
          <w:sz w:val="22"/>
          <w:szCs w:val="22"/>
          <w:lang w:val="en-GB"/>
        </w:rPr>
        <w:t>We thank all the clinicians and patients who consented to be part of GRACE, without whom this study would not have been possible. We are grateful to key members of the GRACE project group whose hard work has made this study possible, including Niels Adriaenssens, Jordi Almirall, Curt Brugman, Slawomir Chlabicz, An De Sutter, Mel Davies, Maciek Godycki-Cwirko, Patricia Fernandez, Iris Hering, Kerenza Hood, Greet Ieven Tom Schaberg, Antoni Torres, Anna Kowalczyk, Christine Lammens, Marieke Lemiengre, Frank Leus, Katherine Loens, Artur Mierzecki, Michael Moore, Magdalena Muras, Gilly O'Reilly, Nuria Sanchez Romano, Matteu Serra Prat, Jackie Swain, Robert Veen, and Tricia Worby.</w:t>
      </w:r>
    </w:p>
    <w:p w14:paraId="4766532C" w14:textId="77777777" w:rsidR="007662DD" w:rsidRPr="00441D1B" w:rsidRDefault="007662DD" w:rsidP="00117FE3">
      <w:pPr>
        <w:pStyle w:val="Heading1"/>
        <w:spacing w:line="480" w:lineRule="auto"/>
        <w:jc w:val="both"/>
        <w:rPr>
          <w:rFonts w:asciiTheme="minorHAnsi" w:hAnsiTheme="minorHAnsi" w:cs="Times New Roman"/>
          <w:color w:val="auto"/>
          <w:lang w:val="en-US"/>
        </w:rPr>
      </w:pPr>
      <w:r w:rsidRPr="00441D1B">
        <w:rPr>
          <w:rFonts w:asciiTheme="minorHAnsi" w:hAnsiTheme="minorHAnsi" w:cs="Times New Roman"/>
          <w:color w:val="auto"/>
          <w:lang w:val="en-US"/>
        </w:rPr>
        <w:t>Conflict of interest</w:t>
      </w:r>
    </w:p>
    <w:p w14:paraId="3B919E38" w14:textId="77777777" w:rsidR="007662DD" w:rsidRPr="00441D1B" w:rsidRDefault="007662DD" w:rsidP="00117FE3">
      <w:pPr>
        <w:spacing w:line="480" w:lineRule="auto"/>
        <w:jc w:val="both"/>
      </w:pPr>
      <w:r w:rsidRPr="00441D1B">
        <w:t>None declared.</w:t>
      </w:r>
    </w:p>
    <w:p w14:paraId="3E8E359C" w14:textId="2C989B73" w:rsidR="007662DD" w:rsidRPr="00441D1B" w:rsidRDefault="007662DD" w:rsidP="00117FE3">
      <w:pPr>
        <w:pStyle w:val="CommentText"/>
        <w:spacing w:line="480" w:lineRule="auto"/>
        <w:jc w:val="both"/>
        <w:rPr>
          <w:b/>
          <w:sz w:val="28"/>
          <w:lang w:val="nl-BE"/>
        </w:rPr>
      </w:pPr>
      <w:r w:rsidRPr="00441D1B">
        <w:rPr>
          <w:b/>
          <w:sz w:val="28"/>
          <w:lang w:val="nl-BE"/>
        </w:rPr>
        <w:t>References</w:t>
      </w:r>
    </w:p>
    <w:p w14:paraId="1EB15A47" w14:textId="4D85FA81" w:rsidR="009946CE" w:rsidRPr="00441D1B" w:rsidRDefault="00F03742" w:rsidP="009946CE">
      <w:pPr>
        <w:widowControl w:val="0"/>
        <w:autoSpaceDE w:val="0"/>
        <w:autoSpaceDN w:val="0"/>
        <w:adjustRightInd w:val="0"/>
        <w:spacing w:line="240" w:lineRule="auto"/>
        <w:ind w:left="480" w:hanging="480"/>
        <w:rPr>
          <w:rFonts w:cs="Calibri"/>
          <w:noProof/>
          <w:sz w:val="20"/>
          <w:szCs w:val="24"/>
        </w:rPr>
      </w:pPr>
      <w:r w:rsidRPr="00441D1B">
        <w:rPr>
          <w:sz w:val="20"/>
        </w:rPr>
        <w:fldChar w:fldCharType="begin" w:fldLock="1"/>
      </w:r>
      <w:r w:rsidRPr="00441D1B">
        <w:rPr>
          <w:sz w:val="20"/>
          <w:lang w:val="nl-BE"/>
        </w:rPr>
        <w:instrText xml:space="preserve">ADDIN Mendeley Bibliography CSL_BIBLIOGRAPHY </w:instrText>
      </w:r>
      <w:r w:rsidRPr="00441D1B">
        <w:rPr>
          <w:sz w:val="20"/>
        </w:rPr>
        <w:fldChar w:fldCharType="separate"/>
      </w:r>
      <w:r w:rsidR="009946CE" w:rsidRPr="00441D1B">
        <w:rPr>
          <w:rFonts w:cs="Calibri"/>
          <w:noProof/>
          <w:sz w:val="20"/>
          <w:szCs w:val="24"/>
          <w:lang w:val="nl-BE"/>
        </w:rPr>
        <w:t xml:space="preserve">Achten NB, Wu P, Bont L, Blanken MO, Gebretsadik T, Chappell JD, et al. </w:t>
      </w:r>
      <w:r w:rsidR="009946CE" w:rsidRPr="00441D1B">
        <w:rPr>
          <w:rFonts w:cs="Calibri"/>
          <w:noProof/>
          <w:sz w:val="20"/>
          <w:szCs w:val="24"/>
        </w:rPr>
        <w:t xml:space="preserve">Interference Between Respiratory Syncytial Virus and Human Rhinovirus Infection in Infancy. J Infect Dis. 2017;215(7):1102–6. </w:t>
      </w:r>
    </w:p>
    <w:p w14:paraId="14E11BDB"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Amand C, Tong S, Kieffer A, Kyaw MH. Healthcare resource use and economic burden attributable to respiratory syncytial virus in the United States: a claims database analysis. BMC Health Serv Res. 2018;18(1):294. </w:t>
      </w:r>
    </w:p>
    <w:p w14:paraId="1AF64DAB"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Anestad G. Interference between outbreaks of respiratory syncytial virus and influenza virus infection. Lancet (London, England). 1982;1(8270):502. </w:t>
      </w:r>
    </w:p>
    <w:p w14:paraId="760E59EE"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Anestad G. Surveillance of respiratory viral infections by rapid immunofluorescence diagnosis, with emphasis on virus interference. Epidemiol Infect. 1987;99(2):523–31. </w:t>
      </w:r>
    </w:p>
    <w:p w14:paraId="1F9D043C"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Belongia EA, King JP, Kieke BA, Pluta J, Al-Hilli A, Meece JK, et al. Clinical Features, Severity, and Incidence of RSV Illness During 12 Consecutive Seasons in a Community Cohort of Adults ≥60 Years Old. Open Forum Infect Dis. 2018a;5(12). </w:t>
      </w:r>
    </w:p>
    <w:p w14:paraId="65B8468A"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Belongia EA, King JP, Kieke BA, Pluta J, Al-Hilli A, Meece JK, et al. Clinical Features, Severity, and Incidence of RSV Illness During 12 Consecutive Seasons in a Community Cohort of Adults ≥60 Years Old. Open Forum Infect Dis. 2018b;5(12). </w:t>
      </w:r>
    </w:p>
    <w:p w14:paraId="697706AE"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Casalegno JS, Ottmann M, Bouscambert Duchamp M, Escuret V, Billaud G, Frobert E, et al. Rhinoviruses delayed the circulation of the pandemic influenza A (H1N1) 2009 virus in France. Clin Microbiol Infect. 2010;16(4):326–9. </w:t>
      </w:r>
    </w:p>
    <w:p w14:paraId="1648264B"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Dowell SF, Anderson LJ, Gary HE, Erdman DD, Plouffe JF, File TM, et al. Respiratory Syncytial Virus Is an Important Cause of Community-Acquired Lower Respiratory Infection among Hospitalized Adults. J Infect Dis. 1996;174(3):456–62. </w:t>
      </w:r>
    </w:p>
    <w:p w14:paraId="68F1BFFE"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Eccles R. An Explanation for the Seasonality of Acute Upper Respiratory Tract Viral Infections. Acta Otolaryngol. 2002;122(2):183–91. </w:t>
      </w:r>
    </w:p>
    <w:p w14:paraId="1D5F6EAF"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lastRenderedPageBreak/>
        <w:t xml:space="preserve">Falsey AR, Hennessey PA, Formica MA, Cox C, Walsh EE. Respiratory Syncytial Virus Infection in Elderly and High-Risk Adults. N Engl J Med. 2005;352(17):1749–59. </w:t>
      </w:r>
    </w:p>
    <w:p w14:paraId="7125E944"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Firth D. Bias Reduction of Maximum Likelihood Estimates. Biometrika. 1993;80(1):27. </w:t>
      </w:r>
    </w:p>
    <w:p w14:paraId="5672D0A9"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Greer RM, McErlean P, Arden KE, Faux CE, Nitsche A, Lambert SB, et al. Do rhinoviruses reduce the probability of viral co-detection during acute respiratory tract infections? J Clin Virol. 2009;45(1):10–5. </w:t>
      </w:r>
    </w:p>
    <w:p w14:paraId="0DBBC016"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Griffin MR, Coffey CS, Neuzil KM, Mitchel EF, Wright PF, Edwards KM. Winter viruses: influenza- and respiratory syncytial virus-related morbidity in chronic lung disease. Arch Intern Med. 2002;162(11):1229–36. </w:t>
      </w:r>
    </w:p>
    <w:p w14:paraId="76C4B38D"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Haber N. Respiratory syncytial virus infection in elderly adults. Médecine Mal Infect. 2018;48(6):377–82. </w:t>
      </w:r>
    </w:p>
    <w:p w14:paraId="732924D3"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lang w:val="nl-BE"/>
        </w:rPr>
      </w:pPr>
      <w:r w:rsidRPr="00441D1B">
        <w:rPr>
          <w:rFonts w:cs="Calibri"/>
          <w:noProof/>
          <w:sz w:val="20"/>
          <w:szCs w:val="24"/>
        </w:rPr>
        <w:t xml:space="preserve">Hall CB, Long CE, Schnabel KC. Respiratory Syncytial Virus Infections in Previously Healthy Working Adults. </w:t>
      </w:r>
      <w:r w:rsidRPr="00441D1B">
        <w:rPr>
          <w:rFonts w:cs="Calibri"/>
          <w:noProof/>
          <w:sz w:val="20"/>
          <w:szCs w:val="24"/>
          <w:lang w:val="nl-BE"/>
        </w:rPr>
        <w:t xml:space="preserve">Clin Infect Dis. 2001;33(6):792–6. </w:t>
      </w:r>
    </w:p>
    <w:p w14:paraId="0C76B58E"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lang w:val="nl-BE"/>
        </w:rPr>
        <w:t xml:space="preserve">Hall CB, Weinberg GA, Iwane MK, Blumkin AK, Edwards KM, Staat MA, et al. </w:t>
      </w:r>
      <w:r w:rsidRPr="00441D1B">
        <w:rPr>
          <w:rFonts w:cs="Calibri"/>
          <w:noProof/>
          <w:sz w:val="20"/>
          <w:szCs w:val="24"/>
        </w:rPr>
        <w:t xml:space="preserve">The Burden of Respiratory Syncytial Virus Infection in Young Children. N Engl J Med. 2009;360(6):588–98. </w:t>
      </w:r>
    </w:p>
    <w:p w14:paraId="411FC8A6"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lang w:val="nl-BE"/>
        </w:rPr>
      </w:pPr>
      <w:r w:rsidRPr="00441D1B">
        <w:rPr>
          <w:rFonts w:cs="Calibri"/>
          <w:noProof/>
          <w:sz w:val="20"/>
          <w:szCs w:val="24"/>
        </w:rPr>
        <w:t xml:space="preserve">Hashem M, Hall CB. Respiratory syncytial virus in healthy adults: the cost of a cold. </w:t>
      </w:r>
      <w:r w:rsidRPr="00441D1B">
        <w:rPr>
          <w:rFonts w:cs="Calibri"/>
          <w:noProof/>
          <w:sz w:val="20"/>
          <w:szCs w:val="24"/>
          <w:lang w:val="nl-BE"/>
        </w:rPr>
        <w:t xml:space="preserve">J Clin Virol. 2003;27(1):14–21. </w:t>
      </w:r>
    </w:p>
    <w:p w14:paraId="7B616DC1"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lang w:val="nl-BE"/>
        </w:rPr>
        <w:t xml:space="preserve">Ieven M, Coenen S, Loens K, Lammens C, Coenjaerts F, Vanderstraeten A, et al. </w:t>
      </w:r>
      <w:r w:rsidRPr="00441D1B">
        <w:rPr>
          <w:rFonts w:cs="Calibri"/>
          <w:noProof/>
          <w:sz w:val="20"/>
          <w:szCs w:val="24"/>
        </w:rPr>
        <w:t xml:space="preserve">Aetiology of lower respiratory tract infection in adults in primary care: a prospective study in 11 European countries. Clin Microbiol Infect. 2018;24(11):1158–63. </w:t>
      </w:r>
    </w:p>
    <w:p w14:paraId="63BC8311"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Mourtzoukou EG, Falagas ME. Exposure to cold and respiratory tract infections. Int J Tuberc Lung Dis. 2007;11(9):938–43. </w:t>
      </w:r>
    </w:p>
    <w:p w14:paraId="51FD0A0D"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Nicholson KG, Kent J, Hammersley V, Cancio E. Acute viral infections of upper respiratory tract in elderly people living in the community: comparative, prospective, population based study of disease burden. BMJ. 1997;315(7115):1060–4. </w:t>
      </w:r>
    </w:p>
    <w:p w14:paraId="73777D9F"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Nishimura N, Nishio H, Lee MJ, Uemura K. The clinical features of respiratory syncytial virus: Lower respiratory tract infection after upper respiratory tract infection due to influenza virus. Pediatr Int. 2005;47(4):412–6. </w:t>
      </w:r>
    </w:p>
    <w:p w14:paraId="4A1B21FD"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O’Shea MK, Ryan MAK, Hawksworth AW, Alsip BJ, Gray GC. Symptomatic Respiratory Syncytial Virus Infection in Previously Healthy Young Adults Living in a Crowded Military Environment. Clin Infect Dis. 2005;41(3):311–7. </w:t>
      </w:r>
    </w:p>
    <w:p w14:paraId="0DF3D00A"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Shinjoh M, Omoe K, Saito N, Matsuo N, Nerome K. In vitro growth profiles of respiratory syncytial virus in the presence of influenza virus. Acta Virol. 2000;44(2):91–7. </w:t>
      </w:r>
    </w:p>
    <w:p w14:paraId="5D80BD0A"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Thompson WW, Shay DK, Weintraub E, Brammer L, Cox N, Anderson LJ, et al. Mortality associated with influenza and respiratory syncytial virus in the United States. JAMA. 2003;289(2):179–86. </w:t>
      </w:r>
    </w:p>
    <w:p w14:paraId="2EE10552"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rPr>
      </w:pPr>
      <w:r w:rsidRPr="00441D1B">
        <w:rPr>
          <w:rFonts w:cs="Calibri"/>
          <w:noProof/>
          <w:sz w:val="20"/>
          <w:szCs w:val="24"/>
        </w:rPr>
        <w:t xml:space="preserve">Tukey JW. The Philosophy of Multiple Comparisons. Stat Sci. 1991;6(1):100–16. </w:t>
      </w:r>
    </w:p>
    <w:p w14:paraId="0995E8B8"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lang w:val="nl-BE"/>
        </w:rPr>
      </w:pPr>
      <w:r w:rsidRPr="00441D1B">
        <w:rPr>
          <w:rFonts w:cs="Calibri"/>
          <w:noProof/>
          <w:sz w:val="20"/>
          <w:szCs w:val="24"/>
        </w:rPr>
        <w:t xml:space="preserve">Verbeke G, Molenberghs G. Linear Mixed Models for Longitudinal Data. </w:t>
      </w:r>
      <w:r w:rsidRPr="00441D1B">
        <w:rPr>
          <w:rFonts w:cs="Calibri"/>
          <w:noProof/>
          <w:sz w:val="20"/>
          <w:szCs w:val="24"/>
          <w:lang w:val="nl-BE"/>
        </w:rPr>
        <w:t xml:space="preserve">New York: Springer Verlag; 2009. </w:t>
      </w:r>
    </w:p>
    <w:p w14:paraId="570D8AB9" w14:textId="77777777" w:rsidR="009946CE" w:rsidRPr="00441D1B" w:rsidRDefault="009946CE" w:rsidP="009946CE">
      <w:pPr>
        <w:widowControl w:val="0"/>
        <w:autoSpaceDE w:val="0"/>
        <w:autoSpaceDN w:val="0"/>
        <w:adjustRightInd w:val="0"/>
        <w:spacing w:line="240" w:lineRule="auto"/>
        <w:ind w:left="480" w:hanging="480"/>
        <w:rPr>
          <w:rFonts w:cs="Calibri"/>
          <w:noProof/>
          <w:sz w:val="20"/>
          <w:szCs w:val="24"/>
          <w:lang w:val="nl-BE"/>
        </w:rPr>
      </w:pPr>
      <w:r w:rsidRPr="00441D1B">
        <w:rPr>
          <w:rFonts w:cs="Calibri"/>
          <w:noProof/>
          <w:sz w:val="20"/>
          <w:szCs w:val="24"/>
          <w:lang w:val="nl-BE"/>
        </w:rPr>
        <w:t xml:space="preserve">Volling C, Hassan K, Mazzulli T, Green K, Al-Den A, Hunter P, et al. </w:t>
      </w:r>
      <w:r w:rsidRPr="00441D1B">
        <w:rPr>
          <w:rFonts w:cs="Calibri"/>
          <w:noProof/>
          <w:sz w:val="20"/>
          <w:szCs w:val="24"/>
        </w:rPr>
        <w:t xml:space="preserve">Respiratory syncytial virus infection-associated hospitalization in adults: a retrospective cohort study. </w:t>
      </w:r>
      <w:r w:rsidRPr="00441D1B">
        <w:rPr>
          <w:rFonts w:cs="Calibri"/>
          <w:noProof/>
          <w:sz w:val="20"/>
          <w:szCs w:val="24"/>
          <w:lang w:val="nl-BE"/>
        </w:rPr>
        <w:t xml:space="preserve">BMC Infect Dis. 2014;14(1):665. </w:t>
      </w:r>
    </w:p>
    <w:p w14:paraId="3D8FB7AB" w14:textId="77777777" w:rsidR="009946CE" w:rsidRPr="00441D1B" w:rsidRDefault="009946CE" w:rsidP="009946CE">
      <w:pPr>
        <w:widowControl w:val="0"/>
        <w:autoSpaceDE w:val="0"/>
        <w:autoSpaceDN w:val="0"/>
        <w:adjustRightInd w:val="0"/>
        <w:spacing w:line="240" w:lineRule="auto"/>
        <w:ind w:left="480" w:hanging="480"/>
        <w:rPr>
          <w:rFonts w:cs="Calibri"/>
          <w:noProof/>
          <w:sz w:val="20"/>
        </w:rPr>
      </w:pPr>
      <w:r w:rsidRPr="00441D1B">
        <w:rPr>
          <w:rFonts w:cs="Calibri"/>
          <w:noProof/>
          <w:sz w:val="20"/>
          <w:szCs w:val="24"/>
          <w:lang w:val="nl-BE"/>
        </w:rPr>
        <w:t xml:space="preserve">van Vugt SF, Verheij TJM, de Jong PA, Butler CC, Hood K, Coenen S, et al. </w:t>
      </w:r>
      <w:r w:rsidRPr="00441D1B">
        <w:rPr>
          <w:rFonts w:cs="Calibri"/>
          <w:noProof/>
          <w:sz w:val="20"/>
          <w:szCs w:val="24"/>
        </w:rPr>
        <w:t xml:space="preserve">Diagnosing pneumonia in patients with acute cough: clinical judgment compared to chest radiography. Eur Respir J. 2013;42(4):1076–82. </w:t>
      </w:r>
    </w:p>
    <w:p w14:paraId="5857C1A3" w14:textId="18A969FB" w:rsidR="00811467" w:rsidRPr="00441D1B" w:rsidRDefault="00F03742" w:rsidP="00335C3D">
      <w:pPr>
        <w:rPr>
          <w:sz w:val="20"/>
        </w:rPr>
      </w:pPr>
      <w:r w:rsidRPr="00441D1B">
        <w:rPr>
          <w:sz w:val="20"/>
        </w:rPr>
        <w:fldChar w:fldCharType="end"/>
      </w:r>
    </w:p>
    <w:p w14:paraId="36538C70" w14:textId="77777777" w:rsidR="00811467" w:rsidRPr="00441D1B" w:rsidRDefault="00811467">
      <w:pPr>
        <w:spacing w:after="160" w:line="259" w:lineRule="auto"/>
        <w:rPr>
          <w:sz w:val="20"/>
        </w:rPr>
      </w:pPr>
      <w:r w:rsidRPr="00441D1B">
        <w:rPr>
          <w:sz w:val="20"/>
        </w:rPr>
        <w:br w:type="page"/>
      </w:r>
    </w:p>
    <w:p w14:paraId="7E86E919" w14:textId="27F72D82" w:rsidR="004701B2" w:rsidRPr="00441D1B" w:rsidRDefault="00811467" w:rsidP="00335C3D">
      <w:r w:rsidRPr="00441D1B">
        <w:lastRenderedPageBreak/>
        <w:t>TABLES</w:t>
      </w:r>
    </w:p>
    <w:p w14:paraId="78A514F1" w14:textId="77777777" w:rsidR="00811467" w:rsidRPr="00441D1B" w:rsidRDefault="00811467" w:rsidP="00811467">
      <w:pPr>
        <w:pStyle w:val="Caption"/>
        <w:keepNext/>
        <w:spacing w:line="480" w:lineRule="auto"/>
      </w:pPr>
      <w:r w:rsidRPr="00441D1B">
        <w:t xml:space="preserve">Table </w:t>
      </w:r>
      <w:r w:rsidRPr="00441D1B">
        <w:fldChar w:fldCharType="begin"/>
      </w:r>
      <w:r w:rsidRPr="00441D1B">
        <w:instrText xml:space="preserve"> SEQ Table \* ARABIC </w:instrText>
      </w:r>
      <w:r w:rsidRPr="00441D1B">
        <w:fldChar w:fldCharType="separate"/>
      </w:r>
      <w:r w:rsidRPr="00441D1B">
        <w:rPr>
          <w:noProof/>
        </w:rPr>
        <w:t>1</w:t>
      </w:r>
      <w:r w:rsidRPr="00441D1B">
        <w:fldChar w:fldCharType="end"/>
      </w:r>
      <w:r w:rsidRPr="00441D1B">
        <w:t>. Baseline characteristics for adult acute cough patients in primary care.</w:t>
      </w:r>
    </w:p>
    <w:tbl>
      <w:tblPr>
        <w:tblStyle w:val="PlainTable2"/>
        <w:tblW w:w="9308" w:type="dxa"/>
        <w:tblBorders>
          <w:top w:val="none" w:sz="0" w:space="0" w:color="auto"/>
          <w:bottom w:val="none" w:sz="0" w:space="0" w:color="auto"/>
        </w:tblBorders>
        <w:tblLook w:val="04A0" w:firstRow="1" w:lastRow="0" w:firstColumn="1" w:lastColumn="0" w:noHBand="0" w:noVBand="1"/>
      </w:tblPr>
      <w:tblGrid>
        <w:gridCol w:w="2303"/>
        <w:gridCol w:w="1619"/>
        <w:gridCol w:w="1770"/>
        <w:gridCol w:w="1669"/>
        <w:gridCol w:w="1947"/>
      </w:tblGrid>
      <w:tr w:rsidR="00811467" w:rsidRPr="00441D1B" w14:paraId="527C158E" w14:textId="77777777" w:rsidTr="005077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vAlign w:val="center"/>
          </w:tcPr>
          <w:p w14:paraId="70215730" w14:textId="77777777" w:rsidR="00811467" w:rsidRPr="00441D1B" w:rsidRDefault="00811467" w:rsidP="00293421">
            <w:pPr>
              <w:spacing w:after="160"/>
              <w:rPr>
                <w:sz w:val="20"/>
                <w:lang w:val="en-GB"/>
              </w:rPr>
            </w:pPr>
          </w:p>
        </w:tc>
        <w:tc>
          <w:tcPr>
            <w:tcW w:w="1619" w:type="dxa"/>
            <w:tcBorders>
              <w:top w:val="single" w:sz="4" w:space="0" w:color="auto"/>
              <w:left w:val="single" w:sz="4" w:space="0" w:color="auto"/>
              <w:bottom w:val="single" w:sz="4" w:space="0" w:color="auto"/>
              <w:right w:val="single" w:sz="4" w:space="0" w:color="auto"/>
            </w:tcBorders>
            <w:vAlign w:val="center"/>
          </w:tcPr>
          <w:p w14:paraId="4A1AAD2B" w14:textId="77777777" w:rsidR="00811467" w:rsidRPr="00441D1B" w:rsidRDefault="00811467" w:rsidP="00293421">
            <w:pPr>
              <w:spacing w:after="160"/>
              <w:jc w:val="center"/>
              <w:cnfStyle w:val="100000000000" w:firstRow="1" w:lastRow="0" w:firstColumn="0" w:lastColumn="0" w:oddVBand="0" w:evenVBand="0" w:oddHBand="0" w:evenHBand="0" w:firstRowFirstColumn="0" w:firstRowLastColumn="0" w:lastRowFirstColumn="0" w:lastRowLastColumn="0"/>
              <w:rPr>
                <w:sz w:val="20"/>
                <w:lang w:val="en-GB"/>
              </w:rPr>
            </w:pPr>
            <w:r w:rsidRPr="00441D1B">
              <w:rPr>
                <w:sz w:val="20"/>
                <w:lang w:val="en-GB"/>
              </w:rPr>
              <w:t xml:space="preserve">All adults  </w:t>
            </w:r>
            <w:r w:rsidRPr="00441D1B">
              <w:rPr>
                <w:sz w:val="20"/>
                <w:lang w:val="en-GB"/>
              </w:rPr>
              <w:br/>
              <w:t>(N=3104) – N (%)</w:t>
            </w:r>
          </w:p>
        </w:tc>
        <w:tc>
          <w:tcPr>
            <w:tcW w:w="0" w:type="auto"/>
            <w:tcBorders>
              <w:top w:val="single" w:sz="4" w:space="0" w:color="auto"/>
              <w:left w:val="single" w:sz="4" w:space="0" w:color="auto"/>
              <w:bottom w:val="single" w:sz="4" w:space="0" w:color="auto"/>
            </w:tcBorders>
            <w:vAlign w:val="center"/>
          </w:tcPr>
          <w:p w14:paraId="7C7237A3" w14:textId="77777777" w:rsidR="00811467" w:rsidRPr="00441D1B" w:rsidRDefault="00811467" w:rsidP="00293421">
            <w:pPr>
              <w:spacing w:after="160"/>
              <w:jc w:val="center"/>
              <w:cnfStyle w:val="100000000000" w:firstRow="1" w:lastRow="0" w:firstColumn="0" w:lastColumn="0" w:oddVBand="0" w:evenVBand="0" w:oddHBand="0" w:evenHBand="0" w:firstRowFirstColumn="0" w:firstRowLastColumn="0" w:lastRowFirstColumn="0" w:lastRowLastColumn="0"/>
              <w:rPr>
                <w:sz w:val="20"/>
                <w:lang w:val="en-GB"/>
              </w:rPr>
            </w:pPr>
            <w:r w:rsidRPr="00441D1B">
              <w:rPr>
                <w:sz w:val="20"/>
                <w:lang w:val="en-GB"/>
              </w:rPr>
              <w:t>18-59 years (N=1999) – N (%)</w:t>
            </w:r>
          </w:p>
        </w:tc>
        <w:tc>
          <w:tcPr>
            <w:tcW w:w="0" w:type="auto"/>
            <w:tcBorders>
              <w:top w:val="single" w:sz="4" w:space="0" w:color="auto"/>
              <w:bottom w:val="single" w:sz="4" w:space="0" w:color="auto"/>
            </w:tcBorders>
            <w:vAlign w:val="center"/>
          </w:tcPr>
          <w:p w14:paraId="44CD736F" w14:textId="77777777" w:rsidR="00811467" w:rsidRPr="00441D1B" w:rsidRDefault="00811467" w:rsidP="00293421">
            <w:pPr>
              <w:spacing w:after="160"/>
              <w:jc w:val="center"/>
              <w:cnfStyle w:val="100000000000" w:firstRow="1" w:lastRow="0" w:firstColumn="0" w:lastColumn="0" w:oddVBand="0" w:evenVBand="0" w:oddHBand="0" w:evenHBand="0" w:firstRowFirstColumn="0" w:firstRowLastColumn="0" w:lastRowFirstColumn="0" w:lastRowLastColumn="0"/>
              <w:rPr>
                <w:sz w:val="20"/>
                <w:lang w:val="en-GB"/>
              </w:rPr>
            </w:pPr>
            <w:r w:rsidRPr="00441D1B">
              <w:rPr>
                <w:sz w:val="20"/>
                <w:lang w:val="en-GB"/>
              </w:rPr>
              <w:t>60-74 years (N=791) – N (%)</w:t>
            </w:r>
          </w:p>
        </w:tc>
        <w:tc>
          <w:tcPr>
            <w:tcW w:w="0" w:type="auto"/>
            <w:tcBorders>
              <w:top w:val="single" w:sz="4" w:space="0" w:color="auto"/>
              <w:bottom w:val="single" w:sz="4" w:space="0" w:color="auto"/>
            </w:tcBorders>
            <w:vAlign w:val="center"/>
          </w:tcPr>
          <w:p w14:paraId="18D22FAF" w14:textId="77777777" w:rsidR="00811467" w:rsidRPr="00441D1B" w:rsidRDefault="00811467" w:rsidP="00293421">
            <w:pPr>
              <w:spacing w:after="160"/>
              <w:jc w:val="center"/>
              <w:cnfStyle w:val="100000000000" w:firstRow="1" w:lastRow="0" w:firstColumn="0" w:lastColumn="0" w:oddVBand="0" w:evenVBand="0" w:oddHBand="0" w:evenHBand="0" w:firstRowFirstColumn="0" w:firstRowLastColumn="0" w:lastRowFirstColumn="0" w:lastRowLastColumn="0"/>
              <w:rPr>
                <w:sz w:val="20"/>
                <w:lang w:val="en-GB"/>
              </w:rPr>
            </w:pPr>
            <w:r w:rsidRPr="00441D1B">
              <w:rPr>
                <w:sz w:val="20"/>
                <w:lang w:val="en-GB"/>
              </w:rPr>
              <w:t>75 years and older (N=224) – N (%)</w:t>
            </w:r>
          </w:p>
        </w:tc>
      </w:tr>
      <w:tr w:rsidR="00811467" w:rsidRPr="00441D1B" w14:paraId="58FE05D8" w14:textId="77777777" w:rsidTr="00507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vAlign w:val="bottom"/>
          </w:tcPr>
          <w:p w14:paraId="7D53BF46" w14:textId="77777777" w:rsidR="00811467" w:rsidRPr="00441D1B" w:rsidRDefault="00811467" w:rsidP="00293421">
            <w:pPr>
              <w:spacing w:after="160"/>
              <w:rPr>
                <w:sz w:val="20"/>
                <w:lang w:val="en-GB"/>
              </w:rPr>
            </w:pPr>
            <w:r w:rsidRPr="00441D1B">
              <w:rPr>
                <w:sz w:val="20"/>
                <w:lang w:val="en-GB"/>
              </w:rPr>
              <w:t>Gender: male</w:t>
            </w:r>
          </w:p>
        </w:tc>
        <w:tc>
          <w:tcPr>
            <w:tcW w:w="1619" w:type="dxa"/>
            <w:tcBorders>
              <w:top w:val="single" w:sz="4" w:space="0" w:color="auto"/>
              <w:left w:val="single" w:sz="4" w:space="0" w:color="auto"/>
              <w:right w:val="single" w:sz="4" w:space="0" w:color="auto"/>
            </w:tcBorders>
            <w:vAlign w:val="bottom"/>
          </w:tcPr>
          <w:p w14:paraId="10DDE6B4"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1215 (40.3)</w:t>
            </w:r>
          </w:p>
        </w:tc>
        <w:tc>
          <w:tcPr>
            <w:tcW w:w="0" w:type="auto"/>
            <w:tcBorders>
              <w:top w:val="single" w:sz="4" w:space="0" w:color="auto"/>
              <w:left w:val="single" w:sz="4" w:space="0" w:color="auto"/>
            </w:tcBorders>
            <w:vAlign w:val="bottom"/>
          </w:tcPr>
          <w:p w14:paraId="2BE84E0D"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760 (38.0)</w:t>
            </w:r>
          </w:p>
        </w:tc>
        <w:tc>
          <w:tcPr>
            <w:tcW w:w="0" w:type="auto"/>
            <w:tcBorders>
              <w:top w:val="single" w:sz="4" w:space="0" w:color="auto"/>
            </w:tcBorders>
            <w:vAlign w:val="bottom"/>
          </w:tcPr>
          <w:p w14:paraId="0A070737"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344 (43.5)</w:t>
            </w:r>
          </w:p>
        </w:tc>
        <w:tc>
          <w:tcPr>
            <w:tcW w:w="0" w:type="auto"/>
            <w:tcBorders>
              <w:top w:val="single" w:sz="4" w:space="0" w:color="auto"/>
            </w:tcBorders>
            <w:vAlign w:val="bottom"/>
          </w:tcPr>
          <w:p w14:paraId="4AAC8F30"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111 (49.6)</w:t>
            </w:r>
          </w:p>
        </w:tc>
      </w:tr>
      <w:tr w:rsidR="00811467" w:rsidRPr="00441D1B" w14:paraId="794D5CC7" w14:textId="77777777" w:rsidTr="00507700">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bottom"/>
          </w:tcPr>
          <w:p w14:paraId="24330E68" w14:textId="77777777" w:rsidR="00811467" w:rsidRPr="00441D1B" w:rsidRDefault="00811467" w:rsidP="00293421">
            <w:pPr>
              <w:spacing w:after="160"/>
              <w:rPr>
                <w:sz w:val="20"/>
                <w:vertAlign w:val="superscript"/>
                <w:lang w:val="en-GB"/>
              </w:rPr>
            </w:pPr>
            <w:r w:rsidRPr="00441D1B">
              <w:rPr>
                <w:sz w:val="20"/>
                <w:lang w:val="en-GB"/>
              </w:rPr>
              <w:t>History of pulmonary comorbidities</w:t>
            </w:r>
            <w:r w:rsidRPr="00441D1B">
              <w:rPr>
                <w:sz w:val="20"/>
                <w:vertAlign w:val="superscript"/>
                <w:lang w:val="en-GB"/>
              </w:rPr>
              <w:t>a</w:t>
            </w:r>
          </w:p>
        </w:tc>
        <w:tc>
          <w:tcPr>
            <w:tcW w:w="1619" w:type="dxa"/>
            <w:tcBorders>
              <w:left w:val="single" w:sz="4" w:space="0" w:color="auto"/>
              <w:right w:val="single" w:sz="4" w:space="0" w:color="auto"/>
            </w:tcBorders>
            <w:vAlign w:val="bottom"/>
          </w:tcPr>
          <w:p w14:paraId="55BC6493"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514 (17.1)</w:t>
            </w:r>
          </w:p>
        </w:tc>
        <w:tc>
          <w:tcPr>
            <w:tcW w:w="0" w:type="auto"/>
            <w:tcBorders>
              <w:left w:val="single" w:sz="4" w:space="0" w:color="auto"/>
            </w:tcBorders>
            <w:vAlign w:val="bottom"/>
          </w:tcPr>
          <w:p w14:paraId="376B4F78"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301 (15.1)</w:t>
            </w:r>
          </w:p>
        </w:tc>
        <w:tc>
          <w:tcPr>
            <w:tcW w:w="0" w:type="auto"/>
            <w:vAlign w:val="bottom"/>
          </w:tcPr>
          <w:p w14:paraId="2AD46FEF"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156 (19.7)</w:t>
            </w:r>
          </w:p>
        </w:tc>
        <w:tc>
          <w:tcPr>
            <w:tcW w:w="0" w:type="auto"/>
            <w:vAlign w:val="bottom"/>
          </w:tcPr>
          <w:p w14:paraId="32D6E649"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57 (25.4)</w:t>
            </w:r>
          </w:p>
        </w:tc>
      </w:tr>
      <w:tr w:rsidR="00811467" w:rsidRPr="00441D1B" w14:paraId="786089B5" w14:textId="77777777" w:rsidTr="00507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bottom"/>
          </w:tcPr>
          <w:p w14:paraId="27ED2B77" w14:textId="77777777" w:rsidR="00811467" w:rsidRPr="00441D1B" w:rsidRDefault="00811467" w:rsidP="00293421">
            <w:pPr>
              <w:spacing w:after="160"/>
              <w:rPr>
                <w:sz w:val="20"/>
                <w:vertAlign w:val="superscript"/>
                <w:lang w:val="en-GB"/>
              </w:rPr>
            </w:pPr>
            <w:r w:rsidRPr="00441D1B">
              <w:rPr>
                <w:sz w:val="20"/>
                <w:lang w:val="en-GB"/>
              </w:rPr>
              <w:t>History of cardiac comorbidities</w:t>
            </w:r>
            <w:r w:rsidRPr="00441D1B">
              <w:rPr>
                <w:sz w:val="20"/>
                <w:vertAlign w:val="superscript"/>
                <w:lang w:val="en-GB"/>
              </w:rPr>
              <w:t>b</w:t>
            </w:r>
          </w:p>
        </w:tc>
        <w:tc>
          <w:tcPr>
            <w:tcW w:w="1619" w:type="dxa"/>
            <w:tcBorders>
              <w:left w:val="single" w:sz="4" w:space="0" w:color="auto"/>
              <w:right w:val="single" w:sz="4" w:space="0" w:color="auto"/>
            </w:tcBorders>
            <w:vAlign w:val="bottom"/>
          </w:tcPr>
          <w:p w14:paraId="50A940BB"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277 (9.2)</w:t>
            </w:r>
          </w:p>
        </w:tc>
        <w:tc>
          <w:tcPr>
            <w:tcW w:w="0" w:type="auto"/>
            <w:tcBorders>
              <w:left w:val="single" w:sz="4" w:space="0" w:color="auto"/>
            </w:tcBorders>
            <w:vAlign w:val="bottom"/>
          </w:tcPr>
          <w:p w14:paraId="0825313C"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75 (3.8)</w:t>
            </w:r>
          </w:p>
        </w:tc>
        <w:tc>
          <w:tcPr>
            <w:tcW w:w="0" w:type="auto"/>
            <w:vAlign w:val="bottom"/>
          </w:tcPr>
          <w:p w14:paraId="15DE8279"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127 (16.1)</w:t>
            </w:r>
          </w:p>
        </w:tc>
        <w:tc>
          <w:tcPr>
            <w:tcW w:w="0" w:type="auto"/>
            <w:vAlign w:val="bottom"/>
          </w:tcPr>
          <w:p w14:paraId="14400DDD"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75 (33.5)</w:t>
            </w:r>
          </w:p>
        </w:tc>
      </w:tr>
      <w:tr w:rsidR="00811467" w:rsidRPr="00441D1B" w14:paraId="7ABB36C6" w14:textId="77777777" w:rsidTr="00507700">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bottom"/>
          </w:tcPr>
          <w:p w14:paraId="2A8FEE53" w14:textId="77777777" w:rsidR="00811467" w:rsidRPr="00441D1B" w:rsidRDefault="00811467" w:rsidP="00293421">
            <w:pPr>
              <w:spacing w:after="160"/>
              <w:rPr>
                <w:sz w:val="20"/>
                <w:lang w:val="en-GB"/>
              </w:rPr>
            </w:pPr>
            <w:r w:rsidRPr="00441D1B">
              <w:rPr>
                <w:sz w:val="20"/>
                <w:lang w:val="en-GB"/>
              </w:rPr>
              <w:t>Received influenza vaccination</w:t>
            </w:r>
          </w:p>
        </w:tc>
        <w:tc>
          <w:tcPr>
            <w:tcW w:w="1619" w:type="dxa"/>
            <w:tcBorders>
              <w:left w:val="single" w:sz="4" w:space="0" w:color="auto"/>
              <w:right w:val="single" w:sz="4" w:space="0" w:color="auto"/>
            </w:tcBorders>
            <w:vAlign w:val="bottom"/>
          </w:tcPr>
          <w:p w14:paraId="6EB6AC82"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720 (23.9)</w:t>
            </w:r>
          </w:p>
        </w:tc>
        <w:tc>
          <w:tcPr>
            <w:tcW w:w="0" w:type="auto"/>
            <w:tcBorders>
              <w:left w:val="single" w:sz="4" w:space="0" w:color="auto"/>
            </w:tcBorders>
            <w:vAlign w:val="bottom"/>
          </w:tcPr>
          <w:p w14:paraId="7104E691"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229 (11.5)</w:t>
            </w:r>
          </w:p>
        </w:tc>
        <w:tc>
          <w:tcPr>
            <w:tcW w:w="0" w:type="auto"/>
            <w:vAlign w:val="bottom"/>
          </w:tcPr>
          <w:p w14:paraId="640E45E1"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338 (42.8)</w:t>
            </w:r>
          </w:p>
        </w:tc>
        <w:tc>
          <w:tcPr>
            <w:tcW w:w="0" w:type="auto"/>
            <w:vAlign w:val="bottom"/>
          </w:tcPr>
          <w:p w14:paraId="129BB6A9"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153 (68.3)</w:t>
            </w:r>
          </w:p>
        </w:tc>
      </w:tr>
      <w:tr w:rsidR="00811467" w:rsidRPr="00441D1B" w14:paraId="04365E84" w14:textId="77777777" w:rsidTr="00507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bottom"/>
          </w:tcPr>
          <w:p w14:paraId="7B3151C5" w14:textId="77777777" w:rsidR="00811467" w:rsidRPr="00441D1B" w:rsidRDefault="00811467" w:rsidP="00293421">
            <w:pPr>
              <w:spacing w:after="160"/>
              <w:rPr>
                <w:sz w:val="20"/>
                <w:lang w:val="en-GB"/>
              </w:rPr>
            </w:pPr>
            <w:r w:rsidRPr="00441D1B">
              <w:rPr>
                <w:sz w:val="20"/>
                <w:lang w:val="en-GB"/>
              </w:rPr>
              <w:t>Current smoker</w:t>
            </w:r>
          </w:p>
        </w:tc>
        <w:tc>
          <w:tcPr>
            <w:tcW w:w="1619" w:type="dxa"/>
            <w:tcBorders>
              <w:left w:val="single" w:sz="4" w:space="0" w:color="auto"/>
              <w:right w:val="single" w:sz="4" w:space="0" w:color="auto"/>
            </w:tcBorders>
            <w:vAlign w:val="bottom"/>
          </w:tcPr>
          <w:p w14:paraId="2E1AFEE9"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845 (28.1)</w:t>
            </w:r>
          </w:p>
        </w:tc>
        <w:tc>
          <w:tcPr>
            <w:tcW w:w="0" w:type="auto"/>
            <w:tcBorders>
              <w:left w:val="single" w:sz="4" w:space="0" w:color="auto"/>
            </w:tcBorders>
            <w:vAlign w:val="bottom"/>
          </w:tcPr>
          <w:p w14:paraId="5CB1EC5C"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696 (34.9)</w:t>
            </w:r>
          </w:p>
        </w:tc>
        <w:tc>
          <w:tcPr>
            <w:tcW w:w="0" w:type="auto"/>
            <w:vAlign w:val="bottom"/>
          </w:tcPr>
          <w:p w14:paraId="30C57CB5"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139 (17.6)</w:t>
            </w:r>
          </w:p>
        </w:tc>
        <w:tc>
          <w:tcPr>
            <w:tcW w:w="0" w:type="auto"/>
            <w:vAlign w:val="bottom"/>
          </w:tcPr>
          <w:p w14:paraId="234E0C30"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10 (4.5)</w:t>
            </w:r>
          </w:p>
        </w:tc>
      </w:tr>
      <w:tr w:rsidR="00811467" w:rsidRPr="00441D1B" w14:paraId="4473FC1C" w14:textId="77777777" w:rsidTr="00507700">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bottom"/>
          </w:tcPr>
          <w:p w14:paraId="34D48F99" w14:textId="77777777" w:rsidR="00811467" w:rsidRPr="00441D1B" w:rsidRDefault="00811467" w:rsidP="00293421">
            <w:pPr>
              <w:spacing w:after="160"/>
              <w:rPr>
                <w:sz w:val="20"/>
                <w:lang w:val="en-GB"/>
              </w:rPr>
            </w:pPr>
            <w:r w:rsidRPr="00441D1B">
              <w:rPr>
                <w:sz w:val="20"/>
                <w:lang w:val="en-GB"/>
              </w:rPr>
              <w:t>Bacteria detected</w:t>
            </w:r>
          </w:p>
        </w:tc>
        <w:tc>
          <w:tcPr>
            <w:tcW w:w="1619" w:type="dxa"/>
            <w:tcBorders>
              <w:left w:val="single" w:sz="4" w:space="0" w:color="auto"/>
              <w:right w:val="single" w:sz="4" w:space="0" w:color="auto"/>
            </w:tcBorders>
            <w:vAlign w:val="bottom"/>
          </w:tcPr>
          <w:p w14:paraId="5995A969"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652 (21.6)</w:t>
            </w:r>
          </w:p>
        </w:tc>
        <w:tc>
          <w:tcPr>
            <w:tcW w:w="0" w:type="auto"/>
            <w:tcBorders>
              <w:left w:val="single" w:sz="4" w:space="0" w:color="auto"/>
            </w:tcBorders>
            <w:vAlign w:val="bottom"/>
          </w:tcPr>
          <w:p w14:paraId="5D911043"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429 (21.5)</w:t>
            </w:r>
          </w:p>
        </w:tc>
        <w:tc>
          <w:tcPr>
            <w:tcW w:w="0" w:type="auto"/>
            <w:vAlign w:val="bottom"/>
          </w:tcPr>
          <w:p w14:paraId="2129C27E"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179 (22.6)</w:t>
            </w:r>
          </w:p>
        </w:tc>
        <w:tc>
          <w:tcPr>
            <w:tcW w:w="0" w:type="auto"/>
            <w:vAlign w:val="bottom"/>
          </w:tcPr>
          <w:p w14:paraId="5A1721AE"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44 (19.6)</w:t>
            </w:r>
          </w:p>
        </w:tc>
      </w:tr>
      <w:tr w:rsidR="00811467" w:rsidRPr="00441D1B" w14:paraId="5C9958BD" w14:textId="77777777" w:rsidTr="005077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bottom"/>
          </w:tcPr>
          <w:p w14:paraId="309B873A" w14:textId="77777777" w:rsidR="00811467" w:rsidRPr="00441D1B" w:rsidRDefault="00811467" w:rsidP="00293421">
            <w:pPr>
              <w:spacing w:after="160"/>
              <w:rPr>
                <w:sz w:val="20"/>
                <w:lang w:val="en-GB"/>
              </w:rPr>
            </w:pPr>
            <w:r w:rsidRPr="00441D1B">
              <w:rPr>
                <w:sz w:val="20"/>
                <w:lang w:val="en-GB"/>
              </w:rPr>
              <w:t xml:space="preserve">Viruses detected </w:t>
            </w:r>
          </w:p>
        </w:tc>
        <w:tc>
          <w:tcPr>
            <w:tcW w:w="1619" w:type="dxa"/>
            <w:tcBorders>
              <w:left w:val="single" w:sz="4" w:space="0" w:color="auto"/>
              <w:right w:val="single" w:sz="4" w:space="0" w:color="auto"/>
            </w:tcBorders>
            <w:vAlign w:val="bottom"/>
          </w:tcPr>
          <w:p w14:paraId="599F99BB"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1494 (49.6)</w:t>
            </w:r>
          </w:p>
        </w:tc>
        <w:tc>
          <w:tcPr>
            <w:tcW w:w="0" w:type="auto"/>
            <w:tcBorders>
              <w:left w:val="single" w:sz="4" w:space="0" w:color="auto"/>
            </w:tcBorders>
            <w:vAlign w:val="bottom"/>
          </w:tcPr>
          <w:p w14:paraId="5AD976B8"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1033 (51.7)</w:t>
            </w:r>
          </w:p>
        </w:tc>
        <w:tc>
          <w:tcPr>
            <w:tcW w:w="0" w:type="auto"/>
            <w:vAlign w:val="bottom"/>
          </w:tcPr>
          <w:p w14:paraId="63AC5E3D"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358 (45.3)</w:t>
            </w:r>
          </w:p>
        </w:tc>
        <w:tc>
          <w:tcPr>
            <w:tcW w:w="0" w:type="auto"/>
            <w:vAlign w:val="bottom"/>
          </w:tcPr>
          <w:p w14:paraId="66A82B7D" w14:textId="77777777" w:rsidR="00811467" w:rsidRPr="00441D1B" w:rsidRDefault="00811467" w:rsidP="00293421">
            <w:pPr>
              <w:spacing w:after="160"/>
              <w:jc w:val="center"/>
              <w:cnfStyle w:val="000000100000" w:firstRow="0" w:lastRow="0" w:firstColumn="0" w:lastColumn="0" w:oddVBand="0" w:evenVBand="0" w:oddHBand="1" w:evenHBand="0" w:firstRowFirstColumn="0" w:firstRowLastColumn="0" w:lastRowFirstColumn="0" w:lastRowLastColumn="0"/>
              <w:rPr>
                <w:sz w:val="20"/>
                <w:lang w:val="en-GB"/>
              </w:rPr>
            </w:pPr>
            <w:r w:rsidRPr="00441D1B">
              <w:rPr>
                <w:sz w:val="20"/>
                <w:lang w:val="en-GB"/>
              </w:rPr>
              <w:t>103 (46.0)</w:t>
            </w:r>
          </w:p>
        </w:tc>
      </w:tr>
      <w:tr w:rsidR="00811467" w:rsidRPr="00441D1B" w14:paraId="3967AA27" w14:textId="77777777" w:rsidTr="0050770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vAlign w:val="bottom"/>
          </w:tcPr>
          <w:p w14:paraId="01EE2DF2" w14:textId="77777777" w:rsidR="00811467" w:rsidRPr="00441D1B" w:rsidRDefault="00811467" w:rsidP="00293421">
            <w:pPr>
              <w:spacing w:after="160"/>
              <w:rPr>
                <w:sz w:val="20"/>
                <w:vertAlign w:val="superscript"/>
                <w:lang w:val="en-GB"/>
              </w:rPr>
            </w:pPr>
            <w:r w:rsidRPr="00441D1B">
              <w:rPr>
                <w:sz w:val="20"/>
                <w:lang w:val="en-GB"/>
              </w:rPr>
              <w:t>Days coughing prior to consultation</w:t>
            </w:r>
            <w:r w:rsidRPr="00441D1B">
              <w:rPr>
                <w:sz w:val="20"/>
                <w:vertAlign w:val="superscript"/>
                <w:lang w:val="en-GB"/>
              </w:rPr>
              <w:t>c</w:t>
            </w:r>
          </w:p>
        </w:tc>
        <w:tc>
          <w:tcPr>
            <w:tcW w:w="1619" w:type="dxa"/>
            <w:tcBorders>
              <w:left w:val="single" w:sz="4" w:space="0" w:color="auto"/>
              <w:bottom w:val="single" w:sz="4" w:space="0" w:color="auto"/>
              <w:right w:val="single" w:sz="4" w:space="0" w:color="auto"/>
            </w:tcBorders>
            <w:vAlign w:val="bottom"/>
          </w:tcPr>
          <w:p w14:paraId="296543E1"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7 [3-14]</w:t>
            </w:r>
          </w:p>
        </w:tc>
        <w:tc>
          <w:tcPr>
            <w:tcW w:w="0" w:type="auto"/>
            <w:tcBorders>
              <w:left w:val="single" w:sz="4" w:space="0" w:color="auto"/>
              <w:bottom w:val="single" w:sz="4" w:space="0" w:color="auto"/>
            </w:tcBorders>
            <w:vAlign w:val="bottom"/>
          </w:tcPr>
          <w:p w14:paraId="2CE9D39A"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5 [3-10]</w:t>
            </w:r>
          </w:p>
        </w:tc>
        <w:tc>
          <w:tcPr>
            <w:tcW w:w="0" w:type="auto"/>
            <w:tcBorders>
              <w:bottom w:val="single" w:sz="4" w:space="0" w:color="auto"/>
            </w:tcBorders>
            <w:vAlign w:val="bottom"/>
          </w:tcPr>
          <w:p w14:paraId="216782A7"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7 [4-14]</w:t>
            </w:r>
          </w:p>
        </w:tc>
        <w:tc>
          <w:tcPr>
            <w:tcW w:w="0" w:type="auto"/>
            <w:tcBorders>
              <w:bottom w:val="single" w:sz="4" w:space="0" w:color="auto"/>
            </w:tcBorders>
            <w:vAlign w:val="bottom"/>
          </w:tcPr>
          <w:p w14:paraId="1B0C13FE" w14:textId="77777777" w:rsidR="00811467" w:rsidRPr="00441D1B" w:rsidRDefault="00811467" w:rsidP="00293421">
            <w:pPr>
              <w:spacing w:after="160"/>
              <w:jc w:val="center"/>
              <w:cnfStyle w:val="000000000000" w:firstRow="0" w:lastRow="0" w:firstColumn="0" w:lastColumn="0" w:oddVBand="0" w:evenVBand="0" w:oddHBand="0" w:evenHBand="0" w:firstRowFirstColumn="0" w:firstRowLastColumn="0" w:lastRowFirstColumn="0" w:lastRowLastColumn="0"/>
              <w:rPr>
                <w:sz w:val="20"/>
                <w:lang w:val="en-GB"/>
              </w:rPr>
            </w:pPr>
            <w:r w:rsidRPr="00441D1B">
              <w:rPr>
                <w:sz w:val="20"/>
                <w:lang w:val="en-GB"/>
              </w:rPr>
              <w:t>8 [5-15]</w:t>
            </w:r>
          </w:p>
        </w:tc>
      </w:tr>
    </w:tbl>
    <w:p w14:paraId="58F75A75" w14:textId="77777777" w:rsidR="00811467" w:rsidRPr="00441D1B" w:rsidRDefault="00811467" w:rsidP="00503854">
      <w:pPr>
        <w:spacing w:after="160"/>
        <w:rPr>
          <w:i/>
          <w:sz w:val="18"/>
          <w:lang w:val="en-GB"/>
        </w:rPr>
      </w:pPr>
      <w:r w:rsidRPr="00441D1B">
        <w:rPr>
          <w:i/>
          <w:sz w:val="18"/>
          <w:vertAlign w:val="superscript"/>
          <w:lang w:val="en-GB"/>
        </w:rPr>
        <w:t xml:space="preserve">a </w:t>
      </w:r>
      <w:r w:rsidRPr="00441D1B">
        <w:rPr>
          <w:i/>
          <w:sz w:val="18"/>
          <w:lang w:val="en-GB"/>
        </w:rPr>
        <w:t>Pulmonary comorbidities include asthma, chronic obstructive pulmonary disease and other chronic lung diseases.</w:t>
      </w:r>
      <w:r w:rsidRPr="00441D1B">
        <w:rPr>
          <w:i/>
          <w:sz w:val="18"/>
          <w:lang w:val="en-GB"/>
        </w:rPr>
        <w:br/>
      </w:r>
      <w:r w:rsidRPr="00441D1B">
        <w:rPr>
          <w:i/>
          <w:sz w:val="18"/>
          <w:vertAlign w:val="superscript"/>
          <w:lang w:val="en-GB"/>
        </w:rPr>
        <w:t xml:space="preserve">b </w:t>
      </w:r>
      <w:r w:rsidRPr="00441D1B">
        <w:rPr>
          <w:i/>
          <w:sz w:val="18"/>
          <w:lang w:val="en-GB"/>
        </w:rPr>
        <w:t xml:space="preserve">Cardiac comorbidities include heart failure, ischemic heart disease and other heart diseases.  </w:t>
      </w:r>
      <w:r w:rsidRPr="00441D1B">
        <w:rPr>
          <w:i/>
          <w:sz w:val="18"/>
          <w:lang w:val="en-GB"/>
        </w:rPr>
        <w:br/>
      </w:r>
      <w:r w:rsidRPr="00441D1B">
        <w:rPr>
          <w:i/>
          <w:sz w:val="18"/>
          <w:vertAlign w:val="superscript"/>
          <w:lang w:val="en-GB"/>
        </w:rPr>
        <w:t>c</w:t>
      </w:r>
      <w:r w:rsidRPr="00441D1B">
        <w:rPr>
          <w:i/>
          <w:sz w:val="18"/>
          <w:lang w:val="en-GB"/>
        </w:rPr>
        <w:t xml:space="preserve"> Median and interquartile range are reported here.</w:t>
      </w:r>
    </w:p>
    <w:p w14:paraId="06C14C8C" w14:textId="77777777" w:rsidR="00811467" w:rsidRPr="00441D1B" w:rsidRDefault="00811467" w:rsidP="00335C3D">
      <w:pPr>
        <w:sectPr w:rsidR="00811467" w:rsidRPr="00441D1B" w:rsidSect="00335C3D">
          <w:pgSz w:w="11906" w:h="16838"/>
          <w:pgMar w:top="1417" w:right="1417" w:bottom="1417" w:left="1417" w:header="708" w:footer="708" w:gutter="0"/>
          <w:lnNumType w:countBy="1" w:restart="continuous"/>
          <w:cols w:space="708"/>
          <w:docGrid w:linePitch="360"/>
        </w:sectPr>
      </w:pPr>
    </w:p>
    <w:p w14:paraId="01D768FA" w14:textId="77777777" w:rsidR="00811467" w:rsidRPr="00441D1B" w:rsidRDefault="00811467" w:rsidP="00811467">
      <w:pPr>
        <w:pStyle w:val="Caption"/>
        <w:keepNext/>
        <w:spacing w:line="300" w:lineRule="auto"/>
      </w:pPr>
      <w:r w:rsidRPr="00441D1B">
        <w:lastRenderedPageBreak/>
        <w:t xml:space="preserve">Table </w:t>
      </w:r>
      <w:r w:rsidRPr="00441D1B">
        <w:fldChar w:fldCharType="begin"/>
      </w:r>
      <w:r w:rsidRPr="00441D1B">
        <w:instrText xml:space="preserve"> SEQ Table \* ARABIC </w:instrText>
      </w:r>
      <w:r w:rsidRPr="00441D1B">
        <w:fldChar w:fldCharType="separate"/>
      </w:r>
      <w:r w:rsidRPr="00441D1B">
        <w:rPr>
          <w:noProof/>
        </w:rPr>
        <w:t>2</w:t>
      </w:r>
      <w:r w:rsidRPr="00441D1B">
        <w:fldChar w:fldCharType="end"/>
      </w:r>
      <w:r w:rsidRPr="00441D1B">
        <w:t>. Association of age with the prevalence of respiratory syncytial virus (RSV) and Influenza virus infection among adult acute cough patients in primary care.</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330"/>
        <w:gridCol w:w="1509"/>
        <w:gridCol w:w="1509"/>
        <w:gridCol w:w="1509"/>
        <w:gridCol w:w="1525"/>
        <w:gridCol w:w="1509"/>
        <w:gridCol w:w="1525"/>
      </w:tblGrid>
      <w:tr w:rsidR="0012303F" w:rsidRPr="00441D1B" w14:paraId="781973DC" w14:textId="73331F51" w:rsidTr="007E5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right w:val="single" w:sz="4" w:space="0" w:color="auto"/>
            </w:tcBorders>
          </w:tcPr>
          <w:p w14:paraId="3FE2F9DD" w14:textId="77777777" w:rsidR="0012303F" w:rsidRPr="00441D1B" w:rsidRDefault="0012303F" w:rsidP="0012303F">
            <w:pPr>
              <w:spacing w:after="160" w:line="300" w:lineRule="auto"/>
              <w:rPr>
                <w:sz w:val="20"/>
                <w:szCs w:val="20"/>
                <w:lang w:val="en-GB"/>
              </w:rPr>
            </w:pPr>
          </w:p>
        </w:tc>
        <w:tc>
          <w:tcPr>
            <w:tcW w:w="0" w:type="auto"/>
            <w:gridSpan w:val="2"/>
            <w:tcBorders>
              <w:top w:val="single" w:sz="4" w:space="0" w:color="auto"/>
              <w:left w:val="single" w:sz="4" w:space="0" w:color="auto"/>
              <w:bottom w:val="none" w:sz="0" w:space="0" w:color="auto"/>
              <w:right w:val="single" w:sz="4" w:space="0" w:color="auto"/>
            </w:tcBorders>
            <w:vAlign w:val="center"/>
          </w:tcPr>
          <w:p w14:paraId="0198723A" w14:textId="77777777" w:rsidR="0012303F" w:rsidRPr="00441D1B" w:rsidRDefault="0012303F" w:rsidP="0012303F">
            <w:pPr>
              <w:spacing w:after="160" w:line="30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RSV</w:t>
            </w:r>
          </w:p>
        </w:tc>
        <w:tc>
          <w:tcPr>
            <w:tcW w:w="0" w:type="auto"/>
            <w:gridSpan w:val="2"/>
            <w:tcBorders>
              <w:top w:val="single" w:sz="4" w:space="0" w:color="auto"/>
              <w:left w:val="single" w:sz="4" w:space="0" w:color="auto"/>
              <w:bottom w:val="none" w:sz="0" w:space="0" w:color="auto"/>
              <w:right w:val="single" w:sz="4" w:space="0" w:color="auto"/>
            </w:tcBorders>
            <w:vAlign w:val="center"/>
          </w:tcPr>
          <w:p w14:paraId="0B456608" w14:textId="28A83C05" w:rsidR="0012303F" w:rsidRPr="00441D1B" w:rsidRDefault="0012303F" w:rsidP="0012303F">
            <w:pPr>
              <w:spacing w:after="160" w:line="30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441D1B">
              <w:rPr>
                <w:sz w:val="20"/>
                <w:szCs w:val="20"/>
              </w:rPr>
              <w:t>Influenza A</w:t>
            </w:r>
          </w:p>
        </w:tc>
        <w:tc>
          <w:tcPr>
            <w:tcW w:w="0" w:type="auto"/>
            <w:gridSpan w:val="2"/>
            <w:tcBorders>
              <w:top w:val="single" w:sz="4" w:space="0" w:color="auto"/>
              <w:left w:val="single" w:sz="4" w:space="0" w:color="auto"/>
              <w:bottom w:val="none" w:sz="0" w:space="0" w:color="auto"/>
            </w:tcBorders>
            <w:vAlign w:val="center"/>
          </w:tcPr>
          <w:p w14:paraId="31058F08" w14:textId="02638DDB" w:rsidR="0012303F" w:rsidRPr="00441D1B" w:rsidRDefault="0012303F" w:rsidP="0012303F">
            <w:pPr>
              <w:spacing w:after="160" w:line="300" w:lineRule="auto"/>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Influenza</w:t>
            </w:r>
            <w:r w:rsidRPr="00441D1B">
              <w:rPr>
                <w:sz w:val="20"/>
                <w:szCs w:val="20"/>
              </w:rPr>
              <w:t xml:space="preserve"> B</w:t>
            </w:r>
          </w:p>
        </w:tc>
      </w:tr>
      <w:tr w:rsidR="00BA3054" w:rsidRPr="00441D1B" w14:paraId="1CB1CBE2" w14:textId="77777777" w:rsidTr="007E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037EB2EA" w14:textId="77777777" w:rsidR="00BA3054" w:rsidRPr="00441D1B" w:rsidRDefault="00BA3054" w:rsidP="00BA3054">
            <w:pPr>
              <w:spacing w:after="160" w:line="300" w:lineRule="auto"/>
              <w:rPr>
                <w:sz w:val="20"/>
                <w:szCs w:val="20"/>
                <w:lang w:val="en-GB"/>
              </w:rPr>
            </w:pPr>
          </w:p>
        </w:tc>
        <w:tc>
          <w:tcPr>
            <w:tcW w:w="0" w:type="auto"/>
            <w:tcBorders>
              <w:left w:val="single" w:sz="4" w:space="0" w:color="auto"/>
              <w:bottom w:val="single" w:sz="4" w:space="0" w:color="auto"/>
            </w:tcBorders>
            <w:vAlign w:val="center"/>
          </w:tcPr>
          <w:p w14:paraId="2EA27561" w14:textId="77777777"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lang w:val="en-GB"/>
              </w:rPr>
              <w:t xml:space="preserve">Univariate </w:t>
            </w:r>
            <w:r w:rsidRPr="00441D1B">
              <w:rPr>
                <w:b/>
                <w:sz w:val="20"/>
                <w:szCs w:val="20"/>
                <w:lang w:val="en-GB"/>
              </w:rPr>
              <w:br/>
              <w:t>OR (95% CI)</w:t>
            </w:r>
          </w:p>
        </w:tc>
        <w:tc>
          <w:tcPr>
            <w:tcW w:w="0" w:type="auto"/>
            <w:tcBorders>
              <w:bottom w:val="single" w:sz="4" w:space="0" w:color="auto"/>
              <w:right w:val="single" w:sz="4" w:space="0" w:color="auto"/>
            </w:tcBorders>
            <w:vAlign w:val="center"/>
          </w:tcPr>
          <w:p w14:paraId="2BFEDB58" w14:textId="554CF0F0"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lang w:val="en-GB"/>
              </w:rPr>
              <w:t xml:space="preserve">Univariate </w:t>
            </w:r>
            <w:r w:rsidRPr="00441D1B">
              <w:rPr>
                <w:b/>
                <w:sz w:val="20"/>
                <w:szCs w:val="20"/>
                <w:lang w:val="en-GB"/>
              </w:rPr>
              <w:br/>
              <w:t>OR (95% CI)</w:t>
            </w:r>
          </w:p>
        </w:tc>
        <w:tc>
          <w:tcPr>
            <w:tcW w:w="0" w:type="auto"/>
            <w:tcBorders>
              <w:left w:val="single" w:sz="4" w:space="0" w:color="auto"/>
              <w:bottom w:val="single" w:sz="4" w:space="0" w:color="auto"/>
            </w:tcBorders>
            <w:vAlign w:val="center"/>
          </w:tcPr>
          <w:p w14:paraId="6B318AA5" w14:textId="085D5BB1"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lang w:val="en-GB"/>
              </w:rPr>
              <w:t xml:space="preserve">Univariate </w:t>
            </w:r>
            <w:r w:rsidRPr="00441D1B">
              <w:rPr>
                <w:b/>
                <w:sz w:val="20"/>
                <w:szCs w:val="20"/>
                <w:lang w:val="en-GB"/>
              </w:rPr>
              <w:br/>
              <w:t>OR (95% CI)</w:t>
            </w:r>
          </w:p>
        </w:tc>
        <w:tc>
          <w:tcPr>
            <w:tcW w:w="0" w:type="auto"/>
            <w:tcBorders>
              <w:bottom w:val="single" w:sz="4" w:space="0" w:color="auto"/>
              <w:right w:val="single" w:sz="4" w:space="0" w:color="auto"/>
            </w:tcBorders>
            <w:vAlign w:val="center"/>
          </w:tcPr>
          <w:p w14:paraId="66A0C750" w14:textId="22278683"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lang w:val="en-GB"/>
              </w:rPr>
              <w:t xml:space="preserve">Multivariate </w:t>
            </w:r>
            <w:r w:rsidRPr="00441D1B">
              <w:rPr>
                <w:b/>
                <w:sz w:val="20"/>
                <w:szCs w:val="20"/>
                <w:lang w:val="en-GB"/>
              </w:rPr>
              <w:br/>
              <w:t>OR (95% CI)</w:t>
            </w:r>
          </w:p>
        </w:tc>
        <w:tc>
          <w:tcPr>
            <w:tcW w:w="0" w:type="auto"/>
            <w:tcBorders>
              <w:left w:val="single" w:sz="4" w:space="0" w:color="auto"/>
              <w:bottom w:val="single" w:sz="4" w:space="0" w:color="auto"/>
            </w:tcBorders>
            <w:vAlign w:val="center"/>
          </w:tcPr>
          <w:p w14:paraId="410B2D24" w14:textId="36BBF8EE"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lang w:val="en-GB"/>
              </w:rPr>
              <w:t xml:space="preserve">Univariate </w:t>
            </w:r>
            <w:r w:rsidRPr="00441D1B">
              <w:rPr>
                <w:b/>
                <w:sz w:val="20"/>
                <w:szCs w:val="20"/>
                <w:lang w:val="en-GB"/>
              </w:rPr>
              <w:br/>
              <w:t>OR (95% CI)</w:t>
            </w:r>
          </w:p>
        </w:tc>
        <w:tc>
          <w:tcPr>
            <w:tcW w:w="0" w:type="auto"/>
            <w:tcBorders>
              <w:bottom w:val="single" w:sz="4" w:space="0" w:color="auto"/>
            </w:tcBorders>
            <w:vAlign w:val="center"/>
          </w:tcPr>
          <w:p w14:paraId="297DD0D3" w14:textId="741E28C0"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lang w:val="en-GB"/>
              </w:rPr>
              <w:t xml:space="preserve">Multivariate </w:t>
            </w:r>
            <w:r w:rsidRPr="00441D1B">
              <w:rPr>
                <w:b/>
                <w:sz w:val="20"/>
                <w:szCs w:val="20"/>
                <w:lang w:val="en-GB"/>
              </w:rPr>
              <w:br/>
              <w:t>OR (95% CI)</w:t>
            </w:r>
          </w:p>
        </w:tc>
      </w:tr>
      <w:tr w:rsidR="00BA3054" w:rsidRPr="00441D1B" w14:paraId="08AE916F" w14:textId="77777777" w:rsidTr="0087393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dashed" w:sz="4" w:space="0" w:color="auto"/>
              <w:right w:val="single" w:sz="4" w:space="0" w:color="auto"/>
            </w:tcBorders>
          </w:tcPr>
          <w:p w14:paraId="6BE75931" w14:textId="77777777" w:rsidR="00BA3054" w:rsidRPr="00441D1B" w:rsidRDefault="00BA3054" w:rsidP="00BA3054">
            <w:pPr>
              <w:spacing w:after="160" w:line="300" w:lineRule="auto"/>
              <w:rPr>
                <w:sz w:val="20"/>
                <w:szCs w:val="20"/>
                <w:vertAlign w:val="superscript"/>
                <w:lang w:val="en-GB"/>
              </w:rPr>
            </w:pPr>
            <w:r w:rsidRPr="00441D1B">
              <w:rPr>
                <w:sz w:val="20"/>
                <w:szCs w:val="20"/>
                <w:lang w:val="en-GB"/>
              </w:rPr>
              <w:t>60-74 years versus 18-59 years</w:t>
            </w:r>
          </w:p>
          <w:p w14:paraId="2555A091" w14:textId="77777777" w:rsidR="00BA3054" w:rsidRPr="00441D1B" w:rsidRDefault="00BA3054" w:rsidP="00BA3054">
            <w:pPr>
              <w:spacing w:after="160" w:line="300" w:lineRule="auto"/>
              <w:rPr>
                <w:sz w:val="20"/>
                <w:szCs w:val="20"/>
                <w:vertAlign w:val="superscript"/>
                <w:lang w:val="en-GB"/>
              </w:rPr>
            </w:pPr>
            <w:r w:rsidRPr="00441D1B">
              <w:rPr>
                <w:rFonts w:cs="Calibri"/>
                <w:sz w:val="20"/>
                <w:szCs w:val="20"/>
                <w:lang w:val="en-GB"/>
              </w:rPr>
              <w:t>75 years and older versus 18-59 years</w:t>
            </w:r>
          </w:p>
          <w:p w14:paraId="60FDA694" w14:textId="77777777" w:rsidR="00BA3054" w:rsidRPr="00441D1B" w:rsidRDefault="00BA3054" w:rsidP="00BA3054">
            <w:pPr>
              <w:spacing w:after="160" w:line="300" w:lineRule="auto"/>
              <w:rPr>
                <w:sz w:val="20"/>
                <w:szCs w:val="20"/>
                <w:lang w:val="en-GB"/>
              </w:rPr>
            </w:pPr>
            <w:r w:rsidRPr="00441D1B">
              <w:rPr>
                <w:sz w:val="20"/>
                <w:szCs w:val="20"/>
                <w:lang w:val="en-GB"/>
              </w:rPr>
              <w:t xml:space="preserve">75 years and older </w:t>
            </w:r>
            <w:r w:rsidRPr="00441D1B">
              <w:rPr>
                <w:rFonts w:cs="Calibri"/>
                <w:sz w:val="20"/>
                <w:szCs w:val="20"/>
                <w:lang w:val="en-GB"/>
              </w:rPr>
              <w:t>versus 60-74 years</w:t>
            </w:r>
          </w:p>
        </w:tc>
        <w:tc>
          <w:tcPr>
            <w:tcW w:w="0" w:type="auto"/>
            <w:tcBorders>
              <w:top w:val="single" w:sz="4" w:space="0" w:color="auto"/>
              <w:left w:val="single" w:sz="4" w:space="0" w:color="auto"/>
              <w:bottom w:val="dashed" w:sz="4" w:space="0" w:color="auto"/>
            </w:tcBorders>
            <w:vAlign w:val="center"/>
          </w:tcPr>
          <w:p w14:paraId="7DEC55AD"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1.25 [0.79-1.97]</w:t>
            </w:r>
          </w:p>
          <w:p w14:paraId="6E9FCCD9"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2.11 [1.14-3.91]</w:t>
            </w:r>
          </w:p>
          <w:p w14:paraId="03829C8B"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1.70 [0.87-3.32]</w:t>
            </w:r>
          </w:p>
        </w:tc>
        <w:tc>
          <w:tcPr>
            <w:tcW w:w="0" w:type="auto"/>
            <w:tcBorders>
              <w:top w:val="single" w:sz="4" w:space="0" w:color="auto"/>
              <w:bottom w:val="dashed" w:sz="4" w:space="0" w:color="auto"/>
              <w:right w:val="single" w:sz="4" w:space="0" w:color="auto"/>
            </w:tcBorders>
            <w:vAlign w:val="center"/>
          </w:tcPr>
          <w:p w14:paraId="030A26D9"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0.51 [0.31-0.83]</w:t>
            </w:r>
          </w:p>
          <w:p w14:paraId="3FE95B55"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0.33 [0.11-0.95]</w:t>
            </w:r>
          </w:p>
          <w:p w14:paraId="0B34C1D9" w14:textId="22700E82"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0.64 [0.21-2.00]</w:t>
            </w:r>
          </w:p>
        </w:tc>
        <w:tc>
          <w:tcPr>
            <w:tcW w:w="0" w:type="auto"/>
            <w:tcBorders>
              <w:top w:val="single" w:sz="4" w:space="0" w:color="auto"/>
              <w:left w:val="single" w:sz="4" w:space="0" w:color="auto"/>
              <w:bottom w:val="dashed" w:sz="4" w:space="0" w:color="auto"/>
            </w:tcBorders>
            <w:vAlign w:val="center"/>
          </w:tcPr>
          <w:p w14:paraId="437CF634"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0.51 [0.31-0.83]</w:t>
            </w:r>
          </w:p>
          <w:p w14:paraId="4220A0E2"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0.33 [0.11-0.95]</w:t>
            </w:r>
          </w:p>
          <w:p w14:paraId="01FD5B88" w14:textId="3401BF9C"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0.64 [0.21-2.00]</w:t>
            </w:r>
          </w:p>
        </w:tc>
        <w:tc>
          <w:tcPr>
            <w:tcW w:w="0" w:type="auto"/>
            <w:tcBorders>
              <w:top w:val="single" w:sz="4" w:space="0" w:color="auto"/>
              <w:bottom w:val="dashed" w:sz="4" w:space="0" w:color="auto"/>
              <w:right w:val="single" w:sz="4" w:space="0" w:color="auto"/>
            </w:tcBorders>
            <w:vAlign w:val="center"/>
          </w:tcPr>
          <w:p w14:paraId="693D8A97"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0.69 [0.41-1.18]</w:t>
            </w:r>
          </w:p>
          <w:p w14:paraId="2DF49D84"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0.62 [0.20-1.95]</w:t>
            </w:r>
          </w:p>
          <w:p w14:paraId="6FAD1EA2" w14:textId="5A13356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0.89 [0.28-2.90]</w:t>
            </w:r>
          </w:p>
        </w:tc>
        <w:tc>
          <w:tcPr>
            <w:tcW w:w="0" w:type="auto"/>
            <w:tcBorders>
              <w:top w:val="single" w:sz="4" w:space="0" w:color="auto"/>
              <w:left w:val="single" w:sz="4" w:space="0" w:color="auto"/>
              <w:bottom w:val="dashed" w:sz="4" w:space="0" w:color="auto"/>
            </w:tcBorders>
            <w:vAlign w:val="center"/>
          </w:tcPr>
          <w:p w14:paraId="1EF6B92E"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0.53 [0.28-0.99]</w:t>
            </w:r>
          </w:p>
          <w:p w14:paraId="0EB615B3"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0.57 [0.19-1.67]</w:t>
            </w:r>
          </w:p>
          <w:p w14:paraId="5F7D2FD4" w14:textId="2AB8CDA6"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1.07 [0.33-3.51]</w:t>
            </w:r>
          </w:p>
        </w:tc>
        <w:tc>
          <w:tcPr>
            <w:tcW w:w="0" w:type="auto"/>
            <w:tcBorders>
              <w:top w:val="single" w:sz="4" w:space="0" w:color="auto"/>
              <w:bottom w:val="dashed" w:sz="4" w:space="0" w:color="auto"/>
            </w:tcBorders>
            <w:vAlign w:val="center"/>
          </w:tcPr>
          <w:p w14:paraId="138D2F40"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0.82 [0.42-1.60]</w:t>
            </w:r>
          </w:p>
          <w:p w14:paraId="17A4B635"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rPr>
            </w:pPr>
            <w:r w:rsidRPr="00441D1B">
              <w:rPr>
                <w:sz w:val="20"/>
                <w:szCs w:val="20"/>
              </w:rPr>
              <w:t>1.14 [0.35-3.73]</w:t>
            </w:r>
          </w:p>
          <w:p w14:paraId="44580680" w14:textId="42CEEE9C"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1.39 [0.40-4.83]</w:t>
            </w:r>
          </w:p>
        </w:tc>
      </w:tr>
      <w:tr w:rsidR="00BA3054" w:rsidRPr="00441D1B" w14:paraId="49CBFDFD" w14:textId="77777777" w:rsidTr="00873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dashed" w:sz="4" w:space="0" w:color="auto"/>
              <w:bottom w:val="none" w:sz="0" w:space="0" w:color="auto"/>
              <w:right w:val="single" w:sz="4" w:space="0" w:color="auto"/>
            </w:tcBorders>
          </w:tcPr>
          <w:p w14:paraId="2C0E1443" w14:textId="77777777" w:rsidR="00BA3054" w:rsidRPr="00441D1B" w:rsidRDefault="00BA3054" w:rsidP="00BA3054">
            <w:pPr>
              <w:spacing w:after="160" w:line="300" w:lineRule="auto"/>
              <w:rPr>
                <w:sz w:val="20"/>
                <w:szCs w:val="20"/>
                <w:lang w:val="en-GB"/>
              </w:rPr>
            </w:pPr>
            <w:r w:rsidRPr="00441D1B">
              <w:rPr>
                <w:sz w:val="20"/>
                <w:szCs w:val="20"/>
                <w:lang w:val="en-GB"/>
              </w:rPr>
              <w:t>Gender: male</w:t>
            </w:r>
          </w:p>
        </w:tc>
        <w:tc>
          <w:tcPr>
            <w:tcW w:w="0" w:type="auto"/>
            <w:tcBorders>
              <w:top w:val="dashed" w:sz="4" w:space="0" w:color="auto"/>
              <w:left w:val="single" w:sz="4" w:space="0" w:color="auto"/>
              <w:bottom w:val="none" w:sz="0" w:space="0" w:color="auto"/>
            </w:tcBorders>
            <w:vAlign w:val="center"/>
          </w:tcPr>
          <w:p w14:paraId="332C0603" w14:textId="77777777"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lang w:val="en-GB"/>
              </w:rPr>
              <w:t>0.86 [0.61-1.21]</w:t>
            </w:r>
          </w:p>
        </w:tc>
        <w:tc>
          <w:tcPr>
            <w:tcW w:w="0" w:type="auto"/>
            <w:tcBorders>
              <w:top w:val="dashed" w:sz="4" w:space="0" w:color="auto"/>
              <w:bottom w:val="none" w:sz="0" w:space="0" w:color="auto"/>
              <w:right w:val="single" w:sz="4" w:space="0" w:color="auto"/>
            </w:tcBorders>
            <w:vAlign w:val="center"/>
          </w:tcPr>
          <w:p w14:paraId="1074E8FE" w14:textId="35827187"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0.88 [0.64-1.21]</w:t>
            </w:r>
          </w:p>
        </w:tc>
        <w:tc>
          <w:tcPr>
            <w:tcW w:w="0" w:type="auto"/>
            <w:tcBorders>
              <w:top w:val="dashed" w:sz="4" w:space="0" w:color="auto"/>
              <w:left w:val="single" w:sz="4" w:space="0" w:color="auto"/>
              <w:bottom w:val="none" w:sz="0" w:space="0" w:color="auto"/>
            </w:tcBorders>
            <w:vAlign w:val="center"/>
          </w:tcPr>
          <w:p w14:paraId="701B0AB3" w14:textId="58DD6CA1"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0.88 [0.64-1.21]</w:t>
            </w:r>
          </w:p>
        </w:tc>
        <w:tc>
          <w:tcPr>
            <w:tcW w:w="0" w:type="auto"/>
            <w:tcBorders>
              <w:top w:val="dashed" w:sz="4" w:space="0" w:color="auto"/>
              <w:bottom w:val="none" w:sz="0" w:space="0" w:color="auto"/>
              <w:right w:val="single" w:sz="4" w:space="0" w:color="auto"/>
            </w:tcBorders>
            <w:vAlign w:val="center"/>
          </w:tcPr>
          <w:p w14:paraId="5876583B" w14:textId="68AAB772"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w:t>
            </w:r>
          </w:p>
        </w:tc>
        <w:tc>
          <w:tcPr>
            <w:tcW w:w="0" w:type="auto"/>
            <w:tcBorders>
              <w:top w:val="dashed" w:sz="4" w:space="0" w:color="auto"/>
              <w:left w:val="single" w:sz="4" w:space="0" w:color="auto"/>
              <w:bottom w:val="none" w:sz="0" w:space="0" w:color="auto"/>
            </w:tcBorders>
            <w:vAlign w:val="center"/>
          </w:tcPr>
          <w:p w14:paraId="4F23BC27" w14:textId="5C55FF47"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1.24 [0.83-1.83]</w:t>
            </w:r>
          </w:p>
        </w:tc>
        <w:tc>
          <w:tcPr>
            <w:tcW w:w="0" w:type="auto"/>
            <w:tcBorders>
              <w:top w:val="dashed" w:sz="4" w:space="0" w:color="auto"/>
              <w:bottom w:val="none" w:sz="0" w:space="0" w:color="auto"/>
            </w:tcBorders>
            <w:vAlign w:val="center"/>
          </w:tcPr>
          <w:p w14:paraId="3AEF795B" w14:textId="49852C4B"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w:t>
            </w:r>
          </w:p>
        </w:tc>
      </w:tr>
      <w:tr w:rsidR="00BA3054" w:rsidRPr="00441D1B" w14:paraId="2DBFC4C7" w14:textId="77777777" w:rsidTr="00873939">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1DBC241" w14:textId="77777777" w:rsidR="00BA3054" w:rsidRPr="00441D1B" w:rsidRDefault="00BA3054" w:rsidP="00BA3054">
            <w:pPr>
              <w:spacing w:after="160" w:line="300" w:lineRule="auto"/>
              <w:rPr>
                <w:sz w:val="20"/>
                <w:szCs w:val="20"/>
                <w:vertAlign w:val="superscript"/>
                <w:lang w:val="en-GB"/>
              </w:rPr>
            </w:pPr>
            <w:r w:rsidRPr="00441D1B">
              <w:rPr>
                <w:sz w:val="20"/>
                <w:szCs w:val="20"/>
                <w:lang w:val="en-GB"/>
              </w:rPr>
              <w:t>History of pulmonary comorbidities</w:t>
            </w:r>
            <w:r w:rsidRPr="00441D1B">
              <w:rPr>
                <w:sz w:val="20"/>
                <w:szCs w:val="20"/>
                <w:vertAlign w:val="superscript"/>
                <w:lang w:val="en-GB"/>
              </w:rPr>
              <w:t>a</w:t>
            </w:r>
          </w:p>
        </w:tc>
        <w:tc>
          <w:tcPr>
            <w:tcW w:w="0" w:type="auto"/>
            <w:tcBorders>
              <w:left w:val="single" w:sz="4" w:space="0" w:color="auto"/>
            </w:tcBorders>
            <w:vAlign w:val="center"/>
          </w:tcPr>
          <w:p w14:paraId="56B80E4E"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1.24 [0.82-1.88]</w:t>
            </w:r>
          </w:p>
        </w:tc>
        <w:tc>
          <w:tcPr>
            <w:tcW w:w="0" w:type="auto"/>
            <w:tcBorders>
              <w:right w:val="single" w:sz="4" w:space="0" w:color="auto"/>
            </w:tcBorders>
            <w:vAlign w:val="center"/>
          </w:tcPr>
          <w:p w14:paraId="03575F49" w14:textId="7BAA3047"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0.96 [0.63-1.47]</w:t>
            </w:r>
          </w:p>
        </w:tc>
        <w:tc>
          <w:tcPr>
            <w:tcW w:w="0" w:type="auto"/>
            <w:tcBorders>
              <w:left w:val="single" w:sz="4" w:space="0" w:color="auto"/>
            </w:tcBorders>
            <w:vAlign w:val="center"/>
          </w:tcPr>
          <w:p w14:paraId="49EF2D10" w14:textId="4763B446"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0.96 [0.63-1.47]</w:t>
            </w:r>
          </w:p>
        </w:tc>
        <w:tc>
          <w:tcPr>
            <w:tcW w:w="0" w:type="auto"/>
            <w:tcBorders>
              <w:right w:val="single" w:sz="4" w:space="0" w:color="auto"/>
            </w:tcBorders>
            <w:vAlign w:val="center"/>
          </w:tcPr>
          <w:p w14:paraId="77A0ABD5" w14:textId="2B82F883"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w:t>
            </w:r>
          </w:p>
        </w:tc>
        <w:tc>
          <w:tcPr>
            <w:tcW w:w="0" w:type="auto"/>
            <w:tcBorders>
              <w:left w:val="single" w:sz="4" w:space="0" w:color="auto"/>
            </w:tcBorders>
            <w:vAlign w:val="center"/>
          </w:tcPr>
          <w:p w14:paraId="69ECEF3B" w14:textId="318464AA"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0.48 [0.24-0.95]</w:t>
            </w:r>
          </w:p>
        </w:tc>
        <w:tc>
          <w:tcPr>
            <w:tcW w:w="0" w:type="auto"/>
            <w:vAlign w:val="center"/>
          </w:tcPr>
          <w:p w14:paraId="6E09A63E" w14:textId="67C14815"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0.55 [0.27-1.13]</w:t>
            </w:r>
          </w:p>
        </w:tc>
      </w:tr>
      <w:tr w:rsidR="00BA3054" w:rsidRPr="00441D1B" w14:paraId="1ED8DE5C" w14:textId="77777777" w:rsidTr="00873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single" w:sz="4" w:space="0" w:color="auto"/>
            </w:tcBorders>
          </w:tcPr>
          <w:p w14:paraId="30ECD438" w14:textId="77777777" w:rsidR="00BA3054" w:rsidRPr="00441D1B" w:rsidRDefault="00BA3054" w:rsidP="00BA3054">
            <w:pPr>
              <w:spacing w:after="160" w:line="300" w:lineRule="auto"/>
              <w:rPr>
                <w:sz w:val="20"/>
                <w:szCs w:val="20"/>
                <w:vertAlign w:val="superscript"/>
                <w:lang w:val="en-GB"/>
              </w:rPr>
            </w:pPr>
            <w:r w:rsidRPr="00441D1B">
              <w:rPr>
                <w:sz w:val="20"/>
                <w:szCs w:val="20"/>
                <w:lang w:val="en-GB"/>
              </w:rPr>
              <w:t>History of cardiac comorbidities</w:t>
            </w:r>
            <w:r w:rsidRPr="00441D1B">
              <w:rPr>
                <w:sz w:val="20"/>
                <w:szCs w:val="20"/>
                <w:vertAlign w:val="superscript"/>
                <w:lang w:val="en-GB"/>
              </w:rPr>
              <w:t>b</w:t>
            </w:r>
          </w:p>
        </w:tc>
        <w:tc>
          <w:tcPr>
            <w:tcW w:w="0" w:type="auto"/>
            <w:tcBorders>
              <w:top w:val="none" w:sz="0" w:space="0" w:color="auto"/>
              <w:left w:val="single" w:sz="4" w:space="0" w:color="auto"/>
              <w:bottom w:val="none" w:sz="0" w:space="0" w:color="auto"/>
            </w:tcBorders>
            <w:vAlign w:val="center"/>
          </w:tcPr>
          <w:p w14:paraId="08963E97" w14:textId="77777777"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lang w:val="en-GB"/>
              </w:rPr>
              <w:t>1.34 [0.80-2.26]</w:t>
            </w:r>
          </w:p>
        </w:tc>
        <w:tc>
          <w:tcPr>
            <w:tcW w:w="0" w:type="auto"/>
            <w:tcBorders>
              <w:top w:val="none" w:sz="0" w:space="0" w:color="auto"/>
              <w:bottom w:val="none" w:sz="0" w:space="0" w:color="auto"/>
              <w:right w:val="single" w:sz="4" w:space="0" w:color="auto"/>
            </w:tcBorders>
            <w:vAlign w:val="center"/>
          </w:tcPr>
          <w:p w14:paraId="158DA284" w14:textId="21F9A289"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0.41 [0.19-0.87]</w:t>
            </w:r>
          </w:p>
        </w:tc>
        <w:tc>
          <w:tcPr>
            <w:tcW w:w="0" w:type="auto"/>
            <w:tcBorders>
              <w:top w:val="none" w:sz="0" w:space="0" w:color="auto"/>
              <w:left w:val="single" w:sz="4" w:space="0" w:color="auto"/>
              <w:bottom w:val="none" w:sz="0" w:space="0" w:color="auto"/>
            </w:tcBorders>
            <w:vAlign w:val="center"/>
          </w:tcPr>
          <w:p w14:paraId="75A05247" w14:textId="609C413C"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0.41 [0.19-0.87]</w:t>
            </w:r>
          </w:p>
        </w:tc>
        <w:tc>
          <w:tcPr>
            <w:tcW w:w="0" w:type="auto"/>
            <w:tcBorders>
              <w:top w:val="none" w:sz="0" w:space="0" w:color="auto"/>
              <w:bottom w:val="none" w:sz="0" w:space="0" w:color="auto"/>
              <w:right w:val="single" w:sz="4" w:space="0" w:color="auto"/>
            </w:tcBorders>
            <w:vAlign w:val="center"/>
          </w:tcPr>
          <w:p w14:paraId="22817411" w14:textId="2A217FC2"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0.64 [0.29-1.44]</w:t>
            </w:r>
          </w:p>
        </w:tc>
        <w:tc>
          <w:tcPr>
            <w:tcW w:w="0" w:type="auto"/>
            <w:tcBorders>
              <w:top w:val="none" w:sz="0" w:space="0" w:color="auto"/>
              <w:left w:val="single" w:sz="4" w:space="0" w:color="auto"/>
              <w:bottom w:val="none" w:sz="0" w:space="0" w:color="auto"/>
            </w:tcBorders>
            <w:vAlign w:val="center"/>
          </w:tcPr>
          <w:p w14:paraId="5B4E76D5" w14:textId="62A71012"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0.80 [0.39-1.66]</w:t>
            </w:r>
          </w:p>
        </w:tc>
        <w:tc>
          <w:tcPr>
            <w:tcW w:w="0" w:type="auto"/>
            <w:tcBorders>
              <w:top w:val="none" w:sz="0" w:space="0" w:color="auto"/>
              <w:bottom w:val="none" w:sz="0" w:space="0" w:color="auto"/>
            </w:tcBorders>
            <w:vAlign w:val="center"/>
          </w:tcPr>
          <w:p w14:paraId="06EBDCF5" w14:textId="321F07D8" w:rsidR="00BA3054" w:rsidRPr="00441D1B" w:rsidRDefault="00BA3054" w:rsidP="00BA3054">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w:t>
            </w:r>
          </w:p>
        </w:tc>
      </w:tr>
      <w:tr w:rsidR="00BA3054" w:rsidRPr="00441D1B" w14:paraId="7673A616" w14:textId="77777777" w:rsidTr="00873939">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0D73303" w14:textId="77777777" w:rsidR="00BA3054" w:rsidRPr="00441D1B" w:rsidRDefault="00BA3054" w:rsidP="00BA3054">
            <w:pPr>
              <w:spacing w:after="160" w:line="300" w:lineRule="auto"/>
              <w:rPr>
                <w:sz w:val="20"/>
                <w:szCs w:val="20"/>
                <w:lang w:val="en-GB"/>
              </w:rPr>
            </w:pPr>
            <w:r w:rsidRPr="00441D1B">
              <w:rPr>
                <w:sz w:val="20"/>
                <w:szCs w:val="20"/>
                <w:lang w:val="en-GB"/>
              </w:rPr>
              <w:t>Received influenza vaccination</w:t>
            </w:r>
          </w:p>
        </w:tc>
        <w:tc>
          <w:tcPr>
            <w:tcW w:w="0" w:type="auto"/>
            <w:tcBorders>
              <w:left w:val="single" w:sz="4" w:space="0" w:color="auto"/>
            </w:tcBorders>
            <w:vAlign w:val="center"/>
          </w:tcPr>
          <w:p w14:paraId="5ACCA76C"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1.38 [0.95-1.99]</w:t>
            </w:r>
          </w:p>
        </w:tc>
        <w:tc>
          <w:tcPr>
            <w:tcW w:w="0" w:type="auto"/>
            <w:tcBorders>
              <w:right w:val="single" w:sz="4" w:space="0" w:color="auto"/>
            </w:tcBorders>
            <w:vAlign w:val="center"/>
          </w:tcPr>
          <w:p w14:paraId="48F5FA01" w14:textId="62BAED71"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0.42 [0.26-0.68]</w:t>
            </w:r>
          </w:p>
        </w:tc>
        <w:tc>
          <w:tcPr>
            <w:tcW w:w="0" w:type="auto"/>
            <w:tcBorders>
              <w:left w:val="single" w:sz="4" w:space="0" w:color="auto"/>
            </w:tcBorders>
            <w:vAlign w:val="center"/>
          </w:tcPr>
          <w:p w14:paraId="1F84D9D9" w14:textId="675F4F3A"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0.42 [0.26-0.68]</w:t>
            </w:r>
          </w:p>
        </w:tc>
        <w:tc>
          <w:tcPr>
            <w:tcW w:w="0" w:type="auto"/>
            <w:tcBorders>
              <w:right w:val="single" w:sz="4" w:space="0" w:color="auto"/>
            </w:tcBorders>
            <w:vAlign w:val="center"/>
          </w:tcPr>
          <w:p w14:paraId="46A6195F" w14:textId="3DF91B50"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b/>
                <w:sz w:val="20"/>
                <w:szCs w:val="20"/>
              </w:rPr>
              <w:t>0.52 [0.31-0.87]</w:t>
            </w:r>
          </w:p>
        </w:tc>
        <w:tc>
          <w:tcPr>
            <w:tcW w:w="0" w:type="auto"/>
            <w:tcBorders>
              <w:left w:val="single" w:sz="4" w:space="0" w:color="auto"/>
            </w:tcBorders>
            <w:vAlign w:val="center"/>
          </w:tcPr>
          <w:p w14:paraId="6D282C8C" w14:textId="7F3EF076"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0.46 [0.26-0.84]</w:t>
            </w:r>
          </w:p>
        </w:tc>
        <w:tc>
          <w:tcPr>
            <w:tcW w:w="0" w:type="auto"/>
            <w:vAlign w:val="center"/>
          </w:tcPr>
          <w:p w14:paraId="783FAFF3" w14:textId="289D6A91"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b/>
                <w:sz w:val="20"/>
                <w:szCs w:val="20"/>
              </w:rPr>
              <w:t>0.52 [0.27-0.99]</w:t>
            </w:r>
          </w:p>
        </w:tc>
      </w:tr>
      <w:tr w:rsidR="00BA3054" w:rsidRPr="00441D1B" w14:paraId="2022CA3F" w14:textId="77777777" w:rsidTr="00101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single" w:sz="4" w:space="0" w:color="auto"/>
            </w:tcBorders>
          </w:tcPr>
          <w:p w14:paraId="4DB7A0F0" w14:textId="77777777" w:rsidR="00BA3054" w:rsidRPr="00441D1B" w:rsidRDefault="00BA3054" w:rsidP="00BA3054">
            <w:pPr>
              <w:spacing w:after="160" w:line="300" w:lineRule="auto"/>
              <w:rPr>
                <w:sz w:val="20"/>
                <w:szCs w:val="20"/>
                <w:lang w:val="en-GB"/>
              </w:rPr>
            </w:pPr>
            <w:r w:rsidRPr="00441D1B">
              <w:rPr>
                <w:sz w:val="20"/>
                <w:szCs w:val="20"/>
                <w:lang w:val="en-GB"/>
              </w:rPr>
              <w:t>Current smoker</w:t>
            </w:r>
          </w:p>
        </w:tc>
        <w:tc>
          <w:tcPr>
            <w:tcW w:w="0" w:type="auto"/>
            <w:tcBorders>
              <w:top w:val="none" w:sz="0" w:space="0" w:color="auto"/>
              <w:left w:val="single" w:sz="4" w:space="0" w:color="auto"/>
              <w:bottom w:val="none" w:sz="0" w:space="0" w:color="auto"/>
            </w:tcBorders>
            <w:vAlign w:val="center"/>
          </w:tcPr>
          <w:p w14:paraId="18A5F646" w14:textId="77777777"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lang w:val="en-GB"/>
              </w:rPr>
              <w:t>0.66 [0.44-0.99]</w:t>
            </w:r>
          </w:p>
        </w:tc>
        <w:tc>
          <w:tcPr>
            <w:tcW w:w="0" w:type="auto"/>
            <w:tcBorders>
              <w:top w:val="none" w:sz="0" w:space="0" w:color="auto"/>
              <w:bottom w:val="none" w:sz="0" w:space="0" w:color="auto"/>
              <w:right w:val="single" w:sz="4" w:space="0" w:color="auto"/>
            </w:tcBorders>
            <w:vAlign w:val="center"/>
          </w:tcPr>
          <w:p w14:paraId="30ECA6F1" w14:textId="00AB671F"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0.68 [0.47-0.99]</w:t>
            </w:r>
          </w:p>
        </w:tc>
        <w:tc>
          <w:tcPr>
            <w:tcW w:w="0" w:type="auto"/>
            <w:tcBorders>
              <w:top w:val="none" w:sz="0" w:space="0" w:color="auto"/>
              <w:left w:val="single" w:sz="4" w:space="0" w:color="auto"/>
              <w:bottom w:val="none" w:sz="0" w:space="0" w:color="auto"/>
            </w:tcBorders>
            <w:vAlign w:val="center"/>
          </w:tcPr>
          <w:p w14:paraId="01CD2759" w14:textId="2072799B"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0.68 [0.47-0.99]</w:t>
            </w:r>
          </w:p>
        </w:tc>
        <w:tc>
          <w:tcPr>
            <w:tcW w:w="0" w:type="auto"/>
            <w:tcBorders>
              <w:top w:val="none" w:sz="0" w:space="0" w:color="auto"/>
              <w:bottom w:val="none" w:sz="0" w:space="0" w:color="auto"/>
              <w:right w:val="single" w:sz="4" w:space="0" w:color="auto"/>
            </w:tcBorders>
            <w:vAlign w:val="center"/>
          </w:tcPr>
          <w:p w14:paraId="366B32DC" w14:textId="56C6BFE3"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b/>
                <w:sz w:val="20"/>
                <w:szCs w:val="20"/>
              </w:rPr>
              <w:t>0.60 [0.40-0.89]</w:t>
            </w:r>
          </w:p>
        </w:tc>
        <w:tc>
          <w:tcPr>
            <w:tcW w:w="0" w:type="auto"/>
            <w:tcBorders>
              <w:top w:val="none" w:sz="0" w:space="0" w:color="auto"/>
              <w:left w:val="single" w:sz="4" w:space="0" w:color="auto"/>
              <w:bottom w:val="none" w:sz="0" w:space="0" w:color="auto"/>
            </w:tcBorders>
            <w:vAlign w:val="center"/>
          </w:tcPr>
          <w:p w14:paraId="498AFE3C" w14:textId="716DB702"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0.88 [0.56-1.38]</w:t>
            </w:r>
          </w:p>
        </w:tc>
        <w:tc>
          <w:tcPr>
            <w:tcW w:w="0" w:type="auto"/>
            <w:tcBorders>
              <w:top w:val="none" w:sz="0" w:space="0" w:color="auto"/>
              <w:bottom w:val="none" w:sz="0" w:space="0" w:color="auto"/>
            </w:tcBorders>
            <w:vAlign w:val="center"/>
          </w:tcPr>
          <w:p w14:paraId="31E5A22A" w14:textId="48BF206B" w:rsidR="00BA3054" w:rsidRPr="00441D1B" w:rsidRDefault="00BA3054" w:rsidP="00101D15">
            <w:pPr>
              <w:spacing w:after="160" w:line="300" w:lineRule="auto"/>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rPr>
              <w:t>-</w:t>
            </w:r>
          </w:p>
        </w:tc>
      </w:tr>
      <w:tr w:rsidR="00BA3054" w:rsidRPr="00441D1B" w14:paraId="54FB7257" w14:textId="77777777" w:rsidTr="00873939">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71B587EF" w14:textId="77777777" w:rsidR="00BA3054" w:rsidRPr="00441D1B" w:rsidRDefault="00BA3054" w:rsidP="00BA3054">
            <w:pPr>
              <w:spacing w:after="160" w:line="300" w:lineRule="auto"/>
              <w:rPr>
                <w:sz w:val="20"/>
                <w:szCs w:val="20"/>
                <w:lang w:val="en-GB"/>
              </w:rPr>
            </w:pPr>
            <w:r w:rsidRPr="00441D1B">
              <w:rPr>
                <w:sz w:val="20"/>
                <w:szCs w:val="20"/>
                <w:lang w:val="en-GB"/>
              </w:rPr>
              <w:t>Bacteria detected</w:t>
            </w:r>
          </w:p>
        </w:tc>
        <w:tc>
          <w:tcPr>
            <w:tcW w:w="0" w:type="auto"/>
            <w:tcBorders>
              <w:left w:val="single" w:sz="4" w:space="0" w:color="auto"/>
            </w:tcBorders>
            <w:vAlign w:val="center"/>
          </w:tcPr>
          <w:p w14:paraId="5C2CCCBD"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0.91 [0.60-1.38]</w:t>
            </w:r>
          </w:p>
        </w:tc>
        <w:tc>
          <w:tcPr>
            <w:tcW w:w="0" w:type="auto"/>
            <w:tcBorders>
              <w:right w:val="single" w:sz="4" w:space="0" w:color="auto"/>
            </w:tcBorders>
            <w:vAlign w:val="center"/>
          </w:tcPr>
          <w:p w14:paraId="0FD64EAC" w14:textId="32E8588E"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1.07 [0.74-1.55]</w:t>
            </w:r>
          </w:p>
        </w:tc>
        <w:tc>
          <w:tcPr>
            <w:tcW w:w="0" w:type="auto"/>
            <w:tcBorders>
              <w:left w:val="single" w:sz="4" w:space="0" w:color="auto"/>
            </w:tcBorders>
            <w:vAlign w:val="center"/>
          </w:tcPr>
          <w:p w14:paraId="2B94D19C" w14:textId="14845DB0"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1.07 [0.74-1.55]</w:t>
            </w:r>
          </w:p>
        </w:tc>
        <w:tc>
          <w:tcPr>
            <w:tcW w:w="0" w:type="auto"/>
            <w:tcBorders>
              <w:right w:val="single" w:sz="4" w:space="0" w:color="auto"/>
            </w:tcBorders>
            <w:vAlign w:val="center"/>
          </w:tcPr>
          <w:p w14:paraId="073A1F33" w14:textId="4E0B200B"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w:t>
            </w:r>
          </w:p>
        </w:tc>
        <w:tc>
          <w:tcPr>
            <w:tcW w:w="0" w:type="auto"/>
            <w:tcBorders>
              <w:left w:val="single" w:sz="4" w:space="0" w:color="auto"/>
            </w:tcBorders>
            <w:vAlign w:val="center"/>
          </w:tcPr>
          <w:p w14:paraId="5BCB8C9E" w14:textId="7CCF9258"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1.37 [0.88-2.13]</w:t>
            </w:r>
          </w:p>
        </w:tc>
        <w:tc>
          <w:tcPr>
            <w:tcW w:w="0" w:type="auto"/>
            <w:vAlign w:val="center"/>
          </w:tcPr>
          <w:p w14:paraId="3DB764AC" w14:textId="58917E64" w:rsidR="00BA3054" w:rsidRPr="00441D1B" w:rsidRDefault="00BA3054" w:rsidP="00BA3054">
            <w:pPr>
              <w:spacing w:after="160" w:line="300" w:lineRule="auto"/>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rPr>
              <w:t>-</w:t>
            </w:r>
          </w:p>
        </w:tc>
      </w:tr>
      <w:tr w:rsidR="00BA3054" w:rsidRPr="00441D1B" w14:paraId="4BFD0E01" w14:textId="77777777" w:rsidTr="008739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single" w:sz="4" w:space="0" w:color="auto"/>
            </w:tcBorders>
          </w:tcPr>
          <w:p w14:paraId="4D5E51F1" w14:textId="77777777" w:rsidR="00BA3054" w:rsidRPr="00441D1B" w:rsidRDefault="00BA3054" w:rsidP="00BA3054">
            <w:pPr>
              <w:spacing w:after="160" w:line="300" w:lineRule="auto"/>
              <w:rPr>
                <w:sz w:val="20"/>
                <w:szCs w:val="20"/>
                <w:lang w:val="en-GB"/>
              </w:rPr>
            </w:pPr>
            <w:r w:rsidRPr="00441D1B">
              <w:rPr>
                <w:sz w:val="20"/>
                <w:szCs w:val="20"/>
                <w:lang w:val="en-GB"/>
              </w:rPr>
              <w:t>Other viruses detected</w:t>
            </w:r>
          </w:p>
        </w:tc>
        <w:tc>
          <w:tcPr>
            <w:tcW w:w="0" w:type="auto"/>
            <w:tcBorders>
              <w:top w:val="none" w:sz="0" w:space="0" w:color="auto"/>
              <w:left w:val="single" w:sz="4" w:space="0" w:color="auto"/>
              <w:bottom w:val="none" w:sz="0" w:space="0" w:color="auto"/>
            </w:tcBorders>
            <w:vAlign w:val="center"/>
          </w:tcPr>
          <w:p w14:paraId="367A5854" w14:textId="77777777"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sz w:val="20"/>
                <w:szCs w:val="20"/>
                <w:lang w:val="en-GB"/>
              </w:rPr>
            </w:pPr>
            <w:r w:rsidRPr="00441D1B">
              <w:rPr>
                <w:sz w:val="20"/>
                <w:szCs w:val="20"/>
                <w:lang w:val="en-GB"/>
              </w:rPr>
              <w:t>0.23 [0.14-0.35]</w:t>
            </w:r>
          </w:p>
        </w:tc>
        <w:tc>
          <w:tcPr>
            <w:tcW w:w="0" w:type="auto"/>
            <w:tcBorders>
              <w:top w:val="none" w:sz="0" w:space="0" w:color="auto"/>
              <w:bottom w:val="none" w:sz="0" w:space="0" w:color="auto"/>
              <w:right w:val="single" w:sz="4" w:space="0" w:color="auto"/>
            </w:tcBorders>
            <w:vAlign w:val="center"/>
          </w:tcPr>
          <w:p w14:paraId="301092A7" w14:textId="66EF2E07"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sz w:val="20"/>
                <w:szCs w:val="20"/>
              </w:rPr>
              <w:t>0.23 [0.15-0.35]</w:t>
            </w:r>
          </w:p>
        </w:tc>
        <w:tc>
          <w:tcPr>
            <w:tcW w:w="0" w:type="auto"/>
            <w:tcBorders>
              <w:top w:val="none" w:sz="0" w:space="0" w:color="auto"/>
              <w:left w:val="single" w:sz="4" w:space="0" w:color="auto"/>
              <w:bottom w:val="none" w:sz="0" w:space="0" w:color="auto"/>
            </w:tcBorders>
            <w:vAlign w:val="center"/>
          </w:tcPr>
          <w:p w14:paraId="06D6E3B1" w14:textId="0031B818"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sz w:val="20"/>
                <w:szCs w:val="20"/>
              </w:rPr>
              <w:t>0.23 [0.15-0.35]</w:t>
            </w:r>
          </w:p>
        </w:tc>
        <w:tc>
          <w:tcPr>
            <w:tcW w:w="0" w:type="auto"/>
            <w:tcBorders>
              <w:top w:val="none" w:sz="0" w:space="0" w:color="auto"/>
              <w:bottom w:val="none" w:sz="0" w:space="0" w:color="auto"/>
              <w:right w:val="single" w:sz="4" w:space="0" w:color="auto"/>
            </w:tcBorders>
            <w:vAlign w:val="center"/>
          </w:tcPr>
          <w:p w14:paraId="7CE9BAAA" w14:textId="72C6F080"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rPr>
              <w:t>0.17 [0.11-0.26]</w:t>
            </w:r>
          </w:p>
        </w:tc>
        <w:tc>
          <w:tcPr>
            <w:tcW w:w="0" w:type="auto"/>
            <w:tcBorders>
              <w:top w:val="none" w:sz="0" w:space="0" w:color="auto"/>
              <w:left w:val="single" w:sz="4" w:space="0" w:color="auto"/>
              <w:bottom w:val="none" w:sz="0" w:space="0" w:color="auto"/>
            </w:tcBorders>
            <w:vAlign w:val="center"/>
          </w:tcPr>
          <w:p w14:paraId="2DAB02E5" w14:textId="032F93AA"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sz w:val="20"/>
                <w:szCs w:val="20"/>
              </w:rPr>
              <w:t>0.16 [0.09-0.28]</w:t>
            </w:r>
          </w:p>
        </w:tc>
        <w:tc>
          <w:tcPr>
            <w:tcW w:w="0" w:type="auto"/>
            <w:tcBorders>
              <w:top w:val="none" w:sz="0" w:space="0" w:color="auto"/>
              <w:bottom w:val="none" w:sz="0" w:space="0" w:color="auto"/>
            </w:tcBorders>
            <w:vAlign w:val="center"/>
          </w:tcPr>
          <w:p w14:paraId="0E9B56D3" w14:textId="0B7DF793" w:rsidR="00BA3054" w:rsidRPr="00441D1B" w:rsidRDefault="00BA3054" w:rsidP="00BA3054">
            <w:pPr>
              <w:spacing w:after="160" w:line="300" w:lineRule="auto"/>
              <w:cnfStyle w:val="000000100000" w:firstRow="0" w:lastRow="0" w:firstColumn="0" w:lastColumn="0" w:oddVBand="0" w:evenVBand="0" w:oddHBand="1" w:evenHBand="0" w:firstRowFirstColumn="0" w:firstRowLastColumn="0" w:lastRowFirstColumn="0" w:lastRowLastColumn="0"/>
              <w:rPr>
                <w:b/>
                <w:sz w:val="20"/>
                <w:szCs w:val="20"/>
                <w:lang w:val="en-GB"/>
              </w:rPr>
            </w:pPr>
            <w:r w:rsidRPr="00441D1B">
              <w:rPr>
                <w:b/>
                <w:sz w:val="20"/>
                <w:szCs w:val="20"/>
              </w:rPr>
              <w:t>0.10 [0.06-0.19]</w:t>
            </w:r>
          </w:p>
        </w:tc>
      </w:tr>
      <w:tr w:rsidR="00BA3054" w:rsidRPr="00441D1B" w14:paraId="4D4B2A04" w14:textId="77777777" w:rsidTr="00873939">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tcPr>
          <w:p w14:paraId="460F2184" w14:textId="77777777" w:rsidR="00BA3054" w:rsidRPr="00441D1B" w:rsidRDefault="00BA3054" w:rsidP="00BA3054">
            <w:pPr>
              <w:spacing w:after="160" w:line="300" w:lineRule="auto"/>
              <w:rPr>
                <w:sz w:val="20"/>
                <w:szCs w:val="20"/>
                <w:vertAlign w:val="superscript"/>
                <w:lang w:val="en-GB"/>
              </w:rPr>
            </w:pPr>
            <w:r w:rsidRPr="00441D1B">
              <w:rPr>
                <w:sz w:val="20"/>
                <w:szCs w:val="20"/>
                <w:lang w:val="en-GB"/>
              </w:rPr>
              <w:t>Days coughing prior to consultation</w:t>
            </w:r>
          </w:p>
        </w:tc>
        <w:tc>
          <w:tcPr>
            <w:tcW w:w="0" w:type="auto"/>
            <w:tcBorders>
              <w:left w:val="single" w:sz="4" w:space="0" w:color="auto"/>
              <w:bottom w:val="single" w:sz="4" w:space="0" w:color="auto"/>
            </w:tcBorders>
            <w:vAlign w:val="center"/>
          </w:tcPr>
          <w:p w14:paraId="4D85A709" w14:textId="7777777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sz w:val="20"/>
                <w:szCs w:val="20"/>
                <w:lang w:val="en-GB"/>
              </w:rPr>
            </w:pPr>
            <w:r w:rsidRPr="00441D1B">
              <w:rPr>
                <w:sz w:val="20"/>
                <w:szCs w:val="20"/>
                <w:lang w:val="en-GB"/>
              </w:rPr>
              <w:t>0.95 [0.92-0.98]</w:t>
            </w:r>
          </w:p>
        </w:tc>
        <w:tc>
          <w:tcPr>
            <w:tcW w:w="0" w:type="auto"/>
            <w:tcBorders>
              <w:bottom w:val="single" w:sz="4" w:space="0" w:color="auto"/>
              <w:right w:val="single" w:sz="4" w:space="0" w:color="auto"/>
            </w:tcBorders>
            <w:vAlign w:val="center"/>
          </w:tcPr>
          <w:p w14:paraId="143D41FF" w14:textId="5F23FEEE"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b/>
                <w:sz w:val="20"/>
                <w:szCs w:val="20"/>
                <w:lang w:val="en-GB"/>
              </w:rPr>
            </w:pPr>
            <w:r w:rsidRPr="00441D1B">
              <w:rPr>
                <w:sz w:val="20"/>
                <w:szCs w:val="20"/>
              </w:rPr>
              <w:t>0.90 [0.86-0.93]</w:t>
            </w:r>
          </w:p>
        </w:tc>
        <w:tc>
          <w:tcPr>
            <w:tcW w:w="0" w:type="auto"/>
            <w:tcBorders>
              <w:left w:val="single" w:sz="4" w:space="0" w:color="auto"/>
              <w:bottom w:val="single" w:sz="4" w:space="0" w:color="auto"/>
            </w:tcBorders>
            <w:vAlign w:val="center"/>
          </w:tcPr>
          <w:p w14:paraId="0D1992A8" w14:textId="7D5D7887"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b/>
                <w:sz w:val="20"/>
                <w:szCs w:val="20"/>
                <w:lang w:val="en-GB"/>
              </w:rPr>
            </w:pPr>
            <w:r w:rsidRPr="00441D1B">
              <w:rPr>
                <w:sz w:val="20"/>
                <w:szCs w:val="20"/>
              </w:rPr>
              <w:t>0.90 [0.86-0.93]</w:t>
            </w:r>
          </w:p>
        </w:tc>
        <w:tc>
          <w:tcPr>
            <w:tcW w:w="0" w:type="auto"/>
            <w:tcBorders>
              <w:bottom w:val="single" w:sz="4" w:space="0" w:color="auto"/>
              <w:right w:val="single" w:sz="4" w:space="0" w:color="auto"/>
            </w:tcBorders>
            <w:vAlign w:val="center"/>
          </w:tcPr>
          <w:p w14:paraId="291BE14B" w14:textId="466B9B0A"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b/>
                <w:sz w:val="20"/>
                <w:szCs w:val="20"/>
                <w:lang w:val="en-GB"/>
              </w:rPr>
            </w:pPr>
            <w:r w:rsidRPr="00441D1B">
              <w:rPr>
                <w:b/>
                <w:sz w:val="20"/>
                <w:szCs w:val="20"/>
              </w:rPr>
              <w:t>0.87 [0.84-0.91]</w:t>
            </w:r>
          </w:p>
        </w:tc>
        <w:tc>
          <w:tcPr>
            <w:tcW w:w="0" w:type="auto"/>
            <w:tcBorders>
              <w:left w:val="single" w:sz="4" w:space="0" w:color="auto"/>
              <w:bottom w:val="single" w:sz="4" w:space="0" w:color="auto"/>
            </w:tcBorders>
            <w:vAlign w:val="center"/>
          </w:tcPr>
          <w:p w14:paraId="2D9EBECF" w14:textId="6D1F4F04"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b/>
                <w:sz w:val="20"/>
                <w:szCs w:val="20"/>
                <w:lang w:val="en-GB"/>
              </w:rPr>
            </w:pPr>
            <w:r w:rsidRPr="00441D1B">
              <w:rPr>
                <w:sz w:val="20"/>
                <w:szCs w:val="20"/>
              </w:rPr>
              <w:t>0.84 [0.79-0.89]</w:t>
            </w:r>
          </w:p>
        </w:tc>
        <w:tc>
          <w:tcPr>
            <w:tcW w:w="0" w:type="auto"/>
            <w:tcBorders>
              <w:bottom w:val="single" w:sz="4" w:space="0" w:color="auto"/>
            </w:tcBorders>
            <w:vAlign w:val="center"/>
          </w:tcPr>
          <w:p w14:paraId="1B65D532" w14:textId="6BE0D376" w:rsidR="00BA3054" w:rsidRPr="00441D1B" w:rsidRDefault="00BA3054" w:rsidP="00BA3054">
            <w:pPr>
              <w:spacing w:after="160" w:line="300" w:lineRule="auto"/>
              <w:cnfStyle w:val="000000000000" w:firstRow="0" w:lastRow="0" w:firstColumn="0" w:lastColumn="0" w:oddVBand="0" w:evenVBand="0" w:oddHBand="0" w:evenHBand="0" w:firstRowFirstColumn="0" w:firstRowLastColumn="0" w:lastRowFirstColumn="0" w:lastRowLastColumn="0"/>
              <w:rPr>
                <w:b/>
                <w:sz w:val="20"/>
                <w:szCs w:val="20"/>
                <w:lang w:val="en-GB"/>
              </w:rPr>
            </w:pPr>
            <w:r w:rsidRPr="00441D1B">
              <w:rPr>
                <w:b/>
                <w:sz w:val="20"/>
                <w:szCs w:val="20"/>
              </w:rPr>
              <w:t>0.80 [0.75-0.86]</w:t>
            </w:r>
          </w:p>
        </w:tc>
      </w:tr>
    </w:tbl>
    <w:p w14:paraId="50998EAC" w14:textId="5879900B" w:rsidR="00811467" w:rsidRPr="00441D1B" w:rsidRDefault="00811467" w:rsidP="00335C3D">
      <w:pPr>
        <w:rPr>
          <w:i/>
          <w:sz w:val="18"/>
          <w:lang w:val="en-GB"/>
        </w:rPr>
      </w:pPr>
      <w:r w:rsidRPr="00441D1B">
        <w:rPr>
          <w:i/>
          <w:sz w:val="18"/>
          <w:lang w:val="en-GB"/>
        </w:rPr>
        <w:t xml:space="preserve">OR: odds ratio; CI: (Wald) confidence interval; -: covariate was not included in the multivariate analysis because of insignificant p-value (p&lt;0.10) in the univariate analysis. </w:t>
      </w:r>
      <w:r w:rsidRPr="00441D1B">
        <w:rPr>
          <w:i/>
          <w:sz w:val="18"/>
          <w:szCs w:val="18"/>
          <w:lang w:val="en-GB"/>
        </w:rPr>
        <w:t>Numbers printed in bold indicate significance in the multivariate model (p &lt; 0.05).</w:t>
      </w:r>
      <w:r w:rsidRPr="00441D1B">
        <w:rPr>
          <w:i/>
          <w:sz w:val="18"/>
          <w:lang w:val="en-GB"/>
        </w:rPr>
        <w:br/>
      </w:r>
      <w:r w:rsidRPr="00441D1B">
        <w:rPr>
          <w:i/>
          <w:sz w:val="18"/>
          <w:vertAlign w:val="superscript"/>
          <w:lang w:val="en-GB"/>
        </w:rPr>
        <w:t xml:space="preserve">a </w:t>
      </w:r>
      <w:r w:rsidRPr="00441D1B">
        <w:rPr>
          <w:i/>
          <w:sz w:val="18"/>
          <w:lang w:val="en-GB"/>
        </w:rPr>
        <w:t>Pulmonary comorbidities include asthma, chronic obstructive pulmonary disease and other chronic lung diseases.</w:t>
      </w:r>
      <w:r w:rsidRPr="00441D1B">
        <w:rPr>
          <w:i/>
          <w:sz w:val="18"/>
          <w:lang w:val="en-GB"/>
        </w:rPr>
        <w:br/>
      </w:r>
      <w:r w:rsidRPr="00441D1B">
        <w:rPr>
          <w:i/>
          <w:sz w:val="18"/>
          <w:vertAlign w:val="superscript"/>
          <w:lang w:val="en-GB"/>
        </w:rPr>
        <w:t xml:space="preserve">b </w:t>
      </w:r>
      <w:r w:rsidRPr="00441D1B">
        <w:rPr>
          <w:i/>
          <w:sz w:val="18"/>
          <w:lang w:val="en-GB"/>
        </w:rPr>
        <w:t xml:space="preserve">Cardiac comorbidities include heart failure, ischemic heart disease and other heart diseases.  </w:t>
      </w:r>
    </w:p>
    <w:p w14:paraId="4A97CC50" w14:textId="3DF2D4C7" w:rsidR="00811467" w:rsidRPr="00441D1B" w:rsidRDefault="00811467">
      <w:pPr>
        <w:spacing w:after="160" w:line="259" w:lineRule="auto"/>
        <w:rPr>
          <w:i/>
          <w:sz w:val="18"/>
          <w:lang w:val="en-GB"/>
        </w:rPr>
      </w:pPr>
      <w:r w:rsidRPr="00441D1B">
        <w:rPr>
          <w:i/>
          <w:sz w:val="18"/>
          <w:lang w:val="en-GB"/>
        </w:rPr>
        <w:br w:type="page"/>
      </w:r>
    </w:p>
    <w:p w14:paraId="4C57998C" w14:textId="77777777" w:rsidR="00811467" w:rsidRPr="00441D1B" w:rsidRDefault="00811467" w:rsidP="00811467">
      <w:pPr>
        <w:pStyle w:val="Caption"/>
        <w:keepNext/>
        <w:spacing w:line="480" w:lineRule="auto"/>
      </w:pPr>
      <w:r w:rsidRPr="00441D1B">
        <w:lastRenderedPageBreak/>
        <w:t xml:space="preserve">Table </w:t>
      </w:r>
      <w:r w:rsidRPr="00441D1B">
        <w:fldChar w:fldCharType="begin"/>
      </w:r>
      <w:r w:rsidRPr="00441D1B">
        <w:instrText xml:space="preserve"> SEQ Table \* ARABIC </w:instrText>
      </w:r>
      <w:r w:rsidRPr="00441D1B">
        <w:fldChar w:fldCharType="separate"/>
      </w:r>
      <w:r w:rsidRPr="00441D1B">
        <w:rPr>
          <w:noProof/>
        </w:rPr>
        <w:t>3</w:t>
      </w:r>
      <w:r w:rsidRPr="00441D1B">
        <w:fldChar w:fldCharType="end"/>
      </w:r>
      <w:r w:rsidRPr="00441D1B">
        <w:t>. Diagnostic value of patient characteristics, presenting symptoms and additional testing in adult acute cough patients in primary care that tested positive for respiratory syncytial virus (RSV) or Influenza virus.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235"/>
        <w:gridCol w:w="2408"/>
        <w:gridCol w:w="3016"/>
        <w:gridCol w:w="3007"/>
      </w:tblGrid>
      <w:tr w:rsidR="00A479FE" w:rsidRPr="00441D1B" w14:paraId="07898209" w14:textId="77777777" w:rsidTr="00A47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tcPr>
          <w:p w14:paraId="57AA5D1C" w14:textId="77777777" w:rsidR="00A479FE" w:rsidRPr="00441D1B" w:rsidRDefault="00A479FE" w:rsidP="00A479FE">
            <w:pPr>
              <w:spacing w:after="160"/>
              <w:rPr>
                <w:rFonts w:cs="Calibri"/>
                <w:sz w:val="20"/>
                <w:szCs w:val="20"/>
                <w:lang w:val="en-GB"/>
              </w:rPr>
            </w:pPr>
          </w:p>
        </w:tc>
        <w:tc>
          <w:tcPr>
            <w:tcW w:w="0" w:type="auto"/>
            <w:tcBorders>
              <w:top w:val="single" w:sz="4" w:space="0" w:color="auto"/>
              <w:bottom w:val="single" w:sz="4" w:space="0" w:color="auto"/>
              <w:right w:val="single" w:sz="4" w:space="0" w:color="auto"/>
            </w:tcBorders>
            <w:vAlign w:val="center"/>
          </w:tcPr>
          <w:p w14:paraId="3DC2DF6D" w14:textId="77777777" w:rsidR="00A479FE" w:rsidRPr="00441D1B" w:rsidRDefault="00A479FE" w:rsidP="00A479FE">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20"/>
                <w:szCs w:val="20"/>
                <w:lang w:val="en-GB"/>
              </w:rPr>
            </w:pPr>
            <w:r w:rsidRPr="00441D1B">
              <w:rPr>
                <w:rFonts w:cs="Calibri"/>
                <w:sz w:val="20"/>
                <w:szCs w:val="20"/>
                <w:lang w:val="en-GB"/>
              </w:rPr>
              <w:t>RSV – adjusted</w:t>
            </w:r>
            <w:r w:rsidRPr="00441D1B">
              <w:rPr>
                <w:rFonts w:cs="Calibri"/>
                <w:sz w:val="20"/>
                <w:szCs w:val="20"/>
                <w:vertAlign w:val="superscript"/>
                <w:lang w:val="en-GB"/>
              </w:rPr>
              <w:t xml:space="preserve"> </w:t>
            </w:r>
            <w:r w:rsidRPr="00441D1B">
              <w:rPr>
                <w:rFonts w:cs="Calibri"/>
                <w:sz w:val="20"/>
                <w:szCs w:val="20"/>
                <w:lang w:val="en-GB"/>
              </w:rPr>
              <w:t>OR (95%CI)</w:t>
            </w:r>
          </w:p>
        </w:tc>
        <w:tc>
          <w:tcPr>
            <w:tcW w:w="0" w:type="auto"/>
            <w:tcBorders>
              <w:top w:val="single" w:sz="4" w:space="0" w:color="auto"/>
              <w:bottom w:val="single" w:sz="4" w:space="0" w:color="auto"/>
              <w:right w:val="single" w:sz="4" w:space="0" w:color="auto"/>
            </w:tcBorders>
            <w:vAlign w:val="center"/>
          </w:tcPr>
          <w:p w14:paraId="12550073" w14:textId="6F50073C" w:rsidR="00A479FE" w:rsidRPr="00441D1B" w:rsidRDefault="00A479FE" w:rsidP="00A479FE">
            <w:pPr>
              <w:spacing w:after="160"/>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rPr>
              <w:t>Influenza A</w:t>
            </w:r>
            <w:r w:rsidRPr="00441D1B">
              <w:rPr>
                <w:rFonts w:cs="Calibri"/>
                <w:sz w:val="20"/>
                <w:szCs w:val="20"/>
                <w:lang w:val="en-GB"/>
              </w:rPr>
              <w:t xml:space="preserve"> – adjusted</w:t>
            </w:r>
            <w:r w:rsidRPr="00441D1B">
              <w:rPr>
                <w:rFonts w:cs="Calibri"/>
                <w:sz w:val="20"/>
                <w:szCs w:val="20"/>
                <w:vertAlign w:val="superscript"/>
                <w:lang w:val="en-GB"/>
              </w:rPr>
              <w:t xml:space="preserve"> </w:t>
            </w:r>
            <w:r w:rsidRPr="00441D1B">
              <w:rPr>
                <w:rFonts w:cs="Calibri"/>
                <w:sz w:val="20"/>
                <w:szCs w:val="20"/>
                <w:lang w:val="en-GB"/>
              </w:rPr>
              <w:t>OR (95%CI)</w:t>
            </w:r>
          </w:p>
        </w:tc>
        <w:tc>
          <w:tcPr>
            <w:tcW w:w="0" w:type="auto"/>
            <w:tcBorders>
              <w:top w:val="single" w:sz="4" w:space="0" w:color="auto"/>
              <w:left w:val="single" w:sz="4" w:space="0" w:color="auto"/>
              <w:bottom w:val="single" w:sz="4" w:space="0" w:color="auto"/>
            </w:tcBorders>
            <w:vAlign w:val="center"/>
          </w:tcPr>
          <w:p w14:paraId="61FF09DA" w14:textId="6C32822E" w:rsidR="00A479FE" w:rsidRPr="00441D1B" w:rsidRDefault="00A479FE" w:rsidP="00A479FE">
            <w:pPr>
              <w:spacing w:after="160"/>
              <w:jc w:val="center"/>
              <w:cnfStyle w:val="100000000000" w:firstRow="1"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lang w:val="en-GB"/>
              </w:rPr>
              <w:t xml:space="preserve">Influenza </w:t>
            </w:r>
            <w:r w:rsidRPr="00441D1B">
              <w:rPr>
                <w:rFonts w:cs="Calibri"/>
                <w:sz w:val="20"/>
                <w:szCs w:val="20"/>
              </w:rPr>
              <w:t xml:space="preserve">B </w:t>
            </w:r>
            <w:r w:rsidRPr="00441D1B">
              <w:rPr>
                <w:rFonts w:cs="Calibri"/>
                <w:sz w:val="20"/>
                <w:szCs w:val="20"/>
                <w:lang w:val="en-GB"/>
              </w:rPr>
              <w:t>– adjusted</w:t>
            </w:r>
            <w:r w:rsidRPr="00441D1B">
              <w:rPr>
                <w:rFonts w:cs="Calibri"/>
                <w:sz w:val="20"/>
                <w:szCs w:val="20"/>
                <w:vertAlign w:val="superscript"/>
                <w:lang w:val="en-GB"/>
              </w:rPr>
              <w:t xml:space="preserve"> </w:t>
            </w:r>
            <w:r w:rsidRPr="00441D1B">
              <w:rPr>
                <w:rFonts w:cs="Calibri"/>
                <w:sz w:val="20"/>
                <w:szCs w:val="20"/>
                <w:lang w:val="en-GB"/>
              </w:rPr>
              <w:t>OR (95%CI)</w:t>
            </w:r>
          </w:p>
        </w:tc>
      </w:tr>
      <w:tr w:rsidR="00A479FE" w:rsidRPr="00441D1B" w14:paraId="63BF9B15" w14:textId="77777777" w:rsidTr="00A47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one" w:sz="0" w:space="0" w:color="auto"/>
              <w:right w:val="single" w:sz="4" w:space="0" w:color="auto"/>
            </w:tcBorders>
          </w:tcPr>
          <w:p w14:paraId="414E48D8" w14:textId="77777777" w:rsidR="00A479FE" w:rsidRPr="00441D1B" w:rsidRDefault="00A479FE" w:rsidP="00A479FE">
            <w:pPr>
              <w:spacing w:after="160"/>
              <w:rPr>
                <w:rFonts w:cs="Calibri"/>
                <w:sz w:val="20"/>
                <w:szCs w:val="20"/>
                <w:lang w:val="en-GB"/>
              </w:rPr>
            </w:pPr>
            <w:r w:rsidRPr="00441D1B">
              <w:rPr>
                <w:rFonts w:cs="Calibri"/>
                <w:sz w:val="20"/>
                <w:szCs w:val="20"/>
                <w:lang w:val="en-GB"/>
              </w:rPr>
              <w:t>Gender: male</w:t>
            </w:r>
          </w:p>
        </w:tc>
        <w:tc>
          <w:tcPr>
            <w:tcW w:w="0" w:type="auto"/>
            <w:tcBorders>
              <w:top w:val="single" w:sz="4" w:space="0" w:color="auto"/>
              <w:left w:val="single" w:sz="4" w:space="0" w:color="auto"/>
              <w:bottom w:val="none" w:sz="0" w:space="0" w:color="auto"/>
              <w:right w:val="single" w:sz="4" w:space="0" w:color="auto"/>
            </w:tcBorders>
            <w:vAlign w:val="center"/>
          </w:tcPr>
          <w:p w14:paraId="734D5B6F" w14:textId="7777777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lang w:val="en-GB"/>
              </w:rPr>
              <w:t>0.78 [0.54-1.12]</w:t>
            </w:r>
          </w:p>
        </w:tc>
        <w:tc>
          <w:tcPr>
            <w:tcW w:w="0" w:type="auto"/>
            <w:tcBorders>
              <w:top w:val="single" w:sz="4" w:space="0" w:color="auto"/>
              <w:bottom w:val="none" w:sz="0" w:space="0" w:color="auto"/>
              <w:right w:val="single" w:sz="4" w:space="0" w:color="auto"/>
            </w:tcBorders>
            <w:vAlign w:val="center"/>
          </w:tcPr>
          <w:p w14:paraId="2FC53B19" w14:textId="68B90270"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0.96 [0.68-1.34]</w:t>
            </w:r>
          </w:p>
        </w:tc>
        <w:tc>
          <w:tcPr>
            <w:tcW w:w="0" w:type="auto"/>
            <w:tcBorders>
              <w:top w:val="single" w:sz="4" w:space="0" w:color="auto"/>
              <w:left w:val="single" w:sz="4" w:space="0" w:color="auto"/>
              <w:bottom w:val="none" w:sz="0" w:space="0" w:color="auto"/>
            </w:tcBorders>
            <w:vAlign w:val="center"/>
          </w:tcPr>
          <w:p w14:paraId="3C78E7DA" w14:textId="1C9F79E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1.28 [0.85-1.94]</w:t>
            </w:r>
          </w:p>
        </w:tc>
      </w:tr>
      <w:tr w:rsidR="00A479FE" w:rsidRPr="00441D1B" w14:paraId="1354FD7F" w14:textId="77777777" w:rsidTr="00A479FE">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8AD57E9" w14:textId="77777777" w:rsidR="00A479FE" w:rsidRPr="00441D1B" w:rsidRDefault="00A479FE" w:rsidP="00A479FE">
            <w:pPr>
              <w:spacing w:after="160"/>
              <w:rPr>
                <w:rFonts w:cs="Calibri"/>
                <w:sz w:val="20"/>
                <w:szCs w:val="20"/>
                <w:lang w:val="en-GB"/>
              </w:rPr>
            </w:pPr>
            <w:r w:rsidRPr="00441D1B">
              <w:rPr>
                <w:rFonts w:cs="Calibri"/>
                <w:sz w:val="20"/>
                <w:szCs w:val="20"/>
                <w:lang w:val="en-GB"/>
              </w:rPr>
              <w:t>Current smoker</w:t>
            </w:r>
          </w:p>
        </w:tc>
        <w:tc>
          <w:tcPr>
            <w:tcW w:w="0" w:type="auto"/>
            <w:tcBorders>
              <w:left w:val="single" w:sz="4" w:space="0" w:color="auto"/>
              <w:right w:val="single" w:sz="4" w:space="0" w:color="auto"/>
            </w:tcBorders>
            <w:vAlign w:val="center"/>
          </w:tcPr>
          <w:p w14:paraId="3D1252F9" w14:textId="77777777"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lang w:val="en-GB"/>
              </w:rPr>
              <w:t>0.82 [0.53-1.25]</w:t>
            </w:r>
          </w:p>
        </w:tc>
        <w:tc>
          <w:tcPr>
            <w:tcW w:w="0" w:type="auto"/>
            <w:tcBorders>
              <w:left w:val="single" w:sz="4" w:space="0" w:color="auto"/>
              <w:right w:val="single" w:sz="4" w:space="0" w:color="auto"/>
            </w:tcBorders>
            <w:vAlign w:val="center"/>
          </w:tcPr>
          <w:p w14:paraId="530FF7F7" w14:textId="2D144605"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20"/>
                <w:szCs w:val="20"/>
                <w:lang w:val="en-GB"/>
              </w:rPr>
            </w:pPr>
            <w:r w:rsidRPr="00441D1B">
              <w:rPr>
                <w:rFonts w:cs="Calibri"/>
                <w:b/>
                <w:sz w:val="20"/>
                <w:szCs w:val="20"/>
              </w:rPr>
              <w:t>0.60 [0.40-0.89]</w:t>
            </w:r>
          </w:p>
        </w:tc>
        <w:tc>
          <w:tcPr>
            <w:tcW w:w="0" w:type="auto"/>
            <w:tcBorders>
              <w:left w:val="single" w:sz="4" w:space="0" w:color="auto"/>
            </w:tcBorders>
            <w:vAlign w:val="center"/>
          </w:tcPr>
          <w:p w14:paraId="26A8AC6D" w14:textId="7DCF0302"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20"/>
                <w:szCs w:val="20"/>
                <w:lang w:val="en-GB"/>
              </w:rPr>
            </w:pPr>
            <w:r w:rsidRPr="00441D1B">
              <w:rPr>
                <w:rFonts w:cs="Calibri"/>
                <w:sz w:val="20"/>
                <w:szCs w:val="20"/>
              </w:rPr>
              <w:t>0.80 [0.50-1.30]</w:t>
            </w:r>
          </w:p>
        </w:tc>
      </w:tr>
      <w:tr w:rsidR="00A479FE" w:rsidRPr="00441D1B" w14:paraId="6F86BDFE" w14:textId="77777777" w:rsidTr="00A47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single" w:sz="4" w:space="0" w:color="auto"/>
            </w:tcBorders>
            <w:shd w:val="clear" w:color="auto" w:fill="auto"/>
          </w:tcPr>
          <w:p w14:paraId="3E8DA72A" w14:textId="77777777" w:rsidR="00A479FE" w:rsidRPr="00441D1B" w:rsidRDefault="00A479FE" w:rsidP="00A479FE">
            <w:pPr>
              <w:spacing w:after="160"/>
              <w:rPr>
                <w:rFonts w:cs="Calibri"/>
                <w:sz w:val="20"/>
                <w:szCs w:val="20"/>
                <w:vertAlign w:val="superscript"/>
                <w:lang w:val="en-GB"/>
              </w:rPr>
            </w:pPr>
            <w:r w:rsidRPr="00441D1B">
              <w:rPr>
                <w:rFonts w:cs="Calibri"/>
                <w:sz w:val="20"/>
                <w:szCs w:val="20"/>
                <w:lang w:val="en-GB"/>
              </w:rPr>
              <w:t>History of pulmonary comorbidities</w:t>
            </w:r>
            <w:r w:rsidRPr="00441D1B">
              <w:rPr>
                <w:rFonts w:cs="Calibri"/>
                <w:sz w:val="20"/>
                <w:szCs w:val="20"/>
                <w:vertAlign w:val="superscript"/>
                <w:lang w:val="en-GB"/>
              </w:rPr>
              <w:t>a</w:t>
            </w:r>
          </w:p>
        </w:tc>
        <w:tc>
          <w:tcPr>
            <w:tcW w:w="0" w:type="auto"/>
            <w:tcBorders>
              <w:top w:val="none" w:sz="0" w:space="0" w:color="auto"/>
              <w:left w:val="single" w:sz="4" w:space="0" w:color="auto"/>
              <w:bottom w:val="none" w:sz="0" w:space="0" w:color="auto"/>
              <w:right w:val="single" w:sz="4" w:space="0" w:color="auto"/>
            </w:tcBorders>
            <w:shd w:val="clear" w:color="auto" w:fill="auto"/>
            <w:vAlign w:val="center"/>
          </w:tcPr>
          <w:p w14:paraId="5B52BF50" w14:textId="7777777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lang w:val="en-GB"/>
              </w:rPr>
              <w:t>1.14 [0.73-1.78]</w:t>
            </w:r>
          </w:p>
        </w:tc>
        <w:tc>
          <w:tcPr>
            <w:tcW w:w="0" w:type="auto"/>
            <w:tcBorders>
              <w:top w:val="none" w:sz="0" w:space="0" w:color="auto"/>
              <w:left w:val="single" w:sz="4" w:space="0" w:color="auto"/>
              <w:bottom w:val="none" w:sz="0" w:space="0" w:color="auto"/>
              <w:right w:val="single" w:sz="4" w:space="0" w:color="auto"/>
            </w:tcBorders>
            <w:vAlign w:val="center"/>
          </w:tcPr>
          <w:p w14:paraId="7EA9BE87" w14:textId="09B351BA"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1.16 [0.74-1.82]</w:t>
            </w:r>
          </w:p>
        </w:tc>
        <w:tc>
          <w:tcPr>
            <w:tcW w:w="0" w:type="auto"/>
            <w:tcBorders>
              <w:top w:val="none" w:sz="0" w:space="0" w:color="auto"/>
              <w:left w:val="single" w:sz="4" w:space="0" w:color="auto"/>
              <w:bottom w:val="none" w:sz="0" w:space="0" w:color="auto"/>
            </w:tcBorders>
            <w:vAlign w:val="center"/>
          </w:tcPr>
          <w:p w14:paraId="50FF4C2F" w14:textId="3F52F28F"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0.55 [0.27-1.13]</w:t>
            </w:r>
          </w:p>
        </w:tc>
      </w:tr>
      <w:tr w:rsidR="00A479FE" w:rsidRPr="00441D1B" w14:paraId="36D28817" w14:textId="77777777" w:rsidTr="00A479FE">
        <w:tc>
          <w:tcPr>
            <w:cnfStyle w:val="001000000000" w:firstRow="0" w:lastRow="0" w:firstColumn="1" w:lastColumn="0" w:oddVBand="0" w:evenVBand="0" w:oddHBand="0" w:evenHBand="0" w:firstRowFirstColumn="0" w:firstRowLastColumn="0" w:lastRowFirstColumn="0" w:lastRowLastColumn="0"/>
            <w:tcW w:w="0" w:type="auto"/>
            <w:tcBorders>
              <w:bottom w:val="dashed" w:sz="4" w:space="0" w:color="auto"/>
              <w:right w:val="single" w:sz="4" w:space="0" w:color="auto"/>
            </w:tcBorders>
          </w:tcPr>
          <w:p w14:paraId="1F33A6AC" w14:textId="77777777" w:rsidR="00A479FE" w:rsidRPr="00441D1B" w:rsidRDefault="00A479FE" w:rsidP="00A479FE">
            <w:pPr>
              <w:spacing w:after="160"/>
              <w:rPr>
                <w:rFonts w:cs="Calibri"/>
                <w:sz w:val="20"/>
                <w:szCs w:val="20"/>
                <w:vertAlign w:val="superscript"/>
                <w:lang w:val="en-GB"/>
              </w:rPr>
            </w:pPr>
            <w:r w:rsidRPr="00441D1B">
              <w:rPr>
                <w:rFonts w:cs="Calibri"/>
                <w:sz w:val="20"/>
                <w:szCs w:val="20"/>
                <w:lang w:val="en-GB"/>
              </w:rPr>
              <w:t>History of cardiac comorbidities</w:t>
            </w:r>
            <w:r w:rsidRPr="00441D1B">
              <w:rPr>
                <w:rFonts w:cs="Calibri"/>
                <w:sz w:val="20"/>
                <w:szCs w:val="20"/>
                <w:vertAlign w:val="superscript"/>
                <w:lang w:val="en-GB"/>
              </w:rPr>
              <w:t>b</w:t>
            </w:r>
          </w:p>
        </w:tc>
        <w:tc>
          <w:tcPr>
            <w:tcW w:w="0" w:type="auto"/>
            <w:tcBorders>
              <w:left w:val="single" w:sz="4" w:space="0" w:color="auto"/>
              <w:bottom w:val="dashed" w:sz="4" w:space="0" w:color="auto"/>
              <w:right w:val="single" w:sz="4" w:space="0" w:color="auto"/>
            </w:tcBorders>
            <w:vAlign w:val="center"/>
          </w:tcPr>
          <w:p w14:paraId="1B8DCF75" w14:textId="77777777"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lang w:val="en-GB"/>
              </w:rPr>
              <w:t>0.94 [0.52-1.71]</w:t>
            </w:r>
          </w:p>
        </w:tc>
        <w:tc>
          <w:tcPr>
            <w:tcW w:w="0" w:type="auto"/>
            <w:tcBorders>
              <w:left w:val="single" w:sz="4" w:space="0" w:color="auto"/>
              <w:bottom w:val="dashed" w:sz="4" w:space="0" w:color="auto"/>
              <w:right w:val="single" w:sz="4" w:space="0" w:color="auto"/>
            </w:tcBorders>
            <w:vAlign w:val="center"/>
          </w:tcPr>
          <w:p w14:paraId="2E968E3F" w14:textId="6C30354F"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rPr>
              <w:t>0.64 [0.29-1.44]</w:t>
            </w:r>
          </w:p>
        </w:tc>
        <w:tc>
          <w:tcPr>
            <w:tcW w:w="0" w:type="auto"/>
            <w:tcBorders>
              <w:left w:val="single" w:sz="4" w:space="0" w:color="auto"/>
              <w:bottom w:val="dashed" w:sz="4" w:space="0" w:color="auto"/>
            </w:tcBorders>
            <w:vAlign w:val="center"/>
          </w:tcPr>
          <w:p w14:paraId="60DBE153" w14:textId="1079FDFB"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rPr>
              <w:t>1.24 [0.55-2.78]</w:t>
            </w:r>
          </w:p>
        </w:tc>
      </w:tr>
      <w:tr w:rsidR="00A479FE" w:rsidRPr="00441D1B" w14:paraId="0E0C7EB8" w14:textId="77777777" w:rsidTr="00A47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dashed" w:sz="4" w:space="0" w:color="auto"/>
              <w:bottom w:val="none" w:sz="0" w:space="0" w:color="auto"/>
              <w:right w:val="single" w:sz="4" w:space="0" w:color="auto"/>
            </w:tcBorders>
          </w:tcPr>
          <w:p w14:paraId="45BBA7AE" w14:textId="77777777" w:rsidR="00A479FE" w:rsidRPr="00441D1B" w:rsidRDefault="00A479FE" w:rsidP="00A479FE">
            <w:pPr>
              <w:spacing w:after="160"/>
              <w:rPr>
                <w:rFonts w:cs="Calibri"/>
                <w:sz w:val="20"/>
                <w:szCs w:val="20"/>
                <w:lang w:val="en-GB"/>
              </w:rPr>
            </w:pPr>
            <w:r w:rsidRPr="00441D1B">
              <w:rPr>
                <w:rFonts w:cs="Calibri"/>
                <w:sz w:val="20"/>
                <w:szCs w:val="20"/>
                <w:lang w:val="en-GB"/>
              </w:rPr>
              <w:t>Presence of runny nose</w:t>
            </w:r>
          </w:p>
        </w:tc>
        <w:tc>
          <w:tcPr>
            <w:tcW w:w="0" w:type="auto"/>
            <w:tcBorders>
              <w:top w:val="dashed" w:sz="4" w:space="0" w:color="auto"/>
              <w:left w:val="single" w:sz="4" w:space="0" w:color="auto"/>
              <w:bottom w:val="none" w:sz="0" w:space="0" w:color="auto"/>
              <w:right w:val="single" w:sz="4" w:space="0" w:color="auto"/>
            </w:tcBorders>
            <w:vAlign w:val="center"/>
          </w:tcPr>
          <w:p w14:paraId="4B1CA96F" w14:textId="7777777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en-GB"/>
              </w:rPr>
            </w:pPr>
            <w:r w:rsidRPr="00441D1B">
              <w:rPr>
                <w:rFonts w:cs="Calibri"/>
                <w:b/>
                <w:sz w:val="20"/>
                <w:szCs w:val="20"/>
                <w:lang w:val="en-GB"/>
              </w:rPr>
              <w:t>2.42 [1.54-3.78]</w:t>
            </w:r>
          </w:p>
        </w:tc>
        <w:tc>
          <w:tcPr>
            <w:tcW w:w="0" w:type="auto"/>
            <w:tcBorders>
              <w:top w:val="dashed" w:sz="4" w:space="0" w:color="auto"/>
              <w:left w:val="single" w:sz="4" w:space="0" w:color="auto"/>
              <w:bottom w:val="none" w:sz="0" w:space="0" w:color="auto"/>
              <w:right w:val="single" w:sz="4" w:space="0" w:color="auto"/>
            </w:tcBorders>
            <w:vAlign w:val="center"/>
          </w:tcPr>
          <w:p w14:paraId="765AA009" w14:textId="3311376A"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1.36 [0.93-1.98]</w:t>
            </w:r>
          </w:p>
        </w:tc>
        <w:tc>
          <w:tcPr>
            <w:tcW w:w="0" w:type="auto"/>
            <w:tcBorders>
              <w:top w:val="dashed" w:sz="4" w:space="0" w:color="auto"/>
              <w:left w:val="single" w:sz="4" w:space="0" w:color="auto"/>
              <w:bottom w:val="none" w:sz="0" w:space="0" w:color="auto"/>
            </w:tcBorders>
            <w:vAlign w:val="center"/>
          </w:tcPr>
          <w:p w14:paraId="0DBA70EF" w14:textId="36879DF2"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1.35 [0.85-2.16]</w:t>
            </w:r>
          </w:p>
        </w:tc>
      </w:tr>
      <w:tr w:rsidR="00A479FE" w:rsidRPr="00441D1B" w14:paraId="22B7955A" w14:textId="77777777" w:rsidTr="00A479FE">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0660AE6" w14:textId="77777777" w:rsidR="00A479FE" w:rsidRPr="00441D1B" w:rsidRDefault="00A479FE" w:rsidP="00A479FE">
            <w:pPr>
              <w:spacing w:after="160"/>
              <w:rPr>
                <w:rFonts w:cs="Calibri"/>
                <w:sz w:val="20"/>
                <w:szCs w:val="20"/>
                <w:lang w:val="en-GB"/>
              </w:rPr>
            </w:pPr>
            <w:r w:rsidRPr="00441D1B">
              <w:rPr>
                <w:rFonts w:cs="Calibri"/>
                <w:sz w:val="20"/>
                <w:szCs w:val="20"/>
                <w:lang w:val="en-GB"/>
              </w:rPr>
              <w:t>Presence of fever</w:t>
            </w:r>
          </w:p>
        </w:tc>
        <w:tc>
          <w:tcPr>
            <w:tcW w:w="0" w:type="auto"/>
            <w:tcBorders>
              <w:left w:val="single" w:sz="4" w:space="0" w:color="auto"/>
              <w:right w:val="single" w:sz="4" w:space="0" w:color="auto"/>
            </w:tcBorders>
            <w:vAlign w:val="center"/>
          </w:tcPr>
          <w:p w14:paraId="35BCD9EB" w14:textId="77777777"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lang w:val="en-GB"/>
              </w:rPr>
              <w:t>0.93 [0.64-1.36]</w:t>
            </w:r>
          </w:p>
        </w:tc>
        <w:tc>
          <w:tcPr>
            <w:tcW w:w="0" w:type="auto"/>
            <w:tcBorders>
              <w:left w:val="single" w:sz="4" w:space="0" w:color="auto"/>
              <w:right w:val="single" w:sz="4" w:space="0" w:color="auto"/>
            </w:tcBorders>
            <w:vAlign w:val="center"/>
          </w:tcPr>
          <w:p w14:paraId="2BDAFA37" w14:textId="0BC32ED9"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20"/>
                <w:szCs w:val="20"/>
                <w:lang w:val="en-GB"/>
              </w:rPr>
            </w:pPr>
            <w:r w:rsidRPr="00441D1B">
              <w:rPr>
                <w:rFonts w:cs="Calibri"/>
                <w:b/>
                <w:sz w:val="20"/>
                <w:szCs w:val="20"/>
              </w:rPr>
              <w:t>4.23 [2.95-6.07]</w:t>
            </w:r>
          </w:p>
        </w:tc>
        <w:tc>
          <w:tcPr>
            <w:tcW w:w="0" w:type="auto"/>
            <w:tcBorders>
              <w:left w:val="single" w:sz="4" w:space="0" w:color="auto"/>
            </w:tcBorders>
            <w:vAlign w:val="center"/>
          </w:tcPr>
          <w:p w14:paraId="0ABDD5BE" w14:textId="59E8FDD1"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20"/>
                <w:szCs w:val="20"/>
                <w:lang w:val="en-GB"/>
              </w:rPr>
            </w:pPr>
            <w:r w:rsidRPr="00441D1B">
              <w:rPr>
                <w:rFonts w:cs="Calibri"/>
                <w:b/>
                <w:sz w:val="20"/>
                <w:szCs w:val="20"/>
              </w:rPr>
              <w:t>3.71 [2.37-5.79]</w:t>
            </w:r>
          </w:p>
        </w:tc>
      </w:tr>
      <w:tr w:rsidR="00A479FE" w:rsidRPr="00441D1B" w14:paraId="68F58876" w14:textId="77777777" w:rsidTr="00A47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right w:val="single" w:sz="4" w:space="0" w:color="auto"/>
            </w:tcBorders>
          </w:tcPr>
          <w:p w14:paraId="77E95FA1" w14:textId="77777777" w:rsidR="00A479FE" w:rsidRPr="00441D1B" w:rsidRDefault="00A479FE" w:rsidP="00A479FE">
            <w:pPr>
              <w:spacing w:after="160"/>
              <w:rPr>
                <w:rFonts w:cs="Calibri"/>
                <w:sz w:val="20"/>
                <w:szCs w:val="20"/>
                <w:lang w:val="en-GB"/>
              </w:rPr>
            </w:pPr>
            <w:r w:rsidRPr="00441D1B">
              <w:rPr>
                <w:rFonts w:cs="Calibri"/>
                <w:sz w:val="20"/>
                <w:szCs w:val="20"/>
                <w:lang w:val="en-GB"/>
              </w:rPr>
              <w:t>Presence of wheezing</w:t>
            </w:r>
          </w:p>
        </w:tc>
        <w:tc>
          <w:tcPr>
            <w:tcW w:w="0" w:type="auto"/>
            <w:tcBorders>
              <w:top w:val="none" w:sz="0" w:space="0" w:color="auto"/>
              <w:left w:val="single" w:sz="4" w:space="0" w:color="auto"/>
              <w:bottom w:val="none" w:sz="0" w:space="0" w:color="auto"/>
              <w:right w:val="single" w:sz="4" w:space="0" w:color="auto"/>
            </w:tcBorders>
            <w:vAlign w:val="center"/>
          </w:tcPr>
          <w:p w14:paraId="4F069DB2" w14:textId="7777777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lang w:val="en-GB"/>
              </w:rPr>
              <w:t>1.24 [0.87-1.75]</w:t>
            </w:r>
          </w:p>
        </w:tc>
        <w:tc>
          <w:tcPr>
            <w:tcW w:w="0" w:type="auto"/>
            <w:tcBorders>
              <w:top w:val="none" w:sz="0" w:space="0" w:color="auto"/>
              <w:left w:val="single" w:sz="4" w:space="0" w:color="auto"/>
              <w:bottom w:val="none" w:sz="0" w:space="0" w:color="auto"/>
              <w:right w:val="single" w:sz="4" w:space="0" w:color="auto"/>
            </w:tcBorders>
            <w:vAlign w:val="center"/>
          </w:tcPr>
          <w:p w14:paraId="16885210" w14:textId="5A5E2399"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1.21 [0.85-1.73]</w:t>
            </w:r>
          </w:p>
        </w:tc>
        <w:tc>
          <w:tcPr>
            <w:tcW w:w="0" w:type="auto"/>
            <w:tcBorders>
              <w:top w:val="none" w:sz="0" w:space="0" w:color="auto"/>
              <w:left w:val="single" w:sz="4" w:space="0" w:color="auto"/>
              <w:bottom w:val="none" w:sz="0" w:space="0" w:color="auto"/>
            </w:tcBorders>
            <w:vAlign w:val="center"/>
          </w:tcPr>
          <w:p w14:paraId="06C0E65D" w14:textId="68889B44"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0.72 [0.44-1.16]</w:t>
            </w:r>
          </w:p>
        </w:tc>
      </w:tr>
      <w:tr w:rsidR="00A479FE" w:rsidRPr="00441D1B" w14:paraId="31580B15" w14:textId="77777777" w:rsidTr="00A479FE">
        <w:tc>
          <w:tcPr>
            <w:cnfStyle w:val="001000000000" w:firstRow="0" w:lastRow="0" w:firstColumn="1" w:lastColumn="0" w:oddVBand="0" w:evenVBand="0" w:oddHBand="0" w:evenHBand="0" w:firstRowFirstColumn="0" w:firstRowLastColumn="0" w:lastRowFirstColumn="0" w:lastRowLastColumn="0"/>
            <w:tcW w:w="0" w:type="auto"/>
            <w:tcBorders>
              <w:bottom w:val="dashed" w:sz="4" w:space="0" w:color="auto"/>
              <w:right w:val="single" w:sz="4" w:space="0" w:color="auto"/>
            </w:tcBorders>
          </w:tcPr>
          <w:p w14:paraId="2E810FBA" w14:textId="77777777" w:rsidR="00A479FE" w:rsidRPr="00441D1B" w:rsidRDefault="00A479FE" w:rsidP="00A479FE">
            <w:pPr>
              <w:spacing w:after="160"/>
              <w:rPr>
                <w:rFonts w:cs="Calibri"/>
                <w:sz w:val="20"/>
                <w:szCs w:val="20"/>
                <w:lang w:val="en-GB"/>
              </w:rPr>
            </w:pPr>
            <w:r w:rsidRPr="00441D1B">
              <w:rPr>
                <w:rFonts w:cs="Calibri"/>
                <w:sz w:val="20"/>
                <w:szCs w:val="20"/>
                <w:lang w:val="en-GB"/>
              </w:rPr>
              <w:t xml:space="preserve">Interference with </w:t>
            </w:r>
            <w:r w:rsidRPr="00441D1B">
              <w:rPr>
                <w:rFonts w:cs="Calibri"/>
                <w:sz w:val="20"/>
                <w:szCs w:val="20"/>
                <w:lang w:val="en-GB"/>
              </w:rPr>
              <w:br/>
              <w:t>normal activities or work</w:t>
            </w:r>
          </w:p>
        </w:tc>
        <w:tc>
          <w:tcPr>
            <w:tcW w:w="0" w:type="auto"/>
            <w:tcBorders>
              <w:left w:val="single" w:sz="4" w:space="0" w:color="auto"/>
              <w:bottom w:val="dashed" w:sz="4" w:space="0" w:color="auto"/>
              <w:right w:val="single" w:sz="4" w:space="0" w:color="auto"/>
            </w:tcBorders>
            <w:vAlign w:val="center"/>
          </w:tcPr>
          <w:p w14:paraId="28452BE3" w14:textId="77777777"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lang w:val="en-GB"/>
              </w:rPr>
              <w:t>1.10 [0.76-1.58]</w:t>
            </w:r>
          </w:p>
        </w:tc>
        <w:tc>
          <w:tcPr>
            <w:tcW w:w="0" w:type="auto"/>
            <w:tcBorders>
              <w:left w:val="single" w:sz="4" w:space="0" w:color="auto"/>
              <w:bottom w:val="dashed" w:sz="4" w:space="0" w:color="auto"/>
              <w:right w:val="single" w:sz="4" w:space="0" w:color="auto"/>
            </w:tcBorders>
            <w:vAlign w:val="center"/>
          </w:tcPr>
          <w:p w14:paraId="3A91997E" w14:textId="5BB9751D"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20"/>
                <w:szCs w:val="20"/>
                <w:lang w:val="en-GB"/>
              </w:rPr>
            </w:pPr>
            <w:r w:rsidRPr="00441D1B">
              <w:rPr>
                <w:rFonts w:cs="Calibri"/>
                <w:b/>
                <w:sz w:val="20"/>
                <w:szCs w:val="20"/>
              </w:rPr>
              <w:t>1.65 [1.12-2.44]</w:t>
            </w:r>
          </w:p>
        </w:tc>
        <w:tc>
          <w:tcPr>
            <w:tcW w:w="0" w:type="auto"/>
            <w:tcBorders>
              <w:left w:val="single" w:sz="4" w:space="0" w:color="auto"/>
              <w:bottom w:val="dashed" w:sz="4" w:space="0" w:color="auto"/>
            </w:tcBorders>
            <w:vAlign w:val="center"/>
          </w:tcPr>
          <w:p w14:paraId="7EBA545B" w14:textId="74CECB93"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20"/>
                <w:szCs w:val="20"/>
                <w:lang w:val="en-GB"/>
              </w:rPr>
            </w:pPr>
            <w:r w:rsidRPr="00441D1B">
              <w:rPr>
                <w:rFonts w:cs="Calibri"/>
                <w:b/>
                <w:sz w:val="20"/>
                <w:szCs w:val="20"/>
              </w:rPr>
              <w:t>2.76 [1.59-4.78]</w:t>
            </w:r>
          </w:p>
        </w:tc>
      </w:tr>
      <w:tr w:rsidR="00A479FE" w:rsidRPr="00441D1B" w14:paraId="4EDDEBAC" w14:textId="77777777" w:rsidTr="00A47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dashed" w:sz="4" w:space="0" w:color="auto"/>
              <w:bottom w:val="none" w:sz="0" w:space="0" w:color="auto"/>
              <w:right w:val="single" w:sz="4" w:space="0" w:color="auto"/>
            </w:tcBorders>
          </w:tcPr>
          <w:p w14:paraId="19ADF03C" w14:textId="77777777" w:rsidR="00A479FE" w:rsidRPr="00441D1B" w:rsidRDefault="00A479FE" w:rsidP="00A479FE">
            <w:pPr>
              <w:spacing w:after="160"/>
              <w:rPr>
                <w:rFonts w:cs="Calibri"/>
                <w:sz w:val="20"/>
                <w:szCs w:val="20"/>
                <w:lang w:val="en-GB"/>
              </w:rPr>
            </w:pPr>
            <w:r w:rsidRPr="00441D1B">
              <w:rPr>
                <w:rFonts w:cs="Calibri"/>
                <w:sz w:val="20"/>
                <w:szCs w:val="20"/>
                <w:lang w:val="en-GB"/>
              </w:rPr>
              <w:t xml:space="preserve">Pneumonia detected </w:t>
            </w:r>
          </w:p>
        </w:tc>
        <w:tc>
          <w:tcPr>
            <w:tcW w:w="0" w:type="auto"/>
            <w:tcBorders>
              <w:top w:val="dashed" w:sz="4" w:space="0" w:color="auto"/>
              <w:left w:val="single" w:sz="4" w:space="0" w:color="auto"/>
              <w:bottom w:val="none" w:sz="0" w:space="0" w:color="auto"/>
              <w:right w:val="single" w:sz="4" w:space="0" w:color="auto"/>
            </w:tcBorders>
            <w:vAlign w:val="center"/>
          </w:tcPr>
          <w:p w14:paraId="40E5F757" w14:textId="7777777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lang w:val="en-GB"/>
              </w:rPr>
              <w:t>0.50 [0.18-1.39]</w:t>
            </w:r>
          </w:p>
        </w:tc>
        <w:tc>
          <w:tcPr>
            <w:tcW w:w="0" w:type="auto"/>
            <w:tcBorders>
              <w:top w:val="dashed" w:sz="4" w:space="0" w:color="auto"/>
              <w:bottom w:val="none" w:sz="0" w:space="0" w:color="auto"/>
              <w:right w:val="single" w:sz="4" w:space="0" w:color="auto"/>
            </w:tcBorders>
            <w:vAlign w:val="center"/>
          </w:tcPr>
          <w:p w14:paraId="23856FAE" w14:textId="3C64B1C6"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0.85 [0.38-1.91]</w:t>
            </w:r>
          </w:p>
        </w:tc>
        <w:tc>
          <w:tcPr>
            <w:tcW w:w="0" w:type="auto"/>
            <w:tcBorders>
              <w:top w:val="dashed" w:sz="4" w:space="0" w:color="auto"/>
              <w:left w:val="single" w:sz="4" w:space="0" w:color="auto"/>
              <w:bottom w:val="none" w:sz="0" w:space="0" w:color="auto"/>
            </w:tcBorders>
            <w:vAlign w:val="center"/>
          </w:tcPr>
          <w:p w14:paraId="511A20CE" w14:textId="7E04DE01"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sz w:val="20"/>
                <w:szCs w:val="20"/>
                <w:lang w:val="en-GB"/>
              </w:rPr>
            </w:pPr>
            <w:r w:rsidRPr="00441D1B">
              <w:rPr>
                <w:rFonts w:cs="Calibri"/>
                <w:sz w:val="20"/>
                <w:szCs w:val="20"/>
              </w:rPr>
              <w:t>0.34 [0.08-1.42]</w:t>
            </w:r>
          </w:p>
        </w:tc>
      </w:tr>
      <w:tr w:rsidR="00A479FE" w:rsidRPr="00441D1B" w14:paraId="355C6141" w14:textId="77777777" w:rsidTr="00A479FE">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2A7059E" w14:textId="77777777" w:rsidR="00A479FE" w:rsidRPr="00441D1B" w:rsidRDefault="00A479FE" w:rsidP="00A479FE">
            <w:pPr>
              <w:spacing w:after="160"/>
              <w:rPr>
                <w:rFonts w:cs="Calibri"/>
                <w:sz w:val="20"/>
                <w:szCs w:val="20"/>
                <w:lang w:val="en-GB"/>
              </w:rPr>
            </w:pPr>
            <w:r w:rsidRPr="00441D1B">
              <w:rPr>
                <w:rFonts w:cs="Calibri"/>
                <w:sz w:val="20"/>
                <w:szCs w:val="20"/>
                <w:lang w:val="en-GB"/>
              </w:rPr>
              <w:t>Bacteria detected</w:t>
            </w:r>
          </w:p>
        </w:tc>
        <w:tc>
          <w:tcPr>
            <w:tcW w:w="0" w:type="auto"/>
            <w:tcBorders>
              <w:left w:val="single" w:sz="4" w:space="0" w:color="auto"/>
              <w:right w:val="single" w:sz="4" w:space="0" w:color="auto"/>
            </w:tcBorders>
            <w:vAlign w:val="center"/>
          </w:tcPr>
          <w:p w14:paraId="4C8F59F6" w14:textId="77777777"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lang w:val="en-GB"/>
              </w:rPr>
              <w:t>0.89 [0.58-1.37]</w:t>
            </w:r>
          </w:p>
        </w:tc>
        <w:tc>
          <w:tcPr>
            <w:tcW w:w="0" w:type="auto"/>
            <w:tcBorders>
              <w:right w:val="single" w:sz="4" w:space="0" w:color="auto"/>
            </w:tcBorders>
            <w:vAlign w:val="center"/>
          </w:tcPr>
          <w:p w14:paraId="4EBAF3AC" w14:textId="1BC5CDD8"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rPr>
              <w:t>1.05 [0.71-1.56]</w:t>
            </w:r>
          </w:p>
        </w:tc>
        <w:tc>
          <w:tcPr>
            <w:tcW w:w="0" w:type="auto"/>
            <w:tcBorders>
              <w:left w:val="single" w:sz="4" w:space="0" w:color="auto"/>
            </w:tcBorders>
            <w:vAlign w:val="center"/>
          </w:tcPr>
          <w:p w14:paraId="7522FF4C" w14:textId="0E768627" w:rsidR="00A479FE" w:rsidRPr="00441D1B" w:rsidRDefault="00A479FE" w:rsidP="00A479FE">
            <w:pPr>
              <w:spacing w:after="160"/>
              <w:jc w:val="center"/>
              <w:cnfStyle w:val="000000000000" w:firstRow="0" w:lastRow="0" w:firstColumn="0" w:lastColumn="0" w:oddVBand="0" w:evenVBand="0" w:oddHBand="0" w:evenHBand="0" w:firstRowFirstColumn="0" w:firstRowLastColumn="0" w:lastRowFirstColumn="0" w:lastRowLastColumn="0"/>
              <w:rPr>
                <w:rFonts w:cs="Calibri"/>
                <w:sz w:val="20"/>
                <w:szCs w:val="20"/>
                <w:lang w:val="en-GB"/>
              </w:rPr>
            </w:pPr>
            <w:r w:rsidRPr="00441D1B">
              <w:rPr>
                <w:rFonts w:cs="Calibri"/>
                <w:sz w:val="20"/>
                <w:szCs w:val="20"/>
              </w:rPr>
              <w:t>1.36 [0.85-2.16]</w:t>
            </w:r>
          </w:p>
        </w:tc>
      </w:tr>
      <w:tr w:rsidR="00A479FE" w:rsidRPr="00441D1B" w14:paraId="201279C2" w14:textId="77777777" w:rsidTr="00A47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right w:val="single" w:sz="4" w:space="0" w:color="auto"/>
            </w:tcBorders>
          </w:tcPr>
          <w:p w14:paraId="340BD175" w14:textId="77777777" w:rsidR="00A479FE" w:rsidRPr="00441D1B" w:rsidRDefault="00A479FE" w:rsidP="00A479FE">
            <w:pPr>
              <w:spacing w:after="160"/>
              <w:rPr>
                <w:rFonts w:cs="Calibri"/>
                <w:sz w:val="20"/>
                <w:szCs w:val="20"/>
                <w:lang w:val="en-GB"/>
              </w:rPr>
            </w:pPr>
            <w:r w:rsidRPr="00441D1B">
              <w:rPr>
                <w:rFonts w:cs="Calibri"/>
                <w:sz w:val="20"/>
                <w:szCs w:val="20"/>
                <w:lang w:val="en-GB"/>
              </w:rPr>
              <w:t>Other viruses detected</w:t>
            </w:r>
          </w:p>
        </w:tc>
        <w:tc>
          <w:tcPr>
            <w:tcW w:w="0" w:type="auto"/>
            <w:tcBorders>
              <w:top w:val="none" w:sz="0" w:space="0" w:color="auto"/>
              <w:left w:val="single" w:sz="4" w:space="0" w:color="auto"/>
              <w:bottom w:val="single" w:sz="4" w:space="0" w:color="auto"/>
              <w:right w:val="single" w:sz="4" w:space="0" w:color="auto"/>
            </w:tcBorders>
            <w:vAlign w:val="center"/>
          </w:tcPr>
          <w:p w14:paraId="446F3CFC" w14:textId="77777777"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en-GB"/>
              </w:rPr>
            </w:pPr>
            <w:r w:rsidRPr="00441D1B">
              <w:rPr>
                <w:rFonts w:cs="Calibri"/>
                <w:b/>
                <w:sz w:val="20"/>
                <w:szCs w:val="20"/>
                <w:lang w:val="en-GB"/>
              </w:rPr>
              <w:t>0.18 [0.12-0.29]</w:t>
            </w:r>
          </w:p>
        </w:tc>
        <w:tc>
          <w:tcPr>
            <w:tcW w:w="0" w:type="auto"/>
            <w:tcBorders>
              <w:top w:val="none" w:sz="0" w:space="0" w:color="auto"/>
              <w:bottom w:val="single" w:sz="4" w:space="0" w:color="auto"/>
              <w:right w:val="single" w:sz="4" w:space="0" w:color="auto"/>
            </w:tcBorders>
            <w:vAlign w:val="center"/>
          </w:tcPr>
          <w:p w14:paraId="20F5D135" w14:textId="74053FDC"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en-GB"/>
              </w:rPr>
            </w:pPr>
            <w:r w:rsidRPr="00441D1B">
              <w:rPr>
                <w:rFonts w:cs="Calibri"/>
                <w:b/>
                <w:sz w:val="20"/>
                <w:szCs w:val="20"/>
              </w:rPr>
              <w:t>0.17 [0.11-0.26]</w:t>
            </w:r>
          </w:p>
        </w:tc>
        <w:tc>
          <w:tcPr>
            <w:tcW w:w="0" w:type="auto"/>
            <w:tcBorders>
              <w:top w:val="none" w:sz="0" w:space="0" w:color="auto"/>
              <w:left w:val="single" w:sz="4" w:space="0" w:color="auto"/>
              <w:bottom w:val="single" w:sz="4" w:space="0" w:color="auto"/>
            </w:tcBorders>
            <w:vAlign w:val="center"/>
          </w:tcPr>
          <w:p w14:paraId="116798DA" w14:textId="086FD5E2" w:rsidR="00A479FE" w:rsidRPr="00441D1B" w:rsidRDefault="00A479FE" w:rsidP="00A479FE">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20"/>
                <w:szCs w:val="20"/>
                <w:lang w:val="en-GB"/>
              </w:rPr>
            </w:pPr>
            <w:r w:rsidRPr="00441D1B">
              <w:rPr>
                <w:rFonts w:cs="Calibri"/>
                <w:b/>
                <w:sz w:val="20"/>
                <w:szCs w:val="20"/>
              </w:rPr>
              <w:t>0.10 [0.06-0.19]</w:t>
            </w:r>
          </w:p>
        </w:tc>
      </w:tr>
    </w:tbl>
    <w:p w14:paraId="7FD5C6A3" w14:textId="00C49743" w:rsidR="00811467" w:rsidRPr="00441D1B" w:rsidRDefault="00811467" w:rsidP="00BA3054">
      <w:pPr>
        <w:spacing w:after="160"/>
        <w:rPr>
          <w:sz w:val="18"/>
          <w:szCs w:val="18"/>
          <w:lang w:val="en-GB"/>
        </w:rPr>
      </w:pPr>
      <w:r w:rsidRPr="00441D1B">
        <w:rPr>
          <w:i/>
          <w:sz w:val="18"/>
          <w:szCs w:val="18"/>
          <w:lang w:val="en-GB"/>
        </w:rPr>
        <w:t xml:space="preserve">OR: odds ratio; CI: (Wald) confidence interval; Numbers printed in bold indicate significance: models accounted for significant </w:t>
      </w:r>
      <w:r w:rsidRPr="00441D1B">
        <w:rPr>
          <w:i/>
          <w:sz w:val="18"/>
          <w:lang w:val="en-GB"/>
        </w:rPr>
        <w:t>covariates</w:t>
      </w:r>
      <w:r w:rsidRPr="00441D1B">
        <w:rPr>
          <w:i/>
          <w:sz w:val="14"/>
          <w:szCs w:val="18"/>
          <w:lang w:val="en-GB"/>
        </w:rPr>
        <w:t xml:space="preserve"> </w:t>
      </w:r>
      <w:r w:rsidRPr="00441D1B">
        <w:rPr>
          <w:i/>
          <w:sz w:val="18"/>
          <w:szCs w:val="18"/>
          <w:lang w:val="en-GB"/>
        </w:rPr>
        <w:t>(</w:t>
      </w:r>
      <w:r w:rsidRPr="00441D1B">
        <w:rPr>
          <w:i/>
          <w:sz w:val="18"/>
          <w:szCs w:val="18"/>
        </w:rPr>
        <w:t>influenza vaccination, smoking status, days coughing prior to consultation and presence of other viruses for RSV; history of cardiac comorbidities, influenza vaccination, smoking status, days coughing prior to consultation and presence of other viruses for influenza</w:t>
      </w:r>
      <w:r w:rsidR="00BA3054" w:rsidRPr="00441D1B">
        <w:rPr>
          <w:i/>
          <w:sz w:val="18"/>
          <w:szCs w:val="18"/>
        </w:rPr>
        <w:t xml:space="preserve"> A; history of pulmonary comorbidities, influenza vaccination, days coughing prior to consultation and presence of other viruses for influenza</w:t>
      </w:r>
      <w:r w:rsidR="00A02468" w:rsidRPr="00441D1B">
        <w:rPr>
          <w:i/>
          <w:sz w:val="18"/>
          <w:szCs w:val="18"/>
        </w:rPr>
        <w:t xml:space="preserve"> B</w:t>
      </w:r>
      <w:r w:rsidRPr="00441D1B">
        <w:rPr>
          <w:i/>
          <w:sz w:val="18"/>
          <w:szCs w:val="18"/>
          <w:lang w:val="en-GB"/>
        </w:rPr>
        <w:t>).</w:t>
      </w:r>
      <w:r w:rsidRPr="00441D1B">
        <w:rPr>
          <w:i/>
          <w:sz w:val="18"/>
          <w:szCs w:val="18"/>
          <w:lang w:val="en-GB"/>
        </w:rPr>
        <w:br/>
      </w:r>
      <w:r w:rsidRPr="00441D1B">
        <w:rPr>
          <w:i/>
          <w:sz w:val="18"/>
          <w:szCs w:val="18"/>
          <w:vertAlign w:val="superscript"/>
          <w:lang w:val="en-GB"/>
        </w:rPr>
        <w:t xml:space="preserve">a </w:t>
      </w:r>
      <w:r w:rsidRPr="00441D1B">
        <w:rPr>
          <w:i/>
          <w:sz w:val="18"/>
          <w:szCs w:val="18"/>
          <w:lang w:val="en-GB"/>
        </w:rPr>
        <w:t>Pulmonary comorbidities include asthma, chronic obstructive pulmonary disease and other chronic lung diseases.</w:t>
      </w:r>
      <w:r w:rsidRPr="00441D1B">
        <w:rPr>
          <w:i/>
          <w:sz w:val="18"/>
          <w:szCs w:val="18"/>
          <w:lang w:val="en-GB"/>
        </w:rPr>
        <w:br/>
      </w:r>
      <w:r w:rsidRPr="00441D1B">
        <w:rPr>
          <w:i/>
          <w:sz w:val="18"/>
          <w:szCs w:val="18"/>
          <w:vertAlign w:val="superscript"/>
          <w:lang w:val="en-GB"/>
        </w:rPr>
        <w:t xml:space="preserve">b </w:t>
      </w:r>
      <w:r w:rsidRPr="00441D1B">
        <w:rPr>
          <w:i/>
          <w:sz w:val="18"/>
          <w:szCs w:val="18"/>
          <w:lang w:val="en-GB"/>
        </w:rPr>
        <w:t xml:space="preserve">Cardiac comorbidities include heart failure, ischemic heart disease and other heart diseases. </w:t>
      </w:r>
    </w:p>
    <w:p w14:paraId="5B39A009" w14:textId="77777777" w:rsidR="00811467" w:rsidRPr="00441D1B" w:rsidRDefault="00811467" w:rsidP="00811467">
      <w:pPr>
        <w:pStyle w:val="Caption"/>
        <w:keepNext/>
        <w:spacing w:line="480" w:lineRule="auto"/>
      </w:pPr>
      <w:r w:rsidRPr="00441D1B">
        <w:rPr>
          <w:lang w:val="en-GB"/>
        </w:rPr>
        <w:lastRenderedPageBreak/>
        <w:t xml:space="preserve">  </w:t>
      </w:r>
      <w:r w:rsidRPr="00441D1B">
        <w:t xml:space="preserve">Table </w:t>
      </w:r>
      <w:r w:rsidRPr="00441D1B">
        <w:fldChar w:fldCharType="begin"/>
      </w:r>
      <w:r w:rsidRPr="00441D1B">
        <w:instrText xml:space="preserve"> SEQ Table \* ARABIC </w:instrText>
      </w:r>
      <w:r w:rsidRPr="00441D1B">
        <w:fldChar w:fldCharType="separate"/>
      </w:r>
      <w:r w:rsidRPr="00441D1B">
        <w:rPr>
          <w:noProof/>
        </w:rPr>
        <w:t>4</w:t>
      </w:r>
      <w:r w:rsidRPr="00441D1B">
        <w:fldChar w:fldCharType="end"/>
      </w:r>
      <w:r w:rsidRPr="00441D1B">
        <w:t>. Duration of symptoms after the initial consultation (days) in adult acute cough patients that tested positive for respiratory syncytial virus (RSV) or Influenza virus in primary care.</w:t>
      </w:r>
    </w:p>
    <w:tbl>
      <w:tblPr>
        <w:tblStyle w:val="PlainTable3"/>
        <w:tblW w:w="12974" w:type="dxa"/>
        <w:tblLook w:val="04A0" w:firstRow="1" w:lastRow="0" w:firstColumn="1" w:lastColumn="0" w:noHBand="0" w:noVBand="1"/>
      </w:tblPr>
      <w:tblGrid>
        <w:gridCol w:w="1572"/>
        <w:gridCol w:w="735"/>
        <w:gridCol w:w="1020"/>
        <w:gridCol w:w="1020"/>
        <w:gridCol w:w="1020"/>
        <w:gridCol w:w="750"/>
        <w:gridCol w:w="1020"/>
        <w:gridCol w:w="1020"/>
        <w:gridCol w:w="1020"/>
        <w:gridCol w:w="737"/>
        <w:gridCol w:w="1020"/>
        <w:gridCol w:w="1020"/>
        <w:gridCol w:w="1020"/>
      </w:tblGrid>
      <w:tr w:rsidR="00A800B4" w:rsidRPr="00441D1B" w14:paraId="1F4600A3" w14:textId="77777777" w:rsidTr="00FF2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72" w:type="dxa"/>
            <w:tcBorders>
              <w:top w:val="single" w:sz="4" w:space="0" w:color="auto"/>
              <w:bottom w:val="none" w:sz="0" w:space="0" w:color="auto"/>
              <w:right w:val="single" w:sz="4" w:space="0" w:color="auto"/>
            </w:tcBorders>
            <w:shd w:val="clear" w:color="auto" w:fill="auto"/>
            <w:vAlign w:val="center"/>
          </w:tcPr>
          <w:p w14:paraId="7DE95060" w14:textId="77777777" w:rsidR="00A800B4" w:rsidRPr="00441D1B" w:rsidRDefault="00A800B4" w:rsidP="008A52E0">
            <w:pPr>
              <w:spacing w:after="160"/>
              <w:jc w:val="center"/>
              <w:rPr>
                <w:rFonts w:cs="Calibri"/>
                <w:caps w:val="0"/>
                <w:sz w:val="18"/>
                <w:szCs w:val="20"/>
                <w:lang w:val="en-GB"/>
              </w:rPr>
            </w:pPr>
          </w:p>
        </w:tc>
        <w:tc>
          <w:tcPr>
            <w:tcW w:w="735" w:type="dxa"/>
            <w:tcBorders>
              <w:top w:val="single" w:sz="4" w:space="0" w:color="auto"/>
              <w:left w:val="single" w:sz="4" w:space="0" w:color="auto"/>
              <w:bottom w:val="none" w:sz="0" w:space="0" w:color="auto"/>
              <w:right w:val="single" w:sz="4" w:space="0" w:color="auto"/>
            </w:tcBorders>
            <w:shd w:val="clear" w:color="auto" w:fill="auto"/>
            <w:vAlign w:val="center"/>
          </w:tcPr>
          <w:p w14:paraId="7ABD7AA4" w14:textId="77777777" w:rsidR="00A800B4" w:rsidRPr="00441D1B" w:rsidRDefault="00A800B4" w:rsidP="008A52E0">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18"/>
                <w:szCs w:val="20"/>
                <w:lang w:val="en-GB"/>
              </w:rPr>
            </w:pPr>
          </w:p>
        </w:tc>
        <w:tc>
          <w:tcPr>
            <w:tcW w:w="3060" w:type="dxa"/>
            <w:gridSpan w:val="3"/>
            <w:tcBorders>
              <w:top w:val="single" w:sz="4" w:space="0" w:color="auto"/>
              <w:left w:val="single" w:sz="4" w:space="0" w:color="auto"/>
              <w:bottom w:val="none" w:sz="0" w:space="0" w:color="auto"/>
              <w:right w:val="single" w:sz="4" w:space="0" w:color="auto"/>
            </w:tcBorders>
            <w:shd w:val="clear" w:color="auto" w:fill="auto"/>
            <w:vAlign w:val="center"/>
          </w:tcPr>
          <w:p w14:paraId="54629F57" w14:textId="40ABE20A" w:rsidR="00A800B4" w:rsidRPr="00441D1B" w:rsidRDefault="00A800B4" w:rsidP="008A52E0">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18"/>
                <w:szCs w:val="20"/>
                <w:lang w:val="en-GB"/>
              </w:rPr>
            </w:pPr>
            <w:r w:rsidRPr="00441D1B">
              <w:rPr>
                <w:rFonts w:cs="Calibri"/>
                <w:caps w:val="0"/>
                <w:sz w:val="18"/>
                <w:szCs w:val="20"/>
                <w:lang w:val="en-GB"/>
              </w:rPr>
              <w:t>RSV - Median [IQR]</w:t>
            </w:r>
          </w:p>
        </w:tc>
        <w:tc>
          <w:tcPr>
            <w:tcW w:w="750" w:type="dxa"/>
            <w:tcBorders>
              <w:top w:val="single" w:sz="4" w:space="0" w:color="auto"/>
              <w:left w:val="single" w:sz="4" w:space="0" w:color="auto"/>
              <w:bottom w:val="none" w:sz="0" w:space="0" w:color="auto"/>
              <w:right w:val="single" w:sz="4" w:space="0" w:color="auto"/>
            </w:tcBorders>
            <w:shd w:val="clear" w:color="auto" w:fill="auto"/>
            <w:vAlign w:val="center"/>
          </w:tcPr>
          <w:p w14:paraId="6687B02F" w14:textId="77777777" w:rsidR="00A800B4" w:rsidRPr="00441D1B" w:rsidRDefault="00A800B4" w:rsidP="008A52E0">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18"/>
                <w:szCs w:val="20"/>
                <w:lang w:val="en-GB"/>
              </w:rPr>
            </w:pPr>
          </w:p>
        </w:tc>
        <w:tc>
          <w:tcPr>
            <w:tcW w:w="3060" w:type="dxa"/>
            <w:gridSpan w:val="3"/>
            <w:tcBorders>
              <w:top w:val="single" w:sz="4" w:space="0" w:color="auto"/>
              <w:left w:val="single" w:sz="4" w:space="0" w:color="auto"/>
              <w:bottom w:val="none" w:sz="0" w:space="0" w:color="auto"/>
              <w:right w:val="single" w:sz="4" w:space="0" w:color="auto"/>
            </w:tcBorders>
            <w:shd w:val="clear" w:color="auto" w:fill="auto"/>
            <w:vAlign w:val="center"/>
          </w:tcPr>
          <w:p w14:paraId="05934644" w14:textId="2B10778A" w:rsidR="00A800B4" w:rsidRPr="00441D1B" w:rsidRDefault="00A800B4" w:rsidP="008A52E0">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18"/>
                <w:szCs w:val="20"/>
                <w:lang w:val="en-GB"/>
              </w:rPr>
            </w:pPr>
            <w:r w:rsidRPr="00441D1B">
              <w:rPr>
                <w:rFonts w:cs="Calibri"/>
                <w:caps w:val="0"/>
                <w:sz w:val="18"/>
                <w:szCs w:val="20"/>
                <w:lang w:val="en-GB"/>
              </w:rPr>
              <w:t>Influenza A - Median [IQR]</w:t>
            </w:r>
          </w:p>
        </w:tc>
        <w:tc>
          <w:tcPr>
            <w:tcW w:w="737" w:type="dxa"/>
            <w:tcBorders>
              <w:top w:val="single" w:sz="4" w:space="0" w:color="auto"/>
              <w:left w:val="single" w:sz="4" w:space="0" w:color="auto"/>
              <w:bottom w:val="none" w:sz="0" w:space="0" w:color="auto"/>
              <w:right w:val="single" w:sz="4" w:space="0" w:color="auto"/>
            </w:tcBorders>
            <w:shd w:val="clear" w:color="auto" w:fill="auto"/>
            <w:vAlign w:val="center"/>
          </w:tcPr>
          <w:p w14:paraId="7DFB4D9B" w14:textId="77777777" w:rsidR="00A800B4" w:rsidRPr="00441D1B" w:rsidRDefault="00A800B4" w:rsidP="008A52E0">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18"/>
                <w:szCs w:val="20"/>
                <w:lang w:val="en-GB"/>
              </w:rPr>
            </w:pPr>
          </w:p>
        </w:tc>
        <w:tc>
          <w:tcPr>
            <w:tcW w:w="3060" w:type="dxa"/>
            <w:gridSpan w:val="3"/>
            <w:tcBorders>
              <w:top w:val="single" w:sz="4" w:space="0" w:color="auto"/>
              <w:left w:val="single" w:sz="4" w:space="0" w:color="auto"/>
              <w:bottom w:val="none" w:sz="0" w:space="0" w:color="auto"/>
            </w:tcBorders>
            <w:shd w:val="clear" w:color="auto" w:fill="auto"/>
            <w:vAlign w:val="center"/>
          </w:tcPr>
          <w:p w14:paraId="3F078A00" w14:textId="2C7F54F1" w:rsidR="00A800B4" w:rsidRPr="00441D1B" w:rsidRDefault="00A800B4" w:rsidP="008A52E0">
            <w:pPr>
              <w:spacing w:after="160"/>
              <w:jc w:val="center"/>
              <w:cnfStyle w:val="100000000000" w:firstRow="1" w:lastRow="0" w:firstColumn="0" w:lastColumn="0" w:oddVBand="0" w:evenVBand="0" w:oddHBand="0" w:evenHBand="0" w:firstRowFirstColumn="0" w:firstRowLastColumn="0" w:lastRowFirstColumn="0" w:lastRowLastColumn="0"/>
              <w:rPr>
                <w:rFonts w:cs="Calibri"/>
                <w:b w:val="0"/>
                <w:sz w:val="18"/>
                <w:szCs w:val="20"/>
                <w:lang w:val="en-GB"/>
              </w:rPr>
            </w:pPr>
            <w:r w:rsidRPr="00441D1B">
              <w:rPr>
                <w:rFonts w:cs="Calibri"/>
                <w:caps w:val="0"/>
                <w:sz w:val="18"/>
                <w:szCs w:val="20"/>
                <w:lang w:val="en-GB"/>
              </w:rPr>
              <w:t>Influenza B - Median [IQR]</w:t>
            </w:r>
          </w:p>
        </w:tc>
      </w:tr>
      <w:tr w:rsidR="00DA19D1" w:rsidRPr="00441D1B" w14:paraId="6A2BC224" w14:textId="77777777" w:rsidTr="00FF2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bottom w:val="single" w:sz="4" w:space="0" w:color="auto"/>
              <w:right w:val="single" w:sz="4" w:space="0" w:color="auto"/>
            </w:tcBorders>
            <w:shd w:val="clear" w:color="auto" w:fill="auto"/>
            <w:vAlign w:val="center"/>
          </w:tcPr>
          <w:p w14:paraId="4F70336B" w14:textId="77777777" w:rsidR="008A52E0" w:rsidRPr="00441D1B" w:rsidRDefault="008A52E0" w:rsidP="008A52E0">
            <w:pPr>
              <w:spacing w:after="160"/>
              <w:jc w:val="center"/>
              <w:rPr>
                <w:rFonts w:cs="Calibri"/>
                <w:caps w:val="0"/>
                <w:sz w:val="18"/>
                <w:szCs w:val="20"/>
                <w:lang w:val="en-GB"/>
              </w:rPr>
            </w:pPr>
          </w:p>
        </w:tc>
        <w:tc>
          <w:tcPr>
            <w:tcW w:w="735" w:type="dxa"/>
            <w:tcBorders>
              <w:left w:val="single" w:sz="4" w:space="0" w:color="auto"/>
              <w:bottom w:val="single" w:sz="4" w:space="0" w:color="auto"/>
              <w:right w:val="single" w:sz="4" w:space="0" w:color="auto"/>
            </w:tcBorders>
            <w:shd w:val="clear" w:color="auto" w:fill="auto"/>
            <w:vAlign w:val="center"/>
          </w:tcPr>
          <w:p w14:paraId="1E716704"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N (%)</w:t>
            </w:r>
          </w:p>
        </w:tc>
        <w:tc>
          <w:tcPr>
            <w:tcW w:w="1020" w:type="dxa"/>
            <w:tcBorders>
              <w:left w:val="single" w:sz="4" w:space="0" w:color="auto"/>
              <w:bottom w:val="single" w:sz="4" w:space="0" w:color="auto"/>
            </w:tcBorders>
            <w:shd w:val="clear" w:color="auto" w:fill="auto"/>
            <w:vAlign w:val="center"/>
          </w:tcPr>
          <w:p w14:paraId="7F89C171"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18-59 years</w:t>
            </w:r>
          </w:p>
        </w:tc>
        <w:tc>
          <w:tcPr>
            <w:tcW w:w="1020" w:type="dxa"/>
            <w:tcBorders>
              <w:bottom w:val="single" w:sz="4" w:space="0" w:color="auto"/>
            </w:tcBorders>
            <w:shd w:val="clear" w:color="auto" w:fill="auto"/>
            <w:vAlign w:val="center"/>
          </w:tcPr>
          <w:p w14:paraId="62CF06B5"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60-74 years</w:t>
            </w:r>
          </w:p>
        </w:tc>
        <w:tc>
          <w:tcPr>
            <w:tcW w:w="1020" w:type="dxa"/>
            <w:tcBorders>
              <w:bottom w:val="single" w:sz="4" w:space="0" w:color="auto"/>
              <w:right w:val="single" w:sz="4" w:space="0" w:color="auto"/>
            </w:tcBorders>
            <w:shd w:val="clear" w:color="auto" w:fill="auto"/>
            <w:vAlign w:val="center"/>
          </w:tcPr>
          <w:p w14:paraId="3B4134EE" w14:textId="2554EDEB"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 xml:space="preserve">75 years </w:t>
            </w:r>
            <w:r w:rsidR="003E3EA9" w:rsidRPr="00441D1B">
              <w:rPr>
                <w:rFonts w:cs="Calibri"/>
                <w:b/>
                <w:sz w:val="18"/>
                <w:szCs w:val="20"/>
                <w:lang w:val="en-GB"/>
              </w:rPr>
              <w:br/>
            </w:r>
            <w:r w:rsidRPr="00441D1B">
              <w:rPr>
                <w:rFonts w:cs="Calibri"/>
                <w:b/>
                <w:sz w:val="18"/>
                <w:szCs w:val="20"/>
                <w:lang w:val="en-GB"/>
              </w:rPr>
              <w:t>and older</w:t>
            </w:r>
          </w:p>
        </w:tc>
        <w:tc>
          <w:tcPr>
            <w:tcW w:w="750" w:type="dxa"/>
            <w:tcBorders>
              <w:left w:val="single" w:sz="4" w:space="0" w:color="auto"/>
              <w:bottom w:val="single" w:sz="4" w:space="0" w:color="auto"/>
              <w:right w:val="single" w:sz="4" w:space="0" w:color="auto"/>
            </w:tcBorders>
            <w:shd w:val="clear" w:color="auto" w:fill="auto"/>
            <w:vAlign w:val="center"/>
          </w:tcPr>
          <w:p w14:paraId="503279A8" w14:textId="3D6861FC"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N (%)</w:t>
            </w:r>
          </w:p>
        </w:tc>
        <w:tc>
          <w:tcPr>
            <w:tcW w:w="1020" w:type="dxa"/>
            <w:tcBorders>
              <w:left w:val="single" w:sz="4" w:space="0" w:color="auto"/>
              <w:bottom w:val="single" w:sz="4" w:space="0" w:color="auto"/>
            </w:tcBorders>
            <w:shd w:val="clear" w:color="auto" w:fill="auto"/>
            <w:vAlign w:val="center"/>
          </w:tcPr>
          <w:p w14:paraId="3B71FF78" w14:textId="6883DBE2"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18-59 years</w:t>
            </w:r>
          </w:p>
        </w:tc>
        <w:tc>
          <w:tcPr>
            <w:tcW w:w="1020" w:type="dxa"/>
            <w:tcBorders>
              <w:bottom w:val="single" w:sz="4" w:space="0" w:color="auto"/>
            </w:tcBorders>
            <w:shd w:val="clear" w:color="auto" w:fill="auto"/>
            <w:vAlign w:val="center"/>
          </w:tcPr>
          <w:p w14:paraId="1F62657A" w14:textId="2597570D"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60-74 years</w:t>
            </w:r>
          </w:p>
        </w:tc>
        <w:tc>
          <w:tcPr>
            <w:tcW w:w="1020" w:type="dxa"/>
            <w:tcBorders>
              <w:bottom w:val="single" w:sz="4" w:space="0" w:color="auto"/>
              <w:right w:val="single" w:sz="4" w:space="0" w:color="auto"/>
            </w:tcBorders>
            <w:shd w:val="clear" w:color="auto" w:fill="auto"/>
            <w:vAlign w:val="center"/>
          </w:tcPr>
          <w:p w14:paraId="1CDBCCB8" w14:textId="14C06670"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 xml:space="preserve">75 years </w:t>
            </w:r>
            <w:r w:rsidR="003E3EA9" w:rsidRPr="00441D1B">
              <w:rPr>
                <w:rFonts w:cs="Calibri"/>
                <w:b/>
                <w:sz w:val="18"/>
                <w:szCs w:val="20"/>
                <w:lang w:val="en-GB"/>
              </w:rPr>
              <w:br/>
            </w:r>
            <w:r w:rsidRPr="00441D1B">
              <w:rPr>
                <w:rFonts w:cs="Calibri"/>
                <w:b/>
                <w:sz w:val="18"/>
                <w:szCs w:val="20"/>
                <w:lang w:val="en-GB"/>
              </w:rPr>
              <w:t>and older</w:t>
            </w:r>
          </w:p>
        </w:tc>
        <w:tc>
          <w:tcPr>
            <w:tcW w:w="737" w:type="dxa"/>
            <w:tcBorders>
              <w:left w:val="single" w:sz="4" w:space="0" w:color="auto"/>
              <w:bottom w:val="single" w:sz="4" w:space="0" w:color="auto"/>
              <w:right w:val="single" w:sz="4" w:space="0" w:color="auto"/>
            </w:tcBorders>
            <w:shd w:val="clear" w:color="auto" w:fill="auto"/>
            <w:vAlign w:val="center"/>
          </w:tcPr>
          <w:p w14:paraId="4F986CDF" w14:textId="22632295"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N (%)</w:t>
            </w:r>
          </w:p>
        </w:tc>
        <w:tc>
          <w:tcPr>
            <w:tcW w:w="1020" w:type="dxa"/>
            <w:tcBorders>
              <w:left w:val="single" w:sz="4" w:space="0" w:color="auto"/>
              <w:bottom w:val="single" w:sz="4" w:space="0" w:color="auto"/>
            </w:tcBorders>
            <w:shd w:val="clear" w:color="auto" w:fill="auto"/>
            <w:vAlign w:val="center"/>
          </w:tcPr>
          <w:p w14:paraId="25957BC2"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b/>
                <w:sz w:val="18"/>
                <w:szCs w:val="20"/>
                <w:lang w:val="en-GB"/>
              </w:rPr>
              <w:t>18-59 years</w:t>
            </w:r>
          </w:p>
        </w:tc>
        <w:tc>
          <w:tcPr>
            <w:tcW w:w="1020" w:type="dxa"/>
            <w:tcBorders>
              <w:bottom w:val="single" w:sz="4" w:space="0" w:color="auto"/>
            </w:tcBorders>
            <w:shd w:val="clear" w:color="auto" w:fill="auto"/>
            <w:vAlign w:val="center"/>
          </w:tcPr>
          <w:p w14:paraId="72B985A9"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b/>
                <w:sz w:val="18"/>
                <w:szCs w:val="20"/>
                <w:lang w:val="en-GB"/>
              </w:rPr>
              <w:t>60-74 years</w:t>
            </w:r>
          </w:p>
        </w:tc>
        <w:tc>
          <w:tcPr>
            <w:tcW w:w="1020" w:type="dxa"/>
            <w:tcBorders>
              <w:bottom w:val="single" w:sz="4" w:space="0" w:color="auto"/>
            </w:tcBorders>
            <w:shd w:val="clear" w:color="auto" w:fill="auto"/>
            <w:vAlign w:val="center"/>
          </w:tcPr>
          <w:p w14:paraId="52498979" w14:textId="74C740B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b/>
                <w:sz w:val="18"/>
                <w:szCs w:val="20"/>
                <w:lang w:val="en-GB"/>
              </w:rPr>
              <w:t xml:space="preserve">75 years and </w:t>
            </w:r>
            <w:r w:rsidRPr="00441D1B">
              <w:rPr>
                <w:rFonts w:cs="Calibri"/>
                <w:b/>
                <w:sz w:val="18"/>
                <w:szCs w:val="20"/>
                <w:lang w:val="en-GB"/>
              </w:rPr>
              <w:br/>
              <w:t>older</w:t>
            </w:r>
          </w:p>
        </w:tc>
      </w:tr>
      <w:tr w:rsidR="003E3EA9" w:rsidRPr="00441D1B" w14:paraId="5BE01866" w14:textId="77777777" w:rsidTr="007747F7">
        <w:tc>
          <w:tcPr>
            <w:cnfStyle w:val="001000000000" w:firstRow="0" w:lastRow="0" w:firstColumn="1" w:lastColumn="0" w:oddVBand="0" w:evenVBand="0" w:oddHBand="0" w:evenHBand="0" w:firstRowFirstColumn="0" w:firstRowLastColumn="0" w:lastRowFirstColumn="0" w:lastRowLastColumn="0"/>
            <w:tcW w:w="1572" w:type="dxa"/>
            <w:tcBorders>
              <w:top w:val="single" w:sz="4" w:space="0" w:color="auto"/>
              <w:right w:val="single" w:sz="4" w:space="0" w:color="auto"/>
            </w:tcBorders>
            <w:shd w:val="clear" w:color="auto" w:fill="auto"/>
            <w:vAlign w:val="center"/>
          </w:tcPr>
          <w:p w14:paraId="2BC3E174"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Cough</w:t>
            </w:r>
          </w:p>
        </w:tc>
        <w:tc>
          <w:tcPr>
            <w:tcW w:w="735" w:type="dxa"/>
            <w:tcBorders>
              <w:top w:val="single" w:sz="4" w:space="0" w:color="auto"/>
              <w:left w:val="single" w:sz="4" w:space="0" w:color="auto"/>
              <w:right w:val="single" w:sz="4" w:space="0" w:color="auto"/>
            </w:tcBorders>
            <w:shd w:val="clear" w:color="auto" w:fill="auto"/>
            <w:vAlign w:val="center"/>
          </w:tcPr>
          <w:p w14:paraId="14ACFB15"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121 (98.4)</w:t>
            </w:r>
          </w:p>
        </w:tc>
        <w:tc>
          <w:tcPr>
            <w:tcW w:w="1020" w:type="dxa"/>
            <w:tcBorders>
              <w:top w:val="single" w:sz="4" w:space="0" w:color="auto"/>
              <w:left w:val="single" w:sz="4" w:space="0" w:color="auto"/>
            </w:tcBorders>
            <w:shd w:val="clear" w:color="auto" w:fill="auto"/>
            <w:vAlign w:val="center"/>
          </w:tcPr>
          <w:p w14:paraId="4B29033C"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12 [7-16]</w:t>
            </w:r>
          </w:p>
        </w:tc>
        <w:tc>
          <w:tcPr>
            <w:tcW w:w="1020" w:type="dxa"/>
            <w:tcBorders>
              <w:top w:val="single" w:sz="4" w:space="0" w:color="auto"/>
            </w:tcBorders>
            <w:shd w:val="clear" w:color="auto" w:fill="auto"/>
            <w:vAlign w:val="center"/>
          </w:tcPr>
          <w:p w14:paraId="7F6DEDE2"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14 [9-19]</w:t>
            </w:r>
          </w:p>
        </w:tc>
        <w:tc>
          <w:tcPr>
            <w:tcW w:w="1020" w:type="dxa"/>
            <w:tcBorders>
              <w:top w:val="single" w:sz="4" w:space="0" w:color="auto"/>
              <w:right w:val="single" w:sz="4" w:space="0" w:color="auto"/>
            </w:tcBorders>
            <w:shd w:val="clear" w:color="auto" w:fill="auto"/>
            <w:vAlign w:val="center"/>
          </w:tcPr>
          <w:p w14:paraId="374BF62E"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14 [9-20]</w:t>
            </w:r>
          </w:p>
        </w:tc>
        <w:tc>
          <w:tcPr>
            <w:tcW w:w="750" w:type="dxa"/>
            <w:tcBorders>
              <w:top w:val="single" w:sz="4" w:space="0" w:color="auto"/>
              <w:right w:val="single" w:sz="4" w:space="0" w:color="auto"/>
            </w:tcBorders>
            <w:shd w:val="clear" w:color="auto" w:fill="auto"/>
          </w:tcPr>
          <w:p w14:paraId="16420A79" w14:textId="4CDC06F1" w:rsidR="008A52E0" w:rsidRPr="00441D1B" w:rsidRDefault="000C2138"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137 (</w:t>
            </w:r>
            <w:r w:rsidR="00121D3D" w:rsidRPr="00441D1B">
              <w:rPr>
                <w:rFonts w:cs="Calibri"/>
                <w:sz w:val="18"/>
                <w:szCs w:val="20"/>
                <w:lang w:val="en-GB"/>
              </w:rPr>
              <w:t>99.3</w:t>
            </w:r>
            <w:r w:rsidRPr="00441D1B">
              <w:rPr>
                <w:rFonts w:cs="Calibri"/>
                <w:sz w:val="18"/>
                <w:szCs w:val="20"/>
                <w:lang w:val="en-GB"/>
              </w:rPr>
              <w:t>)</w:t>
            </w:r>
          </w:p>
        </w:tc>
        <w:tc>
          <w:tcPr>
            <w:tcW w:w="1020" w:type="dxa"/>
            <w:tcBorders>
              <w:top w:val="single" w:sz="4" w:space="0" w:color="auto"/>
            </w:tcBorders>
            <w:shd w:val="clear" w:color="auto" w:fill="auto"/>
            <w:vAlign w:val="center"/>
          </w:tcPr>
          <w:p w14:paraId="7E9871F6" w14:textId="2717B2C1" w:rsidR="008A52E0" w:rsidRPr="00441D1B" w:rsidRDefault="0012224F"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11 [7-19]</w:t>
            </w:r>
          </w:p>
        </w:tc>
        <w:tc>
          <w:tcPr>
            <w:tcW w:w="1020" w:type="dxa"/>
            <w:tcBorders>
              <w:top w:val="single" w:sz="4" w:space="0" w:color="auto"/>
            </w:tcBorders>
            <w:shd w:val="clear" w:color="auto" w:fill="auto"/>
            <w:vAlign w:val="center"/>
          </w:tcPr>
          <w:p w14:paraId="3958D870" w14:textId="22C24510" w:rsidR="008A52E0" w:rsidRPr="00441D1B" w:rsidRDefault="0012224F"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13 [10-23]</w:t>
            </w:r>
          </w:p>
        </w:tc>
        <w:tc>
          <w:tcPr>
            <w:tcW w:w="1020" w:type="dxa"/>
            <w:tcBorders>
              <w:top w:val="single" w:sz="4" w:space="0" w:color="auto"/>
              <w:right w:val="single" w:sz="4" w:space="0" w:color="auto"/>
            </w:tcBorders>
            <w:shd w:val="clear" w:color="auto" w:fill="auto"/>
            <w:vAlign w:val="center"/>
          </w:tcPr>
          <w:p w14:paraId="20741416" w14:textId="6A6B3142" w:rsidR="008A52E0" w:rsidRPr="00441D1B" w:rsidRDefault="0012224F"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15 [12-19]</w:t>
            </w:r>
          </w:p>
        </w:tc>
        <w:tc>
          <w:tcPr>
            <w:tcW w:w="737" w:type="dxa"/>
            <w:tcBorders>
              <w:top w:val="single" w:sz="4" w:space="0" w:color="auto"/>
              <w:left w:val="single" w:sz="4" w:space="0" w:color="auto"/>
              <w:right w:val="single" w:sz="4" w:space="0" w:color="auto"/>
            </w:tcBorders>
            <w:shd w:val="clear" w:color="auto" w:fill="auto"/>
          </w:tcPr>
          <w:p w14:paraId="78301EF2" w14:textId="083425C9" w:rsidR="008A52E0" w:rsidRPr="00441D1B" w:rsidRDefault="000C2138"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86 (</w:t>
            </w:r>
            <w:r w:rsidR="003436F9" w:rsidRPr="00441D1B">
              <w:rPr>
                <w:rFonts w:cs="Calibri"/>
                <w:sz w:val="18"/>
                <w:szCs w:val="20"/>
                <w:lang w:val="en-GB"/>
              </w:rPr>
              <w:t>96.6</w:t>
            </w:r>
            <w:r w:rsidRPr="00441D1B">
              <w:rPr>
                <w:rFonts w:cs="Calibri"/>
                <w:sz w:val="18"/>
                <w:szCs w:val="20"/>
                <w:lang w:val="en-GB"/>
              </w:rPr>
              <w:t>)</w:t>
            </w:r>
          </w:p>
        </w:tc>
        <w:tc>
          <w:tcPr>
            <w:tcW w:w="1020" w:type="dxa"/>
            <w:tcBorders>
              <w:top w:val="single" w:sz="4" w:space="0" w:color="auto"/>
              <w:left w:val="single" w:sz="4" w:space="0" w:color="auto"/>
            </w:tcBorders>
            <w:shd w:val="clear" w:color="auto" w:fill="auto"/>
            <w:vAlign w:val="center"/>
          </w:tcPr>
          <w:p w14:paraId="69201AC1" w14:textId="543115A1" w:rsidR="008A52E0" w:rsidRPr="00441D1B" w:rsidRDefault="0012224F"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18"/>
                <w:szCs w:val="20"/>
                <w:lang w:val="en-GB"/>
              </w:rPr>
            </w:pPr>
            <w:r w:rsidRPr="00441D1B">
              <w:rPr>
                <w:rFonts w:cs="Calibri"/>
                <w:b/>
                <w:sz w:val="18"/>
                <w:szCs w:val="20"/>
                <w:lang w:val="en-GB"/>
              </w:rPr>
              <w:t>11 [7-15]</w:t>
            </w:r>
          </w:p>
        </w:tc>
        <w:tc>
          <w:tcPr>
            <w:tcW w:w="1020" w:type="dxa"/>
            <w:tcBorders>
              <w:top w:val="single" w:sz="4" w:space="0" w:color="auto"/>
            </w:tcBorders>
            <w:shd w:val="clear" w:color="auto" w:fill="auto"/>
            <w:vAlign w:val="center"/>
          </w:tcPr>
          <w:p w14:paraId="0FAF4D3C" w14:textId="56F03B99" w:rsidR="008A52E0" w:rsidRPr="00441D1B" w:rsidRDefault="0012224F"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b/>
                <w:sz w:val="18"/>
                <w:szCs w:val="20"/>
                <w:lang w:val="en-GB"/>
              </w:rPr>
            </w:pPr>
            <w:r w:rsidRPr="00441D1B">
              <w:rPr>
                <w:rFonts w:cs="Calibri"/>
                <w:b/>
                <w:sz w:val="18"/>
                <w:szCs w:val="20"/>
                <w:lang w:val="en-GB"/>
              </w:rPr>
              <w:t>16 [8-28]</w:t>
            </w:r>
          </w:p>
        </w:tc>
        <w:tc>
          <w:tcPr>
            <w:tcW w:w="1020" w:type="dxa"/>
            <w:tcBorders>
              <w:top w:val="single" w:sz="4" w:space="0" w:color="auto"/>
            </w:tcBorders>
            <w:shd w:val="clear" w:color="auto" w:fill="auto"/>
            <w:vAlign w:val="center"/>
          </w:tcPr>
          <w:p w14:paraId="5332B895" w14:textId="07C0608A" w:rsidR="008A52E0" w:rsidRPr="00441D1B" w:rsidRDefault="0012224F"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12 [10-15]</w:t>
            </w:r>
          </w:p>
        </w:tc>
      </w:tr>
      <w:tr w:rsidR="007747F7" w:rsidRPr="00441D1B" w14:paraId="2FC7AD11" w14:textId="77777777" w:rsidTr="00774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right w:val="single" w:sz="4" w:space="0" w:color="auto"/>
            </w:tcBorders>
            <w:shd w:val="clear" w:color="auto" w:fill="auto"/>
            <w:vAlign w:val="center"/>
          </w:tcPr>
          <w:p w14:paraId="3F14ECF4"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Shortness of breath</w:t>
            </w:r>
          </w:p>
        </w:tc>
        <w:tc>
          <w:tcPr>
            <w:tcW w:w="735" w:type="dxa"/>
            <w:tcBorders>
              <w:left w:val="single" w:sz="4" w:space="0" w:color="auto"/>
              <w:right w:val="single" w:sz="4" w:space="0" w:color="auto"/>
            </w:tcBorders>
            <w:shd w:val="clear" w:color="auto" w:fill="auto"/>
            <w:vAlign w:val="center"/>
          </w:tcPr>
          <w:p w14:paraId="20D315B3"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88 (71.5)</w:t>
            </w:r>
          </w:p>
        </w:tc>
        <w:tc>
          <w:tcPr>
            <w:tcW w:w="1020" w:type="dxa"/>
            <w:tcBorders>
              <w:left w:val="single" w:sz="4" w:space="0" w:color="auto"/>
            </w:tcBorders>
            <w:shd w:val="clear" w:color="auto" w:fill="auto"/>
            <w:vAlign w:val="center"/>
          </w:tcPr>
          <w:p w14:paraId="5CF42B53"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7 [5-16]</w:t>
            </w:r>
          </w:p>
        </w:tc>
        <w:tc>
          <w:tcPr>
            <w:tcW w:w="1020" w:type="dxa"/>
            <w:shd w:val="clear" w:color="auto" w:fill="auto"/>
            <w:vAlign w:val="center"/>
          </w:tcPr>
          <w:p w14:paraId="1E2EEAF1"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9 [5-14]</w:t>
            </w:r>
          </w:p>
        </w:tc>
        <w:tc>
          <w:tcPr>
            <w:tcW w:w="1020" w:type="dxa"/>
            <w:tcBorders>
              <w:right w:val="single" w:sz="4" w:space="0" w:color="auto"/>
            </w:tcBorders>
            <w:shd w:val="clear" w:color="auto" w:fill="auto"/>
            <w:vAlign w:val="center"/>
          </w:tcPr>
          <w:p w14:paraId="08F7E696"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11 [8-17]</w:t>
            </w:r>
          </w:p>
        </w:tc>
        <w:tc>
          <w:tcPr>
            <w:tcW w:w="750" w:type="dxa"/>
            <w:tcBorders>
              <w:right w:val="single" w:sz="4" w:space="0" w:color="auto"/>
            </w:tcBorders>
            <w:shd w:val="clear" w:color="auto" w:fill="auto"/>
          </w:tcPr>
          <w:p w14:paraId="6AA47945" w14:textId="7F91FAFE" w:rsidR="008A52E0" w:rsidRPr="00441D1B" w:rsidRDefault="000C2138"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95 (</w:t>
            </w:r>
            <w:r w:rsidR="00121D3D" w:rsidRPr="00441D1B">
              <w:rPr>
                <w:rFonts w:cs="Calibri"/>
                <w:sz w:val="18"/>
                <w:szCs w:val="20"/>
                <w:lang w:val="en-GB"/>
              </w:rPr>
              <w:t>68.8</w:t>
            </w:r>
            <w:r w:rsidRPr="00441D1B">
              <w:rPr>
                <w:rFonts w:cs="Calibri"/>
                <w:sz w:val="18"/>
                <w:szCs w:val="20"/>
                <w:lang w:val="en-GB"/>
              </w:rPr>
              <w:t>)</w:t>
            </w:r>
          </w:p>
        </w:tc>
        <w:tc>
          <w:tcPr>
            <w:tcW w:w="1020" w:type="dxa"/>
            <w:shd w:val="clear" w:color="auto" w:fill="auto"/>
            <w:vAlign w:val="center"/>
          </w:tcPr>
          <w:p w14:paraId="42CD46CD" w14:textId="3C67E5A4" w:rsidR="008A52E0" w:rsidRPr="00441D1B" w:rsidRDefault="00761F52"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[5-12]</w:t>
            </w:r>
          </w:p>
        </w:tc>
        <w:tc>
          <w:tcPr>
            <w:tcW w:w="1020" w:type="dxa"/>
            <w:shd w:val="clear" w:color="auto" w:fill="auto"/>
            <w:vAlign w:val="center"/>
          </w:tcPr>
          <w:p w14:paraId="5821EE2E" w14:textId="630F2B46" w:rsidR="008A52E0" w:rsidRPr="00441D1B" w:rsidRDefault="00761F52"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11 [7-19]</w:t>
            </w:r>
          </w:p>
        </w:tc>
        <w:tc>
          <w:tcPr>
            <w:tcW w:w="1020" w:type="dxa"/>
            <w:tcBorders>
              <w:right w:val="single" w:sz="4" w:space="0" w:color="auto"/>
            </w:tcBorders>
            <w:shd w:val="clear" w:color="auto" w:fill="auto"/>
            <w:vAlign w:val="center"/>
          </w:tcPr>
          <w:p w14:paraId="28BB2E08" w14:textId="0701D87E" w:rsidR="008A52E0" w:rsidRPr="00441D1B" w:rsidRDefault="00761F52"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[5-18]</w:t>
            </w:r>
          </w:p>
        </w:tc>
        <w:tc>
          <w:tcPr>
            <w:tcW w:w="737" w:type="dxa"/>
            <w:tcBorders>
              <w:left w:val="single" w:sz="4" w:space="0" w:color="auto"/>
              <w:right w:val="single" w:sz="4" w:space="0" w:color="auto"/>
            </w:tcBorders>
            <w:shd w:val="clear" w:color="auto" w:fill="auto"/>
          </w:tcPr>
          <w:p w14:paraId="2955C376" w14:textId="62796FD3" w:rsidR="008A52E0" w:rsidRPr="00441D1B" w:rsidRDefault="000C2138"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53 (</w:t>
            </w:r>
            <w:r w:rsidR="003436F9" w:rsidRPr="00441D1B">
              <w:rPr>
                <w:rFonts w:cs="Calibri"/>
                <w:sz w:val="18"/>
                <w:szCs w:val="20"/>
                <w:lang w:val="en-GB"/>
              </w:rPr>
              <w:t>59.6</w:t>
            </w:r>
            <w:r w:rsidRPr="00441D1B">
              <w:rPr>
                <w:rFonts w:cs="Calibri"/>
                <w:sz w:val="18"/>
                <w:szCs w:val="20"/>
                <w:lang w:val="en-GB"/>
              </w:rPr>
              <w:t>)</w:t>
            </w:r>
          </w:p>
        </w:tc>
        <w:tc>
          <w:tcPr>
            <w:tcW w:w="1020" w:type="dxa"/>
            <w:tcBorders>
              <w:left w:val="single" w:sz="4" w:space="0" w:color="auto"/>
            </w:tcBorders>
            <w:shd w:val="clear" w:color="auto" w:fill="auto"/>
            <w:vAlign w:val="center"/>
          </w:tcPr>
          <w:p w14:paraId="5A385DD5" w14:textId="0220B8A0" w:rsidR="008A52E0" w:rsidRPr="00441D1B" w:rsidRDefault="00761F52"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6 [4-8]</w:t>
            </w:r>
          </w:p>
        </w:tc>
        <w:tc>
          <w:tcPr>
            <w:tcW w:w="1020" w:type="dxa"/>
            <w:shd w:val="clear" w:color="auto" w:fill="auto"/>
            <w:vAlign w:val="center"/>
          </w:tcPr>
          <w:p w14:paraId="3F7497A9" w14:textId="1B23D285" w:rsidR="008A52E0" w:rsidRPr="00441D1B" w:rsidRDefault="00761F52"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[5-12]</w:t>
            </w:r>
          </w:p>
        </w:tc>
        <w:tc>
          <w:tcPr>
            <w:tcW w:w="1020" w:type="dxa"/>
            <w:shd w:val="clear" w:color="auto" w:fill="auto"/>
            <w:vAlign w:val="center"/>
          </w:tcPr>
          <w:p w14:paraId="76EAFBB8" w14:textId="28199536" w:rsidR="008A52E0" w:rsidRPr="00441D1B" w:rsidRDefault="00761F52"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11 [7-12]</w:t>
            </w:r>
          </w:p>
        </w:tc>
      </w:tr>
      <w:tr w:rsidR="003E3EA9" w:rsidRPr="00441D1B" w14:paraId="2195B884" w14:textId="77777777" w:rsidTr="007747F7">
        <w:trPr>
          <w:trHeight w:val="58"/>
        </w:trPr>
        <w:tc>
          <w:tcPr>
            <w:cnfStyle w:val="001000000000" w:firstRow="0" w:lastRow="0" w:firstColumn="1" w:lastColumn="0" w:oddVBand="0" w:evenVBand="0" w:oddHBand="0" w:evenHBand="0" w:firstRowFirstColumn="0" w:firstRowLastColumn="0" w:lastRowFirstColumn="0" w:lastRowLastColumn="0"/>
            <w:tcW w:w="1572" w:type="dxa"/>
            <w:tcBorders>
              <w:right w:val="single" w:sz="4" w:space="0" w:color="auto"/>
            </w:tcBorders>
            <w:shd w:val="clear" w:color="auto" w:fill="auto"/>
            <w:vAlign w:val="center"/>
          </w:tcPr>
          <w:p w14:paraId="1A473C52"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Wheeze</w:t>
            </w:r>
          </w:p>
        </w:tc>
        <w:tc>
          <w:tcPr>
            <w:tcW w:w="735" w:type="dxa"/>
            <w:tcBorders>
              <w:left w:val="single" w:sz="4" w:space="0" w:color="auto"/>
              <w:right w:val="single" w:sz="4" w:space="0" w:color="auto"/>
            </w:tcBorders>
            <w:shd w:val="clear" w:color="auto" w:fill="auto"/>
            <w:vAlign w:val="center"/>
          </w:tcPr>
          <w:p w14:paraId="39E1D2C8"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64 (52.0)</w:t>
            </w:r>
          </w:p>
        </w:tc>
        <w:tc>
          <w:tcPr>
            <w:tcW w:w="1020" w:type="dxa"/>
            <w:tcBorders>
              <w:left w:val="single" w:sz="4" w:space="0" w:color="auto"/>
            </w:tcBorders>
            <w:shd w:val="clear" w:color="auto" w:fill="auto"/>
            <w:vAlign w:val="center"/>
          </w:tcPr>
          <w:p w14:paraId="276016F4"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 [4-13]</w:t>
            </w:r>
          </w:p>
        </w:tc>
        <w:tc>
          <w:tcPr>
            <w:tcW w:w="1020" w:type="dxa"/>
            <w:shd w:val="clear" w:color="auto" w:fill="auto"/>
            <w:vAlign w:val="center"/>
          </w:tcPr>
          <w:p w14:paraId="2C5D4F61"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[3-10]</w:t>
            </w:r>
          </w:p>
        </w:tc>
        <w:tc>
          <w:tcPr>
            <w:tcW w:w="1020" w:type="dxa"/>
            <w:tcBorders>
              <w:right w:val="single" w:sz="4" w:space="0" w:color="auto"/>
            </w:tcBorders>
            <w:shd w:val="clear" w:color="auto" w:fill="auto"/>
            <w:vAlign w:val="center"/>
          </w:tcPr>
          <w:p w14:paraId="12BB13AF"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9 [6-11]</w:t>
            </w:r>
          </w:p>
        </w:tc>
        <w:tc>
          <w:tcPr>
            <w:tcW w:w="750" w:type="dxa"/>
            <w:tcBorders>
              <w:right w:val="single" w:sz="4" w:space="0" w:color="auto"/>
            </w:tcBorders>
            <w:shd w:val="clear" w:color="auto" w:fill="auto"/>
          </w:tcPr>
          <w:p w14:paraId="02E1EC19" w14:textId="5E9ECC3C" w:rsidR="008A52E0" w:rsidRPr="00441D1B" w:rsidRDefault="000C2138"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73 (</w:t>
            </w:r>
            <w:r w:rsidR="00121D3D" w:rsidRPr="00441D1B">
              <w:rPr>
                <w:rFonts w:cs="Calibri"/>
                <w:sz w:val="18"/>
                <w:szCs w:val="20"/>
                <w:lang w:val="en-GB"/>
              </w:rPr>
              <w:t>52.9</w:t>
            </w:r>
            <w:r w:rsidRPr="00441D1B">
              <w:rPr>
                <w:rFonts w:cs="Calibri"/>
                <w:sz w:val="18"/>
                <w:szCs w:val="20"/>
                <w:lang w:val="en-GB"/>
              </w:rPr>
              <w:t>)</w:t>
            </w:r>
          </w:p>
        </w:tc>
        <w:tc>
          <w:tcPr>
            <w:tcW w:w="1020" w:type="dxa"/>
            <w:shd w:val="clear" w:color="auto" w:fill="auto"/>
            <w:vAlign w:val="center"/>
          </w:tcPr>
          <w:p w14:paraId="302B28B7" w14:textId="0088BAE0" w:rsidR="008A52E0" w:rsidRPr="00441D1B" w:rsidRDefault="0057358B"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[4-9]</w:t>
            </w:r>
          </w:p>
        </w:tc>
        <w:tc>
          <w:tcPr>
            <w:tcW w:w="1020" w:type="dxa"/>
            <w:shd w:val="clear" w:color="auto" w:fill="auto"/>
            <w:vAlign w:val="center"/>
          </w:tcPr>
          <w:p w14:paraId="02C5BFB7" w14:textId="553C412B" w:rsidR="008A52E0" w:rsidRPr="00441D1B" w:rsidRDefault="0057358B"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10 [10-13]</w:t>
            </w:r>
          </w:p>
        </w:tc>
        <w:tc>
          <w:tcPr>
            <w:tcW w:w="1020" w:type="dxa"/>
            <w:tcBorders>
              <w:right w:val="single" w:sz="4" w:space="0" w:color="auto"/>
            </w:tcBorders>
            <w:shd w:val="clear" w:color="auto" w:fill="auto"/>
            <w:vAlign w:val="center"/>
          </w:tcPr>
          <w:p w14:paraId="775881AE" w14:textId="23383AE3" w:rsidR="008A52E0" w:rsidRPr="00441D1B" w:rsidRDefault="0057358B"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9 [8-10]</w:t>
            </w:r>
          </w:p>
        </w:tc>
        <w:tc>
          <w:tcPr>
            <w:tcW w:w="737" w:type="dxa"/>
            <w:tcBorders>
              <w:left w:val="single" w:sz="4" w:space="0" w:color="auto"/>
              <w:right w:val="single" w:sz="4" w:space="0" w:color="auto"/>
            </w:tcBorders>
            <w:shd w:val="clear" w:color="auto" w:fill="auto"/>
          </w:tcPr>
          <w:p w14:paraId="2DEED314" w14:textId="37197218" w:rsidR="008A52E0" w:rsidRPr="00441D1B" w:rsidRDefault="000C2138"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37 (</w:t>
            </w:r>
            <w:r w:rsidR="003436F9" w:rsidRPr="00441D1B">
              <w:rPr>
                <w:rFonts w:cs="Calibri"/>
                <w:sz w:val="18"/>
                <w:szCs w:val="20"/>
                <w:lang w:val="en-GB"/>
              </w:rPr>
              <w:t>41.6</w:t>
            </w:r>
            <w:r w:rsidRPr="00441D1B">
              <w:rPr>
                <w:rFonts w:cs="Calibri"/>
                <w:sz w:val="18"/>
                <w:szCs w:val="20"/>
                <w:lang w:val="en-GB"/>
              </w:rPr>
              <w:t>)</w:t>
            </w:r>
          </w:p>
        </w:tc>
        <w:tc>
          <w:tcPr>
            <w:tcW w:w="1020" w:type="dxa"/>
            <w:tcBorders>
              <w:left w:val="single" w:sz="4" w:space="0" w:color="auto"/>
            </w:tcBorders>
            <w:shd w:val="clear" w:color="auto" w:fill="auto"/>
            <w:vAlign w:val="center"/>
          </w:tcPr>
          <w:p w14:paraId="3E246A13" w14:textId="63CAFEF6" w:rsidR="008A52E0" w:rsidRPr="00441D1B" w:rsidRDefault="0057358B"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5 [4-8]</w:t>
            </w:r>
          </w:p>
        </w:tc>
        <w:tc>
          <w:tcPr>
            <w:tcW w:w="1020" w:type="dxa"/>
            <w:shd w:val="clear" w:color="auto" w:fill="auto"/>
            <w:vAlign w:val="center"/>
          </w:tcPr>
          <w:p w14:paraId="16064381" w14:textId="3F6BFAF6" w:rsidR="008A52E0" w:rsidRPr="00441D1B" w:rsidRDefault="0057358B"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 [4-15]</w:t>
            </w:r>
          </w:p>
        </w:tc>
        <w:tc>
          <w:tcPr>
            <w:tcW w:w="1020" w:type="dxa"/>
            <w:shd w:val="clear" w:color="auto" w:fill="auto"/>
            <w:vAlign w:val="center"/>
          </w:tcPr>
          <w:p w14:paraId="09587539" w14:textId="5393B39F" w:rsidR="008A52E0" w:rsidRPr="00441D1B" w:rsidRDefault="0057358B"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 [6-9]</w:t>
            </w:r>
          </w:p>
        </w:tc>
      </w:tr>
      <w:tr w:rsidR="007747F7" w:rsidRPr="00441D1B" w14:paraId="3EAB20B9" w14:textId="77777777" w:rsidTr="00774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right w:val="single" w:sz="4" w:space="0" w:color="auto"/>
            </w:tcBorders>
            <w:shd w:val="clear" w:color="auto" w:fill="auto"/>
            <w:vAlign w:val="center"/>
          </w:tcPr>
          <w:p w14:paraId="07D46B43"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Runny nose</w:t>
            </w:r>
          </w:p>
        </w:tc>
        <w:tc>
          <w:tcPr>
            <w:tcW w:w="735" w:type="dxa"/>
            <w:tcBorders>
              <w:left w:val="single" w:sz="4" w:space="0" w:color="auto"/>
              <w:right w:val="single" w:sz="4" w:space="0" w:color="auto"/>
            </w:tcBorders>
            <w:shd w:val="clear" w:color="auto" w:fill="auto"/>
            <w:vAlign w:val="center"/>
          </w:tcPr>
          <w:p w14:paraId="7B238B81"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106 (86.2)</w:t>
            </w:r>
          </w:p>
        </w:tc>
        <w:tc>
          <w:tcPr>
            <w:tcW w:w="1020" w:type="dxa"/>
            <w:tcBorders>
              <w:left w:val="single" w:sz="4" w:space="0" w:color="auto"/>
            </w:tcBorders>
            <w:shd w:val="clear" w:color="auto" w:fill="auto"/>
            <w:vAlign w:val="center"/>
          </w:tcPr>
          <w:p w14:paraId="1DABCD79"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8 [5-14]</w:t>
            </w:r>
          </w:p>
        </w:tc>
        <w:tc>
          <w:tcPr>
            <w:tcW w:w="1020" w:type="dxa"/>
            <w:shd w:val="clear" w:color="auto" w:fill="auto"/>
            <w:vAlign w:val="center"/>
          </w:tcPr>
          <w:p w14:paraId="62F66D4D"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b/>
                <w:sz w:val="18"/>
                <w:szCs w:val="20"/>
                <w:lang w:val="en-GB"/>
              </w:rPr>
            </w:pPr>
            <w:r w:rsidRPr="00441D1B">
              <w:rPr>
                <w:rFonts w:cs="Calibri"/>
                <w:b/>
                <w:sz w:val="18"/>
                <w:szCs w:val="20"/>
                <w:lang w:val="en-GB"/>
              </w:rPr>
              <w:t>9 [6-20]</w:t>
            </w:r>
          </w:p>
        </w:tc>
        <w:tc>
          <w:tcPr>
            <w:tcW w:w="1020" w:type="dxa"/>
            <w:tcBorders>
              <w:right w:val="single" w:sz="4" w:space="0" w:color="auto"/>
            </w:tcBorders>
            <w:shd w:val="clear" w:color="auto" w:fill="auto"/>
            <w:vAlign w:val="center"/>
          </w:tcPr>
          <w:p w14:paraId="22CC14B7"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[7-19]</w:t>
            </w:r>
          </w:p>
        </w:tc>
        <w:tc>
          <w:tcPr>
            <w:tcW w:w="750" w:type="dxa"/>
            <w:tcBorders>
              <w:right w:val="single" w:sz="4" w:space="0" w:color="auto"/>
            </w:tcBorders>
            <w:shd w:val="clear" w:color="auto" w:fill="auto"/>
          </w:tcPr>
          <w:p w14:paraId="0E204F1A" w14:textId="2A90D62C" w:rsidR="008A52E0" w:rsidRPr="00441D1B" w:rsidRDefault="00984FF9"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117 (</w:t>
            </w:r>
            <w:r w:rsidR="00121D3D" w:rsidRPr="00441D1B">
              <w:rPr>
                <w:rFonts w:cs="Calibri"/>
                <w:sz w:val="18"/>
                <w:szCs w:val="20"/>
                <w:lang w:val="en-GB"/>
              </w:rPr>
              <w:t>84.8</w:t>
            </w:r>
            <w:r w:rsidRPr="00441D1B">
              <w:rPr>
                <w:rFonts w:cs="Calibri"/>
                <w:sz w:val="18"/>
                <w:szCs w:val="20"/>
                <w:lang w:val="en-GB"/>
              </w:rPr>
              <w:t>)</w:t>
            </w:r>
          </w:p>
        </w:tc>
        <w:tc>
          <w:tcPr>
            <w:tcW w:w="1020" w:type="dxa"/>
            <w:shd w:val="clear" w:color="auto" w:fill="auto"/>
            <w:vAlign w:val="center"/>
          </w:tcPr>
          <w:p w14:paraId="0887573D" w14:textId="6DE7E995" w:rsidR="008A52E0" w:rsidRPr="00441D1B" w:rsidRDefault="0096466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[5-12]</w:t>
            </w:r>
          </w:p>
        </w:tc>
        <w:tc>
          <w:tcPr>
            <w:tcW w:w="1020" w:type="dxa"/>
            <w:shd w:val="clear" w:color="auto" w:fill="auto"/>
            <w:vAlign w:val="center"/>
          </w:tcPr>
          <w:p w14:paraId="4B2A7AE1" w14:textId="56821AF9" w:rsidR="008A52E0" w:rsidRPr="00441D1B" w:rsidRDefault="0096466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 [6-12]</w:t>
            </w:r>
          </w:p>
        </w:tc>
        <w:tc>
          <w:tcPr>
            <w:tcW w:w="1020" w:type="dxa"/>
            <w:tcBorders>
              <w:right w:val="single" w:sz="4" w:space="0" w:color="auto"/>
            </w:tcBorders>
            <w:shd w:val="clear" w:color="auto" w:fill="auto"/>
            <w:vAlign w:val="center"/>
          </w:tcPr>
          <w:p w14:paraId="37B8DAA9" w14:textId="6C119268" w:rsidR="008A52E0" w:rsidRPr="00441D1B" w:rsidRDefault="0096466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[6-14]</w:t>
            </w:r>
          </w:p>
        </w:tc>
        <w:tc>
          <w:tcPr>
            <w:tcW w:w="737" w:type="dxa"/>
            <w:tcBorders>
              <w:left w:val="single" w:sz="4" w:space="0" w:color="auto"/>
              <w:right w:val="single" w:sz="4" w:space="0" w:color="auto"/>
            </w:tcBorders>
            <w:shd w:val="clear" w:color="auto" w:fill="auto"/>
          </w:tcPr>
          <w:p w14:paraId="0A437FFC" w14:textId="1740683B" w:rsidR="008A52E0" w:rsidRPr="00441D1B" w:rsidRDefault="00984FF9"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74 (</w:t>
            </w:r>
            <w:r w:rsidR="003436F9" w:rsidRPr="00441D1B">
              <w:rPr>
                <w:rFonts w:cs="Calibri"/>
                <w:sz w:val="18"/>
                <w:szCs w:val="20"/>
                <w:lang w:val="en-GB"/>
              </w:rPr>
              <w:t>83.1</w:t>
            </w:r>
            <w:r w:rsidRPr="00441D1B">
              <w:rPr>
                <w:rFonts w:cs="Calibri"/>
                <w:sz w:val="18"/>
                <w:szCs w:val="20"/>
                <w:lang w:val="en-GB"/>
              </w:rPr>
              <w:t>)</w:t>
            </w:r>
          </w:p>
        </w:tc>
        <w:tc>
          <w:tcPr>
            <w:tcW w:w="1020" w:type="dxa"/>
            <w:tcBorders>
              <w:left w:val="single" w:sz="4" w:space="0" w:color="auto"/>
            </w:tcBorders>
            <w:shd w:val="clear" w:color="auto" w:fill="auto"/>
            <w:vAlign w:val="center"/>
          </w:tcPr>
          <w:p w14:paraId="5A918F4E" w14:textId="30EE8559" w:rsidR="008A52E0" w:rsidRPr="00441D1B" w:rsidRDefault="0096466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[4-13]</w:t>
            </w:r>
          </w:p>
        </w:tc>
        <w:tc>
          <w:tcPr>
            <w:tcW w:w="1020" w:type="dxa"/>
            <w:shd w:val="clear" w:color="auto" w:fill="auto"/>
            <w:vAlign w:val="center"/>
          </w:tcPr>
          <w:p w14:paraId="1D339C59" w14:textId="7418550F" w:rsidR="008A52E0" w:rsidRPr="00441D1B" w:rsidRDefault="0096466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11 [9-14]</w:t>
            </w:r>
          </w:p>
        </w:tc>
        <w:tc>
          <w:tcPr>
            <w:tcW w:w="1020" w:type="dxa"/>
            <w:shd w:val="clear" w:color="auto" w:fill="auto"/>
            <w:vAlign w:val="center"/>
          </w:tcPr>
          <w:p w14:paraId="6001C338" w14:textId="39C4E794" w:rsidR="008A52E0" w:rsidRPr="00441D1B" w:rsidRDefault="0096466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12 [12-13]</w:t>
            </w:r>
          </w:p>
        </w:tc>
      </w:tr>
      <w:tr w:rsidR="003E3EA9" w:rsidRPr="00441D1B" w14:paraId="37B6230F" w14:textId="77777777" w:rsidTr="007747F7">
        <w:tc>
          <w:tcPr>
            <w:cnfStyle w:val="001000000000" w:firstRow="0" w:lastRow="0" w:firstColumn="1" w:lastColumn="0" w:oddVBand="0" w:evenVBand="0" w:oddHBand="0" w:evenHBand="0" w:firstRowFirstColumn="0" w:firstRowLastColumn="0" w:lastRowFirstColumn="0" w:lastRowLastColumn="0"/>
            <w:tcW w:w="1572" w:type="dxa"/>
            <w:tcBorders>
              <w:right w:val="single" w:sz="4" w:space="0" w:color="auto"/>
            </w:tcBorders>
            <w:shd w:val="clear" w:color="auto" w:fill="auto"/>
            <w:vAlign w:val="center"/>
          </w:tcPr>
          <w:p w14:paraId="461329D4"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Chest pain</w:t>
            </w:r>
          </w:p>
        </w:tc>
        <w:tc>
          <w:tcPr>
            <w:tcW w:w="735" w:type="dxa"/>
            <w:tcBorders>
              <w:left w:val="single" w:sz="4" w:space="0" w:color="auto"/>
              <w:right w:val="single" w:sz="4" w:space="0" w:color="auto"/>
            </w:tcBorders>
            <w:shd w:val="clear" w:color="auto" w:fill="auto"/>
            <w:vAlign w:val="center"/>
          </w:tcPr>
          <w:p w14:paraId="683894F0"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58 (47.2)</w:t>
            </w:r>
          </w:p>
        </w:tc>
        <w:tc>
          <w:tcPr>
            <w:tcW w:w="1020" w:type="dxa"/>
            <w:tcBorders>
              <w:left w:val="single" w:sz="4" w:space="0" w:color="auto"/>
            </w:tcBorders>
            <w:shd w:val="clear" w:color="auto" w:fill="auto"/>
            <w:vAlign w:val="center"/>
          </w:tcPr>
          <w:p w14:paraId="5DB69CBE"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[4-12]</w:t>
            </w:r>
          </w:p>
        </w:tc>
        <w:tc>
          <w:tcPr>
            <w:tcW w:w="1020" w:type="dxa"/>
            <w:shd w:val="clear" w:color="auto" w:fill="auto"/>
            <w:vAlign w:val="center"/>
          </w:tcPr>
          <w:p w14:paraId="41A811E5"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6 [4-15]</w:t>
            </w:r>
          </w:p>
        </w:tc>
        <w:tc>
          <w:tcPr>
            <w:tcW w:w="1020" w:type="dxa"/>
            <w:tcBorders>
              <w:right w:val="single" w:sz="4" w:space="0" w:color="auto"/>
            </w:tcBorders>
            <w:shd w:val="clear" w:color="auto" w:fill="auto"/>
            <w:vAlign w:val="center"/>
          </w:tcPr>
          <w:p w14:paraId="67C3551B"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[5-12]</w:t>
            </w:r>
          </w:p>
        </w:tc>
        <w:tc>
          <w:tcPr>
            <w:tcW w:w="750" w:type="dxa"/>
            <w:tcBorders>
              <w:right w:val="single" w:sz="4" w:space="0" w:color="auto"/>
            </w:tcBorders>
            <w:shd w:val="clear" w:color="auto" w:fill="auto"/>
          </w:tcPr>
          <w:p w14:paraId="02B44718" w14:textId="3C012656"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86 (</w:t>
            </w:r>
            <w:r w:rsidR="00121D3D" w:rsidRPr="00441D1B">
              <w:rPr>
                <w:rFonts w:cs="Calibri"/>
                <w:sz w:val="18"/>
                <w:szCs w:val="20"/>
                <w:lang w:val="en-GB"/>
              </w:rPr>
              <w:t>62.3</w:t>
            </w:r>
            <w:r w:rsidRPr="00441D1B">
              <w:rPr>
                <w:rFonts w:cs="Calibri"/>
                <w:sz w:val="18"/>
                <w:szCs w:val="20"/>
                <w:lang w:val="en-GB"/>
              </w:rPr>
              <w:t>)</w:t>
            </w:r>
          </w:p>
        </w:tc>
        <w:tc>
          <w:tcPr>
            <w:tcW w:w="1020" w:type="dxa"/>
            <w:shd w:val="clear" w:color="auto" w:fill="auto"/>
            <w:vAlign w:val="center"/>
          </w:tcPr>
          <w:p w14:paraId="5918055C" w14:textId="269F68B2"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6 [4-8]</w:t>
            </w:r>
          </w:p>
        </w:tc>
        <w:tc>
          <w:tcPr>
            <w:tcW w:w="1020" w:type="dxa"/>
            <w:shd w:val="clear" w:color="auto" w:fill="auto"/>
            <w:vAlign w:val="center"/>
          </w:tcPr>
          <w:p w14:paraId="0992899F" w14:textId="5DA723DB"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5 [5-8]</w:t>
            </w:r>
          </w:p>
        </w:tc>
        <w:tc>
          <w:tcPr>
            <w:tcW w:w="1020" w:type="dxa"/>
            <w:tcBorders>
              <w:right w:val="single" w:sz="4" w:space="0" w:color="auto"/>
            </w:tcBorders>
            <w:shd w:val="clear" w:color="auto" w:fill="auto"/>
            <w:vAlign w:val="center"/>
          </w:tcPr>
          <w:p w14:paraId="55B65228" w14:textId="1B4B3B3E"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 [7-9]</w:t>
            </w:r>
          </w:p>
        </w:tc>
        <w:tc>
          <w:tcPr>
            <w:tcW w:w="737" w:type="dxa"/>
            <w:tcBorders>
              <w:left w:val="single" w:sz="4" w:space="0" w:color="auto"/>
              <w:right w:val="single" w:sz="4" w:space="0" w:color="auto"/>
            </w:tcBorders>
            <w:shd w:val="clear" w:color="auto" w:fill="auto"/>
          </w:tcPr>
          <w:p w14:paraId="4BA4E19F" w14:textId="7778D2B6"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50 (</w:t>
            </w:r>
            <w:r w:rsidR="003436F9" w:rsidRPr="00441D1B">
              <w:rPr>
                <w:rFonts w:cs="Calibri"/>
                <w:sz w:val="18"/>
                <w:szCs w:val="20"/>
                <w:lang w:val="en-GB"/>
              </w:rPr>
              <w:t>56.2</w:t>
            </w:r>
            <w:r w:rsidRPr="00441D1B">
              <w:rPr>
                <w:rFonts w:cs="Calibri"/>
                <w:sz w:val="18"/>
                <w:szCs w:val="20"/>
                <w:lang w:val="en-GB"/>
              </w:rPr>
              <w:t>)</w:t>
            </w:r>
          </w:p>
        </w:tc>
        <w:tc>
          <w:tcPr>
            <w:tcW w:w="1020" w:type="dxa"/>
            <w:tcBorders>
              <w:left w:val="single" w:sz="4" w:space="0" w:color="auto"/>
            </w:tcBorders>
            <w:shd w:val="clear" w:color="auto" w:fill="auto"/>
            <w:vAlign w:val="center"/>
          </w:tcPr>
          <w:p w14:paraId="0F70716C" w14:textId="505EFFA0"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i/>
                <w:sz w:val="18"/>
                <w:szCs w:val="20"/>
                <w:lang w:val="en-GB"/>
              </w:rPr>
            </w:pPr>
            <w:r w:rsidRPr="00441D1B">
              <w:rPr>
                <w:rFonts w:cs="Calibri"/>
                <w:i/>
                <w:sz w:val="18"/>
                <w:szCs w:val="20"/>
                <w:lang w:val="en-GB"/>
              </w:rPr>
              <w:t>5 [4-7]</w:t>
            </w:r>
          </w:p>
        </w:tc>
        <w:tc>
          <w:tcPr>
            <w:tcW w:w="1020" w:type="dxa"/>
            <w:shd w:val="clear" w:color="auto" w:fill="auto"/>
            <w:vAlign w:val="center"/>
          </w:tcPr>
          <w:p w14:paraId="67BBFBD9" w14:textId="3BCCB9CC"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i/>
                <w:sz w:val="18"/>
                <w:szCs w:val="20"/>
                <w:lang w:val="en-GB"/>
              </w:rPr>
            </w:pPr>
            <w:r w:rsidRPr="00441D1B">
              <w:rPr>
                <w:rFonts w:cs="Calibri"/>
                <w:i/>
                <w:sz w:val="18"/>
                <w:szCs w:val="20"/>
                <w:lang w:val="en-GB"/>
              </w:rPr>
              <w:t>6 [5-7]</w:t>
            </w:r>
          </w:p>
        </w:tc>
        <w:tc>
          <w:tcPr>
            <w:tcW w:w="1020" w:type="dxa"/>
            <w:shd w:val="clear" w:color="auto" w:fill="auto"/>
            <w:vAlign w:val="center"/>
          </w:tcPr>
          <w:p w14:paraId="31B995D7" w14:textId="0B7172FD" w:rsidR="008A52E0" w:rsidRPr="00441D1B" w:rsidRDefault="00CB1F63"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i/>
                <w:sz w:val="18"/>
                <w:szCs w:val="20"/>
                <w:lang w:val="en-GB"/>
              </w:rPr>
            </w:pPr>
            <w:r w:rsidRPr="00441D1B">
              <w:rPr>
                <w:rFonts w:cs="Calibri"/>
                <w:i/>
                <w:sz w:val="18"/>
                <w:szCs w:val="20"/>
                <w:lang w:val="en-GB"/>
              </w:rPr>
              <w:t>4 [4-4]</w:t>
            </w:r>
          </w:p>
        </w:tc>
      </w:tr>
      <w:tr w:rsidR="007747F7" w:rsidRPr="00441D1B" w14:paraId="492A2462" w14:textId="77777777" w:rsidTr="00774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right w:val="single" w:sz="4" w:space="0" w:color="auto"/>
            </w:tcBorders>
            <w:shd w:val="clear" w:color="auto" w:fill="auto"/>
            <w:vAlign w:val="center"/>
          </w:tcPr>
          <w:p w14:paraId="616BDB00"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Fever</w:t>
            </w:r>
          </w:p>
        </w:tc>
        <w:tc>
          <w:tcPr>
            <w:tcW w:w="735" w:type="dxa"/>
            <w:tcBorders>
              <w:left w:val="single" w:sz="4" w:space="0" w:color="auto"/>
              <w:right w:val="single" w:sz="4" w:space="0" w:color="auto"/>
            </w:tcBorders>
            <w:shd w:val="clear" w:color="auto" w:fill="auto"/>
            <w:vAlign w:val="center"/>
          </w:tcPr>
          <w:p w14:paraId="01BD8611"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34 (27.6)</w:t>
            </w:r>
          </w:p>
        </w:tc>
        <w:tc>
          <w:tcPr>
            <w:tcW w:w="1020" w:type="dxa"/>
            <w:tcBorders>
              <w:left w:val="single" w:sz="4" w:space="0" w:color="auto"/>
            </w:tcBorders>
            <w:shd w:val="clear" w:color="auto" w:fill="auto"/>
            <w:vAlign w:val="center"/>
          </w:tcPr>
          <w:p w14:paraId="5ECCDF57"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5 [3-8]</w:t>
            </w:r>
          </w:p>
        </w:tc>
        <w:tc>
          <w:tcPr>
            <w:tcW w:w="1020" w:type="dxa"/>
            <w:shd w:val="clear" w:color="auto" w:fill="auto"/>
            <w:vAlign w:val="center"/>
          </w:tcPr>
          <w:p w14:paraId="74A0EA0A"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4 [3-6]</w:t>
            </w:r>
          </w:p>
        </w:tc>
        <w:tc>
          <w:tcPr>
            <w:tcW w:w="1020" w:type="dxa"/>
            <w:tcBorders>
              <w:right w:val="single" w:sz="4" w:space="0" w:color="auto"/>
            </w:tcBorders>
            <w:shd w:val="clear" w:color="auto" w:fill="auto"/>
            <w:vAlign w:val="center"/>
          </w:tcPr>
          <w:p w14:paraId="5C3F85E1"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3 [3-4]</w:t>
            </w:r>
          </w:p>
        </w:tc>
        <w:tc>
          <w:tcPr>
            <w:tcW w:w="750" w:type="dxa"/>
            <w:tcBorders>
              <w:right w:val="single" w:sz="4" w:space="0" w:color="auto"/>
            </w:tcBorders>
            <w:shd w:val="clear" w:color="auto" w:fill="auto"/>
          </w:tcPr>
          <w:p w14:paraId="527D1F21" w14:textId="13D92426" w:rsidR="008A52E0" w:rsidRPr="00441D1B" w:rsidRDefault="00BD7F0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77 (</w:t>
            </w:r>
            <w:r w:rsidR="00121D3D" w:rsidRPr="00441D1B">
              <w:rPr>
                <w:rFonts w:cs="Calibri"/>
                <w:sz w:val="18"/>
                <w:szCs w:val="20"/>
                <w:lang w:val="en-GB"/>
              </w:rPr>
              <w:t>55.8</w:t>
            </w:r>
            <w:r w:rsidRPr="00441D1B">
              <w:rPr>
                <w:rFonts w:cs="Calibri"/>
                <w:sz w:val="18"/>
                <w:szCs w:val="20"/>
                <w:lang w:val="en-GB"/>
              </w:rPr>
              <w:t>)</w:t>
            </w:r>
          </w:p>
        </w:tc>
        <w:tc>
          <w:tcPr>
            <w:tcW w:w="1020" w:type="dxa"/>
            <w:shd w:val="clear" w:color="auto" w:fill="auto"/>
            <w:vAlign w:val="center"/>
          </w:tcPr>
          <w:p w14:paraId="252020D0" w14:textId="4E371F52" w:rsidR="008A52E0" w:rsidRPr="00441D1B" w:rsidRDefault="005B558D"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i/>
                <w:sz w:val="18"/>
                <w:szCs w:val="20"/>
                <w:lang w:val="en-GB"/>
              </w:rPr>
            </w:pPr>
            <w:r w:rsidRPr="00441D1B">
              <w:rPr>
                <w:rFonts w:cs="Calibri"/>
                <w:i/>
                <w:sz w:val="18"/>
                <w:szCs w:val="20"/>
                <w:lang w:val="en-GB"/>
              </w:rPr>
              <w:t>4 [3-5]</w:t>
            </w:r>
          </w:p>
        </w:tc>
        <w:tc>
          <w:tcPr>
            <w:tcW w:w="1020" w:type="dxa"/>
            <w:shd w:val="clear" w:color="auto" w:fill="auto"/>
            <w:vAlign w:val="center"/>
          </w:tcPr>
          <w:p w14:paraId="5C978DA6" w14:textId="1C0FDD70" w:rsidR="008A52E0" w:rsidRPr="00441D1B" w:rsidRDefault="005B558D"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i/>
                <w:sz w:val="18"/>
                <w:szCs w:val="20"/>
                <w:lang w:val="en-GB"/>
              </w:rPr>
            </w:pPr>
            <w:r w:rsidRPr="00441D1B">
              <w:rPr>
                <w:rFonts w:cs="Calibri"/>
                <w:i/>
                <w:sz w:val="18"/>
                <w:szCs w:val="20"/>
                <w:lang w:val="en-GB"/>
              </w:rPr>
              <w:t>4 [3-5]</w:t>
            </w:r>
          </w:p>
        </w:tc>
        <w:tc>
          <w:tcPr>
            <w:tcW w:w="1020" w:type="dxa"/>
            <w:tcBorders>
              <w:right w:val="single" w:sz="4" w:space="0" w:color="auto"/>
            </w:tcBorders>
            <w:shd w:val="clear" w:color="auto" w:fill="auto"/>
            <w:vAlign w:val="center"/>
          </w:tcPr>
          <w:p w14:paraId="3D21FB16" w14:textId="1EDB7EB3" w:rsidR="008A52E0" w:rsidRPr="00441D1B" w:rsidRDefault="005B558D"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i/>
                <w:sz w:val="18"/>
                <w:szCs w:val="20"/>
                <w:lang w:val="en-GB"/>
              </w:rPr>
            </w:pPr>
            <w:r w:rsidRPr="00441D1B">
              <w:rPr>
                <w:rFonts w:cs="Calibri"/>
                <w:i/>
                <w:sz w:val="18"/>
                <w:szCs w:val="20"/>
                <w:lang w:val="en-GB"/>
              </w:rPr>
              <w:t>2 [2-2]</w:t>
            </w:r>
          </w:p>
        </w:tc>
        <w:tc>
          <w:tcPr>
            <w:tcW w:w="737" w:type="dxa"/>
            <w:tcBorders>
              <w:left w:val="single" w:sz="4" w:space="0" w:color="auto"/>
              <w:right w:val="single" w:sz="4" w:space="0" w:color="auto"/>
            </w:tcBorders>
            <w:shd w:val="clear" w:color="auto" w:fill="auto"/>
          </w:tcPr>
          <w:p w14:paraId="0BFFF982" w14:textId="62073B6B" w:rsidR="008A52E0" w:rsidRPr="00441D1B" w:rsidRDefault="00BD7F01"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51 (</w:t>
            </w:r>
            <w:r w:rsidR="003436F9" w:rsidRPr="00441D1B">
              <w:rPr>
                <w:rFonts w:cs="Calibri"/>
                <w:sz w:val="18"/>
                <w:szCs w:val="20"/>
                <w:lang w:val="en-GB"/>
              </w:rPr>
              <w:t>57.3</w:t>
            </w:r>
            <w:r w:rsidRPr="00441D1B">
              <w:rPr>
                <w:rFonts w:cs="Calibri"/>
                <w:sz w:val="18"/>
                <w:szCs w:val="20"/>
                <w:lang w:val="en-GB"/>
              </w:rPr>
              <w:t>)</w:t>
            </w:r>
          </w:p>
        </w:tc>
        <w:tc>
          <w:tcPr>
            <w:tcW w:w="1020" w:type="dxa"/>
            <w:tcBorders>
              <w:left w:val="single" w:sz="4" w:space="0" w:color="auto"/>
            </w:tcBorders>
            <w:shd w:val="clear" w:color="auto" w:fill="auto"/>
            <w:vAlign w:val="center"/>
          </w:tcPr>
          <w:p w14:paraId="7613B1DC" w14:textId="6F717B8B" w:rsidR="008A52E0" w:rsidRPr="00441D1B" w:rsidRDefault="005B558D"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i/>
                <w:sz w:val="18"/>
                <w:szCs w:val="20"/>
                <w:lang w:val="en-GB"/>
              </w:rPr>
            </w:pPr>
            <w:r w:rsidRPr="00441D1B">
              <w:rPr>
                <w:rFonts w:cs="Calibri"/>
                <w:i/>
                <w:sz w:val="18"/>
                <w:szCs w:val="20"/>
                <w:lang w:val="en-GB"/>
              </w:rPr>
              <w:t>4 [3-6]</w:t>
            </w:r>
          </w:p>
        </w:tc>
        <w:tc>
          <w:tcPr>
            <w:tcW w:w="1020" w:type="dxa"/>
            <w:shd w:val="clear" w:color="auto" w:fill="auto"/>
            <w:vAlign w:val="center"/>
          </w:tcPr>
          <w:p w14:paraId="6C9B499E" w14:textId="573AFC7F" w:rsidR="008A52E0" w:rsidRPr="00441D1B" w:rsidRDefault="005B558D"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i/>
                <w:sz w:val="18"/>
                <w:szCs w:val="20"/>
                <w:lang w:val="en-GB"/>
              </w:rPr>
            </w:pPr>
            <w:r w:rsidRPr="00441D1B">
              <w:rPr>
                <w:rFonts w:cs="Calibri"/>
                <w:i/>
                <w:sz w:val="18"/>
                <w:szCs w:val="20"/>
                <w:lang w:val="en-GB"/>
              </w:rPr>
              <w:t>6 [5-7]</w:t>
            </w:r>
          </w:p>
        </w:tc>
        <w:tc>
          <w:tcPr>
            <w:tcW w:w="1020" w:type="dxa"/>
            <w:shd w:val="clear" w:color="auto" w:fill="auto"/>
            <w:vAlign w:val="center"/>
          </w:tcPr>
          <w:p w14:paraId="1C64269D" w14:textId="6DFC2454" w:rsidR="008A52E0" w:rsidRPr="00441D1B" w:rsidRDefault="005B558D"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i/>
                <w:sz w:val="18"/>
                <w:szCs w:val="20"/>
                <w:lang w:val="en-GB"/>
              </w:rPr>
            </w:pPr>
            <w:r w:rsidRPr="00441D1B">
              <w:rPr>
                <w:rFonts w:cs="Calibri"/>
                <w:i/>
                <w:sz w:val="18"/>
                <w:szCs w:val="20"/>
                <w:lang w:val="en-GB"/>
              </w:rPr>
              <w:t>9 [9-9]</w:t>
            </w:r>
          </w:p>
        </w:tc>
      </w:tr>
      <w:tr w:rsidR="003E3EA9" w:rsidRPr="00441D1B" w14:paraId="6EC0FC17" w14:textId="77777777" w:rsidTr="007747F7">
        <w:tc>
          <w:tcPr>
            <w:cnfStyle w:val="001000000000" w:firstRow="0" w:lastRow="0" w:firstColumn="1" w:lastColumn="0" w:oddVBand="0" w:evenVBand="0" w:oddHBand="0" w:evenHBand="0" w:firstRowFirstColumn="0" w:firstRowLastColumn="0" w:lastRowFirstColumn="0" w:lastRowLastColumn="0"/>
            <w:tcW w:w="1572" w:type="dxa"/>
            <w:tcBorders>
              <w:right w:val="single" w:sz="4" w:space="0" w:color="auto"/>
            </w:tcBorders>
            <w:shd w:val="clear" w:color="auto" w:fill="auto"/>
            <w:vAlign w:val="center"/>
          </w:tcPr>
          <w:p w14:paraId="70C2AB26" w14:textId="77777777" w:rsidR="008A52E0" w:rsidRPr="00441D1B" w:rsidRDefault="008A52E0" w:rsidP="008A52E0">
            <w:pPr>
              <w:spacing w:after="160"/>
              <w:rPr>
                <w:rFonts w:cs="Calibri"/>
                <w:caps w:val="0"/>
                <w:sz w:val="18"/>
                <w:szCs w:val="20"/>
                <w:lang w:val="en-GB"/>
              </w:rPr>
            </w:pPr>
            <w:r w:rsidRPr="00441D1B">
              <w:rPr>
                <w:rFonts w:cs="Calibri"/>
                <w:caps w:val="0"/>
                <w:sz w:val="18"/>
                <w:szCs w:val="20"/>
                <w:lang w:val="en-GB"/>
              </w:rPr>
              <w:t>Disturbed sleep</w:t>
            </w:r>
          </w:p>
        </w:tc>
        <w:tc>
          <w:tcPr>
            <w:tcW w:w="735" w:type="dxa"/>
            <w:tcBorders>
              <w:left w:val="single" w:sz="4" w:space="0" w:color="auto"/>
              <w:right w:val="single" w:sz="4" w:space="0" w:color="auto"/>
            </w:tcBorders>
            <w:shd w:val="clear" w:color="auto" w:fill="auto"/>
            <w:vAlign w:val="center"/>
          </w:tcPr>
          <w:p w14:paraId="772CD20E"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87 (70.7)</w:t>
            </w:r>
          </w:p>
        </w:tc>
        <w:tc>
          <w:tcPr>
            <w:tcW w:w="1020" w:type="dxa"/>
            <w:tcBorders>
              <w:left w:val="single" w:sz="4" w:space="0" w:color="auto"/>
            </w:tcBorders>
            <w:shd w:val="clear" w:color="auto" w:fill="auto"/>
            <w:vAlign w:val="center"/>
          </w:tcPr>
          <w:p w14:paraId="0D8349AB"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[4-10]</w:t>
            </w:r>
          </w:p>
        </w:tc>
        <w:tc>
          <w:tcPr>
            <w:tcW w:w="1020" w:type="dxa"/>
            <w:shd w:val="clear" w:color="auto" w:fill="auto"/>
            <w:vAlign w:val="center"/>
          </w:tcPr>
          <w:p w14:paraId="00ADCBDD"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[4-10]</w:t>
            </w:r>
          </w:p>
        </w:tc>
        <w:tc>
          <w:tcPr>
            <w:tcW w:w="1020" w:type="dxa"/>
            <w:tcBorders>
              <w:right w:val="single" w:sz="4" w:space="0" w:color="auto"/>
            </w:tcBorders>
            <w:shd w:val="clear" w:color="auto" w:fill="auto"/>
            <w:vAlign w:val="center"/>
          </w:tcPr>
          <w:p w14:paraId="26728D3E" w14:textId="77777777" w:rsidR="008A52E0" w:rsidRPr="00441D1B" w:rsidRDefault="008A52E0"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[5-11]</w:t>
            </w:r>
          </w:p>
        </w:tc>
        <w:tc>
          <w:tcPr>
            <w:tcW w:w="750" w:type="dxa"/>
            <w:tcBorders>
              <w:right w:val="single" w:sz="4" w:space="0" w:color="auto"/>
            </w:tcBorders>
            <w:shd w:val="clear" w:color="auto" w:fill="auto"/>
          </w:tcPr>
          <w:p w14:paraId="30C19E56" w14:textId="001E68F8" w:rsidR="008A52E0" w:rsidRPr="00441D1B" w:rsidRDefault="00562195"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102 (</w:t>
            </w:r>
            <w:r w:rsidR="00121D3D" w:rsidRPr="00441D1B">
              <w:rPr>
                <w:rFonts w:cs="Calibri"/>
                <w:sz w:val="18"/>
                <w:szCs w:val="20"/>
                <w:lang w:val="en-GB"/>
              </w:rPr>
              <w:t>73.9</w:t>
            </w:r>
            <w:r w:rsidRPr="00441D1B">
              <w:rPr>
                <w:rFonts w:cs="Calibri"/>
                <w:sz w:val="18"/>
                <w:szCs w:val="20"/>
                <w:lang w:val="en-GB"/>
              </w:rPr>
              <w:t>)</w:t>
            </w:r>
          </w:p>
        </w:tc>
        <w:tc>
          <w:tcPr>
            <w:tcW w:w="1020" w:type="dxa"/>
            <w:shd w:val="clear" w:color="auto" w:fill="auto"/>
            <w:vAlign w:val="center"/>
          </w:tcPr>
          <w:p w14:paraId="0EE418D2" w14:textId="40F963BE" w:rsidR="008A52E0" w:rsidRPr="00441D1B" w:rsidRDefault="00684B59"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[4-9]</w:t>
            </w:r>
          </w:p>
        </w:tc>
        <w:tc>
          <w:tcPr>
            <w:tcW w:w="1020" w:type="dxa"/>
            <w:shd w:val="clear" w:color="auto" w:fill="auto"/>
            <w:vAlign w:val="center"/>
          </w:tcPr>
          <w:p w14:paraId="5F98E004" w14:textId="0BF9A78A" w:rsidR="008A52E0" w:rsidRPr="00441D1B" w:rsidRDefault="00684B59"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7 [3-10]</w:t>
            </w:r>
          </w:p>
        </w:tc>
        <w:tc>
          <w:tcPr>
            <w:tcW w:w="1020" w:type="dxa"/>
            <w:tcBorders>
              <w:right w:val="single" w:sz="4" w:space="0" w:color="auto"/>
            </w:tcBorders>
            <w:shd w:val="clear" w:color="auto" w:fill="auto"/>
            <w:vAlign w:val="center"/>
          </w:tcPr>
          <w:p w14:paraId="06D6EE58" w14:textId="6E443F61" w:rsidR="008A52E0" w:rsidRPr="00441D1B" w:rsidRDefault="00684B59"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8 [7-8]</w:t>
            </w:r>
          </w:p>
        </w:tc>
        <w:tc>
          <w:tcPr>
            <w:tcW w:w="737" w:type="dxa"/>
            <w:tcBorders>
              <w:left w:val="single" w:sz="4" w:space="0" w:color="auto"/>
              <w:right w:val="single" w:sz="4" w:space="0" w:color="auto"/>
            </w:tcBorders>
            <w:shd w:val="clear" w:color="auto" w:fill="auto"/>
          </w:tcPr>
          <w:p w14:paraId="13A14098" w14:textId="371E9283" w:rsidR="008A52E0" w:rsidRPr="00441D1B" w:rsidRDefault="00562195"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61 (</w:t>
            </w:r>
            <w:r w:rsidR="003436F9" w:rsidRPr="00441D1B">
              <w:rPr>
                <w:rFonts w:cs="Calibri"/>
                <w:sz w:val="18"/>
                <w:szCs w:val="20"/>
                <w:lang w:val="en-GB"/>
              </w:rPr>
              <w:t>68.5</w:t>
            </w:r>
            <w:r w:rsidRPr="00441D1B">
              <w:rPr>
                <w:rFonts w:cs="Calibri"/>
                <w:sz w:val="18"/>
                <w:szCs w:val="20"/>
                <w:lang w:val="en-GB"/>
              </w:rPr>
              <w:t>)</w:t>
            </w:r>
          </w:p>
        </w:tc>
        <w:tc>
          <w:tcPr>
            <w:tcW w:w="1020" w:type="dxa"/>
            <w:tcBorders>
              <w:left w:val="single" w:sz="4" w:space="0" w:color="auto"/>
            </w:tcBorders>
            <w:shd w:val="clear" w:color="auto" w:fill="auto"/>
            <w:vAlign w:val="center"/>
          </w:tcPr>
          <w:p w14:paraId="2C37C79F" w14:textId="5C2D903D" w:rsidR="008A52E0" w:rsidRPr="00441D1B" w:rsidRDefault="00684B59"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6 [3-8]</w:t>
            </w:r>
          </w:p>
        </w:tc>
        <w:tc>
          <w:tcPr>
            <w:tcW w:w="1020" w:type="dxa"/>
            <w:shd w:val="clear" w:color="auto" w:fill="auto"/>
            <w:vAlign w:val="center"/>
          </w:tcPr>
          <w:p w14:paraId="72F1EA06" w14:textId="26C55FB9" w:rsidR="008A52E0" w:rsidRPr="00441D1B" w:rsidRDefault="00684B59"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9 [3-16]</w:t>
            </w:r>
          </w:p>
        </w:tc>
        <w:tc>
          <w:tcPr>
            <w:tcW w:w="1020" w:type="dxa"/>
            <w:shd w:val="clear" w:color="auto" w:fill="auto"/>
            <w:vAlign w:val="center"/>
          </w:tcPr>
          <w:p w14:paraId="45ABE6C5" w14:textId="5C16E407" w:rsidR="008A52E0" w:rsidRPr="00441D1B" w:rsidRDefault="00684B59" w:rsidP="008A52E0">
            <w:pPr>
              <w:spacing w:after="160"/>
              <w:jc w:val="center"/>
              <w:cnfStyle w:val="000000000000" w:firstRow="0" w:lastRow="0" w:firstColumn="0" w:lastColumn="0" w:oddVBand="0" w:evenVBand="0" w:oddHBand="0" w:evenHBand="0" w:firstRowFirstColumn="0" w:firstRowLastColumn="0" w:lastRowFirstColumn="0" w:lastRowLastColumn="0"/>
              <w:rPr>
                <w:rFonts w:cs="Calibri"/>
                <w:sz w:val="18"/>
                <w:szCs w:val="20"/>
                <w:lang w:val="en-GB"/>
              </w:rPr>
            </w:pPr>
            <w:r w:rsidRPr="00441D1B">
              <w:rPr>
                <w:rFonts w:cs="Calibri"/>
                <w:sz w:val="18"/>
                <w:szCs w:val="20"/>
                <w:lang w:val="en-GB"/>
              </w:rPr>
              <w:t>11 [8-13]</w:t>
            </w:r>
          </w:p>
        </w:tc>
      </w:tr>
      <w:tr w:rsidR="007747F7" w:rsidRPr="00441D1B" w14:paraId="37F80037" w14:textId="77777777" w:rsidTr="007747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2" w:type="dxa"/>
            <w:tcBorders>
              <w:bottom w:val="single" w:sz="4" w:space="0" w:color="auto"/>
              <w:right w:val="single" w:sz="4" w:space="0" w:color="auto"/>
            </w:tcBorders>
            <w:shd w:val="clear" w:color="auto" w:fill="auto"/>
            <w:vAlign w:val="center"/>
          </w:tcPr>
          <w:p w14:paraId="7C93E71A" w14:textId="3F1F47F0" w:rsidR="008A52E0" w:rsidRPr="00441D1B" w:rsidRDefault="008A52E0" w:rsidP="00E47214">
            <w:pPr>
              <w:spacing w:after="160"/>
              <w:rPr>
                <w:rFonts w:cs="Calibri"/>
                <w:caps w:val="0"/>
                <w:sz w:val="18"/>
                <w:szCs w:val="20"/>
                <w:lang w:val="en-GB"/>
              </w:rPr>
            </w:pPr>
            <w:r w:rsidRPr="00441D1B">
              <w:rPr>
                <w:rFonts w:cs="Calibri"/>
                <w:caps w:val="0"/>
                <w:sz w:val="18"/>
                <w:szCs w:val="20"/>
                <w:lang w:val="en-GB"/>
              </w:rPr>
              <w:t>Interference with normal activities or work</w:t>
            </w:r>
          </w:p>
        </w:tc>
        <w:tc>
          <w:tcPr>
            <w:tcW w:w="735" w:type="dxa"/>
            <w:tcBorders>
              <w:left w:val="single" w:sz="4" w:space="0" w:color="auto"/>
              <w:bottom w:val="single" w:sz="4" w:space="0" w:color="auto"/>
              <w:right w:val="single" w:sz="4" w:space="0" w:color="auto"/>
            </w:tcBorders>
            <w:shd w:val="clear" w:color="auto" w:fill="auto"/>
            <w:vAlign w:val="center"/>
          </w:tcPr>
          <w:p w14:paraId="5115CE40"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89 (72.4)</w:t>
            </w:r>
          </w:p>
        </w:tc>
        <w:tc>
          <w:tcPr>
            <w:tcW w:w="1020" w:type="dxa"/>
            <w:tcBorders>
              <w:left w:val="single" w:sz="4" w:space="0" w:color="auto"/>
              <w:bottom w:val="single" w:sz="4" w:space="0" w:color="auto"/>
            </w:tcBorders>
            <w:shd w:val="clear" w:color="auto" w:fill="auto"/>
            <w:vAlign w:val="center"/>
          </w:tcPr>
          <w:p w14:paraId="4C964630"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[5-11]</w:t>
            </w:r>
          </w:p>
        </w:tc>
        <w:tc>
          <w:tcPr>
            <w:tcW w:w="1020" w:type="dxa"/>
            <w:tcBorders>
              <w:bottom w:val="single" w:sz="4" w:space="0" w:color="auto"/>
            </w:tcBorders>
            <w:shd w:val="clear" w:color="auto" w:fill="auto"/>
            <w:vAlign w:val="center"/>
          </w:tcPr>
          <w:p w14:paraId="3C0F9094"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9 [6-14]</w:t>
            </w:r>
          </w:p>
        </w:tc>
        <w:tc>
          <w:tcPr>
            <w:tcW w:w="1020" w:type="dxa"/>
            <w:tcBorders>
              <w:bottom w:val="single" w:sz="4" w:space="0" w:color="auto"/>
              <w:right w:val="single" w:sz="4" w:space="0" w:color="auto"/>
            </w:tcBorders>
            <w:shd w:val="clear" w:color="auto" w:fill="auto"/>
            <w:vAlign w:val="center"/>
          </w:tcPr>
          <w:p w14:paraId="3C2A623F" w14:textId="77777777" w:rsidR="008A52E0" w:rsidRPr="00441D1B" w:rsidRDefault="008A52E0"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 [7-12]</w:t>
            </w:r>
          </w:p>
        </w:tc>
        <w:tc>
          <w:tcPr>
            <w:tcW w:w="750" w:type="dxa"/>
            <w:tcBorders>
              <w:bottom w:val="single" w:sz="4" w:space="0" w:color="auto"/>
              <w:right w:val="single" w:sz="4" w:space="0" w:color="auto"/>
            </w:tcBorders>
            <w:shd w:val="clear" w:color="auto" w:fill="auto"/>
            <w:vAlign w:val="center"/>
          </w:tcPr>
          <w:p w14:paraId="6BBF244A" w14:textId="61E82736" w:rsidR="008A52E0" w:rsidRPr="00441D1B" w:rsidRDefault="00E3458F"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116 (</w:t>
            </w:r>
            <w:r w:rsidR="00121D3D" w:rsidRPr="00441D1B">
              <w:rPr>
                <w:rFonts w:cs="Calibri"/>
                <w:sz w:val="18"/>
                <w:szCs w:val="20"/>
                <w:lang w:val="en-GB"/>
              </w:rPr>
              <w:t>84.1</w:t>
            </w:r>
            <w:r w:rsidRPr="00441D1B">
              <w:rPr>
                <w:rFonts w:cs="Calibri"/>
                <w:sz w:val="18"/>
                <w:szCs w:val="20"/>
                <w:lang w:val="en-GB"/>
              </w:rPr>
              <w:t>)</w:t>
            </w:r>
          </w:p>
        </w:tc>
        <w:tc>
          <w:tcPr>
            <w:tcW w:w="1020" w:type="dxa"/>
            <w:tcBorders>
              <w:bottom w:val="single" w:sz="4" w:space="0" w:color="auto"/>
            </w:tcBorders>
            <w:shd w:val="clear" w:color="auto" w:fill="auto"/>
            <w:vAlign w:val="center"/>
          </w:tcPr>
          <w:p w14:paraId="1EE00D6A" w14:textId="5AD01A19" w:rsidR="008A52E0" w:rsidRPr="00441D1B" w:rsidRDefault="00E25EBE"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[5-10]</w:t>
            </w:r>
          </w:p>
        </w:tc>
        <w:tc>
          <w:tcPr>
            <w:tcW w:w="1020" w:type="dxa"/>
            <w:tcBorders>
              <w:bottom w:val="single" w:sz="4" w:space="0" w:color="auto"/>
            </w:tcBorders>
            <w:shd w:val="clear" w:color="auto" w:fill="auto"/>
            <w:vAlign w:val="center"/>
          </w:tcPr>
          <w:p w14:paraId="146F6FF4" w14:textId="45AD62D1" w:rsidR="008A52E0" w:rsidRPr="00441D1B" w:rsidRDefault="00E25EBE"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 [6-15]</w:t>
            </w:r>
          </w:p>
        </w:tc>
        <w:tc>
          <w:tcPr>
            <w:tcW w:w="1020" w:type="dxa"/>
            <w:tcBorders>
              <w:bottom w:val="single" w:sz="4" w:space="0" w:color="auto"/>
              <w:right w:val="single" w:sz="4" w:space="0" w:color="auto"/>
            </w:tcBorders>
            <w:shd w:val="clear" w:color="auto" w:fill="auto"/>
            <w:vAlign w:val="center"/>
          </w:tcPr>
          <w:p w14:paraId="1226B252" w14:textId="11C6CAB8" w:rsidR="008A52E0" w:rsidRPr="00441D1B" w:rsidRDefault="00E25EBE"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 [7-9]</w:t>
            </w:r>
          </w:p>
        </w:tc>
        <w:tc>
          <w:tcPr>
            <w:tcW w:w="737" w:type="dxa"/>
            <w:tcBorders>
              <w:left w:val="single" w:sz="4" w:space="0" w:color="auto"/>
              <w:bottom w:val="single" w:sz="4" w:space="0" w:color="auto"/>
              <w:right w:val="single" w:sz="4" w:space="0" w:color="auto"/>
            </w:tcBorders>
            <w:shd w:val="clear" w:color="auto" w:fill="auto"/>
            <w:vAlign w:val="center"/>
          </w:tcPr>
          <w:p w14:paraId="4107D49E" w14:textId="76854A01" w:rsidR="008A52E0" w:rsidRPr="00441D1B" w:rsidRDefault="00E3458F"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76 (</w:t>
            </w:r>
            <w:r w:rsidR="003436F9" w:rsidRPr="00441D1B">
              <w:rPr>
                <w:rFonts w:cs="Calibri"/>
                <w:sz w:val="18"/>
                <w:szCs w:val="20"/>
                <w:lang w:val="en-GB"/>
              </w:rPr>
              <w:t>85.4</w:t>
            </w:r>
            <w:r w:rsidRPr="00441D1B">
              <w:rPr>
                <w:rFonts w:cs="Calibri"/>
                <w:sz w:val="18"/>
                <w:szCs w:val="20"/>
                <w:lang w:val="en-GB"/>
              </w:rPr>
              <w:t>)</w:t>
            </w:r>
          </w:p>
        </w:tc>
        <w:tc>
          <w:tcPr>
            <w:tcW w:w="1020" w:type="dxa"/>
            <w:tcBorders>
              <w:left w:val="single" w:sz="4" w:space="0" w:color="auto"/>
              <w:bottom w:val="single" w:sz="4" w:space="0" w:color="auto"/>
            </w:tcBorders>
            <w:shd w:val="clear" w:color="auto" w:fill="auto"/>
            <w:vAlign w:val="center"/>
          </w:tcPr>
          <w:p w14:paraId="6474810C" w14:textId="0E49E281" w:rsidR="008A52E0" w:rsidRPr="00441D1B" w:rsidRDefault="001C2BA8"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7 [5-9]</w:t>
            </w:r>
          </w:p>
        </w:tc>
        <w:tc>
          <w:tcPr>
            <w:tcW w:w="1020" w:type="dxa"/>
            <w:tcBorders>
              <w:bottom w:val="single" w:sz="4" w:space="0" w:color="auto"/>
            </w:tcBorders>
            <w:shd w:val="clear" w:color="auto" w:fill="auto"/>
            <w:vAlign w:val="center"/>
          </w:tcPr>
          <w:p w14:paraId="6487866B" w14:textId="4726ACF4" w:rsidR="008A52E0" w:rsidRPr="00441D1B" w:rsidRDefault="001C2BA8"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8 [4-12]</w:t>
            </w:r>
          </w:p>
        </w:tc>
        <w:tc>
          <w:tcPr>
            <w:tcW w:w="1020" w:type="dxa"/>
            <w:tcBorders>
              <w:bottom w:val="single" w:sz="4" w:space="0" w:color="auto"/>
            </w:tcBorders>
            <w:shd w:val="clear" w:color="auto" w:fill="auto"/>
            <w:vAlign w:val="center"/>
          </w:tcPr>
          <w:p w14:paraId="3E3CA7A3" w14:textId="03934F20" w:rsidR="008A52E0" w:rsidRPr="00441D1B" w:rsidRDefault="001C2BA8" w:rsidP="008A52E0">
            <w:pPr>
              <w:spacing w:after="160"/>
              <w:jc w:val="center"/>
              <w:cnfStyle w:val="000000100000" w:firstRow="0" w:lastRow="0" w:firstColumn="0" w:lastColumn="0" w:oddVBand="0" w:evenVBand="0" w:oddHBand="1" w:evenHBand="0" w:firstRowFirstColumn="0" w:firstRowLastColumn="0" w:lastRowFirstColumn="0" w:lastRowLastColumn="0"/>
              <w:rPr>
                <w:rFonts w:cs="Calibri"/>
                <w:sz w:val="18"/>
                <w:szCs w:val="20"/>
                <w:lang w:val="en-GB"/>
              </w:rPr>
            </w:pPr>
            <w:r w:rsidRPr="00441D1B">
              <w:rPr>
                <w:rFonts w:cs="Calibri"/>
                <w:sz w:val="18"/>
                <w:szCs w:val="20"/>
                <w:lang w:val="en-GB"/>
              </w:rPr>
              <w:t>5 [4-6]</w:t>
            </w:r>
          </w:p>
        </w:tc>
      </w:tr>
    </w:tbl>
    <w:p w14:paraId="402D1C51" w14:textId="511C0536" w:rsidR="00811467" w:rsidRPr="00441D1B" w:rsidRDefault="00811467" w:rsidP="00E25E7F">
      <w:pPr>
        <w:spacing w:after="160"/>
        <w:rPr>
          <w:i/>
          <w:sz w:val="18"/>
          <w:szCs w:val="18"/>
          <w:lang w:val="en-GB"/>
        </w:rPr>
      </w:pPr>
      <w:r w:rsidRPr="00441D1B">
        <w:rPr>
          <w:i/>
          <w:sz w:val="18"/>
          <w:szCs w:val="18"/>
        </w:rPr>
        <w:t>N</w:t>
      </w:r>
      <w:r w:rsidRPr="00441D1B">
        <w:rPr>
          <w:i/>
          <w:sz w:val="18"/>
          <w:szCs w:val="18"/>
          <w:lang w:val="en-GB"/>
        </w:rPr>
        <w:t>: number of patients; IQR: interquartile range. Numbers printed in</w:t>
      </w:r>
      <w:r w:rsidR="00101426" w:rsidRPr="00441D1B">
        <w:rPr>
          <w:i/>
          <w:sz w:val="18"/>
          <w:szCs w:val="18"/>
          <w:lang w:val="en-GB"/>
        </w:rPr>
        <w:t xml:space="preserve"> italic indicate that significance testing was not conducted because at least one of the age groups contained </w:t>
      </w:r>
      <w:r w:rsidR="00D91D9A" w:rsidRPr="00441D1B">
        <w:rPr>
          <w:i/>
          <w:sz w:val="18"/>
          <w:szCs w:val="18"/>
          <w:lang w:val="en-GB"/>
        </w:rPr>
        <w:t xml:space="preserve">no variation (i.e. all patients </w:t>
      </w:r>
      <w:r w:rsidR="004A3A49" w:rsidRPr="00441D1B">
        <w:rPr>
          <w:i/>
          <w:sz w:val="18"/>
          <w:szCs w:val="18"/>
          <w:lang w:val="en-GB"/>
        </w:rPr>
        <w:t xml:space="preserve">have </w:t>
      </w:r>
      <w:r w:rsidR="00D91D9A" w:rsidRPr="00441D1B">
        <w:rPr>
          <w:i/>
          <w:sz w:val="18"/>
          <w:szCs w:val="18"/>
          <w:lang w:val="en-GB"/>
        </w:rPr>
        <w:t>the same resolution time)</w:t>
      </w:r>
      <w:r w:rsidR="00101426" w:rsidRPr="00441D1B">
        <w:rPr>
          <w:i/>
          <w:sz w:val="18"/>
          <w:szCs w:val="18"/>
          <w:lang w:val="en-GB"/>
        </w:rPr>
        <w:t>. Number printed in b</w:t>
      </w:r>
      <w:r w:rsidRPr="00441D1B">
        <w:rPr>
          <w:i/>
          <w:sz w:val="18"/>
          <w:szCs w:val="18"/>
          <w:lang w:val="en-GB"/>
        </w:rPr>
        <w:t xml:space="preserve">old indicate significance: models accounted for significant </w:t>
      </w:r>
      <w:r w:rsidRPr="00441D1B">
        <w:rPr>
          <w:i/>
          <w:sz w:val="18"/>
          <w:lang w:val="en-GB"/>
        </w:rPr>
        <w:t>covariates</w:t>
      </w:r>
      <w:r w:rsidRPr="00441D1B">
        <w:rPr>
          <w:i/>
          <w:sz w:val="14"/>
          <w:szCs w:val="18"/>
          <w:lang w:val="en-GB"/>
        </w:rPr>
        <w:t xml:space="preserve"> </w:t>
      </w:r>
      <w:r w:rsidRPr="00441D1B">
        <w:rPr>
          <w:i/>
          <w:sz w:val="18"/>
          <w:szCs w:val="18"/>
          <w:lang w:val="en-GB"/>
        </w:rPr>
        <w:t xml:space="preserve">(days coughing prior to consultation, smoking status, presence of a bacteria, presence of other viruses and average symptom severity at consultation for RSV; gender, history of cardiac comorbidities, smoking status, influenza vaccination, days coughing prior to consultation, presence of a bacteria, presence of other viruses and average symptom severity at consultation for </w:t>
      </w:r>
      <w:r w:rsidR="00D163CC" w:rsidRPr="00441D1B">
        <w:rPr>
          <w:i/>
          <w:sz w:val="18"/>
          <w:szCs w:val="18"/>
          <w:lang w:val="en-GB"/>
        </w:rPr>
        <w:t>influenza A; gender, history of pulmonary comorbidities, history of cardiac comorbidities, smoking status, influenza vaccination, days coughing prior to consultation, presence of other viruses and average symptom severity at consultation for influenza B</w:t>
      </w:r>
      <w:r w:rsidRPr="00441D1B">
        <w:rPr>
          <w:i/>
          <w:sz w:val="18"/>
          <w:szCs w:val="18"/>
          <w:lang w:val="en-GB"/>
        </w:rPr>
        <w:t xml:space="preserve">). </w:t>
      </w:r>
    </w:p>
    <w:p w14:paraId="0C2595CF" w14:textId="62B79A1A" w:rsidR="00811467" w:rsidRPr="00441D1B" w:rsidRDefault="00811467" w:rsidP="00811467">
      <w:pPr>
        <w:pStyle w:val="Caption"/>
        <w:keepNext/>
        <w:spacing w:line="300" w:lineRule="auto"/>
      </w:pPr>
      <w:r w:rsidRPr="00441D1B">
        <w:lastRenderedPageBreak/>
        <w:t xml:space="preserve">Table </w:t>
      </w:r>
      <w:r w:rsidRPr="00441D1B">
        <w:fldChar w:fldCharType="begin"/>
      </w:r>
      <w:r w:rsidRPr="00441D1B">
        <w:instrText xml:space="preserve"> SEQ Table \* ARABIC </w:instrText>
      </w:r>
      <w:r w:rsidRPr="00441D1B">
        <w:fldChar w:fldCharType="separate"/>
      </w:r>
      <w:r w:rsidRPr="00441D1B">
        <w:rPr>
          <w:noProof/>
        </w:rPr>
        <w:t>5</w:t>
      </w:r>
      <w:r w:rsidRPr="00441D1B">
        <w:fldChar w:fldCharType="end"/>
      </w:r>
      <w:r w:rsidRPr="00441D1B">
        <w:t xml:space="preserve">. Unresolved symptoms after 28 days in adult acute cough patients that tested positive for respiratory syncytial virus (RSV) or Influenza virus in primary care. </w:t>
      </w:r>
    </w:p>
    <w:tbl>
      <w:tblPr>
        <w:tblStyle w:val="PlainTable3"/>
        <w:tblW w:w="13640" w:type="dxa"/>
        <w:tblLook w:val="04A0" w:firstRow="1" w:lastRow="0" w:firstColumn="1" w:lastColumn="0" w:noHBand="0" w:noVBand="1"/>
      </w:tblPr>
      <w:tblGrid>
        <w:gridCol w:w="1297"/>
        <w:gridCol w:w="677"/>
        <w:gridCol w:w="1090"/>
        <w:gridCol w:w="1089"/>
        <w:gridCol w:w="1595"/>
        <w:gridCol w:w="676"/>
        <w:gridCol w:w="1090"/>
        <w:gridCol w:w="1090"/>
        <w:gridCol w:w="1090"/>
        <w:gridCol w:w="676"/>
        <w:gridCol w:w="1090"/>
        <w:gridCol w:w="1090"/>
        <w:gridCol w:w="1090"/>
      </w:tblGrid>
      <w:tr w:rsidR="00FD34EE" w:rsidRPr="00441D1B" w14:paraId="35F6D1CC" w14:textId="77777777" w:rsidTr="00910B0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98" w:type="dxa"/>
            <w:tcBorders>
              <w:bottom w:val="single" w:sz="4" w:space="0" w:color="auto"/>
              <w:right w:val="single" w:sz="4" w:space="0" w:color="auto"/>
            </w:tcBorders>
            <w:shd w:val="clear" w:color="auto" w:fill="auto"/>
            <w:vAlign w:val="center"/>
          </w:tcPr>
          <w:p w14:paraId="42C7F3A6" w14:textId="77777777" w:rsidR="00FD34EE" w:rsidRPr="00441D1B" w:rsidRDefault="00FD34EE" w:rsidP="005C5DEF">
            <w:pPr>
              <w:spacing w:after="0"/>
              <w:jc w:val="center"/>
              <w:rPr>
                <w:rFonts w:cs="Calibri"/>
                <w:caps w:val="0"/>
                <w:sz w:val="18"/>
                <w:szCs w:val="18"/>
                <w:lang w:val="en-GB"/>
              </w:rPr>
            </w:pPr>
          </w:p>
        </w:tc>
        <w:tc>
          <w:tcPr>
            <w:tcW w:w="678" w:type="dxa"/>
            <w:tcBorders>
              <w:bottom w:val="single" w:sz="4" w:space="0" w:color="auto"/>
            </w:tcBorders>
            <w:shd w:val="clear" w:color="auto" w:fill="auto"/>
            <w:vAlign w:val="center"/>
          </w:tcPr>
          <w:p w14:paraId="0BDAF023" w14:textId="77777777" w:rsidR="00FD34EE" w:rsidRPr="00441D1B" w:rsidRDefault="00FD34EE" w:rsidP="005C5DEF">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18"/>
                <w:szCs w:val="18"/>
                <w:lang w:val="en-GB"/>
              </w:rPr>
            </w:pPr>
          </w:p>
        </w:tc>
        <w:tc>
          <w:tcPr>
            <w:tcW w:w="3766" w:type="dxa"/>
            <w:gridSpan w:val="3"/>
            <w:tcBorders>
              <w:bottom w:val="single" w:sz="4" w:space="0" w:color="auto"/>
              <w:right w:val="single" w:sz="4" w:space="0" w:color="auto"/>
            </w:tcBorders>
            <w:shd w:val="clear" w:color="auto" w:fill="auto"/>
            <w:vAlign w:val="center"/>
          </w:tcPr>
          <w:p w14:paraId="693B3778" w14:textId="77777777" w:rsidR="00FD34EE" w:rsidRPr="00441D1B" w:rsidRDefault="00FD34EE" w:rsidP="005C5DEF">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18"/>
                <w:szCs w:val="18"/>
                <w:lang w:val="en-GB"/>
              </w:rPr>
            </w:pPr>
            <w:r w:rsidRPr="00441D1B">
              <w:rPr>
                <w:rFonts w:cs="Calibri"/>
                <w:caps w:val="0"/>
                <w:sz w:val="20"/>
                <w:szCs w:val="20"/>
                <w:lang w:val="en-GB"/>
              </w:rPr>
              <w:t xml:space="preserve">RSV – </w:t>
            </w:r>
            <w:r w:rsidRPr="00441D1B">
              <w:rPr>
                <w:caps w:val="0"/>
                <w:sz w:val="20"/>
                <w:lang w:val="en-GB"/>
              </w:rPr>
              <w:t>adjusted</w:t>
            </w:r>
            <w:r w:rsidRPr="00441D1B">
              <w:rPr>
                <w:caps w:val="0"/>
                <w:sz w:val="20"/>
                <w:vertAlign w:val="superscript"/>
                <w:lang w:val="en-GB"/>
              </w:rPr>
              <w:t xml:space="preserve"> </w:t>
            </w:r>
            <w:r w:rsidRPr="00441D1B">
              <w:rPr>
                <w:caps w:val="0"/>
                <w:sz w:val="20"/>
                <w:lang w:val="en-GB"/>
              </w:rPr>
              <w:t>OR (95%CI)</w:t>
            </w:r>
          </w:p>
        </w:tc>
        <w:tc>
          <w:tcPr>
            <w:tcW w:w="676" w:type="dxa"/>
            <w:tcBorders>
              <w:bottom w:val="single" w:sz="4" w:space="0" w:color="auto"/>
            </w:tcBorders>
            <w:shd w:val="clear" w:color="auto" w:fill="auto"/>
            <w:vAlign w:val="center"/>
          </w:tcPr>
          <w:p w14:paraId="1FCBDEBF" w14:textId="77777777" w:rsidR="00FD34EE" w:rsidRPr="00441D1B" w:rsidRDefault="00FD34EE" w:rsidP="005C5DEF">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18"/>
                <w:szCs w:val="18"/>
                <w:lang w:val="en-GB"/>
              </w:rPr>
            </w:pPr>
          </w:p>
        </w:tc>
        <w:tc>
          <w:tcPr>
            <w:tcW w:w="3273" w:type="dxa"/>
            <w:gridSpan w:val="3"/>
            <w:tcBorders>
              <w:bottom w:val="single" w:sz="4" w:space="0" w:color="auto"/>
              <w:right w:val="single" w:sz="4" w:space="0" w:color="auto"/>
            </w:tcBorders>
            <w:shd w:val="clear" w:color="auto" w:fill="auto"/>
            <w:vAlign w:val="center"/>
          </w:tcPr>
          <w:p w14:paraId="6B2D0B4B" w14:textId="77777777" w:rsidR="00FD34EE" w:rsidRPr="00441D1B" w:rsidRDefault="00FD34EE" w:rsidP="005C5DEF">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18"/>
                <w:szCs w:val="18"/>
                <w:lang w:val="en-GB"/>
              </w:rPr>
            </w:pPr>
            <w:r w:rsidRPr="00441D1B">
              <w:rPr>
                <w:rFonts w:cs="Calibri"/>
                <w:caps w:val="0"/>
                <w:sz w:val="20"/>
                <w:szCs w:val="20"/>
                <w:lang w:val="en-GB"/>
              </w:rPr>
              <w:t xml:space="preserve">Influenza A – </w:t>
            </w:r>
            <w:r w:rsidRPr="00441D1B">
              <w:rPr>
                <w:caps w:val="0"/>
                <w:sz w:val="20"/>
                <w:lang w:val="en-GB"/>
              </w:rPr>
              <w:t>adjusted</w:t>
            </w:r>
            <w:r w:rsidRPr="00441D1B">
              <w:rPr>
                <w:caps w:val="0"/>
                <w:sz w:val="20"/>
                <w:vertAlign w:val="superscript"/>
                <w:lang w:val="en-GB"/>
              </w:rPr>
              <w:t xml:space="preserve"> </w:t>
            </w:r>
            <w:r w:rsidRPr="00441D1B">
              <w:rPr>
                <w:caps w:val="0"/>
                <w:sz w:val="20"/>
                <w:lang w:val="en-GB"/>
              </w:rPr>
              <w:t>OR (95%CI)</w:t>
            </w:r>
          </w:p>
        </w:tc>
        <w:tc>
          <w:tcPr>
            <w:tcW w:w="676" w:type="dxa"/>
            <w:tcBorders>
              <w:left w:val="single" w:sz="4" w:space="0" w:color="auto"/>
              <w:bottom w:val="single" w:sz="4" w:space="0" w:color="auto"/>
            </w:tcBorders>
            <w:shd w:val="clear" w:color="auto" w:fill="auto"/>
            <w:vAlign w:val="center"/>
          </w:tcPr>
          <w:p w14:paraId="3A172825" w14:textId="77777777" w:rsidR="00FD34EE" w:rsidRPr="00441D1B" w:rsidRDefault="00FD34EE" w:rsidP="005C5DEF">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18"/>
                <w:szCs w:val="18"/>
                <w:lang w:val="en-GB"/>
              </w:rPr>
            </w:pPr>
          </w:p>
        </w:tc>
        <w:tc>
          <w:tcPr>
            <w:tcW w:w="3273" w:type="dxa"/>
            <w:gridSpan w:val="3"/>
            <w:tcBorders>
              <w:bottom w:val="single" w:sz="4" w:space="0" w:color="auto"/>
            </w:tcBorders>
            <w:shd w:val="clear" w:color="auto" w:fill="auto"/>
            <w:vAlign w:val="center"/>
          </w:tcPr>
          <w:p w14:paraId="256BDC80" w14:textId="77777777" w:rsidR="00FD34EE" w:rsidRPr="00441D1B" w:rsidRDefault="00FD34EE" w:rsidP="005C5DEF">
            <w:pPr>
              <w:spacing w:after="0"/>
              <w:jc w:val="center"/>
              <w:cnfStyle w:val="100000000000" w:firstRow="1" w:lastRow="0" w:firstColumn="0" w:lastColumn="0" w:oddVBand="0" w:evenVBand="0" w:oddHBand="0" w:evenHBand="0" w:firstRowFirstColumn="0" w:firstRowLastColumn="0" w:lastRowFirstColumn="0" w:lastRowLastColumn="0"/>
              <w:rPr>
                <w:rFonts w:cs="Calibri"/>
                <w:b w:val="0"/>
                <w:sz w:val="18"/>
                <w:szCs w:val="18"/>
                <w:lang w:val="en-GB"/>
              </w:rPr>
            </w:pPr>
            <w:r w:rsidRPr="00441D1B">
              <w:rPr>
                <w:rFonts w:cs="Calibri"/>
                <w:caps w:val="0"/>
                <w:sz w:val="20"/>
                <w:szCs w:val="20"/>
                <w:lang w:val="en-GB"/>
              </w:rPr>
              <w:t xml:space="preserve">Influenza B – </w:t>
            </w:r>
            <w:r w:rsidRPr="00441D1B">
              <w:rPr>
                <w:caps w:val="0"/>
                <w:sz w:val="20"/>
                <w:lang w:val="en-GB"/>
              </w:rPr>
              <w:t>adjusted</w:t>
            </w:r>
            <w:r w:rsidRPr="00441D1B">
              <w:rPr>
                <w:caps w:val="0"/>
                <w:sz w:val="20"/>
                <w:vertAlign w:val="superscript"/>
                <w:lang w:val="en-GB"/>
              </w:rPr>
              <w:t xml:space="preserve"> </w:t>
            </w:r>
            <w:r w:rsidRPr="00441D1B">
              <w:rPr>
                <w:caps w:val="0"/>
                <w:sz w:val="20"/>
                <w:lang w:val="en-GB"/>
              </w:rPr>
              <w:t>OR (95%CI)</w:t>
            </w:r>
          </w:p>
        </w:tc>
      </w:tr>
      <w:tr w:rsidR="00FD34EE" w:rsidRPr="00441D1B" w14:paraId="6F7FAE1A" w14:textId="77777777" w:rsidTr="0091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bottom w:val="single" w:sz="4" w:space="0" w:color="auto"/>
              <w:right w:val="single" w:sz="4" w:space="0" w:color="auto"/>
            </w:tcBorders>
            <w:shd w:val="clear" w:color="auto" w:fill="auto"/>
            <w:vAlign w:val="center"/>
          </w:tcPr>
          <w:p w14:paraId="58DB5AE5" w14:textId="77777777" w:rsidR="00FD34EE" w:rsidRPr="00441D1B" w:rsidRDefault="00FD34EE" w:rsidP="005C5DEF">
            <w:pPr>
              <w:spacing w:after="0"/>
              <w:jc w:val="center"/>
              <w:rPr>
                <w:rFonts w:cs="Calibri"/>
                <w:caps w:val="0"/>
                <w:sz w:val="18"/>
                <w:szCs w:val="18"/>
                <w:lang w:val="en-GB"/>
              </w:rPr>
            </w:pPr>
          </w:p>
        </w:tc>
        <w:tc>
          <w:tcPr>
            <w:tcW w:w="678" w:type="dxa"/>
            <w:tcBorders>
              <w:bottom w:val="single" w:sz="4" w:space="0" w:color="auto"/>
              <w:right w:val="single" w:sz="4" w:space="0" w:color="auto"/>
            </w:tcBorders>
            <w:shd w:val="clear" w:color="auto" w:fill="auto"/>
            <w:vAlign w:val="center"/>
          </w:tcPr>
          <w:p w14:paraId="723AF09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N </w:t>
            </w:r>
            <w:r w:rsidRPr="00441D1B">
              <w:rPr>
                <w:rFonts w:cs="Calibri"/>
                <w:b/>
                <w:sz w:val="18"/>
                <w:szCs w:val="18"/>
                <w:lang w:val="en-GB"/>
              </w:rPr>
              <w:br/>
              <w:t>(%)</w:t>
            </w:r>
          </w:p>
        </w:tc>
        <w:tc>
          <w:tcPr>
            <w:tcW w:w="1092" w:type="dxa"/>
            <w:tcBorders>
              <w:top w:val="single" w:sz="4" w:space="0" w:color="auto"/>
              <w:left w:val="single" w:sz="4" w:space="0" w:color="auto"/>
              <w:bottom w:val="single" w:sz="4" w:space="0" w:color="auto"/>
            </w:tcBorders>
            <w:shd w:val="clear" w:color="auto" w:fill="auto"/>
            <w:vAlign w:val="center"/>
          </w:tcPr>
          <w:p w14:paraId="5A2C8BD3"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60-74 versus</w:t>
            </w:r>
            <w:r w:rsidRPr="00441D1B">
              <w:rPr>
                <w:rFonts w:cs="Calibri"/>
                <w:b/>
                <w:sz w:val="18"/>
                <w:szCs w:val="18"/>
                <w:lang w:val="en-GB"/>
              </w:rPr>
              <w:br/>
              <w:t>18-59 years</w:t>
            </w:r>
          </w:p>
        </w:tc>
        <w:tc>
          <w:tcPr>
            <w:tcW w:w="1091" w:type="dxa"/>
            <w:tcBorders>
              <w:top w:val="single" w:sz="4" w:space="0" w:color="auto"/>
              <w:bottom w:val="single" w:sz="4" w:space="0" w:color="auto"/>
            </w:tcBorders>
            <w:shd w:val="clear" w:color="auto" w:fill="auto"/>
            <w:vAlign w:val="center"/>
          </w:tcPr>
          <w:p w14:paraId="79FCF5B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75 years and older</w:t>
            </w:r>
            <w:r w:rsidRPr="00441D1B">
              <w:rPr>
                <w:rFonts w:cs="Calibri"/>
                <w:b/>
                <w:sz w:val="18"/>
                <w:szCs w:val="18"/>
                <w:lang w:val="en-GB"/>
              </w:rPr>
              <w:br/>
              <w:t xml:space="preserve"> versus 18-59 years</w:t>
            </w:r>
          </w:p>
        </w:tc>
        <w:tc>
          <w:tcPr>
            <w:tcW w:w="0" w:type="auto"/>
            <w:tcBorders>
              <w:top w:val="single" w:sz="4" w:space="0" w:color="auto"/>
              <w:bottom w:val="single" w:sz="4" w:space="0" w:color="auto"/>
              <w:right w:val="single" w:sz="4" w:space="0" w:color="auto"/>
            </w:tcBorders>
            <w:shd w:val="clear" w:color="auto" w:fill="auto"/>
            <w:vAlign w:val="center"/>
          </w:tcPr>
          <w:p w14:paraId="786A718C"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75 years and older </w:t>
            </w:r>
            <w:r w:rsidRPr="00441D1B">
              <w:rPr>
                <w:rFonts w:cs="Calibri"/>
                <w:b/>
                <w:sz w:val="18"/>
                <w:szCs w:val="18"/>
                <w:lang w:val="en-GB"/>
              </w:rPr>
              <w:br/>
              <w:t>versus 60-74 years</w:t>
            </w:r>
          </w:p>
        </w:tc>
        <w:tc>
          <w:tcPr>
            <w:tcW w:w="676" w:type="dxa"/>
            <w:tcBorders>
              <w:top w:val="single" w:sz="4" w:space="0" w:color="auto"/>
              <w:bottom w:val="single" w:sz="4" w:space="0" w:color="auto"/>
              <w:right w:val="single" w:sz="4" w:space="0" w:color="auto"/>
            </w:tcBorders>
            <w:shd w:val="clear" w:color="auto" w:fill="auto"/>
            <w:vAlign w:val="center"/>
          </w:tcPr>
          <w:p w14:paraId="2692F794"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N </w:t>
            </w:r>
            <w:r w:rsidRPr="00441D1B">
              <w:rPr>
                <w:rFonts w:cs="Calibri"/>
                <w:b/>
                <w:sz w:val="18"/>
                <w:szCs w:val="18"/>
                <w:lang w:val="en-GB"/>
              </w:rPr>
              <w:br/>
              <w:t>(%)</w:t>
            </w:r>
          </w:p>
        </w:tc>
        <w:tc>
          <w:tcPr>
            <w:tcW w:w="1091" w:type="dxa"/>
            <w:tcBorders>
              <w:top w:val="single" w:sz="4" w:space="0" w:color="auto"/>
              <w:left w:val="single" w:sz="4" w:space="0" w:color="auto"/>
              <w:bottom w:val="single" w:sz="4" w:space="0" w:color="auto"/>
            </w:tcBorders>
            <w:shd w:val="clear" w:color="auto" w:fill="auto"/>
            <w:vAlign w:val="center"/>
          </w:tcPr>
          <w:p w14:paraId="6F30BC02"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b/>
                <w:sz w:val="18"/>
                <w:szCs w:val="18"/>
                <w:lang w:val="en-GB"/>
              </w:rPr>
              <w:t>60-74 versus</w:t>
            </w:r>
            <w:r w:rsidRPr="00441D1B">
              <w:rPr>
                <w:rFonts w:cs="Calibri"/>
                <w:b/>
                <w:sz w:val="18"/>
                <w:szCs w:val="18"/>
                <w:lang w:val="en-GB"/>
              </w:rPr>
              <w:br/>
              <w:t>18-59 years</w:t>
            </w:r>
          </w:p>
        </w:tc>
        <w:tc>
          <w:tcPr>
            <w:tcW w:w="1091" w:type="dxa"/>
            <w:tcBorders>
              <w:top w:val="single" w:sz="4" w:space="0" w:color="auto"/>
              <w:bottom w:val="single" w:sz="4" w:space="0" w:color="auto"/>
            </w:tcBorders>
            <w:shd w:val="clear" w:color="auto" w:fill="auto"/>
            <w:vAlign w:val="center"/>
          </w:tcPr>
          <w:p w14:paraId="3BA9915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b/>
                <w:sz w:val="18"/>
                <w:szCs w:val="18"/>
                <w:lang w:val="en-GB"/>
              </w:rPr>
              <w:t>75 years and older</w:t>
            </w:r>
            <w:r w:rsidRPr="00441D1B">
              <w:rPr>
                <w:rFonts w:cs="Calibri"/>
                <w:b/>
                <w:sz w:val="18"/>
                <w:szCs w:val="18"/>
                <w:lang w:val="en-GB"/>
              </w:rPr>
              <w:br/>
              <w:t xml:space="preserve"> versus 18-59 years</w:t>
            </w:r>
          </w:p>
        </w:tc>
        <w:tc>
          <w:tcPr>
            <w:tcW w:w="1091" w:type="dxa"/>
            <w:tcBorders>
              <w:top w:val="single" w:sz="4" w:space="0" w:color="auto"/>
              <w:bottom w:val="single" w:sz="4" w:space="0" w:color="auto"/>
              <w:right w:val="single" w:sz="4" w:space="0" w:color="auto"/>
            </w:tcBorders>
            <w:shd w:val="clear" w:color="auto" w:fill="auto"/>
            <w:vAlign w:val="center"/>
          </w:tcPr>
          <w:p w14:paraId="733A6157"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b/>
                <w:sz w:val="18"/>
                <w:szCs w:val="18"/>
                <w:lang w:val="en-GB"/>
              </w:rPr>
              <w:t xml:space="preserve">75 years and older </w:t>
            </w:r>
            <w:r w:rsidRPr="00441D1B">
              <w:rPr>
                <w:rFonts w:cs="Calibri"/>
                <w:b/>
                <w:sz w:val="18"/>
                <w:szCs w:val="18"/>
                <w:lang w:val="en-GB"/>
              </w:rPr>
              <w:br/>
              <w:t>versus 60-74 years</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21B54E87"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N </w:t>
            </w:r>
            <w:r w:rsidRPr="00441D1B">
              <w:rPr>
                <w:rFonts w:cs="Calibri"/>
                <w:b/>
                <w:sz w:val="18"/>
                <w:szCs w:val="18"/>
                <w:lang w:val="en-GB"/>
              </w:rPr>
              <w:br/>
              <w:t>(%)</w:t>
            </w:r>
          </w:p>
        </w:tc>
        <w:tc>
          <w:tcPr>
            <w:tcW w:w="1091" w:type="dxa"/>
            <w:tcBorders>
              <w:top w:val="single" w:sz="4" w:space="0" w:color="auto"/>
              <w:left w:val="single" w:sz="4" w:space="0" w:color="auto"/>
              <w:bottom w:val="single" w:sz="4" w:space="0" w:color="auto"/>
            </w:tcBorders>
            <w:shd w:val="clear" w:color="auto" w:fill="auto"/>
            <w:vAlign w:val="center"/>
          </w:tcPr>
          <w:p w14:paraId="439257B3"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60-74 versus</w:t>
            </w:r>
            <w:r w:rsidRPr="00441D1B">
              <w:rPr>
                <w:rFonts w:cs="Calibri"/>
                <w:b/>
                <w:sz w:val="18"/>
                <w:szCs w:val="18"/>
                <w:lang w:val="en-GB"/>
              </w:rPr>
              <w:br/>
              <w:t>18-59 years</w:t>
            </w:r>
          </w:p>
        </w:tc>
        <w:tc>
          <w:tcPr>
            <w:tcW w:w="1091" w:type="dxa"/>
            <w:tcBorders>
              <w:top w:val="single" w:sz="4" w:space="0" w:color="auto"/>
              <w:bottom w:val="single" w:sz="4" w:space="0" w:color="auto"/>
            </w:tcBorders>
            <w:shd w:val="clear" w:color="auto" w:fill="auto"/>
            <w:vAlign w:val="center"/>
          </w:tcPr>
          <w:p w14:paraId="603B52E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75 years and older</w:t>
            </w:r>
            <w:r w:rsidRPr="00441D1B">
              <w:rPr>
                <w:rFonts w:cs="Calibri"/>
                <w:b/>
                <w:sz w:val="18"/>
                <w:szCs w:val="18"/>
                <w:lang w:val="en-GB"/>
              </w:rPr>
              <w:br/>
              <w:t xml:space="preserve"> versus 18-59 years</w:t>
            </w:r>
          </w:p>
        </w:tc>
        <w:tc>
          <w:tcPr>
            <w:tcW w:w="1091" w:type="dxa"/>
            <w:tcBorders>
              <w:top w:val="single" w:sz="4" w:space="0" w:color="auto"/>
              <w:bottom w:val="single" w:sz="4" w:space="0" w:color="auto"/>
            </w:tcBorders>
            <w:shd w:val="clear" w:color="auto" w:fill="auto"/>
            <w:vAlign w:val="center"/>
          </w:tcPr>
          <w:p w14:paraId="5EE76E4F"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75 years and older </w:t>
            </w:r>
            <w:r w:rsidRPr="00441D1B">
              <w:rPr>
                <w:rFonts w:cs="Calibri"/>
                <w:b/>
                <w:sz w:val="18"/>
                <w:szCs w:val="18"/>
                <w:lang w:val="en-GB"/>
              </w:rPr>
              <w:br/>
              <w:t>versus 60-74 years</w:t>
            </w:r>
          </w:p>
        </w:tc>
      </w:tr>
      <w:tr w:rsidR="00FD34EE" w:rsidRPr="00441D1B" w14:paraId="0A4402AB" w14:textId="77777777" w:rsidTr="00910B05">
        <w:tc>
          <w:tcPr>
            <w:cnfStyle w:val="001000000000" w:firstRow="0" w:lastRow="0" w:firstColumn="1" w:lastColumn="0" w:oddVBand="0" w:evenVBand="0" w:oddHBand="0" w:evenHBand="0" w:firstRowFirstColumn="0" w:firstRowLastColumn="0" w:lastRowFirstColumn="0" w:lastRowLastColumn="0"/>
            <w:tcW w:w="1298" w:type="dxa"/>
            <w:tcBorders>
              <w:top w:val="single" w:sz="4" w:space="0" w:color="auto"/>
              <w:right w:val="single" w:sz="4" w:space="0" w:color="auto"/>
            </w:tcBorders>
            <w:shd w:val="clear" w:color="auto" w:fill="auto"/>
            <w:vAlign w:val="center"/>
          </w:tcPr>
          <w:p w14:paraId="104720BF" w14:textId="77777777" w:rsidR="00FD34EE" w:rsidRPr="00441D1B" w:rsidRDefault="00FD34EE" w:rsidP="005C5DEF">
            <w:pPr>
              <w:spacing w:after="0"/>
              <w:rPr>
                <w:rFonts w:cs="Calibri"/>
                <w:caps w:val="0"/>
                <w:sz w:val="18"/>
                <w:szCs w:val="18"/>
                <w:lang w:val="en-GB"/>
              </w:rPr>
            </w:pPr>
            <w:r w:rsidRPr="00441D1B">
              <w:rPr>
                <w:rFonts w:cs="Calibri"/>
                <w:caps w:val="0"/>
                <w:sz w:val="18"/>
                <w:szCs w:val="18"/>
                <w:lang w:val="en-GB"/>
              </w:rPr>
              <w:t>Cough</w:t>
            </w:r>
          </w:p>
        </w:tc>
        <w:tc>
          <w:tcPr>
            <w:tcW w:w="678" w:type="dxa"/>
            <w:tcBorders>
              <w:top w:val="single" w:sz="4" w:space="0" w:color="auto"/>
              <w:right w:val="single" w:sz="4" w:space="0" w:color="auto"/>
            </w:tcBorders>
            <w:shd w:val="clear" w:color="auto" w:fill="auto"/>
            <w:vAlign w:val="center"/>
          </w:tcPr>
          <w:p w14:paraId="13BFF843"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17 (14.0)</w:t>
            </w:r>
          </w:p>
        </w:tc>
        <w:tc>
          <w:tcPr>
            <w:tcW w:w="1092" w:type="dxa"/>
            <w:tcBorders>
              <w:top w:val="single" w:sz="4" w:space="0" w:color="auto"/>
              <w:left w:val="single" w:sz="4" w:space="0" w:color="auto"/>
            </w:tcBorders>
            <w:shd w:val="clear" w:color="auto" w:fill="auto"/>
            <w:vAlign w:val="center"/>
          </w:tcPr>
          <w:p w14:paraId="46A3D0A5"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 xml:space="preserve">1.72 </w:t>
            </w:r>
            <w:r w:rsidRPr="00441D1B">
              <w:rPr>
                <w:rFonts w:cs="Calibri"/>
                <w:sz w:val="18"/>
                <w:szCs w:val="18"/>
                <w:lang w:val="en-GB"/>
              </w:rPr>
              <w:br/>
              <w:t>[0.66-3.54]</w:t>
            </w:r>
          </w:p>
        </w:tc>
        <w:tc>
          <w:tcPr>
            <w:tcW w:w="1091" w:type="dxa"/>
            <w:tcBorders>
              <w:top w:val="single" w:sz="4" w:space="0" w:color="auto"/>
            </w:tcBorders>
            <w:shd w:val="clear" w:color="auto" w:fill="auto"/>
            <w:vAlign w:val="center"/>
          </w:tcPr>
          <w:p w14:paraId="15882D86"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 xml:space="preserve">1.70 </w:t>
            </w:r>
            <w:r w:rsidRPr="00441D1B">
              <w:rPr>
                <w:rFonts w:cs="Calibri"/>
                <w:sz w:val="18"/>
                <w:szCs w:val="18"/>
                <w:lang w:val="en-GB"/>
              </w:rPr>
              <w:br/>
              <w:t>[0.60-3.18]</w:t>
            </w:r>
          </w:p>
        </w:tc>
        <w:tc>
          <w:tcPr>
            <w:tcW w:w="0" w:type="auto"/>
            <w:tcBorders>
              <w:top w:val="single" w:sz="4" w:space="0" w:color="auto"/>
              <w:right w:val="single" w:sz="4" w:space="0" w:color="auto"/>
            </w:tcBorders>
            <w:shd w:val="clear" w:color="auto" w:fill="auto"/>
            <w:vAlign w:val="center"/>
          </w:tcPr>
          <w:p w14:paraId="24473085"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 xml:space="preserve">0.99 </w:t>
            </w:r>
            <w:r w:rsidRPr="00441D1B">
              <w:rPr>
                <w:rFonts w:cs="Calibri"/>
                <w:sz w:val="18"/>
                <w:szCs w:val="18"/>
                <w:lang w:val="en-GB"/>
              </w:rPr>
              <w:br/>
              <w:t>[0.27-2.06]</w:t>
            </w:r>
          </w:p>
        </w:tc>
        <w:tc>
          <w:tcPr>
            <w:tcW w:w="676" w:type="dxa"/>
            <w:tcBorders>
              <w:top w:val="single" w:sz="4" w:space="0" w:color="auto"/>
              <w:right w:val="single" w:sz="4" w:space="0" w:color="auto"/>
            </w:tcBorders>
            <w:shd w:val="clear" w:color="auto" w:fill="auto"/>
            <w:vAlign w:val="center"/>
          </w:tcPr>
          <w:p w14:paraId="5A1D12B1"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18</w:t>
            </w:r>
            <w:r w:rsidRPr="00441D1B">
              <w:rPr>
                <w:rFonts w:cs="Calibri"/>
                <w:sz w:val="18"/>
                <w:szCs w:val="18"/>
                <w:lang w:val="en-GB"/>
              </w:rPr>
              <w:br/>
              <w:t>(13.1)</w:t>
            </w:r>
          </w:p>
        </w:tc>
        <w:tc>
          <w:tcPr>
            <w:tcW w:w="1091" w:type="dxa"/>
            <w:tcBorders>
              <w:top w:val="single" w:sz="4" w:space="0" w:color="auto"/>
              <w:left w:val="single" w:sz="4" w:space="0" w:color="auto"/>
            </w:tcBorders>
            <w:shd w:val="clear" w:color="auto" w:fill="auto"/>
            <w:vAlign w:val="center"/>
          </w:tcPr>
          <w:p w14:paraId="2862E8DE"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1.41</w:t>
            </w:r>
            <w:r w:rsidRPr="00441D1B">
              <w:rPr>
                <w:rFonts w:cs="Calibri"/>
                <w:sz w:val="18"/>
                <w:szCs w:val="18"/>
                <w:lang w:val="en-GB"/>
              </w:rPr>
              <w:br/>
              <w:t>[0.59-2.52]</w:t>
            </w:r>
          </w:p>
        </w:tc>
        <w:tc>
          <w:tcPr>
            <w:tcW w:w="1091" w:type="dxa"/>
            <w:tcBorders>
              <w:top w:val="single" w:sz="4" w:space="0" w:color="auto"/>
            </w:tcBorders>
            <w:shd w:val="clear" w:color="auto" w:fill="auto"/>
            <w:vAlign w:val="center"/>
          </w:tcPr>
          <w:p w14:paraId="758C5AF2"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2.38</w:t>
            </w:r>
            <w:r w:rsidRPr="00441D1B">
              <w:rPr>
                <w:rFonts w:cs="Calibri"/>
                <w:sz w:val="18"/>
                <w:szCs w:val="18"/>
                <w:lang w:val="en-GB"/>
              </w:rPr>
              <w:br/>
              <w:t>[0.58-11.74]</w:t>
            </w:r>
          </w:p>
        </w:tc>
        <w:tc>
          <w:tcPr>
            <w:tcW w:w="1091" w:type="dxa"/>
            <w:tcBorders>
              <w:top w:val="single" w:sz="4" w:space="0" w:color="auto"/>
              <w:right w:val="single" w:sz="4" w:space="0" w:color="auto"/>
            </w:tcBorders>
            <w:shd w:val="clear" w:color="auto" w:fill="auto"/>
            <w:vAlign w:val="center"/>
          </w:tcPr>
          <w:p w14:paraId="2489EF00"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1.69</w:t>
            </w:r>
            <w:r w:rsidRPr="00441D1B">
              <w:rPr>
                <w:rFonts w:cs="Calibri"/>
                <w:sz w:val="18"/>
                <w:szCs w:val="18"/>
                <w:lang w:val="en-GB"/>
              </w:rPr>
              <w:br/>
              <w:t>[0.39-8.36]</w:t>
            </w:r>
          </w:p>
        </w:tc>
        <w:tc>
          <w:tcPr>
            <w:tcW w:w="676" w:type="dxa"/>
            <w:tcBorders>
              <w:top w:val="single" w:sz="4" w:space="0" w:color="auto"/>
              <w:left w:val="single" w:sz="4" w:space="0" w:color="auto"/>
              <w:right w:val="single" w:sz="4" w:space="0" w:color="auto"/>
            </w:tcBorders>
            <w:shd w:val="clear" w:color="auto" w:fill="auto"/>
          </w:tcPr>
          <w:p w14:paraId="5AA29ADB"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8</w:t>
            </w:r>
            <w:r w:rsidRPr="00441D1B">
              <w:rPr>
                <w:rFonts w:cs="Calibri"/>
                <w:sz w:val="18"/>
                <w:szCs w:val="18"/>
                <w:lang w:val="en-GB"/>
              </w:rPr>
              <w:br/>
              <w:t>(9.3)</w:t>
            </w:r>
          </w:p>
        </w:tc>
        <w:tc>
          <w:tcPr>
            <w:tcW w:w="1091" w:type="dxa"/>
            <w:tcBorders>
              <w:top w:val="single" w:sz="4" w:space="0" w:color="auto"/>
              <w:left w:val="single" w:sz="4" w:space="0" w:color="auto"/>
            </w:tcBorders>
            <w:shd w:val="clear" w:color="auto" w:fill="auto"/>
            <w:vAlign w:val="center"/>
          </w:tcPr>
          <w:p w14:paraId="2B1BA4D1"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nl-BE"/>
              </w:rPr>
              <w:t xml:space="preserve">18-59: </w:t>
            </w:r>
            <w:r w:rsidRPr="00441D1B">
              <w:rPr>
                <w:rFonts w:cs="Calibri"/>
                <w:i/>
                <w:sz w:val="18"/>
                <w:szCs w:val="18"/>
                <w:lang w:val="nl-BE"/>
              </w:rPr>
              <w:br/>
              <w:t>3/68</w:t>
            </w:r>
          </w:p>
        </w:tc>
        <w:tc>
          <w:tcPr>
            <w:tcW w:w="1091" w:type="dxa"/>
            <w:tcBorders>
              <w:top w:val="single" w:sz="4" w:space="0" w:color="auto"/>
            </w:tcBorders>
            <w:shd w:val="clear" w:color="auto" w:fill="auto"/>
            <w:vAlign w:val="center"/>
          </w:tcPr>
          <w:p w14:paraId="5E8EB6EC"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 xml:space="preserve">60-74: </w:t>
            </w:r>
            <w:r w:rsidRPr="00441D1B">
              <w:rPr>
                <w:rFonts w:cs="Calibri"/>
                <w:i/>
                <w:sz w:val="18"/>
                <w:szCs w:val="18"/>
                <w:lang w:val="en-GB"/>
              </w:rPr>
              <w:br/>
              <w:t>5/14</w:t>
            </w:r>
          </w:p>
        </w:tc>
        <w:tc>
          <w:tcPr>
            <w:tcW w:w="1091" w:type="dxa"/>
            <w:tcBorders>
              <w:top w:val="single" w:sz="4" w:space="0" w:color="auto"/>
            </w:tcBorders>
            <w:shd w:val="clear" w:color="auto" w:fill="auto"/>
            <w:vAlign w:val="center"/>
          </w:tcPr>
          <w:p w14:paraId="240C6323"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 xml:space="preserve">75 +: </w:t>
            </w:r>
            <w:r w:rsidRPr="00441D1B">
              <w:rPr>
                <w:rFonts w:cs="Calibri"/>
                <w:i/>
                <w:sz w:val="18"/>
                <w:szCs w:val="18"/>
                <w:lang w:val="en-GB"/>
              </w:rPr>
              <w:br/>
              <w:t xml:space="preserve">0/4 </w:t>
            </w:r>
          </w:p>
        </w:tc>
      </w:tr>
      <w:tr w:rsidR="00FD34EE" w:rsidRPr="00441D1B" w14:paraId="6FBA8C2B" w14:textId="77777777" w:rsidTr="0091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right w:val="single" w:sz="4" w:space="0" w:color="auto"/>
            </w:tcBorders>
            <w:shd w:val="clear" w:color="auto" w:fill="auto"/>
            <w:vAlign w:val="center"/>
          </w:tcPr>
          <w:p w14:paraId="6E272280" w14:textId="77777777" w:rsidR="00FD34EE" w:rsidRPr="00441D1B" w:rsidRDefault="00FD34EE" w:rsidP="005C5DEF">
            <w:pPr>
              <w:spacing w:after="0"/>
              <w:rPr>
                <w:rFonts w:cs="Calibri"/>
                <w:caps w:val="0"/>
                <w:sz w:val="18"/>
                <w:szCs w:val="18"/>
                <w:lang w:val="en-GB"/>
              </w:rPr>
            </w:pPr>
            <w:r w:rsidRPr="00441D1B">
              <w:rPr>
                <w:rFonts w:cs="Calibri"/>
                <w:caps w:val="0"/>
                <w:sz w:val="18"/>
                <w:szCs w:val="18"/>
                <w:lang w:val="en-GB"/>
              </w:rPr>
              <w:t>Shortness of breath</w:t>
            </w:r>
          </w:p>
        </w:tc>
        <w:tc>
          <w:tcPr>
            <w:tcW w:w="678" w:type="dxa"/>
            <w:tcBorders>
              <w:right w:val="single" w:sz="4" w:space="0" w:color="auto"/>
            </w:tcBorders>
            <w:shd w:val="clear" w:color="auto" w:fill="auto"/>
            <w:vAlign w:val="center"/>
          </w:tcPr>
          <w:p w14:paraId="6E63742B"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7 (8.0)</w:t>
            </w:r>
          </w:p>
        </w:tc>
        <w:tc>
          <w:tcPr>
            <w:tcW w:w="1092" w:type="dxa"/>
            <w:tcBorders>
              <w:left w:val="single" w:sz="4" w:space="0" w:color="auto"/>
            </w:tcBorders>
            <w:shd w:val="clear" w:color="auto" w:fill="auto"/>
            <w:vAlign w:val="center"/>
          </w:tcPr>
          <w:p w14:paraId="786C9692"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2.34 </w:t>
            </w:r>
            <w:r w:rsidRPr="00441D1B">
              <w:rPr>
                <w:rFonts w:cs="Calibri"/>
                <w:b/>
                <w:sz w:val="18"/>
                <w:szCs w:val="18"/>
                <w:lang w:val="en-GB"/>
              </w:rPr>
              <w:br/>
              <w:t>[1.04-4.30]</w:t>
            </w:r>
          </w:p>
        </w:tc>
        <w:tc>
          <w:tcPr>
            <w:tcW w:w="1091" w:type="dxa"/>
            <w:shd w:val="clear" w:color="auto" w:fill="auto"/>
            <w:vAlign w:val="center"/>
          </w:tcPr>
          <w:p w14:paraId="78D9501A"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2.90 </w:t>
            </w:r>
            <w:r w:rsidRPr="00441D1B">
              <w:rPr>
                <w:rFonts w:cs="Calibri"/>
                <w:b/>
                <w:sz w:val="18"/>
                <w:szCs w:val="18"/>
                <w:lang w:val="en-GB"/>
              </w:rPr>
              <w:br/>
              <w:t>[1.31-6.44]</w:t>
            </w:r>
          </w:p>
        </w:tc>
        <w:tc>
          <w:tcPr>
            <w:tcW w:w="0" w:type="auto"/>
            <w:tcBorders>
              <w:right w:val="single" w:sz="4" w:space="0" w:color="auto"/>
            </w:tcBorders>
            <w:shd w:val="clear" w:color="auto" w:fill="auto"/>
            <w:vAlign w:val="center"/>
          </w:tcPr>
          <w:p w14:paraId="43E2F96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1.24</w:t>
            </w:r>
            <w:r w:rsidRPr="00441D1B">
              <w:rPr>
                <w:rFonts w:cs="Calibri"/>
                <w:sz w:val="18"/>
                <w:szCs w:val="18"/>
                <w:lang w:val="en-GB"/>
              </w:rPr>
              <w:br/>
              <w:t>[0.45-2.84]</w:t>
            </w:r>
          </w:p>
        </w:tc>
        <w:tc>
          <w:tcPr>
            <w:tcW w:w="676" w:type="dxa"/>
            <w:tcBorders>
              <w:right w:val="single" w:sz="4" w:space="0" w:color="auto"/>
            </w:tcBorders>
            <w:shd w:val="clear" w:color="auto" w:fill="auto"/>
            <w:vAlign w:val="center"/>
          </w:tcPr>
          <w:p w14:paraId="75866C9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8</w:t>
            </w:r>
            <w:r w:rsidRPr="00441D1B">
              <w:rPr>
                <w:rFonts w:cs="Calibri"/>
                <w:sz w:val="18"/>
                <w:szCs w:val="18"/>
                <w:lang w:val="nl-BE"/>
              </w:rPr>
              <w:br/>
              <w:t>(8.4)</w:t>
            </w:r>
          </w:p>
        </w:tc>
        <w:tc>
          <w:tcPr>
            <w:tcW w:w="1091" w:type="dxa"/>
            <w:tcBorders>
              <w:left w:val="single" w:sz="4" w:space="0" w:color="auto"/>
            </w:tcBorders>
            <w:shd w:val="clear" w:color="auto" w:fill="auto"/>
            <w:vAlign w:val="center"/>
          </w:tcPr>
          <w:p w14:paraId="4100889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 xml:space="preserve">1.73 </w:t>
            </w:r>
            <w:r w:rsidRPr="00441D1B">
              <w:rPr>
                <w:rFonts w:cs="Calibri"/>
                <w:sz w:val="18"/>
                <w:szCs w:val="18"/>
                <w:lang w:val="nl-BE"/>
              </w:rPr>
              <w:br/>
              <w:t>[0.95-4.04]</w:t>
            </w:r>
          </w:p>
        </w:tc>
        <w:tc>
          <w:tcPr>
            <w:tcW w:w="1091" w:type="dxa"/>
            <w:shd w:val="clear" w:color="auto" w:fill="auto"/>
            <w:vAlign w:val="center"/>
          </w:tcPr>
          <w:p w14:paraId="4C85CBDF"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4.49</w:t>
            </w:r>
            <w:r w:rsidRPr="00441D1B">
              <w:rPr>
                <w:rFonts w:cs="Calibri"/>
                <w:sz w:val="18"/>
                <w:szCs w:val="18"/>
                <w:lang w:val="nl-BE"/>
              </w:rPr>
              <w:br/>
              <w:t>[0.97-29.68]</w:t>
            </w:r>
          </w:p>
        </w:tc>
        <w:tc>
          <w:tcPr>
            <w:tcW w:w="1091" w:type="dxa"/>
            <w:tcBorders>
              <w:right w:val="single" w:sz="4" w:space="0" w:color="auto"/>
            </w:tcBorders>
            <w:shd w:val="clear" w:color="auto" w:fill="auto"/>
            <w:vAlign w:val="center"/>
          </w:tcPr>
          <w:p w14:paraId="43EB05E0"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2.59</w:t>
            </w:r>
            <w:r w:rsidRPr="00441D1B">
              <w:rPr>
                <w:rFonts w:cs="Calibri"/>
                <w:sz w:val="18"/>
                <w:szCs w:val="18"/>
                <w:lang w:val="nl-BE"/>
              </w:rPr>
              <w:br/>
              <w:t>[0.39-13.34]</w:t>
            </w:r>
          </w:p>
        </w:tc>
        <w:tc>
          <w:tcPr>
            <w:tcW w:w="676" w:type="dxa"/>
            <w:tcBorders>
              <w:left w:val="single" w:sz="4" w:space="0" w:color="auto"/>
              <w:right w:val="single" w:sz="4" w:space="0" w:color="auto"/>
            </w:tcBorders>
            <w:shd w:val="clear" w:color="auto" w:fill="auto"/>
          </w:tcPr>
          <w:p w14:paraId="2A4D306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 xml:space="preserve">0 </w:t>
            </w:r>
            <w:r w:rsidRPr="00441D1B">
              <w:rPr>
                <w:rFonts w:cs="Calibri"/>
                <w:sz w:val="18"/>
                <w:szCs w:val="18"/>
                <w:lang w:val="nl-BE"/>
              </w:rPr>
              <w:br/>
              <w:t>(0.0)</w:t>
            </w:r>
          </w:p>
        </w:tc>
        <w:tc>
          <w:tcPr>
            <w:tcW w:w="1091" w:type="dxa"/>
            <w:tcBorders>
              <w:left w:val="single" w:sz="4" w:space="0" w:color="auto"/>
            </w:tcBorders>
            <w:shd w:val="clear" w:color="auto" w:fill="auto"/>
            <w:vAlign w:val="center"/>
          </w:tcPr>
          <w:p w14:paraId="6E45B01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02811456"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2CF5E0B7"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r>
      <w:tr w:rsidR="00FD34EE" w:rsidRPr="00441D1B" w14:paraId="13B5F823" w14:textId="77777777" w:rsidTr="00910B05">
        <w:trPr>
          <w:trHeight w:val="58"/>
        </w:trPr>
        <w:tc>
          <w:tcPr>
            <w:cnfStyle w:val="001000000000" w:firstRow="0" w:lastRow="0" w:firstColumn="1" w:lastColumn="0" w:oddVBand="0" w:evenVBand="0" w:oddHBand="0" w:evenHBand="0" w:firstRowFirstColumn="0" w:firstRowLastColumn="0" w:lastRowFirstColumn="0" w:lastRowLastColumn="0"/>
            <w:tcW w:w="1298" w:type="dxa"/>
            <w:tcBorders>
              <w:right w:val="single" w:sz="4" w:space="0" w:color="auto"/>
            </w:tcBorders>
            <w:shd w:val="clear" w:color="auto" w:fill="auto"/>
            <w:vAlign w:val="center"/>
          </w:tcPr>
          <w:p w14:paraId="62A04D99" w14:textId="77777777" w:rsidR="00FD34EE" w:rsidRPr="00441D1B" w:rsidRDefault="00FD34EE" w:rsidP="005C5DEF">
            <w:pPr>
              <w:spacing w:after="0"/>
              <w:rPr>
                <w:rFonts w:cs="Calibri"/>
                <w:caps w:val="0"/>
                <w:sz w:val="18"/>
                <w:szCs w:val="18"/>
                <w:lang w:val="nl-BE"/>
              </w:rPr>
            </w:pPr>
            <w:r w:rsidRPr="00441D1B">
              <w:rPr>
                <w:rFonts w:cs="Calibri"/>
                <w:caps w:val="0"/>
                <w:sz w:val="18"/>
                <w:szCs w:val="18"/>
                <w:lang w:val="nl-BE"/>
              </w:rPr>
              <w:t>Wheeze</w:t>
            </w:r>
          </w:p>
        </w:tc>
        <w:tc>
          <w:tcPr>
            <w:tcW w:w="678" w:type="dxa"/>
            <w:tcBorders>
              <w:right w:val="single" w:sz="4" w:space="0" w:color="auto"/>
            </w:tcBorders>
            <w:shd w:val="clear" w:color="auto" w:fill="auto"/>
            <w:vAlign w:val="center"/>
          </w:tcPr>
          <w:p w14:paraId="3ACDC9B6"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4 (6.3)</w:t>
            </w:r>
          </w:p>
        </w:tc>
        <w:tc>
          <w:tcPr>
            <w:tcW w:w="1092" w:type="dxa"/>
            <w:tcBorders>
              <w:left w:val="single" w:sz="4" w:space="0" w:color="auto"/>
            </w:tcBorders>
            <w:shd w:val="clear" w:color="auto" w:fill="auto"/>
            <w:vAlign w:val="center"/>
          </w:tcPr>
          <w:p w14:paraId="03C030E0"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1.79 </w:t>
            </w:r>
            <w:r w:rsidRPr="00441D1B">
              <w:rPr>
                <w:rFonts w:cs="Calibri"/>
                <w:sz w:val="18"/>
                <w:szCs w:val="18"/>
                <w:lang w:val="nl-BE"/>
              </w:rPr>
              <w:br/>
              <w:t>[0.76-3.76]</w:t>
            </w:r>
          </w:p>
        </w:tc>
        <w:tc>
          <w:tcPr>
            <w:tcW w:w="1091" w:type="dxa"/>
            <w:shd w:val="clear" w:color="auto" w:fill="auto"/>
            <w:vAlign w:val="center"/>
          </w:tcPr>
          <w:p w14:paraId="7F1FA81C"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1.80 </w:t>
            </w:r>
            <w:r w:rsidRPr="00441D1B">
              <w:rPr>
                <w:rFonts w:cs="Calibri"/>
                <w:sz w:val="18"/>
                <w:szCs w:val="18"/>
                <w:lang w:val="nl-BE"/>
              </w:rPr>
              <w:br/>
              <w:t>[0.89-4.16]</w:t>
            </w:r>
          </w:p>
        </w:tc>
        <w:tc>
          <w:tcPr>
            <w:tcW w:w="0" w:type="auto"/>
            <w:tcBorders>
              <w:right w:val="single" w:sz="4" w:space="0" w:color="auto"/>
            </w:tcBorders>
            <w:shd w:val="clear" w:color="auto" w:fill="auto"/>
            <w:vAlign w:val="center"/>
          </w:tcPr>
          <w:p w14:paraId="7C8136D9"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1.00 </w:t>
            </w:r>
            <w:r w:rsidRPr="00441D1B">
              <w:rPr>
                <w:rFonts w:cs="Calibri"/>
                <w:sz w:val="18"/>
                <w:szCs w:val="18"/>
                <w:lang w:val="nl-BE"/>
              </w:rPr>
              <w:br/>
              <w:t>[0.35-3.24]</w:t>
            </w:r>
          </w:p>
        </w:tc>
        <w:tc>
          <w:tcPr>
            <w:tcW w:w="676" w:type="dxa"/>
            <w:tcBorders>
              <w:right w:val="single" w:sz="4" w:space="0" w:color="auto"/>
            </w:tcBorders>
            <w:shd w:val="clear" w:color="auto" w:fill="auto"/>
            <w:vAlign w:val="center"/>
          </w:tcPr>
          <w:p w14:paraId="04222CA1"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3</w:t>
            </w:r>
            <w:r w:rsidRPr="00441D1B">
              <w:rPr>
                <w:rFonts w:cs="Calibri"/>
                <w:sz w:val="18"/>
                <w:szCs w:val="18"/>
                <w:lang w:val="nl-BE"/>
              </w:rPr>
              <w:br/>
              <w:t>(4.1)</w:t>
            </w:r>
          </w:p>
        </w:tc>
        <w:tc>
          <w:tcPr>
            <w:tcW w:w="1091" w:type="dxa"/>
            <w:tcBorders>
              <w:left w:val="single" w:sz="4" w:space="0" w:color="auto"/>
            </w:tcBorders>
            <w:shd w:val="clear" w:color="auto" w:fill="auto"/>
            <w:vAlign w:val="center"/>
          </w:tcPr>
          <w:p w14:paraId="2E16D177"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nl-BE"/>
              </w:rPr>
              <w:t xml:space="preserve">18-59: </w:t>
            </w:r>
            <w:r w:rsidRPr="00441D1B">
              <w:rPr>
                <w:rFonts w:cs="Calibri"/>
                <w:i/>
                <w:sz w:val="18"/>
                <w:szCs w:val="18"/>
                <w:lang w:val="nl-BE"/>
              </w:rPr>
              <w:br/>
              <w:t>2/58</w:t>
            </w:r>
          </w:p>
        </w:tc>
        <w:tc>
          <w:tcPr>
            <w:tcW w:w="1091" w:type="dxa"/>
            <w:shd w:val="clear" w:color="auto" w:fill="auto"/>
            <w:vAlign w:val="center"/>
          </w:tcPr>
          <w:p w14:paraId="3C6E85D1"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en-GB"/>
              </w:rPr>
              <w:t xml:space="preserve">60-74: </w:t>
            </w:r>
            <w:r w:rsidRPr="00441D1B">
              <w:rPr>
                <w:rFonts w:cs="Calibri"/>
                <w:i/>
                <w:sz w:val="18"/>
                <w:szCs w:val="18"/>
                <w:lang w:val="en-GB"/>
              </w:rPr>
              <w:br/>
              <w:t xml:space="preserve">1/13 </w:t>
            </w:r>
          </w:p>
        </w:tc>
        <w:tc>
          <w:tcPr>
            <w:tcW w:w="1091" w:type="dxa"/>
            <w:tcBorders>
              <w:right w:val="single" w:sz="4" w:space="0" w:color="auto"/>
            </w:tcBorders>
            <w:shd w:val="clear" w:color="auto" w:fill="auto"/>
            <w:vAlign w:val="center"/>
          </w:tcPr>
          <w:p w14:paraId="7710769E"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en-GB"/>
              </w:rPr>
              <w:t>75 +:</w:t>
            </w:r>
            <w:r w:rsidRPr="00441D1B">
              <w:rPr>
                <w:rFonts w:cs="Calibri"/>
                <w:i/>
                <w:sz w:val="18"/>
                <w:szCs w:val="18"/>
                <w:lang w:val="en-GB"/>
              </w:rPr>
              <w:br/>
              <w:t>0/2</w:t>
            </w:r>
          </w:p>
        </w:tc>
        <w:tc>
          <w:tcPr>
            <w:tcW w:w="676" w:type="dxa"/>
            <w:tcBorders>
              <w:left w:val="single" w:sz="4" w:space="0" w:color="auto"/>
              <w:right w:val="single" w:sz="4" w:space="0" w:color="auto"/>
            </w:tcBorders>
            <w:shd w:val="clear" w:color="auto" w:fill="auto"/>
          </w:tcPr>
          <w:p w14:paraId="4DA3877B"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1</w:t>
            </w:r>
            <w:r w:rsidRPr="00441D1B">
              <w:rPr>
                <w:rFonts w:cs="Calibri"/>
                <w:sz w:val="18"/>
                <w:szCs w:val="18"/>
                <w:lang w:val="nl-BE"/>
              </w:rPr>
              <w:br/>
              <w:t>(2.7)</w:t>
            </w:r>
          </w:p>
        </w:tc>
        <w:tc>
          <w:tcPr>
            <w:tcW w:w="1091" w:type="dxa"/>
            <w:tcBorders>
              <w:left w:val="single" w:sz="4" w:space="0" w:color="auto"/>
            </w:tcBorders>
            <w:shd w:val="clear" w:color="auto" w:fill="auto"/>
            <w:vAlign w:val="center"/>
          </w:tcPr>
          <w:p w14:paraId="15914BBC"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nl-BE"/>
              </w:rPr>
              <w:t xml:space="preserve">18-59: </w:t>
            </w:r>
            <w:r w:rsidRPr="00441D1B">
              <w:rPr>
                <w:rFonts w:cs="Calibri"/>
                <w:i/>
                <w:sz w:val="18"/>
                <w:szCs w:val="18"/>
                <w:lang w:val="nl-BE"/>
              </w:rPr>
              <w:br/>
              <w:t>1/29</w:t>
            </w:r>
          </w:p>
        </w:tc>
        <w:tc>
          <w:tcPr>
            <w:tcW w:w="1091" w:type="dxa"/>
            <w:shd w:val="clear" w:color="auto" w:fill="auto"/>
            <w:vAlign w:val="center"/>
          </w:tcPr>
          <w:p w14:paraId="02131ACE"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en-GB"/>
              </w:rPr>
              <w:t xml:space="preserve">60-74: </w:t>
            </w:r>
            <w:r w:rsidRPr="00441D1B">
              <w:rPr>
                <w:rFonts w:cs="Calibri"/>
                <w:i/>
                <w:sz w:val="18"/>
                <w:szCs w:val="18"/>
                <w:lang w:val="en-GB"/>
              </w:rPr>
              <w:br/>
              <w:t>0/6</w:t>
            </w:r>
          </w:p>
        </w:tc>
        <w:tc>
          <w:tcPr>
            <w:tcW w:w="1091" w:type="dxa"/>
            <w:shd w:val="clear" w:color="auto" w:fill="auto"/>
            <w:vAlign w:val="center"/>
          </w:tcPr>
          <w:p w14:paraId="31F80A75"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en-GB"/>
              </w:rPr>
              <w:t>75 +:</w:t>
            </w:r>
            <w:r w:rsidRPr="00441D1B">
              <w:rPr>
                <w:rFonts w:cs="Calibri"/>
                <w:i/>
                <w:sz w:val="18"/>
                <w:szCs w:val="18"/>
                <w:lang w:val="en-GB"/>
              </w:rPr>
              <w:br/>
              <w:t xml:space="preserve">0/2 </w:t>
            </w:r>
          </w:p>
        </w:tc>
      </w:tr>
      <w:tr w:rsidR="00FD34EE" w:rsidRPr="00441D1B" w14:paraId="2096B6AF" w14:textId="77777777" w:rsidTr="0091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46FD01B9" w14:textId="77777777" w:rsidR="00FD34EE" w:rsidRPr="00441D1B" w:rsidRDefault="00FD34EE" w:rsidP="005C5DEF">
            <w:pPr>
              <w:spacing w:after="0"/>
              <w:rPr>
                <w:rFonts w:cs="Calibri"/>
                <w:caps w:val="0"/>
                <w:sz w:val="18"/>
                <w:szCs w:val="18"/>
                <w:lang w:val="nl-BE"/>
              </w:rPr>
            </w:pPr>
            <w:r w:rsidRPr="00441D1B">
              <w:rPr>
                <w:rFonts w:cs="Calibri"/>
                <w:caps w:val="0"/>
                <w:sz w:val="18"/>
                <w:szCs w:val="18"/>
                <w:lang w:val="nl-BE"/>
              </w:rPr>
              <w:t>Runny nose</w:t>
            </w:r>
          </w:p>
        </w:tc>
        <w:tc>
          <w:tcPr>
            <w:tcW w:w="678" w:type="dxa"/>
            <w:tcBorders>
              <w:right w:val="single" w:sz="4" w:space="0" w:color="auto"/>
            </w:tcBorders>
            <w:shd w:val="clear" w:color="auto" w:fill="auto"/>
            <w:vAlign w:val="center"/>
          </w:tcPr>
          <w:p w14:paraId="7337FA1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12 (11.3)</w:t>
            </w:r>
          </w:p>
        </w:tc>
        <w:tc>
          <w:tcPr>
            <w:tcW w:w="1092" w:type="dxa"/>
            <w:tcBorders>
              <w:left w:val="single" w:sz="4" w:space="0" w:color="auto"/>
            </w:tcBorders>
            <w:shd w:val="clear" w:color="auto" w:fill="auto"/>
            <w:vAlign w:val="center"/>
          </w:tcPr>
          <w:p w14:paraId="4581FCB4"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nl-BE"/>
              </w:rPr>
              <w:t xml:space="preserve">2.44 </w:t>
            </w:r>
            <w:r w:rsidRPr="00441D1B">
              <w:rPr>
                <w:rFonts w:cs="Calibri"/>
                <w:b/>
                <w:sz w:val="18"/>
                <w:szCs w:val="18"/>
                <w:lang w:val="nl-BE"/>
              </w:rPr>
              <w:br/>
            </w:r>
            <w:r w:rsidRPr="00441D1B">
              <w:rPr>
                <w:rFonts w:cs="Calibri"/>
                <w:b/>
                <w:sz w:val="18"/>
                <w:szCs w:val="18"/>
                <w:lang w:val="en-GB"/>
              </w:rPr>
              <w:t>[1.09-4.49]</w:t>
            </w:r>
          </w:p>
        </w:tc>
        <w:tc>
          <w:tcPr>
            <w:tcW w:w="1091" w:type="dxa"/>
            <w:shd w:val="clear" w:color="auto" w:fill="auto"/>
            <w:vAlign w:val="center"/>
          </w:tcPr>
          <w:p w14:paraId="26C84FA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 xml:space="preserve">1.84 </w:t>
            </w:r>
            <w:r w:rsidRPr="00441D1B">
              <w:rPr>
                <w:rFonts w:cs="Calibri"/>
                <w:sz w:val="18"/>
                <w:szCs w:val="18"/>
                <w:lang w:val="en-GB"/>
              </w:rPr>
              <w:br/>
              <w:t>[0.63-4.74]</w:t>
            </w:r>
          </w:p>
        </w:tc>
        <w:tc>
          <w:tcPr>
            <w:tcW w:w="0" w:type="auto"/>
            <w:tcBorders>
              <w:right w:val="single" w:sz="4" w:space="0" w:color="auto"/>
            </w:tcBorders>
            <w:shd w:val="clear" w:color="auto" w:fill="auto"/>
            <w:vAlign w:val="center"/>
          </w:tcPr>
          <w:p w14:paraId="6DA4470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 xml:space="preserve">0.76 </w:t>
            </w:r>
            <w:r w:rsidRPr="00441D1B">
              <w:rPr>
                <w:rFonts w:cs="Calibri"/>
                <w:sz w:val="18"/>
                <w:szCs w:val="18"/>
                <w:lang w:val="nl-BE"/>
              </w:rPr>
              <w:br/>
              <w:t>[0.34-2.09]</w:t>
            </w:r>
          </w:p>
        </w:tc>
        <w:tc>
          <w:tcPr>
            <w:tcW w:w="676" w:type="dxa"/>
            <w:tcBorders>
              <w:right w:val="single" w:sz="4" w:space="0" w:color="auto"/>
            </w:tcBorders>
            <w:shd w:val="clear" w:color="auto" w:fill="auto"/>
            <w:vAlign w:val="center"/>
          </w:tcPr>
          <w:p w14:paraId="5244D7F0"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3</w:t>
            </w:r>
            <w:r w:rsidRPr="00441D1B">
              <w:rPr>
                <w:rFonts w:cs="Calibri"/>
                <w:sz w:val="18"/>
                <w:szCs w:val="18"/>
                <w:lang w:val="nl-BE"/>
              </w:rPr>
              <w:br/>
              <w:t>(2.6)</w:t>
            </w:r>
          </w:p>
        </w:tc>
        <w:tc>
          <w:tcPr>
            <w:tcW w:w="1091" w:type="dxa"/>
            <w:tcBorders>
              <w:left w:val="single" w:sz="4" w:space="0" w:color="auto"/>
            </w:tcBorders>
            <w:shd w:val="clear" w:color="auto" w:fill="auto"/>
            <w:vAlign w:val="center"/>
          </w:tcPr>
          <w:p w14:paraId="361D05A7"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 xml:space="preserve">18-59: </w:t>
            </w:r>
            <w:r w:rsidRPr="00441D1B">
              <w:rPr>
                <w:rFonts w:cs="Calibri"/>
                <w:i/>
                <w:sz w:val="18"/>
                <w:szCs w:val="18"/>
                <w:lang w:val="nl-BE"/>
              </w:rPr>
              <w:br/>
              <w:t>3/94</w:t>
            </w:r>
          </w:p>
        </w:tc>
        <w:tc>
          <w:tcPr>
            <w:tcW w:w="1091" w:type="dxa"/>
            <w:shd w:val="clear" w:color="auto" w:fill="auto"/>
            <w:vAlign w:val="center"/>
          </w:tcPr>
          <w:p w14:paraId="126EADF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en-GB"/>
              </w:rPr>
              <w:t>60-74:</w:t>
            </w:r>
            <w:r w:rsidRPr="00441D1B">
              <w:rPr>
                <w:rFonts w:cs="Calibri"/>
                <w:i/>
                <w:sz w:val="18"/>
                <w:szCs w:val="18"/>
                <w:lang w:val="en-GB"/>
              </w:rPr>
              <w:br/>
              <w:t xml:space="preserve">0/20 </w:t>
            </w:r>
          </w:p>
        </w:tc>
        <w:tc>
          <w:tcPr>
            <w:tcW w:w="1091" w:type="dxa"/>
            <w:tcBorders>
              <w:right w:val="single" w:sz="4" w:space="0" w:color="auto"/>
            </w:tcBorders>
            <w:shd w:val="clear" w:color="auto" w:fill="auto"/>
            <w:vAlign w:val="center"/>
          </w:tcPr>
          <w:p w14:paraId="3B157FFA"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75 +:</w:t>
            </w:r>
            <w:r w:rsidRPr="00441D1B">
              <w:rPr>
                <w:rFonts w:cs="Calibri"/>
                <w:i/>
                <w:sz w:val="18"/>
                <w:szCs w:val="18"/>
                <w:lang w:val="nl-BE"/>
              </w:rPr>
              <w:br/>
              <w:t xml:space="preserve">0/3 </w:t>
            </w:r>
          </w:p>
        </w:tc>
        <w:tc>
          <w:tcPr>
            <w:tcW w:w="676" w:type="dxa"/>
            <w:tcBorders>
              <w:left w:val="single" w:sz="4" w:space="0" w:color="auto"/>
              <w:right w:val="single" w:sz="4" w:space="0" w:color="auto"/>
            </w:tcBorders>
            <w:shd w:val="clear" w:color="auto" w:fill="auto"/>
          </w:tcPr>
          <w:p w14:paraId="42DB751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4</w:t>
            </w:r>
            <w:r w:rsidRPr="00441D1B">
              <w:rPr>
                <w:rFonts w:cs="Calibri"/>
                <w:sz w:val="18"/>
                <w:szCs w:val="18"/>
                <w:lang w:val="nl-BE"/>
              </w:rPr>
              <w:br/>
              <w:t>(5.4)</w:t>
            </w:r>
          </w:p>
        </w:tc>
        <w:tc>
          <w:tcPr>
            <w:tcW w:w="1091" w:type="dxa"/>
            <w:tcBorders>
              <w:left w:val="single" w:sz="4" w:space="0" w:color="auto"/>
            </w:tcBorders>
            <w:shd w:val="clear" w:color="auto" w:fill="auto"/>
            <w:vAlign w:val="center"/>
          </w:tcPr>
          <w:p w14:paraId="7827899B"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 xml:space="preserve">18-59: </w:t>
            </w:r>
            <w:r w:rsidRPr="00441D1B">
              <w:rPr>
                <w:rFonts w:cs="Calibri"/>
                <w:i/>
                <w:sz w:val="18"/>
                <w:szCs w:val="18"/>
                <w:lang w:val="nl-BE"/>
              </w:rPr>
              <w:br/>
              <w:t>3/61</w:t>
            </w:r>
          </w:p>
        </w:tc>
        <w:tc>
          <w:tcPr>
            <w:tcW w:w="1091" w:type="dxa"/>
            <w:shd w:val="clear" w:color="auto" w:fill="auto"/>
            <w:vAlign w:val="center"/>
          </w:tcPr>
          <w:p w14:paraId="1FD6FD7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60-74:</w:t>
            </w:r>
            <w:r w:rsidRPr="00441D1B">
              <w:rPr>
                <w:rFonts w:cs="Calibri"/>
                <w:i/>
                <w:sz w:val="18"/>
                <w:szCs w:val="18"/>
                <w:lang w:val="nl-BE"/>
              </w:rPr>
              <w:br/>
              <w:t xml:space="preserve">1/10 </w:t>
            </w:r>
          </w:p>
        </w:tc>
        <w:tc>
          <w:tcPr>
            <w:tcW w:w="1091" w:type="dxa"/>
            <w:shd w:val="clear" w:color="auto" w:fill="auto"/>
            <w:vAlign w:val="center"/>
          </w:tcPr>
          <w:p w14:paraId="15C779C2"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75 +:</w:t>
            </w:r>
            <w:r w:rsidRPr="00441D1B">
              <w:rPr>
                <w:rFonts w:cs="Calibri"/>
                <w:i/>
                <w:sz w:val="18"/>
                <w:szCs w:val="18"/>
                <w:lang w:val="nl-BE"/>
              </w:rPr>
              <w:br/>
              <w:t xml:space="preserve">0/3 </w:t>
            </w:r>
          </w:p>
        </w:tc>
      </w:tr>
      <w:tr w:rsidR="00FD34EE" w:rsidRPr="00441D1B" w14:paraId="5C6704AB" w14:textId="77777777" w:rsidTr="00910B05">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50EB1BAF" w14:textId="77777777" w:rsidR="00FD34EE" w:rsidRPr="00441D1B" w:rsidRDefault="00FD34EE" w:rsidP="005C5DEF">
            <w:pPr>
              <w:spacing w:after="0"/>
              <w:rPr>
                <w:rFonts w:cs="Calibri"/>
                <w:caps w:val="0"/>
                <w:sz w:val="18"/>
                <w:szCs w:val="18"/>
                <w:lang w:val="nl-BE"/>
              </w:rPr>
            </w:pPr>
            <w:r w:rsidRPr="00441D1B">
              <w:rPr>
                <w:rFonts w:cs="Calibri"/>
                <w:caps w:val="0"/>
                <w:sz w:val="18"/>
                <w:szCs w:val="18"/>
                <w:lang w:val="nl-BE"/>
              </w:rPr>
              <w:t>Chest pain</w:t>
            </w:r>
          </w:p>
        </w:tc>
        <w:tc>
          <w:tcPr>
            <w:tcW w:w="678" w:type="dxa"/>
            <w:tcBorders>
              <w:right w:val="single" w:sz="4" w:space="0" w:color="auto"/>
            </w:tcBorders>
            <w:shd w:val="clear" w:color="auto" w:fill="auto"/>
            <w:vAlign w:val="center"/>
          </w:tcPr>
          <w:p w14:paraId="6691E6AF"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3 (5.2)</w:t>
            </w:r>
          </w:p>
        </w:tc>
        <w:tc>
          <w:tcPr>
            <w:tcW w:w="1092" w:type="dxa"/>
            <w:tcBorders>
              <w:left w:val="single" w:sz="4" w:space="0" w:color="auto"/>
            </w:tcBorders>
            <w:shd w:val="clear" w:color="auto" w:fill="auto"/>
            <w:vAlign w:val="center"/>
          </w:tcPr>
          <w:p w14:paraId="064BA6D0"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1.31 </w:t>
            </w:r>
            <w:r w:rsidRPr="00441D1B">
              <w:rPr>
                <w:rFonts w:cs="Calibri"/>
                <w:sz w:val="18"/>
                <w:szCs w:val="18"/>
                <w:lang w:val="nl-BE"/>
              </w:rPr>
              <w:br/>
              <w:t>[0.66-2.76]</w:t>
            </w:r>
          </w:p>
        </w:tc>
        <w:tc>
          <w:tcPr>
            <w:tcW w:w="1091" w:type="dxa"/>
            <w:shd w:val="clear" w:color="auto" w:fill="auto"/>
            <w:vAlign w:val="center"/>
          </w:tcPr>
          <w:p w14:paraId="1F4B27DF"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1.73 </w:t>
            </w:r>
            <w:r w:rsidRPr="00441D1B">
              <w:rPr>
                <w:rFonts w:cs="Calibri"/>
                <w:sz w:val="18"/>
                <w:szCs w:val="18"/>
                <w:lang w:val="nl-BE"/>
              </w:rPr>
              <w:br/>
              <w:t>[0.76-3.89]</w:t>
            </w:r>
          </w:p>
        </w:tc>
        <w:tc>
          <w:tcPr>
            <w:tcW w:w="0" w:type="auto"/>
            <w:tcBorders>
              <w:right w:val="single" w:sz="4" w:space="0" w:color="auto"/>
            </w:tcBorders>
            <w:shd w:val="clear" w:color="auto" w:fill="auto"/>
            <w:vAlign w:val="center"/>
          </w:tcPr>
          <w:p w14:paraId="2145533B"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1.31 </w:t>
            </w:r>
            <w:r w:rsidRPr="00441D1B">
              <w:rPr>
                <w:rFonts w:cs="Calibri"/>
                <w:sz w:val="18"/>
                <w:szCs w:val="18"/>
                <w:lang w:val="nl-BE"/>
              </w:rPr>
              <w:br/>
              <w:t>[0.41-3.28]</w:t>
            </w:r>
          </w:p>
        </w:tc>
        <w:tc>
          <w:tcPr>
            <w:tcW w:w="676" w:type="dxa"/>
            <w:tcBorders>
              <w:right w:val="single" w:sz="4" w:space="0" w:color="auto"/>
            </w:tcBorders>
            <w:shd w:val="clear" w:color="auto" w:fill="auto"/>
            <w:vAlign w:val="center"/>
          </w:tcPr>
          <w:p w14:paraId="7B96C144"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0 (0.0)</w:t>
            </w:r>
          </w:p>
        </w:tc>
        <w:tc>
          <w:tcPr>
            <w:tcW w:w="1091" w:type="dxa"/>
            <w:tcBorders>
              <w:left w:val="single" w:sz="4" w:space="0" w:color="auto"/>
            </w:tcBorders>
            <w:shd w:val="clear" w:color="auto" w:fill="auto"/>
            <w:vAlign w:val="center"/>
          </w:tcPr>
          <w:p w14:paraId="61814ECE"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38B90D7A"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tcBorders>
              <w:right w:val="single" w:sz="4" w:space="0" w:color="auto"/>
            </w:tcBorders>
            <w:shd w:val="clear" w:color="auto" w:fill="auto"/>
            <w:vAlign w:val="center"/>
          </w:tcPr>
          <w:p w14:paraId="2E46D697"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676" w:type="dxa"/>
            <w:tcBorders>
              <w:left w:val="single" w:sz="4" w:space="0" w:color="auto"/>
              <w:right w:val="single" w:sz="4" w:space="0" w:color="auto"/>
            </w:tcBorders>
            <w:shd w:val="clear" w:color="auto" w:fill="auto"/>
            <w:vAlign w:val="center"/>
          </w:tcPr>
          <w:p w14:paraId="6EA32D74"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0 (0.0)</w:t>
            </w:r>
          </w:p>
        </w:tc>
        <w:tc>
          <w:tcPr>
            <w:tcW w:w="1091" w:type="dxa"/>
            <w:tcBorders>
              <w:left w:val="single" w:sz="4" w:space="0" w:color="auto"/>
            </w:tcBorders>
            <w:shd w:val="clear" w:color="auto" w:fill="auto"/>
            <w:vAlign w:val="center"/>
          </w:tcPr>
          <w:p w14:paraId="0513A9BD"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5E636F08"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27A768AA"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NA</w:t>
            </w:r>
          </w:p>
        </w:tc>
      </w:tr>
      <w:tr w:rsidR="00FD34EE" w:rsidRPr="00441D1B" w14:paraId="784DABA0" w14:textId="77777777" w:rsidTr="0091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772AF5D3" w14:textId="77777777" w:rsidR="00FD34EE" w:rsidRPr="00441D1B" w:rsidRDefault="00FD34EE" w:rsidP="005C5DEF">
            <w:pPr>
              <w:spacing w:after="0"/>
              <w:rPr>
                <w:rFonts w:cs="Calibri"/>
                <w:caps w:val="0"/>
                <w:sz w:val="18"/>
                <w:szCs w:val="18"/>
                <w:lang w:val="nl-BE"/>
              </w:rPr>
            </w:pPr>
            <w:r w:rsidRPr="00441D1B">
              <w:rPr>
                <w:rFonts w:cs="Calibri"/>
                <w:caps w:val="0"/>
                <w:sz w:val="18"/>
                <w:szCs w:val="18"/>
                <w:lang w:val="nl-BE"/>
              </w:rPr>
              <w:t>Fever</w:t>
            </w:r>
          </w:p>
        </w:tc>
        <w:tc>
          <w:tcPr>
            <w:tcW w:w="678" w:type="dxa"/>
            <w:tcBorders>
              <w:right w:val="single" w:sz="4" w:space="0" w:color="auto"/>
            </w:tcBorders>
            <w:shd w:val="clear" w:color="auto" w:fill="auto"/>
            <w:vAlign w:val="center"/>
          </w:tcPr>
          <w:p w14:paraId="46259A76"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0 (0.0)</w:t>
            </w:r>
          </w:p>
        </w:tc>
        <w:tc>
          <w:tcPr>
            <w:tcW w:w="1092" w:type="dxa"/>
            <w:tcBorders>
              <w:left w:val="single" w:sz="4" w:space="0" w:color="auto"/>
            </w:tcBorders>
            <w:shd w:val="clear" w:color="auto" w:fill="auto"/>
            <w:vAlign w:val="center"/>
          </w:tcPr>
          <w:p w14:paraId="2BA36F9E"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37FDD69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0" w:type="auto"/>
            <w:tcBorders>
              <w:right w:val="single" w:sz="4" w:space="0" w:color="auto"/>
            </w:tcBorders>
            <w:shd w:val="clear" w:color="auto" w:fill="auto"/>
            <w:vAlign w:val="center"/>
          </w:tcPr>
          <w:p w14:paraId="201D4E2C"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676" w:type="dxa"/>
            <w:tcBorders>
              <w:right w:val="single" w:sz="4" w:space="0" w:color="auto"/>
            </w:tcBorders>
            <w:shd w:val="clear" w:color="auto" w:fill="auto"/>
            <w:vAlign w:val="center"/>
          </w:tcPr>
          <w:p w14:paraId="1F4CAB2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0 (0.0)</w:t>
            </w:r>
          </w:p>
        </w:tc>
        <w:tc>
          <w:tcPr>
            <w:tcW w:w="1091" w:type="dxa"/>
            <w:tcBorders>
              <w:left w:val="single" w:sz="4" w:space="0" w:color="auto"/>
            </w:tcBorders>
            <w:shd w:val="clear" w:color="auto" w:fill="auto"/>
            <w:vAlign w:val="center"/>
          </w:tcPr>
          <w:p w14:paraId="5B4DCCDB"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52B8CC6B"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tcBorders>
              <w:right w:val="single" w:sz="4" w:space="0" w:color="auto"/>
            </w:tcBorders>
            <w:shd w:val="clear" w:color="auto" w:fill="auto"/>
            <w:vAlign w:val="center"/>
          </w:tcPr>
          <w:p w14:paraId="1686FD1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676" w:type="dxa"/>
            <w:tcBorders>
              <w:left w:val="single" w:sz="4" w:space="0" w:color="auto"/>
              <w:right w:val="single" w:sz="4" w:space="0" w:color="auto"/>
            </w:tcBorders>
            <w:shd w:val="clear" w:color="auto" w:fill="auto"/>
            <w:vAlign w:val="center"/>
          </w:tcPr>
          <w:p w14:paraId="53A720A2"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0 (0.0)</w:t>
            </w:r>
          </w:p>
        </w:tc>
        <w:tc>
          <w:tcPr>
            <w:tcW w:w="1091" w:type="dxa"/>
            <w:tcBorders>
              <w:left w:val="single" w:sz="4" w:space="0" w:color="auto"/>
            </w:tcBorders>
            <w:shd w:val="clear" w:color="auto" w:fill="auto"/>
            <w:vAlign w:val="center"/>
          </w:tcPr>
          <w:p w14:paraId="4D9BCE2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6D4180B1"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shd w:val="clear" w:color="auto" w:fill="auto"/>
            <w:vAlign w:val="center"/>
          </w:tcPr>
          <w:p w14:paraId="04F2F92B"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r>
      <w:tr w:rsidR="00FD34EE" w:rsidRPr="00441D1B" w14:paraId="27733D3C" w14:textId="77777777" w:rsidTr="00910B05">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56BE247E" w14:textId="77777777" w:rsidR="00FD34EE" w:rsidRPr="00441D1B" w:rsidRDefault="00FD34EE" w:rsidP="005C5DEF">
            <w:pPr>
              <w:spacing w:after="0"/>
              <w:rPr>
                <w:rFonts w:cs="Calibri"/>
                <w:caps w:val="0"/>
                <w:sz w:val="18"/>
                <w:szCs w:val="18"/>
                <w:lang w:val="nl-BE"/>
              </w:rPr>
            </w:pPr>
            <w:r w:rsidRPr="00441D1B">
              <w:rPr>
                <w:rFonts w:cs="Calibri"/>
                <w:caps w:val="0"/>
                <w:sz w:val="18"/>
                <w:szCs w:val="18"/>
                <w:lang w:val="nl-BE"/>
              </w:rPr>
              <w:t>Disturbed sleep</w:t>
            </w:r>
          </w:p>
        </w:tc>
        <w:tc>
          <w:tcPr>
            <w:tcW w:w="678" w:type="dxa"/>
            <w:tcBorders>
              <w:right w:val="single" w:sz="4" w:space="0" w:color="auto"/>
            </w:tcBorders>
            <w:shd w:val="clear" w:color="auto" w:fill="auto"/>
            <w:vAlign w:val="center"/>
          </w:tcPr>
          <w:p w14:paraId="578AC9EB"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6 (6.9)</w:t>
            </w:r>
          </w:p>
        </w:tc>
        <w:tc>
          <w:tcPr>
            <w:tcW w:w="1092" w:type="dxa"/>
            <w:tcBorders>
              <w:left w:val="single" w:sz="4" w:space="0" w:color="auto"/>
            </w:tcBorders>
            <w:shd w:val="clear" w:color="auto" w:fill="auto"/>
            <w:vAlign w:val="center"/>
          </w:tcPr>
          <w:p w14:paraId="0271158A"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nl-BE"/>
              </w:rPr>
            </w:pPr>
            <w:r w:rsidRPr="00441D1B">
              <w:rPr>
                <w:rFonts w:cs="Calibri"/>
                <w:i/>
                <w:sz w:val="18"/>
                <w:szCs w:val="18"/>
                <w:lang w:val="nl-BE"/>
              </w:rPr>
              <w:t xml:space="preserve">18-59: </w:t>
            </w:r>
            <w:r w:rsidRPr="00441D1B">
              <w:rPr>
                <w:rFonts w:cs="Calibri"/>
                <w:i/>
                <w:sz w:val="18"/>
                <w:szCs w:val="18"/>
                <w:lang w:val="nl-BE"/>
              </w:rPr>
              <w:br/>
              <w:t>3/50</w:t>
            </w:r>
          </w:p>
        </w:tc>
        <w:tc>
          <w:tcPr>
            <w:tcW w:w="1091" w:type="dxa"/>
            <w:shd w:val="clear" w:color="auto" w:fill="auto"/>
            <w:vAlign w:val="center"/>
          </w:tcPr>
          <w:p w14:paraId="47540874"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60-74:</w:t>
            </w:r>
            <w:r w:rsidRPr="00441D1B">
              <w:rPr>
                <w:rFonts w:cs="Calibri"/>
                <w:i/>
                <w:sz w:val="18"/>
                <w:szCs w:val="18"/>
                <w:lang w:val="en-GB"/>
              </w:rPr>
              <w:br/>
              <w:t xml:space="preserve">3/25 </w:t>
            </w:r>
          </w:p>
        </w:tc>
        <w:tc>
          <w:tcPr>
            <w:tcW w:w="0" w:type="auto"/>
            <w:tcBorders>
              <w:right w:val="single" w:sz="4" w:space="0" w:color="auto"/>
            </w:tcBorders>
            <w:shd w:val="clear" w:color="auto" w:fill="auto"/>
            <w:vAlign w:val="center"/>
          </w:tcPr>
          <w:p w14:paraId="7DD52241"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75 +:</w:t>
            </w:r>
            <w:r w:rsidRPr="00441D1B">
              <w:rPr>
                <w:rFonts w:cs="Calibri"/>
                <w:i/>
                <w:sz w:val="18"/>
                <w:szCs w:val="18"/>
                <w:lang w:val="en-GB"/>
              </w:rPr>
              <w:br/>
              <w:t xml:space="preserve">0/12 </w:t>
            </w:r>
          </w:p>
        </w:tc>
        <w:tc>
          <w:tcPr>
            <w:tcW w:w="676" w:type="dxa"/>
            <w:tcBorders>
              <w:right w:val="single" w:sz="4" w:space="0" w:color="auto"/>
            </w:tcBorders>
            <w:shd w:val="clear" w:color="auto" w:fill="auto"/>
            <w:vAlign w:val="center"/>
          </w:tcPr>
          <w:p w14:paraId="74901FD4"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3</w:t>
            </w:r>
            <w:r w:rsidRPr="00441D1B">
              <w:rPr>
                <w:rFonts w:cs="Calibri"/>
                <w:sz w:val="18"/>
                <w:szCs w:val="18"/>
                <w:lang w:val="en-GB"/>
              </w:rPr>
              <w:br/>
              <w:t>(2.9)</w:t>
            </w:r>
          </w:p>
        </w:tc>
        <w:tc>
          <w:tcPr>
            <w:tcW w:w="1091" w:type="dxa"/>
            <w:tcBorders>
              <w:left w:val="single" w:sz="4" w:space="0" w:color="auto"/>
            </w:tcBorders>
            <w:shd w:val="clear" w:color="auto" w:fill="auto"/>
            <w:vAlign w:val="center"/>
          </w:tcPr>
          <w:p w14:paraId="582210E9"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 xml:space="preserve">18-59: </w:t>
            </w:r>
            <w:r w:rsidRPr="00441D1B">
              <w:rPr>
                <w:rFonts w:cs="Calibri"/>
                <w:i/>
                <w:sz w:val="18"/>
                <w:szCs w:val="18"/>
                <w:lang w:val="en-GB"/>
              </w:rPr>
              <w:br/>
              <w:t>1/79</w:t>
            </w:r>
          </w:p>
        </w:tc>
        <w:tc>
          <w:tcPr>
            <w:tcW w:w="1091" w:type="dxa"/>
            <w:shd w:val="clear" w:color="auto" w:fill="auto"/>
            <w:vAlign w:val="center"/>
          </w:tcPr>
          <w:p w14:paraId="2DEF8F17"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60-74:</w:t>
            </w:r>
            <w:r w:rsidRPr="00441D1B">
              <w:rPr>
                <w:rFonts w:cs="Calibri"/>
                <w:i/>
                <w:sz w:val="18"/>
                <w:szCs w:val="18"/>
                <w:lang w:val="en-GB"/>
              </w:rPr>
              <w:br/>
              <w:t xml:space="preserve">2/21 </w:t>
            </w:r>
          </w:p>
        </w:tc>
        <w:tc>
          <w:tcPr>
            <w:tcW w:w="1091" w:type="dxa"/>
            <w:tcBorders>
              <w:right w:val="single" w:sz="4" w:space="0" w:color="auto"/>
            </w:tcBorders>
            <w:shd w:val="clear" w:color="auto" w:fill="auto"/>
            <w:vAlign w:val="center"/>
          </w:tcPr>
          <w:p w14:paraId="5A513407"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75 +:</w:t>
            </w:r>
            <w:r w:rsidRPr="00441D1B">
              <w:rPr>
                <w:rFonts w:cs="Calibri"/>
                <w:i/>
                <w:sz w:val="18"/>
                <w:szCs w:val="18"/>
                <w:lang w:val="en-GB"/>
              </w:rPr>
              <w:br/>
              <w:t xml:space="preserve">0/2 </w:t>
            </w:r>
          </w:p>
        </w:tc>
        <w:tc>
          <w:tcPr>
            <w:tcW w:w="676" w:type="dxa"/>
            <w:tcBorders>
              <w:left w:val="single" w:sz="4" w:space="0" w:color="auto"/>
              <w:right w:val="single" w:sz="4" w:space="0" w:color="auto"/>
            </w:tcBorders>
            <w:shd w:val="clear" w:color="auto" w:fill="auto"/>
          </w:tcPr>
          <w:p w14:paraId="7845E61A"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1</w:t>
            </w:r>
            <w:r w:rsidRPr="00441D1B">
              <w:rPr>
                <w:rFonts w:cs="Calibri"/>
                <w:sz w:val="18"/>
                <w:szCs w:val="18"/>
                <w:lang w:val="en-GB"/>
              </w:rPr>
              <w:br/>
              <w:t>(1.6)</w:t>
            </w:r>
          </w:p>
        </w:tc>
        <w:tc>
          <w:tcPr>
            <w:tcW w:w="1091" w:type="dxa"/>
            <w:tcBorders>
              <w:left w:val="single" w:sz="4" w:space="0" w:color="auto"/>
            </w:tcBorders>
            <w:shd w:val="clear" w:color="auto" w:fill="auto"/>
            <w:vAlign w:val="center"/>
          </w:tcPr>
          <w:p w14:paraId="2C99736D"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 xml:space="preserve">18-59: </w:t>
            </w:r>
            <w:r w:rsidRPr="00441D1B">
              <w:rPr>
                <w:rFonts w:cs="Calibri"/>
                <w:i/>
                <w:sz w:val="18"/>
                <w:szCs w:val="18"/>
                <w:lang w:val="en-GB"/>
              </w:rPr>
              <w:br/>
              <w:t>1/49</w:t>
            </w:r>
          </w:p>
        </w:tc>
        <w:tc>
          <w:tcPr>
            <w:tcW w:w="1091" w:type="dxa"/>
            <w:shd w:val="clear" w:color="auto" w:fill="auto"/>
            <w:vAlign w:val="center"/>
          </w:tcPr>
          <w:p w14:paraId="15EDD95E"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60-74:</w:t>
            </w:r>
            <w:r w:rsidRPr="00441D1B">
              <w:rPr>
                <w:rFonts w:cs="Calibri"/>
                <w:i/>
                <w:sz w:val="18"/>
                <w:szCs w:val="18"/>
                <w:lang w:val="en-GB"/>
              </w:rPr>
              <w:br/>
              <w:t xml:space="preserve">0/10 </w:t>
            </w:r>
          </w:p>
        </w:tc>
        <w:tc>
          <w:tcPr>
            <w:tcW w:w="1091" w:type="dxa"/>
            <w:shd w:val="clear" w:color="auto" w:fill="auto"/>
            <w:vAlign w:val="center"/>
          </w:tcPr>
          <w:p w14:paraId="60B8AA89"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i/>
                <w:sz w:val="18"/>
                <w:szCs w:val="18"/>
                <w:lang w:val="en-GB"/>
              </w:rPr>
            </w:pPr>
            <w:r w:rsidRPr="00441D1B">
              <w:rPr>
                <w:rFonts w:cs="Calibri"/>
                <w:i/>
                <w:sz w:val="18"/>
                <w:szCs w:val="18"/>
                <w:lang w:val="en-GB"/>
              </w:rPr>
              <w:t>75 +:</w:t>
            </w:r>
            <w:r w:rsidRPr="00441D1B">
              <w:rPr>
                <w:rFonts w:cs="Calibri"/>
                <w:i/>
                <w:sz w:val="18"/>
                <w:szCs w:val="18"/>
                <w:lang w:val="en-GB"/>
              </w:rPr>
              <w:br/>
              <w:t xml:space="preserve">0/2 </w:t>
            </w:r>
          </w:p>
        </w:tc>
      </w:tr>
      <w:tr w:rsidR="00FD34EE" w:rsidRPr="00441D1B" w14:paraId="60F0E967" w14:textId="77777777" w:rsidTr="00910B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tcBorders>
              <w:bottom w:val="dashed" w:sz="4" w:space="0" w:color="auto"/>
            </w:tcBorders>
            <w:shd w:val="clear" w:color="auto" w:fill="auto"/>
            <w:vAlign w:val="center"/>
          </w:tcPr>
          <w:p w14:paraId="0B00FD1E" w14:textId="77777777" w:rsidR="00FD34EE" w:rsidRPr="00441D1B" w:rsidRDefault="00FD34EE" w:rsidP="005C5DEF">
            <w:pPr>
              <w:spacing w:after="0"/>
              <w:rPr>
                <w:rFonts w:cs="Calibri"/>
                <w:caps w:val="0"/>
                <w:sz w:val="18"/>
                <w:szCs w:val="18"/>
                <w:lang w:val="en-GB"/>
              </w:rPr>
            </w:pPr>
            <w:r w:rsidRPr="00441D1B">
              <w:rPr>
                <w:rFonts w:cs="Calibri"/>
                <w:caps w:val="0"/>
                <w:sz w:val="18"/>
                <w:szCs w:val="18"/>
                <w:lang w:val="en-GB"/>
              </w:rPr>
              <w:t xml:space="preserve">Interference </w:t>
            </w:r>
            <w:r w:rsidRPr="00441D1B">
              <w:rPr>
                <w:rFonts w:cs="Calibri"/>
                <w:caps w:val="0"/>
                <w:sz w:val="18"/>
                <w:szCs w:val="18"/>
                <w:lang w:val="en-GB"/>
              </w:rPr>
              <w:br/>
              <w:t xml:space="preserve">with normal </w:t>
            </w:r>
            <w:r w:rsidRPr="00441D1B">
              <w:rPr>
                <w:rFonts w:cs="Calibri"/>
                <w:caps w:val="0"/>
                <w:sz w:val="18"/>
                <w:szCs w:val="18"/>
                <w:lang w:val="en-GB"/>
              </w:rPr>
              <w:br/>
              <w:t>activities or work</w:t>
            </w:r>
          </w:p>
        </w:tc>
        <w:tc>
          <w:tcPr>
            <w:tcW w:w="678" w:type="dxa"/>
            <w:tcBorders>
              <w:bottom w:val="dashed" w:sz="4" w:space="0" w:color="auto"/>
              <w:right w:val="single" w:sz="4" w:space="0" w:color="auto"/>
            </w:tcBorders>
            <w:shd w:val="clear" w:color="auto" w:fill="auto"/>
            <w:vAlign w:val="center"/>
          </w:tcPr>
          <w:p w14:paraId="3FFB24F7"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8 (9.0)</w:t>
            </w:r>
          </w:p>
        </w:tc>
        <w:tc>
          <w:tcPr>
            <w:tcW w:w="1092" w:type="dxa"/>
            <w:tcBorders>
              <w:left w:val="single" w:sz="4" w:space="0" w:color="auto"/>
              <w:bottom w:val="dashed" w:sz="4" w:space="0" w:color="auto"/>
            </w:tcBorders>
            <w:shd w:val="clear" w:color="auto" w:fill="auto"/>
            <w:vAlign w:val="center"/>
          </w:tcPr>
          <w:p w14:paraId="20C5F2FF"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b/>
                <w:sz w:val="18"/>
                <w:szCs w:val="18"/>
                <w:lang w:val="en-GB"/>
              </w:rPr>
            </w:pPr>
            <w:r w:rsidRPr="00441D1B">
              <w:rPr>
                <w:rFonts w:cs="Calibri"/>
                <w:b/>
                <w:sz w:val="18"/>
                <w:szCs w:val="18"/>
                <w:lang w:val="en-GB"/>
              </w:rPr>
              <w:t xml:space="preserve">2.56 </w:t>
            </w:r>
            <w:r w:rsidRPr="00441D1B">
              <w:rPr>
                <w:rFonts w:cs="Calibri"/>
                <w:b/>
                <w:sz w:val="18"/>
                <w:szCs w:val="18"/>
                <w:lang w:val="en-GB"/>
              </w:rPr>
              <w:br/>
              <w:t>[1.08-5.39]</w:t>
            </w:r>
          </w:p>
        </w:tc>
        <w:tc>
          <w:tcPr>
            <w:tcW w:w="1091" w:type="dxa"/>
            <w:tcBorders>
              <w:bottom w:val="dashed" w:sz="4" w:space="0" w:color="auto"/>
            </w:tcBorders>
            <w:shd w:val="clear" w:color="auto" w:fill="auto"/>
            <w:vAlign w:val="center"/>
          </w:tcPr>
          <w:p w14:paraId="6507DD40"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 xml:space="preserve">1.66 </w:t>
            </w:r>
            <w:r w:rsidRPr="00441D1B">
              <w:rPr>
                <w:rFonts w:cs="Calibri"/>
                <w:sz w:val="18"/>
                <w:szCs w:val="18"/>
                <w:lang w:val="en-GB"/>
              </w:rPr>
              <w:br/>
              <w:t>[0.67-3.12]</w:t>
            </w:r>
          </w:p>
        </w:tc>
        <w:tc>
          <w:tcPr>
            <w:tcW w:w="0" w:type="auto"/>
            <w:tcBorders>
              <w:bottom w:val="dashed" w:sz="4" w:space="0" w:color="auto"/>
              <w:right w:val="single" w:sz="4" w:space="0" w:color="auto"/>
            </w:tcBorders>
            <w:shd w:val="clear" w:color="auto" w:fill="auto"/>
            <w:vAlign w:val="center"/>
          </w:tcPr>
          <w:p w14:paraId="79BFDE6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0.65</w:t>
            </w:r>
            <w:r w:rsidRPr="00441D1B">
              <w:rPr>
                <w:rFonts w:cs="Calibri"/>
                <w:sz w:val="18"/>
                <w:szCs w:val="18"/>
                <w:lang w:val="en-GB"/>
              </w:rPr>
              <w:br/>
              <w:t xml:space="preserve"> [0.24-1.79]</w:t>
            </w:r>
          </w:p>
        </w:tc>
        <w:tc>
          <w:tcPr>
            <w:tcW w:w="676" w:type="dxa"/>
            <w:tcBorders>
              <w:bottom w:val="dashed" w:sz="4" w:space="0" w:color="auto"/>
              <w:right w:val="single" w:sz="4" w:space="0" w:color="auto"/>
            </w:tcBorders>
            <w:shd w:val="clear" w:color="auto" w:fill="auto"/>
            <w:vAlign w:val="center"/>
          </w:tcPr>
          <w:p w14:paraId="50C4F74E"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en-GB"/>
              </w:rPr>
            </w:pPr>
            <w:r w:rsidRPr="00441D1B">
              <w:rPr>
                <w:rFonts w:cs="Calibri"/>
                <w:sz w:val="18"/>
                <w:szCs w:val="18"/>
                <w:lang w:val="en-GB"/>
              </w:rPr>
              <w:t>4</w:t>
            </w:r>
            <w:r w:rsidRPr="00441D1B">
              <w:rPr>
                <w:rFonts w:cs="Calibri"/>
                <w:sz w:val="18"/>
                <w:szCs w:val="18"/>
                <w:lang w:val="en-GB"/>
              </w:rPr>
              <w:br/>
              <w:t>(3.4)</w:t>
            </w:r>
          </w:p>
        </w:tc>
        <w:tc>
          <w:tcPr>
            <w:tcW w:w="1091" w:type="dxa"/>
            <w:tcBorders>
              <w:left w:val="single" w:sz="4" w:space="0" w:color="auto"/>
              <w:bottom w:val="dashed" w:sz="4" w:space="0" w:color="auto"/>
            </w:tcBorders>
            <w:shd w:val="clear" w:color="auto" w:fill="auto"/>
            <w:vAlign w:val="center"/>
          </w:tcPr>
          <w:p w14:paraId="2F5040FB"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18-59:</w:t>
            </w:r>
            <w:r w:rsidRPr="00441D1B">
              <w:rPr>
                <w:rFonts w:cs="Calibri"/>
                <w:i/>
                <w:sz w:val="18"/>
                <w:szCs w:val="18"/>
                <w:lang w:val="nl-BE"/>
              </w:rPr>
              <w:br/>
              <w:t xml:space="preserve">1/93 </w:t>
            </w:r>
          </w:p>
        </w:tc>
        <w:tc>
          <w:tcPr>
            <w:tcW w:w="1091" w:type="dxa"/>
            <w:tcBorders>
              <w:bottom w:val="dashed" w:sz="4" w:space="0" w:color="auto"/>
            </w:tcBorders>
            <w:shd w:val="clear" w:color="auto" w:fill="auto"/>
            <w:vAlign w:val="center"/>
          </w:tcPr>
          <w:p w14:paraId="34D9A843"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60-74:</w:t>
            </w:r>
            <w:r w:rsidRPr="00441D1B">
              <w:rPr>
                <w:rFonts w:cs="Calibri"/>
                <w:i/>
                <w:sz w:val="18"/>
                <w:szCs w:val="18"/>
                <w:lang w:val="nl-BE"/>
              </w:rPr>
              <w:br/>
              <w:t xml:space="preserve">3/20 </w:t>
            </w:r>
          </w:p>
        </w:tc>
        <w:tc>
          <w:tcPr>
            <w:tcW w:w="1091" w:type="dxa"/>
            <w:tcBorders>
              <w:bottom w:val="dashed" w:sz="4" w:space="0" w:color="auto"/>
              <w:right w:val="single" w:sz="4" w:space="0" w:color="auto"/>
            </w:tcBorders>
            <w:shd w:val="clear" w:color="auto" w:fill="auto"/>
            <w:vAlign w:val="center"/>
          </w:tcPr>
          <w:p w14:paraId="1D18EC55"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i/>
                <w:sz w:val="18"/>
                <w:szCs w:val="18"/>
                <w:lang w:val="nl-BE"/>
              </w:rPr>
            </w:pPr>
            <w:r w:rsidRPr="00441D1B">
              <w:rPr>
                <w:rFonts w:cs="Calibri"/>
                <w:i/>
                <w:sz w:val="18"/>
                <w:szCs w:val="18"/>
                <w:lang w:val="nl-BE"/>
              </w:rPr>
              <w:t>75 +:</w:t>
            </w:r>
            <w:r w:rsidRPr="00441D1B">
              <w:rPr>
                <w:rFonts w:cs="Calibri"/>
                <w:i/>
                <w:sz w:val="18"/>
                <w:szCs w:val="18"/>
                <w:lang w:val="nl-BE"/>
              </w:rPr>
              <w:br/>
              <w:t xml:space="preserve">0/3 </w:t>
            </w:r>
          </w:p>
        </w:tc>
        <w:tc>
          <w:tcPr>
            <w:tcW w:w="676" w:type="dxa"/>
            <w:tcBorders>
              <w:left w:val="single" w:sz="4" w:space="0" w:color="auto"/>
              <w:bottom w:val="dashed" w:sz="4" w:space="0" w:color="auto"/>
              <w:right w:val="single" w:sz="4" w:space="0" w:color="auto"/>
            </w:tcBorders>
            <w:shd w:val="clear" w:color="auto" w:fill="auto"/>
            <w:vAlign w:val="center"/>
          </w:tcPr>
          <w:p w14:paraId="602F321F"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0</w:t>
            </w:r>
            <w:r w:rsidRPr="00441D1B">
              <w:rPr>
                <w:rFonts w:cs="Calibri"/>
                <w:sz w:val="18"/>
                <w:szCs w:val="18"/>
                <w:lang w:val="nl-BE"/>
              </w:rPr>
              <w:br/>
              <w:t>(0.0)</w:t>
            </w:r>
          </w:p>
        </w:tc>
        <w:tc>
          <w:tcPr>
            <w:tcW w:w="1091" w:type="dxa"/>
            <w:tcBorders>
              <w:left w:val="single" w:sz="4" w:space="0" w:color="auto"/>
              <w:bottom w:val="dashed" w:sz="4" w:space="0" w:color="auto"/>
            </w:tcBorders>
            <w:shd w:val="clear" w:color="auto" w:fill="auto"/>
            <w:vAlign w:val="center"/>
          </w:tcPr>
          <w:p w14:paraId="0DA2C6C7"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tcBorders>
              <w:bottom w:val="dashed" w:sz="4" w:space="0" w:color="auto"/>
            </w:tcBorders>
            <w:shd w:val="clear" w:color="auto" w:fill="auto"/>
            <w:vAlign w:val="center"/>
          </w:tcPr>
          <w:p w14:paraId="38B068E8"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c>
          <w:tcPr>
            <w:tcW w:w="1091" w:type="dxa"/>
            <w:tcBorders>
              <w:bottom w:val="dashed" w:sz="4" w:space="0" w:color="auto"/>
            </w:tcBorders>
            <w:shd w:val="clear" w:color="auto" w:fill="auto"/>
            <w:vAlign w:val="center"/>
          </w:tcPr>
          <w:p w14:paraId="62B550FD" w14:textId="77777777" w:rsidR="00FD34EE" w:rsidRPr="00441D1B" w:rsidRDefault="00FD34EE" w:rsidP="005C5DEF">
            <w:pPr>
              <w:spacing w:after="0"/>
              <w:jc w:val="center"/>
              <w:cnfStyle w:val="000000100000" w:firstRow="0" w:lastRow="0" w:firstColumn="0" w:lastColumn="0" w:oddVBand="0" w:evenVBand="0" w:oddHBand="1" w:evenHBand="0" w:firstRowFirstColumn="0" w:firstRowLastColumn="0" w:lastRowFirstColumn="0" w:lastRowLastColumn="0"/>
              <w:rPr>
                <w:rFonts w:cs="Calibri"/>
                <w:sz w:val="18"/>
                <w:szCs w:val="18"/>
                <w:lang w:val="nl-BE"/>
              </w:rPr>
            </w:pPr>
            <w:r w:rsidRPr="00441D1B">
              <w:rPr>
                <w:rFonts w:cs="Calibri"/>
                <w:sz w:val="18"/>
                <w:szCs w:val="18"/>
                <w:lang w:val="nl-BE"/>
              </w:rPr>
              <w:t>NA</w:t>
            </w:r>
          </w:p>
        </w:tc>
      </w:tr>
      <w:tr w:rsidR="00FD34EE" w:rsidRPr="00441D1B" w14:paraId="5CC1D7D7" w14:textId="77777777" w:rsidTr="00910B05">
        <w:tc>
          <w:tcPr>
            <w:cnfStyle w:val="001000000000" w:firstRow="0" w:lastRow="0" w:firstColumn="1" w:lastColumn="0" w:oddVBand="0" w:evenVBand="0" w:oddHBand="0" w:evenHBand="0" w:firstRowFirstColumn="0" w:firstRowLastColumn="0" w:lastRowFirstColumn="0" w:lastRowLastColumn="0"/>
            <w:tcW w:w="1298" w:type="dxa"/>
            <w:tcBorders>
              <w:top w:val="dashed" w:sz="4" w:space="0" w:color="auto"/>
              <w:bottom w:val="single" w:sz="4" w:space="0" w:color="auto"/>
            </w:tcBorders>
            <w:shd w:val="clear" w:color="auto" w:fill="auto"/>
            <w:vAlign w:val="center"/>
          </w:tcPr>
          <w:p w14:paraId="1536F90D" w14:textId="77777777" w:rsidR="00FD34EE" w:rsidRPr="00441D1B" w:rsidRDefault="00FD34EE" w:rsidP="005C5DEF">
            <w:pPr>
              <w:spacing w:after="0"/>
              <w:rPr>
                <w:rFonts w:cs="Calibri"/>
                <w:sz w:val="18"/>
                <w:szCs w:val="18"/>
                <w:lang w:val="nl-BE"/>
              </w:rPr>
            </w:pPr>
            <w:r w:rsidRPr="00441D1B">
              <w:rPr>
                <w:rFonts w:cs="Calibri"/>
                <w:caps w:val="0"/>
                <w:sz w:val="18"/>
                <w:szCs w:val="18"/>
                <w:lang w:val="nl-BE"/>
              </w:rPr>
              <w:t>Illness deterioration</w:t>
            </w:r>
          </w:p>
        </w:tc>
        <w:tc>
          <w:tcPr>
            <w:tcW w:w="678" w:type="dxa"/>
            <w:tcBorders>
              <w:top w:val="dashed" w:sz="4" w:space="0" w:color="auto"/>
              <w:bottom w:val="single" w:sz="4" w:space="0" w:color="auto"/>
              <w:right w:val="single" w:sz="4" w:space="0" w:color="auto"/>
            </w:tcBorders>
            <w:shd w:val="clear" w:color="auto" w:fill="auto"/>
            <w:vAlign w:val="center"/>
          </w:tcPr>
          <w:p w14:paraId="78FD1906"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27 (22.1)</w:t>
            </w:r>
          </w:p>
        </w:tc>
        <w:tc>
          <w:tcPr>
            <w:tcW w:w="1092" w:type="dxa"/>
            <w:tcBorders>
              <w:top w:val="dashed" w:sz="4" w:space="0" w:color="auto"/>
              <w:left w:val="single" w:sz="4" w:space="0" w:color="auto"/>
              <w:bottom w:val="single" w:sz="4" w:space="0" w:color="auto"/>
            </w:tcBorders>
            <w:shd w:val="clear" w:color="auto" w:fill="auto"/>
            <w:vAlign w:val="center"/>
          </w:tcPr>
          <w:p w14:paraId="20B5E8F4"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1.08 </w:t>
            </w:r>
            <w:r w:rsidRPr="00441D1B">
              <w:rPr>
                <w:rFonts w:cs="Calibri"/>
                <w:sz w:val="18"/>
                <w:szCs w:val="18"/>
                <w:lang w:val="nl-BE"/>
              </w:rPr>
              <w:br/>
              <w:t>[0.49-1.64]</w:t>
            </w:r>
          </w:p>
        </w:tc>
        <w:tc>
          <w:tcPr>
            <w:tcW w:w="1091" w:type="dxa"/>
            <w:tcBorders>
              <w:top w:val="dashed" w:sz="4" w:space="0" w:color="auto"/>
              <w:bottom w:val="single" w:sz="4" w:space="0" w:color="auto"/>
            </w:tcBorders>
            <w:shd w:val="clear" w:color="auto" w:fill="auto"/>
            <w:vAlign w:val="center"/>
          </w:tcPr>
          <w:p w14:paraId="7DB69029"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b/>
                <w:sz w:val="18"/>
                <w:szCs w:val="18"/>
                <w:lang w:val="nl-BE"/>
              </w:rPr>
            </w:pPr>
            <w:r w:rsidRPr="00441D1B">
              <w:rPr>
                <w:rFonts w:cs="Calibri"/>
                <w:b/>
                <w:sz w:val="18"/>
                <w:szCs w:val="18"/>
                <w:lang w:val="nl-BE"/>
              </w:rPr>
              <w:t xml:space="preserve">1.98 </w:t>
            </w:r>
            <w:r w:rsidRPr="00441D1B">
              <w:rPr>
                <w:rFonts w:cs="Calibri"/>
                <w:b/>
                <w:sz w:val="18"/>
                <w:szCs w:val="18"/>
                <w:lang w:val="nl-BE"/>
              </w:rPr>
              <w:br/>
              <w:t>[1.04-4.64]</w:t>
            </w:r>
          </w:p>
        </w:tc>
        <w:tc>
          <w:tcPr>
            <w:tcW w:w="0" w:type="auto"/>
            <w:tcBorders>
              <w:top w:val="dashed" w:sz="4" w:space="0" w:color="auto"/>
              <w:bottom w:val="single" w:sz="4" w:space="0" w:color="auto"/>
              <w:right w:val="single" w:sz="4" w:space="0" w:color="auto"/>
            </w:tcBorders>
            <w:shd w:val="clear" w:color="auto" w:fill="auto"/>
            <w:vAlign w:val="center"/>
          </w:tcPr>
          <w:p w14:paraId="5FC56596"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 xml:space="preserve">1.82 </w:t>
            </w:r>
            <w:r w:rsidRPr="00441D1B">
              <w:rPr>
                <w:rFonts w:cs="Calibri"/>
                <w:sz w:val="18"/>
                <w:szCs w:val="18"/>
                <w:lang w:val="nl-BE"/>
              </w:rPr>
              <w:br/>
              <w:t>[0.98-5.64]</w:t>
            </w:r>
          </w:p>
        </w:tc>
        <w:tc>
          <w:tcPr>
            <w:tcW w:w="676" w:type="dxa"/>
            <w:tcBorders>
              <w:top w:val="dashed" w:sz="4" w:space="0" w:color="auto"/>
              <w:bottom w:val="single" w:sz="4" w:space="0" w:color="auto"/>
              <w:right w:val="single" w:sz="4" w:space="0" w:color="auto"/>
            </w:tcBorders>
            <w:shd w:val="clear" w:color="auto" w:fill="auto"/>
            <w:vAlign w:val="center"/>
          </w:tcPr>
          <w:p w14:paraId="32D70C87"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24</w:t>
            </w:r>
            <w:r w:rsidRPr="00441D1B">
              <w:rPr>
                <w:rFonts w:cs="Calibri"/>
                <w:sz w:val="18"/>
                <w:szCs w:val="18"/>
                <w:lang w:val="nl-BE"/>
              </w:rPr>
              <w:br/>
              <w:t>(17.4)</w:t>
            </w:r>
          </w:p>
        </w:tc>
        <w:tc>
          <w:tcPr>
            <w:tcW w:w="1091" w:type="dxa"/>
            <w:tcBorders>
              <w:top w:val="dashed" w:sz="4" w:space="0" w:color="auto"/>
              <w:left w:val="single" w:sz="4" w:space="0" w:color="auto"/>
              <w:bottom w:val="single" w:sz="4" w:space="0" w:color="auto"/>
            </w:tcBorders>
            <w:shd w:val="clear" w:color="auto" w:fill="auto"/>
            <w:vAlign w:val="center"/>
          </w:tcPr>
          <w:p w14:paraId="7F085322"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1.16</w:t>
            </w:r>
            <w:r w:rsidRPr="00441D1B">
              <w:rPr>
                <w:rFonts w:cs="Calibri"/>
                <w:sz w:val="18"/>
                <w:szCs w:val="18"/>
                <w:lang w:val="nl-BE"/>
              </w:rPr>
              <w:br/>
              <w:t>[0.53-2.86]</w:t>
            </w:r>
          </w:p>
        </w:tc>
        <w:tc>
          <w:tcPr>
            <w:tcW w:w="1091" w:type="dxa"/>
            <w:tcBorders>
              <w:top w:val="dashed" w:sz="4" w:space="0" w:color="auto"/>
              <w:bottom w:val="single" w:sz="4" w:space="0" w:color="auto"/>
            </w:tcBorders>
            <w:shd w:val="clear" w:color="auto" w:fill="auto"/>
            <w:vAlign w:val="center"/>
          </w:tcPr>
          <w:p w14:paraId="7D6A331D"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nl-BE"/>
              </w:rPr>
            </w:pPr>
            <w:r w:rsidRPr="00441D1B">
              <w:rPr>
                <w:rFonts w:cs="Calibri"/>
                <w:sz w:val="18"/>
                <w:szCs w:val="18"/>
                <w:lang w:val="nl-BE"/>
              </w:rPr>
              <w:t>3.13</w:t>
            </w:r>
            <w:r w:rsidRPr="00441D1B">
              <w:rPr>
                <w:rFonts w:cs="Calibri"/>
                <w:sz w:val="18"/>
                <w:szCs w:val="18"/>
                <w:lang w:val="nl-BE"/>
              </w:rPr>
              <w:br/>
              <w:t>[0.59-16.81]</w:t>
            </w:r>
          </w:p>
        </w:tc>
        <w:tc>
          <w:tcPr>
            <w:tcW w:w="1091" w:type="dxa"/>
            <w:tcBorders>
              <w:top w:val="dashed" w:sz="4" w:space="0" w:color="auto"/>
              <w:bottom w:val="single" w:sz="4" w:space="0" w:color="auto"/>
              <w:right w:val="single" w:sz="4" w:space="0" w:color="auto"/>
            </w:tcBorders>
            <w:shd w:val="clear" w:color="auto" w:fill="auto"/>
            <w:vAlign w:val="center"/>
          </w:tcPr>
          <w:p w14:paraId="6E37D1CC"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nl-BE"/>
              </w:rPr>
              <w:t>2.7</w:t>
            </w:r>
            <w:r w:rsidRPr="00441D1B">
              <w:rPr>
                <w:rFonts w:cs="Calibri"/>
                <w:sz w:val="18"/>
                <w:szCs w:val="18"/>
                <w:lang w:val="en-GB"/>
              </w:rPr>
              <w:t>1</w:t>
            </w:r>
            <w:r w:rsidRPr="00441D1B">
              <w:rPr>
                <w:rFonts w:cs="Calibri"/>
                <w:sz w:val="18"/>
                <w:szCs w:val="18"/>
                <w:lang w:val="en-GB"/>
              </w:rPr>
              <w:br/>
              <w:t>[0.42-18.85]</w:t>
            </w:r>
          </w:p>
        </w:tc>
        <w:tc>
          <w:tcPr>
            <w:tcW w:w="676" w:type="dxa"/>
            <w:tcBorders>
              <w:top w:val="dashed" w:sz="4" w:space="0" w:color="auto"/>
              <w:left w:val="single" w:sz="4" w:space="0" w:color="auto"/>
              <w:bottom w:val="single" w:sz="4" w:space="0" w:color="auto"/>
              <w:right w:val="single" w:sz="4" w:space="0" w:color="auto"/>
            </w:tcBorders>
            <w:shd w:val="clear" w:color="auto" w:fill="auto"/>
          </w:tcPr>
          <w:p w14:paraId="6E787F76"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17</w:t>
            </w:r>
            <w:r w:rsidRPr="00441D1B">
              <w:rPr>
                <w:rFonts w:cs="Calibri"/>
                <w:sz w:val="18"/>
                <w:szCs w:val="18"/>
                <w:lang w:val="en-GB"/>
              </w:rPr>
              <w:br/>
              <w:t>(19.5)</w:t>
            </w:r>
          </w:p>
        </w:tc>
        <w:tc>
          <w:tcPr>
            <w:tcW w:w="1091" w:type="dxa"/>
            <w:tcBorders>
              <w:top w:val="dashed" w:sz="4" w:space="0" w:color="auto"/>
              <w:left w:val="single" w:sz="4" w:space="0" w:color="auto"/>
              <w:bottom w:val="single" w:sz="4" w:space="0" w:color="auto"/>
            </w:tcBorders>
            <w:shd w:val="clear" w:color="auto" w:fill="auto"/>
          </w:tcPr>
          <w:p w14:paraId="1FBEB18E"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2.53</w:t>
            </w:r>
            <w:r w:rsidRPr="00441D1B">
              <w:rPr>
                <w:rFonts w:cs="Calibri"/>
                <w:sz w:val="18"/>
                <w:szCs w:val="18"/>
                <w:lang w:val="en-GB"/>
              </w:rPr>
              <w:br/>
              <w:t>[0.68-5.70]</w:t>
            </w:r>
          </w:p>
        </w:tc>
        <w:tc>
          <w:tcPr>
            <w:tcW w:w="1091" w:type="dxa"/>
            <w:tcBorders>
              <w:top w:val="dashed" w:sz="4" w:space="0" w:color="auto"/>
              <w:bottom w:val="single" w:sz="4" w:space="0" w:color="auto"/>
            </w:tcBorders>
            <w:shd w:val="clear" w:color="auto" w:fill="auto"/>
          </w:tcPr>
          <w:p w14:paraId="71AE4669"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2.09</w:t>
            </w:r>
            <w:r w:rsidRPr="00441D1B">
              <w:rPr>
                <w:rFonts w:cs="Calibri"/>
                <w:sz w:val="18"/>
                <w:szCs w:val="18"/>
                <w:lang w:val="en-GB"/>
              </w:rPr>
              <w:br/>
              <w:t>[0.59-11.43]</w:t>
            </w:r>
          </w:p>
        </w:tc>
        <w:tc>
          <w:tcPr>
            <w:tcW w:w="1091" w:type="dxa"/>
            <w:tcBorders>
              <w:top w:val="dashed" w:sz="4" w:space="0" w:color="auto"/>
              <w:bottom w:val="single" w:sz="4" w:space="0" w:color="auto"/>
            </w:tcBorders>
            <w:shd w:val="clear" w:color="auto" w:fill="auto"/>
          </w:tcPr>
          <w:p w14:paraId="45D02254" w14:textId="77777777" w:rsidR="00FD34EE" w:rsidRPr="00441D1B" w:rsidRDefault="00FD34EE" w:rsidP="005C5DEF">
            <w:pPr>
              <w:spacing w:after="0"/>
              <w:jc w:val="center"/>
              <w:cnfStyle w:val="000000000000" w:firstRow="0" w:lastRow="0" w:firstColumn="0" w:lastColumn="0" w:oddVBand="0" w:evenVBand="0" w:oddHBand="0" w:evenHBand="0" w:firstRowFirstColumn="0" w:firstRowLastColumn="0" w:lastRowFirstColumn="0" w:lastRowLastColumn="0"/>
              <w:rPr>
                <w:rFonts w:cs="Calibri"/>
                <w:sz w:val="18"/>
                <w:szCs w:val="18"/>
                <w:lang w:val="en-GB"/>
              </w:rPr>
            </w:pPr>
            <w:r w:rsidRPr="00441D1B">
              <w:rPr>
                <w:rFonts w:cs="Calibri"/>
                <w:sz w:val="18"/>
                <w:szCs w:val="18"/>
                <w:lang w:val="en-GB"/>
              </w:rPr>
              <w:t>0.83</w:t>
            </w:r>
            <w:r w:rsidRPr="00441D1B">
              <w:rPr>
                <w:rFonts w:cs="Calibri"/>
                <w:sz w:val="18"/>
                <w:szCs w:val="18"/>
                <w:lang w:val="en-GB"/>
              </w:rPr>
              <w:br/>
              <w:t>[0.19-5.16]</w:t>
            </w:r>
          </w:p>
        </w:tc>
      </w:tr>
    </w:tbl>
    <w:p w14:paraId="4820C95E" w14:textId="088895F2" w:rsidR="009F3A6C" w:rsidRPr="00811467" w:rsidRDefault="00811467" w:rsidP="00811467">
      <w:pPr>
        <w:rPr>
          <w:lang w:val="en-GB"/>
        </w:rPr>
      </w:pPr>
      <w:r w:rsidRPr="00441D1B">
        <w:rPr>
          <w:i/>
          <w:sz w:val="18"/>
          <w:szCs w:val="18"/>
          <w:lang w:val="en-GB"/>
        </w:rPr>
        <w:t>OR: odds ratio; CI: (bootstrap-based) confidence interval;</w:t>
      </w:r>
      <w:r w:rsidR="003B0945" w:rsidRPr="00441D1B">
        <w:rPr>
          <w:i/>
          <w:sz w:val="18"/>
          <w:szCs w:val="18"/>
          <w:lang w:val="en-GB"/>
        </w:rPr>
        <w:t xml:space="preserve"> Numbers printed in italic </w:t>
      </w:r>
      <w:r w:rsidR="004F0355" w:rsidRPr="00441D1B">
        <w:rPr>
          <w:i/>
          <w:sz w:val="18"/>
          <w:szCs w:val="18"/>
          <w:lang w:val="en-GB"/>
        </w:rPr>
        <w:t xml:space="preserve">report number of events/number of patients </w:t>
      </w:r>
      <w:r w:rsidR="00170599" w:rsidRPr="00441D1B">
        <w:rPr>
          <w:i/>
          <w:sz w:val="18"/>
          <w:szCs w:val="18"/>
          <w:lang w:val="en-GB"/>
        </w:rPr>
        <w:t xml:space="preserve">instead of odds ratios </w:t>
      </w:r>
      <w:r w:rsidR="00AC19DF" w:rsidRPr="00441D1B">
        <w:rPr>
          <w:i/>
          <w:sz w:val="18"/>
          <w:szCs w:val="18"/>
          <w:lang w:val="en-GB"/>
        </w:rPr>
        <w:t>which</w:t>
      </w:r>
      <w:r w:rsidR="00170599" w:rsidRPr="00441D1B">
        <w:rPr>
          <w:i/>
          <w:sz w:val="18"/>
          <w:szCs w:val="18"/>
          <w:lang w:val="en-GB"/>
        </w:rPr>
        <w:t xml:space="preserve"> </w:t>
      </w:r>
      <w:r w:rsidR="003B0945" w:rsidRPr="00441D1B">
        <w:rPr>
          <w:i/>
          <w:sz w:val="18"/>
          <w:szCs w:val="18"/>
          <w:lang w:val="en-GB"/>
        </w:rPr>
        <w:t>indicate</w:t>
      </w:r>
      <w:r w:rsidR="00AC19DF" w:rsidRPr="00441D1B">
        <w:rPr>
          <w:i/>
          <w:sz w:val="18"/>
          <w:szCs w:val="18"/>
          <w:lang w:val="en-GB"/>
        </w:rPr>
        <w:t>s</w:t>
      </w:r>
      <w:r w:rsidR="003B0945" w:rsidRPr="00441D1B">
        <w:rPr>
          <w:i/>
          <w:sz w:val="18"/>
          <w:szCs w:val="18"/>
          <w:lang w:val="en-GB"/>
        </w:rPr>
        <w:t xml:space="preserve"> that significance testing was not conducted because at least one of the age groups contained no variation (i.e. no patients with unresolved symptoms).</w:t>
      </w:r>
      <w:r w:rsidRPr="00441D1B">
        <w:rPr>
          <w:i/>
          <w:sz w:val="18"/>
          <w:szCs w:val="18"/>
          <w:lang w:val="en-GB"/>
        </w:rPr>
        <w:t xml:space="preserve"> Numbers printed in bold indicate significance: models accounted for significant </w:t>
      </w:r>
      <w:r w:rsidRPr="00441D1B">
        <w:rPr>
          <w:i/>
          <w:sz w:val="18"/>
          <w:lang w:val="en-GB"/>
        </w:rPr>
        <w:t>covariates</w:t>
      </w:r>
      <w:r w:rsidRPr="00441D1B">
        <w:rPr>
          <w:i/>
          <w:sz w:val="14"/>
          <w:szCs w:val="18"/>
          <w:lang w:val="en-GB"/>
        </w:rPr>
        <w:t xml:space="preserve"> </w:t>
      </w:r>
      <w:r w:rsidRPr="00441D1B">
        <w:rPr>
          <w:i/>
          <w:sz w:val="18"/>
          <w:szCs w:val="18"/>
          <w:lang w:val="en-GB"/>
        </w:rPr>
        <w:t>(</w:t>
      </w:r>
      <w:r w:rsidRPr="00441D1B">
        <w:rPr>
          <w:i/>
          <w:sz w:val="18"/>
          <w:szCs w:val="18"/>
        </w:rPr>
        <w:t xml:space="preserve">smoking status and presence of other viruses for RSV; days </w:t>
      </w:r>
      <w:r w:rsidR="00DE679E" w:rsidRPr="00441D1B">
        <w:rPr>
          <w:i/>
          <w:sz w:val="18"/>
          <w:szCs w:val="18"/>
        </w:rPr>
        <w:t xml:space="preserve">coughing prior to consultation </w:t>
      </w:r>
      <w:r w:rsidRPr="00441D1B">
        <w:rPr>
          <w:i/>
          <w:sz w:val="18"/>
          <w:szCs w:val="18"/>
        </w:rPr>
        <w:t>and presence of other viruses for influenza</w:t>
      </w:r>
      <w:r w:rsidR="00DE679E" w:rsidRPr="00441D1B">
        <w:rPr>
          <w:i/>
          <w:sz w:val="18"/>
          <w:szCs w:val="18"/>
        </w:rPr>
        <w:t xml:space="preserve"> A; presence of other viruses for influenza B</w:t>
      </w:r>
      <w:r w:rsidRPr="00441D1B">
        <w:rPr>
          <w:i/>
          <w:sz w:val="18"/>
          <w:szCs w:val="18"/>
          <w:lang w:val="en-GB"/>
        </w:rPr>
        <w:t>).</w:t>
      </w:r>
    </w:p>
    <w:sectPr w:rsidR="009F3A6C" w:rsidRPr="00811467" w:rsidSect="00811467">
      <w:pgSz w:w="16838" w:h="11906" w:orient="landscape"/>
      <w:pgMar w:top="1417" w:right="1417" w:bottom="1417"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6777C" w16cid:durableId="215806C4"/>
  <w16cid:commentId w16cid:paraId="034977CB" w16cid:durableId="2159AC14"/>
  <w16cid:commentId w16cid:paraId="266FA389" w16cid:durableId="2159C3F5"/>
  <w16cid:commentId w16cid:paraId="39162D4C" w16cid:durableId="2159AFCA"/>
  <w16cid:commentId w16cid:paraId="2DCCB85D" w16cid:durableId="2159BDB3"/>
  <w16cid:commentId w16cid:paraId="463E3370" w16cid:durableId="2159BDE2"/>
  <w16cid:commentId w16cid:paraId="696F94DC" w16cid:durableId="2159AE80"/>
  <w16cid:commentId w16cid:paraId="45ED9D53" w16cid:durableId="2159B3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MSY10">
    <w:altName w:val="Thorndale Duospace WT J"/>
    <w:panose1 w:val="00000000000000000000"/>
    <w:charset w:val="81"/>
    <w:family w:val="auto"/>
    <w:notTrueType/>
    <w:pitch w:val="default"/>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E5186"/>
    <w:multiLevelType w:val="multilevel"/>
    <w:tmpl w:val="8B7213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3C876D4"/>
    <w:multiLevelType w:val="hybridMultilevel"/>
    <w:tmpl w:val="ECC49B86"/>
    <w:lvl w:ilvl="0" w:tplc="DE923FCC">
      <w:start w:val="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F0947"/>
    <w:multiLevelType w:val="hybridMultilevel"/>
    <w:tmpl w:val="59208720"/>
    <w:lvl w:ilvl="0" w:tplc="B1DAA422">
      <w:start w:val="3"/>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C0CB6"/>
    <w:multiLevelType w:val="hybridMultilevel"/>
    <w:tmpl w:val="38B2793A"/>
    <w:lvl w:ilvl="0" w:tplc="81645B70">
      <w:start w:val="150"/>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5CE35E7"/>
    <w:multiLevelType w:val="hybridMultilevel"/>
    <w:tmpl w:val="77129108"/>
    <w:lvl w:ilvl="0" w:tplc="8E3C0A96">
      <w:start w:val="8"/>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97840"/>
    <w:multiLevelType w:val="hybridMultilevel"/>
    <w:tmpl w:val="8C34109A"/>
    <w:lvl w:ilvl="0" w:tplc="AED6E706">
      <w:start w:val="3"/>
      <w:numFmt w:val="bullet"/>
      <w:lvlText w:val=""/>
      <w:lvlJc w:val="left"/>
      <w:pPr>
        <w:ind w:left="720" w:hanging="360"/>
      </w:pPr>
      <w:rPr>
        <w:rFonts w:ascii="Symbol" w:eastAsia="Calibri" w:hAnsi="Symbol"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C1BD5"/>
    <w:multiLevelType w:val="hybridMultilevel"/>
    <w:tmpl w:val="92B0F95E"/>
    <w:lvl w:ilvl="0" w:tplc="6B868B2C">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41290"/>
    <w:multiLevelType w:val="hybridMultilevel"/>
    <w:tmpl w:val="C7ACB43A"/>
    <w:lvl w:ilvl="0" w:tplc="8EA6FEF6">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E3EB5"/>
    <w:multiLevelType w:val="hybridMultilevel"/>
    <w:tmpl w:val="2B3AB57C"/>
    <w:lvl w:ilvl="0" w:tplc="350423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C110B"/>
    <w:multiLevelType w:val="hybridMultilevel"/>
    <w:tmpl w:val="09D0D958"/>
    <w:lvl w:ilvl="0" w:tplc="7DD86A72">
      <w:start w:val="5"/>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F6A5FD4"/>
    <w:multiLevelType w:val="multilevel"/>
    <w:tmpl w:val="00504EA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0"/>
  </w:num>
  <w:num w:numId="2">
    <w:abstractNumId w:val="8"/>
  </w:num>
  <w:num w:numId="3">
    <w:abstractNumId w:val="4"/>
  </w:num>
  <w:num w:numId="4">
    <w:abstractNumId w:val="1"/>
  </w:num>
  <w:num w:numId="5">
    <w:abstractNumId w:val="0"/>
  </w:num>
  <w:num w:numId="6">
    <w:abstractNumId w:val="5"/>
  </w:num>
  <w:num w:numId="7">
    <w:abstractNumId w:val="6"/>
  </w:num>
  <w:num w:numId="8">
    <w:abstractNumId w:val="2"/>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DD"/>
    <w:rsid w:val="000001DD"/>
    <w:rsid w:val="00003CCF"/>
    <w:rsid w:val="00003D04"/>
    <w:rsid w:val="00003D05"/>
    <w:rsid w:val="0000627F"/>
    <w:rsid w:val="00006F3D"/>
    <w:rsid w:val="00007020"/>
    <w:rsid w:val="00007102"/>
    <w:rsid w:val="00007CFC"/>
    <w:rsid w:val="00010CAF"/>
    <w:rsid w:val="000111B8"/>
    <w:rsid w:val="000111BD"/>
    <w:rsid w:val="00012435"/>
    <w:rsid w:val="00013719"/>
    <w:rsid w:val="0001473F"/>
    <w:rsid w:val="000152CD"/>
    <w:rsid w:val="00015797"/>
    <w:rsid w:val="000162CC"/>
    <w:rsid w:val="000200BF"/>
    <w:rsid w:val="00020956"/>
    <w:rsid w:val="00023C09"/>
    <w:rsid w:val="00024340"/>
    <w:rsid w:val="00024D41"/>
    <w:rsid w:val="000260DE"/>
    <w:rsid w:val="00026466"/>
    <w:rsid w:val="00027E20"/>
    <w:rsid w:val="00033A10"/>
    <w:rsid w:val="00036BE3"/>
    <w:rsid w:val="00037487"/>
    <w:rsid w:val="00040097"/>
    <w:rsid w:val="0004131C"/>
    <w:rsid w:val="000414DE"/>
    <w:rsid w:val="000415F4"/>
    <w:rsid w:val="00041F98"/>
    <w:rsid w:val="0004270A"/>
    <w:rsid w:val="000442D3"/>
    <w:rsid w:val="00045D7B"/>
    <w:rsid w:val="000462B8"/>
    <w:rsid w:val="00046D15"/>
    <w:rsid w:val="00046D7B"/>
    <w:rsid w:val="00050924"/>
    <w:rsid w:val="000527CF"/>
    <w:rsid w:val="00055003"/>
    <w:rsid w:val="0005538B"/>
    <w:rsid w:val="000570A3"/>
    <w:rsid w:val="00057512"/>
    <w:rsid w:val="00057B26"/>
    <w:rsid w:val="00060035"/>
    <w:rsid w:val="000607D3"/>
    <w:rsid w:val="00060BF4"/>
    <w:rsid w:val="00060EDC"/>
    <w:rsid w:val="000612D2"/>
    <w:rsid w:val="000628EE"/>
    <w:rsid w:val="00064F26"/>
    <w:rsid w:val="00066280"/>
    <w:rsid w:val="000718FA"/>
    <w:rsid w:val="000719A5"/>
    <w:rsid w:val="00071CAF"/>
    <w:rsid w:val="00071D04"/>
    <w:rsid w:val="00075B2E"/>
    <w:rsid w:val="00076215"/>
    <w:rsid w:val="000763B1"/>
    <w:rsid w:val="00077EAE"/>
    <w:rsid w:val="0008276D"/>
    <w:rsid w:val="00082E76"/>
    <w:rsid w:val="00087C7C"/>
    <w:rsid w:val="000921C9"/>
    <w:rsid w:val="00093156"/>
    <w:rsid w:val="000934E2"/>
    <w:rsid w:val="0009504B"/>
    <w:rsid w:val="0009681C"/>
    <w:rsid w:val="00097F53"/>
    <w:rsid w:val="00097FB9"/>
    <w:rsid w:val="000A0B07"/>
    <w:rsid w:val="000A340C"/>
    <w:rsid w:val="000A44A6"/>
    <w:rsid w:val="000A6D88"/>
    <w:rsid w:val="000A6E0B"/>
    <w:rsid w:val="000A7041"/>
    <w:rsid w:val="000B0F0E"/>
    <w:rsid w:val="000B2D60"/>
    <w:rsid w:val="000B46CC"/>
    <w:rsid w:val="000B5093"/>
    <w:rsid w:val="000B6AFA"/>
    <w:rsid w:val="000C01A3"/>
    <w:rsid w:val="000C1D43"/>
    <w:rsid w:val="000C1E63"/>
    <w:rsid w:val="000C1F01"/>
    <w:rsid w:val="000C2138"/>
    <w:rsid w:val="000C3748"/>
    <w:rsid w:val="000C3B1B"/>
    <w:rsid w:val="000C4736"/>
    <w:rsid w:val="000C4C88"/>
    <w:rsid w:val="000D01D5"/>
    <w:rsid w:val="000D1265"/>
    <w:rsid w:val="000D3310"/>
    <w:rsid w:val="000D3CD2"/>
    <w:rsid w:val="000D42CB"/>
    <w:rsid w:val="000D5A93"/>
    <w:rsid w:val="000D7231"/>
    <w:rsid w:val="000E0AC5"/>
    <w:rsid w:val="000E1565"/>
    <w:rsid w:val="000E1572"/>
    <w:rsid w:val="000E2715"/>
    <w:rsid w:val="000E2A21"/>
    <w:rsid w:val="000E2A4E"/>
    <w:rsid w:val="000E2B2B"/>
    <w:rsid w:val="000E4F8A"/>
    <w:rsid w:val="000E7B77"/>
    <w:rsid w:val="000F0C40"/>
    <w:rsid w:val="000F2B5F"/>
    <w:rsid w:val="000F4CAC"/>
    <w:rsid w:val="000F4D38"/>
    <w:rsid w:val="000F6736"/>
    <w:rsid w:val="000F6993"/>
    <w:rsid w:val="000F6E2A"/>
    <w:rsid w:val="000F7012"/>
    <w:rsid w:val="000F70BF"/>
    <w:rsid w:val="000F7208"/>
    <w:rsid w:val="00100705"/>
    <w:rsid w:val="00100999"/>
    <w:rsid w:val="001011D7"/>
    <w:rsid w:val="00101426"/>
    <w:rsid w:val="00101D15"/>
    <w:rsid w:val="00102DE8"/>
    <w:rsid w:val="00104786"/>
    <w:rsid w:val="00106E56"/>
    <w:rsid w:val="00107182"/>
    <w:rsid w:val="00113404"/>
    <w:rsid w:val="00114E31"/>
    <w:rsid w:val="00115A07"/>
    <w:rsid w:val="00116140"/>
    <w:rsid w:val="00117FE3"/>
    <w:rsid w:val="00121D3D"/>
    <w:rsid w:val="00121D5C"/>
    <w:rsid w:val="0012224F"/>
    <w:rsid w:val="0012303F"/>
    <w:rsid w:val="00123310"/>
    <w:rsid w:val="00123DA1"/>
    <w:rsid w:val="00125188"/>
    <w:rsid w:val="0012660D"/>
    <w:rsid w:val="0012681E"/>
    <w:rsid w:val="00127D3B"/>
    <w:rsid w:val="00130D09"/>
    <w:rsid w:val="00133B4E"/>
    <w:rsid w:val="00134605"/>
    <w:rsid w:val="00142445"/>
    <w:rsid w:val="00142A32"/>
    <w:rsid w:val="00142C71"/>
    <w:rsid w:val="0014568D"/>
    <w:rsid w:val="001464BD"/>
    <w:rsid w:val="00147D63"/>
    <w:rsid w:val="00150375"/>
    <w:rsid w:val="0015127F"/>
    <w:rsid w:val="00151FBA"/>
    <w:rsid w:val="00152604"/>
    <w:rsid w:val="00154157"/>
    <w:rsid w:val="00154C3F"/>
    <w:rsid w:val="00154E63"/>
    <w:rsid w:val="00155E84"/>
    <w:rsid w:val="001601E7"/>
    <w:rsid w:val="00160324"/>
    <w:rsid w:val="0016199A"/>
    <w:rsid w:val="0016344D"/>
    <w:rsid w:val="00163571"/>
    <w:rsid w:val="001642B3"/>
    <w:rsid w:val="0016458C"/>
    <w:rsid w:val="001659D3"/>
    <w:rsid w:val="00170599"/>
    <w:rsid w:val="00170FDC"/>
    <w:rsid w:val="00172140"/>
    <w:rsid w:val="00172964"/>
    <w:rsid w:val="0017371A"/>
    <w:rsid w:val="001739DF"/>
    <w:rsid w:val="0017613E"/>
    <w:rsid w:val="00176D7C"/>
    <w:rsid w:val="001770C0"/>
    <w:rsid w:val="00180C69"/>
    <w:rsid w:val="00181E25"/>
    <w:rsid w:val="00181E6B"/>
    <w:rsid w:val="00183DCB"/>
    <w:rsid w:val="0018419C"/>
    <w:rsid w:val="00185D8D"/>
    <w:rsid w:val="00186F0A"/>
    <w:rsid w:val="001901C3"/>
    <w:rsid w:val="00191977"/>
    <w:rsid w:val="00194AE1"/>
    <w:rsid w:val="00195239"/>
    <w:rsid w:val="001A0123"/>
    <w:rsid w:val="001A252D"/>
    <w:rsid w:val="001A3997"/>
    <w:rsid w:val="001A68C5"/>
    <w:rsid w:val="001B096C"/>
    <w:rsid w:val="001B1510"/>
    <w:rsid w:val="001B1D4F"/>
    <w:rsid w:val="001B2083"/>
    <w:rsid w:val="001B3E7B"/>
    <w:rsid w:val="001B4CFA"/>
    <w:rsid w:val="001B5C36"/>
    <w:rsid w:val="001B6F60"/>
    <w:rsid w:val="001B7C0A"/>
    <w:rsid w:val="001C1132"/>
    <w:rsid w:val="001C1A47"/>
    <w:rsid w:val="001C27C0"/>
    <w:rsid w:val="001C2BA8"/>
    <w:rsid w:val="001C4E44"/>
    <w:rsid w:val="001C5292"/>
    <w:rsid w:val="001C6219"/>
    <w:rsid w:val="001C62FB"/>
    <w:rsid w:val="001D0B98"/>
    <w:rsid w:val="001D318E"/>
    <w:rsid w:val="001D434E"/>
    <w:rsid w:val="001D4D87"/>
    <w:rsid w:val="001D5382"/>
    <w:rsid w:val="001D59C3"/>
    <w:rsid w:val="001E0E02"/>
    <w:rsid w:val="001E5486"/>
    <w:rsid w:val="001E6A58"/>
    <w:rsid w:val="001E7C68"/>
    <w:rsid w:val="001F01DA"/>
    <w:rsid w:val="001F15F3"/>
    <w:rsid w:val="001F20E9"/>
    <w:rsid w:val="001F2153"/>
    <w:rsid w:val="001F5C84"/>
    <w:rsid w:val="001F670B"/>
    <w:rsid w:val="001F7665"/>
    <w:rsid w:val="001F778D"/>
    <w:rsid w:val="00201858"/>
    <w:rsid w:val="00201C92"/>
    <w:rsid w:val="00203F83"/>
    <w:rsid w:val="00204028"/>
    <w:rsid w:val="00206D43"/>
    <w:rsid w:val="00212DA3"/>
    <w:rsid w:val="002140A1"/>
    <w:rsid w:val="00217010"/>
    <w:rsid w:val="0021701A"/>
    <w:rsid w:val="0022050F"/>
    <w:rsid w:val="002205C1"/>
    <w:rsid w:val="002215D7"/>
    <w:rsid w:val="00222503"/>
    <w:rsid w:val="00223677"/>
    <w:rsid w:val="0022754A"/>
    <w:rsid w:val="002304B5"/>
    <w:rsid w:val="00231C96"/>
    <w:rsid w:val="00231CA8"/>
    <w:rsid w:val="00232BD9"/>
    <w:rsid w:val="00232F8A"/>
    <w:rsid w:val="00233043"/>
    <w:rsid w:val="00234BEE"/>
    <w:rsid w:val="002379FA"/>
    <w:rsid w:val="0024138C"/>
    <w:rsid w:val="00241A48"/>
    <w:rsid w:val="00241DD4"/>
    <w:rsid w:val="0024333B"/>
    <w:rsid w:val="002437F1"/>
    <w:rsid w:val="00244ECA"/>
    <w:rsid w:val="00245B0B"/>
    <w:rsid w:val="002463D3"/>
    <w:rsid w:val="00246CB8"/>
    <w:rsid w:val="00247231"/>
    <w:rsid w:val="0024744B"/>
    <w:rsid w:val="00250D3B"/>
    <w:rsid w:val="002515E7"/>
    <w:rsid w:val="002518A0"/>
    <w:rsid w:val="00251978"/>
    <w:rsid w:val="00257E80"/>
    <w:rsid w:val="00261822"/>
    <w:rsid w:val="00263799"/>
    <w:rsid w:val="00263C74"/>
    <w:rsid w:val="002642D4"/>
    <w:rsid w:val="00265548"/>
    <w:rsid w:val="00265903"/>
    <w:rsid w:val="00266584"/>
    <w:rsid w:val="00271159"/>
    <w:rsid w:val="002712F3"/>
    <w:rsid w:val="00272103"/>
    <w:rsid w:val="00272DED"/>
    <w:rsid w:val="00274BCD"/>
    <w:rsid w:val="00275797"/>
    <w:rsid w:val="00280918"/>
    <w:rsid w:val="00281844"/>
    <w:rsid w:val="00282933"/>
    <w:rsid w:val="00283A93"/>
    <w:rsid w:val="00283F2F"/>
    <w:rsid w:val="002866EB"/>
    <w:rsid w:val="002908F9"/>
    <w:rsid w:val="0029185A"/>
    <w:rsid w:val="00293421"/>
    <w:rsid w:val="00294AFE"/>
    <w:rsid w:val="0029516E"/>
    <w:rsid w:val="002951C4"/>
    <w:rsid w:val="00296061"/>
    <w:rsid w:val="002A0074"/>
    <w:rsid w:val="002A1DA4"/>
    <w:rsid w:val="002A4FF5"/>
    <w:rsid w:val="002A634D"/>
    <w:rsid w:val="002A6E4F"/>
    <w:rsid w:val="002A7E24"/>
    <w:rsid w:val="002B009E"/>
    <w:rsid w:val="002B0965"/>
    <w:rsid w:val="002B1041"/>
    <w:rsid w:val="002B1173"/>
    <w:rsid w:val="002B55E3"/>
    <w:rsid w:val="002B7C63"/>
    <w:rsid w:val="002C0ACC"/>
    <w:rsid w:val="002C35BB"/>
    <w:rsid w:val="002C3BFE"/>
    <w:rsid w:val="002C3D71"/>
    <w:rsid w:val="002C7D97"/>
    <w:rsid w:val="002C7F0B"/>
    <w:rsid w:val="002D180B"/>
    <w:rsid w:val="002D2183"/>
    <w:rsid w:val="002D3273"/>
    <w:rsid w:val="002D4ED4"/>
    <w:rsid w:val="002D55BA"/>
    <w:rsid w:val="002E0EAE"/>
    <w:rsid w:val="002E221F"/>
    <w:rsid w:val="002E22B4"/>
    <w:rsid w:val="002E2FAF"/>
    <w:rsid w:val="002E53F1"/>
    <w:rsid w:val="002E5894"/>
    <w:rsid w:val="002E6E64"/>
    <w:rsid w:val="002E7805"/>
    <w:rsid w:val="002F6477"/>
    <w:rsid w:val="00300C85"/>
    <w:rsid w:val="00306A28"/>
    <w:rsid w:val="00310545"/>
    <w:rsid w:val="00314FE0"/>
    <w:rsid w:val="00315592"/>
    <w:rsid w:val="00316344"/>
    <w:rsid w:val="00317601"/>
    <w:rsid w:val="00323447"/>
    <w:rsid w:val="00323E51"/>
    <w:rsid w:val="00324047"/>
    <w:rsid w:val="003244D5"/>
    <w:rsid w:val="0032692A"/>
    <w:rsid w:val="00333C92"/>
    <w:rsid w:val="00335C3D"/>
    <w:rsid w:val="0033648B"/>
    <w:rsid w:val="00336A04"/>
    <w:rsid w:val="0034156C"/>
    <w:rsid w:val="00342AA2"/>
    <w:rsid w:val="003434B1"/>
    <w:rsid w:val="003436F9"/>
    <w:rsid w:val="00347165"/>
    <w:rsid w:val="0034716B"/>
    <w:rsid w:val="00350073"/>
    <w:rsid w:val="00350E87"/>
    <w:rsid w:val="00351033"/>
    <w:rsid w:val="00353831"/>
    <w:rsid w:val="00355437"/>
    <w:rsid w:val="00355CEA"/>
    <w:rsid w:val="00356371"/>
    <w:rsid w:val="003578FC"/>
    <w:rsid w:val="00357D30"/>
    <w:rsid w:val="0036053C"/>
    <w:rsid w:val="00361D84"/>
    <w:rsid w:val="00362B6C"/>
    <w:rsid w:val="0036372C"/>
    <w:rsid w:val="00363E21"/>
    <w:rsid w:val="003664D5"/>
    <w:rsid w:val="003673BD"/>
    <w:rsid w:val="0036741B"/>
    <w:rsid w:val="003679E4"/>
    <w:rsid w:val="0037021C"/>
    <w:rsid w:val="00370B83"/>
    <w:rsid w:val="003721B5"/>
    <w:rsid w:val="003728D8"/>
    <w:rsid w:val="003737F1"/>
    <w:rsid w:val="00373F03"/>
    <w:rsid w:val="00374360"/>
    <w:rsid w:val="003751D9"/>
    <w:rsid w:val="0037667B"/>
    <w:rsid w:val="00377EAB"/>
    <w:rsid w:val="0038173B"/>
    <w:rsid w:val="003829C5"/>
    <w:rsid w:val="00382EF8"/>
    <w:rsid w:val="003835A6"/>
    <w:rsid w:val="003858FB"/>
    <w:rsid w:val="003861FD"/>
    <w:rsid w:val="003864AF"/>
    <w:rsid w:val="003908FB"/>
    <w:rsid w:val="00390E3D"/>
    <w:rsid w:val="003937A2"/>
    <w:rsid w:val="003939F5"/>
    <w:rsid w:val="00393B74"/>
    <w:rsid w:val="00394B94"/>
    <w:rsid w:val="00394FAE"/>
    <w:rsid w:val="003952D4"/>
    <w:rsid w:val="003959E1"/>
    <w:rsid w:val="00397221"/>
    <w:rsid w:val="003A00E6"/>
    <w:rsid w:val="003A05F1"/>
    <w:rsid w:val="003A1633"/>
    <w:rsid w:val="003A1FFF"/>
    <w:rsid w:val="003A2DF7"/>
    <w:rsid w:val="003A45E1"/>
    <w:rsid w:val="003A64B9"/>
    <w:rsid w:val="003A64DD"/>
    <w:rsid w:val="003B04FA"/>
    <w:rsid w:val="003B071B"/>
    <w:rsid w:val="003B087A"/>
    <w:rsid w:val="003B0945"/>
    <w:rsid w:val="003B6352"/>
    <w:rsid w:val="003B7092"/>
    <w:rsid w:val="003B77C4"/>
    <w:rsid w:val="003B7804"/>
    <w:rsid w:val="003C0A69"/>
    <w:rsid w:val="003C0AAA"/>
    <w:rsid w:val="003C0C22"/>
    <w:rsid w:val="003C1AA1"/>
    <w:rsid w:val="003C4C25"/>
    <w:rsid w:val="003C5DD1"/>
    <w:rsid w:val="003C78B9"/>
    <w:rsid w:val="003C7EE2"/>
    <w:rsid w:val="003D00A1"/>
    <w:rsid w:val="003D1813"/>
    <w:rsid w:val="003D2883"/>
    <w:rsid w:val="003D2A16"/>
    <w:rsid w:val="003D2C33"/>
    <w:rsid w:val="003D3DEC"/>
    <w:rsid w:val="003D67FE"/>
    <w:rsid w:val="003D69AC"/>
    <w:rsid w:val="003D72B0"/>
    <w:rsid w:val="003D73B9"/>
    <w:rsid w:val="003E16BF"/>
    <w:rsid w:val="003E2F8C"/>
    <w:rsid w:val="003E3EA9"/>
    <w:rsid w:val="003E599A"/>
    <w:rsid w:val="003E7092"/>
    <w:rsid w:val="003F1270"/>
    <w:rsid w:val="003F198A"/>
    <w:rsid w:val="003F20A5"/>
    <w:rsid w:val="003F2D53"/>
    <w:rsid w:val="003F40FD"/>
    <w:rsid w:val="003F42F9"/>
    <w:rsid w:val="004010FE"/>
    <w:rsid w:val="004016C0"/>
    <w:rsid w:val="00401CB7"/>
    <w:rsid w:val="00402612"/>
    <w:rsid w:val="00403779"/>
    <w:rsid w:val="00403D77"/>
    <w:rsid w:val="00405C64"/>
    <w:rsid w:val="004072E5"/>
    <w:rsid w:val="00407A94"/>
    <w:rsid w:val="00411534"/>
    <w:rsid w:val="00412037"/>
    <w:rsid w:val="00413937"/>
    <w:rsid w:val="0041654F"/>
    <w:rsid w:val="00416F0B"/>
    <w:rsid w:val="0041749C"/>
    <w:rsid w:val="00420500"/>
    <w:rsid w:val="0042286C"/>
    <w:rsid w:val="004273A2"/>
    <w:rsid w:val="00427A70"/>
    <w:rsid w:val="00427EE2"/>
    <w:rsid w:val="004310C1"/>
    <w:rsid w:val="004321C1"/>
    <w:rsid w:val="00432822"/>
    <w:rsid w:val="0043338A"/>
    <w:rsid w:val="004355FC"/>
    <w:rsid w:val="0043715F"/>
    <w:rsid w:val="00441D1B"/>
    <w:rsid w:val="00443591"/>
    <w:rsid w:val="004443FE"/>
    <w:rsid w:val="004462E4"/>
    <w:rsid w:val="004471B8"/>
    <w:rsid w:val="0045207D"/>
    <w:rsid w:val="00454706"/>
    <w:rsid w:val="00455329"/>
    <w:rsid w:val="00455E56"/>
    <w:rsid w:val="00461D7D"/>
    <w:rsid w:val="00463BD2"/>
    <w:rsid w:val="00463E9B"/>
    <w:rsid w:val="00464568"/>
    <w:rsid w:val="004659DD"/>
    <w:rsid w:val="00465CC1"/>
    <w:rsid w:val="00465FCE"/>
    <w:rsid w:val="00466599"/>
    <w:rsid w:val="004672C6"/>
    <w:rsid w:val="004701B2"/>
    <w:rsid w:val="00472720"/>
    <w:rsid w:val="00473961"/>
    <w:rsid w:val="004739A2"/>
    <w:rsid w:val="00474FFA"/>
    <w:rsid w:val="00475A60"/>
    <w:rsid w:val="00476CF6"/>
    <w:rsid w:val="00477F53"/>
    <w:rsid w:val="00484731"/>
    <w:rsid w:val="00485D3C"/>
    <w:rsid w:val="004868B2"/>
    <w:rsid w:val="0049118C"/>
    <w:rsid w:val="0049143F"/>
    <w:rsid w:val="00492884"/>
    <w:rsid w:val="004934D5"/>
    <w:rsid w:val="00493688"/>
    <w:rsid w:val="00493D98"/>
    <w:rsid w:val="004940A8"/>
    <w:rsid w:val="00494989"/>
    <w:rsid w:val="00494FA1"/>
    <w:rsid w:val="004971B0"/>
    <w:rsid w:val="004A0C69"/>
    <w:rsid w:val="004A11C2"/>
    <w:rsid w:val="004A1735"/>
    <w:rsid w:val="004A3A49"/>
    <w:rsid w:val="004A4A41"/>
    <w:rsid w:val="004A50E7"/>
    <w:rsid w:val="004A69AC"/>
    <w:rsid w:val="004A7AD8"/>
    <w:rsid w:val="004A7BBE"/>
    <w:rsid w:val="004A7D52"/>
    <w:rsid w:val="004B0D62"/>
    <w:rsid w:val="004B0E96"/>
    <w:rsid w:val="004B4327"/>
    <w:rsid w:val="004B5EB0"/>
    <w:rsid w:val="004B7478"/>
    <w:rsid w:val="004B79C0"/>
    <w:rsid w:val="004C0058"/>
    <w:rsid w:val="004C2660"/>
    <w:rsid w:val="004C5461"/>
    <w:rsid w:val="004C57EA"/>
    <w:rsid w:val="004C5B65"/>
    <w:rsid w:val="004C685D"/>
    <w:rsid w:val="004C6D0F"/>
    <w:rsid w:val="004C7402"/>
    <w:rsid w:val="004C7495"/>
    <w:rsid w:val="004D02A6"/>
    <w:rsid w:val="004D2012"/>
    <w:rsid w:val="004D2C66"/>
    <w:rsid w:val="004D3FF2"/>
    <w:rsid w:val="004E0A12"/>
    <w:rsid w:val="004E3744"/>
    <w:rsid w:val="004E56F7"/>
    <w:rsid w:val="004F006D"/>
    <w:rsid w:val="004F0355"/>
    <w:rsid w:val="004F0B38"/>
    <w:rsid w:val="004F22B3"/>
    <w:rsid w:val="004F3729"/>
    <w:rsid w:val="004F782C"/>
    <w:rsid w:val="004F79A7"/>
    <w:rsid w:val="00503854"/>
    <w:rsid w:val="00503F9E"/>
    <w:rsid w:val="0050461A"/>
    <w:rsid w:val="0050720A"/>
    <w:rsid w:val="00507700"/>
    <w:rsid w:val="00510475"/>
    <w:rsid w:val="0051139D"/>
    <w:rsid w:val="005119D8"/>
    <w:rsid w:val="00511DE6"/>
    <w:rsid w:val="005125B6"/>
    <w:rsid w:val="005132EA"/>
    <w:rsid w:val="00513BA8"/>
    <w:rsid w:val="005146FA"/>
    <w:rsid w:val="005157F3"/>
    <w:rsid w:val="00517C42"/>
    <w:rsid w:val="00522AAC"/>
    <w:rsid w:val="005246F2"/>
    <w:rsid w:val="00527DD4"/>
    <w:rsid w:val="00530B57"/>
    <w:rsid w:val="00531A5F"/>
    <w:rsid w:val="00531D5C"/>
    <w:rsid w:val="005321A3"/>
    <w:rsid w:val="00533F38"/>
    <w:rsid w:val="00535595"/>
    <w:rsid w:val="0053603E"/>
    <w:rsid w:val="00537145"/>
    <w:rsid w:val="00537394"/>
    <w:rsid w:val="005404C5"/>
    <w:rsid w:val="00540635"/>
    <w:rsid w:val="00541AAD"/>
    <w:rsid w:val="00542DF0"/>
    <w:rsid w:val="00543531"/>
    <w:rsid w:val="00545C1E"/>
    <w:rsid w:val="0054647A"/>
    <w:rsid w:val="00547576"/>
    <w:rsid w:val="00547F07"/>
    <w:rsid w:val="005519F1"/>
    <w:rsid w:val="00552352"/>
    <w:rsid w:val="00553848"/>
    <w:rsid w:val="005545D5"/>
    <w:rsid w:val="00554E39"/>
    <w:rsid w:val="00557205"/>
    <w:rsid w:val="005605B0"/>
    <w:rsid w:val="00561841"/>
    <w:rsid w:val="00562195"/>
    <w:rsid w:val="005638D7"/>
    <w:rsid w:val="005648BB"/>
    <w:rsid w:val="00565D40"/>
    <w:rsid w:val="00572555"/>
    <w:rsid w:val="0057358B"/>
    <w:rsid w:val="005739C0"/>
    <w:rsid w:val="00573CB4"/>
    <w:rsid w:val="00574DB6"/>
    <w:rsid w:val="00576541"/>
    <w:rsid w:val="00577447"/>
    <w:rsid w:val="0058124F"/>
    <w:rsid w:val="00582F18"/>
    <w:rsid w:val="00583846"/>
    <w:rsid w:val="00584257"/>
    <w:rsid w:val="00584580"/>
    <w:rsid w:val="005856E3"/>
    <w:rsid w:val="00585C33"/>
    <w:rsid w:val="00586120"/>
    <w:rsid w:val="005906D6"/>
    <w:rsid w:val="00590A70"/>
    <w:rsid w:val="00591FEC"/>
    <w:rsid w:val="00592D6B"/>
    <w:rsid w:val="00592E4E"/>
    <w:rsid w:val="005945E0"/>
    <w:rsid w:val="00596CF1"/>
    <w:rsid w:val="005A0D74"/>
    <w:rsid w:val="005A1C9C"/>
    <w:rsid w:val="005A5078"/>
    <w:rsid w:val="005A58AF"/>
    <w:rsid w:val="005A6276"/>
    <w:rsid w:val="005A7877"/>
    <w:rsid w:val="005B1259"/>
    <w:rsid w:val="005B2297"/>
    <w:rsid w:val="005B3ADF"/>
    <w:rsid w:val="005B3AF5"/>
    <w:rsid w:val="005B4CE4"/>
    <w:rsid w:val="005B4E20"/>
    <w:rsid w:val="005B558D"/>
    <w:rsid w:val="005B5927"/>
    <w:rsid w:val="005B659F"/>
    <w:rsid w:val="005B6832"/>
    <w:rsid w:val="005B6DC3"/>
    <w:rsid w:val="005C0D67"/>
    <w:rsid w:val="005C27C4"/>
    <w:rsid w:val="005C5DEF"/>
    <w:rsid w:val="005C62D2"/>
    <w:rsid w:val="005C6A31"/>
    <w:rsid w:val="005C72DA"/>
    <w:rsid w:val="005C7374"/>
    <w:rsid w:val="005D001D"/>
    <w:rsid w:val="005D1F9A"/>
    <w:rsid w:val="005D2484"/>
    <w:rsid w:val="005D2DE0"/>
    <w:rsid w:val="005D3611"/>
    <w:rsid w:val="005D5A0F"/>
    <w:rsid w:val="005D5FFE"/>
    <w:rsid w:val="005E1058"/>
    <w:rsid w:val="005E16C0"/>
    <w:rsid w:val="005E19B0"/>
    <w:rsid w:val="005E5323"/>
    <w:rsid w:val="005E69AC"/>
    <w:rsid w:val="005E6A1D"/>
    <w:rsid w:val="005E79AA"/>
    <w:rsid w:val="005E7A66"/>
    <w:rsid w:val="005F2655"/>
    <w:rsid w:val="005F323D"/>
    <w:rsid w:val="005F484D"/>
    <w:rsid w:val="005F4A15"/>
    <w:rsid w:val="005F5915"/>
    <w:rsid w:val="005F641C"/>
    <w:rsid w:val="005F6E10"/>
    <w:rsid w:val="005F78E2"/>
    <w:rsid w:val="0060010E"/>
    <w:rsid w:val="00600302"/>
    <w:rsid w:val="00601AE8"/>
    <w:rsid w:val="006020B2"/>
    <w:rsid w:val="006025C2"/>
    <w:rsid w:val="00605D2C"/>
    <w:rsid w:val="00605E0E"/>
    <w:rsid w:val="00607630"/>
    <w:rsid w:val="006117EE"/>
    <w:rsid w:val="006120D5"/>
    <w:rsid w:val="00612A77"/>
    <w:rsid w:val="0061308F"/>
    <w:rsid w:val="006135BA"/>
    <w:rsid w:val="00615612"/>
    <w:rsid w:val="0061659B"/>
    <w:rsid w:val="00616702"/>
    <w:rsid w:val="00617729"/>
    <w:rsid w:val="00622014"/>
    <w:rsid w:val="00622421"/>
    <w:rsid w:val="00622775"/>
    <w:rsid w:val="00624526"/>
    <w:rsid w:val="0062681E"/>
    <w:rsid w:val="00626D19"/>
    <w:rsid w:val="00627703"/>
    <w:rsid w:val="00631976"/>
    <w:rsid w:val="006339FE"/>
    <w:rsid w:val="006355E2"/>
    <w:rsid w:val="0063561E"/>
    <w:rsid w:val="006376A4"/>
    <w:rsid w:val="006376E8"/>
    <w:rsid w:val="00642420"/>
    <w:rsid w:val="00642A7D"/>
    <w:rsid w:val="00642CA3"/>
    <w:rsid w:val="00644B5F"/>
    <w:rsid w:val="00646B60"/>
    <w:rsid w:val="0065127A"/>
    <w:rsid w:val="006513DE"/>
    <w:rsid w:val="0066238F"/>
    <w:rsid w:val="00662D36"/>
    <w:rsid w:val="00662F8D"/>
    <w:rsid w:val="00663B5D"/>
    <w:rsid w:val="00663D6B"/>
    <w:rsid w:val="00664670"/>
    <w:rsid w:val="00664F18"/>
    <w:rsid w:val="00666453"/>
    <w:rsid w:val="006702A0"/>
    <w:rsid w:val="006702EC"/>
    <w:rsid w:val="00670A1F"/>
    <w:rsid w:val="00670DBC"/>
    <w:rsid w:val="006716D8"/>
    <w:rsid w:val="006717D1"/>
    <w:rsid w:val="00671A2D"/>
    <w:rsid w:val="00672F1A"/>
    <w:rsid w:val="006762E8"/>
    <w:rsid w:val="00677D17"/>
    <w:rsid w:val="006830AD"/>
    <w:rsid w:val="006838F9"/>
    <w:rsid w:val="006846B2"/>
    <w:rsid w:val="00684A7B"/>
    <w:rsid w:val="00684B59"/>
    <w:rsid w:val="00685AC9"/>
    <w:rsid w:val="00687668"/>
    <w:rsid w:val="00687F6C"/>
    <w:rsid w:val="00690709"/>
    <w:rsid w:val="00692659"/>
    <w:rsid w:val="00692858"/>
    <w:rsid w:val="006950B4"/>
    <w:rsid w:val="00695EC2"/>
    <w:rsid w:val="006A01A6"/>
    <w:rsid w:val="006A1D34"/>
    <w:rsid w:val="006A2828"/>
    <w:rsid w:val="006A38A7"/>
    <w:rsid w:val="006A3BC8"/>
    <w:rsid w:val="006A6412"/>
    <w:rsid w:val="006A7676"/>
    <w:rsid w:val="006B0ED3"/>
    <w:rsid w:val="006B11D9"/>
    <w:rsid w:val="006B1EC8"/>
    <w:rsid w:val="006B21F6"/>
    <w:rsid w:val="006B2A1B"/>
    <w:rsid w:val="006B2BC0"/>
    <w:rsid w:val="006B2DD3"/>
    <w:rsid w:val="006B2F67"/>
    <w:rsid w:val="006B5C6D"/>
    <w:rsid w:val="006B6898"/>
    <w:rsid w:val="006B7A59"/>
    <w:rsid w:val="006C075C"/>
    <w:rsid w:val="006C0C2B"/>
    <w:rsid w:val="006C14D8"/>
    <w:rsid w:val="006C1809"/>
    <w:rsid w:val="006C1971"/>
    <w:rsid w:val="006C1ED3"/>
    <w:rsid w:val="006C2773"/>
    <w:rsid w:val="006C2957"/>
    <w:rsid w:val="006C2D81"/>
    <w:rsid w:val="006C5535"/>
    <w:rsid w:val="006C77C7"/>
    <w:rsid w:val="006D02ED"/>
    <w:rsid w:val="006D2472"/>
    <w:rsid w:val="006D332C"/>
    <w:rsid w:val="006D3359"/>
    <w:rsid w:val="006D4299"/>
    <w:rsid w:val="006D455D"/>
    <w:rsid w:val="006D50B4"/>
    <w:rsid w:val="006D5642"/>
    <w:rsid w:val="006D6934"/>
    <w:rsid w:val="006D7B78"/>
    <w:rsid w:val="006D7D00"/>
    <w:rsid w:val="006E0466"/>
    <w:rsid w:val="006E090C"/>
    <w:rsid w:val="006E0BD8"/>
    <w:rsid w:val="006E0DB1"/>
    <w:rsid w:val="006E184E"/>
    <w:rsid w:val="006E1CD0"/>
    <w:rsid w:val="006E3563"/>
    <w:rsid w:val="006E39CD"/>
    <w:rsid w:val="006E3BE6"/>
    <w:rsid w:val="006E572A"/>
    <w:rsid w:val="006E6692"/>
    <w:rsid w:val="006F0BF0"/>
    <w:rsid w:val="006F34F2"/>
    <w:rsid w:val="006F59BC"/>
    <w:rsid w:val="006F5F26"/>
    <w:rsid w:val="006F6E8D"/>
    <w:rsid w:val="006F71E7"/>
    <w:rsid w:val="006F7A6A"/>
    <w:rsid w:val="006F7F56"/>
    <w:rsid w:val="00702602"/>
    <w:rsid w:val="007028AD"/>
    <w:rsid w:val="007047A9"/>
    <w:rsid w:val="0070649A"/>
    <w:rsid w:val="007064E1"/>
    <w:rsid w:val="0070722D"/>
    <w:rsid w:val="00712390"/>
    <w:rsid w:val="00714C4B"/>
    <w:rsid w:val="00714CBC"/>
    <w:rsid w:val="00715C19"/>
    <w:rsid w:val="00717868"/>
    <w:rsid w:val="007230FD"/>
    <w:rsid w:val="007236C1"/>
    <w:rsid w:val="00723963"/>
    <w:rsid w:val="00725107"/>
    <w:rsid w:val="00727484"/>
    <w:rsid w:val="00727D1A"/>
    <w:rsid w:val="00731C14"/>
    <w:rsid w:val="007328F2"/>
    <w:rsid w:val="007330C1"/>
    <w:rsid w:val="00735552"/>
    <w:rsid w:val="00736C10"/>
    <w:rsid w:val="007403A6"/>
    <w:rsid w:val="0074057D"/>
    <w:rsid w:val="00741A7E"/>
    <w:rsid w:val="00741D78"/>
    <w:rsid w:val="00741FA4"/>
    <w:rsid w:val="00742C42"/>
    <w:rsid w:val="00743309"/>
    <w:rsid w:val="007442B2"/>
    <w:rsid w:val="00746900"/>
    <w:rsid w:val="00746AD6"/>
    <w:rsid w:val="007470B5"/>
    <w:rsid w:val="00747B9E"/>
    <w:rsid w:val="007501D3"/>
    <w:rsid w:val="00751959"/>
    <w:rsid w:val="00751F7A"/>
    <w:rsid w:val="0075328A"/>
    <w:rsid w:val="00754A26"/>
    <w:rsid w:val="0075556C"/>
    <w:rsid w:val="007609F1"/>
    <w:rsid w:val="00761F52"/>
    <w:rsid w:val="007626F4"/>
    <w:rsid w:val="00763316"/>
    <w:rsid w:val="007662DD"/>
    <w:rsid w:val="007676E2"/>
    <w:rsid w:val="00772318"/>
    <w:rsid w:val="007725F3"/>
    <w:rsid w:val="007726CA"/>
    <w:rsid w:val="00772B3A"/>
    <w:rsid w:val="0077319F"/>
    <w:rsid w:val="007746A2"/>
    <w:rsid w:val="007747F7"/>
    <w:rsid w:val="00775EAE"/>
    <w:rsid w:val="00776750"/>
    <w:rsid w:val="00782566"/>
    <w:rsid w:val="0078377C"/>
    <w:rsid w:val="00785DA6"/>
    <w:rsid w:val="007862D9"/>
    <w:rsid w:val="00790D11"/>
    <w:rsid w:val="007915D8"/>
    <w:rsid w:val="007924E6"/>
    <w:rsid w:val="0079265B"/>
    <w:rsid w:val="00793F49"/>
    <w:rsid w:val="00794983"/>
    <w:rsid w:val="007952CB"/>
    <w:rsid w:val="00796465"/>
    <w:rsid w:val="0079775B"/>
    <w:rsid w:val="00797C9A"/>
    <w:rsid w:val="007A09C0"/>
    <w:rsid w:val="007A09DD"/>
    <w:rsid w:val="007A0A15"/>
    <w:rsid w:val="007A0D58"/>
    <w:rsid w:val="007A4C7E"/>
    <w:rsid w:val="007A51A9"/>
    <w:rsid w:val="007A5672"/>
    <w:rsid w:val="007A63AB"/>
    <w:rsid w:val="007A66F3"/>
    <w:rsid w:val="007B193B"/>
    <w:rsid w:val="007B2488"/>
    <w:rsid w:val="007B2BC0"/>
    <w:rsid w:val="007B4271"/>
    <w:rsid w:val="007B4CF6"/>
    <w:rsid w:val="007C0EBB"/>
    <w:rsid w:val="007C0ED1"/>
    <w:rsid w:val="007C1540"/>
    <w:rsid w:val="007C1A8F"/>
    <w:rsid w:val="007C469C"/>
    <w:rsid w:val="007C4B3C"/>
    <w:rsid w:val="007C7309"/>
    <w:rsid w:val="007D040C"/>
    <w:rsid w:val="007D2E66"/>
    <w:rsid w:val="007D3193"/>
    <w:rsid w:val="007D3562"/>
    <w:rsid w:val="007D56ED"/>
    <w:rsid w:val="007D61CF"/>
    <w:rsid w:val="007D61D4"/>
    <w:rsid w:val="007E20AB"/>
    <w:rsid w:val="007E2880"/>
    <w:rsid w:val="007E2C82"/>
    <w:rsid w:val="007E34C4"/>
    <w:rsid w:val="007E517E"/>
    <w:rsid w:val="007E6A17"/>
    <w:rsid w:val="007E7DF2"/>
    <w:rsid w:val="007F0687"/>
    <w:rsid w:val="007F31D5"/>
    <w:rsid w:val="007F3692"/>
    <w:rsid w:val="007F3ABA"/>
    <w:rsid w:val="007F3CEC"/>
    <w:rsid w:val="007F3E73"/>
    <w:rsid w:val="007F4777"/>
    <w:rsid w:val="007F49DC"/>
    <w:rsid w:val="007F5263"/>
    <w:rsid w:val="007F631C"/>
    <w:rsid w:val="00802657"/>
    <w:rsid w:val="00802A9D"/>
    <w:rsid w:val="0080319A"/>
    <w:rsid w:val="0080446D"/>
    <w:rsid w:val="00807224"/>
    <w:rsid w:val="00810F6E"/>
    <w:rsid w:val="00811467"/>
    <w:rsid w:val="00814732"/>
    <w:rsid w:val="00815AD0"/>
    <w:rsid w:val="00817073"/>
    <w:rsid w:val="00817268"/>
    <w:rsid w:val="00822224"/>
    <w:rsid w:val="008259CF"/>
    <w:rsid w:val="00825BBD"/>
    <w:rsid w:val="00827A3A"/>
    <w:rsid w:val="00830C10"/>
    <w:rsid w:val="00830F01"/>
    <w:rsid w:val="008324E4"/>
    <w:rsid w:val="008357BF"/>
    <w:rsid w:val="00835EFA"/>
    <w:rsid w:val="0083767A"/>
    <w:rsid w:val="00837715"/>
    <w:rsid w:val="00837938"/>
    <w:rsid w:val="00840912"/>
    <w:rsid w:val="008409B0"/>
    <w:rsid w:val="00841920"/>
    <w:rsid w:val="00841A88"/>
    <w:rsid w:val="008434ED"/>
    <w:rsid w:val="0084413D"/>
    <w:rsid w:val="00844E54"/>
    <w:rsid w:val="008452A1"/>
    <w:rsid w:val="00845E2F"/>
    <w:rsid w:val="00846662"/>
    <w:rsid w:val="00852914"/>
    <w:rsid w:val="0085347F"/>
    <w:rsid w:val="00853F67"/>
    <w:rsid w:val="008554C8"/>
    <w:rsid w:val="00855B7B"/>
    <w:rsid w:val="00855CB2"/>
    <w:rsid w:val="00855F45"/>
    <w:rsid w:val="00857E9E"/>
    <w:rsid w:val="00860FEA"/>
    <w:rsid w:val="00861C40"/>
    <w:rsid w:val="00861F8B"/>
    <w:rsid w:val="008622B9"/>
    <w:rsid w:val="008633D6"/>
    <w:rsid w:val="00863EDD"/>
    <w:rsid w:val="00865D7C"/>
    <w:rsid w:val="008674DC"/>
    <w:rsid w:val="00870455"/>
    <w:rsid w:val="00870457"/>
    <w:rsid w:val="00870E9B"/>
    <w:rsid w:val="00871169"/>
    <w:rsid w:val="008719E6"/>
    <w:rsid w:val="0087350E"/>
    <w:rsid w:val="00873939"/>
    <w:rsid w:val="008810CD"/>
    <w:rsid w:val="008811C8"/>
    <w:rsid w:val="00886F23"/>
    <w:rsid w:val="0088747A"/>
    <w:rsid w:val="0089002B"/>
    <w:rsid w:val="008915EA"/>
    <w:rsid w:val="008A0B59"/>
    <w:rsid w:val="008A3605"/>
    <w:rsid w:val="008A4227"/>
    <w:rsid w:val="008A52E0"/>
    <w:rsid w:val="008A5745"/>
    <w:rsid w:val="008A57A8"/>
    <w:rsid w:val="008A5E89"/>
    <w:rsid w:val="008A60B7"/>
    <w:rsid w:val="008B127A"/>
    <w:rsid w:val="008B276D"/>
    <w:rsid w:val="008B56FA"/>
    <w:rsid w:val="008B653F"/>
    <w:rsid w:val="008B657A"/>
    <w:rsid w:val="008B69AE"/>
    <w:rsid w:val="008C1E0B"/>
    <w:rsid w:val="008C4949"/>
    <w:rsid w:val="008C5805"/>
    <w:rsid w:val="008C6256"/>
    <w:rsid w:val="008C639F"/>
    <w:rsid w:val="008C7610"/>
    <w:rsid w:val="008C7B96"/>
    <w:rsid w:val="008D010D"/>
    <w:rsid w:val="008D06E5"/>
    <w:rsid w:val="008D15E6"/>
    <w:rsid w:val="008D360E"/>
    <w:rsid w:val="008D71FC"/>
    <w:rsid w:val="008E1F29"/>
    <w:rsid w:val="008E2FAD"/>
    <w:rsid w:val="008E7C5E"/>
    <w:rsid w:val="008F190F"/>
    <w:rsid w:val="008F2949"/>
    <w:rsid w:val="008F3946"/>
    <w:rsid w:val="008F54AD"/>
    <w:rsid w:val="008F616F"/>
    <w:rsid w:val="009026D7"/>
    <w:rsid w:val="00902B2D"/>
    <w:rsid w:val="0090315E"/>
    <w:rsid w:val="0090426A"/>
    <w:rsid w:val="00904F3A"/>
    <w:rsid w:val="00905C14"/>
    <w:rsid w:val="00910B05"/>
    <w:rsid w:val="00910DAA"/>
    <w:rsid w:val="00911343"/>
    <w:rsid w:val="00911860"/>
    <w:rsid w:val="009122E3"/>
    <w:rsid w:val="009124EB"/>
    <w:rsid w:val="00917254"/>
    <w:rsid w:val="0091728A"/>
    <w:rsid w:val="00917E6A"/>
    <w:rsid w:val="00921E40"/>
    <w:rsid w:val="0092500A"/>
    <w:rsid w:val="00927021"/>
    <w:rsid w:val="00927E8F"/>
    <w:rsid w:val="00930332"/>
    <w:rsid w:val="00930537"/>
    <w:rsid w:val="00931E39"/>
    <w:rsid w:val="009331D8"/>
    <w:rsid w:val="009336A4"/>
    <w:rsid w:val="00933FB8"/>
    <w:rsid w:val="00934018"/>
    <w:rsid w:val="0093595F"/>
    <w:rsid w:val="00936DAD"/>
    <w:rsid w:val="00940863"/>
    <w:rsid w:val="009419BB"/>
    <w:rsid w:val="00941A85"/>
    <w:rsid w:val="00943065"/>
    <w:rsid w:val="00943A79"/>
    <w:rsid w:val="009452C1"/>
    <w:rsid w:val="00945463"/>
    <w:rsid w:val="0094597F"/>
    <w:rsid w:val="00950980"/>
    <w:rsid w:val="00952415"/>
    <w:rsid w:val="00952C39"/>
    <w:rsid w:val="00952FAB"/>
    <w:rsid w:val="00954D6B"/>
    <w:rsid w:val="009563DE"/>
    <w:rsid w:val="009566CE"/>
    <w:rsid w:val="00956921"/>
    <w:rsid w:val="009601C7"/>
    <w:rsid w:val="00960507"/>
    <w:rsid w:val="00960635"/>
    <w:rsid w:val="00960E51"/>
    <w:rsid w:val="00961156"/>
    <w:rsid w:val="00961C06"/>
    <w:rsid w:val="00964661"/>
    <w:rsid w:val="0096611C"/>
    <w:rsid w:val="0097045F"/>
    <w:rsid w:val="00971342"/>
    <w:rsid w:val="00971998"/>
    <w:rsid w:val="00973738"/>
    <w:rsid w:val="009750D4"/>
    <w:rsid w:val="00975A0C"/>
    <w:rsid w:val="00981B84"/>
    <w:rsid w:val="00982377"/>
    <w:rsid w:val="009830E8"/>
    <w:rsid w:val="00983215"/>
    <w:rsid w:val="00984574"/>
    <w:rsid w:val="00984678"/>
    <w:rsid w:val="009846BF"/>
    <w:rsid w:val="00984C23"/>
    <w:rsid w:val="00984E06"/>
    <w:rsid w:val="00984E30"/>
    <w:rsid w:val="00984FF9"/>
    <w:rsid w:val="00985204"/>
    <w:rsid w:val="009855B1"/>
    <w:rsid w:val="00990091"/>
    <w:rsid w:val="00990B24"/>
    <w:rsid w:val="0099255D"/>
    <w:rsid w:val="00993208"/>
    <w:rsid w:val="00993DAC"/>
    <w:rsid w:val="00993DBA"/>
    <w:rsid w:val="00994375"/>
    <w:rsid w:val="009946CE"/>
    <w:rsid w:val="009954BC"/>
    <w:rsid w:val="00997700"/>
    <w:rsid w:val="009A0B9C"/>
    <w:rsid w:val="009A2219"/>
    <w:rsid w:val="009A2B51"/>
    <w:rsid w:val="009A3587"/>
    <w:rsid w:val="009A5A22"/>
    <w:rsid w:val="009A5E38"/>
    <w:rsid w:val="009A5EA5"/>
    <w:rsid w:val="009B1D22"/>
    <w:rsid w:val="009B2F6A"/>
    <w:rsid w:val="009B396E"/>
    <w:rsid w:val="009B5EA7"/>
    <w:rsid w:val="009B62A5"/>
    <w:rsid w:val="009C1B4E"/>
    <w:rsid w:val="009C4F2D"/>
    <w:rsid w:val="009C58B4"/>
    <w:rsid w:val="009C5EFE"/>
    <w:rsid w:val="009C6A03"/>
    <w:rsid w:val="009C7862"/>
    <w:rsid w:val="009D0847"/>
    <w:rsid w:val="009D1AB7"/>
    <w:rsid w:val="009D206E"/>
    <w:rsid w:val="009D22A5"/>
    <w:rsid w:val="009D2869"/>
    <w:rsid w:val="009D312D"/>
    <w:rsid w:val="009D3344"/>
    <w:rsid w:val="009D3A87"/>
    <w:rsid w:val="009D3D76"/>
    <w:rsid w:val="009D55A3"/>
    <w:rsid w:val="009D68F3"/>
    <w:rsid w:val="009E1685"/>
    <w:rsid w:val="009E2996"/>
    <w:rsid w:val="009E3878"/>
    <w:rsid w:val="009E38F4"/>
    <w:rsid w:val="009E3E2E"/>
    <w:rsid w:val="009E400D"/>
    <w:rsid w:val="009E4158"/>
    <w:rsid w:val="009F041E"/>
    <w:rsid w:val="009F06A4"/>
    <w:rsid w:val="009F0ECE"/>
    <w:rsid w:val="009F167A"/>
    <w:rsid w:val="009F173A"/>
    <w:rsid w:val="009F387E"/>
    <w:rsid w:val="009F3A6C"/>
    <w:rsid w:val="009F5387"/>
    <w:rsid w:val="009F60F2"/>
    <w:rsid w:val="009F6A0C"/>
    <w:rsid w:val="009F723A"/>
    <w:rsid w:val="00A002A1"/>
    <w:rsid w:val="00A010F6"/>
    <w:rsid w:val="00A0123B"/>
    <w:rsid w:val="00A02322"/>
    <w:rsid w:val="00A02468"/>
    <w:rsid w:val="00A0258F"/>
    <w:rsid w:val="00A03ED6"/>
    <w:rsid w:val="00A05B26"/>
    <w:rsid w:val="00A05DFD"/>
    <w:rsid w:val="00A05E05"/>
    <w:rsid w:val="00A061FB"/>
    <w:rsid w:val="00A06C4E"/>
    <w:rsid w:val="00A1134B"/>
    <w:rsid w:val="00A1140A"/>
    <w:rsid w:val="00A11543"/>
    <w:rsid w:val="00A11715"/>
    <w:rsid w:val="00A11750"/>
    <w:rsid w:val="00A11EDD"/>
    <w:rsid w:val="00A12139"/>
    <w:rsid w:val="00A12CC2"/>
    <w:rsid w:val="00A13A86"/>
    <w:rsid w:val="00A20669"/>
    <w:rsid w:val="00A20A8D"/>
    <w:rsid w:val="00A20D9B"/>
    <w:rsid w:val="00A20F9C"/>
    <w:rsid w:val="00A235D4"/>
    <w:rsid w:val="00A23C2D"/>
    <w:rsid w:val="00A268C1"/>
    <w:rsid w:val="00A27000"/>
    <w:rsid w:val="00A303B0"/>
    <w:rsid w:val="00A30B61"/>
    <w:rsid w:val="00A30B72"/>
    <w:rsid w:val="00A30ED9"/>
    <w:rsid w:val="00A3130C"/>
    <w:rsid w:val="00A32442"/>
    <w:rsid w:val="00A34C89"/>
    <w:rsid w:val="00A37A82"/>
    <w:rsid w:val="00A37E82"/>
    <w:rsid w:val="00A37FF7"/>
    <w:rsid w:val="00A401E8"/>
    <w:rsid w:val="00A40404"/>
    <w:rsid w:val="00A42675"/>
    <w:rsid w:val="00A43E22"/>
    <w:rsid w:val="00A44F96"/>
    <w:rsid w:val="00A45C51"/>
    <w:rsid w:val="00A47318"/>
    <w:rsid w:val="00A479FE"/>
    <w:rsid w:val="00A503DA"/>
    <w:rsid w:val="00A5196F"/>
    <w:rsid w:val="00A5209E"/>
    <w:rsid w:val="00A53389"/>
    <w:rsid w:val="00A53721"/>
    <w:rsid w:val="00A56756"/>
    <w:rsid w:val="00A57F28"/>
    <w:rsid w:val="00A64C29"/>
    <w:rsid w:val="00A6592C"/>
    <w:rsid w:val="00A65D96"/>
    <w:rsid w:val="00A660A9"/>
    <w:rsid w:val="00A66599"/>
    <w:rsid w:val="00A70AC4"/>
    <w:rsid w:val="00A716A8"/>
    <w:rsid w:val="00A733D4"/>
    <w:rsid w:val="00A80098"/>
    <w:rsid w:val="00A800B4"/>
    <w:rsid w:val="00A807B1"/>
    <w:rsid w:val="00A83231"/>
    <w:rsid w:val="00A8393F"/>
    <w:rsid w:val="00A83DEE"/>
    <w:rsid w:val="00A91CE1"/>
    <w:rsid w:val="00A91FAC"/>
    <w:rsid w:val="00A928D4"/>
    <w:rsid w:val="00A92FD5"/>
    <w:rsid w:val="00A94BD9"/>
    <w:rsid w:val="00A9569A"/>
    <w:rsid w:val="00AA1BC3"/>
    <w:rsid w:val="00AA2451"/>
    <w:rsid w:val="00AA2E82"/>
    <w:rsid w:val="00AA34E7"/>
    <w:rsid w:val="00AA4A6D"/>
    <w:rsid w:val="00AA4A7B"/>
    <w:rsid w:val="00AA556B"/>
    <w:rsid w:val="00AA63D2"/>
    <w:rsid w:val="00AA6A43"/>
    <w:rsid w:val="00AB1559"/>
    <w:rsid w:val="00AB5AB1"/>
    <w:rsid w:val="00AB5F29"/>
    <w:rsid w:val="00AC16EB"/>
    <w:rsid w:val="00AC19DF"/>
    <w:rsid w:val="00AC1EAA"/>
    <w:rsid w:val="00AC413C"/>
    <w:rsid w:val="00AC4968"/>
    <w:rsid w:val="00AC5B5A"/>
    <w:rsid w:val="00AC5C70"/>
    <w:rsid w:val="00AC7551"/>
    <w:rsid w:val="00AD0432"/>
    <w:rsid w:val="00AD076B"/>
    <w:rsid w:val="00AD110B"/>
    <w:rsid w:val="00AD1912"/>
    <w:rsid w:val="00AD1FE6"/>
    <w:rsid w:val="00AD20C5"/>
    <w:rsid w:val="00AD22F6"/>
    <w:rsid w:val="00AD380C"/>
    <w:rsid w:val="00AD3F99"/>
    <w:rsid w:val="00AD42FB"/>
    <w:rsid w:val="00AD6538"/>
    <w:rsid w:val="00AD6620"/>
    <w:rsid w:val="00AE04D4"/>
    <w:rsid w:val="00AE088E"/>
    <w:rsid w:val="00AE0D28"/>
    <w:rsid w:val="00AE1F96"/>
    <w:rsid w:val="00AE256E"/>
    <w:rsid w:val="00AE3D2C"/>
    <w:rsid w:val="00AE4979"/>
    <w:rsid w:val="00AE51BB"/>
    <w:rsid w:val="00AE7F9D"/>
    <w:rsid w:val="00AF0377"/>
    <w:rsid w:val="00AF1BAC"/>
    <w:rsid w:val="00AF2879"/>
    <w:rsid w:val="00AF2ABB"/>
    <w:rsid w:val="00AF37B2"/>
    <w:rsid w:val="00AF5830"/>
    <w:rsid w:val="00AF6306"/>
    <w:rsid w:val="00AF7325"/>
    <w:rsid w:val="00B02B40"/>
    <w:rsid w:val="00B02CF8"/>
    <w:rsid w:val="00B02D32"/>
    <w:rsid w:val="00B039E0"/>
    <w:rsid w:val="00B03A26"/>
    <w:rsid w:val="00B04D22"/>
    <w:rsid w:val="00B0580F"/>
    <w:rsid w:val="00B05FC1"/>
    <w:rsid w:val="00B06C79"/>
    <w:rsid w:val="00B07794"/>
    <w:rsid w:val="00B10F8A"/>
    <w:rsid w:val="00B11AB2"/>
    <w:rsid w:val="00B11F22"/>
    <w:rsid w:val="00B138A8"/>
    <w:rsid w:val="00B161E0"/>
    <w:rsid w:val="00B16BEF"/>
    <w:rsid w:val="00B20618"/>
    <w:rsid w:val="00B222A9"/>
    <w:rsid w:val="00B2390B"/>
    <w:rsid w:val="00B26DEE"/>
    <w:rsid w:val="00B27C1C"/>
    <w:rsid w:val="00B305FF"/>
    <w:rsid w:val="00B30788"/>
    <w:rsid w:val="00B30E68"/>
    <w:rsid w:val="00B30ECC"/>
    <w:rsid w:val="00B32ABC"/>
    <w:rsid w:val="00B349E1"/>
    <w:rsid w:val="00B35525"/>
    <w:rsid w:val="00B3648D"/>
    <w:rsid w:val="00B40598"/>
    <w:rsid w:val="00B40CD5"/>
    <w:rsid w:val="00B425DC"/>
    <w:rsid w:val="00B44267"/>
    <w:rsid w:val="00B45029"/>
    <w:rsid w:val="00B45353"/>
    <w:rsid w:val="00B45BEF"/>
    <w:rsid w:val="00B45D8E"/>
    <w:rsid w:val="00B45FAB"/>
    <w:rsid w:val="00B47F02"/>
    <w:rsid w:val="00B50AD2"/>
    <w:rsid w:val="00B50AE1"/>
    <w:rsid w:val="00B5107B"/>
    <w:rsid w:val="00B531F0"/>
    <w:rsid w:val="00B53223"/>
    <w:rsid w:val="00B56092"/>
    <w:rsid w:val="00B56EED"/>
    <w:rsid w:val="00B570A8"/>
    <w:rsid w:val="00B613D5"/>
    <w:rsid w:val="00B62486"/>
    <w:rsid w:val="00B62CE1"/>
    <w:rsid w:val="00B6430E"/>
    <w:rsid w:val="00B660EE"/>
    <w:rsid w:val="00B70C35"/>
    <w:rsid w:val="00B722AC"/>
    <w:rsid w:val="00B729ED"/>
    <w:rsid w:val="00B7465C"/>
    <w:rsid w:val="00B77502"/>
    <w:rsid w:val="00B77D2E"/>
    <w:rsid w:val="00B8089E"/>
    <w:rsid w:val="00B80CE2"/>
    <w:rsid w:val="00B83607"/>
    <w:rsid w:val="00B8402F"/>
    <w:rsid w:val="00B846EB"/>
    <w:rsid w:val="00B85959"/>
    <w:rsid w:val="00B862AE"/>
    <w:rsid w:val="00B87003"/>
    <w:rsid w:val="00B8766D"/>
    <w:rsid w:val="00B87D7B"/>
    <w:rsid w:val="00B90864"/>
    <w:rsid w:val="00B90E17"/>
    <w:rsid w:val="00B92832"/>
    <w:rsid w:val="00B92E0E"/>
    <w:rsid w:val="00B96CFB"/>
    <w:rsid w:val="00B971E1"/>
    <w:rsid w:val="00B977EC"/>
    <w:rsid w:val="00BA0E5E"/>
    <w:rsid w:val="00BA1BE2"/>
    <w:rsid w:val="00BA291D"/>
    <w:rsid w:val="00BA3054"/>
    <w:rsid w:val="00BA6CC1"/>
    <w:rsid w:val="00BA73F9"/>
    <w:rsid w:val="00BB0D39"/>
    <w:rsid w:val="00BB0F99"/>
    <w:rsid w:val="00BB16C1"/>
    <w:rsid w:val="00BB44E6"/>
    <w:rsid w:val="00BB523C"/>
    <w:rsid w:val="00BB67DE"/>
    <w:rsid w:val="00BB6B83"/>
    <w:rsid w:val="00BB72A3"/>
    <w:rsid w:val="00BC1379"/>
    <w:rsid w:val="00BC1F6D"/>
    <w:rsid w:val="00BC21BC"/>
    <w:rsid w:val="00BC24D5"/>
    <w:rsid w:val="00BC4479"/>
    <w:rsid w:val="00BC47E8"/>
    <w:rsid w:val="00BC4D6D"/>
    <w:rsid w:val="00BC6E76"/>
    <w:rsid w:val="00BC79E8"/>
    <w:rsid w:val="00BD108B"/>
    <w:rsid w:val="00BD1D21"/>
    <w:rsid w:val="00BD24A2"/>
    <w:rsid w:val="00BD394F"/>
    <w:rsid w:val="00BD48BE"/>
    <w:rsid w:val="00BD7411"/>
    <w:rsid w:val="00BD7C86"/>
    <w:rsid w:val="00BD7DFE"/>
    <w:rsid w:val="00BD7F01"/>
    <w:rsid w:val="00BE1D80"/>
    <w:rsid w:val="00BE23B2"/>
    <w:rsid w:val="00BE345A"/>
    <w:rsid w:val="00BE46CE"/>
    <w:rsid w:val="00BF120E"/>
    <w:rsid w:val="00BF1781"/>
    <w:rsid w:val="00BF29DC"/>
    <w:rsid w:val="00BF307E"/>
    <w:rsid w:val="00BF3B01"/>
    <w:rsid w:val="00BF4762"/>
    <w:rsid w:val="00BF49AD"/>
    <w:rsid w:val="00BF7993"/>
    <w:rsid w:val="00BF7EA8"/>
    <w:rsid w:val="00C01411"/>
    <w:rsid w:val="00C01F82"/>
    <w:rsid w:val="00C02FF9"/>
    <w:rsid w:val="00C03DEF"/>
    <w:rsid w:val="00C03F22"/>
    <w:rsid w:val="00C043EA"/>
    <w:rsid w:val="00C05E26"/>
    <w:rsid w:val="00C0668B"/>
    <w:rsid w:val="00C06CF1"/>
    <w:rsid w:val="00C07495"/>
    <w:rsid w:val="00C07CBF"/>
    <w:rsid w:val="00C11862"/>
    <w:rsid w:val="00C128F0"/>
    <w:rsid w:val="00C12F8B"/>
    <w:rsid w:val="00C13427"/>
    <w:rsid w:val="00C164A3"/>
    <w:rsid w:val="00C16C9C"/>
    <w:rsid w:val="00C175E5"/>
    <w:rsid w:val="00C17A50"/>
    <w:rsid w:val="00C20D68"/>
    <w:rsid w:val="00C216F8"/>
    <w:rsid w:val="00C24684"/>
    <w:rsid w:val="00C24F0D"/>
    <w:rsid w:val="00C259E3"/>
    <w:rsid w:val="00C30BC1"/>
    <w:rsid w:val="00C30CF7"/>
    <w:rsid w:val="00C30D28"/>
    <w:rsid w:val="00C31749"/>
    <w:rsid w:val="00C33FED"/>
    <w:rsid w:val="00C34EC0"/>
    <w:rsid w:val="00C34FF3"/>
    <w:rsid w:val="00C3590C"/>
    <w:rsid w:val="00C3658A"/>
    <w:rsid w:val="00C36B38"/>
    <w:rsid w:val="00C40114"/>
    <w:rsid w:val="00C4029B"/>
    <w:rsid w:val="00C407CE"/>
    <w:rsid w:val="00C43C50"/>
    <w:rsid w:val="00C44CB4"/>
    <w:rsid w:val="00C470E7"/>
    <w:rsid w:val="00C51B63"/>
    <w:rsid w:val="00C51D27"/>
    <w:rsid w:val="00C51F6F"/>
    <w:rsid w:val="00C5219C"/>
    <w:rsid w:val="00C53C56"/>
    <w:rsid w:val="00C565C2"/>
    <w:rsid w:val="00C56B53"/>
    <w:rsid w:val="00C61677"/>
    <w:rsid w:val="00C6247B"/>
    <w:rsid w:val="00C62775"/>
    <w:rsid w:val="00C63693"/>
    <w:rsid w:val="00C677EA"/>
    <w:rsid w:val="00C70CFB"/>
    <w:rsid w:val="00C70FA3"/>
    <w:rsid w:val="00C7200C"/>
    <w:rsid w:val="00C747F7"/>
    <w:rsid w:val="00C76246"/>
    <w:rsid w:val="00C764F0"/>
    <w:rsid w:val="00C8015C"/>
    <w:rsid w:val="00C80771"/>
    <w:rsid w:val="00C811AB"/>
    <w:rsid w:val="00C81980"/>
    <w:rsid w:val="00C83D00"/>
    <w:rsid w:val="00C847E7"/>
    <w:rsid w:val="00C850A4"/>
    <w:rsid w:val="00C864D2"/>
    <w:rsid w:val="00C90F11"/>
    <w:rsid w:val="00C910B1"/>
    <w:rsid w:val="00C922E0"/>
    <w:rsid w:val="00C92DF6"/>
    <w:rsid w:val="00C93824"/>
    <w:rsid w:val="00C93C4D"/>
    <w:rsid w:val="00C93CC5"/>
    <w:rsid w:val="00C94563"/>
    <w:rsid w:val="00C96770"/>
    <w:rsid w:val="00C96CEA"/>
    <w:rsid w:val="00CA0EB3"/>
    <w:rsid w:val="00CA29FE"/>
    <w:rsid w:val="00CA345B"/>
    <w:rsid w:val="00CA7986"/>
    <w:rsid w:val="00CB0928"/>
    <w:rsid w:val="00CB0D45"/>
    <w:rsid w:val="00CB1F63"/>
    <w:rsid w:val="00CB328A"/>
    <w:rsid w:val="00CB3354"/>
    <w:rsid w:val="00CB395A"/>
    <w:rsid w:val="00CB4D9E"/>
    <w:rsid w:val="00CB73EE"/>
    <w:rsid w:val="00CB79A8"/>
    <w:rsid w:val="00CC1CE8"/>
    <w:rsid w:val="00CC2080"/>
    <w:rsid w:val="00CC322B"/>
    <w:rsid w:val="00CC55B5"/>
    <w:rsid w:val="00CD1797"/>
    <w:rsid w:val="00CD1E98"/>
    <w:rsid w:val="00CD463F"/>
    <w:rsid w:val="00CD56AB"/>
    <w:rsid w:val="00CD7AB2"/>
    <w:rsid w:val="00CE04BB"/>
    <w:rsid w:val="00CE05F9"/>
    <w:rsid w:val="00CE1855"/>
    <w:rsid w:val="00CE2484"/>
    <w:rsid w:val="00CE3170"/>
    <w:rsid w:val="00CE54FB"/>
    <w:rsid w:val="00CE7298"/>
    <w:rsid w:val="00CE771D"/>
    <w:rsid w:val="00CE7B92"/>
    <w:rsid w:val="00CF141C"/>
    <w:rsid w:val="00CF2B74"/>
    <w:rsid w:val="00CF340C"/>
    <w:rsid w:val="00CF46D2"/>
    <w:rsid w:val="00CF4A98"/>
    <w:rsid w:val="00CF7069"/>
    <w:rsid w:val="00D00377"/>
    <w:rsid w:val="00D0056C"/>
    <w:rsid w:val="00D012DD"/>
    <w:rsid w:val="00D03099"/>
    <w:rsid w:val="00D110BE"/>
    <w:rsid w:val="00D112E1"/>
    <w:rsid w:val="00D1139C"/>
    <w:rsid w:val="00D114A7"/>
    <w:rsid w:val="00D12653"/>
    <w:rsid w:val="00D12AF9"/>
    <w:rsid w:val="00D130F9"/>
    <w:rsid w:val="00D148B2"/>
    <w:rsid w:val="00D163CC"/>
    <w:rsid w:val="00D16FBD"/>
    <w:rsid w:val="00D17E73"/>
    <w:rsid w:val="00D20FA8"/>
    <w:rsid w:val="00D2129E"/>
    <w:rsid w:val="00D21DD4"/>
    <w:rsid w:val="00D23C35"/>
    <w:rsid w:val="00D241B8"/>
    <w:rsid w:val="00D267CC"/>
    <w:rsid w:val="00D26A9E"/>
    <w:rsid w:val="00D273AF"/>
    <w:rsid w:val="00D274F0"/>
    <w:rsid w:val="00D31920"/>
    <w:rsid w:val="00D32ED2"/>
    <w:rsid w:val="00D334F1"/>
    <w:rsid w:val="00D34A8E"/>
    <w:rsid w:val="00D35074"/>
    <w:rsid w:val="00D37514"/>
    <w:rsid w:val="00D40D02"/>
    <w:rsid w:val="00D41C83"/>
    <w:rsid w:val="00D43200"/>
    <w:rsid w:val="00D43D0F"/>
    <w:rsid w:val="00D442C4"/>
    <w:rsid w:val="00D448AA"/>
    <w:rsid w:val="00D44CBE"/>
    <w:rsid w:val="00D46BC9"/>
    <w:rsid w:val="00D47235"/>
    <w:rsid w:val="00D47BCB"/>
    <w:rsid w:val="00D5319F"/>
    <w:rsid w:val="00D53B5F"/>
    <w:rsid w:val="00D54518"/>
    <w:rsid w:val="00D57495"/>
    <w:rsid w:val="00D6128E"/>
    <w:rsid w:val="00D61491"/>
    <w:rsid w:val="00D63EC8"/>
    <w:rsid w:val="00D642D7"/>
    <w:rsid w:val="00D6681F"/>
    <w:rsid w:val="00D701B5"/>
    <w:rsid w:val="00D70DB4"/>
    <w:rsid w:val="00D71269"/>
    <w:rsid w:val="00D71290"/>
    <w:rsid w:val="00D72353"/>
    <w:rsid w:val="00D741A1"/>
    <w:rsid w:val="00D76A9B"/>
    <w:rsid w:val="00D76F54"/>
    <w:rsid w:val="00D77429"/>
    <w:rsid w:val="00D801FC"/>
    <w:rsid w:val="00D8130F"/>
    <w:rsid w:val="00D82866"/>
    <w:rsid w:val="00D837DF"/>
    <w:rsid w:val="00D83A8D"/>
    <w:rsid w:val="00D840E5"/>
    <w:rsid w:val="00D86321"/>
    <w:rsid w:val="00D868F9"/>
    <w:rsid w:val="00D87297"/>
    <w:rsid w:val="00D87801"/>
    <w:rsid w:val="00D90B94"/>
    <w:rsid w:val="00D91A5D"/>
    <w:rsid w:val="00D91D9A"/>
    <w:rsid w:val="00D9448E"/>
    <w:rsid w:val="00D948E1"/>
    <w:rsid w:val="00D97966"/>
    <w:rsid w:val="00DA14C6"/>
    <w:rsid w:val="00DA1814"/>
    <w:rsid w:val="00DA19D1"/>
    <w:rsid w:val="00DA316C"/>
    <w:rsid w:val="00DA3AAD"/>
    <w:rsid w:val="00DA4D93"/>
    <w:rsid w:val="00DA6E13"/>
    <w:rsid w:val="00DA7885"/>
    <w:rsid w:val="00DA7A1A"/>
    <w:rsid w:val="00DB2034"/>
    <w:rsid w:val="00DB321B"/>
    <w:rsid w:val="00DB38C9"/>
    <w:rsid w:val="00DB6402"/>
    <w:rsid w:val="00DC004D"/>
    <w:rsid w:val="00DC0F48"/>
    <w:rsid w:val="00DC10F0"/>
    <w:rsid w:val="00DC3BF7"/>
    <w:rsid w:val="00DC5B95"/>
    <w:rsid w:val="00DC5CA1"/>
    <w:rsid w:val="00DD015D"/>
    <w:rsid w:val="00DD09E1"/>
    <w:rsid w:val="00DD44FE"/>
    <w:rsid w:val="00DD4641"/>
    <w:rsid w:val="00DD4FA4"/>
    <w:rsid w:val="00DD505C"/>
    <w:rsid w:val="00DD653B"/>
    <w:rsid w:val="00DE0165"/>
    <w:rsid w:val="00DE081C"/>
    <w:rsid w:val="00DE137A"/>
    <w:rsid w:val="00DE4679"/>
    <w:rsid w:val="00DE4F66"/>
    <w:rsid w:val="00DE5058"/>
    <w:rsid w:val="00DE679E"/>
    <w:rsid w:val="00DF0C7B"/>
    <w:rsid w:val="00DF2A6C"/>
    <w:rsid w:val="00DF5A48"/>
    <w:rsid w:val="00DF5CAB"/>
    <w:rsid w:val="00DF5F14"/>
    <w:rsid w:val="00DF6016"/>
    <w:rsid w:val="00DF75D5"/>
    <w:rsid w:val="00DF7B5C"/>
    <w:rsid w:val="00E00417"/>
    <w:rsid w:val="00E01BE7"/>
    <w:rsid w:val="00E05F09"/>
    <w:rsid w:val="00E07352"/>
    <w:rsid w:val="00E07E7D"/>
    <w:rsid w:val="00E10BA2"/>
    <w:rsid w:val="00E10C35"/>
    <w:rsid w:val="00E10F20"/>
    <w:rsid w:val="00E12760"/>
    <w:rsid w:val="00E12CE1"/>
    <w:rsid w:val="00E14CEB"/>
    <w:rsid w:val="00E16C1C"/>
    <w:rsid w:val="00E16DAF"/>
    <w:rsid w:val="00E20A25"/>
    <w:rsid w:val="00E21897"/>
    <w:rsid w:val="00E2214E"/>
    <w:rsid w:val="00E2349D"/>
    <w:rsid w:val="00E2393E"/>
    <w:rsid w:val="00E23DA9"/>
    <w:rsid w:val="00E24173"/>
    <w:rsid w:val="00E25142"/>
    <w:rsid w:val="00E25E7F"/>
    <w:rsid w:val="00E25EBE"/>
    <w:rsid w:val="00E27ED6"/>
    <w:rsid w:val="00E3172B"/>
    <w:rsid w:val="00E3458F"/>
    <w:rsid w:val="00E348F3"/>
    <w:rsid w:val="00E36374"/>
    <w:rsid w:val="00E41A82"/>
    <w:rsid w:val="00E422A0"/>
    <w:rsid w:val="00E43B7D"/>
    <w:rsid w:val="00E448CA"/>
    <w:rsid w:val="00E452B7"/>
    <w:rsid w:val="00E46C8C"/>
    <w:rsid w:val="00E47214"/>
    <w:rsid w:val="00E47A7D"/>
    <w:rsid w:val="00E47D20"/>
    <w:rsid w:val="00E50A77"/>
    <w:rsid w:val="00E55BE9"/>
    <w:rsid w:val="00E57D78"/>
    <w:rsid w:val="00E57D9F"/>
    <w:rsid w:val="00E61138"/>
    <w:rsid w:val="00E6200C"/>
    <w:rsid w:val="00E64968"/>
    <w:rsid w:val="00E6600D"/>
    <w:rsid w:val="00E702ED"/>
    <w:rsid w:val="00E71BF4"/>
    <w:rsid w:val="00E72514"/>
    <w:rsid w:val="00E771C7"/>
    <w:rsid w:val="00E80A66"/>
    <w:rsid w:val="00E825F6"/>
    <w:rsid w:val="00E83BB4"/>
    <w:rsid w:val="00E844BF"/>
    <w:rsid w:val="00E8522B"/>
    <w:rsid w:val="00E85393"/>
    <w:rsid w:val="00E86EA3"/>
    <w:rsid w:val="00E87111"/>
    <w:rsid w:val="00E905AA"/>
    <w:rsid w:val="00E909D2"/>
    <w:rsid w:val="00E92289"/>
    <w:rsid w:val="00E94773"/>
    <w:rsid w:val="00E97A4F"/>
    <w:rsid w:val="00EA378C"/>
    <w:rsid w:val="00EB24AD"/>
    <w:rsid w:val="00EB3704"/>
    <w:rsid w:val="00EB4804"/>
    <w:rsid w:val="00EC094F"/>
    <w:rsid w:val="00EC2DE1"/>
    <w:rsid w:val="00EC50E0"/>
    <w:rsid w:val="00EC6EE5"/>
    <w:rsid w:val="00ED090A"/>
    <w:rsid w:val="00ED0AE7"/>
    <w:rsid w:val="00ED0E5E"/>
    <w:rsid w:val="00ED1EEE"/>
    <w:rsid w:val="00ED5204"/>
    <w:rsid w:val="00ED591F"/>
    <w:rsid w:val="00ED62EE"/>
    <w:rsid w:val="00EE145E"/>
    <w:rsid w:val="00EE171D"/>
    <w:rsid w:val="00EE17C4"/>
    <w:rsid w:val="00EE1B4D"/>
    <w:rsid w:val="00EE20BF"/>
    <w:rsid w:val="00EE658A"/>
    <w:rsid w:val="00EE717C"/>
    <w:rsid w:val="00EE78E5"/>
    <w:rsid w:val="00EF0170"/>
    <w:rsid w:val="00EF01FE"/>
    <w:rsid w:val="00EF041A"/>
    <w:rsid w:val="00EF1B9B"/>
    <w:rsid w:val="00EF1C11"/>
    <w:rsid w:val="00EF3160"/>
    <w:rsid w:val="00EF4015"/>
    <w:rsid w:val="00EF406A"/>
    <w:rsid w:val="00EF430F"/>
    <w:rsid w:val="00EF4C0E"/>
    <w:rsid w:val="00EF5E1F"/>
    <w:rsid w:val="00EF7281"/>
    <w:rsid w:val="00EF783E"/>
    <w:rsid w:val="00F0132B"/>
    <w:rsid w:val="00F0280D"/>
    <w:rsid w:val="00F02D9D"/>
    <w:rsid w:val="00F03742"/>
    <w:rsid w:val="00F03B2D"/>
    <w:rsid w:val="00F04241"/>
    <w:rsid w:val="00F04CE8"/>
    <w:rsid w:val="00F05BA0"/>
    <w:rsid w:val="00F06CD0"/>
    <w:rsid w:val="00F07E8A"/>
    <w:rsid w:val="00F10666"/>
    <w:rsid w:val="00F12F5A"/>
    <w:rsid w:val="00F14E45"/>
    <w:rsid w:val="00F15FDA"/>
    <w:rsid w:val="00F16419"/>
    <w:rsid w:val="00F174E7"/>
    <w:rsid w:val="00F20B5F"/>
    <w:rsid w:val="00F20F6E"/>
    <w:rsid w:val="00F22CEC"/>
    <w:rsid w:val="00F25143"/>
    <w:rsid w:val="00F2532F"/>
    <w:rsid w:val="00F30083"/>
    <w:rsid w:val="00F31D4D"/>
    <w:rsid w:val="00F32A81"/>
    <w:rsid w:val="00F3388C"/>
    <w:rsid w:val="00F3400B"/>
    <w:rsid w:val="00F34420"/>
    <w:rsid w:val="00F35956"/>
    <w:rsid w:val="00F4144F"/>
    <w:rsid w:val="00F417F9"/>
    <w:rsid w:val="00F43DEC"/>
    <w:rsid w:val="00F44DAB"/>
    <w:rsid w:val="00F45AEE"/>
    <w:rsid w:val="00F52971"/>
    <w:rsid w:val="00F52E84"/>
    <w:rsid w:val="00F534D0"/>
    <w:rsid w:val="00F54CAB"/>
    <w:rsid w:val="00F55331"/>
    <w:rsid w:val="00F56BFA"/>
    <w:rsid w:val="00F56CF1"/>
    <w:rsid w:val="00F56D01"/>
    <w:rsid w:val="00F5747C"/>
    <w:rsid w:val="00F577FF"/>
    <w:rsid w:val="00F57F8F"/>
    <w:rsid w:val="00F61AEC"/>
    <w:rsid w:val="00F64263"/>
    <w:rsid w:val="00F65AD6"/>
    <w:rsid w:val="00F67F44"/>
    <w:rsid w:val="00F7065A"/>
    <w:rsid w:val="00F72BFF"/>
    <w:rsid w:val="00F72C5F"/>
    <w:rsid w:val="00F72DDA"/>
    <w:rsid w:val="00F82271"/>
    <w:rsid w:val="00F829A5"/>
    <w:rsid w:val="00F82AB9"/>
    <w:rsid w:val="00F82F8F"/>
    <w:rsid w:val="00F834E3"/>
    <w:rsid w:val="00F83E16"/>
    <w:rsid w:val="00F8417A"/>
    <w:rsid w:val="00F84664"/>
    <w:rsid w:val="00F85626"/>
    <w:rsid w:val="00F873DE"/>
    <w:rsid w:val="00F87C1F"/>
    <w:rsid w:val="00F95A30"/>
    <w:rsid w:val="00F96ABA"/>
    <w:rsid w:val="00F97F6A"/>
    <w:rsid w:val="00FA09D0"/>
    <w:rsid w:val="00FA14D6"/>
    <w:rsid w:val="00FA15AF"/>
    <w:rsid w:val="00FA227B"/>
    <w:rsid w:val="00FA46F6"/>
    <w:rsid w:val="00FA53B0"/>
    <w:rsid w:val="00FB0748"/>
    <w:rsid w:val="00FB3938"/>
    <w:rsid w:val="00FB4267"/>
    <w:rsid w:val="00FB4FE6"/>
    <w:rsid w:val="00FB5FB7"/>
    <w:rsid w:val="00FB7B81"/>
    <w:rsid w:val="00FC3015"/>
    <w:rsid w:val="00FC322A"/>
    <w:rsid w:val="00FC37BD"/>
    <w:rsid w:val="00FC6091"/>
    <w:rsid w:val="00FC6747"/>
    <w:rsid w:val="00FC7392"/>
    <w:rsid w:val="00FC76A5"/>
    <w:rsid w:val="00FC7DB5"/>
    <w:rsid w:val="00FD0E2A"/>
    <w:rsid w:val="00FD129B"/>
    <w:rsid w:val="00FD1DB4"/>
    <w:rsid w:val="00FD2141"/>
    <w:rsid w:val="00FD31E0"/>
    <w:rsid w:val="00FD34EE"/>
    <w:rsid w:val="00FD376A"/>
    <w:rsid w:val="00FD3846"/>
    <w:rsid w:val="00FD38A6"/>
    <w:rsid w:val="00FD4D43"/>
    <w:rsid w:val="00FD6406"/>
    <w:rsid w:val="00FD763D"/>
    <w:rsid w:val="00FE2371"/>
    <w:rsid w:val="00FE2ED5"/>
    <w:rsid w:val="00FE4447"/>
    <w:rsid w:val="00FE4971"/>
    <w:rsid w:val="00FE4DCE"/>
    <w:rsid w:val="00FF0AC3"/>
    <w:rsid w:val="00FF1137"/>
    <w:rsid w:val="00FF22DC"/>
    <w:rsid w:val="00FF285A"/>
    <w:rsid w:val="00FF30C4"/>
    <w:rsid w:val="00FF4A19"/>
    <w:rsid w:val="00FF5DA2"/>
    <w:rsid w:val="00FF7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6A83A"/>
  <w15:chartTrackingRefBased/>
  <w15:docId w15:val="{3D5B38DB-A9BB-4AC6-8F14-3CEEDCB2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2DD"/>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7662DD"/>
    <w:pPr>
      <w:keepNext/>
      <w:keepLines/>
      <w:spacing w:before="480" w:after="0"/>
      <w:outlineLvl w:val="0"/>
    </w:pPr>
    <w:rPr>
      <w:rFonts w:asciiTheme="majorHAnsi" w:eastAsiaTheme="majorEastAsia" w:hAnsiTheme="majorHAnsi" w:cstheme="majorBidi"/>
      <w:b/>
      <w:bCs/>
      <w:color w:val="2E74B5" w:themeColor="accent1" w:themeShade="BF"/>
      <w:sz w:val="28"/>
      <w:szCs w:val="28"/>
      <w:lang w:val="nl-BE"/>
    </w:rPr>
  </w:style>
  <w:style w:type="paragraph" w:styleId="Heading2">
    <w:name w:val="heading 2"/>
    <w:basedOn w:val="Normal"/>
    <w:next w:val="Normal"/>
    <w:link w:val="Heading2Char"/>
    <w:uiPriority w:val="9"/>
    <w:unhideWhenUsed/>
    <w:qFormat/>
    <w:rsid w:val="004672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2DD"/>
    <w:rPr>
      <w:rFonts w:asciiTheme="majorHAnsi" w:eastAsiaTheme="majorEastAsia" w:hAnsiTheme="majorHAnsi" w:cstheme="majorBidi"/>
      <w:b/>
      <w:bCs/>
      <w:color w:val="2E74B5" w:themeColor="accent1" w:themeShade="BF"/>
      <w:sz w:val="28"/>
      <w:szCs w:val="28"/>
      <w:lang w:val="nl-BE"/>
    </w:rPr>
  </w:style>
  <w:style w:type="paragraph" w:customStyle="1" w:styleId="BodyA">
    <w:name w:val="Body A"/>
    <w:rsid w:val="007662DD"/>
    <w:pPr>
      <w:spacing w:line="256" w:lineRule="auto"/>
    </w:pPr>
    <w:rPr>
      <w:rFonts w:ascii="Calibri" w:eastAsia="Calibri" w:hAnsi="Calibri" w:cs="Calibri"/>
      <w:color w:val="000000"/>
      <w:u w:color="000000"/>
      <w:lang w:val="en-US"/>
    </w:rPr>
  </w:style>
  <w:style w:type="character" w:styleId="Hyperlink">
    <w:name w:val="Hyperlink"/>
    <w:basedOn w:val="DefaultParagraphFont"/>
    <w:uiPriority w:val="99"/>
    <w:unhideWhenUsed/>
    <w:rsid w:val="007662DD"/>
    <w:rPr>
      <w:color w:val="0563C1" w:themeColor="hyperlink"/>
      <w:u w:val="single"/>
    </w:rPr>
  </w:style>
  <w:style w:type="character" w:styleId="CommentReference">
    <w:name w:val="annotation reference"/>
    <w:basedOn w:val="DefaultParagraphFont"/>
    <w:uiPriority w:val="99"/>
    <w:semiHidden/>
    <w:unhideWhenUsed/>
    <w:rsid w:val="007662DD"/>
    <w:rPr>
      <w:sz w:val="16"/>
      <w:szCs w:val="16"/>
    </w:rPr>
  </w:style>
  <w:style w:type="paragraph" w:styleId="CommentText">
    <w:name w:val="annotation text"/>
    <w:basedOn w:val="Normal"/>
    <w:link w:val="CommentTextChar"/>
    <w:uiPriority w:val="99"/>
    <w:unhideWhenUsed/>
    <w:rsid w:val="007662DD"/>
    <w:pPr>
      <w:spacing w:line="240" w:lineRule="auto"/>
    </w:pPr>
    <w:rPr>
      <w:sz w:val="20"/>
      <w:szCs w:val="20"/>
    </w:rPr>
  </w:style>
  <w:style w:type="character" w:customStyle="1" w:styleId="CommentTextChar">
    <w:name w:val="Comment Text Char"/>
    <w:basedOn w:val="DefaultParagraphFont"/>
    <w:link w:val="CommentText"/>
    <w:uiPriority w:val="99"/>
    <w:rsid w:val="007662DD"/>
    <w:rPr>
      <w:rFonts w:ascii="Calibri" w:eastAsia="Calibri" w:hAnsi="Calibri" w:cs="Times New Roman"/>
      <w:sz w:val="20"/>
      <w:szCs w:val="20"/>
      <w:lang w:val="en-US"/>
    </w:rPr>
  </w:style>
  <w:style w:type="character" w:customStyle="1" w:styleId="None">
    <w:name w:val="None"/>
    <w:rsid w:val="007662DD"/>
  </w:style>
  <w:style w:type="table" w:styleId="PlainTable3">
    <w:name w:val="Plain Table 3"/>
    <w:basedOn w:val="TableNormal"/>
    <w:uiPriority w:val="43"/>
    <w:rsid w:val="007662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7662DD"/>
    <w:pPr>
      <w:spacing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66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2DD"/>
    <w:rPr>
      <w:rFonts w:ascii="Segoe UI" w:eastAsia="Calibri" w:hAnsi="Segoe UI" w:cs="Segoe UI"/>
      <w:sz w:val="18"/>
      <w:szCs w:val="18"/>
      <w:lang w:val="en-US"/>
    </w:rPr>
  </w:style>
  <w:style w:type="paragraph" w:styleId="ListParagraph">
    <w:name w:val="List Paragraph"/>
    <w:basedOn w:val="Normal"/>
    <w:uiPriority w:val="34"/>
    <w:qFormat/>
    <w:rsid w:val="00420500"/>
    <w:pPr>
      <w:ind w:left="720"/>
      <w:contextualSpacing/>
    </w:pPr>
  </w:style>
  <w:style w:type="paragraph" w:styleId="CommentSubject">
    <w:name w:val="annotation subject"/>
    <w:basedOn w:val="CommentText"/>
    <w:next w:val="CommentText"/>
    <w:link w:val="CommentSubjectChar"/>
    <w:uiPriority w:val="99"/>
    <w:semiHidden/>
    <w:unhideWhenUsed/>
    <w:rsid w:val="00AB5F29"/>
    <w:rPr>
      <w:b/>
      <w:bCs/>
    </w:rPr>
  </w:style>
  <w:style w:type="character" w:customStyle="1" w:styleId="CommentSubjectChar">
    <w:name w:val="Comment Subject Char"/>
    <w:basedOn w:val="CommentTextChar"/>
    <w:link w:val="CommentSubject"/>
    <w:uiPriority w:val="99"/>
    <w:semiHidden/>
    <w:rsid w:val="00AB5F29"/>
    <w:rPr>
      <w:rFonts w:ascii="Calibri" w:eastAsia="Calibri" w:hAnsi="Calibri" w:cs="Times New Roman"/>
      <w:b/>
      <w:bCs/>
      <w:sz w:val="20"/>
      <w:szCs w:val="20"/>
      <w:lang w:val="en-US"/>
    </w:rPr>
  </w:style>
  <w:style w:type="paragraph" w:styleId="Subtitle">
    <w:name w:val="Subtitle"/>
    <w:basedOn w:val="Normal"/>
    <w:next w:val="Normal"/>
    <w:link w:val="SubtitleChar"/>
    <w:uiPriority w:val="11"/>
    <w:qFormat/>
    <w:rsid w:val="00E3637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6374"/>
    <w:rPr>
      <w:rFonts w:eastAsiaTheme="minorEastAsia"/>
      <w:color w:val="5A5A5A" w:themeColor="text1" w:themeTint="A5"/>
      <w:spacing w:val="15"/>
      <w:lang w:val="en-US"/>
    </w:rPr>
  </w:style>
  <w:style w:type="table" w:styleId="TableGrid">
    <w:name w:val="Table Grid"/>
    <w:basedOn w:val="TableNormal"/>
    <w:uiPriority w:val="39"/>
    <w:rsid w:val="00A31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72C6"/>
    <w:rPr>
      <w:rFonts w:asciiTheme="majorHAnsi" w:eastAsiaTheme="majorEastAsia" w:hAnsiTheme="majorHAnsi" w:cstheme="majorBidi"/>
      <w:color w:val="2E74B5" w:themeColor="accent1" w:themeShade="BF"/>
      <w:sz w:val="26"/>
      <w:szCs w:val="26"/>
      <w:lang w:val="en-US"/>
    </w:rPr>
  </w:style>
  <w:style w:type="character" w:styleId="FollowedHyperlink">
    <w:name w:val="FollowedHyperlink"/>
    <w:basedOn w:val="DefaultParagraphFont"/>
    <w:uiPriority w:val="99"/>
    <w:semiHidden/>
    <w:unhideWhenUsed/>
    <w:rsid w:val="00642420"/>
    <w:rPr>
      <w:color w:val="954F72" w:themeColor="followedHyperlink"/>
      <w:u w:val="single"/>
    </w:rPr>
  </w:style>
  <w:style w:type="character" w:customStyle="1" w:styleId="il">
    <w:name w:val="il"/>
    <w:basedOn w:val="DefaultParagraphFont"/>
    <w:rsid w:val="00A02322"/>
  </w:style>
  <w:style w:type="paragraph" w:styleId="HTMLPreformatted">
    <w:name w:val="HTML Preformatted"/>
    <w:basedOn w:val="Normal"/>
    <w:link w:val="HTMLPreformattedChar"/>
    <w:uiPriority w:val="99"/>
    <w:unhideWhenUsed/>
    <w:rsid w:val="00BA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A291D"/>
    <w:rPr>
      <w:rFonts w:ascii="Courier New" w:eastAsia="Times New Roman" w:hAnsi="Courier New" w:cs="Courier New"/>
      <w:sz w:val="20"/>
      <w:szCs w:val="20"/>
      <w:lang w:eastAsia="en-GB"/>
    </w:rPr>
  </w:style>
  <w:style w:type="character" w:customStyle="1" w:styleId="gnkrckgcgsb">
    <w:name w:val="gnkrckgcgsb"/>
    <w:basedOn w:val="DefaultParagraphFont"/>
    <w:rsid w:val="00BA291D"/>
  </w:style>
  <w:style w:type="character" w:customStyle="1" w:styleId="e24kjd">
    <w:name w:val="e24kjd"/>
    <w:basedOn w:val="DefaultParagraphFont"/>
    <w:rsid w:val="00DE137A"/>
  </w:style>
  <w:style w:type="table" w:styleId="PlainTable2">
    <w:name w:val="Plain Table 2"/>
    <w:basedOn w:val="TableNormal"/>
    <w:uiPriority w:val="42"/>
    <w:rsid w:val="005E69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B071B"/>
    <w:pPr>
      <w:spacing w:after="0" w:line="240" w:lineRule="auto"/>
    </w:pPr>
    <w:rPr>
      <w:rFonts w:ascii="Calibri" w:eastAsia="Calibri" w:hAnsi="Calibri" w:cs="Times New Roman"/>
      <w:lang w:val="en-US"/>
    </w:rPr>
  </w:style>
  <w:style w:type="paragraph" w:customStyle="1" w:styleId="gmail-m-4555736301801369322default">
    <w:name w:val="gmail-m-4555736301801369322default"/>
    <w:basedOn w:val="Normal"/>
    <w:rsid w:val="004B79C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4B79C0"/>
  </w:style>
  <w:style w:type="character" w:customStyle="1" w:styleId="gmail-m-4555736301801369322apple-converted-space">
    <w:name w:val="gmail-m-4555736301801369322apple-converted-space"/>
    <w:basedOn w:val="DefaultParagraphFont"/>
    <w:rsid w:val="004B79C0"/>
  </w:style>
  <w:style w:type="character" w:styleId="LineNumber">
    <w:name w:val="line number"/>
    <w:basedOn w:val="DefaultParagraphFont"/>
    <w:uiPriority w:val="99"/>
    <w:semiHidden/>
    <w:unhideWhenUsed/>
    <w:rsid w:val="0011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4941">
      <w:bodyDiv w:val="1"/>
      <w:marLeft w:val="0"/>
      <w:marRight w:val="0"/>
      <w:marTop w:val="0"/>
      <w:marBottom w:val="0"/>
      <w:divBdr>
        <w:top w:val="none" w:sz="0" w:space="0" w:color="auto"/>
        <w:left w:val="none" w:sz="0" w:space="0" w:color="auto"/>
        <w:bottom w:val="none" w:sz="0" w:space="0" w:color="auto"/>
        <w:right w:val="none" w:sz="0" w:space="0" w:color="auto"/>
      </w:divBdr>
    </w:div>
    <w:div w:id="185604871">
      <w:bodyDiv w:val="1"/>
      <w:marLeft w:val="0"/>
      <w:marRight w:val="0"/>
      <w:marTop w:val="0"/>
      <w:marBottom w:val="0"/>
      <w:divBdr>
        <w:top w:val="none" w:sz="0" w:space="0" w:color="auto"/>
        <w:left w:val="none" w:sz="0" w:space="0" w:color="auto"/>
        <w:bottom w:val="none" w:sz="0" w:space="0" w:color="auto"/>
        <w:right w:val="none" w:sz="0" w:space="0" w:color="auto"/>
      </w:divBdr>
    </w:div>
    <w:div w:id="241381687">
      <w:bodyDiv w:val="1"/>
      <w:marLeft w:val="0"/>
      <w:marRight w:val="0"/>
      <w:marTop w:val="0"/>
      <w:marBottom w:val="0"/>
      <w:divBdr>
        <w:top w:val="none" w:sz="0" w:space="0" w:color="auto"/>
        <w:left w:val="none" w:sz="0" w:space="0" w:color="auto"/>
        <w:bottom w:val="none" w:sz="0" w:space="0" w:color="auto"/>
        <w:right w:val="none" w:sz="0" w:space="0" w:color="auto"/>
      </w:divBdr>
    </w:div>
    <w:div w:id="510144726">
      <w:bodyDiv w:val="1"/>
      <w:marLeft w:val="0"/>
      <w:marRight w:val="0"/>
      <w:marTop w:val="0"/>
      <w:marBottom w:val="0"/>
      <w:divBdr>
        <w:top w:val="none" w:sz="0" w:space="0" w:color="auto"/>
        <w:left w:val="none" w:sz="0" w:space="0" w:color="auto"/>
        <w:bottom w:val="none" w:sz="0" w:space="0" w:color="auto"/>
        <w:right w:val="none" w:sz="0" w:space="0" w:color="auto"/>
      </w:divBdr>
    </w:div>
    <w:div w:id="625694037">
      <w:bodyDiv w:val="1"/>
      <w:marLeft w:val="0"/>
      <w:marRight w:val="0"/>
      <w:marTop w:val="0"/>
      <w:marBottom w:val="0"/>
      <w:divBdr>
        <w:top w:val="none" w:sz="0" w:space="0" w:color="auto"/>
        <w:left w:val="none" w:sz="0" w:space="0" w:color="auto"/>
        <w:bottom w:val="none" w:sz="0" w:space="0" w:color="auto"/>
        <w:right w:val="none" w:sz="0" w:space="0" w:color="auto"/>
      </w:divBdr>
    </w:div>
    <w:div w:id="652607608">
      <w:bodyDiv w:val="1"/>
      <w:marLeft w:val="0"/>
      <w:marRight w:val="0"/>
      <w:marTop w:val="0"/>
      <w:marBottom w:val="0"/>
      <w:divBdr>
        <w:top w:val="none" w:sz="0" w:space="0" w:color="auto"/>
        <w:left w:val="none" w:sz="0" w:space="0" w:color="auto"/>
        <w:bottom w:val="none" w:sz="0" w:space="0" w:color="auto"/>
        <w:right w:val="none" w:sz="0" w:space="0" w:color="auto"/>
      </w:divBdr>
    </w:div>
    <w:div w:id="1170950624">
      <w:bodyDiv w:val="1"/>
      <w:marLeft w:val="0"/>
      <w:marRight w:val="0"/>
      <w:marTop w:val="0"/>
      <w:marBottom w:val="0"/>
      <w:divBdr>
        <w:top w:val="none" w:sz="0" w:space="0" w:color="auto"/>
        <w:left w:val="none" w:sz="0" w:space="0" w:color="auto"/>
        <w:bottom w:val="none" w:sz="0" w:space="0" w:color="auto"/>
        <w:right w:val="none" w:sz="0" w:space="0" w:color="auto"/>
      </w:divBdr>
    </w:div>
    <w:div w:id="1358311954">
      <w:bodyDiv w:val="1"/>
      <w:marLeft w:val="0"/>
      <w:marRight w:val="0"/>
      <w:marTop w:val="0"/>
      <w:marBottom w:val="0"/>
      <w:divBdr>
        <w:top w:val="none" w:sz="0" w:space="0" w:color="auto"/>
        <w:left w:val="none" w:sz="0" w:space="0" w:color="auto"/>
        <w:bottom w:val="none" w:sz="0" w:space="0" w:color="auto"/>
        <w:right w:val="none" w:sz="0" w:space="0" w:color="auto"/>
      </w:divBdr>
    </w:div>
    <w:div w:id="1423915460">
      <w:bodyDiv w:val="1"/>
      <w:marLeft w:val="0"/>
      <w:marRight w:val="0"/>
      <w:marTop w:val="0"/>
      <w:marBottom w:val="0"/>
      <w:divBdr>
        <w:top w:val="none" w:sz="0" w:space="0" w:color="auto"/>
        <w:left w:val="none" w:sz="0" w:space="0" w:color="auto"/>
        <w:bottom w:val="none" w:sz="0" w:space="0" w:color="auto"/>
        <w:right w:val="none" w:sz="0" w:space="0" w:color="auto"/>
      </w:divBdr>
    </w:div>
    <w:div w:id="1822648413">
      <w:bodyDiv w:val="1"/>
      <w:marLeft w:val="0"/>
      <w:marRight w:val="0"/>
      <w:marTop w:val="0"/>
      <w:marBottom w:val="0"/>
      <w:divBdr>
        <w:top w:val="none" w:sz="0" w:space="0" w:color="auto"/>
        <w:left w:val="none" w:sz="0" w:space="0" w:color="auto"/>
        <w:bottom w:val="none" w:sz="0" w:space="0" w:color="auto"/>
        <w:right w:val="none" w:sz="0" w:space="0" w:color="auto"/>
      </w:divBdr>
    </w:div>
    <w:div w:id="19461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file:///C:\Users\lucp7669\Desktop\www.esf.org\tra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bruyndonckx@uhasselt.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DB499-F879-4BF4-B81C-9061035D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17468</Words>
  <Characters>99574</Characters>
  <Application>Microsoft Office Word</Application>
  <DocSecurity>0</DocSecurity>
  <Lines>829</Lines>
  <Paragraphs>233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UHasselt</Company>
  <LinksUpToDate>false</LinksUpToDate>
  <CharactersWithSpaces>116809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BRUYNDONCKX Robin</dc:creator>
  <cp:keywords/>
  <dc:description/>
  <cp:lastModifiedBy>BRUYNDONCKX Robin</cp:lastModifiedBy>
  <cp:revision>4</cp:revision>
  <dcterms:created xsi:type="dcterms:W3CDTF">2020-04-05T05:50:00Z</dcterms:created>
  <dcterms:modified xsi:type="dcterms:W3CDTF">2020-04-05T05:53:00Z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http://www.zotero.org/styles/elsevier-vancouver</vt:lpwstr>
  </property>
  <property fmtid="{D5CDD505-2E9C-101B-9397-08002B2CF9AE}" pid="7" name="Mendeley Recent Style Name 2_1">
    <vt:lpwstr>Elsevier - Vancouver</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http://www.zotero.org/styles/international-journal-of-infectious-diseases</vt:lpwstr>
  </property>
  <property fmtid="{D5CDD505-2E9C-101B-9397-08002B2CF9AE}" pid="11" name="Mendeley Recent Style Name 4_1">
    <vt:lpwstr>International Journal of Infectious Diseases</vt:lpwstr>
  </property>
  <property fmtid="{D5CDD505-2E9C-101B-9397-08002B2CF9AE}" pid="12" name="Mendeley Recent Style Id 5_1">
    <vt:lpwstr>http://www.zotero.org/styles/journal-of-antimicrobial-chemotherapy</vt:lpwstr>
  </property>
  <property fmtid="{D5CDD505-2E9C-101B-9397-08002B2CF9AE}" pid="13" name="Mendeley Recent Style Name 5_1">
    <vt:lpwstr>Journal of Antimicrobial Chemotherapy</vt:lpwstr>
  </property>
  <property fmtid="{D5CDD505-2E9C-101B-9397-08002B2CF9AE}" pid="14" name="Mendeley Recent Style Id 6_1">
    <vt:lpwstr>http://csl.mendeley.com/styles/206460741/journal-of-antimicrobial-chemotherapy-2</vt:lpwstr>
  </property>
  <property fmtid="{D5CDD505-2E9C-101B-9397-08002B2CF9AE}" pid="15" name="Mendeley Recent Style Name 6_1">
    <vt:lpwstr>Journal of Antimicrobial Chemotherapy - robin bruyndonckx, Miss</vt:lpwstr>
  </property>
  <property fmtid="{D5CDD505-2E9C-101B-9397-08002B2CF9AE}" pid="16" name="Mendeley Recent Style Id 7_1">
    <vt:lpwstr>http://www.zotero.org/styles/the-lancet-infectious-diseases</vt:lpwstr>
  </property>
  <property fmtid="{D5CDD505-2E9C-101B-9397-08002B2CF9AE}" pid="17" name="Mendeley Recent Style Name 7_1">
    <vt:lpwstr>The Lancet Infectious Diseases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https://csl.mendeley.com/styles/206460741/vancouver-author-date-Robin</vt:lpwstr>
  </property>
  <property fmtid="{D5CDD505-2E9C-101B-9397-08002B2CF9AE}" pid="21" name="Mendeley Recent Style Name 9_1">
    <vt:lpwstr>Vancouver (author-date) - robin bruyndonckx, Miss</vt:lpwstr>
  </property>
  <property fmtid="{D5CDD505-2E9C-101B-9397-08002B2CF9AE}" pid="22" name="Mendeley Document_1">
    <vt:lpwstr>True</vt:lpwstr>
  </property>
  <property fmtid="{D5CDD505-2E9C-101B-9397-08002B2CF9AE}" pid="23" name="Mendeley Unique User Id_1">
    <vt:lpwstr>87104d42-75d4-34fb-ad65-35bcdd1b4f36</vt:lpwstr>
  </property>
  <property fmtid="{D5CDD505-2E9C-101B-9397-08002B2CF9AE}" pid="24" name="Mendeley Citation Style_1">
    <vt:lpwstr>https://csl.mendeley.com/styles/206460741/vancouver-author-date-Robin</vt:lpwstr>
  </property>
</Properties>
</file>