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37BBE" w14:textId="2491C852" w:rsidR="00C83AD9" w:rsidRPr="00B865A6" w:rsidRDefault="00F25E88" w:rsidP="00AA4750">
      <w:pPr>
        <w:pStyle w:val="Heading1"/>
      </w:pPr>
      <w:r>
        <w:t>Forest</w:t>
      </w:r>
      <w:r w:rsidR="00021B28">
        <w:t xml:space="preserve"> damage by deer de</w:t>
      </w:r>
      <w:r w:rsidR="00322A14">
        <w:t>pends on</w:t>
      </w:r>
      <w:r w:rsidR="00021B28">
        <w:t xml:space="preserve"> cross-scale interactions between</w:t>
      </w:r>
      <w:r w:rsidR="00322A14">
        <w:t xml:space="preserve"> climate, deer density and landscape structure </w:t>
      </w:r>
    </w:p>
    <w:p w14:paraId="512F0CE0" w14:textId="77777777" w:rsidR="00C83AD9" w:rsidRPr="00B865A6" w:rsidRDefault="00C83AD9" w:rsidP="00C83AD9">
      <w:pPr>
        <w:tabs>
          <w:tab w:val="left" w:pos="2432"/>
        </w:tabs>
        <w:spacing w:line="360" w:lineRule="auto"/>
      </w:pPr>
      <w:r w:rsidRPr="00B865A6">
        <w:t>Rebecca Spake</w:t>
      </w:r>
      <w:r w:rsidRPr="00B865A6">
        <w:rPr>
          <w:vertAlign w:val="superscript"/>
          <w:lang w:eastAsia="zh-CN"/>
        </w:rPr>
        <w:t>1</w:t>
      </w:r>
      <w:r w:rsidRPr="00B865A6">
        <w:t>, Chloe Bellamy</w:t>
      </w:r>
      <w:r w:rsidRPr="00B865A6">
        <w:rPr>
          <w:vertAlign w:val="superscript"/>
        </w:rPr>
        <w:t>2</w:t>
      </w:r>
      <w:r w:rsidRPr="00B865A6">
        <w:t>, Robin Gill</w:t>
      </w:r>
      <w:r w:rsidRPr="00B865A6">
        <w:rPr>
          <w:vertAlign w:val="superscript"/>
        </w:rPr>
        <w:t>3</w:t>
      </w:r>
      <w:r w:rsidRPr="00B865A6">
        <w:t>, Kevin Watts</w:t>
      </w:r>
      <w:r w:rsidRPr="00B865A6">
        <w:rPr>
          <w:vertAlign w:val="superscript"/>
        </w:rPr>
        <w:t>3</w:t>
      </w:r>
      <w:r w:rsidRPr="00B865A6">
        <w:t>, Tom Wilson</w:t>
      </w:r>
      <w:r w:rsidRPr="00B865A6">
        <w:rPr>
          <w:vertAlign w:val="superscript"/>
        </w:rPr>
        <w:t>4</w:t>
      </w:r>
      <w:r w:rsidRPr="00B865A6">
        <w:t>, Ben Ditchburn</w:t>
      </w:r>
      <w:r w:rsidRPr="00B865A6">
        <w:rPr>
          <w:vertAlign w:val="superscript"/>
        </w:rPr>
        <w:t>4</w:t>
      </w:r>
      <w:r w:rsidRPr="00B865A6">
        <w:t>, Felix Eigenbrod</w:t>
      </w:r>
      <w:r w:rsidRPr="00B865A6">
        <w:rPr>
          <w:vertAlign w:val="superscript"/>
          <w:lang w:eastAsia="zh-CN"/>
        </w:rPr>
        <w:t>1</w:t>
      </w:r>
      <w:r w:rsidRPr="00B865A6">
        <w:t xml:space="preserve"> </w:t>
      </w:r>
    </w:p>
    <w:p w14:paraId="150DD9F3" w14:textId="77777777" w:rsidR="00C83AD9" w:rsidRPr="00B865A6" w:rsidRDefault="00C83AD9" w:rsidP="00C83AD9">
      <w:pPr>
        <w:spacing w:line="360" w:lineRule="auto"/>
        <w:rPr>
          <w:lang w:eastAsia="zh-CN"/>
        </w:rPr>
      </w:pPr>
      <w:r w:rsidRPr="00B865A6">
        <w:rPr>
          <w:b/>
          <w:lang w:eastAsia="zh-CN"/>
        </w:rPr>
        <w:t>1</w:t>
      </w:r>
      <w:r w:rsidRPr="00B865A6">
        <w:rPr>
          <w:lang w:eastAsia="zh-CN"/>
        </w:rPr>
        <w:t xml:space="preserve"> School of Geography and Environmental Science, University of Southampton, Highfield Campus, Southampton, SO17 1BJ, U.K.</w:t>
      </w:r>
    </w:p>
    <w:p w14:paraId="4F6EFA52" w14:textId="77777777" w:rsidR="00C83AD9" w:rsidRPr="00B865A6" w:rsidRDefault="00C83AD9" w:rsidP="00C83AD9">
      <w:pPr>
        <w:spacing w:line="360" w:lineRule="auto"/>
        <w:rPr>
          <w:b/>
          <w:lang w:eastAsia="zh-CN"/>
        </w:rPr>
      </w:pPr>
      <w:r w:rsidRPr="00B865A6">
        <w:rPr>
          <w:b/>
          <w:lang w:eastAsia="zh-CN"/>
        </w:rPr>
        <w:t xml:space="preserve">2 </w:t>
      </w:r>
      <w:r w:rsidRPr="00B865A6">
        <w:rPr>
          <w:lang w:eastAsia="zh-CN"/>
        </w:rPr>
        <w:t>Forest Research, Northern Research Station, Roslin, Midlothian, EH25 9SY, UK.</w:t>
      </w:r>
    </w:p>
    <w:p w14:paraId="6F85FAB8" w14:textId="77777777" w:rsidR="00C83AD9" w:rsidRPr="00B865A6" w:rsidRDefault="00C83AD9" w:rsidP="00C83AD9">
      <w:pPr>
        <w:spacing w:line="360" w:lineRule="auto"/>
        <w:rPr>
          <w:lang w:eastAsia="en-GB"/>
        </w:rPr>
      </w:pPr>
      <w:r w:rsidRPr="00B865A6">
        <w:rPr>
          <w:b/>
          <w:lang w:eastAsia="zh-CN"/>
        </w:rPr>
        <w:t>3</w:t>
      </w:r>
      <w:r w:rsidRPr="00B865A6">
        <w:rPr>
          <w:lang w:eastAsia="zh-CN"/>
        </w:rPr>
        <w:t xml:space="preserve"> </w:t>
      </w:r>
      <w:r w:rsidRPr="00B865A6">
        <w:rPr>
          <w:lang w:eastAsia="en-GB"/>
        </w:rPr>
        <w:t xml:space="preserve">Forest Research, Alice Holt Lodge, Farnham, Surrey GU10 4LH, </w:t>
      </w:r>
      <w:r w:rsidRPr="00B865A6">
        <w:rPr>
          <w:lang w:eastAsia="zh-CN"/>
        </w:rPr>
        <w:t>UK.</w:t>
      </w:r>
    </w:p>
    <w:p w14:paraId="01F06A5F" w14:textId="77777777" w:rsidR="00C83AD9" w:rsidRPr="00B865A6" w:rsidRDefault="00C83AD9" w:rsidP="00C83AD9">
      <w:pPr>
        <w:spacing w:line="360" w:lineRule="auto"/>
        <w:rPr>
          <w:lang w:eastAsia="zh-CN"/>
        </w:rPr>
      </w:pPr>
      <w:r w:rsidRPr="00B865A6">
        <w:rPr>
          <w:b/>
          <w:lang w:eastAsia="zh-CN"/>
        </w:rPr>
        <w:t xml:space="preserve">4 </w:t>
      </w:r>
      <w:r w:rsidRPr="00B865A6">
        <w:rPr>
          <w:lang w:eastAsia="zh-CN"/>
        </w:rPr>
        <w:t>Forest Research, Silvan House, 231 Corstorphine Road, Edinburgh, EH12 7AT, UK.</w:t>
      </w:r>
    </w:p>
    <w:p w14:paraId="7F2D65FF" w14:textId="77777777" w:rsidR="00C83AD9" w:rsidRPr="00B865A6" w:rsidRDefault="00C83AD9" w:rsidP="00C83AD9">
      <w:pPr>
        <w:spacing w:line="360" w:lineRule="auto"/>
        <w:rPr>
          <w:lang w:eastAsia="zh-CN"/>
        </w:rPr>
      </w:pPr>
      <w:r w:rsidRPr="00B865A6">
        <w:rPr>
          <w:i/>
          <w:lang w:eastAsia="zh-CN"/>
        </w:rPr>
        <w:t>Corresponding author:</w:t>
      </w:r>
      <w:r w:rsidRPr="00B865A6">
        <w:rPr>
          <w:lang w:eastAsia="zh-CN"/>
        </w:rPr>
        <w:t xml:space="preserve"> Rebecca Spake, School of Geography and Environmental Science, University of Southampton, Highfield Campus, Southampton, SO17 1BJ, U.K. </w:t>
      </w:r>
      <w:hyperlink r:id="rId11" w:history="1">
        <w:r w:rsidRPr="00B865A6">
          <w:rPr>
            <w:rStyle w:val="Hyperlink"/>
            <w:lang w:eastAsia="zh-CN"/>
          </w:rPr>
          <w:t>R.Spake@soton.ac.uk</w:t>
        </w:r>
      </w:hyperlink>
      <w:r w:rsidRPr="00B865A6">
        <w:rPr>
          <w:lang w:eastAsia="zh-CN"/>
        </w:rPr>
        <w:t xml:space="preserve"> </w:t>
      </w:r>
    </w:p>
    <w:p w14:paraId="0BAEDD48" w14:textId="77777777" w:rsidR="00C83AD9" w:rsidRPr="00B865A6" w:rsidRDefault="00C83AD9" w:rsidP="00C83AD9">
      <w:pPr>
        <w:pStyle w:val="Heading2"/>
        <w:spacing w:line="480" w:lineRule="auto"/>
        <w:rPr>
          <w:rFonts w:ascii="Arial" w:hAnsi="Arial" w:cs="Arial"/>
          <w:sz w:val="20"/>
        </w:rPr>
      </w:pPr>
      <w:bookmarkStart w:id="0" w:name="_Toc517892354"/>
      <w:bookmarkStart w:id="1" w:name="_Toc520716264"/>
      <w:bookmarkStart w:id="2" w:name="_Toc534293627"/>
      <w:r w:rsidRPr="00B865A6">
        <w:t>Abstract</w:t>
      </w:r>
      <w:bookmarkEnd w:id="0"/>
      <w:bookmarkEnd w:id="1"/>
      <w:bookmarkEnd w:id="2"/>
    </w:p>
    <w:p w14:paraId="4E6BBE17" w14:textId="157B7F6C" w:rsidR="00C83AD9" w:rsidRPr="00B865A6" w:rsidRDefault="00C83AD9" w:rsidP="00C83AD9">
      <w:pPr>
        <w:pStyle w:val="ListParagraph"/>
        <w:numPr>
          <w:ilvl w:val="0"/>
          <w:numId w:val="9"/>
        </w:numPr>
        <w:spacing w:line="480" w:lineRule="auto"/>
      </w:pPr>
      <w:bookmarkStart w:id="3" w:name="_Toc517892355"/>
      <w:r w:rsidRPr="00B865A6">
        <w:rPr>
          <w:lang w:eastAsia="zh-CN"/>
        </w:rPr>
        <w:t>Deer (</w:t>
      </w:r>
      <w:r w:rsidRPr="00B865A6">
        <w:rPr>
          <w:i/>
          <w:lang w:eastAsia="zh-CN"/>
        </w:rPr>
        <w:t>Cervidae</w:t>
      </w:r>
      <w:r w:rsidRPr="00B865A6">
        <w:rPr>
          <w:lang w:eastAsia="zh-CN"/>
        </w:rPr>
        <w:t xml:space="preserve">) populations are increasing across the temperate zone, threatening forest biodiversity and ecosystem services. However, </w:t>
      </w:r>
      <w:r w:rsidRPr="00B865A6">
        <w:rPr>
          <w:rFonts w:cstheme="minorHAnsi"/>
          <w:shd w:val="clear" w:color="auto" w:fill="FFFFFF"/>
        </w:rPr>
        <w:t>the f</w:t>
      </w:r>
      <w:r w:rsidRPr="00B865A6">
        <w:rPr>
          <w:lang w:eastAsia="zh-CN"/>
        </w:rPr>
        <w:t>undamental question of what factors make a forest susceptible to deer damage remains unanswered</w:t>
      </w:r>
      <w:r w:rsidR="00FB3BA6" w:rsidRPr="00B865A6">
        <w:rPr>
          <w:lang w:eastAsia="zh-CN"/>
        </w:rPr>
        <w:t>, hampering efforts to mitigate against damage</w:t>
      </w:r>
      <w:r w:rsidRPr="00B865A6">
        <w:rPr>
          <w:lang w:eastAsia="zh-CN"/>
        </w:rPr>
        <w:t xml:space="preserve">. Previous research has assumed that deer density consistently </w:t>
      </w:r>
      <w:r w:rsidR="00144860" w:rsidRPr="00B865A6">
        <w:rPr>
          <w:lang w:eastAsia="zh-CN"/>
        </w:rPr>
        <w:t>increases</w:t>
      </w:r>
      <w:r w:rsidR="008824F5" w:rsidRPr="00B865A6">
        <w:rPr>
          <w:lang w:eastAsia="zh-CN"/>
        </w:rPr>
        <w:t xml:space="preserve"> </w:t>
      </w:r>
      <w:r w:rsidRPr="00B865A6">
        <w:rPr>
          <w:lang w:eastAsia="zh-CN"/>
        </w:rPr>
        <w:t>forest damage. However, the effect of deer density is likely to be contingent on a range of other drivers, such as climate and landscape structure. Mitigation measures are costly, so a sound understanding of these contingencies is required to inform the targeting of appropriate management to forests most at risk of damage</w:t>
      </w:r>
      <w:r w:rsidRPr="00B865A6">
        <w:rPr>
          <w:b/>
          <w:lang w:eastAsia="zh-CN"/>
        </w:rPr>
        <w:t>.</w:t>
      </w:r>
      <w:r w:rsidRPr="00B865A6">
        <w:rPr>
          <w:lang w:eastAsia="zh-CN"/>
        </w:rPr>
        <w:t xml:space="preserve"> </w:t>
      </w:r>
    </w:p>
    <w:p w14:paraId="16685545" w14:textId="77777777" w:rsidR="00C83AD9" w:rsidRPr="00B865A6" w:rsidRDefault="00C83AD9" w:rsidP="00C83AD9">
      <w:pPr>
        <w:pStyle w:val="ListParagraph"/>
        <w:numPr>
          <w:ilvl w:val="0"/>
          <w:numId w:val="9"/>
        </w:numPr>
        <w:spacing w:line="480" w:lineRule="auto"/>
      </w:pPr>
      <w:r w:rsidRPr="00B865A6">
        <w:t xml:space="preserve">Using records of forest damage from </w:t>
      </w:r>
      <w:r w:rsidRPr="00B865A6">
        <w:rPr>
          <w:lang w:eastAsia="zh-CN"/>
        </w:rPr>
        <w:t>Britain’s National Forest Inventory, which comprises over 15,000 plots spanning environmental gradients, w</w:t>
      </w:r>
      <w:r w:rsidRPr="00B865A6">
        <w:t xml:space="preserve">e applied a multi-scale approach to identify the drivers of forest susceptibility to damage by deer. </w:t>
      </w:r>
    </w:p>
    <w:p w14:paraId="3B9BF489" w14:textId="60588985" w:rsidR="00C83AD9" w:rsidRPr="00B865A6" w:rsidRDefault="00C83AD9" w:rsidP="00C83AD9">
      <w:pPr>
        <w:pStyle w:val="ListParagraph"/>
        <w:numPr>
          <w:ilvl w:val="0"/>
          <w:numId w:val="9"/>
        </w:numPr>
        <w:spacing w:line="480" w:lineRule="auto"/>
        <w:rPr>
          <w:lang w:eastAsia="zh-CN"/>
        </w:rPr>
      </w:pPr>
      <w:r w:rsidRPr="00B865A6">
        <w:rPr>
          <w:lang w:eastAsia="zh-CN"/>
        </w:rPr>
        <w:lastRenderedPageBreak/>
        <w:t xml:space="preserve">Damage likelihood was dependent on </w:t>
      </w:r>
      <w:r w:rsidRPr="00B865A6">
        <w:t xml:space="preserve">drivers operating at multiple spatial scales and their interactions. </w:t>
      </w:r>
      <w:r w:rsidRPr="00B865A6">
        <w:rPr>
          <w:lang w:eastAsia="zh-CN"/>
        </w:rPr>
        <w:t>Broadleaved stands with low tree densities and old trees were consistently found to be at high risk across Britain. The</w:t>
      </w:r>
      <w:r w:rsidR="00021B28">
        <w:rPr>
          <w:lang w:eastAsia="zh-CN"/>
        </w:rPr>
        <w:t xml:space="preserve"> statistical</w:t>
      </w:r>
      <w:r w:rsidRPr="00B865A6">
        <w:rPr>
          <w:lang w:eastAsia="zh-CN"/>
        </w:rPr>
        <w:t xml:space="preserve"> influence of surrounding forest cover within 500-m of a site was modified by regional deer density and climate, in addition to landscape-level perennial cover. </w:t>
      </w:r>
      <w:r w:rsidRPr="00B865A6">
        <w:t xml:space="preserve">The effect of deer density on damage was therefore not straightforward, but context-dependent. </w:t>
      </w:r>
    </w:p>
    <w:p w14:paraId="6900F5A6" w14:textId="4E535F55" w:rsidR="00C83AD9" w:rsidRPr="00B865A6" w:rsidRDefault="00C83AD9" w:rsidP="000E1477">
      <w:pPr>
        <w:pStyle w:val="ListParagraph"/>
        <w:numPr>
          <w:ilvl w:val="0"/>
          <w:numId w:val="9"/>
        </w:numPr>
        <w:spacing w:line="480" w:lineRule="auto"/>
        <w:rPr>
          <w:lang w:eastAsia="zh-CN"/>
        </w:rPr>
      </w:pPr>
      <w:r w:rsidRPr="00B865A6">
        <w:rPr>
          <w:rStyle w:val="Emphasis"/>
          <w:rFonts w:ascii="Arial" w:hAnsi="Arial" w:cs="Arial"/>
          <w:sz w:val="20"/>
          <w:szCs w:val="20"/>
          <w:bdr w:val="none" w:sz="0" w:space="0" w:color="auto" w:frame="1"/>
        </w:rPr>
        <w:t>Synthesis and applications</w:t>
      </w:r>
      <w:r w:rsidR="00BE5E84">
        <w:rPr>
          <w:lang w:eastAsia="zh-CN"/>
        </w:rPr>
        <w:t>.</w:t>
      </w:r>
      <w:r w:rsidRPr="00B865A6">
        <w:rPr>
          <w:lang w:eastAsia="zh-CN"/>
        </w:rPr>
        <w:t xml:space="preserve"> We predict the likely outcome of afforestation initiatives on </w:t>
      </w:r>
      <w:r w:rsidR="000E1477" w:rsidRPr="000E1477">
        <w:rPr>
          <w:lang w:eastAsia="zh-CN"/>
        </w:rPr>
        <w:t xml:space="preserve">the likelihood that a </w:t>
      </w:r>
      <w:r w:rsidR="00F25E88">
        <w:rPr>
          <w:lang w:eastAsia="zh-CN"/>
        </w:rPr>
        <w:t>forest site</w:t>
      </w:r>
      <w:r w:rsidR="000E1477" w:rsidRPr="000E1477">
        <w:rPr>
          <w:lang w:eastAsia="zh-CN"/>
        </w:rPr>
        <w:t xml:space="preserve"> will be damaged by deer</w:t>
      </w:r>
      <w:r w:rsidRPr="00B865A6">
        <w:rPr>
          <w:lang w:eastAsia="zh-CN"/>
        </w:rPr>
        <w:t xml:space="preserve">, with important implications for management and landscape planning in Britain. The complex interactive effects uncovered are difficult to interpret. We therefore provide an interactive Deer Damage Tool (R Shiny application; </w:t>
      </w:r>
      <w:hyperlink r:id="rId12" w:history="1">
        <w:r w:rsidR="000E1477" w:rsidRPr="000E1477">
          <w:rPr>
            <w:rStyle w:val="Hyperlink"/>
            <w:lang w:eastAsia="zh-CN"/>
          </w:rPr>
          <w:t>https://spake.shinyapps.io/DEERDAMAGETOOL/</w:t>
        </w:r>
      </w:hyperlink>
      <w:r w:rsidRPr="00B865A6">
        <w:rPr>
          <w:lang w:eastAsia="zh-CN"/>
        </w:rPr>
        <w:t>) for practitioners to visualise how afforestation is likely to influence the probability of deer damage in different forests and regions across Britain.</w:t>
      </w:r>
    </w:p>
    <w:p w14:paraId="64DCBEE3" w14:textId="77149C85" w:rsidR="00C83AD9" w:rsidRPr="00B865A6" w:rsidRDefault="00C83AD9" w:rsidP="00C83AD9">
      <w:pPr>
        <w:spacing w:line="480" w:lineRule="auto"/>
        <w:rPr>
          <w:rFonts w:ascii="Times New Roman" w:hAnsi="Times New Roman" w:cs="Times New Roman"/>
          <w:sz w:val="24"/>
          <w:szCs w:val="24"/>
          <w:lang w:eastAsia="en-GB"/>
        </w:rPr>
      </w:pPr>
      <w:r w:rsidRPr="00B865A6">
        <w:rPr>
          <w:lang w:eastAsia="zh-CN"/>
        </w:rPr>
        <w:t>Keywords: cross-scale interaction, forage,</w:t>
      </w:r>
      <w:r w:rsidR="00B122E4" w:rsidRPr="00B865A6">
        <w:rPr>
          <w:lang w:eastAsia="zh-CN"/>
        </w:rPr>
        <w:t xml:space="preserve"> forestry,</w:t>
      </w:r>
      <w:r w:rsidRPr="00B865A6">
        <w:rPr>
          <w:lang w:eastAsia="zh-CN"/>
        </w:rPr>
        <w:t xml:space="preserve"> graze, habitat selection, herbivore, </w:t>
      </w:r>
      <w:r w:rsidR="00B122E4" w:rsidRPr="00B865A6">
        <w:rPr>
          <w:lang w:eastAsia="zh-CN"/>
        </w:rPr>
        <w:t xml:space="preserve">woodland expansion, </w:t>
      </w:r>
      <w:r w:rsidRPr="00B865A6">
        <w:rPr>
          <w:lang w:eastAsia="zh-CN"/>
        </w:rPr>
        <w:t>ungulate</w:t>
      </w:r>
      <w:bookmarkStart w:id="4" w:name="_Toc520716265"/>
      <w:bookmarkStart w:id="5" w:name="_Toc534293628"/>
      <w:r w:rsidR="0035155E">
        <w:rPr>
          <w:lang w:eastAsia="zh-CN"/>
        </w:rPr>
        <w:t xml:space="preserve"> </w:t>
      </w:r>
      <w:r w:rsidRPr="00B865A6">
        <w:br w:type="page"/>
      </w:r>
    </w:p>
    <w:p w14:paraId="039405A7" w14:textId="77777777" w:rsidR="00C83AD9" w:rsidRPr="00B865A6" w:rsidRDefault="00C83AD9" w:rsidP="00C83AD9">
      <w:pPr>
        <w:pStyle w:val="Heading2"/>
        <w:spacing w:line="480" w:lineRule="auto"/>
      </w:pPr>
      <w:r w:rsidRPr="00B865A6">
        <w:lastRenderedPageBreak/>
        <w:t>Introduction</w:t>
      </w:r>
      <w:bookmarkEnd w:id="3"/>
      <w:bookmarkEnd w:id="4"/>
      <w:bookmarkEnd w:id="5"/>
    </w:p>
    <w:p w14:paraId="60A97C75" w14:textId="0CCBE2CA" w:rsidR="00C83AD9" w:rsidRPr="00B865A6" w:rsidRDefault="00C83AD9" w:rsidP="00C83AD9">
      <w:pPr>
        <w:spacing w:line="480" w:lineRule="auto"/>
        <w:rPr>
          <w:rFonts w:cstheme="minorHAnsi"/>
        </w:rPr>
      </w:pPr>
      <w:r w:rsidRPr="00B865A6">
        <w:rPr>
          <w:rFonts w:cstheme="minorHAnsi"/>
        </w:rPr>
        <w:t xml:space="preserve">Deer populations have increased dramatically throughout the northern hemisphere during recent decades (Cote, 2004). These large herbivores can substantially impact the biodiversity, structure and functioning of forest ecosystems </w:t>
      </w:r>
      <w:r w:rsidRPr="00B865A6">
        <w:rPr>
          <w:rFonts w:cstheme="minorHAnsi"/>
        </w:rPr>
        <w:fldChar w:fldCharType="begin" w:fldLock="1"/>
      </w:r>
      <w:r w:rsidR="004D323E">
        <w:rPr>
          <w:rFonts w:cstheme="minorHAnsi"/>
        </w:rPr>
        <w:instrText>ADDIN CSL_CITATION {"citationItems":[{"id":"ITEM-1","itemData":{"DOI":"10.1016/j.foreco.2018.05.016","ISSN":"0378-1127","author":[{"dropping-particle":"","family":"Ramirez","given":"J Ignacio","non-dropping-particle":"","parse-names":false,"suffix":""},{"dropping-particle":"","family":"Jansen","given":"Patrick A","non-dropping-particle":"","parse-names":false,"suffix":""},{"dropping-particle":"","family":"Poorter","given":"Lourens","non-dropping-particle":"","parse-names":false,"suffix":""}],"container-title":"Forest Ecology and Management","id":"ITEM-1","issued":{"date-parts":[["2018"]]},"page":"406-419","publisher":"Elsevier","title":"Effects of wild ungulates on the regeneration , structure and functioning of temperate forests : A semi-quantitative review","type":"article-journal","volume":"424"},"uris":["http://www.mendeley.com/documents/?uuid=97e254c7-4d05-4828-aa60-8fa205aabb85"]}],"mendeley":{"formattedCitation":"(Ramirez, Jansen, &amp; Poorter, 2018)","plainTextFormattedCitation":"(Ramirez, Jansen, &amp; Poorter, 2018)","previouslyFormattedCitation":"(Ramirez, Jansen, &amp; Poorter, 2018)"},"properties":{"noteIndex":0},"schema":"https://github.com/citation-style-language/schema/raw/master/csl-citation.json"}</w:instrText>
      </w:r>
      <w:r w:rsidRPr="00B865A6">
        <w:rPr>
          <w:rFonts w:cstheme="minorHAnsi"/>
        </w:rPr>
        <w:fldChar w:fldCharType="separate"/>
      </w:r>
      <w:r w:rsidR="00770064" w:rsidRPr="00B865A6">
        <w:rPr>
          <w:rFonts w:cstheme="minorHAnsi"/>
          <w:noProof/>
        </w:rPr>
        <w:t>(Ramirez, Jansen, &amp; Poorter, 2018)</w:t>
      </w:r>
      <w:r w:rsidRPr="00B865A6">
        <w:rPr>
          <w:rFonts w:cstheme="minorHAnsi"/>
        </w:rPr>
        <w:fldChar w:fldCharType="end"/>
      </w:r>
      <w:r w:rsidRPr="00B865A6">
        <w:rPr>
          <w:rFonts w:cstheme="minorHAnsi"/>
        </w:rPr>
        <w:t xml:space="preserve">. By selectively grazing on palatable species, they can decimate native understory cover and richness, enhance the demographic success of invasive plants at the expense of natives </w:t>
      </w:r>
      <w:r w:rsidRPr="00B865A6">
        <w:rPr>
          <w:rFonts w:cstheme="minorHAnsi"/>
        </w:rPr>
        <w:fldChar w:fldCharType="begin" w:fldLock="1"/>
      </w:r>
      <w:r w:rsidR="00715A6C" w:rsidRPr="00B865A6">
        <w:rPr>
          <w:rFonts w:cstheme="minorHAnsi"/>
        </w:rPr>
        <w:instrText>ADDIN CSL_CITATION {"citationItems":[{"id":"ITEM-1","itemData":{"DOI":"10.1007/s40823-016-0004-y","ISSN":"2364-494X","abstract":"We reviewed recent literature to evaluate interactions between landscape structure (i.e., composition and configuration of landscapes) and overabundant and/or invasive species or “undesirable” species. Undesirable species are strongly associated with fragmented landscapes, especially those with linearly arranged elements to facilitate dispersal, and with land uses that serve as population sources. In some cases, structural legacies, such as land use histories, were as important as current landscape patterns. Many undesirable species also influenced landscape structure by altering disturbance regimes via a wide range of abiotic and biotic mechanisms, including by affecting abundance of keystone, foundation or engineering species at landscape scales, and by changing species interactions in ways that prompted community-level changes. In some instances, the effects of species on landscapes facilitated invasion and/or population growth to establish positive feedback cycles. Understanding the reciprocal effects of landscape pattern on invasive and overabundant species can help guide effective management strategies by increasing the cost-efficiency of conservation investments and prioritizing conservation actions.","author":[{"dropping-particle":"","family":"Rodewald","given":"Amanda D.","non-dropping-particle":"","parse-names":false,"suffix":""},{"dropping-particle":"","family":"Arcese","given":"Peter","non-dropping-particle":"","parse-names":false,"suffix":""}],"container-title":"Current Landscape Ecology Reports","id":"ITEM-1","issue":"1","issued":{"date-parts":[["2016"]]},"page":"30-39","publisher":"Current Landscape Ecology Reports","title":"Direct and Indirect Interactions between Landscape Structure and Invasive or Overabundant Species","type":"article-journal","volume":"1"},"uris":["http://www.mendeley.com/documents/?uuid=e02c7e7b-3a2b-4090-b1fb-8aa26f57b044"]}],"mendeley":{"formattedCitation":"(Rodewald &amp; Arcese, 2016)","plainTextFormattedCitation":"(Rodewald &amp; Arcese, 2016)","previouslyFormattedCitation":"(Rodewald &amp; Arcese, 2016)"},"properties":{"noteIndex":0},"schema":"https://github.com/citation-style-language/schema/raw/master/csl-citation.json"}</w:instrText>
      </w:r>
      <w:r w:rsidRPr="00B865A6">
        <w:rPr>
          <w:rFonts w:cstheme="minorHAnsi"/>
        </w:rPr>
        <w:fldChar w:fldCharType="separate"/>
      </w:r>
      <w:r w:rsidR="00770064" w:rsidRPr="00B865A6">
        <w:rPr>
          <w:rFonts w:cstheme="minorHAnsi"/>
          <w:noProof/>
        </w:rPr>
        <w:t>(Rodewald &amp; Arcese, 2016)</w:t>
      </w:r>
      <w:r w:rsidRPr="00B865A6">
        <w:rPr>
          <w:rFonts w:cstheme="minorHAnsi"/>
        </w:rPr>
        <w:fldChar w:fldCharType="end"/>
      </w:r>
      <w:r w:rsidRPr="00B865A6">
        <w:rPr>
          <w:rFonts w:cstheme="minorHAnsi"/>
        </w:rPr>
        <w:t xml:space="preserve"> and inhibit forest regeneration by browsing young trees, saplings and seedlings </w:t>
      </w:r>
      <w:r w:rsidRPr="00B865A6">
        <w:rPr>
          <w:rFonts w:cstheme="minorHAnsi"/>
        </w:rPr>
        <w:fldChar w:fldCharType="begin" w:fldLock="1"/>
      </w:r>
      <w:r w:rsidR="00715A6C" w:rsidRPr="00B865A6">
        <w:rPr>
          <w:rFonts w:cstheme="minorHAnsi"/>
        </w:rPr>
        <w:instrText>ADDIN CSL_CITATION {"citationItems":[{"id":"ITEM-1","itemData":{"DOI":"10.1111/j.1365-2664.2009.01683.x","ISBN":"0021-8901","ISSN":"00218901","PMID":"6507","abstract":"1. Ungulates have reached such high densities in some natural ecosystems that culling is frequently used to reduce their impacts on vegetation. However, much is still unknown about the outcomes of landscape-level control, in part because monitoring vegetation recovery requires decades. 2. We report long-term vegetation changes in permanent plots located in forest, shrubland and grassland communities across a mountain range in southern New Zealand. We test whether c. 92% reduction in the population of invasive non-indigenous red deer Cervus elaphus since 1964 has led to the recovery of deer-preferred species. 3. Tree seedlings, saplings and the number of seedlings per adult tree increased over time. There was lower recruitment, however, of highly palatable forest species compared with less palatable species, and the recruitment of saplings was lower in browsed forest plots compared with deer exclosures. 4. The total number of occurrences and absolute number of palatable species per plot increased over time in shrublands and grasslands respectively. The height of both shrublands and palatable grassland snow tussocks Chionochloa spp. increased, although the occurrences of most individual species remained unchanged over time. 5. Vegetation recovery at our site in response to long-term and significant herbivore reductions may be limited by several factors, including the slow growth rates of New Zealand species, densitydependent diet switching by deer, altered successional trajectories and below-ground processes. 6. Synthesis and applications. Our results suggest that after nearly four decades, even low densities of introduced herbivores may restrict ecosystem recovery, and therefore, restoring herbivore-disturbed ecosystems by solely manipulating herbivore population numbers may require a long-term perspective. Management strategies can accelerate recovery by protecting existing palatable plants within deer-exclosures, and planting or seeding palatable species within these refugia. However, in addition to increasing seed sources, restoration may only become apparent following large-scale disturbance events and canopy turnover.","author":[{"dropping-particle":"","family":"Tanentzap","given":"Andrew J.","non-dropping-particle":"","parse-names":false,"suffix":""},{"dropping-particle":"","family":"Burrows","given":"Larry E.","non-dropping-particle":"","parse-names":false,"suffix":""},{"dropping-particle":"","family":"Lee","given":"William G.","non-dropping-particle":"","parse-names":false,"suffix":""},{"dropping-particle":"","family":"Nugent","given":"Graham","non-dropping-particle":"","parse-names":false,"suffix":""},{"dropping-particle":"","family":"Maxwell","given":"Jane M.","non-dropping-particle":"","parse-names":false,"suffix":""},{"dropping-particle":"","family":"Coomes","given":"David A.","non-dropping-particle":"","parse-names":false,"suffix":""}],"container-title":"Journal of Applied Ecology","id":"ITEM-1","issue":"5","issued":{"date-parts":[["2009"]]},"page":"1064-1072","title":"Landscape-level vegetation recovery from herbivory: Progress after four decades of invasive red deer control","type":"article-journal","volume":"46"},"uris":["http://www.mendeley.com/documents/?uuid=b7b5c5e3-1daa-4628-afcd-fb2547b07b35"]}],"mendeley":{"formattedCitation":"(Tanentzap et al., 2009)","plainTextFormattedCitation":"(Tanentzap et al., 2009)","previouslyFormattedCitation":"(Tanentzap et al., 2009)"},"properties":{"noteIndex":0},"schema":"https://github.com/citation-style-language/schema/raw/master/csl-citation.json"}</w:instrText>
      </w:r>
      <w:r w:rsidRPr="00B865A6">
        <w:rPr>
          <w:rFonts w:cstheme="minorHAnsi"/>
        </w:rPr>
        <w:fldChar w:fldCharType="separate"/>
      </w:r>
      <w:r w:rsidR="00770064" w:rsidRPr="00B865A6">
        <w:rPr>
          <w:rFonts w:cstheme="minorHAnsi"/>
          <w:noProof/>
        </w:rPr>
        <w:t>(Tanentzap et al., 2009)</w:t>
      </w:r>
      <w:r w:rsidRPr="00B865A6">
        <w:rPr>
          <w:rFonts w:cstheme="minorHAnsi"/>
        </w:rPr>
        <w:fldChar w:fldCharType="end"/>
      </w:r>
      <w:r w:rsidRPr="00B865A6">
        <w:rPr>
          <w:rFonts w:cstheme="minorHAnsi"/>
        </w:rPr>
        <w:t xml:space="preserve">. Consequently, much research has focused on quantifying ungulate density thresholds compatible with sustaining forest productivity, biodiversity and important ecosystem functions </w:t>
      </w:r>
      <w:r w:rsidRPr="00B865A6">
        <w:rPr>
          <w:rFonts w:cstheme="minorHAnsi"/>
        </w:rPr>
        <w:fldChar w:fldCharType="begin" w:fldLock="1"/>
      </w:r>
      <w:r w:rsidR="00715A6C" w:rsidRPr="00B865A6">
        <w:rPr>
          <w:rFonts w:cstheme="minorHAnsi"/>
        </w:rPr>
        <w:instrText>ADDIN CSL_CITATION {"citationItems":[{"id":"ITEM-1","itemData":{"author":[{"dropping-particle":"","family":"Staines","given":"B. W.","non-dropping-particle":"","parse-names":false,"suffix":""},{"dropping-particle":"","family":"Balharry","given":"R.","non-dropping-particle":"","parse-names":false,"suffix":""},{"dropping-particle":"","family":"Welch","given":"D.","non-dropping-particle":"","parse-names":false,"suffix":""}],"container-title":"Heaths and moorland: Cultural landscapes","editor":[{"dropping-particle":"","family":"Thompson, D. B. A. and Usher","given":"M. B","non-dropping-particle":"","parse-names":false,"suffix":""}],"id":"ITEM-1","issued":{"date-parts":[["1995"]]},"publisher":"SNH/HMSO","publisher-place":"Edinburgh","title":"The impact of red deer and their management on the natural heritage in the uplands","type":"chapter"},"uris":["http://www.mendeley.com/documents/?uuid=48d44e93-a386-4fca-87de-cad2e6c349d9"]}],"mendeley":{"formattedCitation":"(B. W. Staines, Balharry, &amp; Welch, 1995)","manualFormatting":"(Staines, Balharry, &amp; Welch, 1995)","plainTextFormattedCitation":"(B. W. Staines, Balharry, &amp; Welch, 1995)","previouslyFormattedCitation":"(B. W. Staines, Balharry, &amp; Welch, 1995)"},"properties":{"noteIndex":0},"schema":"https://github.com/citation-style-language/schema/raw/master/csl-citation.json"}</w:instrText>
      </w:r>
      <w:r w:rsidRPr="00B865A6">
        <w:rPr>
          <w:rFonts w:cstheme="minorHAnsi"/>
        </w:rPr>
        <w:fldChar w:fldCharType="separate"/>
      </w:r>
      <w:r w:rsidR="00770064" w:rsidRPr="00B865A6">
        <w:rPr>
          <w:rFonts w:cstheme="minorHAnsi"/>
          <w:noProof/>
        </w:rPr>
        <w:t>(Staines, Balharry, &amp; Welch, 1995)</w:t>
      </w:r>
      <w:r w:rsidRPr="00B865A6">
        <w:rPr>
          <w:rFonts w:cstheme="minorHAnsi"/>
        </w:rPr>
        <w:fldChar w:fldCharType="end"/>
      </w:r>
      <w:r w:rsidRPr="00B865A6">
        <w:rPr>
          <w:rFonts w:cstheme="minorHAnsi"/>
        </w:rPr>
        <w:t xml:space="preserve">. Findings vary widely, indicating heterogeneity in the effects of deer densities on forest structure and composition </w:t>
      </w:r>
      <w:r w:rsidRPr="00B865A6">
        <w:rPr>
          <w:rFonts w:cstheme="minorHAnsi"/>
        </w:rPr>
        <w:fldChar w:fldCharType="begin" w:fldLock="1"/>
      </w:r>
      <w:r w:rsidR="004D323E">
        <w:rPr>
          <w:rFonts w:cstheme="minorHAnsi"/>
        </w:rPr>
        <w:instrText>ADDIN CSL_CITATION {"citationItems":[{"id":"ITEM-1","itemData":{"DOI":"10.1016/j.foreco.2018.05.016","ISSN":"0378-1127","author":[{"dropping-particle":"","family":"Ramirez","given":"J Ignacio","non-dropping-particle":"","parse-names":false,"suffix":""},{"dropping-particle":"","family":"Jansen","given":"Patrick A","non-dropping-particle":"","parse-names":false,"suffix":""},{"dropping-particle":"","family":"Poorter","given":"Lourens","non-dropping-particle":"","parse-names":false,"suffix":""}],"container-title":"Forest Ecology and Management","id":"ITEM-1","issued":{"date-parts":[["2018"]]},"page":"406-419","publisher":"Elsevier","title":"Effects of wild ungulates on the regeneration , structure and functioning of temperate forests : A semi-quantitative review","type":"article-journal","volume":"424"},"uris":["http://www.mendeley.com/documents/?uuid=97e254c7-4d05-4828-aa60-8fa205aabb85"]}],"mendeley":{"formattedCitation":"(Ramirez et al., 2018)","plainTextFormattedCitation":"(Ramirez et al., 2018)","previouslyFormattedCitation":"(Ramirez et al., 2018)"},"properties":{"noteIndex":0},"schema":"https://github.com/citation-style-language/schema/raw/master/csl-citation.json"}</w:instrText>
      </w:r>
      <w:r w:rsidRPr="00B865A6">
        <w:rPr>
          <w:rFonts w:cstheme="minorHAnsi"/>
        </w:rPr>
        <w:fldChar w:fldCharType="separate"/>
      </w:r>
      <w:r w:rsidR="00770064" w:rsidRPr="00B865A6">
        <w:rPr>
          <w:rFonts w:cstheme="minorHAnsi"/>
          <w:noProof/>
        </w:rPr>
        <w:t>(Ramirez et al., 2018)</w:t>
      </w:r>
      <w:r w:rsidRPr="00B865A6">
        <w:rPr>
          <w:rFonts w:cstheme="minorHAnsi"/>
        </w:rPr>
        <w:fldChar w:fldCharType="end"/>
      </w:r>
      <w:r w:rsidRPr="00B865A6">
        <w:rPr>
          <w:rFonts w:cstheme="minorHAnsi"/>
        </w:rPr>
        <w:t xml:space="preserve">. </w:t>
      </w:r>
      <w:r w:rsidRPr="00B865A6">
        <w:rPr>
          <w:rFonts w:cstheme="minorHAnsi"/>
          <w:shd w:val="clear" w:color="auto" w:fill="FFFFFF"/>
        </w:rPr>
        <w:t xml:space="preserve">Indeed, even at a given density, deer damage levels can exhibit substantial spatial variation, suggesting that other social or environmental factors might moderate deer impacts </w:t>
      </w:r>
      <w:r w:rsidRPr="00B865A6">
        <w:rPr>
          <w:rFonts w:cstheme="minorHAnsi"/>
          <w:shd w:val="clear" w:color="auto" w:fill="FFFFFF"/>
        </w:rPr>
        <w:fldChar w:fldCharType="begin" w:fldLock="1"/>
      </w:r>
      <w:r w:rsidR="00715A6C" w:rsidRPr="00B865A6">
        <w:rPr>
          <w:rFonts w:cstheme="minorHAnsi"/>
          <w:shd w:val="clear" w:color="auto" w:fill="FFFFFF"/>
        </w:rPr>
        <w:instrText>ADDIN CSL_CITATION {"citationItems":[{"id":"ITEM-1","itemData":{"DOI":"10.1111/j.1365-2907.2010.00173.x","ISBN":"0305-1838","ISSN":"03051838","abstract":"At high densities, deer populations may have adverse effects upon and\\nwithin their environment. In this review we explore published and\\nunpublished information to derive density thresholds for deer species in\\nrelation to impacts upon agriculture, forestry, conservation habitats,\\nroad traffic, and human and livestock health in the UK. Impact levels\\nare affected by many factors other than absolute density. We therefore\\nseek to establish the range of densities within which negative impacts\\nmight start to occur and which should trigger objective monitoring of\\nactual impacts.\\nIn commercial forestry, a threshold of 4 deer per 100ha has been\\nsuggested. Unfenced native woodlands seem to regenerate naturally if\\nthere are fewer than 4-5 large deer or fewer than 25 roe deer Capreolus\\ncapreolus per 100ha; open habitats may suffer only light or moderate\\nimpacts from red deer Cervus elaphus at landscape densities of 7-8 per\\n100ha.\\nWoodland bird species may have declined where deer densities are high\\nbut absolute thresholds seem impossible to establish. One study suggests\\nmaximum diversity at about 8 white-tailed deer Odocoileus virginianus\\nper 100ha.\\nDeer-vehicle collisions are affected by various factors in addition to\\ndeer density, but British and American studies suggest that accident\\nfrequencies decline at densities below 7-8 per 100ha.\\nFallow deer Dama dama populations may maintain bovine TB (bTB) infection\\nat much lower densities (25/100ha) than red or roe deer (91/100ha and\\n200/100ha, respectively) assuming 100% prevalence. Even at 30%\\nprevalence a density of 75 fallow deer per 100ha could maintain bTB\\nwithin the population.\\nWe conclude that deer density alone is unlikely to be a good predictor\\nof impact, and suggest that long-term management should be based on\\nassessment both of actual impacts and apparent density of deer.","author":[{"dropping-particle":"","family":"Putman","given":"Rory","non-dropping-particle":"","parse-names":false,"suffix":""},{"dropping-particle":"","family":"Langbein","given":"Jochen","non-dropping-particle":"","parse-names":false,"suffix":""},{"dropping-particle":"","family":"Green","given":"Peter","non-dropping-particle":"","parse-names":false,"suffix":""},{"dropping-particle":"","family":"Watson","given":"Peter","non-dropping-particle":"","parse-names":false,"suffix":""}],"container-title":"Mammal Review","id":"ITEM-1","issue":"3","issued":{"date-parts":[["2011"]]},"page":"175-196","title":"Identifying threshold densities for wild deer in the UK above which negative impacts may occur","type":"article-journal","volume":"41"},"uris":["http://www.mendeley.com/documents/?uuid=538d5c36-05ba-4a17-9da1-312bb85b76ba"]}],"mendeley":{"formattedCitation":"(Putman, Langbein, Green, &amp; Watson, 2011)","plainTextFormattedCitation":"(Putman, Langbein, Green, &amp; Watson, 2011)","previouslyFormattedCitation":"(Putman, Langbein, Green, &amp; Watson, 2011)"},"properties":{"noteIndex":0},"schema":"https://github.com/citation-style-language/schema/raw/master/csl-citation.json"}</w:instrText>
      </w:r>
      <w:r w:rsidRPr="00B865A6">
        <w:rPr>
          <w:rFonts w:cstheme="minorHAnsi"/>
          <w:shd w:val="clear" w:color="auto" w:fill="FFFFFF"/>
        </w:rPr>
        <w:fldChar w:fldCharType="separate"/>
      </w:r>
      <w:r w:rsidR="00770064" w:rsidRPr="00B865A6">
        <w:rPr>
          <w:rFonts w:cstheme="minorHAnsi"/>
          <w:noProof/>
          <w:shd w:val="clear" w:color="auto" w:fill="FFFFFF"/>
        </w:rPr>
        <w:t>(Putman, Langbein, Green, &amp; Watson, 2011)</w:t>
      </w:r>
      <w:r w:rsidRPr="00B865A6">
        <w:rPr>
          <w:rFonts w:cstheme="minorHAnsi"/>
          <w:shd w:val="clear" w:color="auto" w:fill="FFFFFF"/>
        </w:rPr>
        <w:fldChar w:fldCharType="end"/>
      </w:r>
      <w:r w:rsidRPr="00B865A6">
        <w:rPr>
          <w:rFonts w:cstheme="minorHAnsi"/>
          <w:shd w:val="clear" w:color="auto" w:fill="FFFFFF"/>
        </w:rPr>
        <w:t xml:space="preserve">. For example, certain forest attributes such as canopy composition and structure could alter the ‘attractiveness’ as forage to deer </w:t>
      </w:r>
      <w:r w:rsidRPr="00B865A6">
        <w:rPr>
          <w:rFonts w:cstheme="minorHAnsi"/>
          <w:shd w:val="clear" w:color="auto" w:fill="FFFFFF"/>
        </w:rPr>
        <w:fldChar w:fldCharType="begin" w:fldLock="1"/>
      </w:r>
      <w:r w:rsidR="00715A6C" w:rsidRPr="00B865A6">
        <w:rPr>
          <w:rFonts w:cstheme="minorHAnsi"/>
          <w:shd w:val="clear" w:color="auto" w:fill="FFFFFF"/>
        </w:rPr>
        <w:instrText>ADDIN CSL_CITATION {"citationItems":[{"id":"ITEM-1","itemData":{"author":[{"dropping-particle":"","family":"Reimoser","given":"Friedrich","non-dropping-particle":"","parse-names":false,"suffix":""}],"container-title":"Journal of Nature Conservation","id":"ITEM-1","issued":{"date-parts":[["2003"]]},"page":"243-252","title":"Steering the impacts of ungulates on temperate forests","type":"article-journal","volume":"252"},"uris":["http://www.mendeley.com/documents/?uuid=75ab358b-1840-4b36-a145-ccbb41a442c7"]}],"mendeley":{"formattedCitation":"(Reimoser, 2003)","plainTextFormattedCitation":"(Reimoser, 2003)","previouslyFormattedCitation":"(Reimoser, 2003)"},"properties":{"noteIndex":0},"schema":"https://github.com/citation-style-language/schema/raw/master/csl-citation.json"}</w:instrText>
      </w:r>
      <w:r w:rsidRPr="00B865A6">
        <w:rPr>
          <w:rFonts w:cstheme="minorHAnsi"/>
          <w:shd w:val="clear" w:color="auto" w:fill="FFFFFF"/>
        </w:rPr>
        <w:fldChar w:fldCharType="separate"/>
      </w:r>
      <w:r w:rsidR="00770064" w:rsidRPr="00B865A6">
        <w:rPr>
          <w:rFonts w:cstheme="minorHAnsi"/>
          <w:noProof/>
          <w:shd w:val="clear" w:color="auto" w:fill="FFFFFF"/>
        </w:rPr>
        <w:t>(Reimoser, 2003)</w:t>
      </w:r>
      <w:r w:rsidRPr="00B865A6">
        <w:rPr>
          <w:rFonts w:cstheme="minorHAnsi"/>
          <w:shd w:val="clear" w:color="auto" w:fill="FFFFFF"/>
        </w:rPr>
        <w:fldChar w:fldCharType="end"/>
      </w:r>
      <w:r w:rsidRPr="00B865A6">
        <w:rPr>
          <w:rFonts w:cstheme="minorHAnsi"/>
          <w:shd w:val="clear" w:color="auto" w:fill="FFFFFF"/>
        </w:rPr>
        <w:t xml:space="preserve">. However, the interactive effects of forest attributes and climate with deer density are under-studied, particularly at broad geographic extents </w:t>
      </w:r>
      <w:r w:rsidRPr="00B865A6">
        <w:rPr>
          <w:rFonts w:cstheme="minorHAnsi"/>
          <w:shd w:val="clear" w:color="auto" w:fill="FFFFFF"/>
        </w:rPr>
        <w:fldChar w:fldCharType="begin" w:fldLock="1"/>
      </w:r>
      <w:r w:rsidR="00715A6C" w:rsidRPr="00B865A6">
        <w:rPr>
          <w:rFonts w:cstheme="minorHAnsi"/>
          <w:shd w:val="clear" w:color="auto" w:fill="FFFFFF"/>
        </w:rPr>
        <w:instrText>ADDIN CSL_CITATION {"citationItems":[{"id":"ITEM-1","itemData":{"DOI":"10.1016/j.foreco.2016.10.038","ISSN":"0378-1127","author":[{"dropping-particle":"","family":"Russell","given":"Matthew B","non-dropping-particle":"","parse-names":false,"suffix":""},{"dropping-particle":"","family":"Woodall","given":"Christopher W","non-dropping-particle":"","parse-names":false,"suffix":""},{"dropping-particle":"","family":"Potter","given":"Kevin M","non-dropping-particle":"","parse-names":false,"suffix":""},{"dropping-particle":"","family":"Walters","given":"Brian F","non-dropping-particle":"","parse-names":false,"suffix":""},{"dropping-particle":"","family":"Domke","given":"Grant M","non-dropping-particle":"","parse-names":false,"suffix":""},{"dropping-particle":"","family":"Oswalt","given":"Christopher M","non-dropping-particle":"","parse-names":false,"suffix":""}],"container-title":"Forest Ecology and Management","id":"ITEM-1","issued":{"date-parts":[["2017"]]},"page":"26-33","publisher":"Elsevier B.V.","title":"Interactions between white-tailed deer density and the composition of forest understories in the northern United States","type":"article-journal","volume":"384"},"uris":["http://www.mendeley.com/documents/?uuid=61ebcda3-fd45-470c-8063-49bbabbd8689"]}],"mendeley":{"formattedCitation":"(Russell et al., 2017)","plainTextFormattedCitation":"(Russell et al., 2017)","previouslyFormattedCitation":"(Russell et al., 2017)"},"properties":{"noteIndex":0},"schema":"https://github.com/citation-style-language/schema/raw/master/csl-citation.json"}</w:instrText>
      </w:r>
      <w:r w:rsidRPr="00B865A6">
        <w:rPr>
          <w:rFonts w:cstheme="minorHAnsi"/>
          <w:shd w:val="clear" w:color="auto" w:fill="FFFFFF"/>
        </w:rPr>
        <w:fldChar w:fldCharType="separate"/>
      </w:r>
      <w:r w:rsidR="00770064" w:rsidRPr="00B865A6">
        <w:rPr>
          <w:rFonts w:cstheme="minorHAnsi"/>
          <w:noProof/>
          <w:shd w:val="clear" w:color="auto" w:fill="FFFFFF"/>
        </w:rPr>
        <w:t>(Russell et al., 2017)</w:t>
      </w:r>
      <w:r w:rsidRPr="00B865A6">
        <w:rPr>
          <w:rFonts w:cstheme="minorHAnsi"/>
          <w:shd w:val="clear" w:color="auto" w:fill="FFFFFF"/>
        </w:rPr>
        <w:fldChar w:fldCharType="end"/>
      </w:r>
      <w:r w:rsidRPr="00B865A6">
        <w:rPr>
          <w:rFonts w:cstheme="minorHAnsi"/>
          <w:shd w:val="clear" w:color="auto" w:fill="FFFFFF"/>
        </w:rPr>
        <w:t>. T</w:t>
      </w:r>
      <w:r w:rsidRPr="00B865A6">
        <w:rPr>
          <w:rFonts w:cstheme="minorHAnsi"/>
        </w:rPr>
        <w:t xml:space="preserve">he fundamental question of what conditions impact deer damage to forests therefore remains unanswered </w:t>
      </w:r>
      <w:r w:rsidRPr="00B865A6">
        <w:rPr>
          <w:rFonts w:cstheme="minorHAnsi"/>
        </w:rPr>
        <w:fldChar w:fldCharType="begin" w:fldLock="1"/>
      </w:r>
      <w:r w:rsidR="00715A6C" w:rsidRPr="00B865A6">
        <w:rPr>
          <w:rFonts w:cstheme="minorHAnsi"/>
        </w:rPr>
        <w:instrText>ADDIN CSL_CITATION {"citationItems":[{"id":"ITEM-1","itemData":{"DOI":"10.2193/0091-7648(2006)34[283:uuhdeo]2.0.co;2","ISBN":"0091-7648","ISSN":"0091-7648","abstract":"Herbivory by wild and domestic ungulates is a chronic disturbance that can have dramatic effects on vegetation dynamics. Herbivory effects,\\r\\n however, are not easily predicted under different combinations of episodic disturbance such as fire, timber harvest, drought, and insect\\r\\n defoliation. This lack of predictability poses a substantial obstacle to effective management of ungulate herbivory. Traditional models of\\r\\n vegetation transition in forested ecosystems have ignored the influences of ungulate herbivory, while research on effects of herbivory have\\r\\n typically excluded other disturbances. Of the 82 contemporary studies on ungulate herbivory we examined, only 15 (18%) considered the\\r\\n interactions of herbivory with episodic disturbances. Moreover, only 26 (320%o) evaluated vegetation response to ungulate herbivory beyond the\\r\\n simplistic treatment levels of herbivory versus no herbivory. Only 31 (38%) used a repeated-measures design of sampling responses over 3 or\\r\\n more time periods. Finally, just 7 (9%) explicitly made inferences to large landscapes such as watersheds, which are often used for management\\r\\n planning. We contend that useful landscape research on herbivory must examine the interactions of ungulate grazing with other disturbance\\r\\n regimes at spatial extents of interest to forest and rangeland managers and under varying ungulate densities and species. We identify herbivory\\r\\n models that could accommodate such information for forested landscapes in western North America. Such models are essential for identifying\\r\\n knowledge gaps, designing future studies, and validating relations of ungulate herbivory on landscapes where episodic disturbances are\\r\\n common, such as those of western North America. (WILDLIFE SOCIETY BULLETIN 34(2):283-292; 2006)","author":[{"dropping-particle":"","family":"Wisdom","given":"Michael J.","non-dropping-particle":"","parse-names":false,"suffix":""},{"dropping-particle":"","family":"Vavra","given":"Martin","non-dropping-particle":"","parse-names":false,"suffix":""},{"dropping-particle":"","family":"Boyd","given":"Jennifer M.","non-dropping-particle":"","parse-names":false,"suffix":""},{"dropping-particle":"","family":"Hemstrom","given":"Miles A.","non-dropping-particle":"","parse-names":false,"suffix":""},{"dropping-particle":"","family":"Ager","given":"Alan A.","non-dropping-particle":"","parse-names":false,"suffix":""},{"dropping-particle":"","family":"Johnson","given":"Bruce K.","non-dropping-particle":"","parse-names":false,"suffix":""}],"container-title":"Wildlife Society Bulletin","id":"ITEM-1","issue":"2","issued":{"date-parts":[["2006"]]},"page":"283-292","title":"Understanding Ungulate Herbivory-Episodic Disturbance Effects on Vegetation Dynamics: Knowledge Gaps and Management Needs","type":"article-journal","volume":"34"},"uris":["http://www.mendeley.com/documents/?uuid=54937731-7968-4150-b219-aa59c122ab99"]},{"id":"ITEM-2","itemData":{"DOI":"10.1007/s10980-017-0568-x","ISSN":"15729761","abstract":"Context Ungulate browsers often alter plant compo-sition and reduce diversity in forests worldwide, yet our ability to predict browse impact on vegetation remains equivocal. Theory suggests, however, that ungulate distribution and foraging impacts are shaped by scale-dependent decisions based on variation in habitat composition and structure encountered within their home range. Objective Examine how variation in habitat compo-sition at landscape (259 ha) scales modulates browse impact on vegetation at local scales. Methods We measured vegetation richness and abundance in plots with and without white-tailed deer (Odocoileus virginianus) at 23 northern hardwood forest sites distributed across a 6500 km 2 area in Pennsylvania, USA. Experimental sites were embed-ded within landscapes with varying levels of habitat composition and deer densities. Results Browsing reduced vegetation richness and cover by as much as 53 and 70%, respectively; however, we found browse impact was modulated by variation in the relative abundance of managed habitats that alter forage availability. Specifically, relative to fenced areas, browse impact weakened and ultimately disappeared as the proportion of forage-rich habitats (e.g., recent harvests) increased to C20%. Conversely, vegetation grew increasingly depauperate as landscapes contained greater proportions of forage-poor habitats (i.e., older harvests), particularly when browsed. Conclusions Our results underscore how manage-ment actions that alter forage availability to ungulates throughout the landscape (i.e. the foodscape) can shape forest-ungulate interactions and suggest a new paradigm whereby managers evaluate and undertake actions at the appropriate spatio-temporal scales to proactively limit the deleterious impact of browsing on plant biodiversity.","author":[{"dropping-particle":"","family":"Royo","given":"Alejandro A.","non-dropping-particle":"","parse-names":false,"suffix":""},{"dropping-particle":"","family":"Kramer","given":"David W.","non-dropping-particle":"","parse-names":false,"suffix":""},{"dropping-particle":"V.","family":"Miller","given":"Karl","non-dropping-particle":"","parse-names":false,"suffix":""},{"dropping-particle":"","family":"Nibbelink","given":"Nathan P.","non-dropping-particle":"","parse-names":false,"suffix":""},{"dropping-particle":"","family":"Stout","given":"Susan L.","non-dropping-particle":"","parse-names":false,"suffix":""}],"container-title":"Landscape Ecology","id":"ITEM-2","issue":"12","issued":{"date-parts":[["2017"]]},"page":"2281-2295","publisher":"Springer Netherlands","title":"Spatio-temporal variation in foodscapes modifies deer browsing impact on vegetation","type":"article-journal","volume":"32"},"uris":["http://www.mendeley.com/documents/?uuid=51c47104-3981-4752-b717-653b01c05930"]}],"mendeley":{"formattedCitation":"(Wisdom et al., 2006; Royo, Kramer, Miller, Nibbelink, &amp; Stout, 2017)","manualFormatting":"(Royo et al., 2017)","plainTextFormattedCitation":"(Wisdom et al., 2006; Royo, Kramer, Miller, Nibbelink, &amp; Stout, 2017)","previouslyFormattedCitation":"(Wisdom et al., 2006; Royo, Kramer, Miller, Nibbelink, &amp; Stout, 2017)"},"properties":{"noteIndex":0},"schema":"https://github.com/citation-style-language/schema/raw/master/csl-citation.json"}</w:instrText>
      </w:r>
      <w:r w:rsidRPr="00B865A6">
        <w:rPr>
          <w:rFonts w:cstheme="minorHAnsi"/>
        </w:rPr>
        <w:fldChar w:fldCharType="separate"/>
      </w:r>
      <w:r w:rsidRPr="00B865A6">
        <w:rPr>
          <w:rFonts w:cstheme="minorHAnsi"/>
          <w:noProof/>
        </w:rPr>
        <w:t xml:space="preserve">(Royo </w:t>
      </w:r>
      <w:r w:rsidRPr="00B865A6">
        <w:rPr>
          <w:rFonts w:cstheme="minorHAnsi"/>
          <w:i/>
          <w:noProof/>
        </w:rPr>
        <w:t>et al.</w:t>
      </w:r>
      <w:r w:rsidRPr="00B865A6">
        <w:rPr>
          <w:rFonts w:cstheme="minorHAnsi"/>
          <w:noProof/>
        </w:rPr>
        <w:t>, 2017)</w:t>
      </w:r>
      <w:r w:rsidRPr="00B865A6">
        <w:rPr>
          <w:rFonts w:cstheme="minorHAnsi"/>
        </w:rPr>
        <w:fldChar w:fldCharType="end"/>
      </w:r>
      <w:r w:rsidRPr="00B865A6">
        <w:rPr>
          <w:rFonts w:cstheme="minorHAnsi"/>
        </w:rPr>
        <w:t xml:space="preserve">. Given that </w:t>
      </w:r>
      <w:r w:rsidR="00344FF2">
        <w:rPr>
          <w:rFonts w:cstheme="minorHAnsi"/>
        </w:rPr>
        <w:t xml:space="preserve">40% of </w:t>
      </w:r>
      <w:r w:rsidR="00F000A5">
        <w:rPr>
          <w:rFonts w:cstheme="minorHAnsi"/>
        </w:rPr>
        <w:t>forest</w:t>
      </w:r>
      <w:r w:rsidR="00344FF2">
        <w:rPr>
          <w:rFonts w:cstheme="minorHAnsi"/>
        </w:rPr>
        <w:t xml:space="preserve"> stands were recently classified as in ‘unfavourable’ condition for herbivore damage </w:t>
      </w:r>
      <w:r w:rsidR="00F000A5">
        <w:rPr>
          <w:rFonts w:cstheme="minorHAnsi"/>
        </w:rPr>
        <w:t>in</w:t>
      </w:r>
      <w:r w:rsidR="00344FF2">
        <w:rPr>
          <w:rFonts w:cstheme="minorHAnsi"/>
        </w:rPr>
        <w:t xml:space="preserve"> Britain’s National Forest Inventory (NFI</w:t>
      </w:r>
      <w:r w:rsidR="00FF4F4C">
        <w:rPr>
          <w:rFonts w:cstheme="minorHAnsi"/>
        </w:rPr>
        <w:fldChar w:fldCharType="begin" w:fldLock="1"/>
      </w:r>
      <w:r w:rsidR="00D92431">
        <w:rPr>
          <w:rFonts w:cstheme="minorHAnsi"/>
        </w:rPr>
        <w:instrText>ADDIN CSL_CITATION {"citationItems":[{"id":"ITEM-1","itemData":{"author":[{"dropping-particle":"","family":"Ditchburn, B., Wilson, T., Henderson, L., Kirby, K. &amp; Steel","given":"P.","non-dropping-particle":"","parse-names":false,"suffix":""}],"id":"ITEM-1","issued":{"date-parts":[["2020"]]},"publisher-place":"Edinburgh","title":"NFI woodland ecological condition in Britain: Classification Results","type":"report"},"uris":["http://www.mendeley.com/documents/?uuid=cf21fcfe-a7bf-4177-843a-74750c8593ac"]}],"mendeley":{"formattedCitation":"(Ditchburn, B., Wilson, T., Henderson, L., Kirby, K. &amp; Steel, 2020)","manualFormatting":"; Ditchburn, B., Wilson, T., Henderson, L., Kirby, K. &amp; Steel, 2020)","plainTextFormattedCitation":"(Ditchburn, B., Wilson, T., Henderson, L., Kirby, K. &amp; Steel, 2020)","previouslyFormattedCitation":"(Ditchburn, B., Wilson, T., Henderson, L., Kirby, K. &amp; Steel, 2020)"},"properties":{"noteIndex":0},"schema":"https://github.com/citation-style-language/schema/raw/master/csl-citation.json"}</w:instrText>
      </w:r>
      <w:r w:rsidR="00FF4F4C">
        <w:rPr>
          <w:rFonts w:cstheme="minorHAnsi"/>
        </w:rPr>
        <w:fldChar w:fldCharType="separate"/>
      </w:r>
      <w:r w:rsidR="00D92431">
        <w:rPr>
          <w:rFonts w:cstheme="minorHAnsi"/>
          <w:noProof/>
        </w:rPr>
        <w:t xml:space="preserve">; </w:t>
      </w:r>
      <w:r w:rsidR="00FF4F4C" w:rsidRPr="00FF4F4C">
        <w:rPr>
          <w:rFonts w:cstheme="minorHAnsi"/>
          <w:noProof/>
        </w:rPr>
        <w:t>Ditchburn, B., Wilson, T., Henderson, L., Kirby, K. &amp; Steel, 2020)</w:t>
      </w:r>
      <w:r w:rsidR="00FF4F4C">
        <w:rPr>
          <w:rFonts w:cstheme="minorHAnsi"/>
        </w:rPr>
        <w:fldChar w:fldCharType="end"/>
      </w:r>
      <w:r w:rsidR="00344FF2">
        <w:rPr>
          <w:rFonts w:cstheme="minorHAnsi"/>
        </w:rPr>
        <w:t xml:space="preserve">, </w:t>
      </w:r>
      <w:r w:rsidR="00F000A5">
        <w:rPr>
          <w:rFonts w:cstheme="minorHAnsi"/>
        </w:rPr>
        <w:t xml:space="preserve">that </w:t>
      </w:r>
      <w:r w:rsidRPr="00B865A6">
        <w:rPr>
          <w:rFonts w:cstheme="minorHAnsi"/>
        </w:rPr>
        <w:t xml:space="preserve">deer populations are projected to continue increasing </w:t>
      </w:r>
      <w:r w:rsidRPr="00B865A6">
        <w:rPr>
          <w:rFonts w:cstheme="minorHAnsi"/>
        </w:rPr>
        <w:fldChar w:fldCharType="begin" w:fldLock="1"/>
      </w:r>
      <w:r w:rsidR="00715A6C" w:rsidRPr="00B865A6">
        <w:rPr>
          <w:rFonts w:cstheme="minorHAnsi"/>
        </w:rPr>
        <w:instrText>ADDIN CSL_CITATION {"citationItems":[{"id":"ITEM-1","itemData":{"author":[{"dropping-particle":"","family":"Ward","given":"Alastair I","non-dropping-particle":"","parse-names":false,"suffix":""}],"id":"ITEM-1","issue":"2","issued":{"date-parts":[["2005"]]},"page":"165-173","title":"Expanding ranges of wild and feral deer in Great Britain","type":"article-journal","volume":"35"},"uris":["http://www.mendeley.com/documents/?uuid=42370d4f-b7ac-45c0-9b38-e274c63b88c8"]}],"mendeley":{"formattedCitation":"(Ward, 2005)","plainTextFormattedCitation":"(Ward, 2005)","previouslyFormattedCitation":"(Ward, 2005)"},"properties":{"noteIndex":0},"schema":"https://github.com/citation-style-language/schema/raw/master/csl-citation.json"}</w:instrText>
      </w:r>
      <w:r w:rsidRPr="00B865A6">
        <w:rPr>
          <w:rFonts w:cstheme="minorHAnsi"/>
        </w:rPr>
        <w:fldChar w:fldCharType="separate"/>
      </w:r>
      <w:r w:rsidR="00770064" w:rsidRPr="00B865A6">
        <w:rPr>
          <w:rFonts w:cstheme="minorHAnsi"/>
          <w:noProof/>
        </w:rPr>
        <w:t>(Ward, 2005)</w:t>
      </w:r>
      <w:r w:rsidRPr="00B865A6">
        <w:rPr>
          <w:rFonts w:cstheme="minorHAnsi"/>
        </w:rPr>
        <w:fldChar w:fldCharType="end"/>
      </w:r>
      <w:r w:rsidR="00CD493B" w:rsidRPr="00B865A6">
        <w:rPr>
          <w:rFonts w:cstheme="minorHAnsi"/>
        </w:rPr>
        <w:t xml:space="preserve"> and </w:t>
      </w:r>
      <w:r w:rsidR="001A5791">
        <w:rPr>
          <w:rFonts w:cstheme="minorHAnsi"/>
        </w:rPr>
        <w:t>Britain</w:t>
      </w:r>
      <w:r w:rsidR="00F000A5">
        <w:rPr>
          <w:rFonts w:cstheme="minorHAnsi"/>
        </w:rPr>
        <w:t xml:space="preserve"> has</w:t>
      </w:r>
      <w:r w:rsidR="001A5791" w:rsidRPr="00B865A6">
        <w:rPr>
          <w:rFonts w:cstheme="minorHAnsi"/>
        </w:rPr>
        <w:t xml:space="preserve"> </w:t>
      </w:r>
      <w:r w:rsidR="00CD493B" w:rsidRPr="00B865A6">
        <w:rPr>
          <w:rFonts w:cstheme="minorHAnsi"/>
        </w:rPr>
        <w:t xml:space="preserve">ambitious policy targets for </w:t>
      </w:r>
      <w:r w:rsidR="00715A6C" w:rsidRPr="00B865A6">
        <w:rPr>
          <w:rFonts w:cstheme="minorHAnsi"/>
        </w:rPr>
        <w:t>forest</w:t>
      </w:r>
      <w:r w:rsidR="00CD493B" w:rsidRPr="00B865A6">
        <w:rPr>
          <w:rFonts w:cstheme="minorHAnsi"/>
        </w:rPr>
        <w:t xml:space="preserve"> expansion </w:t>
      </w:r>
      <w:r w:rsidR="00715A6C" w:rsidRPr="00B865A6">
        <w:rPr>
          <w:rFonts w:cstheme="minorHAnsi"/>
        </w:rPr>
        <w:fldChar w:fldCharType="begin" w:fldLock="1"/>
      </w:r>
      <w:r w:rsidR="00311C35" w:rsidRPr="00B865A6">
        <w:rPr>
          <w:rFonts w:cstheme="minorHAnsi"/>
        </w:rPr>
        <w:instrText>ADDIN CSL_CITATION {"citationItems":[{"id":"ITEM-1","itemData":{"author":[{"dropping-particle":"","family":"Conservative and Unionist Party","given":"","non-dropping-particle":"","parse-names":false,"suffix":""}],"id":"ITEM-1","issued":{"date-parts":[["2019"]]},"title":"Get Brexit Done. Unleash Britain’s Potential. The Conservative and Unionist Party Manifesto 2019.","type":"report"},"uris":["http://www.mendeley.com/documents/?uuid=1a531fa7-69ea-4b57-a45e-1bdeaee08d0b"]}],"mendeley":{"formattedCitation":"(Conservative and Unionist Party, 2019)","plainTextFormattedCitation":"(Conservative and Unionist Party, 2019)","previouslyFormattedCitation":"(Conservative and Unionist Party, 2019)"},"properties":{"noteIndex":0},"schema":"https://github.com/citation-style-language/schema/raw/master/csl-citation.json"}</w:instrText>
      </w:r>
      <w:r w:rsidR="00715A6C" w:rsidRPr="00B865A6">
        <w:rPr>
          <w:rFonts w:cstheme="minorHAnsi"/>
        </w:rPr>
        <w:fldChar w:fldCharType="separate"/>
      </w:r>
      <w:r w:rsidR="00715A6C" w:rsidRPr="00B865A6">
        <w:rPr>
          <w:rFonts w:cstheme="minorHAnsi"/>
          <w:noProof/>
        </w:rPr>
        <w:t>(Conservative and Unionist Party, 2019)</w:t>
      </w:r>
      <w:r w:rsidR="00715A6C" w:rsidRPr="00B865A6">
        <w:rPr>
          <w:rFonts w:cstheme="minorHAnsi"/>
        </w:rPr>
        <w:fldChar w:fldCharType="end"/>
      </w:r>
      <w:r w:rsidRPr="00B865A6">
        <w:rPr>
          <w:rFonts w:cstheme="minorHAnsi"/>
        </w:rPr>
        <w:t>, this understanding is necessary to efficiently target costly management strategies that encourage successful regeneration (e.g. fencing), and population control efforts (e.g. culling).</w:t>
      </w:r>
    </w:p>
    <w:p w14:paraId="61187576" w14:textId="74C2314C" w:rsidR="00C83AD9" w:rsidRPr="00B865A6" w:rsidRDefault="00C83AD9" w:rsidP="00C83AD9">
      <w:pPr>
        <w:spacing w:line="480" w:lineRule="auto"/>
        <w:rPr>
          <w:rFonts w:cstheme="minorHAnsi"/>
          <w:noProof/>
          <w:lang w:eastAsia="en-GB"/>
        </w:rPr>
      </w:pPr>
      <w:r w:rsidRPr="00B865A6">
        <w:rPr>
          <w:rFonts w:cstheme="minorHAnsi"/>
        </w:rPr>
        <w:lastRenderedPageBreak/>
        <w:t xml:space="preserve">Predicting forest susceptibility to deer damage requires an understanding of herbivore foraging location, which is influenced by a hierarchy of abiotic and biotic factors operating at multiple spatial and temporal scales </w:t>
      </w:r>
      <w:r w:rsidRPr="00B865A6">
        <w:rPr>
          <w:rFonts w:cstheme="minorHAnsi"/>
          <w:shd w:val="clear" w:color="auto" w:fill="FFFFFF"/>
        </w:rPr>
        <w:fldChar w:fldCharType="begin" w:fldLock="1"/>
      </w:r>
      <w:r w:rsidR="00715A6C" w:rsidRPr="00B865A6">
        <w:rPr>
          <w:rFonts w:cstheme="minorHAnsi"/>
          <w:shd w:val="clear" w:color="auto" w:fill="FFFFFF"/>
        </w:rPr>
        <w:instrText>ADDIN CSL_CITATION {"citationItems":[{"id":"ITEM-1","itemData":{"DOI":"10.2307/1937156","ISBN":"0012-9658","ISSN":"00129658","PMID":"2","abstract":"JSTOR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Modern ecological research often involves the comparison of the usage of habitat types or food items to the availability of those resources to the animal. Widely used methods of determining preference from measurements of usage and availability depend critically on the array of components that the researcher, often with a degree of arbitrariness, deems available to the animal. This paper proposes a new method, based on ranks of components by usage and by availability. A virtue of the rank procedure is that it provides comparable results whether a questionable component is included or excluded from consideration. Statistical tests of significance are given for the method. The paper also offers a hierarchical ordering of selection processes. This hierarchy resolves certain inconsistencies among studies of selection and is compatible with the analytic technique offered in the paper.","author":[{"dropping-particle":"","family":"Johnson","given":"Douglas H.","non-dropping-particle":"","parse-names":false,"suffix":""}],"container-title":"Ecology","id":"ITEM-1","issue":"1","issued":{"date-parts":[["1980"]]},"page":"65-71","title":"The Comparison of Usage and Availability Measurements for Evaluating Resource Preference","type":"article-journal","volume":"61"},"uris":["http://www.mendeley.com/documents/?uuid=71aac601-a958-4075-b077-8872943061b2"]},{"id":"ITEM-2","itemData":{"DOI":"10.2307/1310545","ISBN":"00063568","ISSN":"00063568","PMID":"4308","abstract":"forage selection, large herbivore, diet selection, selection scale, ecoloical heirarchies, herbivory","author":[{"dropping-particle":"","family":"Senft","given":"R. L.","non-dropping-particle":"","parse-names":false,"suffix":""},{"dropping-particle":"","family":"Coughenour","given":"M. B.","non-dropping-particle":"","parse-names":false,"suffix":""},{"dropping-particle":"","family":"Bailey","given":"D. W.","non-dropping-particle":"","parse-names":false,"suffix":""},{"dropping-particle":"","family":"Rittenhouse","given":"L. R.","non-dropping-particle":"","parse-names":false,"suffix":""},{"dropping-particle":"","family":"Sala","given":"O. E.","non-dropping-particle":"","parse-names":false,"suffix":""},{"dropping-particle":"","family":"Swift","given":"D. M.","non-dropping-particle":"","parse-names":false,"suffix":""}],"container-title":"BioScience","id":"ITEM-2","issue":"11","issued":{"date-parts":[["1987"]]},"page":"789-799","title":"Large Herbivore Foraging and Ecological Hierarchies","type":"article","volume":"37"},"uris":["http://www.mendeley.com/documents/?uuid=5379ea8c-7c30-4462-90ab-0da648f727a7"]}],"mendeley":{"formattedCitation":"(Johnson, 1980; Senft et al., 1987)","plainTextFormattedCitation":"(Johnson, 1980; Senft et al., 1987)","previouslyFormattedCitation":"(Johnson, 1980; Senft et al., 1987)"},"properties":{"noteIndex":0},"schema":"https://github.com/citation-style-language/schema/raw/master/csl-citation.json"}</w:instrText>
      </w:r>
      <w:r w:rsidRPr="00B865A6">
        <w:rPr>
          <w:rFonts w:cstheme="minorHAnsi"/>
          <w:shd w:val="clear" w:color="auto" w:fill="FFFFFF"/>
        </w:rPr>
        <w:fldChar w:fldCharType="separate"/>
      </w:r>
      <w:r w:rsidR="00770064" w:rsidRPr="00B865A6">
        <w:rPr>
          <w:rFonts w:cstheme="minorHAnsi"/>
          <w:noProof/>
          <w:shd w:val="clear" w:color="auto" w:fill="FFFFFF"/>
        </w:rPr>
        <w:t>(Johnson, 1980; Senft et al., 1987)</w:t>
      </w:r>
      <w:r w:rsidRPr="00B865A6">
        <w:rPr>
          <w:rFonts w:cstheme="minorHAnsi"/>
          <w:shd w:val="clear" w:color="auto" w:fill="FFFFFF"/>
        </w:rPr>
        <w:fldChar w:fldCharType="end"/>
      </w:r>
      <w:r w:rsidRPr="00B865A6">
        <w:rPr>
          <w:rFonts w:cstheme="minorHAnsi"/>
        </w:rPr>
        <w:t xml:space="preserve">. Applying Johnson’s (1980) selection orders provides a framework to distil this complexity (Figure 1), by distinguishing four orders according to the frequencies or rates of pertinent drivers </w:t>
      </w:r>
      <w:r w:rsidRPr="00B865A6">
        <w:rPr>
          <w:rFonts w:cstheme="minorHAnsi"/>
        </w:rPr>
        <w:fldChar w:fldCharType="begin" w:fldLock="1"/>
      </w:r>
      <w:r w:rsidR="00715A6C" w:rsidRPr="00B865A6">
        <w:rPr>
          <w:rFonts w:cstheme="minorHAnsi"/>
        </w:rPr>
        <w:instrText>ADDIN CSL_CITATION {"citationItems":[{"id":"ITEM-1","itemData":{"DOI":"10.2307/1310545","ISBN":"00063568","ISSN":"00063568","PMID":"4308","abstract":"forage selection, large herbivore, diet selection, selection scale, ecoloical heirarchies, herbivory","author":[{"dropping-particle":"","family":"Senft","given":"R. L.","non-dropping-particle":"","parse-names":false,"suffix":""},{"dropping-particle":"","family":"Coughenour","given":"M. B.","non-dropping-particle":"","parse-names":false,"suffix":""},{"dropping-particle":"","family":"Bailey","given":"D. W.","non-dropping-particle":"","parse-names":false,"suffix":""},{"dropping-particle":"","family":"Rittenhouse","given":"L. R.","non-dropping-particle":"","parse-names":false,"suffix":""},{"dropping-particle":"","family":"Sala","given":"O. E.","non-dropping-particle":"","parse-names":false,"suffix":""},{"dropping-particle":"","family":"Swift","given":"D. M.","non-dropping-particle":"","parse-names":false,"suffix":""}],"container-title":"BioScience","id":"ITEM-1","issue":"11","issued":{"date-parts":[["1987"]]},"page":"789-799","title":"Large Herbivore Foraging and Ecological Hierarchies","type":"article","volume":"37"},"uris":["http://www.mendeley.com/documents/?uuid=5379ea8c-7c30-4462-90ab-0da648f727a7"]}],"mendeley":{"formattedCitation":"(Senft et al., 1987)","plainTextFormattedCitation":"(Senft et al., 1987)","previouslyFormattedCitation":"(Senft et al., 1987)"},"properties":{"noteIndex":0},"schema":"https://github.com/citation-style-language/schema/raw/master/csl-citation.json"}</w:instrText>
      </w:r>
      <w:r w:rsidRPr="00B865A6">
        <w:rPr>
          <w:rFonts w:cstheme="minorHAnsi"/>
        </w:rPr>
        <w:fldChar w:fldCharType="separate"/>
      </w:r>
      <w:r w:rsidR="00770064" w:rsidRPr="00B865A6">
        <w:rPr>
          <w:rFonts w:cstheme="minorHAnsi"/>
          <w:noProof/>
        </w:rPr>
        <w:t>(Senft et al., 1987)</w:t>
      </w:r>
      <w:r w:rsidRPr="00B865A6">
        <w:rPr>
          <w:rFonts w:cstheme="minorHAnsi"/>
        </w:rPr>
        <w:fldChar w:fldCharType="end"/>
      </w:r>
      <w:r w:rsidRPr="00B865A6">
        <w:rPr>
          <w:rFonts w:cstheme="minorHAnsi"/>
        </w:rPr>
        <w:t xml:space="preserve">. At regional scales (first order), climatic variables throughout the animal’s geographic range are likely to be important in determining habitat selection. At the landscape scale (second order), the composition and configuration of land covers are key drivers of foraging location, due to their provision of food and shelter </w:t>
      </w:r>
      <w:r w:rsidRPr="00B865A6">
        <w:rPr>
          <w:rFonts w:cstheme="minorHAnsi"/>
        </w:rPr>
        <w:fldChar w:fldCharType="begin" w:fldLock="1"/>
      </w:r>
      <w:r w:rsidR="00715A6C" w:rsidRPr="00B865A6">
        <w:rPr>
          <w:rFonts w:cstheme="minorHAnsi"/>
        </w:rPr>
        <w:instrText>ADDIN CSL_CITATION {"citationItems":[{"id":"ITEM-1","itemData":{"DOI":"10.1111/j.1523-1739.2010.01459.x","author":[{"dropping-particle":"","family":"Herrera","given":"JosÉ Manuel","non-dropping-particle":"","parse-names":false,"suffix":""},{"dropping-particle":"","family":"GarcÍA","given":"Daniel","non-dropping-particle":"","parse-names":false,"suffix":""}],"container-title":"Conservation Biology","id":"ITEM-1","issue":"4","issued":{"date-parts":[["2010"]]},"page":"1089-1098","title":"Effects of Forest Fragmentation on Seed Dispersal and Seedling Establishment in Ornithochorous Trees: Fragmentation Effects on Tree Recruitment","type":"article-journal","volume":"24"},"uris":["http://www.mendeley.com/documents/?uuid=70095798-5ef1-489f-b423-365555aa6516"]}],"mendeley":{"formattedCitation":"(Herrera &amp; GarcÍA, 2010)","manualFormatting":"(Herrera &amp; GarcÍa, 2010)","plainTextFormattedCitation":"(Herrera &amp; GarcÍA, 2010)","previouslyFormattedCitation":"(Herrera &amp; GarcÍA, 2010)"},"properties":{"noteIndex":0},"schema":"https://github.com/citation-style-language/schema/raw/master/csl-citation.json"}</w:instrText>
      </w:r>
      <w:r w:rsidRPr="00B865A6">
        <w:rPr>
          <w:rFonts w:cstheme="minorHAnsi"/>
        </w:rPr>
        <w:fldChar w:fldCharType="separate"/>
      </w:r>
      <w:r w:rsidRPr="00B865A6">
        <w:rPr>
          <w:rFonts w:cstheme="minorHAnsi"/>
          <w:noProof/>
        </w:rPr>
        <w:t>(Herrera &amp; Garc</w:t>
      </w:r>
      <w:r w:rsidRPr="00B865A6">
        <w:rPr>
          <w:noProof/>
        </w:rPr>
        <w:t>Ía</w:t>
      </w:r>
      <w:r w:rsidRPr="00B865A6">
        <w:rPr>
          <w:rFonts w:cstheme="minorHAnsi"/>
          <w:noProof/>
        </w:rPr>
        <w:t>, 2010)</w:t>
      </w:r>
      <w:r w:rsidRPr="00B865A6">
        <w:rPr>
          <w:rFonts w:cstheme="minorHAnsi"/>
        </w:rPr>
        <w:fldChar w:fldCharType="end"/>
      </w:r>
      <w:r w:rsidRPr="00B865A6">
        <w:rPr>
          <w:rFonts w:cstheme="minorHAnsi"/>
        </w:rPr>
        <w:t xml:space="preserve"> and effect on perceived predation risk </w:t>
      </w:r>
      <w:r w:rsidRPr="00B865A6">
        <w:rPr>
          <w:rFonts w:cstheme="minorHAnsi"/>
        </w:rPr>
        <w:fldChar w:fldCharType="begin" w:fldLock="1"/>
      </w:r>
      <w:r w:rsidR="00715A6C" w:rsidRPr="00B865A6">
        <w:rPr>
          <w:rFonts w:cstheme="minorHAnsi"/>
        </w:rPr>
        <w:instrText>ADDIN CSL_CITATION {"citationItems":[{"id":"ITEM-1","itemData":{"author":[{"dropping-particle":"","family":"Creel","given":"S.","non-dropping-particle":"","parse-names":false,"suffix":""},{"dropping-particle":"","family":"Winnie","given":"J.","non-dropping-particle":"","parse-names":false,"suffix":""},{"dropping-particle":"","family":"Maxwell","given":"B.","non-dropping-particle":"","parse-names":false,"suffix":""},{"dropping-particle":"","family":"Hamlin","given":"K.","non-dropping-particle":"","parse-names":false,"suffix":""},{"dropping-particle":"","family":"Creel","given":"M","non-dropping-particle":"","parse-names":false,"suffix":""}],"container-title":"Ecology","id":"ITEM-1","issue":"12","issued":{"date-parts":[["2005"]]},"page":"3387-3397","title":"Elk Alter Habitat Selection As an Antipredator Response To Wolves","type":"article-journal","volume":"86"},"uris":["http://www.mendeley.com/documents/?uuid=013aa3b8-d8d2-4254-b3ee-e60aa998c3e8"]}],"mendeley":{"formattedCitation":"(Creel, Winnie, Maxwell, Hamlin, &amp; Creel, 2005)","plainTextFormattedCitation":"(Creel, Winnie, Maxwell, Hamlin, &amp; Creel, 2005)","previouslyFormattedCitation":"(Creel, Winnie, Maxwell, Hamlin, &amp; Creel, 2005)"},"properties":{"noteIndex":0},"schema":"https://github.com/citation-style-language/schema/raw/master/csl-citation.json"}</w:instrText>
      </w:r>
      <w:r w:rsidRPr="00B865A6">
        <w:rPr>
          <w:rFonts w:cstheme="minorHAnsi"/>
        </w:rPr>
        <w:fldChar w:fldCharType="separate"/>
      </w:r>
      <w:r w:rsidR="00770064" w:rsidRPr="00B865A6">
        <w:rPr>
          <w:rFonts w:cstheme="minorHAnsi"/>
          <w:noProof/>
        </w:rPr>
        <w:t>(Creel, Winnie, Maxwell, Hamlin, &amp; Creel, 2005)</w:t>
      </w:r>
      <w:r w:rsidRPr="00B865A6">
        <w:rPr>
          <w:rFonts w:cstheme="minorHAnsi"/>
        </w:rPr>
        <w:fldChar w:fldCharType="end"/>
      </w:r>
      <w:r w:rsidRPr="00B865A6">
        <w:rPr>
          <w:rFonts w:cstheme="minorHAnsi"/>
        </w:rPr>
        <w:t xml:space="preserve">. The area </w:t>
      </w:r>
      <w:r w:rsidR="00A71AC4" w:rsidRPr="00B865A6">
        <w:rPr>
          <w:rFonts w:cstheme="minorHAnsi"/>
        </w:rPr>
        <w:t>over</w:t>
      </w:r>
      <w:r w:rsidRPr="00B865A6">
        <w:rPr>
          <w:rFonts w:cstheme="minorHAnsi"/>
        </w:rPr>
        <w:t xml:space="preserve"> which landscape drivers</w:t>
      </w:r>
      <w:r w:rsidR="00A71AC4" w:rsidRPr="00B865A6">
        <w:rPr>
          <w:rFonts w:cstheme="minorHAnsi"/>
        </w:rPr>
        <w:t xml:space="preserve"> exert an</w:t>
      </w:r>
      <w:r w:rsidRPr="00B865A6">
        <w:rPr>
          <w:rFonts w:cstheme="minorHAnsi"/>
        </w:rPr>
        <w:t xml:space="preserve"> influence, the ‘ecological neighbourhood’ </w:t>
      </w:r>
      <w:r w:rsidRPr="00B865A6">
        <w:rPr>
          <w:rFonts w:cstheme="minorHAnsi"/>
        </w:rPr>
        <w:fldChar w:fldCharType="begin" w:fldLock="1"/>
      </w:r>
      <w:r w:rsidR="00715A6C" w:rsidRPr="00B865A6">
        <w:rPr>
          <w:rFonts w:cstheme="minorHAnsi"/>
        </w:rPr>
        <w:instrText>ADDIN CSL_CITATION {"citationItems":[{"id":"ITEM-1","itemData":{"author":[{"dropping-particle":"","family":"Addicott","given":"JF","non-dropping-particle":"","parse-names":false,"suffix":""},{"dropping-particle":"","family":"Aho","given":"JM","non-dropping-particle":"","parse-names":false,"suffix":""},{"dropping-particle":"","family":"Antolin","given":"MF","non-dropping-particle":"","parse-names":false,"suffix":""},{"dropping-particle":"","family":"Padilla","given":"DK","non-dropping-particle":"","parse-names":false,"suffix":""},{"dropping-particle":"","family":"Richardson","given":"JS","non-dropping-particle":"","parse-names":false,"suffix":""},{"dropping-particle":"","family":"Soluk","given":"DA.","non-dropping-particle":"","parse-names":false,"suffix":""}],"container-title":"Oikos","id":"ITEM-1","issued":{"date-parts":[["1987"]]},"page":"340–346","title":"Ecological neighborhoods: scaling environmental patterns","type":"article-journal","volume":"49"},"uris":["http://www.mendeley.com/documents/?uuid=5c98e79d-e80d-4c25-b592-921075f83781"]}],"mendeley":{"formattedCitation":"(Addicott et al., 1987)","plainTextFormattedCitation":"(Addicott et al., 1987)","previouslyFormattedCitation":"(Addicott et al., 1987)"},"properties":{"noteIndex":0},"schema":"https://github.com/citation-style-language/schema/raw/master/csl-citation.json"}</w:instrText>
      </w:r>
      <w:r w:rsidRPr="00B865A6">
        <w:rPr>
          <w:rFonts w:cstheme="minorHAnsi"/>
        </w:rPr>
        <w:fldChar w:fldCharType="separate"/>
      </w:r>
      <w:r w:rsidR="00770064" w:rsidRPr="00B865A6">
        <w:rPr>
          <w:rFonts w:cstheme="minorHAnsi"/>
          <w:noProof/>
        </w:rPr>
        <w:t>(Addicott et al., 1987)</w:t>
      </w:r>
      <w:r w:rsidRPr="00B865A6">
        <w:rPr>
          <w:rFonts w:cstheme="minorHAnsi"/>
        </w:rPr>
        <w:fldChar w:fldCharType="end"/>
      </w:r>
      <w:r w:rsidRPr="00B865A6">
        <w:rPr>
          <w:rFonts w:cstheme="minorHAnsi"/>
        </w:rPr>
        <w:t xml:space="preserve"> or ‘scale of effect’ </w:t>
      </w:r>
      <w:r w:rsidRPr="00B865A6">
        <w:rPr>
          <w:rFonts w:cstheme="minorHAnsi"/>
        </w:rPr>
        <w:fldChar w:fldCharType="begin" w:fldLock="1"/>
      </w:r>
      <w:r w:rsidR="00715A6C" w:rsidRPr="00B865A6">
        <w:rPr>
          <w:rFonts w:cstheme="minorHAnsi"/>
        </w:rPr>
        <w:instrText>ADDIN CSL_CITATION {"citationItems":[{"id":"ITEM-1","itemData":{"DOI":"10.1641/0006-3568(2004)054[0227:DTSSOS]2.0.CO;2","ISBN":"0006-3568","ISSN":"0006-3568","PMID":"11649465","abstract":"Species respond to habitat at different spatial scales, yet many studies have considered this response only at relatively small scales. We developed a technique and accompanying software (Focus) that use a focal patch approach to select multiple sets of spatially independent sites. For each independent set, regressions are conducted between the habitat variable and counts of species abundance at different scales to determine the spatial scale at which species respond most strongly to an environmental or habitat variable of interest. We applied the technique to determine the spatial scales at which 12 different species of cerambycid beetles respond to forest cover. The beetles responded at different scales, from 20 to 2000 meters. We expect this technique and the accompanying software to be useful for a wide range of studies, including the analysis of existing data sets to answer questions related to the large-scale response of organisms to their environment.","author":[{"dropping-particle":"","family":"Holland","given":"Jeffrey D.","non-dropping-particle":"","parse-names":false,"suffix":""},{"dropping-particle":"","family":"Bert","given":"Daniel G.","non-dropping-particle":"","parse-names":false,"suffix":""},{"dropping-particle":"","family":"Fahrig","given":"Lenore","non-dropping-particle":"","parse-names":false,"suffix":""}],"container-title":"BioScience","id":"ITEM-1","issue":"3","issued":{"date-parts":[["2004"]]},"page":"227","title":"Determining the Spatial Scale of Species' Response to Habitat","type":"article-journal","volume":"54"},"uris":["http://www.mendeley.com/documents/?uuid=9f793945-b23a-4582-8a45-00d27e9d291b"]}],"mendeley":{"formattedCitation":"(Holland, Bert, &amp; Fahrig, 2004)","plainTextFormattedCitation":"(Holland, Bert, &amp; Fahrig, 2004)","previouslyFormattedCitation":"(Holland, Bert, &amp; Fahrig, 2004)"},"properties":{"noteIndex":0},"schema":"https://github.com/citation-style-language/schema/raw/master/csl-citation.json"}</w:instrText>
      </w:r>
      <w:r w:rsidRPr="00B865A6">
        <w:rPr>
          <w:rFonts w:cstheme="minorHAnsi"/>
        </w:rPr>
        <w:fldChar w:fldCharType="separate"/>
      </w:r>
      <w:r w:rsidR="00770064" w:rsidRPr="00B865A6">
        <w:rPr>
          <w:rFonts w:cstheme="minorHAnsi"/>
          <w:noProof/>
        </w:rPr>
        <w:t>(Holland, Bert, &amp; Fahrig, 2004)</w:t>
      </w:r>
      <w:r w:rsidRPr="00B865A6">
        <w:rPr>
          <w:rFonts w:cstheme="minorHAnsi"/>
        </w:rPr>
        <w:fldChar w:fldCharType="end"/>
      </w:r>
      <w:r w:rsidRPr="00B865A6">
        <w:rPr>
          <w:rFonts w:cstheme="minorHAnsi"/>
        </w:rPr>
        <w:t>, is typically identified by comparing models with landscape drivers quantified at varying extents (buffer sizes) surrounding a focal point and selecting the extent yielding the best fit</w:t>
      </w:r>
      <w:r w:rsidR="00D92431">
        <w:rPr>
          <w:rFonts w:cstheme="minorHAnsi"/>
        </w:rPr>
        <w:t xml:space="preserve"> </w:t>
      </w:r>
      <w:r w:rsidR="00D92431">
        <w:rPr>
          <w:rFonts w:cstheme="minorHAnsi"/>
        </w:rPr>
        <w:fldChar w:fldCharType="begin" w:fldLock="1"/>
      </w:r>
      <w:r w:rsidR="00F000A5">
        <w:rPr>
          <w:rFonts w:cstheme="minorHAnsi"/>
        </w:rPr>
        <w:instrText>ADDIN CSL_CITATION {"citationItems":[{"id":"ITEM-1","itemData":{"DOI":"10.1111/geb.12233","ISBN":"1466-8238","ISSN":"14668238","abstract":"Aim The spatial extent (scale) at which landscape attributes are measured has a strong impact on inferred species–landscape relationships. Consequently, researchers commonly measure landscape variables at multiple scales to select one scale (the ‘scale of effect’) that yields the strongest species–landscape relationship. Scales of effect observed in multiscale studies may not be true scales of effect if scales are arbitrarily selected and/or are too narrow in range. Miscalculation of the scale of effect may explain why the theoretical relationship between scale of effect and species traits, e.g. dispersal distance, is not empirically well supported. Location World-wide. Methods Using data from 583 species in 71 studies we conducted a quantitative review of multiscale studies to evaluate whether research has been conducted at the true scale of effect. Results Multiple lines of evidence indicated that multiscale studies are often conducted at suboptimal scales. We did not find convincing evidence of a relationship between observed scale of effect and any of 29 species traits. Instead, observed scales of effect were strongly positively predicted by the smallest and largest scales evaluated by researchers. Only 29% of studies reported biological reasons for the scales evaluated. Scales tended to be narrow in range (the mean range is 0.9 orders of magnitude) and few (the mean number of scales evaluated is four). Many species (44%) had observed scales of effect equal to the smallest or largest scale evaluated, suggesting a better scale was outside that range. Increasing the range of scales evaluated decreased the proportion of species with scales of effect equal to the smallest or largest scale evaluated. Main conclusions To ensure that species–landscape relationships are well estimated, we recommend that the scales at which landscape variables are measured range widely, from the size of a single territory to well above the average dispersal distance.","author":[{"dropping-particle":"","family":"Jackson","given":"Heather Bird","non-dropping-particle":"","parse-names":false,"suffix":""},{"dropping-particle":"","family":"Fahrig","given":"Lenore","non-dropping-particle":"","parse-names":false,"suffix":""}],"container-title":"Global Ecology and Biogeography","id":"ITEM-1","issue":"1","issued":{"date-parts":[["2015"]]},"page":"52-63","title":"Are ecologists conducting research at the optimal scale?","type":"article-journal","volume":"24"},"uris":["http://www.mendeley.com/documents/?uuid=9ee6776d-9c20-4374-a30b-904deef599f4"]}],"mendeley":{"formattedCitation":"(Heather Bird Jackson &amp; Fahrig, 2015)","manualFormatting":"(Jackson &amp; Fahrig, 2015)","plainTextFormattedCitation":"(Heather Bird Jackson &amp; Fahrig, 2015)","previouslyFormattedCitation":"(Heather Bird Jackson &amp; Fahrig, 2015)"},"properties":{"noteIndex":0},"schema":"https://github.com/citation-style-language/schema/raw/master/csl-citation.json"}</w:instrText>
      </w:r>
      <w:r w:rsidR="00D92431">
        <w:rPr>
          <w:rFonts w:cstheme="minorHAnsi"/>
        </w:rPr>
        <w:fldChar w:fldCharType="separate"/>
      </w:r>
      <w:r w:rsidR="00D92431" w:rsidRPr="00D92431">
        <w:rPr>
          <w:rFonts w:cstheme="minorHAnsi"/>
          <w:noProof/>
        </w:rPr>
        <w:t>(Jackson &amp; Fahrig, 2015)</w:t>
      </w:r>
      <w:r w:rsidR="00D92431">
        <w:rPr>
          <w:rFonts w:cstheme="minorHAnsi"/>
        </w:rPr>
        <w:fldChar w:fldCharType="end"/>
      </w:r>
      <w:r w:rsidRPr="00B865A6">
        <w:rPr>
          <w:rFonts w:cstheme="minorHAnsi"/>
        </w:rPr>
        <w:t xml:space="preserve">. At the local scale (third order), patch-level variables are important; </w:t>
      </w:r>
      <w:r w:rsidR="001A5791">
        <w:rPr>
          <w:rFonts w:cstheme="minorHAnsi"/>
        </w:rPr>
        <w:t>f</w:t>
      </w:r>
      <w:r w:rsidRPr="00B865A6">
        <w:rPr>
          <w:rFonts w:cstheme="minorHAnsi"/>
        </w:rPr>
        <w:t>or example, in winter, roe deer (</w:t>
      </w:r>
      <w:r w:rsidRPr="00B865A6">
        <w:rPr>
          <w:rFonts w:cstheme="minorHAnsi"/>
          <w:i/>
        </w:rPr>
        <w:t>Capreolus capreolus</w:t>
      </w:r>
      <w:r w:rsidRPr="00B865A6">
        <w:rPr>
          <w:rFonts w:cstheme="minorHAnsi"/>
        </w:rPr>
        <w:t xml:space="preserve">) selectively forage in forests with more open canopies and consequently more dense understories </w:t>
      </w:r>
      <w:r w:rsidRPr="00B865A6">
        <w:rPr>
          <w:rFonts w:cstheme="minorHAnsi"/>
        </w:rPr>
        <w:fldChar w:fldCharType="begin" w:fldLock="1"/>
      </w:r>
      <w:r w:rsidR="00715A6C" w:rsidRPr="00B865A6">
        <w:rPr>
          <w:rFonts w:cstheme="minorHAnsi"/>
        </w:rPr>
        <w:instrText>ADDIN CSL_CITATION {"citationItems":[{"id":"ITEM-1","itemData":{"DOI":"10.3390/f5061374","ISBN":"1999-4907","ISSN":"19994907","abstract":"The combination of GPS-Telemetry and resource selection functions is widely used to analyze animal habitat selection. Rapid large-scale assessment of vegetation structure allows bridging the requirements of habitat selection studies on grain size and extent, particularly in forest habitats. For roe deer, the cold period in winter forces individuals to optimize their trade off in searching for food and shelter. We analyzed the winter habitat selection of roe deer (Capreolus capreolus) in a montane forest landscape combining estimates of vegetation cover in three different height strata, derived from high resolution airborne Laser-scanning (LiDAR, Light detection and ranging), and activity data from GPS telemetry. Specifically, we tested the influence of temperature, snow height, and wind speed on site selection, differentiating between active and resting animals using mixed-effects conditional logistic regression models in a case-control design. Site selection was best explained by temperature deviations from hourly means, snow height, and activity status of the animals. Roe deer tended to use forests of high canopy cover more frequently with decreasing temperature, and when snow height exceeded 0.6 m. Active animals preferred lower canopy cover, but higher understory cover. Our approach demonstrates the potential of LiDAR measures for studying fine scale habitat selection in complex three-dimensional habitats, such as forests.","author":[{"dropping-particle":"","family":"Ewald","given":"Michael","non-dropping-particle":"","parse-names":false,"suffix":""},{"dropping-particle":"","family":"Dupke","given":"Claudia","non-dropping-particle":"","parse-names":false,"suffix":""},{"dropping-particle":"","family":"Heurich","given":"Marco","non-dropping-particle":"","parse-names":false,"suffix":""},{"dropping-particle":"","family":"Müller","given":"Jörg","non-dropping-particle":"","parse-names":false,"suffix":""},{"dropping-particle":"","family":"Reineking","given":"Björn","non-dropping-particle":"","parse-names":false,"suffix":""}],"container-title":"Forests","id":"ITEM-1","issue":"6","issued":{"date-parts":[["2014"]]},"page":"1374-1390","title":"LiDAR remote sensing of forest structure and GPS telemetry data provide insights on winter habitat selection of european roe deer","type":"article-journal","volume":"5"},"uris":["http://www.mendeley.com/documents/?uuid=5960e536-73f2-433f-8f05-3fa6b57f368b"]}],"mendeley":{"formattedCitation":"(Ewald, Dupke, Heurich, Müller, &amp; Reineking, 2014)","plainTextFormattedCitation":"(Ewald, Dupke, Heurich, Müller, &amp; Reineking, 2014)","previouslyFormattedCitation":"(Ewald, Dupke, Heurich, Müller, &amp; Reineking, 2014)"},"properties":{"noteIndex":0},"schema":"https://github.com/citation-style-language/schema/raw/master/csl-citation.json"}</w:instrText>
      </w:r>
      <w:r w:rsidRPr="00B865A6">
        <w:rPr>
          <w:rFonts w:cstheme="minorHAnsi"/>
        </w:rPr>
        <w:fldChar w:fldCharType="separate"/>
      </w:r>
      <w:r w:rsidR="00770064" w:rsidRPr="00B865A6">
        <w:rPr>
          <w:rFonts w:cstheme="minorHAnsi"/>
          <w:noProof/>
        </w:rPr>
        <w:t>(Ewald, Dupke, Heurich, Müller, &amp; Reineking, 2014)</w:t>
      </w:r>
      <w:r w:rsidRPr="00B865A6">
        <w:rPr>
          <w:rFonts w:cstheme="minorHAnsi"/>
        </w:rPr>
        <w:fldChar w:fldCharType="end"/>
      </w:r>
      <w:r w:rsidRPr="00B865A6">
        <w:rPr>
          <w:rFonts w:cstheme="minorHAnsi"/>
        </w:rPr>
        <w:t xml:space="preserve">. Within a plant community (fourth order), a plant’s physical and chemical characteristics relative to its neighbours determine its foraging risk (Augustine and McNaughton, 1998; Schulze, 1998). </w:t>
      </w:r>
    </w:p>
    <w:p w14:paraId="025F0B5C" w14:textId="77777777" w:rsidR="00C83AD9" w:rsidRPr="00B865A6" w:rsidRDefault="00C83AD9" w:rsidP="00C83AD9">
      <w:pPr>
        <w:spacing w:line="480" w:lineRule="auto"/>
        <w:jc w:val="center"/>
        <w:rPr>
          <w:rFonts w:cstheme="minorHAnsi"/>
        </w:rPr>
      </w:pPr>
      <w:r w:rsidRPr="00B865A6">
        <w:rPr>
          <w:rFonts w:cstheme="minorHAnsi"/>
          <w:noProof/>
          <w:lang w:eastAsia="en-GB"/>
        </w:rPr>
        <w:lastRenderedPageBreak/>
        <w:drawing>
          <wp:inline distT="0" distB="0" distL="0" distR="0" wp14:anchorId="0C695587" wp14:editId="27934038">
            <wp:extent cx="3293859" cy="405047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pt.fig.png"/>
                    <pic:cNvPicPr/>
                  </pic:nvPicPr>
                  <pic:blipFill>
                    <a:blip r:embed="rId13" cstate="email">
                      <a:extLst>
                        <a:ext uri="{28A0092B-C50C-407E-A947-70E740481C1C}">
                          <a14:useLocalDpi xmlns:a14="http://schemas.microsoft.com/office/drawing/2010/main"/>
                        </a:ext>
                      </a:extLst>
                    </a:blip>
                    <a:stretch>
                      <a:fillRect/>
                    </a:stretch>
                  </pic:blipFill>
                  <pic:spPr>
                    <a:xfrm>
                      <a:off x="0" y="0"/>
                      <a:ext cx="3296897" cy="4054214"/>
                    </a:xfrm>
                    <a:prstGeom prst="rect">
                      <a:avLst/>
                    </a:prstGeom>
                  </pic:spPr>
                </pic:pic>
              </a:graphicData>
            </a:graphic>
          </wp:inline>
        </w:drawing>
      </w:r>
    </w:p>
    <w:p w14:paraId="13437395" w14:textId="77777777" w:rsidR="00C83AD9" w:rsidRPr="00B865A6" w:rsidRDefault="00C83AD9" w:rsidP="00C83AD9">
      <w:pPr>
        <w:tabs>
          <w:tab w:val="left" w:pos="2432"/>
        </w:tabs>
        <w:spacing w:line="480" w:lineRule="auto"/>
        <w:rPr>
          <w:sz w:val="20"/>
        </w:rPr>
      </w:pPr>
      <w:r w:rsidRPr="00B865A6">
        <w:rPr>
          <w:rFonts w:ascii="Arial" w:hAnsi="Arial" w:cs="Arial"/>
          <w:color w:val="000000" w:themeColor="text1"/>
          <w:kern w:val="24"/>
          <w:sz w:val="20"/>
          <w:szCs w:val="21"/>
        </w:rPr>
        <w:t>Figure 1. Foraging decisions made by large herbivores are affected by variables operating at multiple spatial scales. Adapted from Johnson (1980) and Senft (1987).</w:t>
      </w:r>
    </w:p>
    <w:p w14:paraId="1DB5E696" w14:textId="5F6E0214" w:rsidR="00C83AD9" w:rsidRPr="00B865A6" w:rsidRDefault="00C83AD9" w:rsidP="00C83AD9">
      <w:pPr>
        <w:spacing w:line="480" w:lineRule="auto"/>
        <w:rPr>
          <w:rFonts w:cstheme="minorHAnsi"/>
        </w:rPr>
      </w:pPr>
      <w:r w:rsidRPr="00B865A6">
        <w:rPr>
          <w:rFonts w:cstheme="minorHAnsi"/>
        </w:rPr>
        <w:t xml:space="preserve">In addition to considering the effects of multiple drivers acting at multiple scales on forage selection, it is critical to consider their interactions. This is because drivers may combine and interact either synergistically or antagonistically, </w:t>
      </w:r>
      <w:r w:rsidR="00DF3DF7">
        <w:rPr>
          <w:rFonts w:cstheme="minorHAnsi"/>
        </w:rPr>
        <w:t>thus</w:t>
      </w:r>
      <w:r w:rsidR="00DF3DF7" w:rsidRPr="00B865A6">
        <w:rPr>
          <w:rFonts w:cstheme="minorHAnsi"/>
        </w:rPr>
        <w:t xml:space="preserve"> </w:t>
      </w:r>
      <w:r w:rsidRPr="00B865A6">
        <w:rPr>
          <w:rFonts w:cstheme="minorHAnsi"/>
        </w:rPr>
        <w:t>modify</w:t>
      </w:r>
      <w:r w:rsidR="00DF3DF7">
        <w:rPr>
          <w:rFonts w:cstheme="minorHAnsi"/>
        </w:rPr>
        <w:t>ing</w:t>
      </w:r>
      <w:r w:rsidRPr="00B865A6">
        <w:rPr>
          <w:rFonts w:cstheme="minorHAnsi"/>
        </w:rPr>
        <w:t xml:space="preserve"> the</w:t>
      </w:r>
      <w:r w:rsidR="00DF3DF7">
        <w:rPr>
          <w:rFonts w:cstheme="minorHAnsi"/>
        </w:rPr>
        <w:t>ir</w:t>
      </w:r>
      <w:r w:rsidRPr="00B865A6">
        <w:rPr>
          <w:rFonts w:cstheme="minorHAnsi"/>
        </w:rPr>
        <w:t xml:space="preserve"> effect</w:t>
      </w:r>
      <w:r w:rsidR="00DF3DF7">
        <w:rPr>
          <w:rFonts w:cstheme="minorHAnsi"/>
        </w:rPr>
        <w:t>s</w:t>
      </w:r>
      <w:r w:rsidR="00D92431">
        <w:rPr>
          <w:rFonts w:cstheme="minorHAnsi"/>
        </w:rPr>
        <w:t xml:space="preserve"> </w:t>
      </w:r>
      <w:r w:rsidRPr="00B865A6">
        <w:rPr>
          <w:rFonts w:cstheme="minorHAnsi"/>
        </w:rPr>
        <w:t xml:space="preserve">of each other. Numerous studies have documented how herbivore habitat selection at local and landscape scales </w:t>
      </w:r>
      <w:r w:rsidR="00FB3BA6" w:rsidRPr="00B865A6">
        <w:rPr>
          <w:rFonts w:cstheme="minorHAnsi"/>
        </w:rPr>
        <w:t xml:space="preserve">can </w:t>
      </w:r>
      <w:r w:rsidRPr="00B865A6">
        <w:rPr>
          <w:rFonts w:cstheme="minorHAnsi"/>
        </w:rPr>
        <w:t>change on a seasonal basis, to adapt to changing forage av</w:t>
      </w:r>
      <w:r w:rsidR="00D92431">
        <w:rPr>
          <w:rFonts w:cstheme="minorHAnsi"/>
        </w:rPr>
        <w:t xml:space="preserve">ailability and quality, and </w:t>
      </w:r>
      <w:r w:rsidRPr="00B865A6">
        <w:rPr>
          <w:rFonts w:cstheme="minorHAnsi"/>
        </w:rPr>
        <w:t xml:space="preserve">regulate against heat loss </w:t>
      </w:r>
      <w:r w:rsidRPr="00B865A6">
        <w:rPr>
          <w:rFonts w:cstheme="minorHAnsi"/>
        </w:rPr>
        <w:fldChar w:fldCharType="begin" w:fldLock="1"/>
      </w:r>
      <w:r w:rsidR="00715A6C" w:rsidRPr="00B865A6">
        <w:rPr>
          <w:rFonts w:cstheme="minorHAnsi"/>
        </w:rPr>
        <w:instrText>ADDIN CSL_CITATION {"citationItems":[{"id":"ITEM-1","itemData":{"DOI":"10.3390/f5061374","ISBN":"1999-4907","ISSN":"19994907","abstract":"The combination of GPS-Telemetry and resource selection functions is widely used to analyze animal habitat selection. Rapid large-scale assessment of vegetation structure allows bridging the requirements of habitat selection studies on grain size and extent, particularly in forest habitats. For roe deer, the cold period in winter forces individuals to optimize their trade off in searching for food and shelter. We analyzed the winter habitat selection of roe deer (Capreolus capreolus) in a montane forest landscape combining estimates of vegetation cover in three different height strata, derived from high resolution airborne Laser-scanning (LiDAR, Light detection and ranging), and activity data from GPS telemetry. Specifically, we tested the influence of temperature, snow height, and wind speed on site selection, differentiating between active and resting animals using mixed-effects conditional logistic regression models in a case-control design. Site selection was best explained by temperature deviations from hourly means, snow height, and activity status of the animals. Roe deer tended to use forests of high canopy cover more frequently with decreasing temperature, and when snow height exceeded 0.6 m. Active animals preferred lower canopy cover, but higher understory cover. Our approach demonstrates the potential of LiDAR measures for studying fine scale habitat selection in complex three-dimensional habitats, such as forests.","author":[{"dropping-particle":"","family":"Ewald","given":"Michael","non-dropping-particle":"","parse-names":false,"suffix":""},{"dropping-particle":"","family":"Dupke","given":"Claudia","non-dropping-particle":"","parse-names":false,"suffix":""},{"dropping-particle":"","family":"Heurich","given":"Marco","non-dropping-particle":"","parse-names":false,"suffix":""},{"dropping-particle":"","family":"Müller","given":"Jörg","non-dropping-particle":"","parse-names":false,"suffix":""},{"dropping-particle":"","family":"Reineking","given":"Björn","non-dropping-particle":"","parse-names":false,"suffix":""}],"container-title":"Forests","id":"ITEM-1","issue":"6","issued":{"date-parts":[["2014"]]},"page":"1374-1390","title":"LiDAR remote sensing of forest structure and GPS telemetry data provide insights on winter habitat selection of european roe deer","type":"article-journal","volume":"5"},"uris":["http://www.mendeley.com/documents/?uuid=5960e536-73f2-433f-8f05-3fa6b57f368b"]}],"mendeley":{"formattedCitation":"(Ewald et al., 2014)","plainTextFormattedCitation":"(Ewald et al., 2014)","previouslyFormattedCitation":"(Ewald et al., 2014)"},"properties":{"noteIndex":0},"schema":"https://github.com/citation-style-language/schema/raw/master/csl-citation.json"}</w:instrText>
      </w:r>
      <w:r w:rsidRPr="00B865A6">
        <w:rPr>
          <w:rFonts w:cstheme="minorHAnsi"/>
        </w:rPr>
        <w:fldChar w:fldCharType="separate"/>
      </w:r>
      <w:r w:rsidR="00770064" w:rsidRPr="00B865A6">
        <w:rPr>
          <w:rFonts w:cstheme="minorHAnsi"/>
          <w:noProof/>
        </w:rPr>
        <w:t>(Ewald et al., 2014)</w:t>
      </w:r>
      <w:r w:rsidRPr="00B865A6">
        <w:rPr>
          <w:rFonts w:cstheme="minorHAnsi"/>
        </w:rPr>
        <w:fldChar w:fldCharType="end"/>
      </w:r>
      <w:r w:rsidRPr="00B865A6">
        <w:rPr>
          <w:rFonts w:cstheme="minorHAnsi"/>
        </w:rPr>
        <w:t xml:space="preserve">. However, the extent to which regional variation in climate can modify the effects of local- and landscape-level drivers (so-called cross-scale interactions; CSIs; </w:t>
      </w:r>
      <w:r w:rsidRPr="00B865A6">
        <w:rPr>
          <w:rFonts w:cstheme="minorHAnsi"/>
        </w:rPr>
        <w:fldChar w:fldCharType="begin" w:fldLock="1"/>
      </w:r>
      <w:r w:rsidR="00715A6C" w:rsidRPr="00B865A6">
        <w:rPr>
          <w:rFonts w:cstheme="minorHAnsi"/>
        </w:rPr>
        <w:instrText>ADDIN CSL_CITATION {"citationItems":[{"id":"ITEM-1","itemData":{"DOI":"10.1007/s10021-007-9055-6","ISBN":"1432-9840","ISSN":"14329840","abstract":"Abstract&amp;nbsp;&amp;nbsp;Cross–scale interactions refer to processes at one spatial or temporal scale interacting with processes at another scale to result in nonlinear dynamics with thresholds. These interactions change the pattern–process relationships across scales such that fine-scale processes can influence a broad spatial extent or a long time period, or broad-scale drivers can interact with fine-scale processes to determine system dynamics. Cross–scale interactions are increasing recognized as having important influences on ecosystem processes, yet they pose formidable challenges for understanding and forecasting ecosystem dynamics. In this introduction to the special feature, “Cross–scale interactions and pattern–process relationships”, we provide a synthetic framework for understanding the causes and consequences of cross–scale interactions. Our framework focuses on the importance of transfer processes and spatial heterogeneity at intermediate scales in linking fine- and broad-scale patterns and processes. Transfer processes and spatial heterogeneity can either amplify or attenuate system response to broad-scale drivers. Providing a framework to explain cross–scale interactions is an important step in improving our understanding and ability to predict the impacts of propagating events and to ameliorate these impacts through proactive measures.","author":[{"dropping-particle":"","family":"Peters","given":"Debra P C","non-dropping-particle":"","parse-names":false,"suffix":""},{"dropping-particle":"","family":"Bestelmeyer","given":"Brandon T.","non-dropping-particle":"","parse-names":false,"suffix":""},{"dropping-particle":"","family":"Turner","given":"Monica G.","non-dropping-particle":"","parse-names":false,"suffix":""}],"container-title":"Ecosystems","id":"ITEM-1","issue":"5","issued":{"date-parts":[["2007"]]},"page":"790-796","title":"Cross-scale interactions and changing pattern-process relationships: Consequences for system dynamics","type":"article-journal","volume":"10"},"uris":["http://www.mendeley.com/documents/?uuid=fe0c12be-3584-48cf-be71-495f7c5464e9"]}],"mendeley":{"formattedCitation":"(Peters, Bestelmeyer, &amp; Turner, 2007)","manualFormatting":"Peters et al., 2007)","plainTextFormattedCitation":"(Peters, Bestelmeyer, &amp; Turner, 2007)","previouslyFormattedCitation":"(Peters, Bestelmeyer, &amp; Turner, 2007)"},"properties":{"noteIndex":0},"schema":"https://github.com/citation-style-language/schema/raw/master/csl-citation.json"}</w:instrText>
      </w:r>
      <w:r w:rsidRPr="00B865A6">
        <w:rPr>
          <w:rFonts w:cstheme="minorHAnsi"/>
        </w:rPr>
        <w:fldChar w:fldCharType="separate"/>
      </w:r>
      <w:r w:rsidRPr="00B865A6">
        <w:rPr>
          <w:rFonts w:cstheme="minorHAnsi"/>
          <w:noProof/>
        </w:rPr>
        <w:t xml:space="preserve">Peters </w:t>
      </w:r>
      <w:r w:rsidRPr="00B865A6">
        <w:rPr>
          <w:rFonts w:cstheme="minorHAnsi"/>
          <w:i/>
          <w:noProof/>
        </w:rPr>
        <w:t>et al.</w:t>
      </w:r>
      <w:r w:rsidRPr="00B865A6">
        <w:rPr>
          <w:rFonts w:cstheme="minorHAnsi"/>
          <w:noProof/>
        </w:rPr>
        <w:t>, 2007)</w:t>
      </w:r>
      <w:r w:rsidRPr="00B865A6">
        <w:rPr>
          <w:rFonts w:cstheme="minorHAnsi"/>
        </w:rPr>
        <w:fldChar w:fldCharType="end"/>
      </w:r>
      <w:r w:rsidRPr="00B865A6">
        <w:rPr>
          <w:rFonts w:cstheme="minorHAnsi"/>
        </w:rPr>
        <w:t xml:space="preserve">, and thereby lead to context dependency in deer damage risk, is much less understood. This is because identifying regional spatial variation necessitates fine-scale, replicated empirical data collected across broad geographic extents. Characterising and understanding interactions among multiple drivers could inform the spatial targeting of management according to deer damage risk and the predicted </w:t>
      </w:r>
      <w:r w:rsidRPr="00B865A6">
        <w:rPr>
          <w:rFonts w:cstheme="minorHAnsi"/>
        </w:rPr>
        <w:lastRenderedPageBreak/>
        <w:t xml:space="preserve">effectiveness of actions </w:t>
      </w:r>
      <w:r w:rsidRPr="00B865A6">
        <w:rPr>
          <w:rFonts w:cstheme="minorHAnsi"/>
        </w:rPr>
        <w:fldChar w:fldCharType="begin" w:fldLock="1"/>
      </w:r>
      <w:r w:rsidR="00715A6C" w:rsidRPr="00B865A6">
        <w:rPr>
          <w:rFonts w:cstheme="minorHAnsi"/>
        </w:rPr>
        <w:instrText>ADDIN CSL_CITATION {"citationItems":[{"id":"ITEM-1","itemData":{"author":[{"dropping-particle":"","family":"Spake","given":"Rebecca","non-dropping-particle":"","parse-names":false,"suffix":""},{"dropping-particle":"","family":"Bellamy","given":"Chloe","non-dropping-particle":"","parse-names":false,"suffix":""},{"dropping-particle":"","family":"Graham","given":"Laura","non-dropping-particle":"","parse-names":false,"suffix":""},{"dropping-particle":"","family":"Watts","given":"Kevin","non-dropping-particle":"","parse-names":false,"suffix":""},{"dropping-particle":"","family":"Wilson","given":"Tom","non-dropping-particle":"","parse-names":false,"suffix":""},{"dropping-particle":"","family":"Norton","given":"Lisa","non-dropping-particle":"","parse-names":false,"suffix":""},{"dropping-particle":"","family":"Wood","given":"Claire","non-dropping-particle":"","parse-names":false,"suffix":""},{"dropping-particle":"","family":"Schmucki","given":"Reto","non-dropping-particle":"","parse-names":false,"suffix":""},{"dropping-particle":"","family":"Bullock","given":"James","non-dropping-particle":"","parse-names":false,"suffix":""},{"dropping-particle":"","family":"Eigenbrod","given":"Felix","non-dropping-particle":"","parse-names":false,"suffix":""}],"container-title":"Nature Sustainability","id":"ITEM-1","issued":{"date-parts":[["2019"]]},"page":"1-9","title":"An analytical framework for spatially targeted management of natural capital","type":"article-journal"},"uris":["http://www.mendeley.com/documents/?uuid=03b65ee0-e52c-4c00-8c2c-51f1c0ed62c8"]}],"mendeley":{"formattedCitation":"(Spake et al., 2019)","plainTextFormattedCitation":"(Spake et al., 2019)","previouslyFormattedCitation":"(Spake et al., 2019)"},"properties":{"noteIndex":0},"schema":"https://github.com/citation-style-language/schema/raw/master/csl-citation.json"}</w:instrText>
      </w:r>
      <w:r w:rsidRPr="00B865A6">
        <w:rPr>
          <w:rFonts w:cstheme="minorHAnsi"/>
        </w:rPr>
        <w:fldChar w:fldCharType="separate"/>
      </w:r>
      <w:r w:rsidR="00770064" w:rsidRPr="00B865A6">
        <w:rPr>
          <w:rFonts w:cstheme="minorHAnsi"/>
          <w:noProof/>
        </w:rPr>
        <w:t>(Spake et al., 2019)</w:t>
      </w:r>
      <w:r w:rsidRPr="00B865A6">
        <w:rPr>
          <w:rFonts w:cstheme="minorHAnsi"/>
        </w:rPr>
        <w:fldChar w:fldCharType="end"/>
      </w:r>
      <w:r w:rsidRPr="00B865A6">
        <w:rPr>
          <w:rFonts w:cstheme="minorHAnsi"/>
        </w:rPr>
        <w:t xml:space="preserve">, helping to respond to calls to improve deer management strategies in Britain </w:t>
      </w:r>
      <w:r w:rsidRPr="00B865A6">
        <w:rPr>
          <w:rFonts w:cstheme="minorHAnsi"/>
        </w:rPr>
        <w:fldChar w:fldCharType="begin" w:fldLock="1"/>
      </w:r>
      <w:r w:rsidR="00715A6C" w:rsidRPr="00B865A6">
        <w:rPr>
          <w:rFonts w:cstheme="minorHAnsi"/>
        </w:rPr>
        <w:instrText>ADDIN CSL_CITATION {"citationItems":[{"id":"ITEM-1","itemData":{"author":[{"dropping-particle":"","family":"SNH","given":"","non-dropping-particle":"","parse-names":false,"suffix":""}],"id":"ITEM-1","issued":{"date-parts":[["2016"]]},"publisher-place":"Battleby","title":"Deer management in Scotland: report to the Scottish Government from Scottish Natural Heritage","type":"report"},"uris":["http://www.mendeley.com/documents/?uuid=a508154d-56cf-415b-9f6a-a9c222cd6ed0"]}],"mendeley":{"formattedCitation":"(SNH, 2016)","manualFormatting":"(e.g. SNH, 2016)","plainTextFormattedCitation":"(SNH, 2016)","previouslyFormattedCitation":"(SNH, 2016)"},"properties":{"noteIndex":0},"schema":"https://github.com/citation-style-language/schema/raw/master/csl-citation.json"}</w:instrText>
      </w:r>
      <w:r w:rsidRPr="00B865A6">
        <w:rPr>
          <w:rFonts w:cstheme="minorHAnsi"/>
        </w:rPr>
        <w:fldChar w:fldCharType="separate"/>
      </w:r>
      <w:r w:rsidRPr="00B865A6">
        <w:rPr>
          <w:rFonts w:cstheme="minorHAnsi"/>
          <w:noProof/>
        </w:rPr>
        <w:t>(e.g. SNH, 2016)</w:t>
      </w:r>
      <w:r w:rsidRPr="00B865A6">
        <w:rPr>
          <w:rFonts w:cstheme="minorHAnsi"/>
        </w:rPr>
        <w:fldChar w:fldCharType="end"/>
      </w:r>
      <w:r w:rsidRPr="00B865A6">
        <w:rPr>
          <w:rFonts w:cstheme="minorHAnsi"/>
        </w:rPr>
        <w:t>.</w:t>
      </w:r>
    </w:p>
    <w:p w14:paraId="665BCF99" w14:textId="14776CA0" w:rsidR="00C83AD9" w:rsidRPr="00B865A6" w:rsidRDefault="00C83AD9" w:rsidP="00C83AD9">
      <w:pPr>
        <w:spacing w:line="480" w:lineRule="auto"/>
      </w:pPr>
      <w:r w:rsidRPr="00B865A6">
        <w:t>In this study, we investigated forest susceptibility to deer damage in relation to a range of drivers operating at multiple scales across countries in Britain: England, Scotland and Wales. We use data from Britain’s National Forestry Inventory, a ground survey designed to measure and monitor forest structure, composition, condition, biodiversity and social use, in addition to data on deer densities based on a game census</w:t>
      </w:r>
      <w:r w:rsidR="00DF3DF7">
        <w:t xml:space="preserve"> (Table 1)</w:t>
      </w:r>
      <w:r w:rsidRPr="00B865A6">
        <w:t xml:space="preserve">. Specifically, we set out to: i) adopt a hierarchical approach to predict the likelihood of a forest being damaged by deer and determine the drivers and their scale of effect; ii) identify whether interactions exist between drivers operating at multiple spatial scales (CSIs), </w:t>
      </w:r>
      <w:r w:rsidR="00B26884" w:rsidRPr="00B865A6">
        <w:t xml:space="preserve">in </w:t>
      </w:r>
      <w:r w:rsidRPr="00B865A6">
        <w:t xml:space="preserve">particular whether local and landscape attributes can moderate the effects of deer density; and iii) use this this knowledge to identify where management efforts to mitigate against deer damage could be spatially targeted </w:t>
      </w:r>
      <w:r w:rsidRPr="00B865A6">
        <w:fldChar w:fldCharType="begin" w:fldLock="1"/>
      </w:r>
      <w:r w:rsidR="00715A6C" w:rsidRPr="00B865A6">
        <w:instrText>ADDIN CSL_CITATION {"citationItems":[{"id":"ITEM-1","itemData":{"author":[{"dropping-particle":"","family":"Spake","given":"Rebecca","non-dropping-particle":"","parse-names":false,"suffix":""},{"dropping-particle":"","family":"Bellamy","given":"Chloe","non-dropping-particle":"","parse-names":false,"suffix":""},{"dropping-particle":"","family":"Graham","given":"Laura","non-dropping-particle":"","parse-names":false,"suffix":""},{"dropping-particle":"","family":"Watts","given":"Kevin","non-dropping-particle":"","parse-names":false,"suffix":""},{"dropping-particle":"","family":"Wilson","given":"Tom","non-dropping-particle":"","parse-names":false,"suffix":""},{"dropping-particle":"","family":"Norton","given":"Lisa","non-dropping-particle":"","parse-names":false,"suffix":""},{"dropping-particle":"","family":"Wood","given":"Claire","non-dropping-particle":"","parse-names":false,"suffix":""},{"dropping-particle":"","family":"Schmucki","given":"Reto","non-dropping-particle":"","parse-names":false,"suffix":""},{"dropping-particle":"","family":"Bullock","given":"James","non-dropping-particle":"","parse-names":false,"suffix":""},{"dropping-particle":"","family":"Eigenbrod","given":"Felix","non-dropping-particle":"","parse-names":false,"suffix":""}],"container-title":"Nature Sustainability","id":"ITEM-1","issued":{"date-parts":[["2019"]]},"page":"1-9","title":"An analytical framework for spatially targeted management of natural capital","type":"article-journal"},"uris":["http://www.mendeley.com/documents/?uuid=03b65ee0-e52c-4c00-8c2c-51f1c0ed62c8"]}],"mendeley":{"formattedCitation":"(Spake et al., 2019)","plainTextFormattedCitation":"(Spake et al., 2019)","previouslyFormattedCitation":"(Spake et al., 2019)"},"properties":{"noteIndex":0},"schema":"https://github.com/citation-style-language/schema/raw/master/csl-citation.json"}</w:instrText>
      </w:r>
      <w:r w:rsidRPr="00B865A6">
        <w:fldChar w:fldCharType="separate"/>
      </w:r>
      <w:r w:rsidR="00770064" w:rsidRPr="00B865A6">
        <w:rPr>
          <w:noProof/>
        </w:rPr>
        <w:t>(Spake et al., 2019)</w:t>
      </w:r>
      <w:r w:rsidRPr="00B865A6">
        <w:fldChar w:fldCharType="end"/>
      </w:r>
      <w:r w:rsidRPr="00B865A6">
        <w:t xml:space="preserve">. Our analysis encompasses drivers that are amenable to management at local and landscape-scales (e.g. tree density, surrounding forest cover), and relevant to recent policy agendas related to forest expansion </w:t>
      </w:r>
      <w:r w:rsidR="00311C35" w:rsidRPr="00B865A6">
        <w:fldChar w:fldCharType="begin" w:fldLock="1"/>
      </w:r>
      <w:r w:rsidR="00311C35" w:rsidRPr="00B865A6">
        <w:instrText>ADDIN CSL_CITATION {"citationItems":[{"id":"ITEM-1","itemData":{"author":[{"dropping-particle":"","family":"DEFRA","given":"","non-dropping-particle":"","parse-names":false,"suffix":""}],"id":"ITEM-1","issued":{"date-parts":[["2018"]]},"publisher-place":"London","title":"A Green Future: Our 25 Year plan to improve the environment","type":"report"},"uris":["http://www.mendeley.com/documents/?uuid=4484bc92-1d57-405a-a5a3-4c02d068b44a"]},{"id":"ITEM-2","itemData":{"author":[{"dropping-particle":"","family":"Conservative and Unionist Party","given":"","non-dropping-particle":"","parse-names":false,"suffix":""}],"id":"ITEM-2","issued":{"date-parts":[["2019"]]},"title":"Get Brexit Done. Unleash Britain’s Potential. The Conservative and Unionist Party Manifesto 2019.","type":"report"},"uris":["http://www.mendeley.com/documents/?uuid=1a531fa7-69ea-4b57-a45e-1bdeaee08d0b"]}],"mendeley":{"formattedCitation":"(DEFRA, 2018; Conservative and Unionist Party, 2019)","plainTextFormattedCitation":"(DEFRA, 2018; Conservative and Unionist Party, 2019)","previouslyFormattedCitation":"(DEFRA, 2018; Conservative and Unionist Party, 2019)"},"properties":{"noteIndex":0},"schema":"https://github.com/citation-style-language/schema/raw/master/csl-citation.json"}</w:instrText>
      </w:r>
      <w:r w:rsidR="00311C35" w:rsidRPr="00B865A6">
        <w:fldChar w:fldCharType="separate"/>
      </w:r>
      <w:r w:rsidR="00311C35" w:rsidRPr="00B865A6">
        <w:rPr>
          <w:noProof/>
        </w:rPr>
        <w:t>(DEFRA, 2018; Conservative and Unionist Party, 2019)</w:t>
      </w:r>
      <w:r w:rsidR="00311C35" w:rsidRPr="00B865A6">
        <w:fldChar w:fldCharType="end"/>
      </w:r>
      <w:r w:rsidRPr="00B865A6">
        <w:t xml:space="preserve">, providing practicable guidance for landscape planning and forest management in Britain. </w:t>
      </w:r>
    </w:p>
    <w:p w14:paraId="6B3808E1" w14:textId="0D17D192" w:rsidR="00C83AD9" w:rsidRPr="00B865A6" w:rsidRDefault="00C83AD9" w:rsidP="00C83AD9">
      <w:pPr>
        <w:spacing w:line="480" w:lineRule="auto"/>
      </w:pPr>
      <w:r w:rsidRPr="00B865A6">
        <w:t xml:space="preserve">Given that forage site selection has been shown to vary temporally with changing climate (i.e. seasonally; </w:t>
      </w:r>
      <w:r w:rsidRPr="00B865A6">
        <w:fldChar w:fldCharType="begin" w:fldLock="1"/>
      </w:r>
      <w:r w:rsidR="00336CEE">
        <w:instrText>ADDIN CSL_CITATION {"citationItems":[{"id":"ITEM-1","itemData":{"DOI":"10.1007/s10980-011-9624-0","author":[{"dropping-particle":"","family":"Morellet","given":"Nicolas","non-dropping-particle":"","parse-names":false,"suffix":""},{"dropping-particle":"Van","family":"Moorter","given":"Bram","non-dropping-particle":"","parse-names":false,"suffix":""},{"dropping-particle":"","family":"Cargnelutti","given":"Bruno","non-dropping-particle":"","parse-names":false,"suffix":""}],"container-title":"Landscape Ecology","id":"ITEM-1","issued":{"date-parts":[["2011"]]},"page":"999-1010","title":"Landscape composition influences roe deer habitat selection at both home range and landscape scales","type":"article-journal","volume":"26"},"uris":["http://www.mendeley.com/documents/?uuid=8b64463a-169d-44af-8aec-40ae8640c0bd"]},{"id":"ITEM-2","itemData":{"author":[{"dropping-particle":"","family":"Godvik","given":"I.M.","non-dropping-particle":"","parse-names":false,"suffix":""},{"dropping-particle":"","family":"Loe","given":"L.E.","non-dropping-particle":"","parse-names":false,"suffix":""},{"dropping-particle":"","family":"Vik","given":"J.O.","non-dropping-particle":"","parse-names":false,"suffix":""},{"dropping-particle":"","family":"Veiberg","given":"V.","non-dropping-particle":"","parse-names":false,"suffix":""},{"dropping-particle":"","family":"Langvatn","given":"R.","non-dropping-particle":"","parse-names":false,"suffix":""},{"dropping-particle":"","family":"Mysterud","given":"A.","non-dropping-particle":"","parse-names":false,"suffix":""}],"container-title":"Ecology","id":"ITEM-2","issue":"3","issued":{"date-parts":[["2009"]]},"page":"699-710","title":"Temporal scales , trade-offs , and functional responses in red deer habitat selection","type":"article-journal","volume":"90"},"uris":["http://www.mendeley.com/documents/?uuid=ba7c27bd-3338-4edf-8e60-3b0e20523675"]},{"id":"ITEM-3","itemData":{"DOI":"10.3390/f5061374","ISBN":"1999-4907","ISSN":"19994907","abstract":"The combination of GPS-Telemetry and resource selection functions is widely used to analyze animal habitat selection. Rapid large-scale assessment of vegetation structure allows bridging the requirements of habitat selection studies on grain size and extent, particularly in forest habitats. For roe deer, the cold period in winter forces individuals to optimize their trade off in searching for food and shelter. We analyzed the winter habitat selection of roe deer (Capreolus capreolus) in a montane forest landscape combining estimates of vegetation cover in three different height strata, derived from high resolution airborne Laser-scanning (LiDAR, Light detection and ranging), and activity data from GPS telemetry. Specifically, we tested the influence of temperature, snow height, and wind speed on site selection, differentiating between active and resting animals using mixed-effects conditional logistic regression models in a case-control design. Site selection was best explained by temperature deviations from hourly means, snow height, and activity status of the animals. Roe deer tended to use forests of high canopy cover more frequently with decreasing temperature, and when snow height exceeded 0.6 m. Active animals preferred lower canopy cover, but higher understory cover. Our approach demonstrates the potential of LiDAR measures for studying fine scale habitat selection in complex three-dimensional habitats, such as forests.","author":[{"dropping-particle":"","family":"Ewald","given":"Michael","non-dropping-particle":"","parse-names":false,"suffix":""},{"dropping-particle":"","family":"Dupke","given":"Claudia","non-dropping-particle":"","parse-names":false,"suffix":""},{"dropping-particle":"","family":"Heurich","given":"Marco","non-dropping-particle":"","parse-names":false,"suffix":""},{"dropping-particle":"","family":"Müller","given":"Jörg","non-dropping-particle":"","parse-names":false,"suffix":""},{"dropping-particle":"","family":"Reineking","given":"Björn","non-dropping-particle":"","parse-names":false,"suffix":""}],"container-title":"Forests","id":"ITEM-3","issue":"6","issued":{"date-parts":[["2014"]]},"page":"1374-1390","title":"LiDAR remote sensing of forest structure and GPS telemetry data provide insights on winter habitat selection of european roe deer","type":"article-journal","volume":"5"},"uris":["http://www.mendeley.com/documents/?uuid=5960e536-73f2-433f-8f05-3fa6b57f368b"]}],"mendeley":{"formattedCitation":"(Godvik et al., 2009; Morellet, Moorter, &amp; Cargnelutti, 2011; Ewald et al., 2014)","manualFormatting":"e.g. Godvik et al., 2009; Morellet et al., 2011; Ewald et al., 2014)","plainTextFormattedCitation":"(Godvik et al., 2009; Morellet, Moorter, &amp; Cargnelutti, 2011; Ewald et al., 2014)","previouslyFormattedCitation":"(Godvik et al., 2009; Morellet, Moorter, &amp; Cargnelutti, 2011; Ewald et al., 2014)"},"properties":{"noteIndex":0},"schema":"https://github.com/citation-style-language/schema/raw/master/csl-citation.json"}</w:instrText>
      </w:r>
      <w:r w:rsidRPr="00B865A6">
        <w:fldChar w:fldCharType="separate"/>
      </w:r>
      <w:r w:rsidRPr="00B865A6">
        <w:rPr>
          <w:noProof/>
        </w:rPr>
        <w:t xml:space="preserve">e.g. Godvik </w:t>
      </w:r>
      <w:r w:rsidRPr="00B865A6">
        <w:rPr>
          <w:i/>
          <w:noProof/>
        </w:rPr>
        <w:t>et al.</w:t>
      </w:r>
      <w:r w:rsidRPr="00B865A6">
        <w:rPr>
          <w:noProof/>
        </w:rPr>
        <w:t xml:space="preserve">, 2009; Morellet </w:t>
      </w:r>
      <w:r w:rsidRPr="00B865A6">
        <w:rPr>
          <w:i/>
          <w:noProof/>
        </w:rPr>
        <w:t>et al.</w:t>
      </w:r>
      <w:r w:rsidRPr="00B865A6">
        <w:rPr>
          <w:noProof/>
        </w:rPr>
        <w:t xml:space="preserve">, 2011; Ewald </w:t>
      </w:r>
      <w:r w:rsidRPr="00B865A6">
        <w:rPr>
          <w:i/>
          <w:noProof/>
        </w:rPr>
        <w:t>et al.</w:t>
      </w:r>
      <w:r w:rsidRPr="00B865A6">
        <w:rPr>
          <w:noProof/>
        </w:rPr>
        <w:t>, 2014)</w:t>
      </w:r>
      <w:r w:rsidRPr="00B865A6">
        <w:fldChar w:fldCharType="end"/>
      </w:r>
      <w:r w:rsidRPr="00B865A6">
        <w:t xml:space="preserve">, we hypothesised that site selection would vary spatially with climate and deer density. In accordance with shelter-seeking behaviour, we hypothesised that deer may select to forage in, and </w:t>
      </w:r>
      <w:r w:rsidR="00FB3BA6" w:rsidRPr="00B865A6">
        <w:t xml:space="preserve">so </w:t>
      </w:r>
      <w:r w:rsidRPr="00B865A6">
        <w:t xml:space="preserve">exert more damage in, relatively sheltered environments in harsher climates </w:t>
      </w:r>
      <w:r w:rsidRPr="00B865A6">
        <w:fldChar w:fldCharType="begin" w:fldLock="1"/>
      </w:r>
      <w:r w:rsidR="00715A6C" w:rsidRPr="00B865A6">
        <w:instrText>ADDIN CSL_CITATION {"citationItems":[{"id":"ITEM-1","itemData":{"ISBN":"0904282090","PMID":"285","author":[{"dropping-particle":"","family":"Mitchell","given":"Brian","non-dropping-particle":"","parse-names":false,"suffix":""},{"dropping-particle":"","family":"Staines","given":"Brian W.","non-dropping-particle":"","parse-names":false,"suffix":""},{"dropping-particle":"","family":"Welch","given":"David","non-dropping-particle":"","parse-names":false,"suffix":""}],"container-title":"Institute of Terrestrial Ecology","id":"ITEM-1","issued":{"date-parts":[["1977"]]},"page":"74","title":"Ecology of Red Deer: a research review relevant to their management in Scotland","type":"article-journal"},"uris":["http://www.mendeley.com/documents/?uuid=ef97b2bd-0bd4-4c09-bb7b-6b34d5c2e82d"]}],"mendeley":{"formattedCitation":"(Mitchell, Staines, &amp; Welch, 1977)","plainTextFormattedCitation":"(Mitchell, Staines, &amp; Welch, 1977)","previouslyFormattedCitation":"(Mitchell, Staines, &amp; Welch, 1977)"},"properties":{"noteIndex":0},"schema":"https://github.com/citation-style-language/schema/raw/master/csl-citation.json"}</w:instrText>
      </w:r>
      <w:r w:rsidRPr="00B865A6">
        <w:fldChar w:fldCharType="separate"/>
      </w:r>
      <w:r w:rsidR="00770064" w:rsidRPr="00B865A6">
        <w:rPr>
          <w:noProof/>
        </w:rPr>
        <w:t>(Mitchell, Staines, &amp; Welch, 1977)</w:t>
      </w:r>
      <w:r w:rsidRPr="00B865A6">
        <w:fldChar w:fldCharType="end"/>
      </w:r>
      <w:r w:rsidRPr="00B865A6">
        <w:t>. We expected this phenomenon to manifest as interacting effects of climate with local drivers (e.g. forest tree density) and landscape drivers (e.g. forest cover), with more strongly positive effects of these drivers observed in harsher climates. Moreover, we further expected forest cover to interact with regional deer density, because population density may induce the need of large herbivores to trade-</w:t>
      </w:r>
      <w:r w:rsidRPr="00B865A6">
        <w:lastRenderedPageBreak/>
        <w:t xml:space="preserve">off forage and shelter </w:t>
      </w:r>
      <w:r w:rsidRPr="00B865A6">
        <w:fldChar w:fldCharType="begin" w:fldLock="1"/>
      </w:r>
      <w:r w:rsidR="00715A6C" w:rsidRPr="00B865A6">
        <w:instrText>ADDIN CSL_CITATION {"citationItems":[{"id":"ITEM-1","itemData":{"author":[{"dropping-particle":"","family":"Mysterud","given":"A.","non-dropping-particle":"","parse-names":false,"suffix":""},{"dropping-particle":"","family":"Østbye","given":"E.","non-dropping-particle":"","parse-names":false,"suffix":""}],"container-title":"Wildlife Society Bulletin","id":"ITEM-1","issued":{"date-parts":[["1999"]]},"page":"385–394","title":"Cover as a habitat element for temperate ungulates: effects on habitat selection and demography","type":"article-journal","volume":"27"},"uris":["http://www.mendeley.com/documents/?uuid=dfd223e6-9dcd-4cf2-b207-f3fc8de5006a"]}],"mendeley":{"formattedCitation":"(Mysterud &amp; Østbye, 1999)","plainTextFormattedCitation":"(Mysterud &amp; Østbye, 1999)","previouslyFormattedCitation":"(Mysterud &amp; Østbye, 1999)"},"properties":{"noteIndex":0},"schema":"https://github.com/citation-style-language/schema/raw/master/csl-citation.json"}</w:instrText>
      </w:r>
      <w:r w:rsidRPr="00B865A6">
        <w:fldChar w:fldCharType="separate"/>
      </w:r>
      <w:r w:rsidR="00770064" w:rsidRPr="00B865A6">
        <w:rPr>
          <w:noProof/>
        </w:rPr>
        <w:t>(Mysterud &amp; Østbye, 1999)</w:t>
      </w:r>
      <w:r w:rsidRPr="00B865A6">
        <w:fldChar w:fldCharType="end"/>
      </w:r>
      <w:r w:rsidRPr="00B865A6">
        <w:t xml:space="preserve">. High population densities can intensify intraspecific interference and competition for preferred resources (i.e. highly forested, sheltered landscapes), causing large herbivores to spend more time outside of protective cover </w:t>
      </w:r>
      <w:r w:rsidRPr="00B865A6">
        <w:fldChar w:fldCharType="begin" w:fldLock="1"/>
      </w:r>
      <w:r w:rsidR="004D323E">
        <w:instrText>ADDIN CSL_CITATION {"citationItems":[{"id":"ITEM-1","itemData":{"DOI":"10.1007/s00442-013-2686-8","author":[{"dropping-particle":"","family":"Perez-Barberıia","given":"F.J.","non-dropping-particle":"","parse-names":false,"suffix":""},{"dropping-particle":"","family":"Hooper","given":"R.J.","non-dropping-particle":"","parse-names":false,"suffix":""},{"dropping-particle":"","family":"Gordon","given":"I.J.","non-dropping-particle":"","parse-names":false,"suffix":""}],"container-title":"Oecologia","id":"ITEM-1","issued":{"date-parts":[["2013"]]},"page":"837-847","title":"Long-term density-dependent changes in habitat selection in red deer (Cervus elaphus)","type":"article-journal","volume":"173"},"uris":["http://www.mendeley.com/documents/?uuid=ebcbbe5b-d2b5-4d69-bc3d-4626c7f0c490"]},{"id":"ITEM-2","itemData":{"author":[{"dropping-particle":"","family":"White","given":"K. S.","non-dropping-particle":"","parse-names":false,"suffix":""},{"dropping-particle":"","family":"Testa","given":"J.","non-dropping-particle":"","parse-names":false,"suffix":""},{"dropping-particle":"","family":"Berger","given":"W.","non-dropping-particle":"","parse-names":false,"suffix":""}],"container-title":"Journal of Mammalogy","id":"ITEM-2","issued":{"date-parts":[["2001"]]},"page":"422–429","title":"Behavioral and ecologic effects of differential predation pressure on moose in Alaska","type":"article-journal","volume":"82"},"uris":["http://www.mendeley.com/documents/?uuid=4b93fc7e-604f-4a03-8b4e-7c2d980b7e44"]}],"mendeley":{"formattedCitation":"(White, Testa, &amp; Berger, 2001; Perez-Barberıia, Hooper, &amp; Gordon, 2013)","plainTextFormattedCitation":"(White, Testa, &amp; Berger, 2001; Perez-Barberıia, Hooper, &amp; Gordon, 2013)","previouslyFormattedCitation":"(White, Testa, &amp; Berger, 2001; Perez-Barberıia, Hooper, &amp; Gordon, 2013)"},"properties":{"noteIndex":0},"schema":"https://github.com/citation-style-language/schema/raw/master/csl-citation.json"}</w:instrText>
      </w:r>
      <w:r w:rsidRPr="00B865A6">
        <w:fldChar w:fldCharType="separate"/>
      </w:r>
      <w:r w:rsidR="00770064" w:rsidRPr="00B865A6">
        <w:rPr>
          <w:noProof/>
        </w:rPr>
        <w:t>(White, Testa, &amp; Berger, 2001; Perez-Barberıia, Hooper, &amp; Gordon, 2013)</w:t>
      </w:r>
      <w:r w:rsidRPr="00B865A6">
        <w:fldChar w:fldCharType="end"/>
      </w:r>
      <w:r w:rsidRPr="00B865A6">
        <w:t xml:space="preserve">. We therefore expected that the hypothesised strong positive effects of landscape forest cover on damage probability in harsh environments might plateau or exhibit a hump-shaped relationship in regions with high densities. </w:t>
      </w:r>
    </w:p>
    <w:p w14:paraId="5FB999F2" w14:textId="77777777" w:rsidR="00C83AD9" w:rsidRPr="00B865A6" w:rsidRDefault="00C83AD9" w:rsidP="00C83AD9">
      <w:pPr>
        <w:pStyle w:val="Heading2"/>
        <w:spacing w:line="480" w:lineRule="auto"/>
      </w:pPr>
      <w:bookmarkStart w:id="6" w:name="_Toc517892356"/>
      <w:bookmarkStart w:id="7" w:name="_Toc520716266"/>
      <w:bookmarkStart w:id="8" w:name="_Toc534293629"/>
      <w:r w:rsidRPr="00B865A6">
        <w:t>Materials and methods</w:t>
      </w:r>
      <w:bookmarkEnd w:id="6"/>
      <w:bookmarkEnd w:id="7"/>
      <w:bookmarkEnd w:id="8"/>
    </w:p>
    <w:p w14:paraId="6E53BCA4" w14:textId="77777777" w:rsidR="00C83AD9" w:rsidRPr="00B865A6" w:rsidRDefault="00C83AD9" w:rsidP="00C83AD9">
      <w:pPr>
        <w:pStyle w:val="Heading3"/>
        <w:spacing w:line="480" w:lineRule="auto"/>
      </w:pPr>
      <w:bookmarkStart w:id="9" w:name="_Toc517892357"/>
      <w:bookmarkStart w:id="10" w:name="_Toc520716267"/>
      <w:bookmarkStart w:id="11" w:name="_Toc534293630"/>
      <w:r w:rsidRPr="00B865A6">
        <w:t>Records of deer damage</w:t>
      </w:r>
      <w:bookmarkEnd w:id="9"/>
      <w:bookmarkEnd w:id="10"/>
      <w:bookmarkEnd w:id="11"/>
    </w:p>
    <w:p w14:paraId="1D78D6B7" w14:textId="3811325F" w:rsidR="00C83AD9" w:rsidRPr="00B865A6" w:rsidRDefault="00C83AD9" w:rsidP="00C83AD9">
      <w:pPr>
        <w:spacing w:line="480" w:lineRule="auto"/>
      </w:pPr>
      <w:r w:rsidRPr="00B865A6">
        <w:t>Site susceptibility to deer damage in Britain (across England, Scotland and Wales)</w:t>
      </w:r>
      <w:r w:rsidRPr="00B865A6" w:rsidDel="00487A00">
        <w:t xml:space="preserve"> </w:t>
      </w:r>
      <w:r w:rsidRPr="00B865A6">
        <w:t xml:space="preserve">was modelled using the first cycle of the Forestry Commission’s National Forest Inventory (NFI; 2010 – 2016). </w:t>
      </w:r>
      <w:bookmarkStart w:id="12" w:name="_Hlk32823875"/>
      <w:r w:rsidRPr="00B865A6">
        <w:t xml:space="preserve"> </w:t>
      </w:r>
      <w:bookmarkEnd w:id="12"/>
      <w:r w:rsidRPr="00B865A6">
        <w:rPr>
          <w:iCs/>
        </w:rPr>
        <w:t>This rolling field survey incorporates over 15,000 1-ha forest ‘squares’ across England, Scotland and Wales, from which data describing the site’s biophysical attributes and human activities are collected using a standardised protocol</w:t>
      </w:r>
      <w:r w:rsidR="0081469B">
        <w:rPr>
          <w:iCs/>
        </w:rPr>
        <w:t xml:space="preserve"> </w:t>
      </w:r>
      <w:r w:rsidR="00CA2CD5">
        <w:rPr>
          <w:iCs/>
        </w:rPr>
        <w:fldChar w:fldCharType="begin" w:fldLock="1"/>
      </w:r>
      <w:r w:rsidR="00CA2CD5">
        <w:rPr>
          <w:iCs/>
        </w:rPr>
        <w:instrText>ADDIN CSL_CITATION {"citationItems":[{"id":"ITEM-1","itemData":{"author":[{"dropping-particle":"","family":"Ditchburn, B., Bellamy, C., Wilson, T., Steel, P., Henderson, L., Kirby","given":"K.","non-dropping-particle":"","parse-names":false,"suffix":""}],"id":"ITEM-1","issued":{"date-parts":[["2020"]]},"publisher-place":"Edinburgh","title":"NFI woodland ecological condition in Great Britain: Methodology","type":"report"},"uris":["http://www.mendeley.com/documents/?uuid=614e8021-865c-4399-b47f-64ba76363291"]}],"mendeley":{"formattedCitation":"(Ditchburn, B., Bellamy, C., Wilson, T., Steel, P., Henderson, L., Kirby, 2020)","plainTextFormattedCitation":"(Ditchburn, B., Bellamy, C., Wilson, T., Steel, P., Henderson, L., Kirby, 2020)","previouslyFormattedCitation":"(Ditchburn, B., Bellamy, C., Wilson, T., Steel, P., Henderson, L., Kirby, 2020)"},"properties":{"noteIndex":0},"schema":"https://github.com/citation-style-language/schema/raw/master/csl-citation.json"}</w:instrText>
      </w:r>
      <w:r w:rsidR="00CA2CD5">
        <w:rPr>
          <w:iCs/>
        </w:rPr>
        <w:fldChar w:fldCharType="separate"/>
      </w:r>
      <w:r w:rsidR="00CA2CD5" w:rsidRPr="00CA2CD5">
        <w:rPr>
          <w:iCs/>
          <w:noProof/>
        </w:rPr>
        <w:t>(Ditchburn, B., Bellamy, C., Wilson, T., Steel, P., Henderson, L., Kirby, 2020)</w:t>
      </w:r>
      <w:r w:rsidR="00CA2CD5">
        <w:rPr>
          <w:iCs/>
        </w:rPr>
        <w:fldChar w:fldCharType="end"/>
      </w:r>
      <w:r w:rsidRPr="00B865A6">
        <w:rPr>
          <w:iCs/>
        </w:rPr>
        <w:t xml:space="preserve">. Sites were selected using a stratified-random strategy to ensure that each site </w:t>
      </w:r>
      <w:r w:rsidRPr="00B865A6">
        <w:t>contained at least some forest, and</w:t>
      </w:r>
      <w:r w:rsidRPr="00B865A6">
        <w:rPr>
          <w:iCs/>
        </w:rPr>
        <w:t xml:space="preserve"> that forests of different types (e.g. broadleaf or conifer) and ownership types (privately or publicly owned) were proportionally representative of their regional availability </w:t>
      </w:r>
      <w:r w:rsidRPr="00B865A6">
        <w:rPr>
          <w:iCs/>
        </w:rPr>
        <w:fldChar w:fldCharType="begin" w:fldLock="1"/>
      </w:r>
      <w:r w:rsidR="00715A6C" w:rsidRPr="00B865A6">
        <w:rPr>
          <w:iCs/>
        </w:rPr>
        <w:instrText>ADDIN CSL_CITATION {"citationItems":[{"id":"ITEM-1","itemData":{"URL":"https://www.forestresearch.gov.uk/tools-and-resources/national-forest-inventory/about-the-nfi/","author":[{"dropping-particle":"","family":"Forest Research","given":"","non-dropping-particle":"","parse-names":false,"suffix":""}],"container-title":"National Forest Inventory","id":"ITEM-1","issued":{"date-parts":[["2019"]]},"title":"About the NFI","type":"webpage"},"uris":["http://www.mendeley.com/documents/?uuid=fd800c74-d9ad-4602-957b-6f6a6536bdd4"]}],"mendeley":{"formattedCitation":"(Forest Research, 2019)","plainTextFormattedCitation":"(Forest Research, 2019)","previouslyFormattedCitation":"(Forest Research, 2019)"},"properties":{"noteIndex":0},"schema":"https://github.com/citation-style-language/schema/raw/master/csl-citation.json"}</w:instrText>
      </w:r>
      <w:r w:rsidRPr="00B865A6">
        <w:rPr>
          <w:iCs/>
        </w:rPr>
        <w:fldChar w:fldCharType="separate"/>
      </w:r>
      <w:r w:rsidR="00770064" w:rsidRPr="00B865A6">
        <w:rPr>
          <w:iCs/>
          <w:noProof/>
        </w:rPr>
        <w:t>(Forest Research, 2019)</w:t>
      </w:r>
      <w:r w:rsidRPr="00B865A6">
        <w:rPr>
          <w:iCs/>
        </w:rPr>
        <w:fldChar w:fldCharType="end"/>
      </w:r>
      <w:r w:rsidR="00FB3BA6" w:rsidRPr="00B865A6">
        <w:rPr>
          <w:iCs/>
        </w:rPr>
        <w:t>.</w:t>
      </w:r>
      <w:r w:rsidRPr="00B865A6">
        <w:rPr>
          <w:iCs/>
        </w:rPr>
        <w:t xml:space="preserve">  </w:t>
      </w:r>
      <w:r w:rsidRPr="00B865A6">
        <w:t>Each 1-ha square is subdivided into sections, areas of at least 0.05-ha that are relatively homogenous in terms of habitat and land use attributes including silvicultural system, age and height</w:t>
      </w:r>
      <w:r w:rsidR="00CA2CD5" w:rsidRPr="00CA2CD5">
        <w:rPr>
          <w:iCs/>
        </w:rPr>
        <w:t xml:space="preserve"> </w:t>
      </w:r>
      <w:r w:rsidR="00CA2CD5">
        <w:rPr>
          <w:iCs/>
        </w:rPr>
        <w:fldChar w:fldCharType="begin" w:fldLock="1"/>
      </w:r>
      <w:r w:rsidR="00FF4F4C">
        <w:rPr>
          <w:iCs/>
        </w:rPr>
        <w:instrText>ADDIN CSL_CITATION {"citationItems":[{"id":"ITEM-1","itemData":{"author":[{"dropping-particle":"","family":"Ditchburn, B., Bellamy, C., Wilson, T., Steel, P., Henderson, L., Kirby","given":"K.","non-dropping-particle":"","parse-names":false,"suffix":""}],"id":"ITEM-1","issued":{"date-parts":[["2020"]]},"publisher-place":"Edinburgh","title":"NFI woodland ecological condition in Great Britain: Methodology","type":"report"},"uris":["http://www.mendeley.com/documents/?uuid=614e8021-865c-4399-b47f-64ba76363291"]}],"mendeley":{"formattedCitation":"(Ditchburn, B., Bellamy, C., Wilson, T., Steel, P., Henderson, L., Kirby, 2020)","plainTextFormattedCitation":"(Ditchburn, B., Bellamy, C., Wilson, T., Steel, P., Henderson, L., Kirby, 2020)","previouslyFormattedCitation":"(Ditchburn, B., Bellamy, C., Wilson, T., Steel, P., Henderson, L., Kirby, 2020)"},"properties":{"noteIndex":0},"schema":"https://github.com/citation-style-language/schema/raw/master/csl-citation.json"}</w:instrText>
      </w:r>
      <w:r w:rsidR="00CA2CD5">
        <w:rPr>
          <w:iCs/>
        </w:rPr>
        <w:fldChar w:fldCharType="separate"/>
      </w:r>
      <w:r w:rsidR="00CA2CD5" w:rsidRPr="00CA2CD5">
        <w:rPr>
          <w:iCs/>
          <w:noProof/>
        </w:rPr>
        <w:t>(Ditchburn, B., Bellamy, C., Wilson, T., Steel, P., Henderson, L., Kirby, 2020)</w:t>
      </w:r>
      <w:r w:rsidR="00CA2CD5">
        <w:rPr>
          <w:iCs/>
        </w:rPr>
        <w:fldChar w:fldCharType="end"/>
      </w:r>
      <w:r w:rsidRPr="00B865A6">
        <w:t xml:space="preserve">; Figure 2). Sections therefore represent practicable local management units. </w:t>
      </w:r>
    </w:p>
    <w:p w14:paraId="3FD1FD20" w14:textId="7E634E31" w:rsidR="00C83AD9" w:rsidRPr="00B865A6" w:rsidRDefault="00C83AD9" w:rsidP="00C83AD9">
      <w:pPr>
        <w:spacing w:line="480" w:lineRule="auto"/>
      </w:pPr>
      <w:r w:rsidRPr="00B865A6">
        <w:t xml:space="preserve">NFI surveyors recorded signs of </w:t>
      </w:r>
      <w:r w:rsidR="00332D71" w:rsidRPr="00B865A6">
        <w:t xml:space="preserve">herbivore </w:t>
      </w:r>
      <w:r w:rsidRPr="00B865A6">
        <w:t>damage</w:t>
      </w:r>
      <w:r w:rsidR="00332D71" w:rsidRPr="00B865A6">
        <w:t xml:space="preserve"> to trees</w:t>
      </w:r>
      <w:r w:rsidRPr="00B865A6">
        <w:t>, either as browsing (caused by animals feeding on tree shoots and foliage) or bark damage (either from stripping, the peeling and eating of bark, or fraying, where male deer mark their territories and clean the velvet off newly-grown antlers)</w:t>
      </w:r>
      <w:r w:rsidR="00332D71" w:rsidRPr="00B865A6">
        <w:t xml:space="preserve"> (</w:t>
      </w:r>
      <w:r w:rsidR="00FA21C7">
        <w:t>Ditchburn et al., 2020</w:t>
      </w:r>
      <w:r w:rsidR="00332D71" w:rsidRPr="00B865A6">
        <w:t>)</w:t>
      </w:r>
      <w:r w:rsidRPr="00B865A6">
        <w:t xml:space="preserve">. Both are relevant to forest management, as browsing damage simplifies vegetation structure and can result in tree death, while </w:t>
      </w:r>
      <w:r w:rsidRPr="00B865A6">
        <w:rPr>
          <w:rFonts w:cstheme="minorHAnsi"/>
        </w:rPr>
        <w:t xml:space="preserve">stripping can provide an entry for fungi and </w:t>
      </w:r>
      <w:r w:rsidRPr="00B865A6">
        <w:rPr>
          <w:rFonts w:cstheme="minorHAnsi"/>
        </w:rPr>
        <w:lastRenderedPageBreak/>
        <w:t xml:space="preserve">insects, leading to economic losses and higher susceptibility of trees to drought and windthrow </w:t>
      </w:r>
      <w:r w:rsidRPr="00B865A6">
        <w:rPr>
          <w:rFonts w:cstheme="minorHAnsi"/>
        </w:rPr>
        <w:fldChar w:fldCharType="begin" w:fldLock="1"/>
      </w:r>
      <w:r w:rsidR="00715A6C" w:rsidRPr="00B865A6">
        <w:rPr>
          <w:rFonts w:cstheme="minorHAnsi"/>
        </w:rPr>
        <w:instrText>ADDIN CSL_CITATION {"citationItems":[{"id":"ITEM-1","itemData":{"ISSN":"03781127","abstract":"Diversionary feeding implies strategic food provisioning to wildlife to lure animals away from undesired areas, and is a common forest management practice throughout Europe and North America. Within forestry, diversionary feeding typically targets cervids, and aims to reduce browsing damage and bark-stripping in vulnerable forest stands (young and mid-aged forest stands). Because these stands are most vulnerable during winter, diversionary feeing is often restricted to that season. Despite being widely applied, clear evidence on the effectiveness of diversionary feeding of cervids is lacking. The aim of this study was to evaluate the effectiveness of diversionary winter feeding as a tool to lure away a large cervid, red deer (Cervus elaphus), from vulnerable forest stands. First, we hypothesized (H1) that diversionary feeding is among the most important factors explaining differences in red deer habitat selection between summer (i.e., no food supply at feeding stations) and winter (i.e., food supply ad libitum at feeding stations). Second, we hypothesized (H2) that diversionary feeding releases red deer habitat selection pressure in forest stands vulnerable for browsing or bark-stripping, and that this release decays with distance to the nearest feeding station. We tested our hypotheses using red deer relocation data (11 individuals &amp; 3 years) and resource selection functions in an intensively managed Austrian forest. As expected, variation in red deer habitat selection between summer and winter was best explained by a different response to supplementary feeding stations between the seasons (H1). During winter, red deer strongly selected for areas close to feeding stations, whereas feeding stations did not strongly affect their habitat selection during summer. We found that diversionary feeding during winter released red deer habitat selection pressure on vulnerable forest stands, but limited to distances of about 1.3 to 1.5 km from the feeding station, this accounts for 39% of the study area (H2). Our results show that diversionary feeding can indeed be an effective tool to mediate habitat selection behavior and to lure cervids away from vulnerable forest stands. However, habitat selection is not necessarily a good proxy for damage, and whether or not diversionary feeding reduces forestry damage in the long-term remains unclear, as it can positively feed-back into survival, reproduction, and eventually population growth and densities. We suggest that f…","author":[{"dropping-particle":"","family":"Arnold","given":"Johanna Maria","non-dropping-particle":"","parse-names":false,"suffix":""},{"dropping-particle":"","family":"Gerhardt","given":"Philipp","non-dropping-particle":"","parse-names":false,"suffix":""},{"dropping-particle":"","family":"Steyaert","given":"Sam M.J.G.","non-dropping-particle":"","parse-names":false,"suffix":""},{"dropping-particle":"","family":"Hochbichler","given":"Eduard","non-dropping-particle":"","parse-names":false,"suffix":""},{"dropping-particle":"","family":"Hackländer","given":"Klaus","non-dropping-particle":"","parse-names":false,"suffix":""}],"container-title":"Forest Ecology and Management","id":"ITEM-1","issued":{"date-parts":[["2018"]]},"page":"166-173","publisher":"Elsevier","title":"Diversionary feeding can reduce red deer habitat selection pressure on vulnerable forest stands, but is not a panacea for red deer damage","type":"article-journal","volume":"407"},"uris":["http://www.mendeley.com/documents/?uuid=4f5915be-09f6-49f6-a819-1bd209051d33"]}],"mendeley":{"formattedCitation":"(Arnold, Gerhardt, Steyaert, Hochbichler, &amp; Hackländer, 2018)","plainTextFormattedCitation":"(Arnold, Gerhardt, Steyaert, Hochbichler, &amp; Hackländer, 2018)","previouslyFormattedCitation":"(Arnold, Gerhardt, Steyaert, Hochbichler, &amp; Hackländer, 2018)"},"properties":{"noteIndex":0},"schema":"https://github.com/citation-style-language/schema/raw/master/csl-citation.json"}</w:instrText>
      </w:r>
      <w:r w:rsidRPr="00B865A6">
        <w:rPr>
          <w:rFonts w:cstheme="minorHAnsi"/>
        </w:rPr>
        <w:fldChar w:fldCharType="separate"/>
      </w:r>
      <w:r w:rsidR="00770064" w:rsidRPr="00B865A6">
        <w:rPr>
          <w:rFonts w:cstheme="minorHAnsi"/>
          <w:noProof/>
        </w:rPr>
        <w:t>(Arnold, Gerhardt, Steyaert, Hochbichler, &amp; Hackländer, 2018)</w:t>
      </w:r>
      <w:r w:rsidRPr="00B865A6">
        <w:rPr>
          <w:rFonts w:cstheme="minorHAnsi"/>
        </w:rPr>
        <w:fldChar w:fldCharType="end"/>
      </w:r>
      <w:r w:rsidRPr="00B865A6">
        <w:rPr>
          <w:rFonts w:cstheme="minorHAnsi"/>
        </w:rPr>
        <w:t xml:space="preserve">. </w:t>
      </w:r>
    </w:p>
    <w:p w14:paraId="75E89BE0" w14:textId="4A4F0111" w:rsidR="00C83AD9" w:rsidRPr="00B865A6" w:rsidRDefault="00A3754A" w:rsidP="00C83AD9">
      <w:pPr>
        <w:spacing w:line="480" w:lineRule="auto"/>
      </w:pPr>
      <w:r w:rsidRPr="00B865A6">
        <w:t xml:space="preserve">Records were summarised as presence/absence of recorded herbivore damage at the section level for modelling. </w:t>
      </w:r>
      <w:r w:rsidR="00C83AD9" w:rsidRPr="00B865A6">
        <w:t>We excluded records of damage occurring above a height of 1.8-m, which are most likely caused by squirrels</w:t>
      </w:r>
      <w:r w:rsidR="00332D71" w:rsidRPr="00B865A6">
        <w:t xml:space="preserve"> (</w:t>
      </w:r>
      <w:r w:rsidR="00FA21C7">
        <w:t>Ditchburn et al., 2020</w:t>
      </w:r>
      <w:r w:rsidR="00332D71" w:rsidRPr="00B865A6">
        <w:t>)</w:t>
      </w:r>
      <w:r w:rsidR="00C83AD9" w:rsidRPr="00B865A6">
        <w:t>. Below this height, in addition to deer, other herbivores including cattle, horses, sheep, goats, rabbits and squirrels may be responsible for the recorded damage (Hodge &amp; Pepper, 1998). Across Britain, a negative correlation exists between deer density and sheep density (</w:t>
      </w:r>
      <w:r w:rsidR="00C83AD9" w:rsidRPr="00B865A6">
        <w:fldChar w:fldCharType="begin" w:fldLock="1"/>
      </w:r>
      <w:r w:rsidR="00715A6C" w:rsidRPr="00B865A6">
        <w:instrText>ADDIN CSL_CITATION {"citationItems":[{"id":"ITEM-1","itemData":{"DOI":"10.1111/j.1365-2664.2011.02032.x","author":[{"dropping-particle":"","family":"Degabriel","given":"Jane L","non-dropping-particle":"","parse-names":false,"suffix":""},{"dropping-particle":"","family":"Albon","given":"Steve D","non-dropping-particle":"","parse-names":false,"suffix":""},{"dropping-particle":"","family":"Fielding","given":"Deborah A","non-dropping-particle":"","parse-names":false,"suffix":""},{"dropping-particle":"","family":"Riach","given":"David J","non-dropping-particle":"","parse-names":false,"suffix":""},{"dropping-particle":"","family":"Westaway","given":"Sally","non-dropping-particle":"","parse-names":false,"suffix":""},{"dropping-particle":"","family":"Irvine","given":"R Justin","non-dropping-particle":"","parse-names":false,"suffix":""}],"id":"ITEM-1","issue":"Ukbap 2007","issued":{"date-parts":[["2011"]]},"page":"1269-1277","title":"The presence of sheep leads to increases in plant diversity and reductions in the impact of deer on heather","type":"article-journal"},"uris":["http://www.mendeley.com/documents/?uuid=f4d2c999-9393-4089-bb66-49346b4052dc"]},{"id":"ITEM-2","itemData":{"author":[{"dropping-particle":"","family":"Clutton-Brock","given":"T. H.","non-dropping-particle":"","parse-names":false,"suffix":""},{"dropping-particle":"","family":"Albon","given":"S.D.","non-dropping-particle":"","parse-names":false,"suffix":""}],"id":"ITEM-2","issued":{"date-parts":[["1989"]]},"publisher":"BSP Professional books","publisher-place":"Oxford","title":"Red deer in the Highlands.","type":"book"},"uris":["http://www.mendeley.com/documents/?uuid=a60161f7-d2fa-49b8-a4d6-29bd2eef1657"]}],"mendeley":{"formattedCitation":"(Clutton-Brock &amp; Albon, 1989; Degabriel et al., 2011)","manualFormatting":"Clutton-Brock &amp; Albon, 1989; Degabriel et al., 2011)","plainTextFormattedCitation":"(Clutton-Brock &amp; Albon, 1989; Degabriel et al., 2011)","previouslyFormattedCitation":"(Clutton-Brock &amp; Albon, 1989; Degabriel et al., 2011)"},"properties":{"noteIndex":0},"schema":"https://github.com/citation-style-language/schema/raw/master/csl-citation.json"}</w:instrText>
      </w:r>
      <w:r w:rsidR="00C83AD9" w:rsidRPr="00B865A6">
        <w:fldChar w:fldCharType="separate"/>
      </w:r>
      <w:r w:rsidR="00C83AD9" w:rsidRPr="00B865A6">
        <w:rPr>
          <w:noProof/>
        </w:rPr>
        <w:t xml:space="preserve">Clutton-Brock &amp; Albon, 1989; Degabriel </w:t>
      </w:r>
      <w:r w:rsidR="00C83AD9" w:rsidRPr="00B865A6">
        <w:rPr>
          <w:i/>
          <w:noProof/>
        </w:rPr>
        <w:t>et al.</w:t>
      </w:r>
      <w:r w:rsidR="00C83AD9" w:rsidRPr="00B865A6">
        <w:rPr>
          <w:noProof/>
        </w:rPr>
        <w:t>, 2011)</w:t>
      </w:r>
      <w:r w:rsidR="00C83AD9" w:rsidRPr="00B865A6">
        <w:fldChar w:fldCharType="end"/>
      </w:r>
      <w:r w:rsidR="00C83AD9" w:rsidRPr="00B865A6">
        <w:t xml:space="preserve">, consistent with </w:t>
      </w:r>
      <w:r w:rsidR="00FF4F4C" w:rsidRPr="00B865A6">
        <w:t>anecdot</w:t>
      </w:r>
      <w:r w:rsidR="00FF4F4C">
        <w:t>al</w:t>
      </w:r>
      <w:r w:rsidR="00FF4F4C" w:rsidRPr="00B865A6">
        <w:t xml:space="preserve"> </w:t>
      </w:r>
      <w:r w:rsidR="00C83AD9" w:rsidRPr="00B865A6">
        <w:t xml:space="preserve">and field evidence that deer avoid large concentrations of livestock and associated human presence (e.g. </w:t>
      </w:r>
      <w:r w:rsidR="00C83AD9" w:rsidRPr="00B865A6">
        <w:fldChar w:fldCharType="begin" w:fldLock="1"/>
      </w:r>
      <w:r w:rsidR="00715A6C" w:rsidRPr="00B865A6">
        <w:instrText>ADDIN CSL_CITATION {"citationItems":[{"id":"ITEM-1","itemData":{"author":[{"dropping-particle":"","family":"Cohen","given":"Will E","non-dropping-particle":"","parse-names":false,"suffix":""},{"dropping-particle":"","family":"Drawe","given":"D Lynn","non-dropping-particle":"","parse-names":false,"suffix":""},{"dropping-particle":"","family":"Bryant","given":"Fred C","non-dropping-particle":"","parse-names":false,"suffix":""},{"dropping-particle":"","family":"Bradley","given":"Lisa C","non-dropping-particle":"","parse-names":false,"suffix":""}],"container-title":"Journal of Range Management","id":"ITEM-1","issue":"5","issued":{"date-parts":[["1989"]]},"page":"361-365","title":"Observations on white-tailed deer and habitat response to livestock grazing in south Texas","type":"article-journal","volume":"42"},"uris":["http://www.mendeley.com/documents/?uuid=811613fc-b799-4aa2-b9b3-3aa56d2bfbe9"]}],"mendeley":{"formattedCitation":"(Cohen, Drawe, Bryant, &amp; Bradley, 1989)","manualFormatting":"Cohen et al., 1989)","plainTextFormattedCitation":"(Cohen, Drawe, Bryant, &amp; Bradley, 1989)","previouslyFormattedCitation":"(Cohen, Drawe, Bryant, &amp; Bradley, 1989)"},"properties":{"noteIndex":0},"schema":"https://github.com/citation-style-language/schema/raw/master/csl-citation.json"}</w:instrText>
      </w:r>
      <w:r w:rsidR="00C83AD9" w:rsidRPr="00B865A6">
        <w:fldChar w:fldCharType="separate"/>
      </w:r>
      <w:r w:rsidR="00C83AD9" w:rsidRPr="00B865A6">
        <w:rPr>
          <w:noProof/>
        </w:rPr>
        <w:t xml:space="preserve">Cohen </w:t>
      </w:r>
      <w:r w:rsidR="00C83AD9" w:rsidRPr="00B865A6">
        <w:rPr>
          <w:i/>
          <w:noProof/>
        </w:rPr>
        <w:t>et al.</w:t>
      </w:r>
      <w:r w:rsidR="00C83AD9" w:rsidRPr="00B865A6">
        <w:rPr>
          <w:noProof/>
        </w:rPr>
        <w:t>, 1989)</w:t>
      </w:r>
      <w:r w:rsidR="00C83AD9" w:rsidRPr="00B865A6">
        <w:fldChar w:fldCharType="end"/>
      </w:r>
      <w:r w:rsidR="00C83AD9" w:rsidRPr="00B865A6">
        <w:t>. Indeed, low deer density areas corresponded to sites with high livestock density, particularly sheep, as confirmed by the 2011 UK Government Department for Environment, Food and Rural Affairs (Defra) June agricultural survey data, disaggregated to 10-km</w:t>
      </w:r>
      <w:r w:rsidR="00C83AD9" w:rsidRPr="00B865A6">
        <w:rPr>
          <w:rFonts w:cstheme="minorHAnsi"/>
        </w:rPr>
        <w:t>×</w:t>
      </w:r>
      <w:r w:rsidR="00C83AD9" w:rsidRPr="00B865A6">
        <w:t xml:space="preserve">10-km by EDINA agcensus </w:t>
      </w:r>
      <w:hyperlink r:id="rId14" w:history="1">
        <w:r w:rsidR="00C83AD9" w:rsidRPr="00B865A6">
          <w:rPr>
            <w:rStyle w:val="Hyperlink"/>
          </w:rPr>
          <w:t>http://agcensus.edina.ac.uk/</w:t>
        </w:r>
      </w:hyperlink>
      <w:r w:rsidR="00C83AD9" w:rsidRPr="00B865A6">
        <w:t xml:space="preserve">). In an attempt to restrict our analysis to sites where damage is most likely caused by deer, we removed </w:t>
      </w:r>
      <w:r w:rsidR="00AA4750">
        <w:t>areas</w:t>
      </w:r>
      <w:r w:rsidR="00AA4750" w:rsidRPr="00B865A6">
        <w:t xml:space="preserve"> </w:t>
      </w:r>
      <w:r w:rsidR="00C83AD9" w:rsidRPr="00B865A6">
        <w:t>with very low deer density estimates (below a density of 20 individuals of any deer species per</w:t>
      </w:r>
      <w:r w:rsidR="00982AD6" w:rsidRPr="00B865A6">
        <w:t xml:space="preserve"> 10-km</w:t>
      </w:r>
      <w:r w:rsidR="00982AD6" w:rsidRPr="00B865A6">
        <w:rPr>
          <w:rFonts w:cstheme="minorHAnsi"/>
        </w:rPr>
        <w:t>×</w:t>
      </w:r>
      <w:r w:rsidR="00982AD6" w:rsidRPr="00B865A6">
        <w:t>10-km</w:t>
      </w:r>
      <w:r w:rsidR="00C83AD9" w:rsidRPr="00B865A6">
        <w:t xml:space="preserve">) according to the National Game Bag Census </w:t>
      </w:r>
      <w:r w:rsidR="00C83AD9" w:rsidRPr="00B865A6">
        <w:fldChar w:fldCharType="begin" w:fldLock="1"/>
      </w:r>
      <w:r w:rsidR="00715A6C" w:rsidRPr="00B865A6">
        <w:instrText>ADDIN CSL_CITATION {"citationItems":[{"id":"ITEM-1","itemData":{"ISBN":"ISSN 0963 8901","abstract":"In the UK, monitoring schemes and surveys for mammals vary markedly in methodologies and geographical and temporal extent among species, mainly due to the specialised protocols required to detect and identify most species. In this report, we compare results from two very different current annual monitoring schemes – the BTO/JNCC/RSPB Breeding Bird Survey (BBS) and the GWCT National Gamebag Census (NGC). Both schemes cover the entire UK, have been running for at least 15 years, and provide quantitative measures of abundance for multiple species, with considerable but not complete overlap in species coverage. This makes it possible to compare both temporal and geographic patterns of abundance and to explore possibilities for combining results across the two schemes. Of nine species (brown hare, mountain hare, rabbit, grey squirrel, fox, red deer, fallow deer, roe deer and Reeves muntjac) for which sufficiently reliable population trends could be generated for both schemes between 1995 and 2009, there were no significant differences in the population trend between schemes. Both schemes indicated a significant increase in grey squirrel. The BBS also revealed significant increases in three deer species (red, roe and muntjac) and a significant decline in rabbits over this period. With the exception of red deer, the changes in numbers from NGC over this period were similar but not significantly so. This provided justification for generating a joint trend for each of these nine species using data from both schemes that took into account the statistical variation within each scheme which varied among species. BBS and NGC differ in methodologies as well as in geographical coverage (although both cover the UK) and this provides a process for generating an agreed trend for consistent reporting, particularly in the context of statutory reporting requirements. Spatial maps of relative abundance and change were produced for Great Britain only due to limited data coverage in Northern Ireland. They provide a useful visualisation of geographical patterns, and reveal concordance at very broad but not finer-scale resolutions. This is due to important differences in the design of the two schemes, the extent and distribution of the sampling sites, differences in coverage across the season, and differences in detectability despite using the same spatial modelling procedures. It is therefore not recommended to combine data from BBS and NGC in spatial maps using these spatial m…","author":[{"dropping-particle":"","family":"Noble","given":"D.G.","non-dropping-particle":"","parse-names":false,"suffix":""},{"dropping-particle":"","family":"Aebischer","given":"N.J.","non-dropping-particle":"","parse-names":false,"suffix":""},{"dropping-particle":"","family":"Newson","given":"S.E.","non-dropping-particle":"","parse-names":false,"suffix":""},{"dropping-particle":"","family":"Ewald","given":"J.A.","non-dropping-particle":"","parse-names":false,"suffix":""},{"dropping-particle":"","family":"Dadam","given":"D.","non-dropping-particle":"","parse-names":false,"suffix":""}],"container-title":"JNCC Report","id":"ITEM-1","issue":"468","issued":{"date-parts":[["2012"]]},"page":"2012","title":"A Comparison of Trends and Geographical Variation in Mammal Abundance in the Breeding Bird Survey and the National Gamebag Census","type":"article-journal","volume":"468"},"uris":["http://www.mendeley.com/documents/?uuid=10b354b7-3bd8-4a8d-ad5f-41bc5c2dca1d"]}],"mendeley":{"formattedCitation":"(Noble, Aebischer, Newson, Ewald, &amp; Dadam, 2012)","plainTextFormattedCitation":"(Noble, Aebischer, Newson, Ewald, &amp; Dadam, 2012)","previouslyFormattedCitation":"(Noble, Aebischer, Newson, Ewald, &amp; Dadam, 2012)"},"properties":{"noteIndex":0},"schema":"https://github.com/citation-style-language/schema/raw/master/csl-citation.json"}</w:instrText>
      </w:r>
      <w:r w:rsidR="00C83AD9" w:rsidRPr="00B865A6">
        <w:fldChar w:fldCharType="separate"/>
      </w:r>
      <w:r w:rsidR="00770064" w:rsidRPr="00B865A6">
        <w:rPr>
          <w:noProof/>
        </w:rPr>
        <w:t>(Noble, Aebischer, Newson, Ewald, &amp; Dadam, 2012)</w:t>
      </w:r>
      <w:r w:rsidR="00C83AD9" w:rsidRPr="00B865A6">
        <w:fldChar w:fldCharType="end"/>
      </w:r>
      <w:r w:rsidR="00C83AD9" w:rsidRPr="00B865A6">
        <w:t>, and very high sheep density estimates (above a density of 12000 individuals per 100 square km). By removing these low deer density sites, we are unable to extend inference about browsing damage to these regions, but given that our focus is on deer, this was deemed reasonable.</w:t>
      </w:r>
    </w:p>
    <w:p w14:paraId="77B0C5C0" w14:textId="77777777" w:rsidR="00C83AD9" w:rsidRPr="00B865A6" w:rsidRDefault="00C83AD9" w:rsidP="00C83AD9">
      <w:pPr>
        <w:spacing w:line="480" w:lineRule="auto"/>
        <w:rPr>
          <w:noProof/>
          <w:lang w:eastAsia="en-GB"/>
        </w:rPr>
      </w:pPr>
      <w:r w:rsidRPr="00B865A6">
        <w:rPr>
          <w:noProof/>
          <w:lang w:eastAsia="en-GB"/>
        </w:rPr>
        <w:br w:type="page"/>
      </w:r>
    </w:p>
    <w:p w14:paraId="539F4DCF" w14:textId="2877753D" w:rsidR="00C83AD9" w:rsidRPr="00B865A6" w:rsidRDefault="000307A9" w:rsidP="00C83AD9">
      <w:pPr>
        <w:spacing w:line="480" w:lineRule="auto"/>
        <w:jc w:val="center"/>
      </w:pPr>
      <w:r>
        <w:rPr>
          <w:noProof/>
          <w:lang w:eastAsia="en-GB"/>
        </w:rPr>
        <w:lastRenderedPageBreak/>
        <w:drawing>
          <wp:inline distT="0" distB="0" distL="0" distR="0" wp14:anchorId="53153365" wp14:editId="6911CAF6">
            <wp:extent cx="5731902" cy="18330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ng"/>
                    <pic:cNvPicPr/>
                  </pic:nvPicPr>
                  <pic:blipFill>
                    <a:blip r:embed="rId15">
                      <a:extLst>
                        <a:ext uri="{28A0092B-C50C-407E-A947-70E740481C1C}">
                          <a14:useLocalDpi xmlns:a14="http://schemas.microsoft.com/office/drawing/2010/main" val="0"/>
                        </a:ext>
                      </a:extLst>
                    </a:blip>
                    <a:stretch>
                      <a:fillRect/>
                    </a:stretch>
                  </pic:blipFill>
                  <pic:spPr>
                    <a:xfrm>
                      <a:off x="0" y="0"/>
                      <a:ext cx="5731902" cy="1833045"/>
                    </a:xfrm>
                    <a:prstGeom prst="rect">
                      <a:avLst/>
                    </a:prstGeom>
                  </pic:spPr>
                </pic:pic>
              </a:graphicData>
            </a:graphic>
          </wp:inline>
        </w:drawing>
      </w:r>
    </w:p>
    <w:p w14:paraId="2178F02B" w14:textId="77777777" w:rsidR="00C83AD9" w:rsidRPr="00B865A6" w:rsidRDefault="00C83AD9" w:rsidP="00C83AD9">
      <w:pPr>
        <w:spacing w:line="480" w:lineRule="auto"/>
        <w:rPr>
          <w:rFonts w:ascii="Arial" w:hAnsi="Arial" w:cs="Arial"/>
          <w:sz w:val="20"/>
          <w:szCs w:val="20"/>
        </w:rPr>
      </w:pPr>
      <w:r w:rsidRPr="00B865A6">
        <w:rPr>
          <w:rFonts w:ascii="Arial" w:hAnsi="Arial" w:cs="Arial"/>
          <w:sz w:val="20"/>
          <w:szCs w:val="20"/>
        </w:rPr>
        <w:t>Figure 2.</w:t>
      </w:r>
      <w:r w:rsidRPr="00B865A6">
        <w:rPr>
          <w:rFonts w:ascii="Arial" w:hAnsi="Arial" w:cs="Arial"/>
          <w:sz w:val="20"/>
          <w:szCs w:val="20"/>
        </w:rPr>
        <w:tab/>
        <w:t xml:space="preserve">Landscape structure metrics hypothesised to influence the probability of deer damage establishment were quantified within multiple buffers (with radii of </w:t>
      </w:r>
      <w:r w:rsidRPr="00B865A6">
        <w:rPr>
          <w:rFonts w:cstheme="minorHAnsi"/>
          <w:szCs w:val="24"/>
        </w:rPr>
        <w:t>250, 500, 750, 1000 and 2000-m</w:t>
      </w:r>
      <w:r w:rsidRPr="00B865A6">
        <w:rPr>
          <w:rFonts w:ascii="Arial" w:hAnsi="Arial" w:cs="Arial"/>
          <w:sz w:val="20"/>
          <w:szCs w:val="20"/>
        </w:rPr>
        <w:t>) surrounding each National Forest Inventory square distributed across England, Scotland and Wales, using a 2007 land cover map (see text).</w:t>
      </w:r>
    </w:p>
    <w:p w14:paraId="37A25FAA" w14:textId="77777777" w:rsidR="00C83AD9" w:rsidRPr="00B865A6" w:rsidRDefault="00C83AD9" w:rsidP="00C83AD9">
      <w:pPr>
        <w:pStyle w:val="Heading3"/>
        <w:spacing w:line="480" w:lineRule="auto"/>
        <w:rPr>
          <w:lang w:eastAsia="zh-CN"/>
        </w:rPr>
      </w:pPr>
      <w:bookmarkStart w:id="13" w:name="_Toc517892358"/>
      <w:bookmarkStart w:id="14" w:name="_Toc520716268"/>
      <w:bookmarkStart w:id="15" w:name="_Toc534293631"/>
      <w:r w:rsidRPr="00B865A6">
        <w:rPr>
          <w:lang w:eastAsia="zh-CN"/>
        </w:rPr>
        <w:t>Explanatory variables</w:t>
      </w:r>
      <w:bookmarkEnd w:id="13"/>
      <w:bookmarkEnd w:id="14"/>
      <w:bookmarkEnd w:id="15"/>
    </w:p>
    <w:p w14:paraId="6B3CBF84" w14:textId="51DB1208" w:rsidR="00C83AD9" w:rsidRPr="00B865A6" w:rsidRDefault="00C83AD9" w:rsidP="00C83AD9">
      <w:pPr>
        <w:spacing w:line="480" w:lineRule="auto"/>
        <w:rPr>
          <w:rFonts w:cstheme="minorHAnsi"/>
          <w:szCs w:val="24"/>
          <w:lang w:eastAsia="zh-CN"/>
        </w:rPr>
      </w:pPr>
      <w:r w:rsidRPr="00B865A6">
        <w:rPr>
          <w:rFonts w:cstheme="minorHAnsi"/>
          <w:szCs w:val="24"/>
          <w:lang w:eastAsia="zh-CN"/>
        </w:rPr>
        <w:t xml:space="preserve">We used </w:t>
      </w:r>
      <w:r w:rsidRPr="00B865A6">
        <w:rPr>
          <w:rFonts w:cstheme="minorHAnsi"/>
        </w:rPr>
        <w:t xml:space="preserve">of Johnson’s (1980) selection orders </w:t>
      </w:r>
      <w:r w:rsidRPr="00B865A6">
        <w:rPr>
          <w:rFonts w:cstheme="minorHAnsi"/>
          <w:szCs w:val="24"/>
          <w:lang w:eastAsia="zh-CN"/>
        </w:rPr>
        <w:t xml:space="preserve">to select </w:t>
      </w:r>
      <w:r w:rsidRPr="00B865A6">
        <w:rPr>
          <w:rFonts w:cstheme="minorHAnsi"/>
          <w:i/>
          <w:szCs w:val="24"/>
          <w:lang w:eastAsia="zh-CN"/>
        </w:rPr>
        <w:t>a priori</w:t>
      </w:r>
      <w:r w:rsidRPr="00B865A6">
        <w:rPr>
          <w:rFonts w:cstheme="minorHAnsi"/>
          <w:szCs w:val="24"/>
          <w:lang w:eastAsia="zh-CN"/>
        </w:rPr>
        <w:t xml:space="preserve"> regional, landscape and local level explanatory variables that are likely to affect the probability of deer damage within a forest stand (Fig. 1), based on empirical studies of large herbivore habitat associations (Table 1). While selecting these drivers, we also developed hypotheses about possible cross-scale interactions between them </w:t>
      </w:r>
      <w:r w:rsidRPr="00B865A6">
        <w:rPr>
          <w:rFonts w:cstheme="minorHAnsi"/>
          <w:szCs w:val="24"/>
          <w:lang w:eastAsia="zh-CN"/>
        </w:rPr>
        <w:fldChar w:fldCharType="begin" w:fldLock="1"/>
      </w:r>
      <w:r w:rsidR="00715A6C" w:rsidRPr="00B865A6">
        <w:rPr>
          <w:rFonts w:cstheme="minorHAnsi"/>
          <w:szCs w:val="24"/>
          <w:lang w:eastAsia="zh-CN"/>
        </w:rPr>
        <w:instrText>ADDIN CSL_CITATION {"citationItems":[{"id":"ITEM-1","itemData":{"author":[{"dropping-particle":"","family":"Spake","given":"Rebecca","non-dropping-particle":"","parse-names":false,"suffix":""},{"dropping-particle":"","family":"Bellamy","given":"Chloe","non-dropping-particle":"","parse-names":false,"suffix":""},{"dropping-particle":"","family":"Graham","given":"Laura","non-dropping-particle":"","parse-names":false,"suffix":""},{"dropping-particle":"","family":"Watts","given":"Kevin","non-dropping-particle":"","parse-names":false,"suffix":""},{"dropping-particle":"","family":"Wilson","given":"Tom","non-dropping-particle":"","parse-names":false,"suffix":""},{"dropping-particle":"","family":"Norton","given":"Lisa","non-dropping-particle":"","parse-names":false,"suffix":""},{"dropping-particle":"","family":"Wood","given":"Claire","non-dropping-particle":"","parse-names":false,"suffix":""},{"dropping-particle":"","family":"Schmucki","given":"Reto","non-dropping-particle":"","parse-names":false,"suffix":""},{"dropping-particle":"","family":"Bullock","given":"James","non-dropping-particle":"","parse-names":false,"suffix":""},{"dropping-particle":"","family":"Eigenbrod","given":"Felix","non-dropping-particle":"","parse-names":false,"suffix":""}],"container-title":"Nature Sustainability","id":"ITEM-1","issued":{"date-parts":[["2019"]]},"page":"1-9","title":"An analytical framework for spatially targeted management of natural capital","type":"article-journal"},"uris":["http://www.mendeley.com/documents/?uuid=03b65ee0-e52c-4c00-8c2c-51f1c0ed62c8"]}],"mendeley":{"formattedCitation":"(Spake et al., 2019)","plainTextFormattedCitation":"(Spake et al., 2019)","previouslyFormattedCitation":"(Spake et al., 2019)"},"properties":{"noteIndex":0},"schema":"https://github.com/citation-style-language/schema/raw/master/csl-citation.json"}</w:instrText>
      </w:r>
      <w:r w:rsidRPr="00B865A6">
        <w:rPr>
          <w:rFonts w:cstheme="minorHAnsi"/>
          <w:szCs w:val="24"/>
          <w:lang w:eastAsia="zh-CN"/>
        </w:rPr>
        <w:fldChar w:fldCharType="separate"/>
      </w:r>
      <w:r w:rsidR="00770064" w:rsidRPr="00B865A6">
        <w:rPr>
          <w:rFonts w:cstheme="minorHAnsi"/>
          <w:noProof/>
          <w:szCs w:val="24"/>
          <w:lang w:eastAsia="zh-CN"/>
        </w:rPr>
        <w:t>(Spake et al., 2019)</w:t>
      </w:r>
      <w:r w:rsidRPr="00B865A6">
        <w:rPr>
          <w:rFonts w:cstheme="minorHAnsi"/>
          <w:szCs w:val="24"/>
          <w:lang w:eastAsia="zh-CN"/>
        </w:rPr>
        <w:fldChar w:fldCharType="end"/>
      </w:r>
      <w:r w:rsidRPr="00B865A6">
        <w:rPr>
          <w:rFonts w:cstheme="minorHAnsi"/>
          <w:szCs w:val="24"/>
          <w:lang w:eastAsia="zh-CN"/>
        </w:rPr>
        <w:t>.</w:t>
      </w:r>
    </w:p>
    <w:p w14:paraId="148C2517" w14:textId="55C15B21" w:rsidR="00C83AD9" w:rsidRPr="00B865A6" w:rsidRDefault="00C83AD9" w:rsidP="00C83AD9">
      <w:pPr>
        <w:spacing w:line="480" w:lineRule="auto"/>
        <w:rPr>
          <w:rFonts w:cstheme="minorHAnsi"/>
          <w:szCs w:val="24"/>
          <w:lang w:eastAsia="zh-CN"/>
        </w:rPr>
      </w:pPr>
      <w:r w:rsidRPr="00B865A6">
        <w:rPr>
          <w:rFonts w:cstheme="minorHAnsi"/>
          <w:szCs w:val="24"/>
          <w:lang w:eastAsia="zh-CN"/>
        </w:rPr>
        <w:t xml:space="preserve">Regional-level variables: We included deer density as a predictor, as the likelihood of damage can increase with cervid density, either linearly on non-linearly due to functional relationships between cervids and their food resources </w:t>
      </w:r>
      <w:r w:rsidRPr="00B865A6">
        <w:rPr>
          <w:rFonts w:cstheme="minorHAnsi"/>
          <w:spacing w:val="2"/>
          <w:szCs w:val="24"/>
          <w:shd w:val="clear" w:color="auto" w:fill="FCFCFC"/>
        </w:rPr>
        <w:fldChar w:fldCharType="begin" w:fldLock="1"/>
      </w:r>
      <w:r w:rsidR="00715A6C" w:rsidRPr="00B865A6">
        <w:rPr>
          <w:rFonts w:cstheme="minorHAnsi"/>
          <w:spacing w:val="2"/>
          <w:szCs w:val="24"/>
          <w:shd w:val="clear" w:color="auto" w:fill="FCFCFC"/>
        </w:rPr>
        <w:instrText>ADDIN CSL_CITATION {"citationItems":[{"id":"ITEM-1","itemData":{"DOI":"10.1007/s00442-006-0504-2","ISBN":"0029-8549","ISSN":"00298549","PMID":"16896768","abstract":"The early responses of the field layer to changes in biotic and abiotic conditions are key determinants of the future composition and structure of forests where sustained heavy browsing pressure has depauperated the shrub understory. We investigated the relationships between white-tailed deer density and field layer plant community dynamics in boreal forests managed for wildlife and timber production. We hypothesized that the growth and reproduction of field layer plants are either: (H(1)) directly proportional to deer density, or (H(2)) related to deer density through nonlinear relationships or (H(3)) through nonlinear relationships with thresholds. We tested these hypotheses using data from a controlled browsing experiment involving a gradient of deer densities (0, 7.5, 15, 27 and 56 deer km(-2)) in interaction with timber harvesting conducted on Anticosti Island, Canada. In recent clearcuts, the dominant responses of the field layer plants were exponential recovery in growth and reproduction with decreasing deer densities. The abundance of browse-tolerant species such as grasses was positively related to deer density, suggesting an apparent competitive gain. These results support the prediction from our second hypothesis, although the presence of ecological thresholds should not be ruled out. Rapid changes in the early successional stages have potentially long-term consequences on successional patterns through processes such as the modulation of germination and early establishment success of seedlings from later successional species. Quantitative data as those presented here are essential for the development of ecosystem management prescriptions. On Anticosti Island, reduction of local deer densities to levels &lt;15-7.5 deer km(-2) in the first 3 years following timber harvesting appears to be compatible with the regeneration dynamics of this system although lower levels of deer densities may be required for the conservation of browse-sensitive plant species.","author":[{"dropping-particle":"","family":"Tremblay","given":"Jean Pierre","non-dropping-particle":"","parse-names":false,"suffix":""},{"dropping-particle":"","family":"Huot","given":"Jean","non-dropping-particle":"","parse-names":false,"suffix":""},{"dropping-particle":"","family":"Potvin","given":"François","non-dropping-particle":"","parse-names":false,"suffix":""}],"container-title":"Oecologia","id":"ITEM-1","issue":"1","issued":{"date-parts":[["2006"]]},"page":"78-88","title":"Divergent nonlinear responses of the boreal forest field layer along an experimental gradient of deer densities","type":"article-journal","volume":"150"},"uris":["http://www.mendeley.com/documents/?uuid=de9bdbf1-ee1e-4512-8f56-6beaeb6532bf"]}],"mendeley":{"formattedCitation":"(Tremblay, Huot, &amp; Potvin, 2006)","plainTextFormattedCitation":"(Tremblay, Huot, &amp; Potvin, 2006)","previouslyFormattedCitation":"(Tremblay, Huot, &amp; Potvin, 2006)"},"properties":{"noteIndex":0},"schema":"https://github.com/citation-style-language/schema/raw/master/csl-citation.json"}</w:instrText>
      </w:r>
      <w:r w:rsidRPr="00B865A6">
        <w:rPr>
          <w:rFonts w:cstheme="minorHAnsi"/>
          <w:spacing w:val="2"/>
          <w:szCs w:val="24"/>
          <w:shd w:val="clear" w:color="auto" w:fill="FCFCFC"/>
        </w:rPr>
        <w:fldChar w:fldCharType="separate"/>
      </w:r>
      <w:r w:rsidR="00770064" w:rsidRPr="00B865A6">
        <w:rPr>
          <w:rFonts w:cstheme="minorHAnsi"/>
          <w:noProof/>
          <w:spacing w:val="2"/>
          <w:szCs w:val="24"/>
          <w:shd w:val="clear" w:color="auto" w:fill="FCFCFC"/>
        </w:rPr>
        <w:t>(Tremblay, Huot, &amp; Potvin, 2006)</w:t>
      </w:r>
      <w:r w:rsidRPr="00B865A6">
        <w:rPr>
          <w:rFonts w:cstheme="minorHAnsi"/>
          <w:spacing w:val="2"/>
          <w:szCs w:val="24"/>
          <w:shd w:val="clear" w:color="auto" w:fill="FCFCFC"/>
        </w:rPr>
        <w:fldChar w:fldCharType="end"/>
      </w:r>
      <w:r w:rsidRPr="00B865A6">
        <w:rPr>
          <w:rFonts w:cstheme="minorHAnsi"/>
          <w:szCs w:val="24"/>
          <w:lang w:eastAsia="zh-CN"/>
        </w:rPr>
        <w:t xml:space="preserve">. Density estimates were obtained from the National Game Bag Census (see Table 1; </w:t>
      </w:r>
      <w:r w:rsidRPr="00B865A6">
        <w:rPr>
          <w:rFonts w:cstheme="minorHAnsi"/>
          <w:szCs w:val="24"/>
          <w:lang w:eastAsia="zh-CN"/>
        </w:rPr>
        <w:fldChar w:fldCharType="begin" w:fldLock="1"/>
      </w:r>
      <w:r w:rsidR="00715A6C" w:rsidRPr="00B865A6">
        <w:rPr>
          <w:rFonts w:cstheme="minorHAnsi"/>
          <w:szCs w:val="24"/>
          <w:lang w:eastAsia="zh-CN"/>
        </w:rPr>
        <w:instrText>ADDIN CSL_CITATION {"citationItems":[{"id":"ITEM-1","itemData":{"ISBN":"ISSN 0963 8901","abstract":"In the UK, monitoring schemes and surveys for mammals vary markedly in methodologies and geographical and temporal extent among species, mainly due to the specialised protocols required to detect and identify most species. In this report, we compare results from two very different current annual monitoring schemes – the BTO/JNCC/RSPB Breeding Bird Survey (BBS) and the GWCT National Gamebag Census (NGC). Both schemes cover the entire UK, have been running for at least 15 years, and provide quantitative measures of abundance for multiple species, with considerable but not complete overlap in species coverage. This makes it possible to compare both temporal and geographic patterns of abundance and to explore possibilities for combining results across the two schemes. Of nine species (brown hare, mountain hare, rabbit, grey squirrel, fox, red deer, fallow deer, roe deer and Reeves muntjac) for which sufficiently reliable population trends could be generated for both schemes between 1995 and 2009, there were no significant differences in the population trend between schemes. Both schemes indicated a significant increase in grey squirrel. The BBS also revealed significant increases in three deer species (red, roe and muntjac) and a significant decline in rabbits over this period. With the exception of red deer, the changes in numbers from NGC over this period were similar but not significantly so. This provided justification for generating a joint trend for each of these nine species using data from both schemes that took into account the statistical variation within each scheme which varied among species. BBS and NGC differ in methodologies as well as in geographical coverage (although both cover the UK) and this provides a process for generating an agreed trend for consistent reporting, particularly in the context of statutory reporting requirements. Spatial maps of relative abundance and change were produced for Great Britain only due to limited data coverage in Northern Ireland. They provide a useful visualisation of geographical patterns, and reveal concordance at very broad but not finer-scale resolutions. This is due to important differences in the design of the two schemes, the extent and distribution of the sampling sites, differences in coverage across the season, and differences in detectability despite using the same spatial modelling procedures. It is therefore not recommended to combine data from BBS and NGC in spatial maps using these spatial m…","author":[{"dropping-particle":"","family":"Noble","given":"D.G.","non-dropping-particle":"","parse-names":false,"suffix":""},{"dropping-particle":"","family":"Aebischer","given":"N.J.","non-dropping-particle":"","parse-names":false,"suffix":""},{"dropping-particle":"","family":"Newson","given":"S.E.","non-dropping-particle":"","parse-names":false,"suffix":""},{"dropping-particle":"","family":"Ewald","given":"J.A.","non-dropping-particle":"","parse-names":false,"suffix":""},{"dropping-particle":"","family":"Dadam","given":"D.","non-dropping-particle":"","parse-names":false,"suffix":""}],"container-title":"JNCC Report","id":"ITEM-1","issue":"468","issued":{"date-parts":[["2012"]]},"page":"2012","title":"A Comparison of Trends and Geographical Variation in Mammal Abundance in the Breeding Bird Survey and the National Gamebag Census","type":"article-journal","volume":"468"},"uris":["http://www.mendeley.com/documents/?uuid=10b354b7-3bd8-4a8d-ad5f-41bc5c2dca1d"]}],"mendeley":{"formattedCitation":"(Noble et al., 2012)","plainTextFormattedCitation":"(Noble et al., 2012)","previouslyFormattedCitation":"(Noble et al., 2012)"},"properties":{"noteIndex":0},"schema":"https://github.com/citation-style-language/schema/raw/master/csl-citation.json"}</w:instrText>
      </w:r>
      <w:r w:rsidRPr="00B865A6">
        <w:rPr>
          <w:rFonts w:cstheme="minorHAnsi"/>
          <w:szCs w:val="24"/>
          <w:lang w:eastAsia="zh-CN"/>
        </w:rPr>
        <w:fldChar w:fldCharType="separate"/>
      </w:r>
      <w:r w:rsidR="00770064" w:rsidRPr="00B865A6">
        <w:rPr>
          <w:rFonts w:cstheme="minorHAnsi"/>
          <w:noProof/>
          <w:szCs w:val="24"/>
          <w:lang w:eastAsia="zh-CN"/>
        </w:rPr>
        <w:t>(Noble et al., 2012)</w:t>
      </w:r>
      <w:r w:rsidRPr="00B865A6">
        <w:rPr>
          <w:rFonts w:cstheme="minorHAnsi"/>
          <w:szCs w:val="24"/>
          <w:lang w:eastAsia="zh-CN"/>
        </w:rPr>
        <w:fldChar w:fldCharType="end"/>
      </w:r>
      <w:r w:rsidRPr="00B865A6">
        <w:rPr>
          <w:rFonts w:cstheme="minorHAnsi"/>
          <w:szCs w:val="24"/>
          <w:lang w:eastAsia="zh-CN"/>
        </w:rPr>
        <w:t xml:space="preserve">). While potential biases </w:t>
      </w:r>
      <w:r w:rsidR="00311C35" w:rsidRPr="00B865A6">
        <w:rPr>
          <w:rFonts w:cstheme="minorHAnsi"/>
          <w:szCs w:val="24"/>
          <w:lang w:eastAsia="zh-CN"/>
        </w:rPr>
        <w:t xml:space="preserve">in bag statistics </w:t>
      </w:r>
      <w:r w:rsidRPr="00B865A6">
        <w:rPr>
          <w:rFonts w:cstheme="minorHAnsi"/>
          <w:szCs w:val="24"/>
          <w:lang w:eastAsia="zh-CN"/>
        </w:rPr>
        <w:t xml:space="preserve">exist due to e.g. regional variation in (legal) hunting effort or reporting, </w:t>
      </w:r>
      <w:r w:rsidRPr="00B865A6">
        <w:t>geographic patterns of estimated densities are broadly in agreement with patterns derived from transect counts of live deer from the UK Breeding Bird Survey (BBS)</w:t>
      </w:r>
      <w:r w:rsidR="00982AD6" w:rsidRPr="00B865A6">
        <w:t xml:space="preserve"> </w:t>
      </w:r>
      <w:r w:rsidRPr="00B865A6">
        <w:rPr>
          <w:noProof/>
        </w:rPr>
        <w:t>for deer species in common between the two surveys</w:t>
      </w:r>
      <w:r w:rsidRPr="00B865A6">
        <w:fldChar w:fldCharType="begin" w:fldLock="1"/>
      </w:r>
      <w:r w:rsidR="00715A6C" w:rsidRPr="00B865A6">
        <w:instrText>ADDIN CSL_CITATION {"citationItems":[{"id":"ITEM-1","itemData":{"DOI":"10.1111/j.1365-2664.2011.02077.x","ISBN":"1365-2664","ISSN":"00218901","abstract":"1. There is increasing evidence from local studies carried out in several parts of the world to suggest that increases in the abundance of deer may be depressing population levels of breeding woodland bird populations that are associated with dense understorey habitats. We examine whether habitat modification by deer is likely to be a factor contributing to recent large-scale population declines of woodland birds in lowland England. 2. Novel analytical methods are applied to extensive national bird and deer monitoring data, to examine whether populations of 11 woodland bird species that are associated with dense understorey habitats in lowland England may have been depressed following increases in the abundance of three widespread and abundant deer species: Reeves’ muntjac Muntiacus reevesi, roe deer Capreolus capreolus and fallow deer Dama dama. An additional four woodland bird species that are not specifically associated with understorey habitats are included as controls. 3. For five of the 11 understorey species considered, there is evidence that increases in deer are associated with large-scale depression of abundance or population declines in lowland England. Of these species, we suggest that the impacts of deer are likely to have been greatest for two species of conservation concern, common nightingale Luscinia megarhynchos and willow tit Poecile montanus. 4. Synthesis and applications. Large-scale analyses of extensive national monitoring data provide evidence for a negative association between three widespread and abundant deer species and several woodland bird populations that are associated with dense understorey habitats. These findings are consistent with those from small-scale experimental studies and indicate that deer-related habitat modification may be affecting some bird species on far larger scales than previously appreciated. Mainly through their effects on understorey vegetation, high deer populations are now likely to be affecting woodland biodiversity over large parts of lowland England and deer management plans, involving integrated exclusion and culling of deer, need to be co-ordinated on large scales. It is suggested that such management plans could most usefully target areas that still support relatively high populations of species that are sensitive to deer. Knowledge about the form of relationships between deer abundance and habitat quality for birds and other biodiversity is an important knowledge gap that needs to be addres…","author":[{"dropping-particle":"","family":"Newson","given":"Stuart E.","non-dropping-particle":"","parse-names":false,"suffix":""},{"dropping-particle":"","family":"Johnston","given":"Alison","non-dropping-particle":"","parse-names":false,"suffix":""},{"dropping-particle":"","family":"Renwick","given":"Anna R.","non-dropping-particle":"","parse-names":false,"suffix":""},{"dropping-particle":"","family":"Baillie","given":"Stephen R.","non-dropping-particle":"","parse-names":false,"suffix":""},{"dropping-particle":"","family":"Fuller","given":"Robert J.","non-dropping-particle":"","parse-names":false,"suffix":""}],"container-title":"Journal of Applied Ecology","id":"ITEM-1","issue":"1","issued":{"date-parts":[["2012"]]},"page":"278-286","title":"Modelling large-scale relationships between changes in woodland deer and bird populations","type":"article-journal","volume":"49"},"uris":["http://www.mendeley.com/documents/?uuid=4a5e0369-cc05-4b36-a8d4-ad5e7702b1f5"]},{"id":"ITEM-2","itemData":{"ISBN":"ISSN 0963 8901","abstract":"In the UK, monitoring schemes and surveys for mammals vary markedly in methodologies and geographical and temporal extent among species, mainly due to the specialised protocols required to detect and identify most species. In this report, we compare results from two very different current annual monitoring schemes – the BTO/JNCC/RSPB Breeding Bird Survey (BBS) and the GWCT National Gamebag Census (NGC). Both schemes cover the entire UK, have been running for at least 15 years, and provide quantitative measures of abundance for multiple species, with considerable but not complete overlap in species coverage. This makes it possible to compare both temporal and geographic patterns of abundance and to explore possibilities for combining results across the two schemes. Of nine species (brown hare, mountain hare, rabbit, grey squirrel, fox, red deer, fallow deer, roe deer and Reeves muntjac) for which sufficiently reliable population trends could be generated for both schemes between 1995 and 2009, there were no significant differences in the population trend between schemes. Both schemes indicated a significant increase in grey squirrel. The BBS also revealed significant increases in three deer species (red, roe and muntjac) and a significant decline in rabbits over this period. With the exception of red deer, the changes in numbers from NGC over this period were similar but not significantly so. This provided justification for generating a joint trend for each of these nine species using data from both schemes that took into account the statistical variation within each scheme which varied among species. BBS and NGC differ in methodologies as well as in geographical coverage (although both cover the UK) and this provides a process for generating an agreed trend for consistent reporting, particularly in the context of statutory reporting requirements. Spatial maps of relative abundance and change were produced for Great Britain only due to limited data coverage in Northern Ireland. They provide a useful visualisation of geographical patterns, and reveal concordance at very broad but not finer-scale resolutions. This is due to important differences in the design of the two schemes, the extent and distribution of the sampling sites, differences in coverage across the season, and differences in detectability despite using the same spatial modelling procedures. It is therefore not recommended to combine data from BBS and NGC in spatial maps using these spatial m…","author":[{"dropping-particle":"","family":"Noble","given":"D.G.","non-dropping-particle":"","parse-names":false,"suffix":""},{"dropping-particle":"","family":"Aebischer","given":"N.J.","non-dropping-particle":"","parse-names":false,"suffix":""},{"dropping-particle":"","family":"Newson","given":"S.E.","non-dropping-particle":"","parse-names":false,"suffix":""},{"dropping-particle":"","family":"Ewald","given":"J.A.","non-dropping-particle":"","parse-names":false,"suffix":""},{"dropping-particle":"","family":"Dadam","given":"D.","non-dropping-particle":"","parse-names":false,"suffix":""}],"container-title":"JNCC Report","id":"ITEM-2","issue":"468","issued":{"date-parts":[["2012"]]},"page":"2012","title":"A Comparison of Trends and Geographical Variation in Mammal Abundance in the Breeding Bird Survey and the National Gamebag Census","type":"article-journal","volume":"468"},"uris":["http://www.mendeley.com/documents/?uuid=10b354b7-3bd8-4a8d-ad5f-41bc5c2dca1d"]}],"mendeley":{"formattedCitation":"(Newson, Johnston, Renwick, Baillie, &amp; Fuller, 2012; Noble et al., 2012)","manualFormatting":" (Newson et al., 2012; Noble et al., 2012)","plainTextFormattedCitation":"(Newson, Johnston, Renwick, Baillie, &amp; Fuller, 2012; Noble et al., 2012)","previouslyFormattedCitation":"(Newson, Johnston, Renwick, Baillie, &amp; Fuller, 2012; Noble et al., 2012)"},"properties":{"noteIndex":0},"schema":"https://github.com/citation-style-language/schema/raw/master/csl-citation.json"}</w:instrText>
      </w:r>
      <w:r w:rsidRPr="00B865A6">
        <w:fldChar w:fldCharType="separate"/>
      </w:r>
      <w:r w:rsidRPr="00B865A6">
        <w:rPr>
          <w:noProof/>
        </w:rPr>
        <w:t xml:space="preserve"> (Newson </w:t>
      </w:r>
      <w:r w:rsidRPr="00B865A6">
        <w:rPr>
          <w:i/>
          <w:noProof/>
        </w:rPr>
        <w:t>et al.</w:t>
      </w:r>
      <w:r w:rsidRPr="00B865A6">
        <w:rPr>
          <w:noProof/>
        </w:rPr>
        <w:t xml:space="preserve">, 2012; Noble </w:t>
      </w:r>
      <w:r w:rsidRPr="00B865A6">
        <w:rPr>
          <w:i/>
          <w:noProof/>
        </w:rPr>
        <w:t>et al.</w:t>
      </w:r>
      <w:r w:rsidRPr="00B865A6">
        <w:rPr>
          <w:noProof/>
        </w:rPr>
        <w:t>, 2012)</w:t>
      </w:r>
      <w:r w:rsidRPr="00B865A6">
        <w:fldChar w:fldCharType="end"/>
      </w:r>
      <w:r w:rsidRPr="00B865A6">
        <w:t>, suggesting the data are representative of regional variability in deer densities.</w:t>
      </w:r>
    </w:p>
    <w:p w14:paraId="5F7799D4" w14:textId="66CE3A1E" w:rsidR="00C83AD9" w:rsidRPr="00B865A6" w:rsidRDefault="00C83AD9" w:rsidP="00C83AD9">
      <w:pPr>
        <w:spacing w:line="480" w:lineRule="auto"/>
        <w:rPr>
          <w:rFonts w:cstheme="minorHAnsi"/>
          <w:szCs w:val="24"/>
        </w:rPr>
      </w:pPr>
      <w:r w:rsidRPr="00B865A6">
        <w:rPr>
          <w:rFonts w:cstheme="minorHAnsi"/>
          <w:szCs w:val="24"/>
          <w:lang w:eastAsia="zh-CN"/>
        </w:rPr>
        <w:lastRenderedPageBreak/>
        <w:t xml:space="preserve">Elevation, </w:t>
      </w:r>
      <w:r w:rsidRPr="00B865A6">
        <w:rPr>
          <w:rFonts w:cstheme="minorHAnsi"/>
        </w:rPr>
        <w:t xml:space="preserve">windiness, temperature and precipitation </w:t>
      </w:r>
      <w:r w:rsidRPr="00B865A6">
        <w:rPr>
          <w:rFonts w:cstheme="minorHAnsi"/>
          <w:szCs w:val="24"/>
          <w:lang w:eastAsia="zh-CN"/>
        </w:rPr>
        <w:t xml:space="preserve">were included because </w:t>
      </w:r>
      <w:r w:rsidRPr="00B865A6">
        <w:rPr>
          <w:rFonts w:cstheme="minorHAnsi"/>
          <w:szCs w:val="24"/>
        </w:rPr>
        <w:t>they determine i)  deer</w:t>
      </w:r>
      <w:r w:rsidRPr="00B865A6">
        <w:rPr>
          <w:rFonts w:cstheme="minorHAnsi"/>
        </w:rPr>
        <w:t xml:space="preserve"> energy metabolism (i.e. heat loss or heat stress); harsh conditions can induce deer to seek shelter under tree canopies </w:t>
      </w:r>
      <w:r w:rsidRPr="00B865A6">
        <w:rPr>
          <w:rFonts w:cstheme="minorHAnsi"/>
          <w:szCs w:val="24"/>
        </w:rPr>
        <w:fldChar w:fldCharType="begin" w:fldLock="1"/>
      </w:r>
      <w:r w:rsidR="00715A6C" w:rsidRPr="00B865A6">
        <w:rPr>
          <w:rFonts w:cstheme="minorHAnsi"/>
          <w:szCs w:val="24"/>
        </w:rPr>
        <w:instrText>ADDIN CSL_CITATION {"citationItems":[{"id":"ITEM-1","itemData":{"ISBN":"0904282090","PMID":"285","author":[{"dropping-particle":"","family":"Mitchell","given":"Brian","non-dropping-particle":"","parse-names":false,"suffix":""},{"dropping-particle":"","family":"Staines","given":"Brian W.","non-dropping-particle":"","parse-names":false,"suffix":""},{"dropping-particle":"","family":"Welch","given":"David","non-dropping-particle":"","parse-names":false,"suffix":""}],"container-title":"Institute of Terrestrial Ecology","id":"ITEM-1","issued":{"date-parts":[["1977"]]},"page":"74","title":"Ecology of Red Deer: a research review relevant to their management in Scotland","type":"article-journal"},"uris":["http://www.mendeley.com/documents/?uuid=ef97b2bd-0bd4-4c09-bb7b-6b34d5c2e82d"]}],"mendeley":{"formattedCitation":"(Mitchell et al., 1977)","plainTextFormattedCitation":"(Mitchell et al., 1977)","previouslyFormattedCitation":"(Mitchell et al., 1977)"},"properties":{"noteIndex":0},"schema":"https://github.com/citation-style-language/schema/raw/master/csl-citation.json"}</w:instrText>
      </w:r>
      <w:r w:rsidRPr="00B865A6">
        <w:rPr>
          <w:rFonts w:cstheme="minorHAnsi"/>
          <w:szCs w:val="24"/>
        </w:rPr>
        <w:fldChar w:fldCharType="separate"/>
      </w:r>
      <w:r w:rsidR="00770064" w:rsidRPr="00B865A6">
        <w:rPr>
          <w:rFonts w:cstheme="minorHAnsi"/>
          <w:noProof/>
          <w:szCs w:val="24"/>
        </w:rPr>
        <w:t>(Mitchell et al., 1977)</w:t>
      </w:r>
      <w:r w:rsidRPr="00B865A6">
        <w:rPr>
          <w:rFonts w:cstheme="minorHAnsi"/>
          <w:szCs w:val="24"/>
        </w:rPr>
        <w:fldChar w:fldCharType="end"/>
      </w:r>
      <w:r w:rsidRPr="00B865A6">
        <w:rPr>
          <w:rFonts w:cstheme="minorHAnsi"/>
          <w:szCs w:val="24"/>
        </w:rPr>
        <w:t>, and ii) the availability of food resources. For example, snow cover</w:t>
      </w:r>
      <w:r w:rsidR="00982AD6" w:rsidRPr="00B865A6">
        <w:rPr>
          <w:rFonts w:cstheme="minorHAnsi"/>
          <w:szCs w:val="24"/>
        </w:rPr>
        <w:t xml:space="preserve"> </w:t>
      </w:r>
      <w:r w:rsidRPr="00B865A6">
        <w:rPr>
          <w:rFonts w:cstheme="minorHAnsi"/>
          <w:szCs w:val="24"/>
        </w:rPr>
        <w:t xml:space="preserve">in colder areas at higher elevations may limit the availability of forage in open habitats, as deer have been shown to shift </w:t>
      </w:r>
      <w:r w:rsidR="00AA4750">
        <w:rPr>
          <w:rFonts w:cstheme="minorHAnsi"/>
          <w:szCs w:val="24"/>
        </w:rPr>
        <w:t xml:space="preserve">from </w:t>
      </w:r>
      <w:r w:rsidR="00D92431">
        <w:rPr>
          <w:rFonts w:cstheme="minorHAnsi"/>
          <w:szCs w:val="24"/>
        </w:rPr>
        <w:t xml:space="preserve">foraging in </w:t>
      </w:r>
      <w:r w:rsidR="00AA4750">
        <w:rPr>
          <w:rFonts w:cstheme="minorHAnsi"/>
          <w:szCs w:val="24"/>
        </w:rPr>
        <w:t xml:space="preserve">grassland to forest </w:t>
      </w:r>
      <w:r w:rsidRPr="00B865A6">
        <w:rPr>
          <w:rFonts w:cstheme="minorHAnsi"/>
          <w:szCs w:val="24"/>
        </w:rPr>
        <w:t xml:space="preserve">in </w:t>
      </w:r>
      <w:r w:rsidR="00AA4750">
        <w:rPr>
          <w:rFonts w:cstheme="minorHAnsi"/>
          <w:szCs w:val="24"/>
        </w:rPr>
        <w:t xml:space="preserve">snowy conditions </w:t>
      </w:r>
      <w:r w:rsidRPr="00B865A6">
        <w:rPr>
          <w:rFonts w:cstheme="minorHAnsi"/>
          <w:szCs w:val="24"/>
        </w:rPr>
        <w:fldChar w:fldCharType="begin" w:fldLock="1"/>
      </w:r>
      <w:r w:rsidR="00715A6C" w:rsidRPr="00B865A6">
        <w:rPr>
          <w:rFonts w:cstheme="minorHAnsi"/>
          <w:szCs w:val="24"/>
        </w:rPr>
        <w:instrText>ADDIN CSL_CITATION {"citationItems":[{"id":"ITEM-1","itemData":{"DOI":"10.1002/ecs2.1432","ISSN":"21508925","abstract":"Resources whose abundance is not affected by the density of the consumer population, namely donor-controlled resources, are ubiquitous. Donor-controlled resources can act as food subsidies when they sustain consumer populations at higher densities than what would be predicted without donor-controlled dynamics. Herbivore populations that have access to food subsidies may reach and maintain high densities, with potential major ecological and economic consequences. A better understanding of the roles of food subsidies on temperate herbivores will likely be achieved by simultaneously taking into account other drivers of demographic variations such as winter severity. Here, we tested the hypothesis that the use of a donor-controlled food resource that may act as a food subsidy, namely balsam fir (Abies balsamea), and winter severity act together to shape the patterns of overwinter mass loss in a large herbivore population (white-tailed deer, Odocoileus virginianus). We monitored weather conditions, diet, habitat use, and mass loss of female deer during two highly contrasted winters. During an exceptionally milder winter, characterized by shallower snow depth and warmer windchill temperatures, female deer shifted their diet toward resources usually covered by snow during typical winters. Surprisingly, the rate of body mass loss remained similar during the milder and the harsher winter. The rate of body mass loss rather decreased with the use of balsam fir stands during the harsher winter, but increased with that same variable during the milder winter. Our study revealed that deer can alleviate overwinter mass loss by using a donor-controlled habitat type temporally uncoupled from browsing, but that this benefit is climate dependent. This study represents an additional step to address the largely unexplored concept of how temporal uncoupling between resources and consumer dynamics may contribute to sustain consumer populations at higher densities than predicted without considering donor-controlled dynamics.","author":[{"dropping-particle":"","family":"Giroux","given":"Marie Andrée","non-dropping-particle":"","parse-names":false,"suffix":""},{"dropping-particle":"","family":"Dussault","given":"Christian","non-dropping-particle":"","parse-names":false,"suffix":""},{"dropping-particle":"","family":"Tremblay","given":"Jean Pierre","non-dropping-particle":"","parse-names":false,"suffix":""},{"dropping-particle":"","family":"Côté","given":"Steeve D.","non-dropping-particle":"","parse-names":false,"suffix":""}],"container-title":"Ecosphere","id":"ITEM-1","issue":"8","issued":{"date-parts":[["2016"]]},"title":"Winter severity modulates the benefits of using a habitat temporally uncoupled from browsing","type":"article-journal","volume":"7"},"uris":["http://www.mendeley.com/documents/?uuid=6487653f-c190-416f-8aa9-ed3cceefa692"]}],"mendeley":{"formattedCitation":"(Giroux, Dussault, Tremblay, &amp; Côté, 2016)","plainTextFormattedCitation":"(Giroux, Dussault, Tremblay, &amp; Côté, 2016)","previouslyFormattedCitation":"(Giroux, Dussault, Tremblay, &amp; Côté, 2016)"},"properties":{"noteIndex":0},"schema":"https://github.com/citation-style-language/schema/raw/master/csl-citation.json"}</w:instrText>
      </w:r>
      <w:r w:rsidRPr="00B865A6">
        <w:rPr>
          <w:rFonts w:cstheme="minorHAnsi"/>
          <w:szCs w:val="24"/>
        </w:rPr>
        <w:fldChar w:fldCharType="separate"/>
      </w:r>
      <w:r w:rsidR="00770064" w:rsidRPr="00B865A6">
        <w:rPr>
          <w:rFonts w:cstheme="minorHAnsi"/>
          <w:noProof/>
          <w:szCs w:val="24"/>
        </w:rPr>
        <w:t>(Giroux, Dussault, Tremblay, &amp; Côté, 2016)</w:t>
      </w:r>
      <w:r w:rsidRPr="00B865A6">
        <w:rPr>
          <w:rFonts w:cstheme="minorHAnsi"/>
          <w:szCs w:val="24"/>
        </w:rPr>
        <w:fldChar w:fldCharType="end"/>
      </w:r>
      <w:r w:rsidRPr="00B865A6">
        <w:rPr>
          <w:rFonts w:cstheme="minorHAnsi"/>
          <w:szCs w:val="24"/>
        </w:rPr>
        <w:t xml:space="preserve">. We calculated regional level drivers at a resolution of 10x10-km to match available deer density data. </w:t>
      </w:r>
    </w:p>
    <w:p w14:paraId="0A5535E2" w14:textId="2C58C9A5" w:rsidR="00C83AD9" w:rsidRPr="00B865A6" w:rsidRDefault="00C83AD9" w:rsidP="00C83AD9">
      <w:pPr>
        <w:spacing w:line="480" w:lineRule="auto"/>
        <w:rPr>
          <w:rFonts w:cstheme="minorHAnsi"/>
          <w:szCs w:val="24"/>
        </w:rPr>
      </w:pPr>
      <w:r w:rsidRPr="00B865A6">
        <w:rPr>
          <w:rFonts w:cstheme="minorHAnsi"/>
          <w:szCs w:val="24"/>
        </w:rPr>
        <w:t xml:space="preserve">Landscape-level variables: We quantified </w:t>
      </w:r>
      <w:r w:rsidRPr="00B865A6">
        <w:rPr>
          <w:rFonts w:cstheme="minorHAnsi"/>
          <w:szCs w:val="24"/>
          <w:lang w:eastAsia="zh-CN"/>
        </w:rPr>
        <w:t xml:space="preserve">landscape-level </w:t>
      </w:r>
      <w:r w:rsidR="00D645B6" w:rsidRPr="00B865A6">
        <w:rPr>
          <w:rFonts w:cstheme="minorHAnsi"/>
          <w:szCs w:val="24"/>
          <w:lang w:eastAsia="zh-CN"/>
        </w:rPr>
        <w:t>forest</w:t>
      </w:r>
      <w:r w:rsidRPr="00B865A6">
        <w:rPr>
          <w:rFonts w:cstheme="minorHAnsi"/>
          <w:szCs w:val="24"/>
          <w:lang w:eastAsia="zh-CN"/>
        </w:rPr>
        <w:t xml:space="preserve"> cover (the summed cover of coniferous and broadleaved forest) and multiple classifications of other, open land cover types, because the thematic resolution of land cover maps can influence a model’s explanatory power </w:t>
      </w:r>
      <w:r w:rsidRPr="00B865A6">
        <w:rPr>
          <w:rFonts w:cstheme="minorHAnsi"/>
          <w:szCs w:val="24"/>
          <w:lang w:eastAsia="zh-CN"/>
        </w:rPr>
        <w:fldChar w:fldCharType="begin" w:fldLock="1"/>
      </w:r>
      <w:r w:rsidR="00715A6C" w:rsidRPr="00B865A6">
        <w:rPr>
          <w:rFonts w:cstheme="minorHAnsi"/>
          <w:szCs w:val="24"/>
          <w:lang w:eastAsia="zh-CN"/>
        </w:rPr>
        <w:instrText>ADDIN CSL_CITATION {"citationItems":[{"id":"ITEM-1","itemData":{"DOI":"10.1007/s10980-006-9035-9","ISBN":"0921-2973","ISSN":"09212973","PMID":"20073137566","abstract":"The objective of this paper is to investigate the relationship between landscape pattern metrics and agricultural biodiversity at the Temperate European scale, exploring the role of thematic resolution and a suite of biological and functional groups. Factor analyses to select landscape-level metrics were undertaken on 25 landscapes classified at four levels of thematic resolution. The landscapes were located within seven countries. The different resolutions were considered appropriate to taxonomic and functional group diversity. As class-level metrics are often better correlated to ecological response, the landscape-level metric subsets gained through exploratory analysis were additionally used to guide the selection of class-level metric subsets. Linear mixed models were then used to detect correlations between landscape- and class-level metrics and species richness values. Taxonomic groups with differing requirements (plants, birds, different arthropod groups) and also functional arthropod groups were examined. At the coarse scale of thematic resolution grain metrics (patch density, largest patch index) emerged as rough indicators for the different biological groups whilst at the fine scale a diversity metric (e.g. Simpson's diversity index) was appropriate. The intermediate thematic resolution offered most promise for biodiversity monitoring. Metrics included largest patch index, edge density, nearest neighbour, the proximity index, circle and Simpson's diversity index. We suggest two possible applications of these metrics in the context of biodiversity monitoring and the identification of biodiversity hot spots in European agricultural landscapes.","author":[{"dropping-particle":"","family":"Bailey","given":"Debra","non-dropping-particle":"","parse-names":false,"suffix":""},{"dropping-particle":"","family":"Billeter","given":"Regula","non-dropping-particle":"","parse-names":false,"suffix":""},{"dropping-particle":"","family":"Aviron","given":"Stéphanie","non-dropping-particle":"","parse-names":false,"suffix":""},{"dropping-particle":"","family":"Schweiger","given":"Oliver","non-dropping-particle":"","parse-names":false,"suffix":""},{"dropping-particle":"","family":"Herzog","given":"Felix","non-dropping-particle":"","parse-names":false,"suffix":""}],"container-title":"Landscape Ecology","id":"ITEM-1","issue":"3","issued":{"date-parts":[["2007"]]},"page":"461-473","title":"The influence of thematic resolution on metric selection for biodiversity monitoring in agricultural landscapes","type":"article-journal","volume":"22"},"uris":["http://www.mendeley.com/documents/?uuid=556d37ac-37ed-48b8-b29d-d0a46cbe0f40"]}],"mendeley":{"formattedCitation":"(Bailey, Billeter, Aviron, Schweiger, &amp; Herzog, 2007)","plainTextFormattedCitation":"(Bailey, Billeter, Aviron, Schweiger, &amp; Herzog, 2007)","previouslyFormattedCitation":"(Bailey, Billeter, Aviron, Schweiger, &amp; Herzog, 2007)"},"properties":{"noteIndex":0},"schema":"https://github.com/citation-style-language/schema/raw/master/csl-citation.json"}</w:instrText>
      </w:r>
      <w:r w:rsidRPr="00B865A6">
        <w:rPr>
          <w:rFonts w:cstheme="minorHAnsi"/>
          <w:szCs w:val="24"/>
          <w:lang w:eastAsia="zh-CN"/>
        </w:rPr>
        <w:fldChar w:fldCharType="separate"/>
      </w:r>
      <w:r w:rsidR="00770064" w:rsidRPr="00B865A6">
        <w:rPr>
          <w:rFonts w:cstheme="minorHAnsi"/>
          <w:noProof/>
          <w:szCs w:val="24"/>
          <w:lang w:eastAsia="zh-CN"/>
        </w:rPr>
        <w:t>(Bailey, Billeter, Aviron, Schweiger, &amp; Herzog, 2007)</w:t>
      </w:r>
      <w:r w:rsidRPr="00B865A6">
        <w:rPr>
          <w:rFonts w:cstheme="minorHAnsi"/>
          <w:szCs w:val="24"/>
          <w:lang w:eastAsia="zh-CN"/>
        </w:rPr>
        <w:fldChar w:fldCharType="end"/>
      </w:r>
      <w:r w:rsidRPr="00B865A6">
        <w:rPr>
          <w:rFonts w:cstheme="minorHAnsi"/>
          <w:szCs w:val="24"/>
          <w:lang w:eastAsia="zh-CN"/>
        </w:rPr>
        <w:t>. Indeed, it is preferable to identify ‘functional’ land covers rather than structural, based on differences in resource dependencies of species or species groups</w:t>
      </w:r>
      <w:r w:rsidRPr="00B865A6">
        <w:t xml:space="preserve"> </w:t>
      </w:r>
      <w:r w:rsidRPr="00B865A6">
        <w:rPr>
          <w:rFonts w:cstheme="minorHAnsi"/>
          <w:szCs w:val="24"/>
          <w:lang w:eastAsia="zh-CN"/>
        </w:rPr>
        <w:t xml:space="preserve">rather than available land cover classes  </w:t>
      </w:r>
      <w:r w:rsidRPr="00B865A6">
        <w:rPr>
          <w:rFonts w:cstheme="minorHAnsi"/>
          <w:szCs w:val="24"/>
          <w:lang w:eastAsia="zh-CN"/>
        </w:rPr>
        <w:fldChar w:fldCharType="begin" w:fldLock="1"/>
      </w:r>
      <w:r w:rsidR="00715A6C" w:rsidRPr="00B865A6">
        <w:rPr>
          <w:rFonts w:cstheme="minorHAnsi"/>
          <w:szCs w:val="24"/>
          <w:lang w:eastAsia="zh-CN"/>
        </w:rPr>
        <w:instrText>ADDIN CSL_CITATION {"citationItems":[{"id":"ITEM-1","itemData":{"DOI":"10.1111/j.1461-0248.2010.01559.x","ISBN":"1461-023X","ISSN":"1461023X","PMID":"21087380","abstract":"Biodiversity in agricultural landscapes can be increased with conversion of some production lands into ?more- natural? – unmanaged or extensively managed – lands. However, it remains unknown to what extent biodiversity can be enhanced by altering landscape pattern without reducing agricultural production. We propose a framework for this problem, considering separately compositional heterogeneity (the number and proportions of different cover types) and configurational heterogeneity (the spatial arrangement of cover types). Cover type classification and mapping is based on species requirements, such as feeding and nesting, resulting in measures of ?functional landscape heterogeneity?. We then identify three important questions: does biodiversity increase with (1) increasing heterogeneity of the more-natural areas, (2) increasing compositional heterogeneity of production cover types and (3) increasing configurational heterogeneity of production cover types? We discuss approaches for addressing these questions. Such studies should have high priority because biodiversity protection globally depends increasingly on maintaining biodiversity in human-dominated landscapes. Keywords","author":[{"dropping-particle":"","family":"Fahrig","given":"Lenore","non-dropping-particle":"","parse-names":false,"suffix":""},{"dropping-particle":"","family":"Baudry","given":"Jacques","non-dropping-particle":"","parse-names":false,"suffix":""},{"dropping-particle":"","family":"Brotons","given":"Lluís","non-dropping-particle":"","parse-names":false,"suffix":""},{"dropping-particle":"","family":"Burel","given":"Françoise G.","non-dropping-particle":"","parse-names":false,"suffix":""},{"dropping-particle":"","family":"Crist","given":"Thomas O.","non-dropping-particle":"","parse-names":false,"suffix":""},{"dropping-particle":"","family":"Fuller","given":"Robert J.","non-dropping-particle":"","parse-names":false,"suffix":""},{"dropping-particle":"","family":"Sirami","given":"Clelia","non-dropping-particle":"","parse-names":false,"suffix":""},{"dropping-particle":"","family":"Siriwardena","given":"Gavin M.","non-dropping-particle":"","parse-names":false,"suffix":""},{"dropping-particle":"","family":"Martin","given":"Jean Louis","non-dropping-particle":"","parse-names":false,"suffix":""}],"container-title":"Ecology Letters","id":"ITEM-1","issue":"2","issued":{"date-parts":[["2011"]]},"page":"101-112","title":"Functional landscape heterogeneity and animal biodiversity in agricultural landscapes","type":"article-journal","volume":"14"},"uris":["http://www.mendeley.com/documents/?uuid=b3f522de-6a19-4ec5-b0e7-5dcf2050d130"]}],"mendeley":{"formattedCitation":"(Fahrig et al., 2011)","plainTextFormattedCitation":"(Fahrig et al., 2011)","previouslyFormattedCitation":"(Fahrig et al., 2011)"},"properties":{"noteIndex":0},"schema":"https://github.com/citation-style-language/schema/raw/master/csl-citation.json"}</w:instrText>
      </w:r>
      <w:r w:rsidRPr="00B865A6">
        <w:rPr>
          <w:rFonts w:cstheme="minorHAnsi"/>
          <w:szCs w:val="24"/>
          <w:lang w:eastAsia="zh-CN"/>
        </w:rPr>
        <w:fldChar w:fldCharType="separate"/>
      </w:r>
      <w:r w:rsidR="00770064" w:rsidRPr="00B865A6">
        <w:rPr>
          <w:rFonts w:cstheme="minorHAnsi"/>
          <w:noProof/>
          <w:szCs w:val="24"/>
          <w:lang w:eastAsia="zh-CN"/>
        </w:rPr>
        <w:t>(Fahrig et al., 2011)</w:t>
      </w:r>
      <w:r w:rsidRPr="00B865A6">
        <w:rPr>
          <w:rFonts w:cstheme="minorHAnsi"/>
          <w:szCs w:val="24"/>
          <w:lang w:eastAsia="zh-CN"/>
        </w:rPr>
        <w:fldChar w:fldCharType="end"/>
      </w:r>
      <w:r w:rsidRPr="00B865A6">
        <w:rPr>
          <w:rFonts w:cstheme="minorHAnsi"/>
          <w:szCs w:val="24"/>
          <w:lang w:eastAsia="zh-CN"/>
        </w:rPr>
        <w:t xml:space="preserve">. These included: ‘open’ land (the summed cover of arable land, </w:t>
      </w:r>
      <w:r w:rsidRPr="00B865A6">
        <w:rPr>
          <w:rFonts w:cs="Arial"/>
        </w:rPr>
        <w:t>improved grassland, semi-natural grassland and heathland</w:t>
      </w:r>
      <w:r w:rsidRPr="00B865A6">
        <w:rPr>
          <w:rFonts w:cstheme="minorHAnsi"/>
          <w:szCs w:val="24"/>
          <w:lang w:eastAsia="zh-CN"/>
        </w:rPr>
        <w:t xml:space="preserve">), ‘perennial’ land </w:t>
      </w:r>
      <w:r w:rsidRPr="00B865A6">
        <w:rPr>
          <w:rFonts w:cstheme="minorHAnsi"/>
          <w:lang w:eastAsia="zh-CN"/>
        </w:rPr>
        <w:t>(</w:t>
      </w:r>
      <w:bookmarkStart w:id="16" w:name="_Hlk19024697"/>
      <w:r w:rsidRPr="00B865A6">
        <w:rPr>
          <w:rFonts w:cs="Arial"/>
        </w:rPr>
        <w:t>the summed cover of improved grassland, semi-natural grassland and heathland</w:t>
      </w:r>
      <w:bookmarkEnd w:id="16"/>
      <w:r w:rsidRPr="00B865A6">
        <w:rPr>
          <w:rFonts w:cstheme="minorHAnsi"/>
          <w:lang w:eastAsia="zh-CN"/>
        </w:rPr>
        <w:t>), ‘open semi-natural’ land (</w:t>
      </w:r>
      <w:r w:rsidRPr="00B865A6">
        <w:rPr>
          <w:rFonts w:cs="Arial"/>
        </w:rPr>
        <w:t>semi-natural grassland and heathland</w:t>
      </w:r>
      <w:r w:rsidRPr="00B865A6">
        <w:rPr>
          <w:rFonts w:cstheme="minorHAnsi"/>
          <w:lang w:eastAsia="zh-CN"/>
        </w:rPr>
        <w:t xml:space="preserve">), and ‘arable’ only. </w:t>
      </w:r>
      <w:r w:rsidRPr="00B865A6">
        <w:rPr>
          <w:rFonts w:cstheme="minorHAnsi"/>
          <w:szCs w:val="24"/>
          <w:lang w:eastAsia="zh-CN"/>
        </w:rPr>
        <w:t xml:space="preserve"> Landscape-level forest cover may confer a dilution or attraction effect, wherein the probability that a site is damaged may decline or increase with increasingly wooded surroundings. We included the open land cover classifications because high levels of these land covers may also reduce the likelihood of damage to a stand by providing an alternative (and potentially more nutritionally rich) forage source </w:t>
      </w:r>
      <w:r w:rsidRPr="00B865A6">
        <w:rPr>
          <w:rFonts w:cstheme="minorHAnsi"/>
          <w:szCs w:val="24"/>
          <w:lang w:eastAsia="zh-CN"/>
        </w:rPr>
        <w:fldChar w:fldCharType="begin" w:fldLock="1"/>
      </w:r>
      <w:r w:rsidR="00715A6C" w:rsidRPr="00B865A6">
        <w:rPr>
          <w:rFonts w:cstheme="minorHAnsi"/>
          <w:szCs w:val="24"/>
          <w:lang w:eastAsia="zh-CN"/>
        </w:rPr>
        <w:instrText>ADDIN CSL_CITATION {"citationItems":[{"id":"ITEM-1","itemData":{"DOI":"10.1016/j.biocon.2011.10.034","ISBN":"0006-3207","ISSN":"00063207","abstract":"We investigated the potential for cross-habitat interactions to modulate per capita ungulate browse effects on forest herbaceous layers. Specifically, we examined how white-tailed deer (Odocoileus virginianus) abundance, reserve size, and landscape context at variable spatial scales interact to influence the impact of deer herbivory on forest understory communities in 16 Indiana state parks. We used native herb cover (NHC) as a proxy for deer impact to forest understories, and deer killed per unit hunter effort (DAI) as a proxy for deer abundance. Comparison of multiple regression models, using Akaike's Information Criterion, suggested that the per capita impact of deer herbivory to forest understories was strongly related to landscape configuration of deer habitat types at the scale of an individual deer's home range, whereas deer abundance was more strongly associated with landscape structure at broader spatial scales. Interspersion and juxtaposition of non-forested, perennial forage habitat with other habitat types (forest and agriculture) at the park plus a 0.5. km buffer scale, together with DAI, explained 84% of the variation in native herbaceous cover (NHC). A model with DAI alone as a predictor accounted for only 19% of the variation in NHC. Thus, although deer impact was related to deer abundance, habitat configuration in landscapes surrounding parks appeared to strongly modulate the level of impact associated with a particular abundance of deer. Our results underscore the importance of landscape context in determining foraging behavior and per capita impacts of ungulates on forest resources in protected areas. © 2011 Elsevier Ltd.","author":[{"dropping-particle":"","family":"Hurley","given":"Peter M.","non-dropping-particle":"","parse-names":false,"suffix":""},{"dropping-particle":"","family":"Webster","given":"Christopher R.","non-dropping-particle":"","parse-names":false,"suffix":""},{"dropping-particle":"","family":"Flaspohler","given":"David J.","non-dropping-particle":"","parse-names":false,"suffix":""},{"dropping-particle":"","family":"Parker","given":"George R.","non-dropping-particle":"","parse-names":false,"suffix":""}],"container-title":"Biological Conservation","id":"ITEM-1","issue":"1","issued":{"date-parts":[["2012"]]},"page":"62-71","publisher":"Elsevier Ltd","title":"Untangling the landscape of deer overabundance: Reserve size versus landscape context in the agricultural Midwest","type":"article-journal","volume":"146"},"uris":["http://www.mendeley.com/documents/?uuid=b99e458d-0477-48e3-bf55-42be74a67085"]}],"mendeley":{"formattedCitation":"(Hurley, Webster, Flaspohler, &amp; Parker, 2012)","plainTextFormattedCitation":"(Hurley, Webster, Flaspohler, &amp; Parker, 2012)","previouslyFormattedCitation":"(Hurley, Webster, Flaspohler, &amp; Parker, 2012)"},"properties":{"noteIndex":0},"schema":"https://github.com/citation-style-language/schema/raw/master/csl-citation.json"}</w:instrText>
      </w:r>
      <w:r w:rsidRPr="00B865A6">
        <w:rPr>
          <w:rFonts w:cstheme="minorHAnsi"/>
          <w:szCs w:val="24"/>
          <w:lang w:eastAsia="zh-CN"/>
        </w:rPr>
        <w:fldChar w:fldCharType="separate"/>
      </w:r>
      <w:r w:rsidR="00770064" w:rsidRPr="00B865A6">
        <w:rPr>
          <w:rFonts w:cstheme="minorHAnsi"/>
          <w:noProof/>
          <w:szCs w:val="24"/>
          <w:lang w:eastAsia="zh-CN"/>
        </w:rPr>
        <w:t>(Hurley, Webster, Flaspohler, &amp; Parker, 2012)</w:t>
      </w:r>
      <w:r w:rsidRPr="00B865A6">
        <w:rPr>
          <w:rFonts w:cstheme="minorHAnsi"/>
          <w:szCs w:val="24"/>
          <w:lang w:eastAsia="zh-CN"/>
        </w:rPr>
        <w:fldChar w:fldCharType="end"/>
      </w:r>
      <w:r w:rsidRPr="00B865A6">
        <w:rPr>
          <w:rFonts w:cstheme="minorHAnsi"/>
          <w:szCs w:val="24"/>
          <w:lang w:eastAsia="zh-CN"/>
        </w:rPr>
        <w:t>. The density of roads is likely to exert a negative effect on the use of (and damage to</w:t>
      </w:r>
      <w:r w:rsidR="00EE5884" w:rsidRPr="00B865A6">
        <w:rPr>
          <w:rFonts w:cstheme="minorHAnsi"/>
          <w:szCs w:val="24"/>
          <w:lang w:eastAsia="zh-CN"/>
        </w:rPr>
        <w:t>)</w:t>
      </w:r>
      <w:r w:rsidRPr="00B865A6">
        <w:rPr>
          <w:rFonts w:cstheme="minorHAnsi"/>
          <w:szCs w:val="24"/>
          <w:lang w:eastAsia="zh-CN"/>
        </w:rPr>
        <w:t xml:space="preserve"> forests by deer, as large herbivores tend not to select habitats close to roads </w:t>
      </w:r>
      <w:r w:rsidRPr="00B865A6">
        <w:rPr>
          <w:rFonts w:cstheme="minorHAnsi"/>
          <w:szCs w:val="24"/>
          <w:lang w:eastAsia="zh-CN"/>
        </w:rPr>
        <w:fldChar w:fldCharType="begin" w:fldLock="1"/>
      </w:r>
      <w:r w:rsidR="00715A6C" w:rsidRPr="00B865A6">
        <w:rPr>
          <w:rFonts w:cstheme="minorHAnsi"/>
          <w:szCs w:val="24"/>
          <w:lang w:eastAsia="zh-CN"/>
        </w:rPr>
        <w:instrText>ADDIN CSL_CITATION {"citationItems":[{"id":"ITEM-1","itemData":{"DOI":"10.2193/2006-224","author":[{"dropping-particle":"","family":"Gagnon","given":"J.W.","non-dropping-particle":"","parse-names":false,"suffix":""},{"dropping-particle":"","family":"Theimer","given":"T.C.","non-dropping-particle":"","parse-names":false,"suffix":""},{"dropping-particle":"","family":"Dodd","given":"N.L.","non-dropping-particle":"","parse-names":false,"suffix":""},{"dropping-particle":"","family":"Boe","given":"S.","non-dropping-particle":"","parse-names":false,"suffix":""},{"dropping-particle":"","family":"Schweinsburg","given":"R.E.","non-dropping-particle":"","parse-names":false,"suffix":""}],"container-title":"Journal of Wildlife Management","id":"ITEM-1","issue":"7","issued":{"date-parts":[["2007"]]},"page":"2318-2323","title":"Traffic Volume Alters Elk Distribution and Highway Crossings in Arizona","type":"article-journal","volume":"71"},"uris":["http://www.mendeley.com/documents/?uuid=dce9ae67-1989-4929-9fbe-8359ef86fd4e"]},{"id":"ITEM-2","itemData":{"DOI":"10.1093/jmammal/gyw167","author":[{"dropping-particle":"","family":"Gilbert","given":"S.L.","non-dropping-particle":"","parse-names":false,"suffix":""},{"dropping-particle":"","family":"Hundertmark","given":"K.J.","non-dropping-particle":"","parse-names":false,"suffix":""},{"dropping-particle":"","family":"Person","given":"D.K.","non-dropping-particle":"","parse-names":false,"suffix":""},{"dropping-particle":"","family":"Lindberg","given":"M.S.","non-dropping-particle":"","parse-names":false,"suffix":""},{"dropping-particle":"","family":"Boyce","given":"M.S.","non-dropping-particle":"","parse-names":false,"suffix":""}],"container-title":"Journal of Mammalogy","id":"ITEM-2","issue":"1","issued":{"date-parts":[["2017"]]},"page":"246-259","title":"Behavioral plasticity in a variable environment : snow depth and habitat interactions drive deer movement in winter","type":"article-journal","volume":"98"},"uris":["http://www.mendeley.com/documents/?uuid=6933c275-1b25-4810-8df3-c04b6a249142"]},{"id":"ITEM-3","itemData":{"DOI":"10.1002/jwmg.469","author":[{"dropping-particle":"","family":"Meisinget","given":"E.L.","non-dropping-particle":"","parse-names":false,"suffix":""},{"dropping-particle":"","family":"Loe","given":"L.E.","non-dropping-particle":"","parse-names":false,"suffix":""},{"dropping-particle":"","family":"Brekkum","given":"O.","non-dropping-particle":"","parse-names":false,"suffix":""},{"dropping-particle":"Van","family":"Moorter","given":"Bram","non-dropping-particle":"","parse-names":false,"suffix":""},{"dropping-particle":"","family":"Mysterud","given":"Atle","non-dropping-particle":"","parse-names":false,"suffix":""}],"container-title":"The Journal of Wildlife Management","id":"ITEM-3","issue":"1","issued":{"date-parts":[["2013"]]},"page":"181-191","title":"Red Deer Habitat Selection and Movements in Relation to Roads","type":"article-journal","volume":"77"},"uris":["http://www.mendeley.com/documents/?uuid=ac356497-3fbe-4f88-8ed5-2879f402cafc"]}],"mendeley":{"formattedCitation":"(Gagnon, Theimer, Dodd, Boe, &amp; Schweinsburg, 2007; Meisinget, Loe, Brekkum, Moorter, &amp; Mysterud, 2013; Gilbert, Hundertmark, Person, Lindberg, &amp; Boyce, 2017)","plainTextFormattedCitation":"(Gagnon, Theimer, Dodd, Boe, &amp; Schweinsburg, 2007; Meisinget, Loe, Brekkum, Moorter, &amp; Mysterud, 2013; Gilbert, Hundertmark, Person, Lindberg, &amp; Boyce, 2017)","previouslyFormattedCitation":"(Gagnon, Theimer, Dodd, Boe, &amp; Schweinsburg, 2007; Meisinget, Loe, Brekkum, Moorter, &amp; Mysterud, 2013; Gilbert, Hundertmark, Person, Lindberg, &amp; Boyce, 2017)"},"properties":{"noteIndex":0},"schema":"https://github.com/citation-style-language/schema/raw/master/csl-citation.json"}</w:instrText>
      </w:r>
      <w:r w:rsidRPr="00B865A6">
        <w:rPr>
          <w:rFonts w:cstheme="minorHAnsi"/>
          <w:szCs w:val="24"/>
          <w:lang w:eastAsia="zh-CN"/>
        </w:rPr>
        <w:fldChar w:fldCharType="separate"/>
      </w:r>
      <w:r w:rsidR="00770064" w:rsidRPr="00B865A6">
        <w:rPr>
          <w:rFonts w:cstheme="minorHAnsi"/>
          <w:noProof/>
          <w:szCs w:val="24"/>
          <w:lang w:eastAsia="zh-CN"/>
        </w:rPr>
        <w:t>(Gagnon, Theimer, Dodd, Boe, &amp; Schweinsburg, 2007; Meisinget, Loe, Brekkum, Moorter, &amp; Mysterud, 2013; Gilbert, Hundertmark, Person, Lindberg, &amp; Boyce, 2017)</w:t>
      </w:r>
      <w:r w:rsidRPr="00B865A6">
        <w:rPr>
          <w:rFonts w:cstheme="minorHAnsi"/>
          <w:szCs w:val="24"/>
          <w:lang w:eastAsia="zh-CN"/>
        </w:rPr>
        <w:fldChar w:fldCharType="end"/>
      </w:r>
      <w:r w:rsidRPr="00B865A6">
        <w:rPr>
          <w:rFonts w:cstheme="minorHAnsi"/>
          <w:szCs w:val="24"/>
          <w:lang w:eastAsia="zh-CN"/>
        </w:rPr>
        <w:t xml:space="preserve">. </w:t>
      </w:r>
      <w:r w:rsidRPr="00B865A6">
        <w:rPr>
          <w:rFonts w:cstheme="minorHAnsi"/>
          <w:szCs w:val="24"/>
        </w:rPr>
        <w:t xml:space="preserve">An appropriate landscape extent for the effect of landscape structure on deer damage was unknown </w:t>
      </w:r>
      <w:r w:rsidRPr="00B865A6">
        <w:rPr>
          <w:rFonts w:cstheme="minorHAnsi"/>
          <w:i/>
          <w:szCs w:val="24"/>
        </w:rPr>
        <w:t>a priori</w:t>
      </w:r>
      <w:r w:rsidRPr="00B865A6">
        <w:rPr>
          <w:rFonts w:cstheme="minorHAnsi"/>
          <w:szCs w:val="24"/>
        </w:rPr>
        <w:t xml:space="preserve">, so we characterised forest and perennial cover and road density in circular buffers surrounding each </w:t>
      </w:r>
      <w:r w:rsidRPr="00B865A6">
        <w:rPr>
          <w:rFonts w:cstheme="minorHAnsi"/>
          <w:szCs w:val="24"/>
        </w:rPr>
        <w:lastRenderedPageBreak/>
        <w:t>sample square, with radii of</w:t>
      </w:r>
      <w:r w:rsidR="00B6328D" w:rsidRPr="00B865A6">
        <w:rPr>
          <w:rFonts w:cstheme="minorHAnsi"/>
          <w:szCs w:val="24"/>
        </w:rPr>
        <w:t xml:space="preserve"> </w:t>
      </w:r>
      <w:r w:rsidRPr="00B865A6">
        <w:rPr>
          <w:rFonts w:cstheme="minorHAnsi"/>
          <w:szCs w:val="24"/>
        </w:rPr>
        <w:t xml:space="preserve">250, 500, 750, 1000 and 2000-m </w:t>
      </w:r>
      <w:r w:rsidRPr="00B865A6">
        <w:rPr>
          <w:rFonts w:cstheme="minorHAnsi"/>
          <w:szCs w:val="24"/>
        </w:rPr>
        <w:fldChar w:fldCharType="begin" w:fldLock="1"/>
      </w:r>
      <w:r w:rsidR="00715A6C" w:rsidRPr="00B865A6">
        <w:rPr>
          <w:rFonts w:cstheme="minorHAnsi"/>
          <w:szCs w:val="24"/>
        </w:rPr>
        <w:instrText>ADDIN CSL_CITATION {"citationItems":[{"id":"ITEM-1","itemData":{"DOI":"10.1641/0006-3568(2004)054[0227:DTSSOS]2.0.CO;2","ISBN":"0006-3568","ISSN":"0006-3568","PMID":"11649465","abstract":"Species respond to habitat at different spatial scales, yet many studies have considered this response only at relatively small scales. We developed a technique and accompanying software (Focus) that use a focal patch approach to select multiple sets of spatially independent sites. For each independent set, regressions are conducted between the habitat variable and counts of species abundance at different scales to determine the spatial scale at which species respond most strongly to an environmental or habitat variable of interest. We applied the technique to determine the spatial scales at which 12 different species of cerambycid beetles respond to forest cover. The beetles responded at different scales, from 20 to 2000 meters. We expect this technique and the accompanying software to be useful for a wide range of studies, including the analysis of existing data sets to answer questions related to the large-scale response of organisms to their environment.","author":[{"dropping-particle":"","family":"Holland","given":"Jeffrey D.","non-dropping-particle":"","parse-names":false,"suffix":""},{"dropping-particle":"","family":"Bert","given":"Daniel G.","non-dropping-particle":"","parse-names":false,"suffix":""},{"dropping-particle":"","family":"Fahrig","given":"Lenore","non-dropping-particle":"","parse-names":false,"suffix":""}],"container-title":"BioScience","id":"ITEM-1","issue":"3","issued":{"date-parts":[["2004"]]},"page":"227","title":"Determining the Spatial Scale of Species' Response to Habitat","type":"article-journal","volume":"54"},"uris":["http://www.mendeley.com/documents/?uuid=9f793945-b23a-4582-8a45-00d27e9d291b"]},{"id":"ITEM-2","itemData":{"author":[{"dropping-particle":"","family":"Spake","given":"Rebecca","non-dropping-particle":"","parse-names":false,"suffix":""},{"dropping-particle":"","family":"Bellamy","given":"Chloe","non-dropping-particle":"","parse-names":false,"suffix":""},{"dropping-particle":"","family":"Graham","given":"Laura","non-dropping-particle":"","parse-names":false,"suffix":""},{"dropping-particle":"","family":"Watts","given":"Kevin","non-dropping-particle":"","parse-names":false,"suffix":""},{"dropping-particle":"","family":"Wilson","given":"Tom","non-dropping-particle":"","parse-names":false,"suffix":""},{"dropping-particle":"","family":"Norton","given":"Lisa","non-dropping-particle":"","parse-names":false,"suffix":""},{"dropping-particle":"","family":"Wood","given":"Claire","non-dropping-particle":"","parse-names":false,"suffix":""},{"dropping-particle":"","family":"Schmucki","given":"Reto","non-dropping-particle":"","parse-names":false,"suffix":""},{"dropping-particle":"","family":"Bullock","given":"James","non-dropping-particle":"","parse-names":false,"suffix":""},{"dropping-particle":"","family":"Eigenbrod","given":"Felix","non-dropping-particle":"","parse-names":false,"suffix":""}],"container-title":"Nature Sustainability","id":"ITEM-2","issued":{"date-parts":[["2019"]]},"page":"1-9","title":"An analytical framework for spatially targeted management of natural capital","type":"article-journal"},"uris":["http://www.mendeley.com/documents/?uuid=03b65ee0-e52c-4c00-8c2c-51f1c0ed62c8"]}],"mendeley":{"formattedCitation":"(Holland et al., 2004; Spake et al., 2019)","manualFormatting":"(Spake et al., 2019)","plainTextFormattedCitation":"(Holland et al., 2004; Spake et al., 2019)","previouslyFormattedCitation":"(Holland et al., 2004; Spake et al., 2019)"},"properties":{"noteIndex":0},"schema":"https://github.com/citation-style-language/schema/raw/master/csl-citation.json"}</w:instrText>
      </w:r>
      <w:r w:rsidRPr="00B865A6">
        <w:rPr>
          <w:rFonts w:cstheme="minorHAnsi"/>
          <w:szCs w:val="24"/>
        </w:rPr>
        <w:fldChar w:fldCharType="separate"/>
      </w:r>
      <w:r w:rsidRPr="00B865A6">
        <w:rPr>
          <w:rFonts w:cstheme="minorHAnsi"/>
          <w:noProof/>
          <w:szCs w:val="24"/>
        </w:rPr>
        <w:t xml:space="preserve">(Spake </w:t>
      </w:r>
      <w:r w:rsidRPr="00B865A6">
        <w:rPr>
          <w:rFonts w:cstheme="minorHAnsi"/>
          <w:i/>
          <w:noProof/>
          <w:szCs w:val="24"/>
        </w:rPr>
        <w:t>et al.</w:t>
      </w:r>
      <w:r w:rsidRPr="00B865A6">
        <w:rPr>
          <w:rFonts w:cstheme="minorHAnsi"/>
          <w:noProof/>
          <w:szCs w:val="24"/>
        </w:rPr>
        <w:t>, 2019)</w:t>
      </w:r>
      <w:r w:rsidRPr="00B865A6">
        <w:rPr>
          <w:rFonts w:cstheme="minorHAnsi"/>
          <w:szCs w:val="24"/>
        </w:rPr>
        <w:fldChar w:fldCharType="end"/>
      </w:r>
      <w:r w:rsidRPr="00B865A6">
        <w:rPr>
          <w:rFonts w:cstheme="minorHAnsi"/>
          <w:szCs w:val="24"/>
        </w:rPr>
        <w:t xml:space="preserve">. These buffer extents were considered appropriate because they i) encompass the scale of effect of landscape structure detected in a previous landscape ecological study of deer impacts </w:t>
      </w:r>
      <w:r w:rsidRPr="00B865A6">
        <w:rPr>
          <w:rFonts w:cstheme="minorHAnsi"/>
          <w:szCs w:val="24"/>
        </w:rPr>
        <w:fldChar w:fldCharType="begin" w:fldLock="1"/>
      </w:r>
      <w:r w:rsidR="00715A6C" w:rsidRPr="00B865A6">
        <w:rPr>
          <w:rFonts w:cstheme="minorHAnsi"/>
          <w:szCs w:val="24"/>
        </w:rPr>
        <w:instrText>ADDIN CSL_CITATION {"citationItems":[{"id":"ITEM-1","itemData":{"DOI":"10.1016/j.biocon.2011.10.034","ISBN":"0006-3207","ISSN":"00063207","abstract":"We investigated the potential for cross-habitat interactions to modulate per capita ungulate browse effects on forest herbaceous layers. Specifically, we examined how white-tailed deer (Odocoileus virginianus) abundance, reserve size, and landscape context at variable spatial scales interact to influence the impact of deer herbivory on forest understory communities in 16 Indiana state parks. We used native herb cover (NHC) as a proxy for deer impact to forest understories, and deer killed per unit hunter effort (DAI) as a proxy for deer abundance. Comparison of multiple regression models, using Akaike's Information Criterion, suggested that the per capita impact of deer herbivory to forest understories was strongly related to landscape configuration of deer habitat types at the scale of an individual deer's home range, whereas deer abundance was more strongly associated with landscape structure at broader spatial scales. Interspersion and juxtaposition of non-forested, perennial forage habitat with other habitat types (forest and agriculture) at the park plus a 0.5. km buffer scale, together with DAI, explained 84% of the variation in native herbaceous cover (NHC). A model with DAI alone as a predictor accounted for only 19% of the variation in NHC. Thus, although deer impact was related to deer abundance, habitat configuration in landscapes surrounding parks appeared to strongly modulate the level of impact associated with a particular abundance of deer. Our results underscore the importance of landscape context in determining foraging behavior and per capita impacts of ungulates on forest resources in protected areas. © 2011 Elsevier Ltd.","author":[{"dropping-particle":"","family":"Hurley","given":"Peter M.","non-dropping-particle":"","parse-names":false,"suffix":""},{"dropping-particle":"","family":"Webster","given":"Christopher R.","non-dropping-particle":"","parse-names":false,"suffix":""},{"dropping-particle":"","family":"Flaspohler","given":"David J.","non-dropping-particle":"","parse-names":false,"suffix":""},{"dropping-particle":"","family":"Parker","given":"George R.","non-dropping-particle":"","parse-names":false,"suffix":""}],"container-title":"Biological Conservation","id":"ITEM-1","issue":"1","issued":{"date-parts":[["2012"]]},"page":"62-71","publisher":"Elsevier Ltd","title":"Untangling the landscape of deer overabundance: Reserve size versus landscape context in the agricultural Midwest","type":"article-journal","volume":"146"},"uris":["http://www.mendeley.com/documents/?uuid=b99e458d-0477-48e3-bf55-42be74a67085"]}],"mendeley":{"formattedCitation":"(Hurley et al., 2012)","plainTextFormattedCitation":"(Hurley et al., 2012)","previouslyFormattedCitation":"(Hurley et al., 2012)"},"properties":{"noteIndex":0},"schema":"https://github.com/citation-style-language/schema/raw/master/csl-citation.json"}</w:instrText>
      </w:r>
      <w:r w:rsidRPr="00B865A6">
        <w:rPr>
          <w:rFonts w:cstheme="minorHAnsi"/>
          <w:szCs w:val="24"/>
        </w:rPr>
        <w:fldChar w:fldCharType="separate"/>
      </w:r>
      <w:r w:rsidR="00770064" w:rsidRPr="00B865A6">
        <w:rPr>
          <w:rFonts w:cstheme="minorHAnsi"/>
          <w:noProof/>
          <w:szCs w:val="24"/>
        </w:rPr>
        <w:t>(Hurley et al., 2012)</w:t>
      </w:r>
      <w:r w:rsidRPr="00B865A6">
        <w:rPr>
          <w:rFonts w:cstheme="minorHAnsi"/>
          <w:szCs w:val="24"/>
        </w:rPr>
        <w:fldChar w:fldCharType="end"/>
      </w:r>
      <w:r w:rsidRPr="00B865A6">
        <w:rPr>
          <w:rFonts w:cstheme="minorHAnsi"/>
          <w:szCs w:val="24"/>
        </w:rPr>
        <w:t xml:space="preserve">; and because ii) larger extents reduce both the variability amongst landscapes and potential for non-overlapping independent landscapes </w:t>
      </w:r>
      <w:r w:rsidRPr="00B865A6">
        <w:rPr>
          <w:rFonts w:cstheme="minorHAnsi"/>
          <w:szCs w:val="24"/>
        </w:rPr>
        <w:fldChar w:fldCharType="begin" w:fldLock="1"/>
      </w:r>
      <w:r w:rsidR="00715A6C" w:rsidRPr="00B865A6">
        <w:rPr>
          <w:rFonts w:cstheme="minorHAnsi"/>
          <w:szCs w:val="24"/>
        </w:rPr>
        <w:instrText>ADDIN CSL_CITATION {"citationItems":[{"id":"ITEM-1","itemData":{"DOI":"10.1007/s10980-013-9852-6","ISBN":"1572-9761","ISSN":"09212973","abstract":"Empirical studies of the relative effects of landscape variables may compromise inferential strength with common approaches to landscape selection. We propose a methodology for landscape sample selection that is designed to overcome some common statistical pitfalls that may hamper estimates of relative effects of landscape variables on ecological responses. We illustrate our proposed methodology through an application aimed at quantifying the relationships between farmland heterogeneity and biodiversity. For this project, we required 100 study landscapes that represented the widest possible ranges of compositional and configurational farmland heterogeneity, where these two aspects of heterogeneity were quantified as crop cover diversity (Shannon diversity index) and mean crop field size, respectively. These were calculated at multiple spatial extents from a detailed map of the region derived through satellite image segmentation and classification. Potential study landscapes were then selected in a structured approach such that: (1) they represented the widest possible range of both heterogeneity variables, (2) they were not spatially autocorrelated, and (3) there was independence (no correlation) between the two heterogeneity variables, allowing for more precise estimates of the regression coefficients that reflect their independent effects. All selection criteria were satisfied at multiple extents surrounding the study landscapes, to allow for multi-scale analysis. Our approach to landscape selection should improve the inferential strength of studies estimating the relative effects of landscape variables, particularly those with a view to developing land management guidelines.","author":[{"dropping-particle":"","family":"Pasher","given":"Jon","non-dropping-particle":"","parse-names":false,"suffix":""},{"dropping-particle":"","family":"Mitchell","given":"Scott W.","non-dropping-particle":"","parse-names":false,"suffix":""},{"dropping-particle":"","family":"King","given":"Douglas J.","non-dropping-particle":"","parse-names":false,"suffix":""},{"dropping-particle":"","family":"Fahrig","given":"Lenore","non-dropping-particle":"","parse-names":false,"suffix":""},{"dropping-particle":"","family":"Smith","given":"Adam C.","non-dropping-particle":"","parse-names":false,"suffix":""},{"dropping-particle":"","family":"Lindsay","given":"Kathryn E.","non-dropping-particle":"","parse-names":false,"suffix":""}],"container-title":"Landscape Ecology","id":"ITEM-1","issue":"3","issued":{"date-parts":[["2013"]]},"page":"371-383","title":"Optimizing landscape selection for estimating relative effects of landscape variables on ecological responses","type":"article-journal","volume":"28"},"uris":["http://www.mendeley.com/documents/?uuid=0a8cccb8-e179-40c8-913b-a14908f0b220"]}],"mendeley":{"formattedCitation":"(Pasher et al., 2013)","plainTextFormattedCitation":"(Pasher et al., 2013)","previouslyFormattedCitation":"(Pasher et al., 2013)"},"properties":{"noteIndex":0},"schema":"https://github.com/citation-style-language/schema/raw/master/csl-citation.json"}</w:instrText>
      </w:r>
      <w:r w:rsidRPr="00B865A6">
        <w:rPr>
          <w:rFonts w:cstheme="minorHAnsi"/>
          <w:szCs w:val="24"/>
        </w:rPr>
        <w:fldChar w:fldCharType="separate"/>
      </w:r>
      <w:r w:rsidR="00770064" w:rsidRPr="00B865A6">
        <w:rPr>
          <w:rFonts w:cstheme="minorHAnsi"/>
          <w:noProof/>
          <w:szCs w:val="24"/>
        </w:rPr>
        <w:t>(Pasher et al., 2013)</w:t>
      </w:r>
      <w:r w:rsidRPr="00B865A6">
        <w:rPr>
          <w:rFonts w:cstheme="minorHAnsi"/>
          <w:szCs w:val="24"/>
        </w:rPr>
        <w:fldChar w:fldCharType="end"/>
      </w:r>
      <w:r w:rsidRPr="00B865A6">
        <w:rPr>
          <w:rFonts w:cstheme="minorHAnsi"/>
          <w:szCs w:val="24"/>
        </w:rPr>
        <w:t xml:space="preserve">. We investigated different buffer sizes of landscape drivers only and not </w:t>
      </w:r>
      <w:r w:rsidR="009E2C1E">
        <w:rPr>
          <w:rFonts w:cstheme="minorHAnsi"/>
          <w:szCs w:val="24"/>
        </w:rPr>
        <w:t xml:space="preserve">at </w:t>
      </w:r>
      <w:r w:rsidRPr="00B865A6">
        <w:rPr>
          <w:rFonts w:cstheme="minorHAnsi"/>
          <w:szCs w:val="24"/>
        </w:rPr>
        <w:t xml:space="preserve">regional and local </w:t>
      </w:r>
      <w:r w:rsidR="009E2C1E">
        <w:rPr>
          <w:rFonts w:cstheme="minorHAnsi"/>
          <w:szCs w:val="24"/>
        </w:rPr>
        <w:t>levels</w:t>
      </w:r>
      <w:r w:rsidRPr="00B865A6">
        <w:rPr>
          <w:rFonts w:cstheme="minorHAnsi"/>
          <w:szCs w:val="24"/>
        </w:rPr>
        <w:t>, because local variables were only available at the section-level, and regional-level variables were available at much coarser resolutions (deer density at 10-km raster) than the landscape-</w:t>
      </w:r>
      <w:r w:rsidR="009E2C1E">
        <w:rPr>
          <w:rFonts w:cstheme="minorHAnsi"/>
          <w:szCs w:val="24"/>
        </w:rPr>
        <w:t xml:space="preserve">level </w:t>
      </w:r>
      <w:r w:rsidRPr="00B865A6">
        <w:rPr>
          <w:rFonts w:cstheme="minorHAnsi"/>
          <w:szCs w:val="24"/>
        </w:rPr>
        <w:t>metrics (derived from 25-m raster).</w:t>
      </w:r>
    </w:p>
    <w:p w14:paraId="0200C6BE" w14:textId="7BFB3C62" w:rsidR="00C83AD9" w:rsidRPr="00B865A6" w:rsidRDefault="00C83AD9" w:rsidP="00C83AD9">
      <w:pPr>
        <w:spacing w:line="480" w:lineRule="auto"/>
        <w:rPr>
          <w:rFonts w:cstheme="minorHAnsi"/>
          <w:szCs w:val="24"/>
          <w:lang w:eastAsia="zh-CN"/>
        </w:rPr>
      </w:pPr>
      <w:r w:rsidRPr="00B865A6">
        <w:rPr>
          <w:rFonts w:cstheme="minorHAnsi"/>
          <w:szCs w:val="24"/>
          <w:lang w:eastAsia="zh-CN"/>
        </w:rPr>
        <w:t>Local-level variables: Several local variables including tree density; deer have been found more likely to browse in less densely stocked stands with more open canopies where increased light availability support</w:t>
      </w:r>
      <w:r w:rsidR="00B6328D" w:rsidRPr="00B865A6">
        <w:rPr>
          <w:rFonts w:cstheme="minorHAnsi"/>
          <w:szCs w:val="24"/>
          <w:lang w:eastAsia="zh-CN"/>
        </w:rPr>
        <w:t>s</w:t>
      </w:r>
      <w:r w:rsidRPr="00B865A6">
        <w:rPr>
          <w:rFonts w:cstheme="minorHAnsi"/>
          <w:szCs w:val="24"/>
          <w:lang w:eastAsia="zh-CN"/>
        </w:rPr>
        <w:t xml:space="preserve"> a herb layer </w:t>
      </w:r>
      <w:r w:rsidRPr="00B865A6">
        <w:rPr>
          <w:rFonts w:cstheme="minorHAnsi"/>
          <w:szCs w:val="24"/>
          <w:lang w:eastAsia="zh-CN"/>
        </w:rPr>
        <w:fldChar w:fldCharType="begin" w:fldLock="1"/>
      </w:r>
      <w:r w:rsidR="00715A6C" w:rsidRPr="00B865A6">
        <w:rPr>
          <w:rFonts w:cstheme="minorHAnsi"/>
          <w:szCs w:val="24"/>
          <w:lang w:eastAsia="zh-CN"/>
        </w:rPr>
        <w:instrText>ADDIN CSL_CITATION {"citationItems":[{"id":"ITEM-1","itemData":{"DOI":"10.3390/f5061374","ISBN":"1999-4907","ISSN":"19994907","abstract":"The combination of GPS-Telemetry and resource selection functions is widely used to analyze animal habitat selection. Rapid large-scale assessment of vegetation structure allows bridging the requirements of habitat selection studies on grain size and extent, particularly in forest habitats. For roe deer, the cold period in winter forces individuals to optimize their trade off in searching for food and shelter. We analyzed the winter habitat selection of roe deer (Capreolus capreolus) in a montane forest landscape combining estimates of vegetation cover in three different height strata, derived from high resolution airborne Laser-scanning (LiDAR, Light detection and ranging), and activity data from GPS telemetry. Specifically, we tested the influence of temperature, snow height, and wind speed on site selection, differentiating between active and resting animals using mixed-effects conditional logistic regression models in a case-control design. Site selection was best explained by temperature deviations from hourly means, snow height, and activity status of the animals. Roe deer tended to use forests of high canopy cover more frequently with decreasing temperature, and when snow height exceeded 0.6 m. Active animals preferred lower canopy cover, but higher understory cover. Our approach demonstrates the potential of LiDAR measures for studying fine scale habitat selection in complex three-dimensional habitats, such as forests.","author":[{"dropping-particle":"","family":"Ewald","given":"Michael","non-dropping-particle":"","parse-names":false,"suffix":""},{"dropping-particle":"","family":"Dupke","given":"Claudia","non-dropping-particle":"","parse-names":false,"suffix":""},{"dropping-particle":"","family":"Heurich","given":"Marco","non-dropping-particle":"","parse-names":false,"suffix":""},{"dropping-particle":"","family":"Müller","given":"Jörg","non-dropping-particle":"","parse-names":false,"suffix":""},{"dropping-particle":"","family":"Reineking","given":"Björn","non-dropping-particle":"","parse-names":false,"suffix":""}],"container-title":"Forests","id":"ITEM-1","issue":"6","issued":{"date-parts":[["2014"]]},"page":"1374-1390","title":"LiDAR remote sensing of forest structure and GPS telemetry data provide insights on winter habitat selection of european roe deer","type":"article-journal","volume":"5"},"uris":["http://www.mendeley.com/documents/?uuid=5960e536-73f2-433f-8f05-3fa6b57f368b"]}],"mendeley":{"formattedCitation":"(Ewald et al., 2014)","plainTextFormattedCitation":"(Ewald et al., 2014)","previouslyFormattedCitation":"(Ewald et al., 2014)"},"properties":{"noteIndex":0},"schema":"https://github.com/citation-style-language/schema/raw/master/csl-citation.json"}</w:instrText>
      </w:r>
      <w:r w:rsidRPr="00B865A6">
        <w:rPr>
          <w:rFonts w:cstheme="minorHAnsi"/>
          <w:szCs w:val="24"/>
          <w:lang w:eastAsia="zh-CN"/>
        </w:rPr>
        <w:fldChar w:fldCharType="separate"/>
      </w:r>
      <w:r w:rsidR="00770064" w:rsidRPr="00B865A6">
        <w:rPr>
          <w:rFonts w:cstheme="minorHAnsi"/>
          <w:noProof/>
          <w:szCs w:val="24"/>
          <w:lang w:eastAsia="zh-CN"/>
        </w:rPr>
        <w:t>(Ewald et al., 2014)</w:t>
      </w:r>
      <w:r w:rsidRPr="00B865A6">
        <w:rPr>
          <w:rFonts w:cstheme="minorHAnsi"/>
          <w:szCs w:val="24"/>
          <w:lang w:eastAsia="zh-CN"/>
        </w:rPr>
        <w:fldChar w:fldCharType="end"/>
      </w:r>
      <w:r w:rsidRPr="00B865A6">
        <w:rPr>
          <w:rFonts w:cstheme="minorHAnsi"/>
          <w:szCs w:val="24"/>
          <w:lang w:eastAsia="zh-CN"/>
        </w:rPr>
        <w:t xml:space="preserve">. We included forest size and distance to forest edge because </w:t>
      </w:r>
      <w:r w:rsidRPr="00B865A6">
        <w:rPr>
          <w:rFonts w:cstheme="minorHAnsi"/>
          <w:szCs w:val="24"/>
        </w:rPr>
        <w:t xml:space="preserve">a range of studies have shown that deer associate with forest edges, possibly due to their higher productivity relative to forest interiors, their coincident provision of forage, shelter and concealment </w:t>
      </w:r>
      <w:r w:rsidRPr="00B865A6">
        <w:rPr>
          <w:rFonts w:cstheme="minorHAnsi"/>
          <w:szCs w:val="24"/>
        </w:rPr>
        <w:fldChar w:fldCharType="begin" w:fldLock="1"/>
      </w:r>
      <w:r w:rsidR="00715A6C" w:rsidRPr="00B865A6">
        <w:rPr>
          <w:rFonts w:cstheme="minorHAnsi"/>
          <w:szCs w:val="24"/>
        </w:rPr>
        <w:instrText>ADDIN CSL_CITATION {"citationItems":[{"id":"ITEM-1","itemData":{"DOI":"10.1007/s10144-007-0068-y","ISBN":"1438-3896","ISSN":"14383896","abstract":"Habitat edges are considered to have an important role in determining the abundance of deer in forest landscapes, but to our knowledge there are few lines of evidence indicating that forest edge enhances the vital rate of deer. We examined pregnancy of female sika deer in Boso peninsula, central Japan, and explored how forest edges, food availability in forests, and local population density influence the pregnancy rate of sika deer. Local deer density was estimated by the number of fecal pellets, and food availability in forests was estimated by combining GIS data of vegetation distribution and the relationship between vegetation biomass and local deer density. Forest edge length was also determined by GIS data. Model selection was performed with multiple logistic regression analyses using the AIC to find the best model for accounting for the observed variation in pregnancy rates of the deer. Multiple logistic regression analysis showed that the length of forest edge had a positive effect on the pregnancy rate of females, whereas food availability in forests and local deer density had little effect. This forest edge effect was detected in a 100-200-m radius from deer captured locations, indicating that deer pregnancy is primarily determined by habitat quality within a 10-ha area. This result was confirmed by tracking females with GPS telemetry, which found that the core areas of the home range were less than 12 ha. The positive effect of edges and the lack of density dependence could be a result of high plant productivity in open environments that produces forages not depleted by high deer densities. Our results support the view that land management is the cause of the current problem of deer overabundance.","author":[{"dropping-particle":"","family":"Miyashita","given":"Tadashi","non-dropping-particle":"","parse-names":false,"suffix":""},{"dropping-particle":"","family":"Suzuki","given":"Maki","non-dropping-particle":"","parse-names":false,"suffix":""},{"dropping-particle":"","family":"Ando","given":"Daisuke","non-dropping-particle":"","parse-names":false,"suffix":""},{"dropping-particle":"","family":"Fujita","given":"Go","non-dropping-particle":"","parse-names":false,"suffix":""},{"dropping-particle":"","family":"Ochiai","given":"Keiji","non-dropping-particle":"","parse-names":false,"suffix":""},{"dropping-particle":"","family":"Asada","given":"Masahiko","non-dropping-particle":"","parse-names":false,"suffix":""}],"container-title":"Population Ecology","id":"ITEM-1","issue":"1","issued":{"date-parts":[["2008"]]},"page":"111-120","title":"Forest edge creates small-scale variation in reproductive rate of sika deer","type":"article-journal","volume":"50"},"uris":["http://www.mendeley.com/documents/?uuid=1eed68b4-585a-41c1-81ca-b7a72c4509ee"]}],"mendeley":{"formattedCitation":"(Miyashita et al., 2008)","plainTextFormattedCitation":"(Miyashita et al., 2008)","previouslyFormattedCitation":"(Miyashita et al., 2008)"},"properties":{"noteIndex":0},"schema":"https://github.com/citation-style-language/schema/raw/master/csl-citation.json"}</w:instrText>
      </w:r>
      <w:r w:rsidRPr="00B865A6">
        <w:rPr>
          <w:rFonts w:cstheme="minorHAnsi"/>
          <w:szCs w:val="24"/>
        </w:rPr>
        <w:fldChar w:fldCharType="separate"/>
      </w:r>
      <w:r w:rsidR="00770064" w:rsidRPr="00B865A6">
        <w:rPr>
          <w:rFonts w:cstheme="minorHAnsi"/>
          <w:noProof/>
          <w:szCs w:val="24"/>
        </w:rPr>
        <w:t>(Miyashita et al., 2008)</w:t>
      </w:r>
      <w:r w:rsidRPr="00B865A6">
        <w:rPr>
          <w:rFonts w:cstheme="minorHAnsi"/>
          <w:szCs w:val="24"/>
        </w:rPr>
        <w:fldChar w:fldCharType="end"/>
      </w:r>
      <w:r w:rsidRPr="00B865A6">
        <w:rPr>
          <w:rFonts w:cstheme="minorHAnsi"/>
          <w:szCs w:val="24"/>
        </w:rPr>
        <w:t xml:space="preserve">. Finally, we included </w:t>
      </w:r>
      <w:r w:rsidRPr="00B865A6">
        <w:rPr>
          <w:rFonts w:cstheme="minorHAnsi"/>
          <w:szCs w:val="24"/>
          <w:lang w:eastAsia="zh-CN"/>
        </w:rPr>
        <w:t>forest type, whether coniferous, broadleaved or mixed, and whether managed, under an even-aged silvicultural regime, or unmanaged.</w:t>
      </w:r>
    </w:p>
    <w:p w14:paraId="74E7CC5A" w14:textId="77777777" w:rsidR="00C83AD9" w:rsidRPr="00B865A6" w:rsidRDefault="00C83AD9" w:rsidP="00C83AD9">
      <w:pPr>
        <w:spacing w:line="480" w:lineRule="auto"/>
        <w:rPr>
          <w:rFonts w:ascii="Arial" w:hAnsi="Arial" w:cs="Arial"/>
          <w:sz w:val="20"/>
          <w:lang w:eastAsia="zh-CN"/>
        </w:rPr>
      </w:pPr>
      <w:r w:rsidRPr="00B865A6">
        <w:rPr>
          <w:rFonts w:ascii="Arial" w:hAnsi="Arial" w:cs="Arial"/>
          <w:sz w:val="20"/>
          <w:lang w:eastAsia="zh-CN"/>
        </w:rPr>
        <w:br w:type="page"/>
      </w:r>
      <w:r w:rsidRPr="00B865A6">
        <w:rPr>
          <w:rFonts w:ascii="Arial" w:hAnsi="Arial" w:cs="Arial"/>
          <w:sz w:val="20"/>
          <w:lang w:eastAsia="zh-CN"/>
        </w:rPr>
        <w:lastRenderedPageBreak/>
        <w:t>Table 1.</w:t>
      </w:r>
      <w:r w:rsidRPr="00B865A6">
        <w:rPr>
          <w:rFonts w:ascii="Arial" w:hAnsi="Arial" w:cs="Arial"/>
          <w:sz w:val="20"/>
          <w:lang w:eastAsia="zh-CN"/>
        </w:rPr>
        <w:tab/>
      </w:r>
      <w:r w:rsidRPr="00B865A6">
        <w:rPr>
          <w:rFonts w:ascii="Arial" w:hAnsi="Arial" w:cs="Arial"/>
          <w:sz w:val="20"/>
          <w:lang w:eastAsia="zh-CN"/>
        </w:rPr>
        <w:tab/>
        <w:t>Data sources of explanatory variables used in this study</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1253"/>
        <w:gridCol w:w="4441"/>
        <w:gridCol w:w="2123"/>
      </w:tblGrid>
      <w:tr w:rsidR="00C83AD9" w:rsidRPr="00B865A6" w14:paraId="53C57470" w14:textId="77777777" w:rsidTr="00D645B6">
        <w:trPr>
          <w:trHeight w:val="448"/>
          <w:jc w:val="center"/>
        </w:trPr>
        <w:tc>
          <w:tcPr>
            <w:tcW w:w="1817" w:type="dxa"/>
          </w:tcPr>
          <w:p w14:paraId="7B978F74" w14:textId="77777777" w:rsidR="00C83AD9" w:rsidRPr="00B865A6" w:rsidRDefault="00C83AD9" w:rsidP="004B105F">
            <w:pPr>
              <w:spacing w:line="480" w:lineRule="auto"/>
              <w:rPr>
                <w:rFonts w:ascii="Arial" w:hAnsi="Arial" w:cs="Arial"/>
                <w:b/>
                <w:sz w:val="20"/>
                <w:szCs w:val="20"/>
                <w:lang w:eastAsia="zh-CN"/>
              </w:rPr>
            </w:pPr>
            <w:r w:rsidRPr="00B865A6">
              <w:rPr>
                <w:rFonts w:ascii="Arial" w:hAnsi="Arial" w:cs="Arial"/>
                <w:b/>
                <w:sz w:val="20"/>
                <w:szCs w:val="20"/>
                <w:lang w:eastAsia="zh-CN"/>
              </w:rPr>
              <w:t>Driver</w:t>
            </w:r>
          </w:p>
        </w:tc>
        <w:tc>
          <w:tcPr>
            <w:tcW w:w="1253" w:type="dxa"/>
          </w:tcPr>
          <w:p w14:paraId="0067519A" w14:textId="77777777" w:rsidR="00C83AD9" w:rsidRPr="00B865A6" w:rsidRDefault="00C83AD9" w:rsidP="004B105F">
            <w:pPr>
              <w:spacing w:line="480" w:lineRule="auto"/>
              <w:rPr>
                <w:rFonts w:ascii="Arial" w:hAnsi="Arial" w:cs="Arial"/>
                <w:b/>
                <w:sz w:val="20"/>
                <w:szCs w:val="20"/>
                <w:lang w:eastAsia="zh-CN"/>
              </w:rPr>
            </w:pPr>
            <w:r w:rsidRPr="00B865A6">
              <w:rPr>
                <w:rFonts w:ascii="Arial" w:hAnsi="Arial" w:cs="Arial"/>
                <w:b/>
                <w:sz w:val="20"/>
                <w:szCs w:val="20"/>
                <w:lang w:eastAsia="zh-CN"/>
              </w:rPr>
              <w:t>Variable code</w:t>
            </w:r>
          </w:p>
        </w:tc>
        <w:tc>
          <w:tcPr>
            <w:tcW w:w="4441" w:type="dxa"/>
          </w:tcPr>
          <w:p w14:paraId="16B2292F" w14:textId="77777777" w:rsidR="00C83AD9" w:rsidRPr="00B865A6" w:rsidRDefault="00C83AD9" w:rsidP="004B105F">
            <w:pPr>
              <w:spacing w:line="480" w:lineRule="auto"/>
              <w:rPr>
                <w:rFonts w:ascii="Arial" w:hAnsi="Arial" w:cs="Arial"/>
                <w:b/>
                <w:sz w:val="20"/>
                <w:szCs w:val="20"/>
                <w:lang w:eastAsia="zh-CN"/>
              </w:rPr>
            </w:pPr>
            <w:r w:rsidRPr="00B865A6">
              <w:rPr>
                <w:rFonts w:ascii="Arial" w:hAnsi="Arial" w:cs="Arial"/>
                <w:b/>
                <w:sz w:val="20"/>
                <w:szCs w:val="20"/>
                <w:lang w:eastAsia="zh-CN"/>
              </w:rPr>
              <w:t>Data source and original grain for Britain</w:t>
            </w:r>
          </w:p>
        </w:tc>
        <w:tc>
          <w:tcPr>
            <w:tcW w:w="2123" w:type="dxa"/>
          </w:tcPr>
          <w:p w14:paraId="4BE2B84E" w14:textId="77777777" w:rsidR="00C83AD9" w:rsidRPr="00B865A6" w:rsidRDefault="00C83AD9" w:rsidP="004B105F">
            <w:pPr>
              <w:spacing w:line="480" w:lineRule="auto"/>
              <w:rPr>
                <w:rFonts w:ascii="Arial" w:hAnsi="Arial" w:cs="Arial"/>
                <w:b/>
                <w:sz w:val="20"/>
                <w:szCs w:val="20"/>
                <w:lang w:eastAsia="zh-CN"/>
              </w:rPr>
            </w:pPr>
            <w:r w:rsidRPr="00B865A6">
              <w:rPr>
                <w:rFonts w:ascii="Arial" w:hAnsi="Arial" w:cs="Arial"/>
                <w:b/>
                <w:sz w:val="20"/>
                <w:szCs w:val="20"/>
                <w:lang w:eastAsia="zh-CN"/>
              </w:rPr>
              <w:t>Unit (and range)</w:t>
            </w:r>
          </w:p>
        </w:tc>
      </w:tr>
      <w:tr w:rsidR="00C83AD9" w:rsidRPr="00B865A6" w14:paraId="544D4660" w14:textId="77777777" w:rsidTr="00D645B6">
        <w:trPr>
          <w:trHeight w:val="448"/>
          <w:jc w:val="center"/>
        </w:trPr>
        <w:tc>
          <w:tcPr>
            <w:tcW w:w="7511" w:type="dxa"/>
            <w:gridSpan w:val="3"/>
          </w:tcPr>
          <w:p w14:paraId="5910D284"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b/>
                <w:i/>
                <w:sz w:val="20"/>
                <w:szCs w:val="20"/>
                <w:lang w:eastAsia="zh-CN"/>
              </w:rPr>
              <w:t>Regional-scale drivers</w:t>
            </w:r>
          </w:p>
        </w:tc>
        <w:tc>
          <w:tcPr>
            <w:tcW w:w="2123" w:type="dxa"/>
          </w:tcPr>
          <w:p w14:paraId="7568E605" w14:textId="77777777" w:rsidR="00C83AD9" w:rsidRPr="00B865A6" w:rsidRDefault="00C83AD9" w:rsidP="004B105F">
            <w:pPr>
              <w:spacing w:line="480" w:lineRule="auto"/>
              <w:rPr>
                <w:rFonts w:ascii="Arial" w:hAnsi="Arial" w:cs="Arial"/>
                <w:b/>
                <w:i/>
                <w:sz w:val="20"/>
                <w:szCs w:val="20"/>
                <w:lang w:eastAsia="zh-CN"/>
              </w:rPr>
            </w:pPr>
          </w:p>
        </w:tc>
      </w:tr>
      <w:tr w:rsidR="00C83AD9" w:rsidRPr="00B865A6" w14:paraId="2883EA6B" w14:textId="77777777" w:rsidTr="00D645B6">
        <w:trPr>
          <w:trHeight w:val="954"/>
          <w:jc w:val="center"/>
        </w:trPr>
        <w:tc>
          <w:tcPr>
            <w:tcW w:w="1817" w:type="dxa"/>
          </w:tcPr>
          <w:p w14:paraId="3391B4C1"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Deer density</w:t>
            </w:r>
          </w:p>
        </w:tc>
        <w:tc>
          <w:tcPr>
            <w:tcW w:w="1253" w:type="dxa"/>
          </w:tcPr>
          <w:p w14:paraId="77D02ED2"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DEERDENS</w:t>
            </w:r>
          </w:p>
        </w:tc>
        <w:tc>
          <w:tcPr>
            <w:tcW w:w="4441" w:type="dxa"/>
          </w:tcPr>
          <w:p w14:paraId="08A11EE9" w14:textId="3EE4A8E3" w:rsidR="00C83AD9" w:rsidRPr="00B865A6" w:rsidRDefault="00C83AD9" w:rsidP="000D65AC">
            <w:pPr>
              <w:spacing w:line="480" w:lineRule="auto"/>
              <w:rPr>
                <w:rFonts w:ascii="Arial" w:hAnsi="Arial" w:cs="Arial"/>
                <w:sz w:val="20"/>
                <w:szCs w:val="20"/>
                <w:lang w:eastAsia="zh-CN"/>
              </w:rPr>
            </w:pPr>
            <w:r w:rsidRPr="00B865A6">
              <w:rPr>
                <w:rFonts w:ascii="Arial" w:hAnsi="Arial" w:cs="Arial"/>
                <w:sz w:val="20"/>
                <w:szCs w:val="20"/>
                <w:lang w:eastAsia="zh-CN"/>
              </w:rPr>
              <w:t xml:space="preserve">10-km resolution deer density estimates were obtained from the National Game Bag Census </w:t>
            </w:r>
            <w:r w:rsidRPr="00B865A6">
              <w:rPr>
                <w:rFonts w:ascii="Arial" w:hAnsi="Arial" w:cs="Arial"/>
                <w:sz w:val="20"/>
                <w:szCs w:val="20"/>
                <w:lang w:eastAsia="zh-CN"/>
              </w:rPr>
              <w:fldChar w:fldCharType="begin" w:fldLock="1"/>
            </w:r>
            <w:r w:rsidR="00715A6C" w:rsidRPr="00B865A6">
              <w:rPr>
                <w:rFonts w:ascii="Arial" w:hAnsi="Arial" w:cs="Arial"/>
                <w:sz w:val="20"/>
                <w:szCs w:val="20"/>
                <w:lang w:eastAsia="zh-CN"/>
              </w:rPr>
              <w:instrText>ADDIN CSL_CITATION {"citationItems":[{"id":"ITEM-1","itemData":{"ISBN":"ISSN 0963 8901","abstract":"In the UK, monitoring schemes and surveys for mammals vary markedly in methodologies and geographical and temporal extent among species, mainly due to the specialised protocols required to detect and identify most species. In this report, we compare results from two very different current annual monitoring schemes – the BTO/JNCC/RSPB Breeding Bird Survey (BBS) and the GWCT National Gamebag Census (NGC). Both schemes cover the entire UK, have been running for at least 15 years, and provide quantitative measures of abundance for multiple species, with considerable but not complete overlap in species coverage. This makes it possible to compare both temporal and geographic patterns of abundance and to explore possibilities for combining results across the two schemes. Of nine species (brown hare, mountain hare, rabbit, grey squirrel, fox, red deer, fallow deer, roe deer and Reeves muntjac) for which sufficiently reliable population trends could be generated for both schemes between 1995 and 2009, there were no significant differences in the population trend between schemes. Both schemes indicated a significant increase in grey squirrel. The BBS also revealed significant increases in three deer species (red, roe and muntjac) and a significant decline in rabbits over this period. With the exception of red deer, the changes in numbers from NGC over this period were similar but not significantly so. This provided justification for generating a joint trend for each of these nine species using data from both schemes that took into account the statistical variation within each scheme which varied among species. BBS and NGC differ in methodologies as well as in geographical coverage (although both cover the UK) and this provides a process for generating an agreed trend for consistent reporting, particularly in the context of statutory reporting requirements. Spatial maps of relative abundance and change were produced for Great Britain only due to limited data coverage in Northern Ireland. They provide a useful visualisation of geographical patterns, and reveal concordance at very broad but not finer-scale resolutions. This is due to important differences in the design of the two schemes, the extent and distribution of the sampling sites, differences in coverage across the season, and differences in detectability despite using the same spatial modelling procedures. It is therefore not recommended to combine data from BBS and NGC in spatial maps using these spatial m…","author":[{"dropping-particle":"","family":"Noble","given":"D.G.","non-dropping-particle":"","parse-names":false,"suffix":""},{"dropping-particle":"","family":"Aebischer","given":"N.J.","non-dropping-particle":"","parse-names":false,"suffix":""},{"dropping-particle":"","family":"Newson","given":"S.E.","non-dropping-particle":"","parse-names":false,"suffix":""},{"dropping-particle":"","family":"Ewald","given":"J.A.","non-dropping-particle":"","parse-names":false,"suffix":""},{"dropping-particle":"","family":"Dadam","given":"D.","non-dropping-particle":"","parse-names":false,"suffix":""}],"container-title":"JNCC Report","id":"ITEM-1","issue":"468","issued":{"date-parts":[["2012"]]},"page":"2012","title":"A Comparison of Trends and Geographical Variation in Mammal Abundance in the Breeding Bird Survey and the National Gamebag Census","type":"article-journal","volume":"468"},"uris":["http://www.mendeley.com/documents/?uuid=10b354b7-3bd8-4a8d-ad5f-41bc5c2dca1d"]}],"mendeley":{"formattedCitation":"(Noble et al., 2012)","plainTextFormattedCitation":"(Noble et al., 2012)","previouslyFormattedCitation":"(Noble et al., 2012)"},"properties":{"noteIndex":0},"schema":"https://github.com/citation-style-language/schema/raw/master/csl-citation.json"}</w:instrText>
            </w:r>
            <w:r w:rsidRPr="00B865A6">
              <w:rPr>
                <w:rFonts w:ascii="Arial" w:hAnsi="Arial" w:cs="Arial"/>
                <w:sz w:val="20"/>
                <w:szCs w:val="20"/>
                <w:lang w:eastAsia="zh-CN"/>
              </w:rPr>
              <w:fldChar w:fldCharType="separate"/>
            </w:r>
            <w:r w:rsidR="00770064" w:rsidRPr="00B865A6">
              <w:rPr>
                <w:rFonts w:ascii="Arial" w:hAnsi="Arial" w:cs="Arial"/>
                <w:noProof/>
                <w:sz w:val="20"/>
                <w:szCs w:val="20"/>
                <w:lang w:eastAsia="zh-CN"/>
              </w:rPr>
              <w:t>(Noble et al., 2012)</w:t>
            </w:r>
            <w:r w:rsidRPr="00B865A6">
              <w:rPr>
                <w:rFonts w:ascii="Arial" w:hAnsi="Arial" w:cs="Arial"/>
                <w:sz w:val="20"/>
                <w:szCs w:val="20"/>
                <w:lang w:eastAsia="zh-CN"/>
              </w:rPr>
              <w:fldChar w:fldCharType="end"/>
            </w:r>
            <w:r w:rsidRPr="00B865A6">
              <w:rPr>
                <w:rFonts w:ascii="Arial" w:hAnsi="Arial" w:cs="Arial"/>
                <w:sz w:val="20"/>
                <w:szCs w:val="20"/>
                <w:lang w:eastAsia="zh-CN"/>
              </w:rPr>
              <w:t xml:space="preserve"> for the five species occurring in sufficient numbers in Britain to cause damage (red deer </w:t>
            </w:r>
            <w:r w:rsidRPr="00B865A6">
              <w:rPr>
                <w:rFonts w:ascii="Arial" w:hAnsi="Arial" w:cs="Arial"/>
                <w:i/>
                <w:sz w:val="20"/>
                <w:szCs w:val="20"/>
                <w:lang w:eastAsia="zh-CN"/>
              </w:rPr>
              <w:t>Cervus elaphus</w:t>
            </w:r>
            <w:r w:rsidRPr="00B865A6">
              <w:rPr>
                <w:rFonts w:ascii="Arial" w:hAnsi="Arial" w:cs="Arial"/>
                <w:sz w:val="20"/>
                <w:szCs w:val="20"/>
                <w:lang w:eastAsia="zh-CN"/>
              </w:rPr>
              <w:t xml:space="preserve">, sika </w:t>
            </w:r>
            <w:r w:rsidRPr="00B865A6">
              <w:rPr>
                <w:rFonts w:ascii="Arial" w:hAnsi="Arial" w:cs="Arial"/>
                <w:i/>
                <w:sz w:val="20"/>
                <w:szCs w:val="20"/>
                <w:lang w:eastAsia="zh-CN"/>
              </w:rPr>
              <w:t>C. nippon</w:t>
            </w:r>
            <w:r w:rsidRPr="00B865A6">
              <w:rPr>
                <w:rFonts w:ascii="Arial" w:hAnsi="Arial" w:cs="Arial"/>
                <w:sz w:val="20"/>
                <w:szCs w:val="20"/>
                <w:lang w:eastAsia="zh-CN"/>
              </w:rPr>
              <w:t xml:space="preserve">, roe </w:t>
            </w:r>
            <w:r w:rsidRPr="00B865A6">
              <w:rPr>
                <w:rFonts w:ascii="Arial" w:hAnsi="Arial" w:cs="Arial"/>
                <w:i/>
                <w:sz w:val="20"/>
                <w:szCs w:val="20"/>
                <w:lang w:eastAsia="zh-CN"/>
              </w:rPr>
              <w:t>C. capreolus</w:t>
            </w:r>
            <w:r w:rsidRPr="00B865A6">
              <w:rPr>
                <w:rFonts w:ascii="Arial" w:hAnsi="Arial" w:cs="Arial"/>
                <w:sz w:val="20"/>
                <w:szCs w:val="20"/>
                <w:lang w:eastAsia="zh-CN"/>
              </w:rPr>
              <w:t xml:space="preserve">, muntjac </w:t>
            </w:r>
            <w:r w:rsidRPr="00B865A6">
              <w:rPr>
                <w:rFonts w:ascii="Arial" w:hAnsi="Arial" w:cs="Arial"/>
                <w:i/>
                <w:sz w:val="20"/>
                <w:szCs w:val="20"/>
                <w:lang w:eastAsia="zh-CN"/>
              </w:rPr>
              <w:t>Muntiacus reevesi</w:t>
            </w:r>
            <w:r w:rsidRPr="00B865A6">
              <w:rPr>
                <w:rFonts w:ascii="Arial" w:hAnsi="Arial" w:cs="Arial"/>
                <w:sz w:val="20"/>
                <w:szCs w:val="20"/>
                <w:lang w:eastAsia="zh-CN"/>
              </w:rPr>
              <w:t xml:space="preserve"> and fallow </w:t>
            </w:r>
            <w:r w:rsidRPr="00B865A6">
              <w:rPr>
                <w:rFonts w:ascii="Arial" w:hAnsi="Arial" w:cs="Arial"/>
                <w:i/>
                <w:sz w:val="20"/>
                <w:szCs w:val="20"/>
                <w:lang w:eastAsia="zh-CN"/>
              </w:rPr>
              <w:t>Dama dama</w:t>
            </w:r>
            <w:r w:rsidRPr="00B865A6">
              <w:rPr>
                <w:rFonts w:ascii="Arial" w:hAnsi="Arial" w:cs="Arial"/>
                <w:sz w:val="20"/>
                <w:szCs w:val="20"/>
                <w:lang w:eastAsia="zh-CN"/>
              </w:rPr>
              <w:t>). Individual species estimates were summed to provide an overall deer density map.</w:t>
            </w:r>
            <w:r w:rsidR="000D65AC">
              <w:rPr>
                <w:rFonts w:ascii="Arial" w:hAnsi="Arial" w:cs="Arial"/>
                <w:sz w:val="20"/>
                <w:szCs w:val="20"/>
                <w:lang w:eastAsia="zh-CN"/>
              </w:rPr>
              <w:t xml:space="preserve"> See Data availability statement.</w:t>
            </w:r>
          </w:p>
        </w:tc>
        <w:tc>
          <w:tcPr>
            <w:tcW w:w="2123" w:type="dxa"/>
          </w:tcPr>
          <w:p w14:paraId="282B846C" w14:textId="4C81F54F"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No. individuals per 10</w:t>
            </w:r>
            <w:r w:rsidR="009E2C1E">
              <w:rPr>
                <w:rFonts w:ascii="Arial" w:hAnsi="Arial" w:cs="Arial"/>
                <w:sz w:val="20"/>
                <w:szCs w:val="20"/>
                <w:lang w:eastAsia="zh-CN"/>
              </w:rPr>
              <w:t>-</w:t>
            </w:r>
            <w:r w:rsidRPr="00B865A6">
              <w:rPr>
                <w:rFonts w:ascii="Arial" w:hAnsi="Arial" w:cs="Arial"/>
                <w:sz w:val="20"/>
                <w:szCs w:val="20"/>
                <w:lang w:eastAsia="zh-CN"/>
              </w:rPr>
              <w:t>km</w:t>
            </w:r>
            <w:r w:rsidRPr="00B865A6">
              <w:rPr>
                <w:rFonts w:ascii="Arial" w:hAnsi="Arial" w:cs="Arial"/>
                <w:sz w:val="20"/>
                <w:szCs w:val="20"/>
                <w:vertAlign w:val="superscript"/>
                <w:lang w:eastAsia="zh-CN"/>
              </w:rPr>
              <w:t>2</w:t>
            </w:r>
            <w:r w:rsidRPr="00B865A6">
              <w:rPr>
                <w:rFonts w:ascii="Arial" w:hAnsi="Arial" w:cs="Arial"/>
                <w:sz w:val="20"/>
                <w:szCs w:val="20"/>
                <w:lang w:eastAsia="zh-CN"/>
              </w:rPr>
              <w:t xml:space="preserve"> (40</w:t>
            </w:r>
            <w:r w:rsidR="009E2C1E">
              <w:rPr>
                <w:rFonts w:ascii="Arial" w:hAnsi="Arial" w:cs="Arial"/>
                <w:sz w:val="20"/>
                <w:szCs w:val="20"/>
                <w:lang w:eastAsia="zh-CN"/>
              </w:rPr>
              <w:t>.00</w:t>
            </w:r>
            <w:r w:rsidRPr="00B865A6">
              <w:rPr>
                <w:rFonts w:ascii="Arial" w:hAnsi="Arial" w:cs="Arial"/>
                <w:sz w:val="20"/>
                <w:szCs w:val="20"/>
                <w:lang w:eastAsia="zh-CN"/>
              </w:rPr>
              <w:t>-380</w:t>
            </w:r>
            <w:r w:rsidR="009E2C1E">
              <w:rPr>
                <w:rFonts w:ascii="Arial" w:hAnsi="Arial" w:cs="Arial"/>
                <w:sz w:val="20"/>
                <w:szCs w:val="20"/>
                <w:lang w:eastAsia="zh-CN"/>
              </w:rPr>
              <w:t>.00</w:t>
            </w:r>
            <w:r w:rsidRPr="00B865A6">
              <w:rPr>
                <w:rFonts w:ascii="Arial" w:hAnsi="Arial" w:cs="Arial"/>
                <w:sz w:val="20"/>
                <w:szCs w:val="20"/>
                <w:lang w:eastAsia="zh-CN"/>
              </w:rPr>
              <w:t>)</w:t>
            </w:r>
          </w:p>
        </w:tc>
      </w:tr>
      <w:tr w:rsidR="00C83AD9" w:rsidRPr="00B865A6" w14:paraId="37DA1FE4" w14:textId="77777777" w:rsidTr="00D645B6">
        <w:trPr>
          <w:trHeight w:val="954"/>
          <w:jc w:val="center"/>
        </w:trPr>
        <w:tc>
          <w:tcPr>
            <w:tcW w:w="1817" w:type="dxa"/>
          </w:tcPr>
          <w:p w14:paraId="67C4D3C6"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Precipitation</w:t>
            </w:r>
          </w:p>
        </w:tc>
        <w:tc>
          <w:tcPr>
            <w:tcW w:w="1253" w:type="dxa"/>
          </w:tcPr>
          <w:p w14:paraId="04FD4905"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PREC</w:t>
            </w:r>
          </w:p>
        </w:tc>
        <w:tc>
          <w:tcPr>
            <w:tcW w:w="4441" w:type="dxa"/>
            <w:vMerge w:val="restart"/>
          </w:tcPr>
          <w:p w14:paraId="03E7027D" w14:textId="4CF61F8B"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Average values of temperature  and precipitation</w:t>
            </w:r>
            <w:r w:rsidR="009E2C1E">
              <w:rPr>
                <w:rFonts w:ascii="Arial" w:hAnsi="Arial" w:cs="Arial"/>
                <w:sz w:val="20"/>
                <w:szCs w:val="20"/>
                <w:lang w:eastAsia="zh-CN"/>
              </w:rPr>
              <w:t xml:space="preserve"> </w:t>
            </w:r>
            <w:r w:rsidRPr="00B865A6">
              <w:rPr>
                <w:rFonts w:ascii="Arial" w:hAnsi="Arial" w:cs="Arial"/>
                <w:sz w:val="20"/>
                <w:szCs w:val="20"/>
                <w:lang w:eastAsia="zh-CN"/>
              </w:rPr>
              <w:t xml:space="preserve">were calculated from monthly 5-km resolution data from the Met Office for 2010 – 2016 via the UKCP09 website </w:t>
            </w:r>
            <w:hyperlink r:id="rId16" w:history="1">
              <w:r w:rsidRPr="00B865A6">
                <w:rPr>
                  <w:rStyle w:val="Hyperlink"/>
                  <w:rFonts w:ascii="Arial" w:hAnsi="Arial" w:cs="Arial"/>
                  <w:sz w:val="20"/>
                  <w:szCs w:val="20"/>
                  <w:lang w:eastAsia="zh-CN"/>
                </w:rPr>
                <w:t>http://data.ceda.ac.uk/badc/ukcp09/</w:t>
              </w:r>
            </w:hyperlink>
            <w:r w:rsidRPr="00B865A6">
              <w:rPr>
                <w:rFonts w:ascii="Arial" w:hAnsi="Arial" w:cs="Arial"/>
                <w:sz w:val="20"/>
                <w:szCs w:val="20"/>
                <w:lang w:eastAsia="zh-CN"/>
              </w:rPr>
              <w:t xml:space="preserve">  </w:t>
            </w:r>
          </w:p>
        </w:tc>
        <w:tc>
          <w:tcPr>
            <w:tcW w:w="2123" w:type="dxa"/>
          </w:tcPr>
          <w:p w14:paraId="50571554"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mm (48.92-319.10)</w:t>
            </w:r>
          </w:p>
        </w:tc>
      </w:tr>
      <w:tr w:rsidR="00C83AD9" w:rsidRPr="00B865A6" w14:paraId="7B5B4DD7" w14:textId="77777777" w:rsidTr="00D645B6">
        <w:trPr>
          <w:trHeight w:val="850"/>
          <w:jc w:val="center"/>
        </w:trPr>
        <w:tc>
          <w:tcPr>
            <w:tcW w:w="1817" w:type="dxa"/>
          </w:tcPr>
          <w:p w14:paraId="460648A4"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Temperature</w:t>
            </w:r>
          </w:p>
        </w:tc>
        <w:tc>
          <w:tcPr>
            <w:tcW w:w="1253" w:type="dxa"/>
          </w:tcPr>
          <w:p w14:paraId="7A1D9B1C"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TEMP</w:t>
            </w:r>
          </w:p>
        </w:tc>
        <w:tc>
          <w:tcPr>
            <w:tcW w:w="4441" w:type="dxa"/>
            <w:vMerge/>
          </w:tcPr>
          <w:p w14:paraId="5CD471B6" w14:textId="77777777" w:rsidR="00C83AD9" w:rsidRPr="00B865A6" w:rsidRDefault="00C83AD9" w:rsidP="004B105F">
            <w:pPr>
              <w:spacing w:line="480" w:lineRule="auto"/>
              <w:rPr>
                <w:rFonts w:ascii="Arial" w:hAnsi="Arial" w:cs="Arial"/>
                <w:sz w:val="20"/>
                <w:szCs w:val="20"/>
                <w:lang w:eastAsia="zh-CN"/>
              </w:rPr>
            </w:pPr>
          </w:p>
        </w:tc>
        <w:tc>
          <w:tcPr>
            <w:tcW w:w="2123" w:type="dxa"/>
          </w:tcPr>
          <w:p w14:paraId="5D1B4CB9"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°C (5.48-12.15)</w:t>
            </w:r>
          </w:p>
        </w:tc>
      </w:tr>
      <w:tr w:rsidR="00C83AD9" w:rsidRPr="00B865A6" w14:paraId="3B3B77C1" w14:textId="77777777" w:rsidTr="00D645B6">
        <w:trPr>
          <w:trHeight w:val="1346"/>
          <w:jc w:val="center"/>
        </w:trPr>
        <w:tc>
          <w:tcPr>
            <w:tcW w:w="1817" w:type="dxa"/>
          </w:tcPr>
          <w:p w14:paraId="78C61BE0"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Elevation</w:t>
            </w:r>
          </w:p>
        </w:tc>
        <w:tc>
          <w:tcPr>
            <w:tcW w:w="1253" w:type="dxa"/>
          </w:tcPr>
          <w:p w14:paraId="63285A6E"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ELEV</w:t>
            </w:r>
          </w:p>
        </w:tc>
        <w:tc>
          <w:tcPr>
            <w:tcW w:w="4441" w:type="dxa"/>
          </w:tcPr>
          <w:p w14:paraId="1E222A1F"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rPr>
              <w:t>50-m resolution OS Terrain 50 data (</w:t>
            </w:r>
            <w:hyperlink r:id="rId17" w:history="1">
              <w:r w:rsidRPr="00B865A6">
                <w:rPr>
                  <w:rStyle w:val="Hyperlink"/>
                  <w:rFonts w:ascii="Arial" w:hAnsi="Arial" w:cs="Arial"/>
                  <w:sz w:val="20"/>
                  <w:szCs w:val="20"/>
                </w:rPr>
                <w:t>https://www.ordnancesurvey.co.uk/xml/products/OSTerrain50Grid.xml</w:t>
              </w:r>
            </w:hyperlink>
            <w:r w:rsidRPr="00B865A6">
              <w:rPr>
                <w:rFonts w:ascii="Arial" w:hAnsi="Arial" w:cs="Arial"/>
                <w:sz w:val="20"/>
                <w:szCs w:val="20"/>
              </w:rPr>
              <w:t>)</w:t>
            </w:r>
          </w:p>
        </w:tc>
        <w:tc>
          <w:tcPr>
            <w:tcW w:w="2123" w:type="dxa"/>
          </w:tcPr>
          <w:p w14:paraId="1FB699EA" w14:textId="77777777" w:rsidR="00C83AD9" w:rsidRPr="00B865A6" w:rsidRDefault="00C83AD9" w:rsidP="004B105F">
            <w:pPr>
              <w:spacing w:line="480" w:lineRule="auto"/>
              <w:rPr>
                <w:rFonts w:ascii="Arial" w:hAnsi="Arial" w:cs="Arial"/>
                <w:sz w:val="20"/>
                <w:szCs w:val="20"/>
              </w:rPr>
            </w:pPr>
            <w:r w:rsidRPr="00B865A6">
              <w:rPr>
                <w:rFonts w:ascii="Arial" w:hAnsi="Arial" w:cs="Arial"/>
                <w:sz w:val="20"/>
                <w:szCs w:val="20"/>
              </w:rPr>
              <w:t>m (2.21-648.84)</w:t>
            </w:r>
          </w:p>
        </w:tc>
      </w:tr>
      <w:tr w:rsidR="00C83AD9" w:rsidRPr="00B865A6" w14:paraId="46F4DCE5" w14:textId="77777777" w:rsidTr="00D645B6">
        <w:trPr>
          <w:trHeight w:val="4076"/>
          <w:jc w:val="center"/>
        </w:trPr>
        <w:tc>
          <w:tcPr>
            <w:tcW w:w="1817" w:type="dxa"/>
          </w:tcPr>
          <w:p w14:paraId="736E0778"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lastRenderedPageBreak/>
              <w:t xml:space="preserve">Windiness </w:t>
            </w:r>
          </w:p>
        </w:tc>
        <w:tc>
          <w:tcPr>
            <w:tcW w:w="1253" w:type="dxa"/>
          </w:tcPr>
          <w:p w14:paraId="5F21770F"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WIND</w:t>
            </w:r>
          </w:p>
        </w:tc>
        <w:tc>
          <w:tcPr>
            <w:tcW w:w="4441" w:type="dxa"/>
          </w:tcPr>
          <w:p w14:paraId="21E16D04" w14:textId="6002DFCC"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 xml:space="preserve">An indicator representing the amount of physiologically or physically damaging wind that a forest stand on a particular site experiences in the year. The ‘DAMS’ (detailed aspect method of scoring) is as an ordinal representation of both mean wind speed and the frequency of strong winds and ranges from 3-36. Obtained from the Forestry Commission’s 250-m resolution Ecological Site Classification and aggregated to 10-km (ESC; </w:t>
            </w:r>
            <w:r w:rsidRPr="00B865A6">
              <w:rPr>
                <w:rFonts w:ascii="Arial" w:hAnsi="Arial" w:cs="Arial"/>
                <w:sz w:val="20"/>
                <w:szCs w:val="20"/>
                <w:lang w:eastAsia="zh-CN"/>
              </w:rPr>
              <w:fldChar w:fldCharType="begin" w:fldLock="1"/>
            </w:r>
            <w:r w:rsidR="00715A6C" w:rsidRPr="00B865A6">
              <w:rPr>
                <w:rFonts w:ascii="Arial" w:hAnsi="Arial" w:cs="Arial"/>
                <w:sz w:val="20"/>
                <w:szCs w:val="20"/>
                <w:lang w:eastAsia="zh-CN"/>
              </w:rPr>
              <w:instrText>ADDIN CSL_CITATION {"citationItems":[{"id":"ITEM-1","itemData":{"author":[{"dropping-particle":"","family":"Pyatt","given":"D.G.","non-dropping-particle":"","parse-names":false,"suffix":""},{"dropping-particle":"","family":"Ray","given":"D.","non-dropping-particle":"","parse-names":false,"suffix":""}],"id":"ITEM-1","issued":{"date-parts":[["2001"]]},"publisher-place":"Forestry Commission, Edinburgh","title":"An ecological site classification for forestry in Great Britain: Forestry commission bulletin 124","type":"book"},"uris":["http://www.mendeley.com/documents/?uuid=25790fdd-37eb-4b0d-98f4-41e81b1e393e"]}],"mendeley":{"formattedCitation":"(Pyatt &amp; Ray, 2001)","manualFormatting":"Pyatt &amp; Ray, 2001)","plainTextFormattedCitation":"(Pyatt &amp; Ray, 2001)","previouslyFormattedCitation":"(Pyatt &amp; Ray, 2001)"},"properties":{"noteIndex":0},"schema":"https://github.com/citation-style-language/schema/raw/master/csl-citation.json"}</w:instrText>
            </w:r>
            <w:r w:rsidRPr="00B865A6">
              <w:rPr>
                <w:rFonts w:ascii="Arial" w:hAnsi="Arial" w:cs="Arial"/>
                <w:sz w:val="20"/>
                <w:szCs w:val="20"/>
                <w:lang w:eastAsia="zh-CN"/>
              </w:rPr>
              <w:fldChar w:fldCharType="separate"/>
            </w:r>
            <w:r w:rsidRPr="00B865A6">
              <w:rPr>
                <w:rFonts w:ascii="Arial" w:hAnsi="Arial" w:cs="Arial"/>
                <w:noProof/>
                <w:sz w:val="20"/>
                <w:szCs w:val="20"/>
                <w:lang w:eastAsia="zh-CN"/>
              </w:rPr>
              <w:t>Pyatt &amp; Ray, 2001)</w:t>
            </w:r>
            <w:r w:rsidRPr="00B865A6">
              <w:rPr>
                <w:rFonts w:ascii="Arial" w:hAnsi="Arial" w:cs="Arial"/>
                <w:sz w:val="20"/>
                <w:szCs w:val="20"/>
                <w:lang w:eastAsia="zh-CN"/>
              </w:rPr>
              <w:fldChar w:fldCharType="end"/>
            </w:r>
            <w:r w:rsidRPr="00B865A6">
              <w:rPr>
                <w:rFonts w:ascii="Arial" w:hAnsi="Arial" w:cs="Arial"/>
                <w:sz w:val="20"/>
                <w:szCs w:val="20"/>
                <w:lang w:eastAsia="zh-CN"/>
              </w:rPr>
              <w:t>.</w:t>
            </w:r>
          </w:p>
        </w:tc>
        <w:tc>
          <w:tcPr>
            <w:tcW w:w="2123" w:type="dxa"/>
          </w:tcPr>
          <w:p w14:paraId="602001E0" w14:textId="77777777" w:rsidR="00C83AD9" w:rsidRPr="00B865A6" w:rsidRDefault="0027380B" w:rsidP="003C795A">
            <w:pPr>
              <w:spacing w:line="480" w:lineRule="auto"/>
              <w:rPr>
                <w:rFonts w:ascii="Arial" w:hAnsi="Arial" w:cs="Arial"/>
                <w:sz w:val="20"/>
                <w:szCs w:val="20"/>
                <w:lang w:eastAsia="zh-CN"/>
              </w:rPr>
            </w:pPr>
            <w:r w:rsidRPr="00B865A6">
              <w:rPr>
                <w:rFonts w:ascii="Arial" w:hAnsi="Arial" w:cs="Arial"/>
                <w:sz w:val="20"/>
                <w:szCs w:val="20"/>
                <w:lang w:eastAsia="zh-CN"/>
              </w:rPr>
              <w:t>Average of ordinal variable</w:t>
            </w:r>
            <w:r w:rsidR="00C83AD9" w:rsidRPr="00B865A6">
              <w:rPr>
                <w:rFonts w:ascii="Arial" w:hAnsi="Arial" w:cs="Arial"/>
                <w:sz w:val="20"/>
                <w:szCs w:val="20"/>
                <w:lang w:eastAsia="zh-CN"/>
              </w:rPr>
              <w:t xml:space="preserve"> 0-22</w:t>
            </w:r>
            <w:r w:rsidRPr="00B865A6">
              <w:rPr>
                <w:rFonts w:ascii="Arial" w:hAnsi="Arial" w:cs="Arial"/>
                <w:sz w:val="20"/>
                <w:szCs w:val="20"/>
                <w:lang w:eastAsia="zh-CN"/>
              </w:rPr>
              <w:t>.88</w:t>
            </w:r>
          </w:p>
        </w:tc>
      </w:tr>
      <w:tr w:rsidR="00C83AD9" w:rsidRPr="00B865A6" w14:paraId="1CFB94A4" w14:textId="77777777" w:rsidTr="00D645B6">
        <w:trPr>
          <w:trHeight w:val="448"/>
          <w:jc w:val="center"/>
        </w:trPr>
        <w:tc>
          <w:tcPr>
            <w:tcW w:w="7511" w:type="dxa"/>
            <w:gridSpan w:val="3"/>
          </w:tcPr>
          <w:p w14:paraId="3ACB13F6"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b/>
                <w:i/>
                <w:sz w:val="20"/>
                <w:szCs w:val="20"/>
                <w:lang w:eastAsia="zh-CN"/>
              </w:rPr>
              <w:t>Landscape- scale drivers</w:t>
            </w:r>
          </w:p>
        </w:tc>
        <w:tc>
          <w:tcPr>
            <w:tcW w:w="2123" w:type="dxa"/>
          </w:tcPr>
          <w:p w14:paraId="1BC984E2" w14:textId="77777777" w:rsidR="00C83AD9" w:rsidRPr="00B865A6" w:rsidRDefault="00C83AD9" w:rsidP="004B105F">
            <w:pPr>
              <w:spacing w:line="480" w:lineRule="auto"/>
              <w:rPr>
                <w:rFonts w:ascii="Arial" w:hAnsi="Arial" w:cs="Arial"/>
                <w:b/>
                <w:i/>
                <w:sz w:val="20"/>
                <w:szCs w:val="20"/>
                <w:lang w:eastAsia="zh-CN"/>
              </w:rPr>
            </w:pPr>
          </w:p>
        </w:tc>
      </w:tr>
      <w:tr w:rsidR="00C83AD9" w:rsidRPr="00B865A6" w14:paraId="4AF93D0A" w14:textId="77777777" w:rsidTr="00D645B6">
        <w:trPr>
          <w:trHeight w:val="909"/>
          <w:jc w:val="center"/>
        </w:trPr>
        <w:tc>
          <w:tcPr>
            <w:tcW w:w="1817" w:type="dxa"/>
          </w:tcPr>
          <w:p w14:paraId="7A821671"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Forest cover</w:t>
            </w:r>
          </w:p>
        </w:tc>
        <w:tc>
          <w:tcPr>
            <w:tcW w:w="1253" w:type="dxa"/>
          </w:tcPr>
          <w:p w14:paraId="6BA3D619"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%FOREST</w:t>
            </w:r>
          </w:p>
        </w:tc>
        <w:tc>
          <w:tcPr>
            <w:tcW w:w="4441" w:type="dxa"/>
            <w:vMerge w:val="restart"/>
          </w:tcPr>
          <w:p w14:paraId="07597067" w14:textId="49116E17" w:rsidR="00C83AD9" w:rsidRPr="00B865A6" w:rsidRDefault="00C83AD9" w:rsidP="004B105F">
            <w:pPr>
              <w:spacing w:line="480" w:lineRule="auto"/>
              <w:rPr>
                <w:rFonts w:ascii="Arial" w:hAnsi="Arial" w:cs="Arial"/>
                <w:sz w:val="20"/>
                <w:szCs w:val="20"/>
              </w:rPr>
            </w:pPr>
            <w:r w:rsidRPr="00B865A6">
              <w:rPr>
                <w:rFonts w:ascii="Arial" w:hAnsi="Arial" w:cs="Arial"/>
                <w:sz w:val="20"/>
                <w:szCs w:val="20"/>
              </w:rPr>
              <w:t xml:space="preserve">Landscape metrics were calculated using 25-m resolution land cover raster for Britain, LCM2007 </w:t>
            </w:r>
            <w:r w:rsidRPr="00B865A6">
              <w:rPr>
                <w:rFonts w:ascii="Arial" w:hAnsi="Arial" w:cs="Arial"/>
                <w:sz w:val="20"/>
                <w:szCs w:val="20"/>
              </w:rPr>
              <w:fldChar w:fldCharType="begin" w:fldLock="1"/>
            </w:r>
            <w:r w:rsidR="00715A6C" w:rsidRPr="00B865A6">
              <w:rPr>
                <w:rFonts w:ascii="Arial" w:hAnsi="Arial" w:cs="Arial"/>
                <w:sz w:val="20"/>
                <w:szCs w:val="20"/>
              </w:rPr>
              <w:instrText>ADDIN CSL_CITATION {"citationItems":[{"id":"ITEM-1","itemData":{"author":[{"dropping-particle":"","family":"Morton","given":"R.D.","non-dropping-particle":"","parse-names":false,"suffix":""},{"dropping-particle":"","family":"Rowland","given":"C.S.","non-dropping-particle":"","parse-names":false,"suffix":""},{"dropping-particle":"","family":"Wood","given":"C.M.","non-dropping-particle":"","parse-names":false,"suffix":""},{"dropping-particle":"","family":"Meek","given":"L.","non-dropping-particle":"","parse-names":false,"suffix":""},{"dropping-particle":"","family":"Marston","given":"C.G.","non-dropping-particle":"","parse-names":false,"suffix":""},{"dropping-particle":"","family":"Smith","given":"G.M.","non-dropping-particle":"","parse-names":false,"suffix":""}],"id":"ITEM-1","issued":{"date-parts":[["2014"]]},"publisher":"NERC Environmental Information Data Centre","title":"Land Cover Map 2007 (25m raster, GB) v1.2.","type":"article"},"uris":["http://www.mendeley.com/documents/?uuid=e9ec0758-8ce7-4197-9449-32137e3982f7"]}],"mendeley":{"formattedCitation":"(Morton et al., 2014)","plainTextFormattedCitation":"(Morton et al., 2014)","previouslyFormattedCitation":"(Morton et al., 2014)"},"properties":{"noteIndex":0},"schema":"https://github.com/citation-style-language/schema/raw/master/csl-citation.json"}</w:instrText>
            </w:r>
            <w:r w:rsidRPr="00B865A6">
              <w:rPr>
                <w:rFonts w:ascii="Arial" w:hAnsi="Arial" w:cs="Arial"/>
                <w:sz w:val="20"/>
                <w:szCs w:val="20"/>
              </w:rPr>
              <w:fldChar w:fldCharType="separate"/>
            </w:r>
            <w:r w:rsidR="00770064" w:rsidRPr="00B865A6">
              <w:rPr>
                <w:rFonts w:ascii="Arial" w:hAnsi="Arial" w:cs="Arial"/>
                <w:noProof/>
                <w:sz w:val="20"/>
                <w:szCs w:val="20"/>
              </w:rPr>
              <w:t>(Morton et al., 2014)</w:t>
            </w:r>
            <w:r w:rsidRPr="00B865A6">
              <w:rPr>
                <w:rFonts w:ascii="Arial" w:hAnsi="Arial" w:cs="Arial"/>
                <w:sz w:val="20"/>
                <w:szCs w:val="20"/>
              </w:rPr>
              <w:fldChar w:fldCharType="end"/>
            </w:r>
            <w:r w:rsidRPr="00B865A6">
              <w:rPr>
                <w:rFonts w:ascii="Arial" w:hAnsi="Arial" w:cs="Arial"/>
                <w:sz w:val="20"/>
                <w:szCs w:val="20"/>
              </w:rPr>
              <w:t xml:space="preserve">, using R package SDMTools </w:t>
            </w:r>
            <w:r w:rsidRPr="00B865A6">
              <w:rPr>
                <w:rFonts w:ascii="Arial" w:hAnsi="Arial" w:cs="Arial"/>
                <w:sz w:val="20"/>
                <w:szCs w:val="20"/>
              </w:rPr>
              <w:fldChar w:fldCharType="begin" w:fldLock="1"/>
            </w:r>
            <w:r w:rsidR="00715A6C" w:rsidRPr="00B865A6">
              <w:rPr>
                <w:rFonts w:ascii="Arial" w:hAnsi="Arial" w:cs="Arial"/>
                <w:sz w:val="20"/>
                <w:szCs w:val="20"/>
              </w:rPr>
              <w:instrText>ADDIN CSL_CITATION {"citationItems":[{"id":"ITEM-1","itemData":{"author":[{"dropping-particle":"","family":"VanDerWal","given":"Jeremy","non-dropping-particle":"","parse-names":false,"suffix":""},{"dropping-particle":"","family":"Falconi","given":"Lorena","non-dropping-particle":"","parse-names":false,"suffix":""},{"dropping-particle":"","family":"Stephanie Januchowski","given":"Luke Shoo","non-dropping-particle":"","parse-names":false,"suffix":""},{"dropping-particle":"","family":"Storlie","given":"Collin","non-dropping-particle":"","parse-names":false,"suffix":""}],"id":"ITEM-1","issued":{"date-parts":[["2019"]]},"title":"SDMTools: Species Distribution Modelling Tools: Tools for processing data associated with species distribution modelling exercises","type":"article"},"uris":["http://www.mendeley.com/documents/?uuid=aaa8d8ed-0e4a-4f04-84a5-4aaeaddd487f"]}],"mendeley":{"formattedCitation":"(VanDerWal, Falconi, Stephanie Januchowski, &amp; Storlie, 2019)","plainTextFormattedCitation":"(VanDerWal, Falconi, Stephanie Januchowski, &amp; Storlie, 2019)","previouslyFormattedCitation":"(VanDerWal, Falconi, Stephanie Januchowski, &amp; Storlie, 2019)"},"properties":{"noteIndex":0},"schema":"https://github.com/citation-style-language/schema/raw/master/csl-citation.json"}</w:instrText>
            </w:r>
            <w:r w:rsidRPr="00B865A6">
              <w:rPr>
                <w:rFonts w:ascii="Arial" w:hAnsi="Arial" w:cs="Arial"/>
                <w:sz w:val="20"/>
                <w:szCs w:val="20"/>
              </w:rPr>
              <w:fldChar w:fldCharType="separate"/>
            </w:r>
            <w:r w:rsidR="00770064" w:rsidRPr="00B865A6">
              <w:rPr>
                <w:rFonts w:ascii="Arial" w:hAnsi="Arial" w:cs="Arial"/>
                <w:noProof/>
                <w:sz w:val="20"/>
                <w:szCs w:val="20"/>
              </w:rPr>
              <w:t>(VanDerWal, Falconi, Stephanie Januchowski, &amp; Storlie, 2019)</w:t>
            </w:r>
            <w:r w:rsidRPr="00B865A6">
              <w:rPr>
                <w:rFonts w:ascii="Arial" w:hAnsi="Arial" w:cs="Arial"/>
                <w:sz w:val="20"/>
                <w:szCs w:val="20"/>
              </w:rPr>
              <w:fldChar w:fldCharType="end"/>
            </w:r>
            <w:r w:rsidRPr="00B865A6">
              <w:rPr>
                <w:rFonts w:ascii="Arial" w:hAnsi="Arial" w:cs="Arial"/>
                <w:sz w:val="20"/>
                <w:szCs w:val="20"/>
              </w:rPr>
              <w:t>. Forest</w:t>
            </w:r>
            <w:r w:rsidR="0011310A" w:rsidRPr="00B865A6">
              <w:rPr>
                <w:rFonts w:ascii="Arial" w:hAnsi="Arial" w:cs="Arial"/>
                <w:sz w:val="20"/>
                <w:szCs w:val="20"/>
              </w:rPr>
              <w:t xml:space="preserve"> cover</w:t>
            </w:r>
            <w:r w:rsidRPr="00B865A6">
              <w:rPr>
                <w:rFonts w:ascii="Arial" w:hAnsi="Arial" w:cs="Arial"/>
                <w:sz w:val="20"/>
                <w:szCs w:val="20"/>
              </w:rPr>
              <w:t xml:space="preserve"> included broadleaved and coniferous forest. Open land classifications included ‘perennial’, ‘open land’, ‘arable’, and ‘open semi-natural’ (see text). Perennial cover included land cover identified as improved grassland, semi-natural grassland and heathland</w:t>
            </w:r>
            <w:r w:rsidR="0011310A" w:rsidRPr="00B865A6">
              <w:rPr>
                <w:rFonts w:ascii="Arial" w:hAnsi="Arial" w:cs="Arial"/>
                <w:sz w:val="20"/>
                <w:szCs w:val="20"/>
              </w:rPr>
              <w:t>.</w:t>
            </w:r>
          </w:p>
          <w:p w14:paraId="0D39C184" w14:textId="77777777" w:rsidR="00C83AD9" w:rsidRPr="00B865A6" w:rsidRDefault="00C83AD9" w:rsidP="004B105F">
            <w:pPr>
              <w:spacing w:line="480" w:lineRule="auto"/>
              <w:rPr>
                <w:rFonts w:ascii="Arial" w:hAnsi="Arial" w:cs="Arial"/>
                <w:sz w:val="20"/>
                <w:szCs w:val="20"/>
                <w:lang w:eastAsia="zh-CN"/>
              </w:rPr>
            </w:pPr>
          </w:p>
        </w:tc>
        <w:tc>
          <w:tcPr>
            <w:tcW w:w="2123" w:type="dxa"/>
          </w:tcPr>
          <w:p w14:paraId="7BC18ADD" w14:textId="77777777" w:rsidR="00C83AD9" w:rsidRPr="00B865A6" w:rsidRDefault="00C83AD9" w:rsidP="004B105F">
            <w:pPr>
              <w:spacing w:line="480" w:lineRule="auto"/>
              <w:rPr>
                <w:rFonts w:ascii="Arial" w:hAnsi="Arial" w:cs="Arial"/>
                <w:sz w:val="20"/>
                <w:szCs w:val="20"/>
              </w:rPr>
            </w:pPr>
            <w:r w:rsidRPr="00B865A6">
              <w:rPr>
                <w:rFonts w:ascii="Arial" w:hAnsi="Arial" w:cs="Arial"/>
                <w:sz w:val="20"/>
                <w:szCs w:val="20"/>
              </w:rPr>
              <w:t>% (0.00-100.00, within 500-m buffer)</w:t>
            </w:r>
          </w:p>
        </w:tc>
      </w:tr>
      <w:tr w:rsidR="00C83AD9" w:rsidRPr="00B865A6" w14:paraId="3F36D869" w14:textId="77777777" w:rsidTr="00D645B6">
        <w:trPr>
          <w:trHeight w:val="2256"/>
          <w:jc w:val="center"/>
        </w:trPr>
        <w:tc>
          <w:tcPr>
            <w:tcW w:w="1817" w:type="dxa"/>
          </w:tcPr>
          <w:p w14:paraId="56A7931B"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Open land cover</w:t>
            </w:r>
          </w:p>
        </w:tc>
        <w:tc>
          <w:tcPr>
            <w:tcW w:w="1253" w:type="dxa"/>
          </w:tcPr>
          <w:p w14:paraId="75C350EA"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%PER</w:t>
            </w:r>
          </w:p>
          <w:p w14:paraId="6104269A"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%OPEN</w:t>
            </w:r>
          </w:p>
          <w:p w14:paraId="7749DD0D"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%ARAB</w:t>
            </w:r>
          </w:p>
          <w:p w14:paraId="67B22645"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%SEMI</w:t>
            </w:r>
          </w:p>
        </w:tc>
        <w:tc>
          <w:tcPr>
            <w:tcW w:w="4441" w:type="dxa"/>
            <w:vMerge/>
          </w:tcPr>
          <w:p w14:paraId="38730A4C" w14:textId="77777777" w:rsidR="00C83AD9" w:rsidRPr="00B865A6" w:rsidRDefault="00C83AD9" w:rsidP="004B105F">
            <w:pPr>
              <w:spacing w:line="480" w:lineRule="auto"/>
              <w:rPr>
                <w:rFonts w:ascii="Arial" w:hAnsi="Arial" w:cs="Arial"/>
                <w:sz w:val="20"/>
                <w:szCs w:val="20"/>
                <w:lang w:eastAsia="zh-CN"/>
              </w:rPr>
            </w:pPr>
          </w:p>
        </w:tc>
        <w:tc>
          <w:tcPr>
            <w:tcW w:w="2123" w:type="dxa"/>
          </w:tcPr>
          <w:p w14:paraId="305EC84C"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%PER; % (0.54 – 96.38, within 2000-m buffer)</w:t>
            </w:r>
          </w:p>
        </w:tc>
      </w:tr>
      <w:tr w:rsidR="00C83AD9" w:rsidRPr="00B865A6" w14:paraId="7FCE1961" w14:textId="77777777" w:rsidTr="00D645B6">
        <w:trPr>
          <w:trHeight w:val="2268"/>
          <w:jc w:val="center"/>
        </w:trPr>
        <w:tc>
          <w:tcPr>
            <w:tcW w:w="1817" w:type="dxa"/>
          </w:tcPr>
          <w:p w14:paraId="361914F4"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lastRenderedPageBreak/>
              <w:t>Road density</w:t>
            </w:r>
          </w:p>
        </w:tc>
        <w:tc>
          <w:tcPr>
            <w:tcW w:w="1253" w:type="dxa"/>
          </w:tcPr>
          <w:p w14:paraId="7B45A230"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ROAD</w:t>
            </w:r>
          </w:p>
        </w:tc>
        <w:tc>
          <w:tcPr>
            <w:tcW w:w="4441" w:type="dxa"/>
          </w:tcPr>
          <w:p w14:paraId="396C0B91"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OS OpenRoads (</w:t>
            </w:r>
            <w:hyperlink r:id="rId18" w:history="1">
              <w:r w:rsidRPr="00B865A6">
                <w:rPr>
                  <w:rStyle w:val="Hyperlink"/>
                  <w:rFonts w:ascii="Arial" w:hAnsi="Arial" w:cs="Arial"/>
                  <w:sz w:val="20"/>
                  <w:szCs w:val="20"/>
                  <w:lang w:eastAsia="zh-CN"/>
                </w:rPr>
                <w:t>https://www.ordnancesurvey.co.uk/business-and-government/products/os-open-roads.html</w:t>
              </w:r>
            </w:hyperlink>
            <w:r w:rsidRPr="00B865A6">
              <w:rPr>
                <w:rFonts w:ascii="Arial" w:hAnsi="Arial" w:cs="Arial"/>
                <w:sz w:val="20"/>
                <w:szCs w:val="20"/>
                <w:lang w:eastAsia="zh-CN"/>
              </w:rPr>
              <w:t>). Measured using ArcGIS (www.esri.com, v10.2.2).</w:t>
            </w:r>
          </w:p>
          <w:p w14:paraId="01048489" w14:textId="77777777" w:rsidR="00C83AD9" w:rsidRPr="00B865A6" w:rsidRDefault="00C83AD9" w:rsidP="004B105F">
            <w:pPr>
              <w:spacing w:line="480" w:lineRule="auto"/>
              <w:rPr>
                <w:rFonts w:ascii="Arial" w:hAnsi="Arial" w:cs="Arial"/>
                <w:sz w:val="20"/>
                <w:szCs w:val="20"/>
                <w:lang w:eastAsia="zh-CN"/>
              </w:rPr>
            </w:pPr>
          </w:p>
        </w:tc>
        <w:tc>
          <w:tcPr>
            <w:tcW w:w="2123" w:type="dxa"/>
          </w:tcPr>
          <w:p w14:paraId="255D1A7E" w14:textId="7161DB9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Length in km per area</w:t>
            </w:r>
            <w:r w:rsidR="00B6328D" w:rsidRPr="00B865A6">
              <w:rPr>
                <w:rFonts w:ascii="Arial" w:hAnsi="Arial" w:cs="Arial"/>
                <w:sz w:val="20"/>
                <w:szCs w:val="20"/>
                <w:lang w:eastAsia="zh-CN"/>
              </w:rPr>
              <w:t xml:space="preserve"> </w:t>
            </w:r>
            <w:r w:rsidRPr="00B865A6">
              <w:rPr>
                <w:rFonts w:ascii="Arial" w:hAnsi="Arial" w:cs="Arial"/>
                <w:sz w:val="20"/>
                <w:szCs w:val="20"/>
                <w:lang w:eastAsia="zh-CN"/>
              </w:rPr>
              <w:t xml:space="preserve">(0.00-9.94), within a 250-m buffer) </w:t>
            </w:r>
          </w:p>
        </w:tc>
      </w:tr>
      <w:tr w:rsidR="00C83AD9" w:rsidRPr="00B865A6" w14:paraId="01FB1F13" w14:textId="77777777" w:rsidTr="00D645B6">
        <w:trPr>
          <w:trHeight w:val="448"/>
          <w:jc w:val="center"/>
        </w:trPr>
        <w:tc>
          <w:tcPr>
            <w:tcW w:w="7511" w:type="dxa"/>
            <w:gridSpan w:val="3"/>
          </w:tcPr>
          <w:p w14:paraId="20B0A021"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b/>
                <w:i/>
                <w:sz w:val="20"/>
                <w:szCs w:val="20"/>
                <w:lang w:eastAsia="zh-CN"/>
              </w:rPr>
              <w:t>Local- scale drivers</w:t>
            </w:r>
          </w:p>
        </w:tc>
        <w:tc>
          <w:tcPr>
            <w:tcW w:w="2123" w:type="dxa"/>
          </w:tcPr>
          <w:p w14:paraId="32FBD3DA" w14:textId="77777777" w:rsidR="00C83AD9" w:rsidRPr="00B865A6" w:rsidRDefault="00C83AD9" w:rsidP="004B105F">
            <w:pPr>
              <w:spacing w:line="480" w:lineRule="auto"/>
              <w:rPr>
                <w:rFonts w:ascii="Arial" w:hAnsi="Arial" w:cs="Arial"/>
                <w:b/>
                <w:i/>
                <w:sz w:val="20"/>
                <w:szCs w:val="20"/>
                <w:lang w:eastAsia="zh-CN"/>
              </w:rPr>
            </w:pPr>
          </w:p>
        </w:tc>
      </w:tr>
    </w:tbl>
    <w:tbl>
      <w:tblPr>
        <w:tblStyle w:val="TableGrid"/>
        <w:tblW w:w="9634" w:type="dxa"/>
        <w:jc w:val="center"/>
        <w:tblLayout w:type="fixed"/>
        <w:tblLook w:val="04A0" w:firstRow="1" w:lastRow="0" w:firstColumn="1" w:lastColumn="0" w:noHBand="0" w:noVBand="1"/>
      </w:tblPr>
      <w:tblGrid>
        <w:gridCol w:w="1817"/>
        <w:gridCol w:w="1253"/>
        <w:gridCol w:w="4441"/>
        <w:gridCol w:w="2123"/>
      </w:tblGrid>
      <w:tr w:rsidR="00C83AD9" w:rsidRPr="00B865A6" w14:paraId="2FAE1AF5" w14:textId="77777777" w:rsidTr="004B105F">
        <w:trPr>
          <w:trHeight w:val="2268"/>
          <w:jc w:val="center"/>
        </w:trPr>
        <w:tc>
          <w:tcPr>
            <w:tcW w:w="1817" w:type="dxa"/>
          </w:tcPr>
          <w:p w14:paraId="19E3DD51"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Forest type</w:t>
            </w:r>
          </w:p>
        </w:tc>
        <w:tc>
          <w:tcPr>
            <w:tcW w:w="1253" w:type="dxa"/>
          </w:tcPr>
          <w:p w14:paraId="55AE35DB"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 xml:space="preserve">FOREST </w:t>
            </w:r>
          </w:p>
        </w:tc>
        <w:tc>
          <w:tcPr>
            <w:tcW w:w="4441" w:type="dxa"/>
          </w:tcPr>
          <w:p w14:paraId="175503B4" w14:textId="30806861" w:rsidR="00C83AD9" w:rsidRPr="00B865A6" w:rsidRDefault="00C83AD9" w:rsidP="004B105F">
            <w:pPr>
              <w:spacing w:line="480" w:lineRule="auto"/>
              <w:rPr>
                <w:rFonts w:ascii="Arial" w:hAnsi="Arial" w:cs="Arial"/>
                <w:sz w:val="20"/>
                <w:szCs w:val="20"/>
              </w:rPr>
            </w:pPr>
            <w:r w:rsidRPr="00B865A6">
              <w:rPr>
                <w:rFonts w:ascii="Arial" w:hAnsi="Arial" w:cs="Arial"/>
                <w:sz w:val="20"/>
                <w:szCs w:val="20"/>
              </w:rPr>
              <w:t xml:space="preserve">NFI field survey. </w:t>
            </w:r>
            <w:r w:rsidR="00876CF5">
              <w:rPr>
                <w:rFonts w:ascii="Arial" w:hAnsi="Arial" w:cs="Arial"/>
                <w:sz w:val="20"/>
                <w:szCs w:val="20"/>
              </w:rPr>
              <w:t xml:space="preserve">Information on forest type and silvicultural system were combined. </w:t>
            </w:r>
            <w:r w:rsidRPr="00B865A6">
              <w:rPr>
                <w:rFonts w:ascii="Arial" w:hAnsi="Arial" w:cs="Arial"/>
                <w:sz w:val="20"/>
                <w:szCs w:val="20"/>
              </w:rPr>
              <w:t xml:space="preserve">Sites classified as ‘Young trees’ and ‘unknown’ </w:t>
            </w:r>
            <w:r w:rsidR="00876CF5">
              <w:rPr>
                <w:rFonts w:ascii="Arial" w:hAnsi="Arial" w:cs="Arial"/>
                <w:sz w:val="20"/>
                <w:szCs w:val="20"/>
              </w:rPr>
              <w:t xml:space="preserve">type </w:t>
            </w:r>
            <w:r w:rsidRPr="00B865A6">
              <w:rPr>
                <w:rFonts w:ascii="Arial" w:hAnsi="Arial" w:cs="Arial"/>
                <w:sz w:val="20"/>
                <w:szCs w:val="20"/>
              </w:rPr>
              <w:t xml:space="preserve">were removed due to ambiguity. </w:t>
            </w:r>
            <w:r w:rsidR="00704A4E">
              <w:rPr>
                <w:rFonts w:ascii="Arial" w:hAnsi="Arial" w:cs="Arial"/>
                <w:sz w:val="20"/>
                <w:szCs w:val="20"/>
              </w:rPr>
              <w:t>Stands under</w:t>
            </w:r>
            <w:r w:rsidR="00704A4E" w:rsidRPr="00B865A6">
              <w:rPr>
                <w:rFonts w:ascii="Arial" w:hAnsi="Arial" w:cs="Arial"/>
                <w:sz w:val="20"/>
                <w:szCs w:val="20"/>
              </w:rPr>
              <w:t xml:space="preserve"> even-aged silvicultural management </w:t>
            </w:r>
            <w:r w:rsidR="00704A4E">
              <w:rPr>
                <w:rFonts w:ascii="Arial" w:hAnsi="Arial" w:cs="Arial"/>
                <w:sz w:val="20"/>
                <w:szCs w:val="20"/>
              </w:rPr>
              <w:t xml:space="preserve">are classified as such, whilst </w:t>
            </w:r>
            <w:r w:rsidRPr="00B865A6">
              <w:rPr>
                <w:rFonts w:ascii="Arial" w:hAnsi="Arial" w:cs="Arial"/>
                <w:sz w:val="20"/>
                <w:szCs w:val="20"/>
              </w:rPr>
              <w:t>‘</w:t>
            </w:r>
            <w:r w:rsidR="00704A4E">
              <w:rPr>
                <w:rFonts w:ascii="Arial" w:hAnsi="Arial" w:cs="Arial"/>
                <w:sz w:val="20"/>
                <w:szCs w:val="20"/>
              </w:rPr>
              <w:t>u</w:t>
            </w:r>
            <w:r w:rsidRPr="00B865A6">
              <w:rPr>
                <w:rFonts w:ascii="Arial" w:hAnsi="Arial" w:cs="Arial"/>
                <w:sz w:val="20"/>
                <w:szCs w:val="20"/>
              </w:rPr>
              <w:t xml:space="preserve">nmanaged’ refers to sites with no obvious silvicultural system regime recorded. Sites </w:t>
            </w:r>
            <w:r w:rsidR="00704A4E">
              <w:rPr>
                <w:rFonts w:ascii="Arial" w:hAnsi="Arial" w:cs="Arial"/>
                <w:sz w:val="20"/>
                <w:szCs w:val="20"/>
              </w:rPr>
              <w:t xml:space="preserve">of any type </w:t>
            </w:r>
            <w:r w:rsidRPr="00B865A6">
              <w:rPr>
                <w:rFonts w:ascii="Arial" w:hAnsi="Arial" w:cs="Arial"/>
                <w:sz w:val="20"/>
                <w:szCs w:val="20"/>
              </w:rPr>
              <w:t>recorded as being managed under silvicultural systems other than coppice or even aged</w:t>
            </w:r>
            <w:r w:rsidR="000768EA">
              <w:rPr>
                <w:rFonts w:ascii="Arial" w:hAnsi="Arial" w:cs="Arial"/>
                <w:sz w:val="20"/>
                <w:szCs w:val="20"/>
              </w:rPr>
              <w:t xml:space="preserve"> (including mixed systems)</w:t>
            </w:r>
            <w:r w:rsidRPr="00B865A6">
              <w:rPr>
                <w:rFonts w:ascii="Arial" w:hAnsi="Arial" w:cs="Arial"/>
                <w:sz w:val="20"/>
                <w:szCs w:val="20"/>
              </w:rPr>
              <w:t xml:space="preserve"> were grouped to ‘other’ due to low sample sizes. </w:t>
            </w:r>
          </w:p>
        </w:tc>
        <w:tc>
          <w:tcPr>
            <w:tcW w:w="2123" w:type="dxa"/>
          </w:tcPr>
          <w:p w14:paraId="7E46769F" w14:textId="786E58B5" w:rsidR="000768EA" w:rsidRDefault="00704A4E" w:rsidP="004B105F">
            <w:pPr>
              <w:spacing w:line="480" w:lineRule="auto"/>
              <w:rPr>
                <w:rFonts w:ascii="Arial" w:hAnsi="Arial" w:cs="Arial"/>
                <w:sz w:val="20"/>
                <w:szCs w:val="20"/>
                <w:lang w:eastAsia="zh-CN"/>
              </w:rPr>
            </w:pPr>
            <w:r>
              <w:rPr>
                <w:rFonts w:ascii="Arial" w:hAnsi="Arial" w:cs="Arial"/>
                <w:sz w:val="20"/>
                <w:szCs w:val="20"/>
              </w:rPr>
              <w:t>R</w:t>
            </w:r>
            <w:r w:rsidR="00C83AD9" w:rsidRPr="00B865A6">
              <w:rPr>
                <w:rFonts w:ascii="Arial" w:hAnsi="Arial" w:cs="Arial"/>
                <w:sz w:val="20"/>
                <w:szCs w:val="20"/>
              </w:rPr>
              <w:t xml:space="preserve">esulting categories: </w:t>
            </w:r>
            <w:r w:rsidR="00C83AD9" w:rsidRPr="00B865A6">
              <w:rPr>
                <w:rFonts w:ascii="Arial" w:hAnsi="Arial" w:cs="Arial"/>
                <w:sz w:val="20"/>
                <w:szCs w:val="20"/>
                <w:lang w:eastAsia="zh-CN"/>
              </w:rPr>
              <w:t>broadleaved even aged</w:t>
            </w:r>
            <w:r w:rsidR="00876CF5">
              <w:rPr>
                <w:rFonts w:ascii="Arial" w:hAnsi="Arial" w:cs="Arial"/>
                <w:sz w:val="20"/>
                <w:szCs w:val="20"/>
                <w:lang w:eastAsia="zh-CN"/>
              </w:rPr>
              <w:t>;</w:t>
            </w:r>
            <w:r w:rsidR="00876CF5" w:rsidRPr="00B865A6">
              <w:rPr>
                <w:rFonts w:ascii="Arial" w:hAnsi="Arial" w:cs="Arial"/>
                <w:sz w:val="20"/>
                <w:szCs w:val="20"/>
                <w:lang w:eastAsia="zh-CN"/>
              </w:rPr>
              <w:t xml:space="preserve"> </w:t>
            </w:r>
            <w:r w:rsidR="00C83AD9" w:rsidRPr="00B865A6">
              <w:rPr>
                <w:rFonts w:ascii="Arial" w:hAnsi="Arial" w:cs="Arial"/>
                <w:sz w:val="20"/>
                <w:szCs w:val="20"/>
                <w:lang w:eastAsia="zh-CN"/>
              </w:rPr>
              <w:t>broadleaved unmanaged</w:t>
            </w:r>
            <w:r w:rsidR="00876CF5">
              <w:rPr>
                <w:rFonts w:ascii="Arial" w:hAnsi="Arial" w:cs="Arial"/>
                <w:sz w:val="20"/>
                <w:szCs w:val="20"/>
                <w:lang w:eastAsia="zh-CN"/>
              </w:rPr>
              <w:t>;</w:t>
            </w:r>
            <w:r w:rsidR="00876CF5" w:rsidRPr="00B865A6">
              <w:rPr>
                <w:rFonts w:ascii="Arial" w:hAnsi="Arial" w:cs="Arial"/>
                <w:sz w:val="20"/>
                <w:szCs w:val="20"/>
                <w:lang w:eastAsia="zh-CN"/>
              </w:rPr>
              <w:t xml:space="preserve"> </w:t>
            </w:r>
            <w:r w:rsidR="00C83AD9" w:rsidRPr="00B865A6">
              <w:rPr>
                <w:rFonts w:ascii="Arial" w:hAnsi="Arial" w:cs="Arial"/>
                <w:sz w:val="20"/>
                <w:szCs w:val="20"/>
                <w:lang w:eastAsia="zh-CN"/>
              </w:rPr>
              <w:t>broadleaved coppice</w:t>
            </w:r>
            <w:r w:rsidR="00876CF5">
              <w:rPr>
                <w:rFonts w:ascii="Arial" w:hAnsi="Arial" w:cs="Arial"/>
                <w:sz w:val="20"/>
                <w:szCs w:val="20"/>
                <w:lang w:eastAsia="zh-CN"/>
              </w:rPr>
              <w:t>;</w:t>
            </w:r>
            <w:r w:rsidR="00876CF5" w:rsidRPr="00B865A6">
              <w:rPr>
                <w:rFonts w:ascii="Arial" w:hAnsi="Arial" w:cs="Arial"/>
                <w:sz w:val="20"/>
                <w:szCs w:val="20"/>
                <w:lang w:eastAsia="zh-CN"/>
              </w:rPr>
              <w:t xml:space="preserve"> </w:t>
            </w:r>
            <w:r w:rsidR="00C83AD9" w:rsidRPr="00B865A6">
              <w:rPr>
                <w:rFonts w:ascii="Arial" w:hAnsi="Arial" w:cs="Arial"/>
                <w:sz w:val="20"/>
                <w:szCs w:val="20"/>
                <w:lang w:eastAsia="zh-CN"/>
              </w:rPr>
              <w:t>coniferous even aged</w:t>
            </w:r>
            <w:r w:rsidR="00876CF5">
              <w:rPr>
                <w:rFonts w:ascii="Arial" w:hAnsi="Arial" w:cs="Arial"/>
                <w:sz w:val="20"/>
                <w:szCs w:val="20"/>
                <w:lang w:eastAsia="zh-CN"/>
              </w:rPr>
              <w:t>;</w:t>
            </w:r>
            <w:r w:rsidR="00876CF5" w:rsidRPr="00B865A6">
              <w:rPr>
                <w:rFonts w:ascii="Arial" w:hAnsi="Arial" w:cs="Arial"/>
                <w:sz w:val="20"/>
                <w:szCs w:val="20"/>
                <w:lang w:eastAsia="zh-CN"/>
              </w:rPr>
              <w:t xml:space="preserve"> </w:t>
            </w:r>
            <w:r w:rsidR="00C83AD9" w:rsidRPr="00B865A6">
              <w:rPr>
                <w:rFonts w:ascii="Arial" w:hAnsi="Arial" w:cs="Arial"/>
                <w:sz w:val="20"/>
                <w:szCs w:val="20"/>
                <w:lang w:eastAsia="zh-CN"/>
              </w:rPr>
              <w:t>coniferous unmanaged</w:t>
            </w:r>
            <w:r w:rsidR="00876CF5">
              <w:rPr>
                <w:rFonts w:ascii="Arial" w:hAnsi="Arial" w:cs="Arial"/>
                <w:sz w:val="20"/>
                <w:szCs w:val="20"/>
                <w:lang w:eastAsia="zh-CN"/>
              </w:rPr>
              <w:t>;</w:t>
            </w:r>
            <w:r w:rsidR="00876CF5" w:rsidRPr="00B865A6">
              <w:rPr>
                <w:rFonts w:ascii="Arial" w:hAnsi="Arial" w:cs="Arial"/>
                <w:sz w:val="20"/>
                <w:szCs w:val="20"/>
                <w:lang w:eastAsia="zh-CN"/>
              </w:rPr>
              <w:t xml:space="preserve"> </w:t>
            </w:r>
            <w:r w:rsidR="00C83AD9" w:rsidRPr="00B865A6">
              <w:rPr>
                <w:rFonts w:ascii="Arial" w:hAnsi="Arial" w:cs="Arial"/>
                <w:sz w:val="20"/>
                <w:szCs w:val="20"/>
                <w:lang w:eastAsia="zh-CN"/>
              </w:rPr>
              <w:t>mixed even aged</w:t>
            </w:r>
            <w:r w:rsidR="00876CF5">
              <w:rPr>
                <w:rFonts w:ascii="Arial" w:hAnsi="Arial" w:cs="Arial"/>
                <w:sz w:val="20"/>
                <w:szCs w:val="20"/>
                <w:lang w:eastAsia="zh-CN"/>
              </w:rPr>
              <w:t>;</w:t>
            </w:r>
            <w:r w:rsidR="00876CF5" w:rsidRPr="00B865A6">
              <w:rPr>
                <w:rFonts w:ascii="Arial" w:hAnsi="Arial" w:cs="Arial"/>
                <w:sz w:val="20"/>
                <w:szCs w:val="20"/>
                <w:lang w:eastAsia="zh-CN"/>
              </w:rPr>
              <w:t xml:space="preserve"> </w:t>
            </w:r>
            <w:r w:rsidR="00C83AD9" w:rsidRPr="00B865A6">
              <w:rPr>
                <w:rFonts w:ascii="Arial" w:hAnsi="Arial" w:cs="Arial"/>
                <w:sz w:val="20"/>
                <w:szCs w:val="20"/>
                <w:lang w:eastAsia="zh-CN"/>
              </w:rPr>
              <w:t>mixed unmanaged</w:t>
            </w:r>
            <w:r w:rsidR="00876CF5">
              <w:rPr>
                <w:rFonts w:ascii="Arial" w:hAnsi="Arial" w:cs="Arial"/>
                <w:sz w:val="20"/>
                <w:szCs w:val="20"/>
                <w:lang w:eastAsia="zh-CN"/>
              </w:rPr>
              <w:t xml:space="preserve">; </w:t>
            </w:r>
            <w:r w:rsidR="006D788E" w:rsidRPr="00B865A6">
              <w:rPr>
                <w:rFonts w:ascii="Arial" w:hAnsi="Arial" w:cs="Arial"/>
                <w:sz w:val="20"/>
                <w:szCs w:val="20"/>
                <w:lang w:eastAsia="zh-CN"/>
              </w:rPr>
              <w:t xml:space="preserve">other </w:t>
            </w:r>
          </w:p>
          <w:p w14:paraId="337BCE82" w14:textId="08D2A648"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w:t>
            </w:r>
          </w:p>
        </w:tc>
      </w:tr>
    </w:tbl>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1253"/>
        <w:gridCol w:w="4441"/>
        <w:gridCol w:w="2123"/>
      </w:tblGrid>
      <w:tr w:rsidR="00C83AD9" w:rsidRPr="00B865A6" w14:paraId="31E61EDC" w14:textId="77777777" w:rsidTr="0011310A">
        <w:trPr>
          <w:trHeight w:val="897"/>
          <w:jc w:val="center"/>
        </w:trPr>
        <w:tc>
          <w:tcPr>
            <w:tcW w:w="1817" w:type="dxa"/>
          </w:tcPr>
          <w:p w14:paraId="454CF8A7"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Tree volume</w:t>
            </w:r>
          </w:p>
        </w:tc>
        <w:tc>
          <w:tcPr>
            <w:tcW w:w="1253" w:type="dxa"/>
          </w:tcPr>
          <w:p w14:paraId="34EBFBBB"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TREEVOL</w:t>
            </w:r>
          </w:p>
        </w:tc>
        <w:tc>
          <w:tcPr>
            <w:tcW w:w="4441" w:type="dxa"/>
          </w:tcPr>
          <w:p w14:paraId="5C24FF56" w14:textId="77777777" w:rsidR="00C83AD9" w:rsidRPr="00B865A6" w:rsidRDefault="00C83AD9" w:rsidP="004B105F">
            <w:pPr>
              <w:spacing w:line="480" w:lineRule="auto"/>
              <w:rPr>
                <w:rFonts w:ascii="Arial" w:hAnsi="Arial" w:cs="Arial"/>
                <w:sz w:val="20"/>
                <w:szCs w:val="20"/>
              </w:rPr>
            </w:pPr>
            <w:r w:rsidRPr="00B865A6">
              <w:rPr>
                <w:rFonts w:ascii="Arial" w:hAnsi="Arial" w:cs="Arial"/>
                <w:sz w:val="20"/>
                <w:szCs w:val="20"/>
                <w:lang w:eastAsia="zh-CN"/>
              </w:rPr>
              <w:t xml:space="preserve">NFI field survey. The </w:t>
            </w:r>
            <w:r w:rsidRPr="00B865A6">
              <w:rPr>
                <w:rFonts w:ascii="Arial" w:hAnsi="Arial" w:cs="Arial"/>
                <w:sz w:val="20"/>
                <w:szCs w:val="20"/>
              </w:rPr>
              <w:t xml:space="preserve">estimated standing volume of trees per hectare within a section. </w:t>
            </w:r>
          </w:p>
        </w:tc>
        <w:tc>
          <w:tcPr>
            <w:tcW w:w="2123" w:type="dxa"/>
          </w:tcPr>
          <w:p w14:paraId="12646E3F" w14:textId="2F4C321E"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rPr>
              <w:t>m</w:t>
            </w:r>
            <w:r w:rsidRPr="00B865A6">
              <w:rPr>
                <w:rFonts w:ascii="Arial" w:hAnsi="Arial" w:cs="Arial"/>
                <w:sz w:val="20"/>
                <w:szCs w:val="20"/>
                <w:vertAlign w:val="superscript"/>
              </w:rPr>
              <w:t>3</w:t>
            </w:r>
            <w:r w:rsidRPr="00B865A6">
              <w:rPr>
                <w:rFonts w:ascii="Arial" w:hAnsi="Arial" w:cs="Arial"/>
                <w:sz w:val="20"/>
                <w:szCs w:val="20"/>
              </w:rPr>
              <w:t>ha</w:t>
            </w:r>
            <w:r w:rsidRPr="00B865A6">
              <w:rPr>
                <w:rFonts w:ascii="Arial" w:hAnsi="Arial" w:cs="Arial"/>
                <w:sz w:val="20"/>
                <w:szCs w:val="20"/>
                <w:vertAlign w:val="superscript"/>
              </w:rPr>
              <w:t>-1</w:t>
            </w:r>
            <w:r w:rsidRPr="00B865A6">
              <w:rPr>
                <w:rFonts w:ascii="Arial" w:hAnsi="Arial" w:cs="Arial"/>
                <w:sz w:val="20"/>
                <w:szCs w:val="20"/>
              </w:rPr>
              <w:t xml:space="preserve"> (1</w:t>
            </w:r>
            <w:r w:rsidR="00876CF5">
              <w:rPr>
                <w:rFonts w:ascii="Arial" w:hAnsi="Arial" w:cs="Arial"/>
                <w:sz w:val="20"/>
                <w:szCs w:val="20"/>
              </w:rPr>
              <w:t>.00</w:t>
            </w:r>
            <w:r w:rsidRPr="00B865A6">
              <w:rPr>
                <w:rFonts w:ascii="Arial" w:hAnsi="Arial" w:cs="Arial"/>
                <w:sz w:val="20"/>
                <w:szCs w:val="20"/>
              </w:rPr>
              <w:t>-1195</w:t>
            </w:r>
            <w:r w:rsidR="00876CF5">
              <w:rPr>
                <w:rFonts w:ascii="Arial" w:hAnsi="Arial" w:cs="Arial"/>
                <w:sz w:val="20"/>
                <w:szCs w:val="20"/>
              </w:rPr>
              <w:t>.00</w:t>
            </w:r>
            <w:r w:rsidRPr="00B865A6">
              <w:rPr>
                <w:rFonts w:ascii="Arial" w:hAnsi="Arial" w:cs="Arial"/>
                <w:sz w:val="20"/>
                <w:szCs w:val="20"/>
              </w:rPr>
              <w:t>)</w:t>
            </w:r>
          </w:p>
        </w:tc>
      </w:tr>
      <w:tr w:rsidR="00C83AD9" w:rsidRPr="00B865A6" w14:paraId="0AEC5791" w14:textId="77777777" w:rsidTr="0011310A">
        <w:trPr>
          <w:trHeight w:val="909"/>
          <w:jc w:val="center"/>
        </w:trPr>
        <w:tc>
          <w:tcPr>
            <w:tcW w:w="1817" w:type="dxa"/>
          </w:tcPr>
          <w:p w14:paraId="643AABB2"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Tree density</w:t>
            </w:r>
          </w:p>
        </w:tc>
        <w:tc>
          <w:tcPr>
            <w:tcW w:w="1253" w:type="dxa"/>
          </w:tcPr>
          <w:p w14:paraId="39D9BA55"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TREEDENS</w:t>
            </w:r>
          </w:p>
        </w:tc>
        <w:tc>
          <w:tcPr>
            <w:tcW w:w="4441" w:type="dxa"/>
          </w:tcPr>
          <w:p w14:paraId="70CE3394"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 xml:space="preserve">NFI field survey. The </w:t>
            </w:r>
            <w:r w:rsidRPr="00B865A6">
              <w:rPr>
                <w:rFonts w:ascii="Arial" w:hAnsi="Arial" w:cs="Arial"/>
                <w:sz w:val="20"/>
                <w:szCs w:val="20"/>
              </w:rPr>
              <w:t xml:space="preserve">estimated total number of tree stems per hectare within a section. </w:t>
            </w:r>
          </w:p>
        </w:tc>
        <w:tc>
          <w:tcPr>
            <w:tcW w:w="2123" w:type="dxa"/>
          </w:tcPr>
          <w:p w14:paraId="319DB9C4"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Number of stems ha</w:t>
            </w:r>
            <w:r w:rsidRPr="00B865A6">
              <w:rPr>
                <w:rFonts w:ascii="Arial" w:hAnsi="Arial" w:cs="Arial"/>
                <w:sz w:val="20"/>
                <w:szCs w:val="20"/>
                <w:vertAlign w:val="superscript"/>
                <w:lang w:eastAsia="zh-CN"/>
              </w:rPr>
              <w:t xml:space="preserve">-1 </w:t>
            </w:r>
            <w:r w:rsidRPr="00B865A6">
              <w:rPr>
                <w:rFonts w:ascii="Arial" w:hAnsi="Arial" w:cs="Arial"/>
                <w:sz w:val="20"/>
                <w:szCs w:val="20"/>
                <w:lang w:eastAsia="zh-CN"/>
              </w:rPr>
              <w:t>(8.88-5964.70)</w:t>
            </w:r>
          </w:p>
        </w:tc>
      </w:tr>
      <w:tr w:rsidR="00C83AD9" w:rsidRPr="00B865A6" w14:paraId="59B18141" w14:textId="77777777" w:rsidTr="0011310A">
        <w:trPr>
          <w:trHeight w:val="448"/>
          <w:jc w:val="center"/>
        </w:trPr>
        <w:tc>
          <w:tcPr>
            <w:tcW w:w="1817" w:type="dxa"/>
          </w:tcPr>
          <w:p w14:paraId="27E81478" w14:textId="10E235F7" w:rsidR="00C83AD9" w:rsidRPr="00B865A6" w:rsidRDefault="00F25E88" w:rsidP="004B105F">
            <w:pPr>
              <w:spacing w:line="480" w:lineRule="auto"/>
              <w:rPr>
                <w:rFonts w:ascii="Arial" w:hAnsi="Arial" w:cs="Arial"/>
                <w:sz w:val="20"/>
                <w:szCs w:val="20"/>
                <w:lang w:eastAsia="zh-CN"/>
              </w:rPr>
            </w:pPr>
            <w:r>
              <w:rPr>
                <w:rFonts w:ascii="Arial" w:hAnsi="Arial" w:cs="Arial"/>
                <w:sz w:val="20"/>
                <w:szCs w:val="20"/>
                <w:lang w:eastAsia="zh-CN"/>
              </w:rPr>
              <w:t>Forest</w:t>
            </w:r>
            <w:r w:rsidRPr="00B865A6">
              <w:rPr>
                <w:rFonts w:ascii="Arial" w:hAnsi="Arial" w:cs="Arial"/>
                <w:sz w:val="20"/>
                <w:szCs w:val="20"/>
                <w:lang w:eastAsia="zh-CN"/>
              </w:rPr>
              <w:t xml:space="preserve"> </w:t>
            </w:r>
            <w:r w:rsidR="00C83AD9" w:rsidRPr="00B865A6">
              <w:rPr>
                <w:rFonts w:ascii="Arial" w:hAnsi="Arial" w:cs="Arial"/>
                <w:sz w:val="20"/>
                <w:szCs w:val="20"/>
                <w:lang w:eastAsia="zh-CN"/>
              </w:rPr>
              <w:t>size</w:t>
            </w:r>
          </w:p>
        </w:tc>
        <w:tc>
          <w:tcPr>
            <w:tcW w:w="1253" w:type="dxa"/>
          </w:tcPr>
          <w:p w14:paraId="0D65FB51"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WOODSIZE</w:t>
            </w:r>
          </w:p>
        </w:tc>
        <w:tc>
          <w:tcPr>
            <w:tcW w:w="4441" w:type="dxa"/>
            <w:vMerge w:val="restart"/>
          </w:tcPr>
          <w:p w14:paraId="1C66FCFD" w14:textId="5617050F"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rPr>
              <w:t>Derived using 2016 Forestry Commission NFI Map (vector) for Great Britain (</w:t>
            </w:r>
            <w:hyperlink r:id="rId19" w:history="1">
              <w:r w:rsidRPr="00B865A6">
                <w:rPr>
                  <w:rStyle w:val="Hyperlink"/>
                  <w:rFonts w:ascii="Arial" w:hAnsi="Arial" w:cs="Arial"/>
                  <w:sz w:val="20"/>
                  <w:szCs w:val="20"/>
                </w:rPr>
                <w:t>http://data-</w:t>
              </w:r>
              <w:r w:rsidRPr="00B865A6">
                <w:rPr>
                  <w:rStyle w:val="Hyperlink"/>
                  <w:rFonts w:ascii="Arial" w:hAnsi="Arial" w:cs="Arial"/>
                  <w:sz w:val="20"/>
                  <w:szCs w:val="20"/>
                </w:rPr>
                <w:lastRenderedPageBreak/>
                <w:t>forestry.opendata.arcgis.com/datasets/national-forest-inventory-woodland-gb</w:t>
              </w:r>
            </w:hyperlink>
            <w:r w:rsidRPr="00B865A6">
              <w:rPr>
                <w:rFonts w:ascii="Arial" w:hAnsi="Arial" w:cs="Arial"/>
                <w:sz w:val="20"/>
                <w:szCs w:val="20"/>
              </w:rPr>
              <w:t xml:space="preserve">). Measured </w:t>
            </w:r>
            <w:r w:rsidR="00876CF5">
              <w:rPr>
                <w:rFonts w:ascii="Arial" w:hAnsi="Arial" w:cs="Arial"/>
                <w:sz w:val="20"/>
                <w:szCs w:val="20"/>
              </w:rPr>
              <w:t xml:space="preserve">from stand (NFI ‘section’) centroid to edge </w:t>
            </w:r>
            <w:r w:rsidRPr="00B865A6">
              <w:rPr>
                <w:rFonts w:ascii="Arial" w:hAnsi="Arial" w:cs="Arial"/>
                <w:sz w:val="20"/>
                <w:szCs w:val="20"/>
              </w:rPr>
              <w:t>using ArcGIS (</w:t>
            </w:r>
            <w:hyperlink r:id="rId20" w:history="1">
              <w:r w:rsidRPr="00B865A6">
                <w:rPr>
                  <w:rStyle w:val="Hyperlink"/>
                  <w:rFonts w:ascii="Arial" w:hAnsi="Arial" w:cs="Arial"/>
                  <w:sz w:val="20"/>
                  <w:szCs w:val="20"/>
                </w:rPr>
                <w:t>www.esri.com</w:t>
              </w:r>
            </w:hyperlink>
            <w:r w:rsidRPr="00B865A6">
              <w:rPr>
                <w:rFonts w:ascii="Arial" w:hAnsi="Arial" w:cs="Arial"/>
                <w:sz w:val="20"/>
                <w:szCs w:val="20"/>
              </w:rPr>
              <w:t>, v10.2.2).</w:t>
            </w:r>
          </w:p>
        </w:tc>
        <w:tc>
          <w:tcPr>
            <w:tcW w:w="2123" w:type="dxa"/>
          </w:tcPr>
          <w:p w14:paraId="36042FFB" w14:textId="335144E6" w:rsidR="00C83AD9" w:rsidRPr="00B865A6" w:rsidRDefault="00C83AD9" w:rsidP="004B105F">
            <w:pPr>
              <w:spacing w:line="480" w:lineRule="auto"/>
              <w:rPr>
                <w:rFonts w:ascii="Arial" w:hAnsi="Arial" w:cs="Arial"/>
                <w:sz w:val="20"/>
                <w:szCs w:val="20"/>
              </w:rPr>
            </w:pPr>
            <w:r w:rsidRPr="00B865A6">
              <w:rPr>
                <w:rFonts w:ascii="Arial" w:hAnsi="Arial" w:cs="Arial"/>
                <w:sz w:val="20"/>
                <w:szCs w:val="20"/>
              </w:rPr>
              <w:lastRenderedPageBreak/>
              <w:t>m</w:t>
            </w:r>
            <w:r w:rsidRPr="00B865A6">
              <w:rPr>
                <w:rFonts w:ascii="Arial" w:hAnsi="Arial"/>
                <w:sz w:val="20"/>
                <w:vertAlign w:val="superscript"/>
              </w:rPr>
              <w:t>2</w:t>
            </w:r>
            <w:r w:rsidRPr="00B865A6">
              <w:rPr>
                <w:rFonts w:ascii="Arial" w:hAnsi="Arial" w:cs="Arial"/>
                <w:sz w:val="20"/>
                <w:szCs w:val="20"/>
              </w:rPr>
              <w:t xml:space="preserve"> (</w:t>
            </w:r>
            <w:r w:rsidR="00311C35" w:rsidRPr="00B865A6">
              <w:rPr>
                <w:rFonts w:ascii="Arial" w:hAnsi="Arial" w:cs="Arial"/>
                <w:sz w:val="20"/>
                <w:szCs w:val="20"/>
              </w:rPr>
              <w:t>10-20132</w:t>
            </w:r>
            <w:r w:rsidRPr="00B865A6">
              <w:rPr>
                <w:rFonts w:ascii="Arial" w:hAnsi="Arial" w:cs="Arial"/>
                <w:sz w:val="20"/>
                <w:szCs w:val="20"/>
              </w:rPr>
              <w:t>)</w:t>
            </w:r>
          </w:p>
        </w:tc>
      </w:tr>
      <w:tr w:rsidR="00C83AD9" w:rsidRPr="00B865A6" w14:paraId="076C9082" w14:textId="77777777" w:rsidTr="0011310A">
        <w:trPr>
          <w:trHeight w:val="1795"/>
          <w:jc w:val="center"/>
        </w:trPr>
        <w:tc>
          <w:tcPr>
            <w:tcW w:w="1817" w:type="dxa"/>
          </w:tcPr>
          <w:p w14:paraId="09B888FC"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lastRenderedPageBreak/>
              <w:t>Distance to woodland edge</w:t>
            </w:r>
          </w:p>
        </w:tc>
        <w:tc>
          <w:tcPr>
            <w:tcW w:w="1253" w:type="dxa"/>
          </w:tcPr>
          <w:p w14:paraId="076BF462"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DISEDGE</w:t>
            </w:r>
          </w:p>
        </w:tc>
        <w:tc>
          <w:tcPr>
            <w:tcW w:w="4441" w:type="dxa"/>
            <w:vMerge/>
          </w:tcPr>
          <w:p w14:paraId="538AF5FE" w14:textId="77777777" w:rsidR="00C83AD9" w:rsidRPr="00B865A6" w:rsidRDefault="00C83AD9" w:rsidP="004B105F">
            <w:pPr>
              <w:spacing w:line="480" w:lineRule="auto"/>
              <w:rPr>
                <w:rFonts w:ascii="Arial" w:hAnsi="Arial" w:cs="Arial"/>
                <w:sz w:val="20"/>
                <w:szCs w:val="20"/>
                <w:lang w:eastAsia="zh-CN"/>
              </w:rPr>
            </w:pPr>
          </w:p>
        </w:tc>
        <w:tc>
          <w:tcPr>
            <w:tcW w:w="2123" w:type="dxa"/>
          </w:tcPr>
          <w:p w14:paraId="150BF96D" w14:textId="47E12E9F"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m (0.00-150</w:t>
            </w:r>
            <w:r w:rsidR="00311C35" w:rsidRPr="00B865A6">
              <w:rPr>
                <w:rFonts w:ascii="Arial" w:hAnsi="Arial" w:cs="Arial"/>
                <w:sz w:val="20"/>
                <w:szCs w:val="20"/>
                <w:lang w:eastAsia="zh-CN"/>
              </w:rPr>
              <w:t>.00</w:t>
            </w:r>
            <w:r w:rsidRPr="00B865A6">
              <w:rPr>
                <w:rFonts w:ascii="Arial" w:hAnsi="Arial" w:cs="Arial"/>
                <w:sz w:val="20"/>
                <w:szCs w:val="20"/>
                <w:lang w:eastAsia="zh-CN"/>
              </w:rPr>
              <w:t>)</w:t>
            </w:r>
          </w:p>
        </w:tc>
      </w:tr>
      <w:tr w:rsidR="00C83AD9" w:rsidRPr="00B865A6" w14:paraId="6DD75578" w14:textId="77777777" w:rsidTr="0011310A">
        <w:trPr>
          <w:trHeight w:val="448"/>
          <w:jc w:val="center"/>
        </w:trPr>
        <w:tc>
          <w:tcPr>
            <w:tcW w:w="1817" w:type="dxa"/>
          </w:tcPr>
          <w:p w14:paraId="6AF090C2"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Tree age diversity</w:t>
            </w:r>
          </w:p>
        </w:tc>
        <w:tc>
          <w:tcPr>
            <w:tcW w:w="1253" w:type="dxa"/>
          </w:tcPr>
          <w:p w14:paraId="29EE51E6"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AGEDIV</w:t>
            </w:r>
          </w:p>
        </w:tc>
        <w:tc>
          <w:tcPr>
            <w:tcW w:w="4441" w:type="dxa"/>
          </w:tcPr>
          <w:p w14:paraId="36C89BED"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Range between the youngest and oldest trees recorded.</w:t>
            </w:r>
          </w:p>
        </w:tc>
        <w:tc>
          <w:tcPr>
            <w:tcW w:w="2123" w:type="dxa"/>
          </w:tcPr>
          <w:p w14:paraId="4912B5DA" w14:textId="01B85CCB" w:rsidR="00C83AD9" w:rsidRPr="00B865A6" w:rsidRDefault="00C83AD9" w:rsidP="00B122E4">
            <w:pPr>
              <w:spacing w:line="480" w:lineRule="auto"/>
              <w:rPr>
                <w:rFonts w:ascii="Arial" w:hAnsi="Arial" w:cs="Arial"/>
                <w:sz w:val="20"/>
                <w:szCs w:val="20"/>
                <w:lang w:eastAsia="zh-CN"/>
              </w:rPr>
            </w:pPr>
            <w:r w:rsidRPr="00B865A6">
              <w:rPr>
                <w:rFonts w:ascii="Arial" w:hAnsi="Arial" w:cs="Arial"/>
                <w:sz w:val="20"/>
                <w:szCs w:val="20"/>
                <w:lang w:eastAsia="zh-CN"/>
              </w:rPr>
              <w:t>years (0</w:t>
            </w:r>
            <w:r w:rsidR="00876CF5">
              <w:rPr>
                <w:rFonts w:ascii="Arial" w:hAnsi="Arial" w:cs="Arial"/>
                <w:sz w:val="20"/>
                <w:szCs w:val="20"/>
                <w:lang w:eastAsia="zh-CN"/>
              </w:rPr>
              <w:t>.00</w:t>
            </w:r>
            <w:r w:rsidRPr="00B865A6">
              <w:rPr>
                <w:rFonts w:ascii="Arial" w:hAnsi="Arial" w:cs="Arial"/>
                <w:sz w:val="20"/>
                <w:szCs w:val="20"/>
                <w:lang w:eastAsia="zh-CN"/>
              </w:rPr>
              <w:t>-</w:t>
            </w:r>
            <w:r w:rsidR="00B122E4" w:rsidRPr="00B865A6">
              <w:rPr>
                <w:rFonts w:ascii="Arial" w:hAnsi="Arial" w:cs="Arial"/>
                <w:sz w:val="20"/>
                <w:szCs w:val="20"/>
                <w:lang w:eastAsia="zh-CN"/>
              </w:rPr>
              <w:t>200</w:t>
            </w:r>
            <w:r w:rsidR="00876CF5">
              <w:rPr>
                <w:rFonts w:ascii="Arial" w:hAnsi="Arial" w:cs="Arial"/>
                <w:sz w:val="20"/>
                <w:szCs w:val="20"/>
                <w:lang w:eastAsia="zh-CN"/>
              </w:rPr>
              <w:t>.00</w:t>
            </w:r>
            <w:r w:rsidRPr="00B865A6">
              <w:rPr>
                <w:rFonts w:ascii="Arial" w:hAnsi="Arial" w:cs="Arial"/>
                <w:sz w:val="20"/>
                <w:szCs w:val="20"/>
                <w:lang w:eastAsia="zh-CN"/>
              </w:rPr>
              <w:t>)</w:t>
            </w:r>
          </w:p>
        </w:tc>
      </w:tr>
      <w:tr w:rsidR="00C83AD9" w:rsidRPr="00B865A6" w14:paraId="38C4A81B" w14:textId="77777777" w:rsidTr="0011310A">
        <w:trPr>
          <w:trHeight w:val="1807"/>
          <w:jc w:val="center"/>
        </w:trPr>
        <w:tc>
          <w:tcPr>
            <w:tcW w:w="1817" w:type="dxa"/>
          </w:tcPr>
          <w:p w14:paraId="78F6BE4C"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Slope</w:t>
            </w:r>
          </w:p>
        </w:tc>
        <w:tc>
          <w:tcPr>
            <w:tcW w:w="1253" w:type="dxa"/>
          </w:tcPr>
          <w:p w14:paraId="2CEF646B"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SLOPE</w:t>
            </w:r>
          </w:p>
        </w:tc>
        <w:tc>
          <w:tcPr>
            <w:tcW w:w="4441" w:type="dxa"/>
          </w:tcPr>
          <w:p w14:paraId="76EC2B9E" w14:textId="77777777"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 xml:space="preserve">The slope of the section centroid derived from </w:t>
            </w:r>
            <w:r w:rsidRPr="00B865A6">
              <w:rPr>
                <w:rFonts w:ascii="Arial" w:hAnsi="Arial" w:cs="Arial"/>
                <w:sz w:val="20"/>
                <w:szCs w:val="20"/>
              </w:rPr>
              <w:t>OS Terrain 50 at a 50-m resolution (</w:t>
            </w:r>
            <w:hyperlink r:id="rId21" w:history="1">
              <w:r w:rsidRPr="00B865A6">
                <w:rPr>
                  <w:rStyle w:val="Hyperlink"/>
                  <w:rFonts w:ascii="Arial" w:hAnsi="Arial" w:cs="Arial"/>
                  <w:sz w:val="20"/>
                  <w:szCs w:val="20"/>
                </w:rPr>
                <w:t>https://www.ordnancesurvey.co.uk/xml/products/OSTerrain50Grid.xml</w:t>
              </w:r>
            </w:hyperlink>
            <w:r w:rsidRPr="00B865A6">
              <w:rPr>
                <w:rStyle w:val="Hyperlink"/>
                <w:rFonts w:ascii="Arial" w:hAnsi="Arial" w:cs="Arial"/>
                <w:sz w:val="20"/>
                <w:szCs w:val="20"/>
              </w:rPr>
              <w:t>)</w:t>
            </w:r>
            <w:r w:rsidRPr="00B865A6">
              <w:rPr>
                <w:rFonts w:ascii="Arial" w:hAnsi="Arial" w:cs="Arial"/>
                <w:sz w:val="20"/>
                <w:szCs w:val="20"/>
              </w:rPr>
              <w:t xml:space="preserve"> </w:t>
            </w:r>
          </w:p>
        </w:tc>
        <w:tc>
          <w:tcPr>
            <w:tcW w:w="2123" w:type="dxa"/>
          </w:tcPr>
          <w:p w14:paraId="5D5248EE" w14:textId="1DC25262" w:rsidR="00C83AD9" w:rsidRPr="00B865A6" w:rsidRDefault="00C83AD9" w:rsidP="004B105F">
            <w:pPr>
              <w:spacing w:line="480" w:lineRule="auto"/>
              <w:rPr>
                <w:rFonts w:ascii="Arial" w:hAnsi="Arial" w:cs="Arial"/>
                <w:sz w:val="20"/>
                <w:szCs w:val="20"/>
                <w:lang w:eastAsia="zh-CN"/>
              </w:rPr>
            </w:pPr>
            <w:r w:rsidRPr="00B865A6">
              <w:rPr>
                <w:rFonts w:ascii="Arial" w:hAnsi="Arial" w:cs="Arial"/>
                <w:sz w:val="20"/>
                <w:szCs w:val="20"/>
                <w:lang w:eastAsia="zh-CN"/>
              </w:rPr>
              <w:t>degrees (0</w:t>
            </w:r>
            <w:r w:rsidR="00876CF5">
              <w:rPr>
                <w:rFonts w:ascii="Arial" w:hAnsi="Arial" w:cs="Arial"/>
                <w:sz w:val="20"/>
                <w:szCs w:val="20"/>
                <w:lang w:eastAsia="zh-CN"/>
              </w:rPr>
              <w:t>.00</w:t>
            </w:r>
            <w:r w:rsidRPr="00B865A6">
              <w:rPr>
                <w:rFonts w:ascii="Arial" w:hAnsi="Arial" w:cs="Arial"/>
                <w:sz w:val="20"/>
                <w:szCs w:val="20"/>
                <w:lang w:eastAsia="zh-CN"/>
              </w:rPr>
              <w:t>-32</w:t>
            </w:r>
            <w:r w:rsidR="00876CF5">
              <w:rPr>
                <w:rFonts w:ascii="Arial" w:hAnsi="Arial" w:cs="Arial"/>
                <w:sz w:val="20"/>
                <w:szCs w:val="20"/>
                <w:lang w:eastAsia="zh-CN"/>
              </w:rPr>
              <w:t>.00</w:t>
            </w:r>
            <w:r w:rsidRPr="00B865A6">
              <w:rPr>
                <w:rFonts w:ascii="Arial" w:hAnsi="Arial" w:cs="Arial"/>
                <w:sz w:val="20"/>
                <w:szCs w:val="20"/>
                <w:lang w:eastAsia="zh-CN"/>
              </w:rPr>
              <w:t>)</w:t>
            </w:r>
          </w:p>
        </w:tc>
      </w:tr>
    </w:tbl>
    <w:p w14:paraId="6B71DEE2" w14:textId="77777777" w:rsidR="00C83AD9" w:rsidRPr="00B865A6" w:rsidRDefault="00C83AD9" w:rsidP="00C83AD9">
      <w:pPr>
        <w:pStyle w:val="Heading3"/>
        <w:spacing w:line="480" w:lineRule="auto"/>
        <w:rPr>
          <w:lang w:eastAsia="zh-CN"/>
        </w:rPr>
      </w:pPr>
      <w:bookmarkStart w:id="17" w:name="_Toc517892359"/>
      <w:bookmarkStart w:id="18" w:name="_Toc520716269"/>
      <w:bookmarkStart w:id="19" w:name="_Toc534293632"/>
      <w:r w:rsidRPr="00B865A6">
        <w:rPr>
          <w:lang w:eastAsia="zh-CN"/>
        </w:rPr>
        <w:t>Determination of regional gradients</w:t>
      </w:r>
      <w:bookmarkEnd w:id="17"/>
      <w:bookmarkEnd w:id="18"/>
      <w:bookmarkEnd w:id="19"/>
    </w:p>
    <w:p w14:paraId="0A808475" w14:textId="5CF1B998" w:rsidR="00C83AD9" w:rsidRPr="00B865A6" w:rsidRDefault="00C83AD9" w:rsidP="00C83AD9">
      <w:pPr>
        <w:spacing w:line="480" w:lineRule="auto"/>
        <w:rPr>
          <w:lang w:eastAsia="zh-CN"/>
        </w:rPr>
      </w:pPr>
      <w:r w:rsidRPr="00B865A6">
        <w:rPr>
          <w:lang w:eastAsia="zh-CN"/>
        </w:rPr>
        <w:t>To identify the gradients that may affect forest susceptibility to damage by deer across Britain either directly or by interaction with local or landscape level drivers, we subjected four regional variables to Principal Components Analysis (PCA); precipitation, temperature, elevation and windiness (Table 1). We applied Box-Cox transformation, centring and scaling prior to PCA. A single component explained 70% of variation, with which precipitation, elevation and windiness were strongly negatively correlated (</w:t>
      </w:r>
      <w:r w:rsidRPr="00B865A6">
        <w:rPr>
          <w:i/>
          <w:lang w:eastAsia="zh-CN"/>
        </w:rPr>
        <w:t>r</w:t>
      </w:r>
      <w:r w:rsidRPr="00B865A6">
        <w:rPr>
          <w:lang w:eastAsia="zh-CN"/>
        </w:rPr>
        <w:t xml:space="preserve"> = -0.87, -0.80, -0.79, respectively), and temperature positively correlated (</w:t>
      </w:r>
      <w:r w:rsidRPr="00B865A6">
        <w:rPr>
          <w:i/>
          <w:lang w:eastAsia="zh-CN"/>
        </w:rPr>
        <w:t>r</w:t>
      </w:r>
      <w:r w:rsidRPr="00B865A6">
        <w:rPr>
          <w:lang w:eastAsia="zh-CN"/>
        </w:rPr>
        <w:t xml:space="preserve"> = 0.89). For ease of interpretation, the gradient was reversed and termed a “climatic harshness gradient” (HARSH; increasing value corresponds to increasing harshness, Figure S1.1</w:t>
      </w:r>
      <w:r w:rsidR="00EE5884" w:rsidRPr="00B865A6">
        <w:rPr>
          <w:lang w:eastAsia="zh-CN"/>
        </w:rPr>
        <w:t>),</w:t>
      </w:r>
      <w:r w:rsidRPr="00B865A6">
        <w:rPr>
          <w:lang w:eastAsia="zh-CN"/>
        </w:rPr>
        <w:t xml:space="preserve"> as it represents conditions with an increasing </w:t>
      </w:r>
      <w:r w:rsidR="0011310A" w:rsidRPr="00B865A6">
        <w:rPr>
          <w:lang w:eastAsia="zh-CN"/>
        </w:rPr>
        <w:t>propensity</w:t>
      </w:r>
      <w:r w:rsidRPr="00B865A6">
        <w:rPr>
          <w:lang w:eastAsia="zh-CN"/>
        </w:rPr>
        <w:t xml:space="preserve"> to adopt</w:t>
      </w:r>
      <w:r w:rsidRPr="00B865A6">
        <w:rPr>
          <w:rFonts w:cstheme="minorHAnsi"/>
          <w:szCs w:val="24"/>
        </w:rPr>
        <w:t xml:space="preserve"> shelter-seeking behaviour from harsh climatic conditions. Further details of the PCA are given in Appendix S1. </w:t>
      </w:r>
    </w:p>
    <w:p w14:paraId="7F6635D2" w14:textId="77777777" w:rsidR="00C83AD9" w:rsidRPr="00B865A6" w:rsidRDefault="00C83AD9" w:rsidP="00C83AD9">
      <w:pPr>
        <w:pStyle w:val="Heading3"/>
        <w:spacing w:line="480" w:lineRule="auto"/>
        <w:rPr>
          <w:lang w:eastAsia="zh-CN"/>
        </w:rPr>
      </w:pPr>
      <w:bookmarkStart w:id="20" w:name="_Toc517892360"/>
      <w:bookmarkStart w:id="21" w:name="_Toc520716270"/>
      <w:bookmarkStart w:id="22" w:name="_Toc534293633"/>
      <w:r w:rsidRPr="00B865A6">
        <w:rPr>
          <w:lang w:eastAsia="zh-CN"/>
        </w:rPr>
        <w:t>Hypothesised cross-scale interactions</w:t>
      </w:r>
      <w:bookmarkEnd w:id="20"/>
      <w:bookmarkEnd w:id="21"/>
      <w:bookmarkEnd w:id="22"/>
    </w:p>
    <w:p w14:paraId="0F2BB7C5" w14:textId="77777777" w:rsidR="00C83AD9" w:rsidRPr="00B865A6" w:rsidRDefault="00C83AD9" w:rsidP="00C83AD9">
      <w:pPr>
        <w:spacing w:line="480" w:lineRule="auto"/>
        <w:rPr>
          <w:rFonts w:cstheme="minorHAnsi"/>
          <w:lang w:eastAsia="zh-CN"/>
        </w:rPr>
      </w:pPr>
      <w:r w:rsidRPr="00B865A6">
        <w:rPr>
          <w:rFonts w:cstheme="minorHAnsi"/>
          <w:lang w:eastAsia="zh-CN"/>
        </w:rPr>
        <w:t xml:space="preserve">We formulated </w:t>
      </w:r>
      <w:r w:rsidRPr="00B865A6">
        <w:rPr>
          <w:rFonts w:cstheme="minorHAnsi"/>
          <w:i/>
          <w:lang w:eastAsia="zh-CN"/>
        </w:rPr>
        <w:t>a priori</w:t>
      </w:r>
      <w:r w:rsidRPr="00B865A6">
        <w:rPr>
          <w:rFonts w:cstheme="minorHAnsi"/>
          <w:lang w:eastAsia="zh-CN"/>
        </w:rPr>
        <w:t xml:space="preserve"> hypotheses concerning cross-scale interactions between regional, landscape and local level variables based on existing understanding of deer ecology. We hypothesised that the regional climatic harshness gradient was likely to change the importance of local and landscape-level </w:t>
      </w:r>
      <w:r w:rsidRPr="00B865A6">
        <w:rPr>
          <w:rFonts w:cstheme="minorHAnsi"/>
          <w:lang w:eastAsia="zh-CN"/>
        </w:rPr>
        <w:lastRenderedPageBreak/>
        <w:t>factors that determine foraging location, and the susceptibility of a forest site to damage</w:t>
      </w:r>
      <w:r w:rsidR="00E55EB5" w:rsidRPr="00B865A6">
        <w:rPr>
          <w:rFonts w:cstheme="minorHAnsi"/>
          <w:lang w:eastAsia="zh-CN"/>
        </w:rPr>
        <w:t>.</w:t>
      </w:r>
      <w:r w:rsidRPr="00B865A6">
        <w:rPr>
          <w:rFonts w:cstheme="minorHAnsi"/>
          <w:lang w:eastAsia="zh-CN"/>
        </w:rPr>
        <w:t xml:space="preserve"> Specific hypotheses and their specification as statistical terms for testing in models are given in Table 2. </w:t>
      </w:r>
      <w:r w:rsidR="00110FED" w:rsidRPr="00B865A6">
        <w:rPr>
          <w:rFonts w:cstheme="minorHAnsi"/>
          <w:lang w:eastAsia="zh-CN"/>
        </w:rPr>
        <w:t xml:space="preserve"> </w:t>
      </w:r>
    </w:p>
    <w:p w14:paraId="1B35CB6C" w14:textId="77777777" w:rsidR="00C83AD9" w:rsidRPr="00B865A6" w:rsidRDefault="00C83AD9" w:rsidP="00C83AD9">
      <w:pPr>
        <w:spacing w:line="480" w:lineRule="auto"/>
        <w:rPr>
          <w:rFonts w:ascii="Arial" w:hAnsi="Arial" w:cs="Arial"/>
          <w:sz w:val="20"/>
          <w:szCs w:val="20"/>
          <w:lang w:eastAsia="zh-CN"/>
        </w:rPr>
      </w:pPr>
      <w:r w:rsidRPr="00B865A6">
        <w:rPr>
          <w:rFonts w:ascii="Arial" w:hAnsi="Arial" w:cs="Arial"/>
          <w:sz w:val="20"/>
          <w:szCs w:val="20"/>
          <w:lang w:eastAsia="zh-CN"/>
        </w:rPr>
        <w:t>Table 2.</w:t>
      </w:r>
      <w:r w:rsidRPr="00B865A6">
        <w:rPr>
          <w:rFonts w:ascii="Arial" w:hAnsi="Arial" w:cs="Arial"/>
          <w:sz w:val="20"/>
          <w:szCs w:val="20"/>
          <w:lang w:eastAsia="zh-CN"/>
        </w:rPr>
        <w:tab/>
      </w:r>
      <w:r w:rsidRPr="00B865A6">
        <w:rPr>
          <w:rFonts w:ascii="Arial" w:hAnsi="Arial" w:cs="Arial"/>
          <w:sz w:val="20"/>
          <w:szCs w:val="20"/>
          <w:lang w:eastAsia="zh-CN"/>
        </w:rPr>
        <w:tab/>
        <w:t>Hypothesised cross-scale interactions of drivers of tree health and their specifications in statistical models. See Table 1 for variable codes.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4"/>
        <w:gridCol w:w="2877"/>
      </w:tblGrid>
      <w:tr w:rsidR="00C83AD9" w:rsidRPr="00B865A6" w14:paraId="40F51727" w14:textId="77777777" w:rsidTr="0011310A">
        <w:tc>
          <w:tcPr>
            <w:tcW w:w="6474" w:type="dxa"/>
          </w:tcPr>
          <w:p w14:paraId="79C9B351" w14:textId="77777777" w:rsidR="00C83AD9" w:rsidRPr="00B865A6" w:rsidRDefault="00C83AD9" w:rsidP="004B105F">
            <w:pPr>
              <w:spacing w:line="480" w:lineRule="auto"/>
              <w:rPr>
                <w:rFonts w:ascii="Arial" w:hAnsi="Arial" w:cs="Arial"/>
                <w:b/>
                <w:sz w:val="18"/>
                <w:szCs w:val="18"/>
              </w:rPr>
            </w:pPr>
            <w:r w:rsidRPr="00B865A6">
              <w:rPr>
                <w:rFonts w:ascii="Arial" w:hAnsi="Arial" w:cs="Arial"/>
                <w:b/>
                <w:sz w:val="18"/>
                <w:szCs w:val="18"/>
              </w:rPr>
              <w:t>Hypothesised cross-scale interactions</w:t>
            </w:r>
          </w:p>
        </w:tc>
        <w:tc>
          <w:tcPr>
            <w:tcW w:w="2877" w:type="dxa"/>
          </w:tcPr>
          <w:p w14:paraId="49F11666" w14:textId="77777777" w:rsidR="00C83AD9" w:rsidRPr="00B865A6" w:rsidRDefault="00C83AD9" w:rsidP="004B105F">
            <w:pPr>
              <w:spacing w:line="480" w:lineRule="auto"/>
              <w:rPr>
                <w:rFonts w:ascii="Arial" w:hAnsi="Arial" w:cs="Arial"/>
                <w:b/>
                <w:sz w:val="18"/>
                <w:szCs w:val="18"/>
              </w:rPr>
            </w:pPr>
            <w:r w:rsidRPr="00B865A6">
              <w:rPr>
                <w:rFonts w:ascii="Arial" w:hAnsi="Arial" w:cs="Arial"/>
                <w:b/>
                <w:sz w:val="18"/>
                <w:szCs w:val="18"/>
              </w:rPr>
              <w:t>Specification in statistical models</w:t>
            </w:r>
          </w:p>
        </w:tc>
      </w:tr>
      <w:tr w:rsidR="00C83AD9" w:rsidRPr="00B865A6" w14:paraId="48A80DB7" w14:textId="77777777" w:rsidTr="0011310A">
        <w:tc>
          <w:tcPr>
            <w:tcW w:w="6474" w:type="dxa"/>
          </w:tcPr>
          <w:p w14:paraId="158613AE" w14:textId="34F7BD78"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In accordance with shelter-seeking behaviour, in harsh conditions (i.e. high HARSH), deer may select for landscapes with higher levels of forest cover (attraction hypothesis). We therefore expected to observe an interacting effect of climate with landscape forest cover and local canopy cover, with stronger positive effects of forest cover on damage in</w:t>
            </w:r>
            <w:r w:rsidR="00B5388D" w:rsidRPr="00B865A6">
              <w:rPr>
                <w:rFonts w:ascii="Arial" w:hAnsi="Arial" w:cs="Arial"/>
                <w:sz w:val="18"/>
                <w:szCs w:val="18"/>
              </w:rPr>
              <w:t xml:space="preserve"> climatically harsh</w:t>
            </w:r>
            <w:r w:rsidRPr="00B865A6">
              <w:rPr>
                <w:rFonts w:ascii="Arial" w:hAnsi="Arial" w:cs="Arial"/>
                <w:sz w:val="18"/>
                <w:szCs w:val="18"/>
              </w:rPr>
              <w:t xml:space="preserve"> regions</w:t>
            </w:r>
            <w:r w:rsidR="00B5388D" w:rsidRPr="00B865A6">
              <w:rPr>
                <w:rFonts w:ascii="Arial" w:hAnsi="Arial" w:cs="Arial"/>
                <w:sz w:val="18"/>
                <w:szCs w:val="18"/>
              </w:rPr>
              <w:t>.</w:t>
            </w:r>
          </w:p>
        </w:tc>
        <w:tc>
          <w:tcPr>
            <w:tcW w:w="2877" w:type="dxa"/>
          </w:tcPr>
          <w:p w14:paraId="53ADABE3"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HARSH*%FOREST</w:t>
            </w:r>
          </w:p>
        </w:tc>
      </w:tr>
      <w:tr w:rsidR="00C83AD9" w:rsidRPr="00B865A6" w14:paraId="6765FAB9" w14:textId="77777777" w:rsidTr="0011310A">
        <w:tc>
          <w:tcPr>
            <w:tcW w:w="6474" w:type="dxa"/>
          </w:tcPr>
          <w:p w14:paraId="7222EEAF" w14:textId="6C5A61D3"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 xml:space="preserve">Interactions of climate with landscape forest cover may be further moderated by deer density, as habitat selection itself can also be density-dependent </w:t>
            </w:r>
            <w:r w:rsidRPr="00B865A6">
              <w:rPr>
                <w:rFonts w:ascii="Arial" w:hAnsi="Arial" w:cs="Arial"/>
                <w:sz w:val="18"/>
                <w:szCs w:val="18"/>
              </w:rPr>
              <w:fldChar w:fldCharType="begin" w:fldLock="1"/>
            </w:r>
            <w:r w:rsidR="00336CEE">
              <w:rPr>
                <w:rFonts w:ascii="Arial" w:hAnsi="Arial" w:cs="Arial"/>
                <w:sz w:val="18"/>
                <w:szCs w:val="18"/>
              </w:rPr>
              <w:instrText>ADDIN CSL_CITATION {"citationItems":[{"id":"ITEM-1","itemData":{"DOI":"10.1111/j.1600-0706.2008.16935.x","author":[{"dropping-particle":"","family":"Mobæk","given":"Ragnhild","non-dropping-particle":"","parse-names":false,"suffix":""},{"dropping-particle":"","family":"Mysterud","given":"Atle","non-dropping-particle":"","parse-names":false,"suffix":""},{"dropping-particle":"","family":"Loe","given":"Leif Egil","non-dropping-particle":"","parse-names":false,"suffix":""},{"dropping-particle":"","family":"Holand","given":"Ø","non-dropping-particle":"","parse-names":false,"suffix":""},{"dropping-particle":"","family":"Austrheim","given":"Gunnar","non-dropping-particle":"","parse-names":false,"suffix":""}],"container-title":"Oikos","id":"ITEM-1","issued":{"date-parts":[["2009"]]},"page":"209-218","title":"Density dependent and temporal variability in habitat selection by a large herbivore ; an experimental approach","type":"article-journal","volume":"118"},"uris":["http://www.mendeley.com/documents/?uuid=cb468026-6c0d-4f72-bf1a-8b9a473d4597"]}],"mendeley":{"formattedCitation":"(Mobæk, Mysterud, Loe, Holand, &amp; Austrheim, 2009)","plainTextFormattedCitation":"(Mobæk, Mysterud, Loe, Holand, &amp; Austrheim, 2009)","previouslyFormattedCitation":"(Mobæk, Mysterud, Loe, Holand, &amp; Austrheim, 2009)"},"properties":{"noteIndex":0},"schema":"https://github.com/citation-style-language/schema/raw/master/csl-citation.json"}</w:instrText>
            </w:r>
            <w:r w:rsidRPr="00B865A6">
              <w:rPr>
                <w:rFonts w:ascii="Arial" w:hAnsi="Arial" w:cs="Arial"/>
                <w:sz w:val="18"/>
                <w:szCs w:val="18"/>
              </w:rPr>
              <w:fldChar w:fldCharType="separate"/>
            </w:r>
            <w:r w:rsidR="00770064" w:rsidRPr="00B865A6">
              <w:rPr>
                <w:rFonts w:ascii="Arial" w:hAnsi="Arial" w:cs="Arial"/>
                <w:noProof/>
                <w:sz w:val="18"/>
                <w:szCs w:val="18"/>
              </w:rPr>
              <w:t>(Mobæk, Mysterud, Loe, Holand, &amp; Austrheim, 2009)</w:t>
            </w:r>
            <w:r w:rsidRPr="00B865A6">
              <w:rPr>
                <w:rFonts w:ascii="Arial" w:hAnsi="Arial" w:cs="Arial"/>
                <w:sz w:val="18"/>
                <w:szCs w:val="18"/>
              </w:rPr>
              <w:fldChar w:fldCharType="end"/>
            </w:r>
            <w:r w:rsidRPr="00B865A6">
              <w:rPr>
                <w:rFonts w:ascii="Arial" w:hAnsi="Arial" w:cs="Arial"/>
                <w:sz w:val="18"/>
                <w:szCs w:val="18"/>
              </w:rPr>
              <w:t xml:space="preserve">, and deer density has been shown to modulate effects of landscape structure on deer impacts </w:t>
            </w:r>
            <w:r w:rsidRPr="00B865A6">
              <w:rPr>
                <w:rFonts w:ascii="Arial" w:hAnsi="Arial" w:cs="Arial"/>
                <w:sz w:val="18"/>
                <w:szCs w:val="18"/>
              </w:rPr>
              <w:fldChar w:fldCharType="begin" w:fldLock="1"/>
            </w:r>
            <w:r w:rsidR="00715A6C" w:rsidRPr="00B865A6">
              <w:rPr>
                <w:rFonts w:ascii="Arial" w:hAnsi="Arial" w:cs="Arial"/>
                <w:sz w:val="18"/>
                <w:szCs w:val="18"/>
              </w:rPr>
              <w:instrText>ADDIN CSL_CITATION {"citationItems":[{"id":"ITEM-1","itemData":{"DOI":"10.1016/j.biocon.2011.10.034","ISBN":"0006-3207","ISSN":"00063207","abstract":"We investigated the potential for cross-habitat interactions to modulate per capita ungulate browse effects on forest herbaceous layers. Specifically, we examined how white-tailed deer (Odocoileus virginianus) abundance, reserve size, and landscape context at variable spatial scales interact to influence the impact of deer herbivory on forest understory communities in 16 Indiana state parks. We used native herb cover (NHC) as a proxy for deer impact to forest understories, and deer killed per unit hunter effort (DAI) as a proxy for deer abundance. Comparison of multiple regression models, using Akaike's Information Criterion, suggested that the per capita impact of deer herbivory to forest understories was strongly related to landscape configuration of deer habitat types at the scale of an individual deer's home range, whereas deer abundance was more strongly associated with landscape structure at broader spatial scales. Interspersion and juxtaposition of non-forested, perennial forage habitat with other habitat types (forest and agriculture) at the park plus a 0.5. km buffer scale, together with DAI, explained 84% of the variation in native herbaceous cover (NHC). A model with DAI alone as a predictor accounted for only 19% of the variation in NHC. Thus, although deer impact was related to deer abundance, habitat configuration in landscapes surrounding parks appeared to strongly modulate the level of impact associated with a particular abundance of deer. Our results underscore the importance of landscape context in determining foraging behavior and per capita impacts of ungulates on forest resources in protected areas. © 2011 Elsevier Ltd.","author":[{"dropping-particle":"","family":"Hurley","given":"Peter M.","non-dropping-particle":"","parse-names":false,"suffix":""},{"dropping-particle":"","family":"Webster","given":"Christopher R.","non-dropping-particle":"","parse-names":false,"suffix":""},{"dropping-particle":"","family":"Flaspohler","given":"David J.","non-dropping-particle":"","parse-names":false,"suffix":""},{"dropping-particle":"","family":"Parker","given":"George R.","non-dropping-particle":"","parse-names":false,"suffix":""}],"container-title":"Biological Conservation","id":"ITEM-1","issue":"1","issued":{"date-parts":[["2012"]]},"page":"62-71","publisher":"Elsevier Ltd","title":"Untangling the landscape of deer overabundance: Reserve size versus landscape context in the agricultural Midwest","type":"article-journal","volume":"146"},"uris":["http://www.mendeley.com/documents/?uuid=b99e458d-0477-48e3-bf55-42be74a67085"]}],"mendeley":{"formattedCitation":"(Hurley et al., 2012)","plainTextFormattedCitation":"(Hurley et al., 2012)","previouslyFormattedCitation":"(Hurley et al., 2012)"},"properties":{"noteIndex":0},"schema":"https://github.com/citation-style-language/schema/raw/master/csl-citation.json"}</w:instrText>
            </w:r>
            <w:r w:rsidRPr="00B865A6">
              <w:rPr>
                <w:rFonts w:ascii="Arial" w:hAnsi="Arial" w:cs="Arial"/>
                <w:sz w:val="18"/>
                <w:szCs w:val="18"/>
              </w:rPr>
              <w:fldChar w:fldCharType="separate"/>
            </w:r>
            <w:r w:rsidR="00770064" w:rsidRPr="00B865A6">
              <w:rPr>
                <w:rFonts w:ascii="Arial" w:hAnsi="Arial" w:cs="Arial"/>
                <w:noProof/>
                <w:sz w:val="18"/>
                <w:szCs w:val="18"/>
              </w:rPr>
              <w:t>(Hurley et al., 2012)</w:t>
            </w:r>
            <w:r w:rsidRPr="00B865A6">
              <w:rPr>
                <w:rFonts w:ascii="Arial" w:hAnsi="Arial" w:cs="Arial"/>
                <w:sz w:val="18"/>
                <w:szCs w:val="18"/>
              </w:rPr>
              <w:fldChar w:fldCharType="end"/>
            </w:r>
            <w:r w:rsidRPr="00B865A6">
              <w:rPr>
                <w:rFonts w:ascii="Arial" w:hAnsi="Arial" w:cs="Arial"/>
                <w:sz w:val="18"/>
                <w:szCs w:val="18"/>
              </w:rPr>
              <w:t xml:space="preserve">. </w:t>
            </w:r>
          </w:p>
        </w:tc>
        <w:tc>
          <w:tcPr>
            <w:tcW w:w="2877" w:type="dxa"/>
          </w:tcPr>
          <w:p w14:paraId="412B9B2C"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%FOREST*DEERDENS</w:t>
            </w:r>
          </w:p>
          <w:p w14:paraId="40ECBA88"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HARSH*%FOREST*DEERDENS</w:t>
            </w:r>
          </w:p>
          <w:p w14:paraId="54BCBB30" w14:textId="77777777" w:rsidR="00C83AD9" w:rsidRPr="00B865A6" w:rsidRDefault="00C83AD9" w:rsidP="004B105F">
            <w:pPr>
              <w:spacing w:line="480" w:lineRule="auto"/>
              <w:rPr>
                <w:rFonts w:ascii="Arial" w:hAnsi="Arial" w:cs="Arial"/>
                <w:sz w:val="18"/>
                <w:szCs w:val="18"/>
              </w:rPr>
            </w:pPr>
          </w:p>
        </w:tc>
      </w:tr>
      <w:tr w:rsidR="00C83AD9" w:rsidRPr="00B865A6" w14:paraId="20F42268" w14:textId="77777777" w:rsidTr="0011310A">
        <w:tc>
          <w:tcPr>
            <w:tcW w:w="6474" w:type="dxa"/>
          </w:tcPr>
          <w:p w14:paraId="4E5086B0" w14:textId="066B429B"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 xml:space="preserve">The effect of landscape forest cover might also depend on the amount of alternative forest, such as perennial cover, further afield. </w:t>
            </w:r>
            <w:r w:rsidRPr="00B865A6">
              <w:rPr>
                <w:rFonts w:ascii="Arial" w:hAnsi="Arial" w:cs="Arial"/>
                <w:sz w:val="18"/>
                <w:szCs w:val="18"/>
              </w:rPr>
              <w:fldChar w:fldCharType="begin" w:fldLock="1"/>
            </w:r>
            <w:r w:rsidR="00715A6C" w:rsidRPr="00B865A6">
              <w:rPr>
                <w:rFonts w:ascii="Arial" w:hAnsi="Arial" w:cs="Arial"/>
                <w:sz w:val="18"/>
                <w:szCs w:val="18"/>
              </w:rPr>
              <w:instrText>ADDIN CSL_CITATION {"citationItems":[{"id":"ITEM-1","itemData":{"DOI":"10.1890/ES14-00106.1","ISBN":"10.1890/ES14-00106.1","ISSN":"21508925","abstract":"Deer (Cervidae) cause considerable damage to forest plantations, crops, and protected habitats. The most common response to this damage is to implement strategies to lower population densities. However, lowering deer density may not always be desirable from hunting, recreational, or conservation perspectives. Therefore, knowledge is needed about additional factors beyond deer density that affect damage levels, and management actions that consider competing management goals. We studied the relationships between levels of bark-stripping by red deer (Cervus elaphus) on Norway spruce (Picea abies) and (1) relative deer density indices (pellet group count and deer harvest data), (2) availability of alternative natural forage (cover of forage species) and (3) proportion forest in the landscape, both at a forest stand scale and at a landscape scale. Extensive variation in damage level was evident between the six study areas. On a stand scale, the proportion of spruce damaged was positively related to pellet group density, indicating the importance of local deer usage of stands. In addition, available alternative forage in the field layer within spruce stands and proportion forest surrounding stands was negatively related to damage level. On the landscape scale, damage level was negatively related to availability of forage in the field and shrub layers and proportion forest, but was not related to any of the relative deer density indices. Increasing alternative forage may thus decrease damage and thereby reduce conflicts. Additionally, the proportion of forest in the landscape affects damage levels and should thus be considered in landscape planning and when forecasting damage risk. The relationship between local deer usage of stands and damage level suggests that future studies should try to separate the effects of local deer usage and deer density.","author":[{"dropping-particle":"","family":"Jarnemo","given":"Anders","non-dropping-particle":"","parse-names":false,"suffix":""},{"dropping-particle":"","family":"Minderman","given":"Jeroen","non-dropping-particle":"","parse-names":false,"suffix":""},{"dropping-particle":"","family":"Bunnefeld","given":"Nils","non-dropping-particle":"","parse-names":false,"suffix":""},{"dropping-particle":"","family":"Zidar","given":"Josefina","non-dropping-particle":"","parse-names":false,"suffix":""},{"dropping-particle":"","family":"Mansson","given":"Johan","non-dropping-particle":"","parse-names":false,"suffix":""}],"container-title":"Ecosphere","id":"ITEM-1","issue":"8","issued":{"date-parts":[["2014"]]},"title":"Managing landscapes for multiple objectives: Alternative forage can reduce the conflict between deer and forestry","type":"article-journal","volume":"5"},"uris":["http://www.mendeley.com/documents/?uuid=6047a416-0fbc-4039-a47f-be20e5525ae2"]}],"mendeley":{"formattedCitation":"(Jarnemo, Minderman, Bunnefeld, Zidar, &amp; Mansson, 2014)","plainTextFormattedCitation":"(Jarnemo, Minderman, Bunnefeld, Zidar, &amp; Mansson, 2014)","previouslyFormattedCitation":"(Jarnemo, Minderman, Bunnefeld, Zidar, &amp; Mansson, 2014)"},"properties":{"noteIndex":0},"schema":"https://github.com/citation-style-language/schema/raw/master/csl-citation.json"}</w:instrText>
            </w:r>
            <w:r w:rsidRPr="00B865A6">
              <w:rPr>
                <w:rFonts w:ascii="Arial" w:hAnsi="Arial" w:cs="Arial"/>
                <w:sz w:val="18"/>
                <w:szCs w:val="18"/>
              </w:rPr>
              <w:fldChar w:fldCharType="separate"/>
            </w:r>
            <w:r w:rsidR="00770064" w:rsidRPr="00B865A6">
              <w:rPr>
                <w:rFonts w:ascii="Arial" w:hAnsi="Arial" w:cs="Arial"/>
                <w:noProof/>
                <w:sz w:val="18"/>
                <w:szCs w:val="18"/>
              </w:rPr>
              <w:t>(Jarnemo, Minderman, Bunnefeld, Zidar, &amp; Mansson, 2014)</w:t>
            </w:r>
            <w:r w:rsidRPr="00B865A6">
              <w:rPr>
                <w:rFonts w:ascii="Arial" w:hAnsi="Arial" w:cs="Arial"/>
                <w:sz w:val="18"/>
                <w:szCs w:val="18"/>
              </w:rPr>
              <w:fldChar w:fldCharType="end"/>
            </w:r>
            <w:r w:rsidRPr="00B865A6">
              <w:rPr>
                <w:rFonts w:ascii="Arial" w:hAnsi="Arial" w:cs="Arial"/>
                <w:sz w:val="18"/>
                <w:szCs w:val="18"/>
              </w:rPr>
              <w:t xml:space="preserve">. </w:t>
            </w:r>
            <w:r w:rsidRPr="00B865A6">
              <w:rPr>
                <w:rFonts w:ascii="Arial" w:hAnsi="Arial" w:cs="Arial"/>
                <w:sz w:val="18"/>
                <w:szCs w:val="18"/>
              </w:rPr>
              <w:fldChar w:fldCharType="begin" w:fldLock="1"/>
            </w:r>
            <w:r w:rsidR="00715A6C" w:rsidRPr="00B865A6">
              <w:rPr>
                <w:rFonts w:ascii="Arial" w:hAnsi="Arial" w:cs="Arial"/>
                <w:sz w:val="18"/>
                <w:szCs w:val="18"/>
              </w:rPr>
              <w:instrText>ADDIN CSL_CITATION {"citationItems":[{"id":"ITEM-1","itemData":{"DOI":"10.1016/j.biocon.2011.10.034","ISBN":"0006-3207","ISSN":"00063207","abstract":"We investigated the potential for cross-habitat interactions to modulate per capita ungulate browse effects on forest herbaceous layers. Specifically, we examined how white-tailed deer (Odocoileus virginianus) abundance, reserve size, and landscape context at variable spatial scales interact to influence the impact of deer herbivory on forest understory communities in 16 Indiana state parks. We used native herb cover (NHC) as a proxy for deer impact to forest understories, and deer killed per unit hunter effort (DAI) as a proxy for deer abundance. Comparison of multiple regression models, using Akaike's Information Criterion, suggested that the per capita impact of deer herbivory to forest understories was strongly related to landscape configuration of deer habitat types at the scale of an individual deer's home range, whereas deer abundance was more strongly associated with landscape structure at broader spatial scales. Interspersion and juxtaposition of non-forested, perennial forage habitat with other habitat types (forest and agriculture) at the park plus a 0.5. km buffer scale, together with DAI, explained 84% of the variation in native herbaceous cover (NHC). A model with DAI alone as a predictor accounted for only 19% of the variation in NHC. Thus, although deer impact was related to deer abundance, habitat configuration in landscapes surrounding parks appeared to strongly modulate the level of impact associated with a particular abundance of deer. Our results underscore the importance of landscape context in determining foraging behavior and per capita impacts of ungulates on forest resources in protected areas. © 2011 Elsevier Ltd.","author":[{"dropping-particle":"","family":"Hurley","given":"Peter M.","non-dropping-particle":"","parse-names":false,"suffix":""},{"dropping-particle":"","family":"Webster","given":"Christopher R.","non-dropping-particle":"","parse-names":false,"suffix":""},{"dropping-particle":"","family":"Flaspohler","given":"David J.","non-dropping-particle":"","parse-names":false,"suffix":""},{"dropping-particle":"","family":"Parker","given":"George R.","non-dropping-particle":"","parse-names":false,"suffix":""}],"container-title":"Biological Conservation","id":"ITEM-1","issue":"1","issued":{"date-parts":[["2012"]]},"page":"62-71","publisher":"Elsevier Ltd","title":"Untangling the landscape of deer overabundance: Reserve size versus landscape context in the agricultural Midwest","type":"article-journal","volume":"146"},"uris":["http://www.mendeley.com/documents/?uuid=b99e458d-0477-48e3-bf55-42be74a67085"]}],"mendeley":{"formattedCitation":"(Hurley et al., 2012)","manualFormatting":"Hurley et al., (2012)","plainTextFormattedCitation":"(Hurley et al., 2012)","previouslyFormattedCitation":"(Hurley et al., 2012)"},"properties":{"noteIndex":0},"schema":"https://github.com/citation-style-language/schema/raw/master/csl-citation.json"}</w:instrText>
            </w:r>
            <w:r w:rsidRPr="00B865A6">
              <w:rPr>
                <w:rFonts w:ascii="Arial" w:hAnsi="Arial" w:cs="Arial"/>
                <w:sz w:val="18"/>
                <w:szCs w:val="18"/>
              </w:rPr>
              <w:fldChar w:fldCharType="separate"/>
            </w:r>
            <w:r w:rsidRPr="00B865A6">
              <w:rPr>
                <w:rFonts w:ascii="Arial" w:hAnsi="Arial" w:cs="Arial"/>
                <w:noProof/>
                <w:sz w:val="18"/>
                <w:szCs w:val="18"/>
              </w:rPr>
              <w:t xml:space="preserve">Hurley </w:t>
            </w:r>
            <w:r w:rsidRPr="00B865A6">
              <w:rPr>
                <w:rFonts w:ascii="Arial" w:hAnsi="Arial" w:cs="Arial"/>
                <w:i/>
                <w:noProof/>
                <w:sz w:val="18"/>
                <w:szCs w:val="18"/>
              </w:rPr>
              <w:t>et al.</w:t>
            </w:r>
            <w:r w:rsidRPr="00B865A6">
              <w:rPr>
                <w:rFonts w:ascii="Arial" w:hAnsi="Arial" w:cs="Arial"/>
                <w:noProof/>
                <w:sz w:val="18"/>
                <w:szCs w:val="18"/>
              </w:rPr>
              <w:t>, (2012)</w:t>
            </w:r>
            <w:r w:rsidRPr="00B865A6">
              <w:rPr>
                <w:rFonts w:ascii="Arial" w:hAnsi="Arial" w:cs="Arial"/>
                <w:sz w:val="18"/>
                <w:szCs w:val="18"/>
              </w:rPr>
              <w:fldChar w:fldCharType="end"/>
            </w:r>
            <w:r w:rsidRPr="00B865A6">
              <w:rPr>
                <w:rFonts w:ascii="Arial" w:hAnsi="Arial" w:cs="Arial"/>
                <w:sz w:val="18"/>
                <w:szCs w:val="18"/>
              </w:rPr>
              <w:t xml:space="preserve"> found the effect of forest edge amount </w:t>
            </w:r>
            <w:r w:rsidR="00B5388D" w:rsidRPr="00B865A6">
              <w:rPr>
                <w:rFonts w:ascii="Arial" w:hAnsi="Arial" w:cs="Arial"/>
                <w:sz w:val="18"/>
                <w:szCs w:val="18"/>
              </w:rPr>
              <w:t>was</w:t>
            </w:r>
            <w:r w:rsidRPr="00B865A6">
              <w:rPr>
                <w:rFonts w:ascii="Arial" w:hAnsi="Arial" w:cs="Arial"/>
                <w:sz w:val="18"/>
                <w:szCs w:val="18"/>
              </w:rPr>
              <w:t xml:space="preserve"> modified by the interspersion of perennial land covers, with a stronger effect of edge in areas with greater interspersion.</w:t>
            </w:r>
          </w:p>
        </w:tc>
        <w:tc>
          <w:tcPr>
            <w:tcW w:w="2877" w:type="dxa"/>
          </w:tcPr>
          <w:p w14:paraId="024BF4F8"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%FOR*%PER</w:t>
            </w:r>
          </w:p>
          <w:p w14:paraId="37017834"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%FOR*%OPEN</w:t>
            </w:r>
          </w:p>
          <w:p w14:paraId="4E6D3FE1"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%FOR*%ARAB</w:t>
            </w:r>
          </w:p>
          <w:p w14:paraId="5038752D"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rPr>
              <w:t>%FOR*%SEMI</w:t>
            </w:r>
          </w:p>
        </w:tc>
      </w:tr>
      <w:tr w:rsidR="00C83AD9" w:rsidRPr="00B865A6" w14:paraId="2B06A946" w14:textId="77777777" w:rsidTr="0011310A">
        <w:tc>
          <w:tcPr>
            <w:tcW w:w="6474" w:type="dxa"/>
          </w:tcPr>
          <w:p w14:paraId="50D8A834" w14:textId="56A42E15" w:rsidR="00C83AD9" w:rsidRPr="00B865A6" w:rsidRDefault="00C83AD9" w:rsidP="004B105F">
            <w:pPr>
              <w:spacing w:line="480" w:lineRule="auto"/>
              <w:rPr>
                <w:rFonts w:ascii="Arial" w:hAnsi="Arial" w:cs="Arial"/>
                <w:sz w:val="18"/>
                <w:szCs w:val="18"/>
                <w:lang w:eastAsia="zh-CN"/>
              </w:rPr>
            </w:pPr>
            <w:r w:rsidRPr="00B865A6">
              <w:rPr>
                <w:rFonts w:ascii="Arial" w:hAnsi="Arial" w:cs="Arial"/>
                <w:sz w:val="18"/>
                <w:szCs w:val="18"/>
                <w:lang w:eastAsia="zh-CN"/>
              </w:rPr>
              <w:t xml:space="preserve">In climatically benign conditions, deer may select (and are more likely to damage) forest stands with low tree densities and therefore higher amounts of ground-layer forage, while in harsh conditions, deer may select forest stands with higher tree densities to protect them from unfavourable climate. </w:t>
            </w:r>
          </w:p>
          <w:p w14:paraId="22B9A41D" w14:textId="77777777" w:rsidR="00C83AD9" w:rsidRPr="00B865A6" w:rsidRDefault="00C83AD9" w:rsidP="004B105F">
            <w:pPr>
              <w:spacing w:line="480" w:lineRule="auto"/>
              <w:rPr>
                <w:rFonts w:ascii="Arial" w:hAnsi="Arial" w:cs="Arial"/>
                <w:sz w:val="18"/>
                <w:szCs w:val="18"/>
                <w:lang w:eastAsia="zh-CN"/>
              </w:rPr>
            </w:pPr>
            <w:r w:rsidRPr="00B865A6">
              <w:rPr>
                <w:rFonts w:ascii="Arial" w:hAnsi="Arial" w:cs="Arial"/>
                <w:sz w:val="18"/>
                <w:szCs w:val="18"/>
                <w:lang w:eastAsia="zh-CN"/>
              </w:rPr>
              <w:t xml:space="preserve">In regions receiving low precipitation (low values on the HARSH gradient), due to competition for water with trees, dense forests may limit sub-canopy plant species composition and growth due to drought-like conditions. In these regions, denser forests may be less attractive to deer. </w:t>
            </w:r>
          </w:p>
        </w:tc>
        <w:tc>
          <w:tcPr>
            <w:tcW w:w="2877" w:type="dxa"/>
          </w:tcPr>
          <w:p w14:paraId="46D9C27A" w14:textId="77777777" w:rsidR="00C83AD9" w:rsidRPr="00B865A6" w:rsidRDefault="00C83AD9" w:rsidP="004B105F">
            <w:pPr>
              <w:spacing w:line="480" w:lineRule="auto"/>
              <w:rPr>
                <w:rFonts w:ascii="Arial" w:hAnsi="Arial" w:cs="Arial"/>
                <w:sz w:val="18"/>
                <w:szCs w:val="18"/>
              </w:rPr>
            </w:pPr>
            <w:r w:rsidRPr="00B865A6">
              <w:rPr>
                <w:rFonts w:ascii="Arial" w:hAnsi="Arial" w:cs="Arial"/>
                <w:sz w:val="18"/>
                <w:szCs w:val="18"/>
                <w:lang w:eastAsia="zh-CN"/>
              </w:rPr>
              <w:t>HARSH*TREEDENS</w:t>
            </w:r>
          </w:p>
        </w:tc>
      </w:tr>
    </w:tbl>
    <w:p w14:paraId="3998ABEF" w14:textId="77777777" w:rsidR="00C83AD9" w:rsidRPr="00B865A6" w:rsidRDefault="00C83AD9" w:rsidP="00C83AD9">
      <w:pPr>
        <w:pStyle w:val="Heading3"/>
        <w:spacing w:line="480" w:lineRule="auto"/>
      </w:pPr>
      <w:bookmarkStart w:id="23" w:name="_Toc517892361"/>
      <w:bookmarkStart w:id="24" w:name="_Toc520716271"/>
      <w:bookmarkStart w:id="25" w:name="_Toc534293634"/>
      <w:r w:rsidRPr="00B865A6">
        <w:lastRenderedPageBreak/>
        <w:t>Statistical analysis</w:t>
      </w:r>
      <w:bookmarkEnd w:id="23"/>
      <w:bookmarkEnd w:id="24"/>
      <w:bookmarkEnd w:id="25"/>
    </w:p>
    <w:p w14:paraId="3108D0EF" w14:textId="77777777" w:rsidR="00C83AD9" w:rsidRPr="00B865A6" w:rsidRDefault="00C83AD9" w:rsidP="00C83AD9">
      <w:pPr>
        <w:pStyle w:val="Heading4"/>
        <w:spacing w:line="480" w:lineRule="auto"/>
      </w:pPr>
      <w:r w:rsidRPr="00B865A6">
        <w:t>Model selection</w:t>
      </w:r>
    </w:p>
    <w:p w14:paraId="3A4423E3" w14:textId="2D4F4FBF" w:rsidR="00C83AD9" w:rsidRPr="00B865A6" w:rsidRDefault="00C83AD9" w:rsidP="00C83AD9">
      <w:pPr>
        <w:spacing w:line="480" w:lineRule="auto"/>
        <w:rPr>
          <w:rFonts w:cstheme="minorHAnsi"/>
        </w:rPr>
      </w:pPr>
      <w:r w:rsidRPr="00B865A6">
        <w:rPr>
          <w:rFonts w:cstheme="minorHAnsi"/>
        </w:rPr>
        <w:t xml:space="preserve">We fitted generalised linear models against a binomial distribution with a log link function to the damage occurrence data. To account for the spatial non-independence of sections (homogeneous units within which damage was recorded), a single section was randomly selected from each NFI sample square, yielding a total of 10,794 NFI sections for the analysis. We used this subsampling approach instead of a mixed-effects modelling framework (with NFI squares identified as random effects), due to insufficient computational power and because handling random effects in the informatics environment is not straightforward </w:t>
      </w:r>
      <w:r w:rsidRPr="00B865A6">
        <w:rPr>
          <w:rFonts w:cstheme="minorHAnsi"/>
        </w:rPr>
        <w:fldChar w:fldCharType="begin" w:fldLock="1"/>
      </w:r>
      <w:r w:rsidR="00715A6C" w:rsidRPr="00B865A6">
        <w:rPr>
          <w:rFonts w:cstheme="minorHAnsi"/>
        </w:rPr>
        <w:instrText>ADDIN CSL_CITATION {"citationItems":[{"id":"ITEM-1","itemData":{"DOI":"10.1111/j.1420-9101.2010.02210.x","ISBN":"1420-9101","ISSN":"1010061X","PMID":"21272107","abstract":"Information theoretic approaches and model averaging are increasing in popularity, but this approach can be difficult to apply to the realistic, complex models that typify many ecological and evolutionary analyses. This is especially true for those researchers without a formal background in information theory. Here, we highlight a number of practical obstacles to model averaging complex models. Although not meant to be an exhaustive review, we identify several important issues with tentative solutions where they exist (e.g. dealing with collinearity amongst predictors; how to compute model-averaged parameters) and highlight areas for future research where solutions are not clear (e.g. when to use random intercepts or slopes; which information criteria to use when random factors are involved). We also provide a worked example of a mixed model analysis of inbreeding depression in a wild population. By providing an overview of these issues, we hope that this approach will become more accessible to those investigating any process where multiple variables impact an evolutionary or ecological response.","author":[{"dropping-particle":"","family":"Grueber","given":"C. E.","non-dropping-particle":"","parse-names":false,"suffix":""},{"dropping-particle":"","family":"Nakagawa","given":"S.","non-dropping-particle":"","parse-names":false,"suffix":""},{"dropping-particle":"","family":"Laws","given":"R. J.","non-dropping-particle":"","parse-names":false,"suffix":""},{"dropping-particle":"","family":"Jamieson","given":"I. G.","non-dropping-particle":"","parse-names":false,"suffix":""}],"container-title":"Journal of Evolutionary Biology","id":"ITEM-1","issue":"4","issued":{"date-parts":[["2011"]]},"page":"699-711","title":"Multimodel inference in ecology and evolution: Challenges and solutions","type":"article-journal","volume":"24"},"uris":["http://www.mendeley.com/documents/?uuid=678a37a4-3e90-465f-bea9-3ca8fdf2d51d"]}],"mendeley":{"formattedCitation":"(Grueber, Nakagawa, Laws, &amp; Jamieson, 2011)","plainTextFormattedCitation":"(Grueber, Nakagawa, Laws, &amp; Jamieson, 2011)","previouslyFormattedCitation":"(Grueber, Nakagawa, Laws, &amp; Jamieson, 2011)"},"properties":{"noteIndex":0},"schema":"https://github.com/citation-style-language/schema/raw/master/csl-citation.json"}</w:instrText>
      </w:r>
      <w:r w:rsidRPr="00B865A6">
        <w:rPr>
          <w:rFonts w:cstheme="minorHAnsi"/>
        </w:rPr>
        <w:fldChar w:fldCharType="separate"/>
      </w:r>
      <w:r w:rsidR="00770064" w:rsidRPr="00B865A6">
        <w:rPr>
          <w:rFonts w:cstheme="minorHAnsi"/>
          <w:noProof/>
        </w:rPr>
        <w:t>(Grueber, Nakagawa, Laws, &amp; Jamieson, 2011)</w:t>
      </w:r>
      <w:r w:rsidRPr="00B865A6">
        <w:rPr>
          <w:rFonts w:cstheme="minorHAnsi"/>
        </w:rPr>
        <w:fldChar w:fldCharType="end"/>
      </w:r>
      <w:r w:rsidRPr="00B865A6">
        <w:rPr>
          <w:rFonts w:cstheme="minorHAnsi"/>
        </w:rPr>
        <w:t xml:space="preserve">. </w:t>
      </w:r>
    </w:p>
    <w:p w14:paraId="1CBC0EE3" w14:textId="701E9DA4" w:rsidR="00C36AD3" w:rsidRPr="00B865A6" w:rsidRDefault="00C36AD3" w:rsidP="00C36AD3">
      <w:pPr>
        <w:spacing w:line="480" w:lineRule="auto"/>
        <w:rPr>
          <w:rFonts w:cstheme="minorHAnsi"/>
        </w:rPr>
      </w:pPr>
      <w:r w:rsidRPr="00B865A6">
        <w:rPr>
          <w:rFonts w:cstheme="minorHAnsi"/>
        </w:rPr>
        <w:t xml:space="preserve">We initially created global models that contained </w:t>
      </w:r>
      <w:r w:rsidRPr="00B865A6">
        <w:rPr>
          <w:rFonts w:eastAsia="PMingLiU" w:cstheme="minorHAnsi"/>
          <w:lang w:eastAsia="zh-TW"/>
        </w:rPr>
        <w:t xml:space="preserve">the additive main effects of the local and landscape drivers and the climatic harshness gradient (HARSH) (listed in Table 1), in addition to the interaction terms representing our hypothesised cross-scale interactions (detailed in Table 2). </w:t>
      </w:r>
      <w:r w:rsidRPr="00B865A6">
        <w:rPr>
          <w:rFonts w:cstheme="minorHAnsi"/>
        </w:rPr>
        <w:t xml:space="preserve">Section area was also included as a possible offset to account its potential impact on recording damage probability.  </w:t>
      </w:r>
      <w:bookmarkStart w:id="26" w:name="_Hlk27726332"/>
      <w:r w:rsidRPr="00B865A6">
        <w:rPr>
          <w:rFonts w:cstheme="minorHAnsi"/>
        </w:rPr>
        <w:t xml:space="preserve">Initial </w:t>
      </w:r>
      <w:r w:rsidRPr="00B865A6">
        <w:rPr>
          <w:rFonts w:eastAsia="PMingLiU" w:cstheme="minorHAnsi"/>
          <w:lang w:eastAsia="zh-TW"/>
        </w:rPr>
        <w:t xml:space="preserve">global models differed in the substitutions of variables that were highly correlated: highly correlated variables </w:t>
      </w:r>
      <w:r w:rsidR="00021B28">
        <w:rPr>
          <w:rFonts w:eastAsia="PMingLiU" w:cstheme="minorHAnsi"/>
          <w:lang w:eastAsia="zh-TW"/>
        </w:rPr>
        <w:t>did not</w:t>
      </w:r>
      <w:r w:rsidR="00021B28" w:rsidRPr="00B865A6">
        <w:rPr>
          <w:rFonts w:eastAsia="PMingLiU" w:cstheme="minorHAnsi"/>
          <w:lang w:eastAsia="zh-TW"/>
        </w:rPr>
        <w:t xml:space="preserve"> </w:t>
      </w:r>
      <w:r w:rsidRPr="00B865A6">
        <w:rPr>
          <w:rFonts w:eastAsia="PMingLiU" w:cstheme="minorHAnsi"/>
          <w:lang w:eastAsia="zh-TW"/>
        </w:rPr>
        <w:t xml:space="preserve">feature in the same model (those with Spearman’s rank coefficients </w:t>
      </w:r>
      <w:r w:rsidRPr="00B865A6">
        <w:t>&gt;0.6; see Appendix S2 for correlation coefficients</w:t>
      </w:r>
      <w:r w:rsidR="00021B28">
        <w:t>, so were substituted among global models</w:t>
      </w:r>
      <w:r w:rsidRPr="00B865A6">
        <w:rPr>
          <w:rFonts w:eastAsia="PMingLiU" w:cstheme="minorHAnsi"/>
          <w:lang w:eastAsia="zh-TW"/>
        </w:rPr>
        <w:t xml:space="preserve">). </w:t>
      </w:r>
      <w:r w:rsidRPr="00B865A6">
        <w:rPr>
          <w:rFonts w:cstheme="minorHAnsi"/>
        </w:rPr>
        <w:t>We also substituted quadratic (second order polynomial) or log</w:t>
      </w:r>
      <w:r w:rsidRPr="00B865A6">
        <w:rPr>
          <w:rFonts w:cstheme="minorHAnsi"/>
          <w:vertAlign w:val="subscript"/>
        </w:rPr>
        <w:t>10</w:t>
      </w:r>
      <w:r w:rsidRPr="00B865A6">
        <w:rPr>
          <w:rFonts w:cstheme="minorHAnsi"/>
        </w:rPr>
        <w:t xml:space="preserve"> relationships with the regional gradient (HARSH), landscape variables (%FOREST, %PER) and the local variables TREEDENS</w:t>
      </w:r>
      <w:r w:rsidR="00B81D80" w:rsidRPr="00B865A6">
        <w:rPr>
          <w:rFonts w:cstheme="minorHAnsi"/>
        </w:rPr>
        <w:t>, TREEVOL</w:t>
      </w:r>
      <w:r w:rsidRPr="00B865A6">
        <w:rPr>
          <w:rFonts w:cstheme="minorHAnsi"/>
        </w:rPr>
        <w:t xml:space="preserve"> and DISEDGE to test for plausible nonlinear relationships within these initial global models. </w:t>
      </w:r>
      <w:r w:rsidRPr="00B865A6">
        <w:rPr>
          <w:rFonts w:eastAsia="PMingLiU" w:cstheme="minorHAnsi"/>
          <w:lang w:eastAsia="zh-TW"/>
        </w:rPr>
        <w:t>Also substituted were landscape metrics if they quantified the same driver (e.g. %FOREST) but at different extents (buffer sizes), or transformations of land cover types that were not independent (e.g. %PER %SEMI, as they partially comprise the same land cover types), or transformations of the same variable (e.g. %FOREST and log</w:t>
      </w:r>
      <w:r w:rsidRPr="00B865A6">
        <w:rPr>
          <w:rFonts w:eastAsia="PMingLiU" w:cstheme="minorHAnsi"/>
          <w:vertAlign w:val="subscript"/>
          <w:lang w:eastAsia="zh-TW"/>
        </w:rPr>
        <w:t>10</w:t>
      </w:r>
      <w:r w:rsidRPr="00B865A6">
        <w:rPr>
          <w:rFonts w:eastAsia="PMingLiU" w:cstheme="minorHAnsi"/>
          <w:lang w:eastAsia="zh-TW"/>
        </w:rPr>
        <w:t>(%FOREST)</w:t>
      </w:r>
      <w:bookmarkEnd w:id="26"/>
      <w:r w:rsidRPr="00B865A6">
        <w:rPr>
          <w:rFonts w:eastAsia="PMingLiU" w:cstheme="minorHAnsi"/>
          <w:lang w:eastAsia="zh-TW"/>
        </w:rPr>
        <w:t xml:space="preserve">. </w:t>
      </w:r>
      <w:r w:rsidRPr="00B865A6">
        <w:rPr>
          <w:lang w:eastAsia="zh-CN"/>
        </w:rPr>
        <w:t xml:space="preserve">Initial data exploration following </w:t>
      </w:r>
      <w:r w:rsidR="00122264" w:rsidRPr="00B865A6">
        <w:rPr>
          <w:lang w:eastAsia="zh-CN"/>
        </w:rPr>
        <w:fldChar w:fldCharType="begin" w:fldLock="1"/>
      </w:r>
      <w:r w:rsidR="00CA2CD5">
        <w:rPr>
          <w:lang w:eastAsia="zh-CN"/>
        </w:rPr>
        <w:instrText>ADDIN CSL_CITATION {"citationItems":[{"id":"ITEM-1","itemData":{"DOI":"10.1111/j.2041-210X.2009.00001.x","ISBN":"2041210X","ISSN":"2041210X","PMID":"18401120","abstract":"1. While teaching statistics to ecologists, the lead authors of this paper have noticed common statistical problems. If a random sample of their work (including scientific papers) produced before doing these courses were selected, half would probably contain violations of the underlying assumptions of the statistical techniques employed. 2. Some violations have little impact on the results or ecological conclusions; yet others increase type I or type II errors, potentially resulting in wrong ecological conclusions. Most of these violations can be avoided by applying better data exploration. These problems are especially troublesome in applied ecology, where management and policy decisions are often at stake. 3. Here, we provide a protocol for data exploration; discuss current tools to detect outliers, heterogeneity of variance, collinearity, dependence of observations, problems with interactions, double zeros in multivariate analysis, zero inflation in generalized linear modelling, and the correct type of relationships between dependent and independent variables; and provide advice on how to address these problems when they arise. We also address misconceptions about normality, and provide advice on data transformations. 4. Data exploration avoids type I and type II errors, among other problems, thereby reducing the chance of making wrong ecological conclusions and poor recommendations. It is therefore essential for good quality management and policy based on statistical analyses.","author":[{"dropping-particle":"","family":"Zuur","given":"Alain F.","non-dropping-particle":"","parse-names":false,"suffix":""},{"dropping-particle":"","family":"Ieno","given":"Elena N.","non-dropping-particle":"","parse-names":false,"suffix":""},{"dropping-particle":"","family":"Elphick","given":"Chris S.","non-dropping-particle":"","parse-names":false,"suffix":""}],"container-title":"Methods in Ecology and Evolution","id":"ITEM-1","issue":"1","issued":{"date-parts":[["2010"]]},"page":"3-14","title":"A protocol for data exploration to avoid common statistical problems","type":"article-journal","volume":"1"},"uris":["http://www.mendeley.com/documents/?uuid=253024a4-9186-427a-b5ee-8c3f9f56ee81"]}],"mendeley":{"formattedCitation":"(Zuur, Ieno, &amp; Elphick, 2010)","manualFormatting":"Zuur, Ieno, &amp; Elphick, (2010)","plainTextFormattedCitation":"(Zuur, Ieno, &amp; Elphick, 2010)","previouslyFormattedCitation":"(Zuur, Ieno, &amp; Elphick, 2010)"},"properties":{"noteIndex":0},"schema":"https://github.com/citation-style-language/schema/raw/master/csl-citation.json"}</w:instrText>
      </w:r>
      <w:r w:rsidR="00122264" w:rsidRPr="00B865A6">
        <w:rPr>
          <w:lang w:eastAsia="zh-CN"/>
        </w:rPr>
        <w:fldChar w:fldCharType="separate"/>
      </w:r>
      <w:r w:rsidR="00122264" w:rsidRPr="00B865A6">
        <w:rPr>
          <w:noProof/>
          <w:lang w:eastAsia="zh-CN"/>
        </w:rPr>
        <w:t>Zuur, Ieno, &amp; Elphick, (2010)</w:t>
      </w:r>
      <w:r w:rsidR="00122264" w:rsidRPr="00B865A6">
        <w:rPr>
          <w:lang w:eastAsia="zh-CN"/>
        </w:rPr>
        <w:fldChar w:fldCharType="end"/>
      </w:r>
      <w:r w:rsidRPr="00B865A6">
        <w:rPr>
          <w:rFonts w:cstheme="minorHAnsi"/>
          <w:color w:val="1C1D1E"/>
          <w:shd w:val="clear" w:color="auto" w:fill="FFFFFF"/>
        </w:rPr>
        <w:t xml:space="preserve">, and </w:t>
      </w:r>
      <w:r w:rsidRPr="00B865A6">
        <w:rPr>
          <w:lang w:eastAsia="zh-CN"/>
        </w:rPr>
        <w:t xml:space="preserve">screening of these initial global models, and their nested subsets, resulted in a final global model that both satisfied model assumptions and had higher </w:t>
      </w:r>
      <w:r w:rsidRPr="00B865A6">
        <w:rPr>
          <w:lang w:eastAsia="zh-CN"/>
        </w:rPr>
        <w:lastRenderedPageBreak/>
        <w:t>support (</w:t>
      </w:r>
      <w:r w:rsidR="000F2893" w:rsidRPr="00B865A6">
        <w:rPr>
          <w:lang w:eastAsia="zh-CN"/>
        </w:rPr>
        <w:t xml:space="preserve">i.e. </w:t>
      </w:r>
      <w:r w:rsidRPr="00B865A6">
        <w:rPr>
          <w:lang w:eastAsia="zh-CN"/>
        </w:rPr>
        <w:t>lower AIC of global</w:t>
      </w:r>
      <w:r w:rsidR="000F2893" w:rsidRPr="00B865A6">
        <w:rPr>
          <w:lang w:eastAsia="zh-CN"/>
        </w:rPr>
        <w:t xml:space="preserve"> and</w:t>
      </w:r>
      <w:r w:rsidRPr="00B865A6">
        <w:rPr>
          <w:lang w:eastAsia="zh-CN"/>
        </w:rPr>
        <w:t xml:space="preserve"> nested  models, as compared with other variations of these terms</w:t>
      </w:r>
      <w:r w:rsidR="00122264" w:rsidRPr="00B865A6">
        <w:rPr>
          <w:lang w:eastAsia="zh-CN"/>
        </w:rPr>
        <w:t xml:space="preserve">, </w:t>
      </w:r>
      <w:r w:rsidRPr="00B865A6">
        <w:rPr>
          <w:lang w:eastAsia="zh-CN"/>
        </w:rPr>
        <w:t>in terms of buffer size and transformations).</w:t>
      </w:r>
      <w:r w:rsidRPr="00B865A6">
        <w:rPr>
          <w:rFonts w:eastAsia="PMingLiU" w:cstheme="minorHAnsi"/>
          <w:lang w:eastAsia="zh-TW"/>
        </w:rPr>
        <w:t xml:space="preserve">  </w:t>
      </w:r>
      <w:r w:rsidRPr="00B865A6">
        <w:rPr>
          <w:rFonts w:cstheme="minorHAnsi"/>
        </w:rPr>
        <w:t>Further details of model set generation are given in Appendix S3</w:t>
      </w:r>
      <w:r w:rsidRPr="00B865A6">
        <w:rPr>
          <w:rFonts w:eastAsia="PMingLiU" w:cstheme="minorHAnsi"/>
          <w:lang w:eastAsia="zh-TW"/>
        </w:rPr>
        <w:t>. F</w:t>
      </w:r>
      <w:r w:rsidR="00A72332" w:rsidRPr="00B865A6">
        <w:rPr>
          <w:rFonts w:eastAsia="PMingLiU" w:cstheme="minorHAnsi"/>
          <w:lang w:eastAsia="zh-TW"/>
        </w:rPr>
        <w:t>rom</w:t>
      </w:r>
      <w:r w:rsidRPr="00B865A6">
        <w:rPr>
          <w:rFonts w:eastAsia="PMingLiU" w:cstheme="minorHAnsi"/>
          <w:lang w:eastAsia="zh-TW"/>
        </w:rPr>
        <w:t xml:space="preserve"> this final global model, </w:t>
      </w:r>
      <w:r w:rsidRPr="00B865A6">
        <w:t>we generated a full set of nested models</w:t>
      </w:r>
      <w:r w:rsidR="00A72332" w:rsidRPr="00B865A6">
        <w:t>, resulting in</w:t>
      </w:r>
      <w:r w:rsidRPr="00B865A6">
        <w:t xml:space="preserve"> </w:t>
      </w:r>
      <w:r w:rsidRPr="00B865A6">
        <w:rPr>
          <w:lang w:eastAsia="zh-CN"/>
        </w:rPr>
        <w:t>28,864 possible combinations of terms</w:t>
      </w:r>
      <w:r w:rsidRPr="00B865A6">
        <w:t xml:space="preserve"> all to be compared with AIC </w:t>
      </w:r>
      <w:r w:rsidRPr="00B865A6">
        <w:rPr>
          <w:rFonts w:eastAsia="PMingLiU" w:cstheme="minorHAnsi"/>
          <w:lang w:eastAsia="zh-TW"/>
        </w:rPr>
        <w:t xml:space="preserve">using R </w:t>
      </w:r>
      <w:r w:rsidRPr="00B865A6">
        <w:rPr>
          <w:rFonts w:cstheme="minorHAnsi"/>
        </w:rPr>
        <w:t>(v. 3.4.3; R Core Team, 2017)</w:t>
      </w:r>
      <w:r w:rsidRPr="00B865A6">
        <w:rPr>
          <w:rFonts w:eastAsia="PMingLiU" w:cstheme="minorHAnsi"/>
          <w:lang w:eastAsia="zh-TW"/>
        </w:rPr>
        <w:t xml:space="preserve"> with the </w:t>
      </w:r>
      <w:r w:rsidRPr="00B865A6">
        <w:t xml:space="preserve">package </w:t>
      </w:r>
      <w:r w:rsidRPr="00B865A6">
        <w:rPr>
          <w:rFonts w:eastAsia="PMingLiU" w:cstheme="minorHAnsi"/>
          <w:lang w:eastAsia="zh-TW"/>
        </w:rPr>
        <w:t xml:space="preserve">MuMIn </w:t>
      </w:r>
      <w:r w:rsidRPr="00B865A6">
        <w:rPr>
          <w:rFonts w:cstheme="minorHAnsi"/>
        </w:rPr>
        <w:fldChar w:fldCharType="begin" w:fldLock="1"/>
      </w:r>
      <w:r w:rsidR="000D65AC">
        <w:rPr>
          <w:rFonts w:cstheme="minorHAnsi"/>
        </w:rPr>
        <w:instrText>ADDIN CSL_CITATION {"citationItems":[{"id":"ITEM-1","itemData":{"author":[{"dropping-particle":"","family":"Bartoń","given":"K","non-dropping-particle":"","parse-names":false,"suffix":""}],"id":"ITEM-1","issued":{"date-parts":[["2016"]]},"title":"MuMIn: Multi-model inference. R package version 1.15.6.","type":"article"},"uris":["http://www.mendeley.com/documents/?uuid=ecabc4c0-8f4c-4ae0-b959-878bd78b4329"]}],"mendeley":{"formattedCitation":"(Bartoń, 2016)","plainTextFormattedCitation":"(Bartoń, 2016)","previouslyFormattedCitation":"(Bartoń, 2018)"},"properties":{"noteIndex":0},"schema":"https://github.com/citation-style-language/schema/raw/master/csl-citation.json"}</w:instrText>
      </w:r>
      <w:r w:rsidRPr="00B865A6">
        <w:rPr>
          <w:rFonts w:cstheme="minorHAnsi"/>
        </w:rPr>
        <w:fldChar w:fldCharType="separate"/>
      </w:r>
      <w:r w:rsidR="000D65AC" w:rsidRPr="000D65AC">
        <w:rPr>
          <w:rFonts w:cstheme="minorHAnsi"/>
          <w:noProof/>
        </w:rPr>
        <w:t>(Bartoń, 2016)</w:t>
      </w:r>
      <w:r w:rsidRPr="00B865A6">
        <w:rPr>
          <w:rFonts w:cstheme="minorHAnsi"/>
        </w:rPr>
        <w:fldChar w:fldCharType="end"/>
      </w:r>
      <w:r w:rsidRPr="00B865A6">
        <w:rPr>
          <w:rFonts w:cstheme="minorHAnsi"/>
        </w:rPr>
        <w:t xml:space="preserve">. </w:t>
      </w:r>
      <w:r w:rsidRPr="00B865A6">
        <w:rPr>
          <w:rFonts w:eastAsia="PMingLiU" w:cstheme="minorHAnsi"/>
          <w:lang w:eastAsia="zh-TW"/>
        </w:rPr>
        <w:t xml:space="preserve"> </w:t>
      </w:r>
      <w:r w:rsidRPr="00B865A6">
        <w:rPr>
          <w:rFonts w:cstheme="minorHAnsi"/>
        </w:rPr>
        <w:t xml:space="preserve"> We identified a single, ‘best model’ as the model with the lowest </w:t>
      </w:r>
      <w:r w:rsidRPr="00B865A6">
        <w:rPr>
          <w:rFonts w:eastAsia="PMingLiU" w:cstheme="minorHAnsi"/>
          <w:lang w:eastAsia="zh-TW"/>
        </w:rPr>
        <w:t xml:space="preserve">Akaike's Information Criterion (AIC) value </w:t>
      </w:r>
      <w:r w:rsidRPr="00B865A6">
        <w:rPr>
          <w:rFonts w:cstheme="minorHAnsi"/>
        </w:rPr>
        <w:fldChar w:fldCharType="begin" w:fldLock="1"/>
      </w:r>
      <w:r w:rsidR="00122264" w:rsidRPr="00B865A6">
        <w:rPr>
          <w:rFonts w:cstheme="minorHAnsi"/>
        </w:rPr>
        <w:instrText>ADDIN CSL_CITATION {"citationItems":[{"id":"ITEM-1","itemData":{"DOI":"10.1016/j.ecolmodel.2003.11.004","ISBN":"978-0-387-22456-5","ISSN":"03043800","PMID":"48557578","abstract":"The second edition of this book is unique in that it focuses on methods for making formal statistical inference from all the models in an a priori set (Multi-Model Inference). A philosophy is presented for model-based data analysis and a general strategy outlined for the analysis of empirical data. The book invites increased attention on a priori science hypotheses and modeling.Kullback-Leibler Information represents a fundamental quantity in science and is Hirotugu Akaike's basis for model selection. The maximized log-likelihood function can be bias-corrected as an estimator of expected, relative Kullback-Leibler information. This leads to Akaike's Information Criterion (AIC) and various extensions. These methods are relatively simple and easy to use in practice, but based on deep statistical theory. The information theoretic approaches provide a unified and rigorous theory, an extension of likelihood theory, an important application of information theory, and are objective and practical to employ across a very wide class of empirical problems.The book presents several new ways to incorporate model selection uncertainty into parameter estimates and estimates of precision. An array of challenging examples is given to illustrate various technical issues.This is an applied book written primarily for biologists and statisticians wanting to make inferences from multiple models and is suitable as a graduate text or as a reference for professional analysts.","author":[{"dropping-particle":"","family":"Burnham","given":"K.P.","non-dropping-particle":"","parse-names":false,"suffix":""},{"dropping-particle":"","family":"Anderson","given":"D.R.","non-dropping-particle":"","parse-names":false,"suffix":""}],"container-title":"Ecological Modelling","id":"ITEM-1","issued":{"date-parts":[["2002"]]},"number-of-pages":"488","publisher":"Springer-Verlag","publisher-place":"New York","title":"Model Selection and Multimodel Inference: A Practical Information-Theoretic Approach (2nd ed)","type":"book","volume":"172"},"uris":["http://www.mendeley.com/documents/?uuid=c0c88d13-20d8-43f0-ad18-c9b0ae7e3fce"]}],"mendeley":{"formattedCitation":"(Burnham &amp; Anderson, 2002)","plainTextFormattedCitation":"(Burnham &amp; Anderson, 2002)","previouslyFormattedCitation":"(Burnham &amp; Anderson, 2002)"},"properties":{"noteIndex":0},"schema":"https://github.com/citation-style-language/schema/raw/master/csl-citation.json"}</w:instrText>
      </w:r>
      <w:r w:rsidRPr="00B865A6">
        <w:rPr>
          <w:rFonts w:cstheme="minorHAnsi"/>
        </w:rPr>
        <w:fldChar w:fldCharType="separate"/>
      </w:r>
      <w:r w:rsidRPr="00B865A6">
        <w:rPr>
          <w:rFonts w:cstheme="minorHAnsi"/>
          <w:noProof/>
        </w:rPr>
        <w:t>(Burnham &amp; Anderson, 2002)</w:t>
      </w:r>
      <w:r w:rsidRPr="00B865A6">
        <w:rPr>
          <w:rFonts w:cstheme="minorHAnsi"/>
        </w:rPr>
        <w:fldChar w:fldCharType="end"/>
      </w:r>
      <w:r w:rsidRPr="00B865A6">
        <w:rPr>
          <w:rFonts w:cstheme="minorHAnsi"/>
        </w:rPr>
        <w:t xml:space="preserve">. By constructing and comparing models with specific combinations of variables in the interaction terms that corresponded to </w:t>
      </w:r>
      <w:r w:rsidRPr="00B865A6">
        <w:rPr>
          <w:i/>
        </w:rPr>
        <w:t>a priori</w:t>
      </w:r>
      <w:r w:rsidRPr="00B865A6">
        <w:rPr>
          <w:rFonts w:cstheme="minorHAnsi"/>
        </w:rPr>
        <w:t xml:space="preserve"> hypotheses (listed in Table 2), we distinguish our testing of rigorous hypotheses from a ‘fishing expedition’ that seeks significant predictors among a large group of contenders and all of their possible second or third order interactions (Burnham &amp; Anderson, 2002).  We used model selection to obtain model coefficients (for prediction, see below), rather than averaging models over multiple models with similar support. This is because model averaging is inappropriate among nonlinear model forms (see</w:t>
      </w:r>
      <w:r w:rsidRPr="00B865A6">
        <w:rPr>
          <w:rFonts w:cstheme="minorHAnsi"/>
        </w:rPr>
        <w:fldChar w:fldCharType="begin" w:fldLock="1"/>
      </w:r>
      <w:r w:rsidR="00122264" w:rsidRPr="00B865A6">
        <w:rPr>
          <w:rFonts w:cstheme="minorHAnsi"/>
        </w:rPr>
        <w:instrText>ADDIN CSL_CITATION {"citationItems":[{"id":"ITEM-1","itemData":{"author":[{"dropping-particle":"","family":"Cade","given":"B.S.","non-dropping-particle":"","parse-names":false,"suffix":""}],"container-title":"Ecology","id":"ITEM-1","issue":"9","issued":{"date-parts":[["2015"]]},"page":"2370-2382","title":"Model averaging and muddled multimodel inferences","type":"article-journal","volume":"96"},"uris":["http://www.mendeley.com/documents/?uuid=9fd2b7cb-aac6-428c-88ab-1761ce89debd"]}],"mendeley":{"formattedCitation":"(Cade, 2015)","manualFormatting":" Cade (2015)","plainTextFormattedCitation":"(Cade, 2015)","previouslyFormattedCitation":"(Cade, 2015)"},"properties":{"noteIndex":0},"schema":"https://github.com/citation-style-language/schema/raw/master/csl-citation.json"}</w:instrText>
      </w:r>
      <w:r w:rsidRPr="00B865A6">
        <w:rPr>
          <w:rFonts w:cstheme="minorHAnsi"/>
        </w:rPr>
        <w:fldChar w:fldCharType="separate"/>
      </w:r>
      <w:r w:rsidRPr="00B865A6">
        <w:rPr>
          <w:rFonts w:cstheme="minorHAnsi"/>
          <w:noProof/>
        </w:rPr>
        <w:t xml:space="preserve"> Cade (2015)</w:t>
      </w:r>
      <w:r w:rsidRPr="00B865A6">
        <w:rPr>
          <w:rFonts w:cstheme="minorHAnsi"/>
        </w:rPr>
        <w:fldChar w:fldCharType="end"/>
      </w:r>
      <w:r w:rsidRPr="00B865A6">
        <w:rPr>
          <w:rFonts w:cstheme="minorHAnsi"/>
        </w:rPr>
        <w:t xml:space="preserve">), and because models differing only in the extent of landscape variables (e.g. %FOREST) are likely to have very similar support, and such models cannot be averaged as they are technically different variables measuring the same quantity </w:t>
      </w:r>
      <w:r w:rsidRPr="00B865A6">
        <w:rPr>
          <w:rFonts w:cstheme="minorHAnsi"/>
        </w:rPr>
        <w:fldChar w:fldCharType="begin" w:fldLock="1"/>
      </w:r>
      <w:r w:rsidR="00122264" w:rsidRPr="00B865A6">
        <w:rPr>
          <w:rFonts w:cstheme="minorHAnsi"/>
        </w:rPr>
        <w:instrText>ADDIN CSL_CITATION {"citationItems":[{"id":"ITEM-1","itemData":{"DOI":"10.1007/s00265-010-1045-6","ISBN":"0340-5443","ISSN":"03405443","PMID":"877","abstract":"There has been a great deal of recent discussion of the practice of regression analysis (or more generally, linear modelling) in behaviour and ecology. In this paper, I wish to highlight two factors that have been under- considered, collinearity and measurement error in predic- tors, as well as to consider what happens when both exist at the same time. I examine what the consequences are for conventional regression analysis (ordinary least squares, OLS) as well as model averaging methods, typified by information theoretic approaches based around Akaike’s information criterion. Collinearity causes variance inflation of estimated slopes in OLS analysis, as is well known. In the presence of collinearity, model averaging reduces this variance for predictors with weak effects, but also can lead to parameter bias. When collinearity is strong or when all predictors have strong effects, model averaging relies heavily on the full model including all predictors and hence the results from this and OLS are essentially the same. I highlight that it is not safe to simply eliminate collinear variables without due consideration of their likely independent effects as this can lead to biases. Measurement error is also considered and I show that when collinearity exists, this can lead to extreme biases when predictors are collinear, have strong effects but differ in their degree of measurement error. I highlight techniques for dealing with and diagnosing these prob- lems. These results reinforce that automated model selection techniques should not be relied on in the analysis of complex multivariable datasets.","author":[{"dropping-particle":"","family":"Freckleton","given":"Robert P.","non-dropping-particle":"","parse-names":false,"suffix":""}],"container-title":"Behavioral Ecology and Sociobiology","id":"ITEM-1","issue":"1","issued":{"date-parts":[["2011"]]},"page":"91-101","title":"Dealing with collinearity in behavioural and ecological data: Model averaging and the problems of measurement error","type":"article-journal","volume":"65"},"uris":["http://www.mendeley.com/documents/?uuid=3b97994f-97d1-443e-9761-7a329df747ec"]}],"mendeley":{"formattedCitation":"(Freckleton, 2011)","plainTextFormattedCitation":"(Freckleton, 2011)","previouslyFormattedCitation":"(Freckleton, 2011)"},"properties":{"noteIndex":0},"schema":"https://github.com/citation-style-language/schema/raw/master/csl-citation.json"}</w:instrText>
      </w:r>
      <w:r w:rsidRPr="00B865A6">
        <w:rPr>
          <w:rFonts w:cstheme="minorHAnsi"/>
        </w:rPr>
        <w:fldChar w:fldCharType="separate"/>
      </w:r>
      <w:r w:rsidRPr="00B865A6">
        <w:rPr>
          <w:rFonts w:cstheme="minorHAnsi"/>
          <w:noProof/>
        </w:rPr>
        <w:t>(Freckleton, 2011)</w:t>
      </w:r>
      <w:r w:rsidRPr="00B865A6">
        <w:rPr>
          <w:rFonts w:cstheme="minorHAnsi"/>
        </w:rPr>
        <w:fldChar w:fldCharType="end"/>
      </w:r>
      <w:r w:rsidRPr="00B865A6">
        <w:rPr>
          <w:rFonts w:cstheme="minorHAnsi"/>
        </w:rPr>
        <w:t xml:space="preserve">. </w:t>
      </w:r>
    </w:p>
    <w:p w14:paraId="17EE5F97" w14:textId="5BAD7B9E" w:rsidR="00C83AD9" w:rsidRPr="00B865A6" w:rsidRDefault="00C83AD9" w:rsidP="00C83AD9">
      <w:pPr>
        <w:spacing w:line="480" w:lineRule="auto"/>
        <w:rPr>
          <w:rFonts w:eastAsia="PMingLiU" w:cstheme="minorHAnsi"/>
          <w:lang w:eastAsia="zh-TW"/>
        </w:rPr>
      </w:pPr>
      <w:r w:rsidRPr="00B865A6">
        <w:rPr>
          <w:rFonts w:eastAsia="PMingLiU" w:cstheme="minorHAnsi"/>
          <w:lang w:eastAsia="zh-TW"/>
        </w:rPr>
        <w:t xml:space="preserve">The scale of effect of landscape-level drivers were identified as the scales of %FOREST and %PER that featured in the best model. </w:t>
      </w:r>
      <w:r w:rsidRPr="00B865A6">
        <w:rPr>
          <w:rFonts w:cstheme="minorHAnsi"/>
        </w:rPr>
        <w:t xml:space="preserve">We favour this approach over the usual practice of fitting multiple univariate models for each extent of each landscape driver </w:t>
      </w:r>
      <w:r w:rsidRPr="00B865A6">
        <w:rPr>
          <w:rFonts w:cstheme="minorHAnsi"/>
        </w:rPr>
        <w:fldChar w:fldCharType="begin" w:fldLock="1"/>
      </w:r>
      <w:r w:rsidR="00715A6C" w:rsidRPr="00B865A6">
        <w:rPr>
          <w:rFonts w:cstheme="minorHAnsi"/>
        </w:rPr>
        <w:instrText>ADDIN CSL_CITATION {"citationItems":[{"id":"ITEM-1","itemData":{"DOI":"10.1641/0006-3568(2004)054[0227:DTSSOS]2.0.CO;2","ISBN":"0006-3568","ISSN":"0006-3568","PMID":"11649465","abstract":"Species respond to habitat at different spatial scales, yet many studies have considered this response only at relatively small scales. We developed a technique and accompanying software (Focus) that use a focal patch approach to select multiple sets of spatially independent sites. For each independent set, regressions are conducted between the habitat variable and counts of species abundance at different scales to determine the spatial scale at which species respond most strongly to an environmental or habitat variable of interest. We applied the technique to determine the spatial scales at which 12 different species of cerambycid beetles respond to forest cover. The beetles responded at different scales, from 20 to 2000 meters. We expect this technique and the accompanying software to be useful for a wide range of studies, including the analysis of existing data sets to answer questions related to the large-scale response of organisms to their environment.","author":[{"dropping-particle":"","family":"Holland","given":"Jeffrey D.","non-dropping-particle":"","parse-names":false,"suffix":""},{"dropping-particle":"","family":"Bert","given":"Daniel G.","non-dropping-particle":"","parse-names":false,"suffix":""},{"dropping-particle":"","family":"Fahrig","given":"Lenore","non-dropping-particle":"","parse-names":false,"suffix":""}],"container-title":"BioScience","id":"ITEM-1","issue":"3","issued":{"date-parts":[["2004"]]},"page":"227","title":"Determining the Spatial Scale of Species' Response to Habitat","type":"article-journal","volume":"54"},"uris":["http://www.mendeley.com/documents/?uuid=9f793945-b23a-4582-8a45-00d27e9d291b","http://www.mendeley.com/documents/?uuid=e6e0336c-ef32-4256-8b99-6b32dac607f6"]},{"id":"ITEM-2","itemData":{"DOI":"10.1371/journal.pone.0135454","ISBN":"1932-6203","ISSN":"19326203","PMID":"26267813","abstract":"Catchment land uses, particularly agriculture and urban uses, have long been recognized as major drivers of nutrient concentrations in surface waters. However, few simple models have been developed that relate the amount of catchment land use to downstream freshwater nutrients. Nor are existing models applicable to large numbers of freshwaters across broad spatial extents such as regions or continents. This research aims to increase model performance by exploring three factors that affect the relationship between land use and downstream nutrients in freshwater: the spatial extent for measuring land use, hydrologic connectivity, and the regional differences in both the amount of nutrients and effects of land use on them. We quantified the effects of these three factors that relate land use to lake total phosphorus (TP) and total nitrogen (TN) in 346 north temperate lakes in 7 regions in Michigan, USA. We used a linear mixed modeling framework to examine the importance of spatial extent, lake hydrologic class, and region on models with individual lake nutrients as the response variable, and individual land use types as the predictor variables. Our modeling approach was chosen to avoid problems of multi-collinearity among predictor variables and a lack of independence of lakes within regions, both of which are common problems in broad-scale analyses of freshwaters. We found that all three factors influence land use-lake nutrient relationships. The strongest evidence was for the effect of lake hydrologic connectivity, followed by region, and finally, the spatial extent of land use measurements. Incorporating these three factors into relatively simple models of land use effects on lake nutrients should help to improve predictions and understanding of land use-lake nutrient interactions at broad scales.","author":[{"dropping-particle":"","family":"Soranno","given":"Patricia A.","non-dropping-particle":"","parse-names":false,"suffix":""},{"dropping-particle":"","family":"Cheruvelil","given":"Kendra Spence","non-dropping-particle":"","parse-names":false,"suffix":""},{"dropping-particle":"","family":"Wagner","given":"Tyler","non-dropping-particle":"","parse-names":false,"suffix":""},{"dropping-particle":"","family":"Webster","given":"Katherine E.","non-dropping-particle":"","parse-names":false,"suffix":""},{"dropping-particle":"","family":"Bremigan","given":"Mary Tate","non-dropping-particle":"","parse-names":false,"suffix":""}],"container-title":"PLoS ONE","id":"ITEM-2","issue":"8","issued":{"date-parts":[["2015"]]},"page":"1-22","title":"Effects of land use on lake nutrients: The importance of scale, hydrologic connectivity, and region","type":"article-journal","volume":"10"},"uris":["http://www.mendeley.com/documents/?uuid=5b5e01fb-7969-4f77-aac3-e9aa9258c138"]}],"mendeley":{"formattedCitation":"(Holland et al., 2004; Soranno, Cheruvelil, Wagner, Webster, &amp; Bremigan, 2015)","manualFormatting":"(e.g. Holland et al., 2004; Soranno et al., 2015)","plainTextFormattedCitation":"(Holland et al., 2004; Soranno, Cheruvelil, Wagner, Webster, &amp; Bremigan, 2015)","previouslyFormattedCitation":"(Holland et al., 2004; Soranno, Cheruvelil, Wagner, Webster, &amp; Bremigan, 2015)"},"properties":{"noteIndex":0},"schema":"https://github.com/citation-style-language/schema/raw/master/csl-citation.json"}</w:instrText>
      </w:r>
      <w:r w:rsidRPr="00B865A6">
        <w:rPr>
          <w:rFonts w:cstheme="minorHAnsi"/>
        </w:rPr>
        <w:fldChar w:fldCharType="separate"/>
      </w:r>
      <w:r w:rsidRPr="00B865A6">
        <w:rPr>
          <w:rFonts w:cstheme="minorHAnsi"/>
          <w:noProof/>
        </w:rPr>
        <w:t xml:space="preserve">(e.g. Holland </w:t>
      </w:r>
      <w:r w:rsidRPr="00B865A6">
        <w:rPr>
          <w:rFonts w:cstheme="minorHAnsi"/>
          <w:i/>
          <w:noProof/>
        </w:rPr>
        <w:t>et al.</w:t>
      </w:r>
      <w:r w:rsidRPr="00B865A6">
        <w:rPr>
          <w:rFonts w:cstheme="minorHAnsi"/>
          <w:noProof/>
        </w:rPr>
        <w:t xml:space="preserve">, 2004; Soranno </w:t>
      </w:r>
      <w:r w:rsidRPr="00B865A6">
        <w:rPr>
          <w:rFonts w:cstheme="minorHAnsi"/>
          <w:i/>
          <w:noProof/>
        </w:rPr>
        <w:t>et al.</w:t>
      </w:r>
      <w:r w:rsidRPr="00B865A6">
        <w:rPr>
          <w:rFonts w:cstheme="minorHAnsi"/>
          <w:noProof/>
        </w:rPr>
        <w:t>, 2015)</w:t>
      </w:r>
      <w:r w:rsidRPr="00B865A6">
        <w:rPr>
          <w:rFonts w:cstheme="minorHAnsi"/>
        </w:rPr>
        <w:fldChar w:fldCharType="end"/>
      </w:r>
      <w:r w:rsidRPr="00B865A6">
        <w:rPr>
          <w:rFonts w:cstheme="minorHAnsi"/>
        </w:rPr>
        <w:t xml:space="preserve">, because univariate models necessarily omit important variables and interactions, increasing residual variance and leading to a bias in the statistical inference </w:t>
      </w:r>
      <w:r w:rsidRPr="00B865A6">
        <w:rPr>
          <w:rFonts w:cstheme="minorHAnsi"/>
        </w:rPr>
        <w:fldChar w:fldCharType="begin" w:fldLock="1"/>
      </w:r>
      <w:r w:rsidR="00715A6C" w:rsidRPr="00B865A6">
        <w:rPr>
          <w:rFonts w:cstheme="minorHAnsi"/>
        </w:rPr>
        <w:instrText>ADDIN CSL_CITATION {"citationItems":[{"id":"ITEM-1","itemData":{"DOI":"10.1111/j.2041-210x.2012.00253.x","ISBN":"2041-210X","ISSN":"2041210X","abstract":"* Including predictors in species distribution models at inappropriate spatial scales can decrease the variance explained, add residual spatial autocorrelation (RSA) and lead to the wrong conclusions. Some studies have measured predictors within different buffer sizes (scales) around sample locations, regressed each predictor against the response at each scale and selected the scale with the best model fit as the appropriate scale for this predictor. However, a predictor can influence a species at several scales or show several scales with good model fit due to a bias caused by RSA. This makes the evaluation of all scales with good model fit necessary. With potentially several scales per predictor and multiple predictors to evaluate, the number of predictors can be large relative to the number of data points, potentially impeding variable selection with traditional statistical techniques, such as logistic regression. * We trialled a variable selection process using the random forest algorithm, which allows the simultaneous evaluation of several scales of multiple predictors. Using simulated responses, we compared the performance of models resulting from this approach with models using the known predictors at arbitrary and at the known spatial scales. We also apply the proposed approach to a real data set of curlew (Numenius arquata). * AIC, AUC and Naglekerke's pseudo R2 of the models resulting from the proposed variable selection were often very similar to the models with the known predictors at known spatial scales. Only two of nine models required the addition of spatial eigenvectors to account for RSA. Arbitrary scale models always required the addition of spatial eigenvectors. 75% (50–100%) of the known predictors were selected at scales similar to the known scale (within 3 km). In the curlew model, predictors at large, medium and small spatial scales were selected, suggesting that for appropriate landscape-scale models multiple scales need to be evaluated. * The proposed approach selected several of the correct predictors at appropriate spatial scales out of 544 possible predictors. Thus, it facilitates the evaluation of multiple spatial scales of multiple predictors against each other in landscape-scale models.","author":[{"dropping-particle":"","family":"Bradter","given":"Ute","non-dropping-particle":"","parse-names":false,"suffix":""},{"dropping-particle":"","family":"Kunin","given":"William E.","non-dropping-particle":"","parse-names":false,"suffix":""},{"dropping-particle":"","family":"Altringham","given":"John D.","non-dropping-particle":"","parse-names":false,"suffix":""},{"dropping-particle":"","family":"Thom","given":"Tim J.","non-dropping-particle":"","parse-names":false,"suffix":""},{"dropping-particle":"","family":"Benton","given":"Tim G.","non-dropping-particle":"","parse-names":false,"suffix":""}],"container-title":"Methods in Ecology and Evolution","id":"ITEM-1","issue":"2","issued":{"date-parts":[["2013"]]},"page":"167-174","title":"Identifying appropriate spatial scales of predictors in species distribution models with the random forest algorithm","type":"article-journal","volume":"4"},"uris":["http://www.mendeley.com/documents/?uuid=0574bb2b-bb38-4ed9-953f-9c695dcc36d5"]}],"mendeley":{"formattedCitation":"(Bradter, Kunin, Altringham, Thom, &amp; Benton, 2013)","plainTextFormattedCitation":"(Bradter, Kunin, Altringham, Thom, &amp; Benton, 2013)","previouslyFormattedCitation":"(Bradter, Kunin, Altringham, Thom, &amp; Benton, 2013)"},"properties":{"noteIndex":0},"schema":"https://github.com/citation-style-language/schema/raw/master/csl-citation.json"}</w:instrText>
      </w:r>
      <w:r w:rsidRPr="00B865A6">
        <w:rPr>
          <w:rFonts w:cstheme="minorHAnsi"/>
        </w:rPr>
        <w:fldChar w:fldCharType="separate"/>
      </w:r>
      <w:r w:rsidR="00770064" w:rsidRPr="00B865A6">
        <w:rPr>
          <w:rFonts w:cstheme="minorHAnsi"/>
          <w:noProof/>
        </w:rPr>
        <w:t>(Bradter, Kunin, Altringham, Thom, &amp; Benton, 2013)</w:t>
      </w:r>
      <w:r w:rsidRPr="00B865A6">
        <w:rPr>
          <w:rFonts w:cstheme="minorHAnsi"/>
        </w:rPr>
        <w:fldChar w:fldCharType="end"/>
      </w:r>
      <w:r w:rsidRPr="00B865A6">
        <w:rPr>
          <w:rFonts w:cstheme="minorHAnsi"/>
        </w:rPr>
        <w:t xml:space="preserve">. </w:t>
      </w:r>
    </w:p>
    <w:p w14:paraId="2ED5F348" w14:textId="43BD2917" w:rsidR="00C83AD9" w:rsidRPr="00B865A6" w:rsidRDefault="00C83AD9" w:rsidP="00C83AD9">
      <w:pPr>
        <w:spacing w:line="480" w:lineRule="auto"/>
        <w:rPr>
          <w:rFonts w:cstheme="minorHAnsi"/>
        </w:rPr>
      </w:pPr>
      <w:r w:rsidRPr="00B865A6">
        <w:rPr>
          <w:rFonts w:cstheme="minorHAnsi"/>
        </w:rPr>
        <w:t xml:space="preserve">To ascertain the relative variable importance, we re-ran model selection with landscape-level variables quantified at the scales selected by the best model. </w:t>
      </w:r>
      <w:r w:rsidRPr="00B865A6">
        <w:rPr>
          <w:rFonts w:eastAsia="PMingLiU" w:cstheme="minorHAnsi"/>
          <w:lang w:eastAsia="zh-TW"/>
        </w:rPr>
        <w:t xml:space="preserve">AIC was used to identify a candidate set of considerably supported models (ΔAIC ≤4 according to Burnham &amp; Anderson, 2004; Aho et al., </w:t>
      </w:r>
      <w:r w:rsidRPr="00B865A6">
        <w:rPr>
          <w:rFonts w:eastAsia="PMingLiU" w:cstheme="minorHAnsi"/>
          <w:lang w:eastAsia="zh-TW"/>
        </w:rPr>
        <w:lastRenderedPageBreak/>
        <w:t xml:space="preserve">2014). </w:t>
      </w:r>
      <w:r w:rsidRPr="00B865A6">
        <w:rPr>
          <w:rFonts w:cstheme="minorHAnsi"/>
        </w:rPr>
        <w:t xml:space="preserve">Importance values were then calculated by summing the Akaike weights of models that included the term in question (Burnham and Anderson, 2004). </w:t>
      </w:r>
    </w:p>
    <w:p w14:paraId="60E2D94F" w14:textId="77777777" w:rsidR="00C83AD9" w:rsidRPr="00B865A6" w:rsidRDefault="00C83AD9" w:rsidP="00C83AD9">
      <w:pPr>
        <w:pStyle w:val="Heading3"/>
        <w:spacing w:line="480" w:lineRule="auto"/>
      </w:pPr>
      <w:r w:rsidRPr="00B865A6">
        <w:t>Visualisation and interpretation of results</w:t>
      </w:r>
    </w:p>
    <w:p w14:paraId="79B7A8D4" w14:textId="77DAB415" w:rsidR="00C83AD9" w:rsidRPr="00B865A6" w:rsidRDefault="00C83AD9" w:rsidP="00C80CFF">
      <w:pPr>
        <w:spacing w:line="480" w:lineRule="auto"/>
        <w:rPr>
          <w:lang w:eastAsia="zh-CN"/>
        </w:rPr>
      </w:pPr>
      <w:r w:rsidRPr="00B865A6">
        <w:rPr>
          <w:lang w:eastAsia="zh-CN"/>
        </w:rPr>
        <w:t>We detected a three-way interaction between forest cover (%FOREST) within 500-m of a forest site, regional climatic harshness (HARSH) and deer density (DEERDENS), explaining variation in damage (see Results). Interpretation and visualisation of three-way interactions and nonlinear responses is challenging</w:t>
      </w:r>
      <w:r w:rsidR="00C80CFF" w:rsidRPr="00B865A6">
        <w:rPr>
          <w:lang w:eastAsia="zh-CN"/>
        </w:rPr>
        <w:t>. We therefore</w:t>
      </w:r>
      <w:r w:rsidR="00C80CFF" w:rsidRPr="00B865A6">
        <w:t xml:space="preserve"> </w:t>
      </w:r>
      <w:r w:rsidR="00C80CFF" w:rsidRPr="00B865A6">
        <w:rPr>
          <w:lang w:eastAsia="zh-CN"/>
        </w:rPr>
        <w:t>interpret effects through differences in predicted values of damage from the best model, using logically relevant and substantively meaningful values of predictors</w:t>
      </w:r>
      <w:r w:rsidR="00CD5EFF" w:rsidRPr="00B865A6">
        <w:rPr>
          <w:lang w:eastAsia="zh-CN"/>
        </w:rPr>
        <w:t xml:space="preserve"> </w:t>
      </w:r>
      <w:r w:rsidR="00495160" w:rsidRPr="00B865A6">
        <w:rPr>
          <w:lang w:eastAsia="zh-CN"/>
        </w:rPr>
        <w:fldChar w:fldCharType="begin" w:fldLock="1"/>
      </w:r>
      <w:r w:rsidR="00715A6C" w:rsidRPr="00B865A6">
        <w:rPr>
          <w:lang w:eastAsia="zh-CN"/>
        </w:rPr>
        <w:instrText>ADDIN CSL_CITATION {"citationItems":[{"id":"ITEM-1","itemData":{"DOI":"10.1111/j.1540-5907.2012.00602.x","author":[{"dropping-particle":"","family":"Hanmer","given":"Michael J","non-dropping-particle":"","parse-names":false,"suffix":""},{"dropping-particle":"","family":"Kalkan","given":"Kerem Ozan","non-dropping-particle":"","parse-names":false,"suffix":""}],"container-title":"American Journal ofPolitical Science","id":"ITEM-1","issue":"1","issued":{"date-parts":[["2013"]]},"page":"263-277","title":"Behind the Curve: Clarifying the Best Approach to Calculating Predicted Probabilities and Marginal Effects from Limited Dependent Variable Models","type":"article-journal","volume":"57"},"uris":["http://www.mendeley.com/documents/?uuid=76c5a464-ce92-4f44-b7cb-b1eec9f8fc4b"]},{"id":"ITEM-2","itemData":{"author":[{"dropping-particle":"","family":"Breheny","given":"P","non-dropping-particle":"","parse-names":false,"suffix":""},{"dropping-particle":"","family":"Burchett","given":"W","non-dropping-particle":"","parse-names":false,"suffix":""}],"container-title":"The R Journal","id":"ITEM-2","issued":{"date-parts":[["2017"]]},"page":"56-71","title":"Visualization of Regression Models Using visreg","type":"article-journal","volume":"9"},"uris":["http://www.mendeley.com/documents/?uuid=a4ca8e6c-492e-48e7-94ad-d254f581eaf8"]}],"mendeley":{"formattedCitation":"(Hanmer &amp; Kalkan, 2013; Breheny &amp; Burchett, 2017)","plainTextFormattedCitation":"(Hanmer &amp; Kalkan, 2013; Breheny &amp; Burchett, 2017)","previouslyFormattedCitation":"(Hanmer &amp; Kalkan, 2013; Breheny &amp; Burchett, 2017)"},"properties":{"noteIndex":0},"schema":"https://github.com/citation-style-language/schema/raw/master/csl-citation.json"}</w:instrText>
      </w:r>
      <w:r w:rsidR="00495160" w:rsidRPr="00B865A6">
        <w:rPr>
          <w:lang w:eastAsia="zh-CN"/>
        </w:rPr>
        <w:fldChar w:fldCharType="separate"/>
      </w:r>
      <w:r w:rsidR="00770064" w:rsidRPr="00B865A6">
        <w:rPr>
          <w:noProof/>
          <w:lang w:eastAsia="zh-CN"/>
        </w:rPr>
        <w:t>(Hanmer &amp; Kalkan, 2013; Breheny &amp; Burchett, 2017)</w:t>
      </w:r>
      <w:r w:rsidR="00495160" w:rsidRPr="00B865A6">
        <w:rPr>
          <w:lang w:eastAsia="zh-CN"/>
        </w:rPr>
        <w:fldChar w:fldCharType="end"/>
      </w:r>
      <w:r w:rsidR="00495160" w:rsidRPr="00B865A6">
        <w:rPr>
          <w:lang w:eastAsia="zh-CN"/>
        </w:rPr>
        <w:t>.</w:t>
      </w:r>
      <w:r w:rsidR="00C36AD3" w:rsidRPr="00B865A6">
        <w:rPr>
          <w:lang w:eastAsia="zh-CN"/>
        </w:rPr>
        <w:t xml:space="preserve"> </w:t>
      </w:r>
      <w:r w:rsidRPr="00B865A6">
        <w:rPr>
          <w:lang w:eastAsia="zh-CN"/>
        </w:rPr>
        <w:t xml:space="preserve">To do so in a way that produces practicable and targeted management recommendations, we designated %FOREST as the focal variable of interest, given recently proposed afforestation initiatives </w:t>
      </w:r>
      <w:r w:rsidR="00C36AD3" w:rsidRPr="00B865A6">
        <w:fldChar w:fldCharType="begin" w:fldLock="1"/>
      </w:r>
      <w:r w:rsidR="00C36AD3" w:rsidRPr="00B865A6">
        <w:instrText>ADDIN CSL_CITATION {"citationItems":[{"id":"ITEM-1","itemData":{"author":[{"dropping-particle":"","family":"DEFRA","given":"","non-dropping-particle":"","parse-names":false,"suffix":""}],"id":"ITEM-1","issued":{"date-parts":[["2018"]]},"publisher-place":"London","title":"A Green Future: Our 25 Year plan to improve the environment","type":"report"},"uris":["http://www.mendeley.com/documents/?uuid=4484bc92-1d57-405a-a5a3-4c02d068b44a"]},{"id":"ITEM-2","itemData":{"author":[{"dropping-particle":"","family":"Conservative and Unionist Party","given":"","non-dropping-particle":"","parse-names":false,"suffix":""}],"id":"ITEM-2","issued":{"date-parts":[["2019"]]},"title":"Get Brexit Done. Unleash Britain’s Potential. The Conservative and Unionist Party Manifesto 2019.","type":"report"},"uris":["http://www.mendeley.com/documents/?uuid=1a531fa7-69ea-4b57-a45e-1bdeaee08d0b"]}],"mendeley":{"formattedCitation":"(DEFRA, 2018; Conservative and Unionist Party, 2019)","plainTextFormattedCitation":"(DEFRA, 2018; Conservative and Unionist Party, 2019)","previouslyFormattedCitation":"(DEFRA, 2018; Conservative and Unionist Party, 2019)"},"properties":{"noteIndex":0},"schema":"https://github.com/citation-style-language/schema/raw/master/csl-citation.json"}</w:instrText>
      </w:r>
      <w:r w:rsidR="00C36AD3" w:rsidRPr="00B865A6">
        <w:fldChar w:fldCharType="separate"/>
      </w:r>
      <w:r w:rsidR="00C36AD3" w:rsidRPr="00B865A6">
        <w:rPr>
          <w:noProof/>
        </w:rPr>
        <w:t>(DEFRA, 2018; Conservative and Unionist Party, 2019)</w:t>
      </w:r>
      <w:r w:rsidR="00C36AD3" w:rsidRPr="00B865A6">
        <w:fldChar w:fldCharType="end"/>
      </w:r>
      <w:r w:rsidR="00C36AD3" w:rsidRPr="00B865A6">
        <w:t>,</w:t>
      </w:r>
      <w:r w:rsidRPr="00B865A6">
        <w:rPr>
          <w:lang w:eastAsia="zh-CN"/>
        </w:rPr>
        <w:t xml:space="preserve"> and HARSH and DEERDENS as regional moderating variables, that interactively moderate its effect. </w:t>
      </w:r>
      <w:r w:rsidRPr="00B865A6">
        <w:rPr>
          <w:rFonts w:cstheme="minorHAnsi"/>
        </w:rPr>
        <w:t xml:space="preserve">We used R packages visreg </w:t>
      </w:r>
      <w:r w:rsidRPr="00B865A6">
        <w:rPr>
          <w:rFonts w:cstheme="minorHAnsi"/>
        </w:rPr>
        <w:fldChar w:fldCharType="begin" w:fldLock="1"/>
      </w:r>
      <w:r w:rsidR="00715A6C" w:rsidRPr="00B865A6">
        <w:rPr>
          <w:rFonts w:cstheme="minorHAnsi"/>
        </w:rPr>
        <w:instrText>ADDIN CSL_CITATION {"citationItems":[{"id":"ITEM-1","itemData":{"author":[{"dropping-particle":"","family":"Breheny","given":"P","non-dropping-particle":"","parse-names":false,"suffix":""},{"dropping-particle":"","family":"Burchett","given":"W","non-dropping-particle":"","parse-names":false,"suffix":""}],"container-title":"The R Journal","id":"ITEM-1","issued":{"date-parts":[["2017"]]},"page":"56-71","title":"Visualization of Regression Models Using visreg","type":"article-journal","volume":"9"},"uris":["http://www.mendeley.com/documents/?uuid=a4ca8e6c-492e-48e7-94ad-d254f581eaf8"]}],"mendeley":{"formattedCitation":"(Breheny &amp; Burchett, 2017)","plainTextFormattedCitation":"(Breheny &amp; Burchett, 2017)","previouslyFormattedCitation":"(Breheny &amp; Burchett, 2017)"},"properties":{"noteIndex":0},"schema":"https://github.com/citation-style-language/schema/raw/master/csl-citation.json"}</w:instrText>
      </w:r>
      <w:r w:rsidRPr="00B865A6">
        <w:rPr>
          <w:rFonts w:cstheme="minorHAnsi"/>
        </w:rPr>
        <w:fldChar w:fldCharType="separate"/>
      </w:r>
      <w:r w:rsidR="00770064" w:rsidRPr="00B865A6">
        <w:rPr>
          <w:rFonts w:cstheme="minorHAnsi"/>
          <w:noProof/>
        </w:rPr>
        <w:t>(Breheny &amp; Burchett, 2017)</w:t>
      </w:r>
      <w:r w:rsidRPr="00B865A6">
        <w:rPr>
          <w:rFonts w:cstheme="minorHAnsi"/>
        </w:rPr>
        <w:fldChar w:fldCharType="end"/>
      </w:r>
      <w:r w:rsidRPr="00B865A6">
        <w:rPr>
          <w:rFonts w:cstheme="minorHAnsi"/>
        </w:rPr>
        <w:t xml:space="preserve"> and ggplot2 </w:t>
      </w:r>
      <w:r w:rsidRPr="00B865A6">
        <w:rPr>
          <w:rFonts w:cstheme="minorHAnsi"/>
        </w:rPr>
        <w:fldChar w:fldCharType="begin" w:fldLock="1"/>
      </w:r>
      <w:r w:rsidR="00715A6C" w:rsidRPr="00B865A6">
        <w:rPr>
          <w:rFonts w:cstheme="minorHAnsi"/>
        </w:rPr>
        <w:instrText>ADDIN CSL_CITATION {"citationItems":[{"id":"ITEM-1","itemData":{"author":[{"dropping-particle":"","family":"Wickham","given":"H","non-dropping-particle":"","parse-names":false,"suffix":""}],"id":"ITEM-1","issued":{"date-parts":[["2016"]]},"publisher":"Springer-Verlag","publisher-place":"New York","title":"ggplot2: Elegant Graphics for Data Analysis","type":"book"},"uris":["http://www.mendeley.com/documents/?uuid=0e5598b4-1050-4d90-bcdd-3e543654c488"]}],"mendeley":{"formattedCitation":"(Wickham, 2016)","plainTextFormattedCitation":"(Wickham, 2016)","previouslyFormattedCitation":"(Wickham, 2016)"},"properties":{"noteIndex":0},"schema":"https://github.com/citation-style-language/schema/raw/master/csl-citation.json"}</w:instrText>
      </w:r>
      <w:r w:rsidRPr="00B865A6">
        <w:rPr>
          <w:rFonts w:cstheme="minorHAnsi"/>
        </w:rPr>
        <w:fldChar w:fldCharType="separate"/>
      </w:r>
      <w:r w:rsidR="00770064" w:rsidRPr="00B865A6">
        <w:rPr>
          <w:rFonts w:cstheme="minorHAnsi"/>
          <w:noProof/>
        </w:rPr>
        <w:t>(Wickham, 2016)</w:t>
      </w:r>
      <w:r w:rsidRPr="00B865A6">
        <w:rPr>
          <w:rFonts w:cstheme="minorHAnsi"/>
        </w:rPr>
        <w:fldChar w:fldCharType="end"/>
      </w:r>
      <w:r w:rsidRPr="00B865A6">
        <w:rPr>
          <w:rFonts w:cstheme="minorHAnsi"/>
        </w:rPr>
        <w:t xml:space="preserve"> to visualise the outputs of the best model, and </w:t>
      </w:r>
      <w:r w:rsidRPr="00B865A6">
        <w:rPr>
          <w:lang w:eastAsia="zh-CN"/>
        </w:rPr>
        <w:t>represented the results in three ways:</w:t>
      </w:r>
    </w:p>
    <w:p w14:paraId="15D4B3E5" w14:textId="77777777" w:rsidR="00C83AD9" w:rsidRPr="00B865A6" w:rsidRDefault="00C83AD9" w:rsidP="00C83AD9">
      <w:pPr>
        <w:pStyle w:val="ListParagraph"/>
        <w:numPr>
          <w:ilvl w:val="0"/>
          <w:numId w:val="10"/>
        </w:numPr>
        <w:spacing w:line="480" w:lineRule="auto"/>
        <w:rPr>
          <w:rFonts w:cstheme="minorHAnsi"/>
          <w:lang w:eastAsia="zh-CN"/>
        </w:rPr>
      </w:pPr>
      <w:r w:rsidRPr="00B865A6">
        <w:rPr>
          <w:rFonts w:cstheme="minorHAnsi"/>
          <w:lang w:eastAsia="zh-CN"/>
        </w:rPr>
        <w:t xml:space="preserve">Marginal effect plots (Figs 3 &amp; 4): These plots display the relationship between </w:t>
      </w:r>
      <w:r w:rsidR="00E55EB5" w:rsidRPr="00B865A6">
        <w:rPr>
          <w:rFonts w:cstheme="minorHAnsi"/>
          <w:lang w:eastAsia="zh-CN"/>
        </w:rPr>
        <w:t xml:space="preserve">a focal </w:t>
      </w:r>
      <w:r w:rsidRPr="00B865A6">
        <w:rPr>
          <w:rFonts w:cstheme="minorHAnsi"/>
          <w:lang w:eastAsia="zh-CN"/>
        </w:rPr>
        <w:t xml:space="preserve">explanatory variable (i.e. %FOREST) and the outcome (i.e. deer damage probability) </w:t>
      </w:r>
      <w:r w:rsidR="00E55EB5" w:rsidRPr="00B865A6">
        <w:rPr>
          <w:rFonts w:cstheme="minorHAnsi"/>
          <w:lang w:eastAsia="zh-CN"/>
        </w:rPr>
        <w:t>with</w:t>
      </w:r>
      <w:r w:rsidRPr="00B865A6">
        <w:rPr>
          <w:rFonts w:cstheme="minorHAnsi"/>
          <w:lang w:eastAsia="zh-CN"/>
        </w:rPr>
        <w:t xml:space="preserve"> the other explanatory variables are held at some constant values.</w:t>
      </w:r>
      <w:r w:rsidRPr="00B865A6">
        <w:rPr>
          <w:rFonts w:cstheme="minorHAnsi"/>
          <w:lang w:eastAsia="en-GB"/>
        </w:rPr>
        <w:t xml:space="preserve"> Because interaction effects are challenging to meaningfully interpret, p</w:t>
      </w:r>
      <w:r w:rsidRPr="00B865A6">
        <w:rPr>
          <w:rFonts w:cstheme="minorHAnsi"/>
          <w:lang w:eastAsia="zh-CN"/>
        </w:rPr>
        <w:t xml:space="preserve">lots displaying the marginal effect of %FOREST on deer damage, across various spatial contexts (that correspond to different combinations of constant values) are useful to visualise the variety of deer damage responses to this context-dependent driver. </w:t>
      </w:r>
      <w:r w:rsidRPr="00B865A6">
        <w:rPr>
          <w:rFonts w:cstheme="minorHAnsi"/>
          <w:lang w:eastAsia="en-GB"/>
        </w:rPr>
        <w:t>To do this for multiple spatial contexts in Britain,</w:t>
      </w:r>
      <w:r w:rsidR="009A2960" w:rsidRPr="00B865A6">
        <w:rPr>
          <w:rFonts w:cstheme="minorHAnsi"/>
          <w:lang w:eastAsia="en-GB"/>
        </w:rPr>
        <w:t xml:space="preserve"> </w:t>
      </w:r>
      <w:r w:rsidRPr="00B865A6">
        <w:rPr>
          <w:rFonts w:cstheme="minorHAnsi"/>
          <w:lang w:eastAsia="en-GB"/>
        </w:rPr>
        <w:t xml:space="preserve">we divided the continuous gradients HARSH and DEERDENS into low, medium and high values, at sample quantiles corresponding to probabilities of 0.2 (low), medium (0.5), and high (0.8). This yielded nine groupings of HARSH and DEERDENS quantiles (low-low, low-medium, low-high etc). We graphed </w:t>
      </w:r>
      <w:r w:rsidRPr="00B865A6">
        <w:rPr>
          <w:rFonts w:cstheme="minorHAnsi"/>
        </w:rPr>
        <w:t>marginal effect plots of damage responses to %FOREST</w:t>
      </w:r>
      <w:r w:rsidRPr="00B865A6">
        <w:rPr>
          <w:rFonts w:cstheme="minorHAnsi"/>
          <w:lang w:eastAsia="en-GB"/>
        </w:rPr>
        <w:t xml:space="preserve"> for high and low </w:t>
      </w:r>
      <w:r w:rsidRPr="00B865A6">
        <w:rPr>
          <w:rFonts w:cstheme="minorHAnsi"/>
          <w:lang w:eastAsia="en-GB"/>
        </w:rPr>
        <w:lastRenderedPageBreak/>
        <w:t>levels of perennial cover (%PER, 66% and 33%</w:t>
      </w:r>
      <w:r w:rsidRPr="00B865A6">
        <w:rPr>
          <w:rFonts w:cstheme="minorHAnsi"/>
        </w:rPr>
        <w:t xml:space="preserve">, which was </w:t>
      </w:r>
      <w:r w:rsidRPr="00B865A6">
        <w:rPr>
          <w:rFonts w:cstheme="minorHAnsi"/>
          <w:lang w:eastAsia="en-GB"/>
        </w:rPr>
        <w:t xml:space="preserve">also important in explaining </w:t>
      </w:r>
      <w:r w:rsidRPr="00B865A6">
        <w:rPr>
          <w:rFonts w:cstheme="minorHAnsi"/>
        </w:rPr>
        <w:t>damage</w:t>
      </w:r>
      <w:r w:rsidRPr="00B865A6">
        <w:rPr>
          <w:rFonts w:cstheme="minorHAnsi"/>
          <w:lang w:eastAsia="en-GB"/>
        </w:rPr>
        <w:t>, see Results)</w:t>
      </w:r>
      <w:r w:rsidRPr="00B865A6">
        <w:rPr>
          <w:rFonts w:cstheme="minorHAnsi"/>
        </w:rPr>
        <w:t>,</w:t>
      </w:r>
      <w:r w:rsidRPr="00B865A6">
        <w:rPr>
          <w:rFonts w:cstheme="minorHAnsi"/>
          <w:lang w:eastAsia="en-GB"/>
        </w:rPr>
        <w:t xml:space="preserve"> with other conditional variables (that were not graphed) held at their median or mode for continuous and categorical variables, respectively. To facilitate the spatial targeting of deer damage mitigation strategies, </w:t>
      </w:r>
      <w:r w:rsidRPr="00B865A6">
        <w:rPr>
          <w:rFonts w:cstheme="minorHAnsi"/>
        </w:rPr>
        <w:t>a map grouping UK pixels into the nearest DEERDENS and HARSH quantile groupings accompanied the marginal effect plots</w:t>
      </w:r>
      <w:r w:rsidRPr="00B865A6">
        <w:rPr>
          <w:rFonts w:cstheme="minorHAnsi"/>
          <w:lang w:eastAsia="en-GB"/>
        </w:rPr>
        <w:t xml:space="preserve">. </w:t>
      </w:r>
    </w:p>
    <w:p w14:paraId="1C061ACE" w14:textId="009E55E3" w:rsidR="00C83AD9" w:rsidRPr="00B865A6" w:rsidRDefault="00C83AD9" w:rsidP="00C83AD9">
      <w:pPr>
        <w:pStyle w:val="ListParagraph"/>
        <w:numPr>
          <w:ilvl w:val="0"/>
          <w:numId w:val="10"/>
        </w:numPr>
        <w:spacing w:line="480" w:lineRule="auto"/>
        <w:rPr>
          <w:rFonts w:eastAsiaTheme="majorEastAsia" w:cstheme="minorHAnsi"/>
          <w:lang w:eastAsia="zh-CN"/>
        </w:rPr>
      </w:pPr>
      <w:r w:rsidRPr="00B865A6">
        <w:rPr>
          <w:rFonts w:cstheme="minorHAnsi"/>
          <w:lang w:eastAsia="zh-CN"/>
        </w:rPr>
        <w:t xml:space="preserve">Effect maps (Fig. 5): To visualise spatial heterogeneity in the direction and magnitude of the effect of afforestation (increasing %FOREST) on the probability of deer damage across Britain, we first mapped predicted damage using 10-km×10km pixel-level values of HARSH, DEERDENS and %PER. Occupancies were predicted for two levels of %FOREST within 500-m surrounding a site, 25% and 100%, corresponding to a plausible degree of afforestation. Occupancies were only predicted within the sampled range of predictor variables, with other conditional variables held at their median or mode. We then estimated and mapped an effect size, the risk difference (the difference in damage probabilities), to represent the direction and magnitude of the effect of afforestation (termed ‘effect maps’, sensu </w:t>
      </w:r>
      <w:r w:rsidRPr="00B865A6">
        <w:rPr>
          <w:rFonts w:cstheme="minorHAnsi"/>
          <w:lang w:eastAsia="zh-CN"/>
        </w:rPr>
        <w:fldChar w:fldCharType="begin" w:fldLock="1"/>
      </w:r>
      <w:r w:rsidR="00715A6C" w:rsidRPr="00B865A6">
        <w:rPr>
          <w:rFonts w:cstheme="minorHAnsi"/>
          <w:lang w:eastAsia="zh-CN"/>
        </w:rPr>
        <w:instrText>ADDIN CSL_CITATION {"citationItems":[{"id":"ITEM-1","itemData":{"author":[{"dropping-particle":"","family":"Spake","given":"Rebecca","non-dropping-particle":"","parse-names":false,"suffix":""},{"dropping-particle":"","family":"Bellamy","given":"Chloe","non-dropping-particle":"","parse-names":false,"suffix":""},{"dropping-particle":"","family":"Graham","given":"Laura","non-dropping-particle":"","parse-names":false,"suffix":""},{"dropping-particle":"","family":"Watts","given":"Kevin","non-dropping-particle":"","parse-names":false,"suffix":""},{"dropping-particle":"","family":"Wilson","given":"Tom","non-dropping-particle":"","parse-names":false,"suffix":""},{"dropping-particle":"","family":"Norton","given":"Lisa","non-dropping-particle":"","parse-names":false,"suffix":""},{"dropping-particle":"","family":"Wood","given":"Claire","non-dropping-particle":"","parse-names":false,"suffix":""},{"dropping-particle":"","family":"Schmucki","given":"Reto","non-dropping-particle":"","parse-names":false,"suffix":""},{"dropping-particle":"","family":"Bullock","given":"James","non-dropping-particle":"","parse-names":false,"suffix":""},{"dropping-particle":"","family":"Eigenbrod","given":"Felix","non-dropping-particle":"","parse-names":false,"suffix":""}],"container-title":"Nature Sustainability","id":"ITEM-1","issued":{"date-parts":[["2019"]]},"page":"1-9","title":"An analytical framework for spatially targeted management of natural capital","type":"article-journal"},"uris":["http://www.mendeley.com/documents/?uuid=03b65ee0-e52c-4c00-8c2c-51f1c0ed62c8"]}],"mendeley":{"formattedCitation":"(Spake et al., 2019)","manualFormatting":"Spake et al., (2019)","plainTextFormattedCitation":"(Spake et al., 2019)","previouslyFormattedCitation":"(Spake et al., 2019)"},"properties":{"noteIndex":0},"schema":"https://github.com/citation-style-language/schema/raw/master/csl-citation.json"}</w:instrText>
      </w:r>
      <w:r w:rsidRPr="00B865A6">
        <w:rPr>
          <w:rFonts w:cstheme="minorHAnsi"/>
          <w:lang w:eastAsia="zh-CN"/>
        </w:rPr>
        <w:fldChar w:fldCharType="separate"/>
      </w:r>
      <w:r w:rsidRPr="00B865A6">
        <w:rPr>
          <w:rFonts w:cstheme="minorHAnsi"/>
          <w:noProof/>
          <w:lang w:eastAsia="zh-CN"/>
        </w:rPr>
        <w:t xml:space="preserve">Spake </w:t>
      </w:r>
      <w:r w:rsidRPr="00B865A6">
        <w:rPr>
          <w:rFonts w:cstheme="minorHAnsi"/>
          <w:i/>
          <w:noProof/>
          <w:lang w:eastAsia="zh-CN"/>
        </w:rPr>
        <w:t>et al.</w:t>
      </w:r>
      <w:r w:rsidRPr="00B865A6">
        <w:rPr>
          <w:rFonts w:cstheme="minorHAnsi"/>
          <w:noProof/>
          <w:lang w:eastAsia="zh-CN"/>
        </w:rPr>
        <w:t>, (2019)</w:t>
      </w:r>
      <w:r w:rsidRPr="00B865A6">
        <w:rPr>
          <w:rFonts w:cstheme="minorHAnsi"/>
          <w:lang w:eastAsia="zh-CN"/>
        </w:rPr>
        <w:fldChar w:fldCharType="end"/>
      </w:r>
      <w:r w:rsidRPr="00B865A6">
        <w:rPr>
          <w:rFonts w:cstheme="minorHAnsi"/>
          <w:lang w:eastAsia="zh-CN"/>
        </w:rPr>
        <w:t xml:space="preserve">). Positive values correspond to increases in the probability of damage following afforestation from 25% to 100% %FOREST within 500-m of a forest site, while negative values corresponded to a decrease in damage probability. </w:t>
      </w:r>
    </w:p>
    <w:p w14:paraId="313F16AC" w14:textId="746DFCF4" w:rsidR="00C83AD9" w:rsidRPr="00B865A6" w:rsidRDefault="00C83AD9" w:rsidP="00C83AD9">
      <w:pPr>
        <w:pStyle w:val="ListParagraph"/>
        <w:numPr>
          <w:ilvl w:val="0"/>
          <w:numId w:val="10"/>
        </w:numPr>
        <w:spacing w:line="480" w:lineRule="auto"/>
        <w:rPr>
          <w:rFonts w:asciiTheme="majorHAnsi" w:eastAsiaTheme="majorEastAsia" w:hAnsiTheme="majorHAnsi" w:cstheme="majorBidi"/>
          <w:b/>
          <w:sz w:val="26"/>
          <w:szCs w:val="26"/>
          <w:lang w:eastAsia="zh-CN"/>
        </w:rPr>
      </w:pPr>
      <w:r w:rsidRPr="00B865A6">
        <w:rPr>
          <w:rFonts w:cstheme="minorHAnsi"/>
          <w:lang w:eastAsia="zh-CN"/>
        </w:rPr>
        <w:t xml:space="preserve">Interactive ‘Deer Damage Tool’ (Fig 6): We used the Shiny R package </w:t>
      </w:r>
      <w:r w:rsidRPr="00B865A6">
        <w:rPr>
          <w:rFonts w:cstheme="minorHAnsi"/>
          <w:lang w:eastAsia="zh-CN"/>
        </w:rPr>
        <w:fldChar w:fldCharType="begin" w:fldLock="1"/>
      </w:r>
      <w:r w:rsidR="00715A6C" w:rsidRPr="00B865A6">
        <w:rPr>
          <w:rFonts w:cstheme="minorHAnsi"/>
          <w:lang w:eastAsia="zh-CN"/>
        </w:rPr>
        <w:instrText>ADDIN CSL_CITATION {"citationItems":[{"id":"ITEM-1","itemData":{"author":[{"dropping-particle":"","family":"Chang","given":"W.","non-dropping-particle":"","parse-names":false,"suffix":""},{"dropping-particle":"","family":"Cheng","given":"J.","non-dropping-particle":"","parse-names":false,"suffix":""},{"dropping-particle":"","family":"Allaire","given":"J.J.","non-dropping-particle":"","parse-names":false,"suffix":""},{"dropping-particle":"","family":"Xie","given":"Y","non-dropping-particle":"","parse-names":false,"suffix":""},{"dropping-particle":"","family":"McPherson","given":"J","non-dropping-particle":"","parse-names":false,"suffix":""}],"id":"ITEM-1","issued":{"date-parts":[["2016"]]},"title":"shiny: Web Application Framework for R","type":"article"},"uris":["http://www.mendeley.com/documents/?uuid=86e22b7f-f6d8-48f4-a485-edcffdb2ee34"]}],"mendeley":{"formattedCitation":"(Chang, Cheng, Allaire, Xie, &amp; McPherson, 2016)","plainTextFormattedCitation":"(Chang, Cheng, Allaire, Xie, &amp; McPherson, 2016)","previouslyFormattedCitation":"(Chang, Cheng, Allaire, Xie, &amp; McPherson, 2016)"},"properties":{"noteIndex":0},"schema":"https://github.com/citation-style-language/schema/raw/master/csl-citation.json"}</w:instrText>
      </w:r>
      <w:r w:rsidRPr="00B865A6">
        <w:rPr>
          <w:rFonts w:cstheme="minorHAnsi"/>
          <w:lang w:eastAsia="zh-CN"/>
        </w:rPr>
        <w:fldChar w:fldCharType="separate"/>
      </w:r>
      <w:r w:rsidR="00770064" w:rsidRPr="00B865A6">
        <w:rPr>
          <w:rFonts w:cstheme="minorHAnsi"/>
          <w:noProof/>
          <w:lang w:eastAsia="zh-CN"/>
        </w:rPr>
        <w:t>(Chang, Cheng, Allaire, Xie, &amp; McPherson, 2016)</w:t>
      </w:r>
      <w:r w:rsidRPr="00B865A6">
        <w:rPr>
          <w:rFonts w:cstheme="minorHAnsi"/>
          <w:lang w:eastAsia="zh-CN"/>
        </w:rPr>
        <w:fldChar w:fldCharType="end"/>
      </w:r>
      <w:r w:rsidRPr="00B865A6">
        <w:rPr>
          <w:rFonts w:cstheme="minorHAnsi"/>
          <w:lang w:eastAsia="zh-CN"/>
        </w:rPr>
        <w:t xml:space="preserve"> to develop an interactive webtool that allows for the inspection of model predictions for selected locations across Britain. Users may dynamically select the regional context (10-km pixel), corresponding to actual DEERDENS and HARSH values, in addition to levels of local forest variables, to visualise how predicted damage probability varies with %PER and the full range of %FOREST (0-100%) surrounding a forest site.</w:t>
      </w:r>
      <w:bookmarkStart w:id="27" w:name="_Toc517892362"/>
      <w:bookmarkStart w:id="28" w:name="_Toc520716272"/>
      <w:bookmarkStart w:id="29" w:name="_Toc534293635"/>
      <w:r w:rsidRPr="00B865A6">
        <w:br w:type="page"/>
      </w:r>
    </w:p>
    <w:p w14:paraId="5C55830C" w14:textId="77777777" w:rsidR="00C83AD9" w:rsidRPr="00B865A6" w:rsidRDefault="00C83AD9" w:rsidP="00C83AD9">
      <w:pPr>
        <w:pStyle w:val="Heading2"/>
        <w:spacing w:line="480" w:lineRule="auto"/>
      </w:pPr>
      <w:r w:rsidRPr="00B865A6">
        <w:lastRenderedPageBreak/>
        <w:t>Results</w:t>
      </w:r>
      <w:bookmarkEnd w:id="27"/>
      <w:bookmarkEnd w:id="28"/>
      <w:bookmarkEnd w:id="29"/>
    </w:p>
    <w:p w14:paraId="579156E6" w14:textId="74C916C4" w:rsidR="00C83AD9" w:rsidRPr="00B865A6" w:rsidRDefault="00C83AD9" w:rsidP="00C83AD9">
      <w:pPr>
        <w:spacing w:line="480" w:lineRule="auto"/>
        <w:rPr>
          <w:lang w:eastAsia="zh-CN"/>
        </w:rPr>
      </w:pPr>
      <w:r w:rsidRPr="00B865A6">
        <w:rPr>
          <w:lang w:eastAsia="zh-CN"/>
        </w:rPr>
        <w:t xml:space="preserve">The best model (lowest AIC) explaining variation in the probability of deer damage in NFI forest sections contained regional, landscape and local-level variables and their interactions. </w:t>
      </w:r>
      <w:r w:rsidR="00A3754A" w:rsidRPr="00B865A6">
        <w:rPr>
          <w:lang w:eastAsia="zh-CN"/>
        </w:rPr>
        <w:t>This</w:t>
      </w:r>
      <w:r w:rsidRPr="00B865A6">
        <w:rPr>
          <w:lang w:eastAsia="zh-CN"/>
        </w:rPr>
        <w:t xml:space="preserve"> model included the landscape metrics: perennial cover (%PER) calculated at an extent of 2-km, forest cover (%FOREST) at 500-m, and road density (ROAD) at an extent of 250-m best explained damage probability. Multimodel inference across all models containing landscape metrics at these extents suggested that the most important drivers included the context-dependent effects of %FOREST and %PER (landscape), climatic harshness index (HARSH) and deer density (DEERDENS; regional) and their interactions, in addition to consistent effects of ROAD (landscape), forest type (FOREST), tree density (TREEDENS) and age range (AGEDIV) (local). Details of model selection are given in Appendix </w:t>
      </w:r>
      <w:r w:rsidR="00221EC8" w:rsidRPr="00B865A6">
        <w:rPr>
          <w:lang w:eastAsia="zh-CN"/>
        </w:rPr>
        <w:t>S3</w:t>
      </w:r>
      <w:r w:rsidRPr="00B865A6">
        <w:rPr>
          <w:lang w:eastAsia="zh-CN"/>
        </w:rPr>
        <w:t xml:space="preserve">. </w:t>
      </w:r>
    </w:p>
    <w:p w14:paraId="7DBF92D6" w14:textId="23C1F98E" w:rsidR="00C83AD9" w:rsidRPr="00B865A6" w:rsidRDefault="00C83AD9" w:rsidP="00C83AD9">
      <w:pPr>
        <w:spacing w:line="480" w:lineRule="auto"/>
        <w:rPr>
          <w:lang w:eastAsia="zh-CN"/>
        </w:rPr>
      </w:pPr>
      <w:r w:rsidRPr="00B865A6">
        <w:rPr>
          <w:lang w:eastAsia="zh-CN"/>
        </w:rPr>
        <w:t>Locally unmanaged forest sections were the most likely to incur damage, particularly broadleaved (a best estimate of 0.67, between 0.64 and 0.71 at 95% prediction limits) and broadleaved mixed (0.69, between 0.64 and 0.73), while coniferous even-aged stands, had the lowest probability (0.55, between 0.51 and 0.58). Sections with an age range spanning 200-years had the highest damage probability of 0.72 (AGEDIV 0.66 to 0.77). Damage probability declined exponentially with TREEVOL, from a probability of around 0.75 at a stand volume of around 10</w:t>
      </w:r>
      <w:r w:rsidR="000768EA">
        <w:rPr>
          <w:lang w:eastAsia="zh-CN"/>
        </w:rPr>
        <w:t>-</w:t>
      </w:r>
      <w:r w:rsidRPr="00B865A6">
        <w:rPr>
          <w:lang w:eastAsia="zh-CN"/>
        </w:rPr>
        <w:t>m</w:t>
      </w:r>
      <w:r w:rsidRPr="00B865A6">
        <w:rPr>
          <w:vertAlign w:val="superscript"/>
          <w:lang w:eastAsia="zh-CN"/>
        </w:rPr>
        <w:t>3</w:t>
      </w:r>
      <w:r w:rsidRPr="00B865A6">
        <w:rPr>
          <w:lang w:eastAsia="zh-CN"/>
        </w:rPr>
        <w:t>ha</w:t>
      </w:r>
      <w:r w:rsidRPr="00B865A6">
        <w:rPr>
          <w:vertAlign w:val="superscript"/>
          <w:lang w:eastAsia="zh-CN"/>
        </w:rPr>
        <w:t>-1</w:t>
      </w:r>
      <w:r w:rsidRPr="00B865A6">
        <w:rPr>
          <w:lang w:eastAsia="zh-CN"/>
        </w:rPr>
        <w:t>, reaching a best estimate of 0.55 likelihood at 1500</w:t>
      </w:r>
      <w:r w:rsidR="000768EA">
        <w:rPr>
          <w:lang w:eastAsia="zh-CN"/>
        </w:rPr>
        <w:t>-</w:t>
      </w:r>
      <w:r w:rsidRPr="00B865A6">
        <w:rPr>
          <w:lang w:eastAsia="zh-CN"/>
        </w:rPr>
        <w:t>m</w:t>
      </w:r>
      <w:r w:rsidRPr="00B865A6">
        <w:rPr>
          <w:vertAlign w:val="superscript"/>
          <w:lang w:eastAsia="zh-CN"/>
        </w:rPr>
        <w:t>3</w:t>
      </w:r>
      <w:r w:rsidRPr="00B865A6">
        <w:rPr>
          <w:lang w:eastAsia="zh-CN"/>
        </w:rPr>
        <w:t>ha</w:t>
      </w:r>
      <w:r w:rsidRPr="00B865A6">
        <w:rPr>
          <w:vertAlign w:val="superscript"/>
          <w:lang w:eastAsia="zh-CN"/>
        </w:rPr>
        <w:t>-1</w:t>
      </w:r>
      <w:r w:rsidRPr="00B865A6">
        <w:rPr>
          <w:lang w:eastAsia="zh-CN"/>
        </w:rPr>
        <w:t xml:space="preserve"> at 95% prediction limits. Damage probability increased exponentially with TREEDENS, rapidly at first and reaching a plateau at about 2000 stems per hectare (Fig. 3). The probabilities reported here were estimated while holding all other parameters at their median (continuous variables) or mode (categorical). </w:t>
      </w:r>
    </w:p>
    <w:p w14:paraId="3971216A" w14:textId="53DAD544" w:rsidR="00C83AD9" w:rsidRPr="00B865A6" w:rsidRDefault="000307A9" w:rsidP="00C83AD9">
      <w:pPr>
        <w:spacing w:line="480" w:lineRule="auto"/>
        <w:jc w:val="center"/>
        <w:rPr>
          <w:noProof/>
          <w:lang w:eastAsia="en-GB"/>
        </w:rPr>
      </w:pPr>
      <w:r>
        <w:rPr>
          <w:noProof/>
          <w:lang w:eastAsia="en-GB"/>
        </w:rPr>
        <w:lastRenderedPageBreak/>
        <w:drawing>
          <wp:inline distT="0" distB="0" distL="0" distR="0" wp14:anchorId="0806E4C0" wp14:editId="478655A3">
            <wp:extent cx="5731510" cy="4064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6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64635"/>
                    </a:xfrm>
                    <a:prstGeom prst="rect">
                      <a:avLst/>
                    </a:prstGeom>
                  </pic:spPr>
                </pic:pic>
              </a:graphicData>
            </a:graphic>
          </wp:inline>
        </w:drawing>
      </w:r>
    </w:p>
    <w:p w14:paraId="441BBB25" w14:textId="5E4D5248" w:rsidR="00C83AD9" w:rsidRPr="00B865A6" w:rsidRDefault="00C83AD9" w:rsidP="00C83AD9">
      <w:pPr>
        <w:spacing w:line="480" w:lineRule="auto"/>
        <w:rPr>
          <w:sz w:val="18"/>
          <w:szCs w:val="20"/>
        </w:rPr>
      </w:pPr>
      <w:r w:rsidRPr="00B865A6">
        <w:rPr>
          <w:rFonts w:ascii="Arial" w:hAnsi="Arial" w:cs="Arial"/>
          <w:sz w:val="18"/>
          <w:szCs w:val="20"/>
        </w:rPr>
        <w:t>Figure 3.</w:t>
      </w:r>
      <w:r w:rsidRPr="00B865A6">
        <w:rPr>
          <w:rFonts w:ascii="Arial" w:hAnsi="Arial" w:cs="Arial"/>
          <w:sz w:val="18"/>
          <w:szCs w:val="20"/>
        </w:rPr>
        <w:tab/>
        <w:t xml:space="preserve">Marginal effects of drivers on the probability of a National Forest Inventory section being damaged by deer. Shown are the effect of TREEDENS, TREEVOL, AGEDIV, FOREST and ROAD (see Table 1 for variable codes). </w:t>
      </w:r>
      <w:r w:rsidRPr="00B865A6">
        <w:rPr>
          <w:rFonts w:ascii="Arial" w:hAnsi="Arial" w:cs="Arial"/>
          <w:sz w:val="18"/>
          <w:szCs w:val="20"/>
          <w:lang w:eastAsia="en-GB"/>
        </w:rPr>
        <w:t xml:space="preserve">Plots were graphed using coefficients from the best model explaining deer damage occurrence across England, Scotland and Wales c. 2010-2016, with conditional variables not graphed held at their median (for continuous variables) or mode (for categorical variables). </w:t>
      </w:r>
      <w:r w:rsidRPr="00B865A6">
        <w:rPr>
          <w:rFonts w:ascii="Arial" w:hAnsi="Arial" w:cs="Arial"/>
          <w:sz w:val="18"/>
          <w:szCs w:val="20"/>
        </w:rPr>
        <w:t>Shading shows 95% prediction intervals.</w:t>
      </w:r>
    </w:p>
    <w:p w14:paraId="76E759E6" w14:textId="0A8362D7" w:rsidR="00C83AD9" w:rsidRPr="00B865A6" w:rsidRDefault="00C83AD9" w:rsidP="009A2960">
      <w:pPr>
        <w:spacing w:line="480" w:lineRule="auto"/>
        <w:rPr>
          <w:lang w:eastAsia="zh-CN"/>
        </w:rPr>
      </w:pPr>
      <w:r w:rsidRPr="00B865A6">
        <w:t xml:space="preserve">As hypothesized, the effect of forest cover (%FOREST) within 500-m of a NFI section depended on the degree of perennial cover (%PER) within 2-km (%FOREST*%PER), in addition to the regional climate (HARSH) and density (DEERDENS; %FOREST*HARSH*DEERDENS). </w:t>
      </w:r>
      <w:r w:rsidRPr="00B865A6">
        <w:rPr>
          <w:lang w:eastAsia="zh-CN"/>
        </w:rPr>
        <w:t>Damage probability exhibited hump-shaped relationships with %FOREST in climatically favourable regions (low HARSH) that had medium to high %PER (50-100%), with damage most likely in sites with %FOREST around 40-50%. In low HARSH to mid-HARSH regions with low %PER, damage probability exhibited positive relationships with %FOREST, saturating at ~75%. These interactions manifested themselves as spatial heterogeneity in the direction and magnitude of the effect of afforestation (increasing landscape-level forest cover) across Britain. The effect map (Fig.</w:t>
      </w:r>
      <w:r w:rsidR="00060A6D">
        <w:rPr>
          <w:lang w:eastAsia="zh-CN"/>
        </w:rPr>
        <w:t xml:space="preserve"> </w:t>
      </w:r>
      <w:r w:rsidRPr="00B865A6">
        <w:rPr>
          <w:lang w:eastAsia="zh-CN"/>
        </w:rPr>
        <w:t xml:space="preserve">5c) shows that the effect of increasing forest </w:t>
      </w:r>
      <w:r w:rsidRPr="00B865A6">
        <w:rPr>
          <w:lang w:eastAsia="zh-CN"/>
        </w:rPr>
        <w:lastRenderedPageBreak/>
        <w:t xml:space="preserve">cover from 25% to 100% within 500-m of a forest site on damage probability can vary from positive to negative across relatively short spatial extents. We note here that this effect map does not account for any estimate of uncertainty, which can be high in certain regions, as shown by the wide prediction intervals for some places in Fig. 4. </w:t>
      </w:r>
      <w:r w:rsidRPr="00B865A6">
        <w:t xml:space="preserve">Moreover, while the change of %FOREST from 25% to 100% as shown in Figure 5 is plausible, it is a somewhat arbitrary </w:t>
      </w:r>
      <w:r w:rsidRPr="00B865A6">
        <w:rPr>
          <w:lang w:eastAsia="zh-CN"/>
        </w:rPr>
        <w:t xml:space="preserve">change </w:t>
      </w:r>
      <w:r w:rsidRPr="00B865A6">
        <w:t>choice that might not be feasible in some localities. However, the Deer Damage Tool is interactive, and allows for the visualisation of uncertainty</w:t>
      </w:r>
      <w:r w:rsidR="00C120ED" w:rsidRPr="00B865A6">
        <w:t xml:space="preserve"> and</w:t>
      </w:r>
      <w:r w:rsidRPr="00B865A6">
        <w:t xml:space="preserve"> the change in damage across the full range of %FOREST</w:t>
      </w:r>
      <w:r w:rsidR="00C120ED" w:rsidRPr="00B865A6">
        <w:t>.</w:t>
      </w:r>
      <w:r w:rsidR="00B122E4" w:rsidRPr="00B865A6">
        <w:t xml:space="preserve"> We also note that in reality, increasing forest cover will result in changes to perennial land proportional cover, which this analysis doesn’t take that into account. However, this is unlikely to exert a big effect because the scales of effect for forest and perennial cover were 5000-m and 2000-m, respectively.</w:t>
      </w:r>
    </w:p>
    <w:p w14:paraId="2470B621" w14:textId="24D7AC5C" w:rsidR="00C83AD9" w:rsidRPr="00B865A6" w:rsidRDefault="00C83AD9" w:rsidP="00C83AD9">
      <w:pPr>
        <w:spacing w:line="480" w:lineRule="auto"/>
      </w:pPr>
      <w:r w:rsidRPr="00B865A6">
        <w:t xml:space="preserve">The Deer Damage Tool (available at </w:t>
      </w:r>
      <w:hyperlink r:id="rId23" w:history="1">
        <w:r w:rsidR="000E1477">
          <w:rPr>
            <w:rStyle w:val="Hyperlink"/>
          </w:rPr>
          <w:t>https://spake.shinyapps.io/DEERDAMAGETOOL/</w:t>
        </w:r>
      </w:hyperlink>
      <w:r w:rsidRPr="00B865A6">
        <w:t>; Fig. 6) allows users to visualise how changing the amount of landscape-level forest cover, across a range of 0-100% within 500-m of a particular forest site, changes the likelihood that it is damaged by deer. In addition to local variables including tree density and forest type, users can select particular localities within the UK (a 10-km grid square), which correspond to values of deer density and the regional climatic harshness gradient. The selected attributes are used to dynamically update marginal effect plots of damage probability in response to forest cover, according to three levels of perennial cover further afield (within 2-km of a site).</w:t>
      </w:r>
    </w:p>
    <w:p w14:paraId="1307E748" w14:textId="77777777" w:rsidR="00C83AD9" w:rsidRPr="00B865A6" w:rsidRDefault="00C83AD9" w:rsidP="00C83AD9">
      <w:pPr>
        <w:spacing w:line="480" w:lineRule="auto"/>
      </w:pPr>
    </w:p>
    <w:p w14:paraId="31408016" w14:textId="77777777" w:rsidR="00C83AD9" w:rsidRPr="00B865A6" w:rsidRDefault="00C83AD9" w:rsidP="00C83AD9">
      <w:pPr>
        <w:spacing w:line="480" w:lineRule="auto"/>
      </w:pPr>
    </w:p>
    <w:p w14:paraId="127E980C" w14:textId="77777777" w:rsidR="00C83AD9" w:rsidRPr="00B865A6" w:rsidRDefault="00C83AD9" w:rsidP="00C83AD9">
      <w:pPr>
        <w:spacing w:line="480" w:lineRule="auto"/>
        <w:jc w:val="center"/>
        <w:sectPr w:rsidR="00C83AD9" w:rsidRPr="00B865A6" w:rsidSect="004B105F">
          <w:footerReference w:type="default" r:id="rId24"/>
          <w:pgSz w:w="11906" w:h="16838"/>
          <w:pgMar w:top="1440" w:right="1440" w:bottom="1440" w:left="1440" w:header="709" w:footer="709" w:gutter="0"/>
          <w:lnNumType w:countBy="1" w:restart="continuous"/>
          <w:cols w:space="708"/>
          <w:docGrid w:linePitch="360"/>
        </w:sectPr>
      </w:pPr>
    </w:p>
    <w:p w14:paraId="1D9BC5D9" w14:textId="77777777" w:rsidR="00E96C45" w:rsidRPr="00B865A6" w:rsidRDefault="0011310A" w:rsidP="00C83AD9">
      <w:pPr>
        <w:spacing w:line="480" w:lineRule="auto"/>
        <w:rPr>
          <w:rFonts w:ascii="Arial" w:hAnsi="Arial" w:cs="Arial"/>
          <w:sz w:val="18"/>
          <w:szCs w:val="18"/>
        </w:rPr>
      </w:pPr>
      <w:r w:rsidRPr="00B865A6">
        <w:rPr>
          <w:rFonts w:ascii="Arial" w:hAnsi="Arial" w:cs="Arial"/>
          <w:noProof/>
          <w:sz w:val="18"/>
          <w:szCs w:val="18"/>
          <w:lang w:eastAsia="en-GB"/>
        </w:rPr>
        <w:lastRenderedPageBreak/>
        <w:drawing>
          <wp:inline distT="0" distB="0" distL="0" distR="0" wp14:anchorId="7D01B3BD" wp14:editId="45594E06">
            <wp:extent cx="8145780" cy="5049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25" cstate="email">
                      <a:extLst>
                        <a:ext uri="{28A0092B-C50C-407E-A947-70E740481C1C}">
                          <a14:useLocalDpi xmlns:a14="http://schemas.microsoft.com/office/drawing/2010/main"/>
                        </a:ext>
                      </a:extLst>
                    </a:blip>
                    <a:stretch>
                      <a:fillRect/>
                    </a:stretch>
                  </pic:blipFill>
                  <pic:spPr>
                    <a:xfrm>
                      <a:off x="0" y="0"/>
                      <a:ext cx="8150580" cy="5052175"/>
                    </a:xfrm>
                    <a:prstGeom prst="rect">
                      <a:avLst/>
                    </a:prstGeom>
                  </pic:spPr>
                </pic:pic>
              </a:graphicData>
            </a:graphic>
          </wp:inline>
        </w:drawing>
      </w:r>
    </w:p>
    <w:p w14:paraId="7C01E63A" w14:textId="170E0CE9" w:rsidR="00C83AD9" w:rsidRPr="00B865A6" w:rsidRDefault="00C83AD9" w:rsidP="00C83AD9">
      <w:pPr>
        <w:spacing w:line="480" w:lineRule="auto"/>
        <w:rPr>
          <w:sz w:val="18"/>
          <w:szCs w:val="18"/>
        </w:rPr>
        <w:sectPr w:rsidR="00C83AD9" w:rsidRPr="00B865A6" w:rsidSect="004B105F">
          <w:pgSz w:w="16838" w:h="11906" w:orient="landscape"/>
          <w:pgMar w:top="1440" w:right="1440" w:bottom="1440" w:left="1440" w:header="709" w:footer="709" w:gutter="0"/>
          <w:lnNumType w:countBy="1" w:restart="continuous"/>
          <w:cols w:space="708"/>
          <w:docGrid w:linePitch="360"/>
        </w:sectPr>
      </w:pPr>
      <w:r w:rsidRPr="00B865A6">
        <w:rPr>
          <w:rFonts w:ascii="Arial" w:hAnsi="Arial" w:cs="Arial"/>
          <w:sz w:val="18"/>
          <w:szCs w:val="18"/>
        </w:rPr>
        <w:t>Figure 4.</w:t>
      </w:r>
      <w:r w:rsidRPr="00B865A6">
        <w:rPr>
          <w:rFonts w:ascii="Arial" w:hAnsi="Arial" w:cs="Arial"/>
          <w:sz w:val="18"/>
          <w:szCs w:val="18"/>
        </w:rPr>
        <w:tab/>
        <w:t xml:space="preserve"> Marginal effect plots showing regional variation in the effects of landscape-level forest cover (%FOREST), within 500-m of a forest site, on forest damage probability, as conditional on deer density (DEERDENS), regional climatic harshness (HARSH) and landscape-level perennial cover (%PER). Three levels of DEERDENS and HARSH </w:t>
      </w:r>
      <w:r w:rsidRPr="00B865A6">
        <w:rPr>
          <w:rFonts w:ascii="Arial" w:hAnsi="Arial" w:cs="Arial"/>
          <w:sz w:val="18"/>
          <w:szCs w:val="18"/>
        </w:rPr>
        <w:lastRenderedPageBreak/>
        <w:t xml:space="preserve">were distinguished as low, medium and high by their sample quantiles corresponding to probabilities of 0.2 (low), medium (0.5), and high (0.8), yielding nine regional combinations, which were mapped in space after assigning 10-km pixel values to these groups (see Methods). Relationships were graphed for each DEERDENS/HARSH combination at two levels of %PER (high- 66% and low- 33%). </w:t>
      </w:r>
      <w:r w:rsidRPr="00B865A6">
        <w:rPr>
          <w:rFonts w:ascii="Arial" w:hAnsi="Arial" w:cs="Arial"/>
          <w:sz w:val="18"/>
          <w:szCs w:val="18"/>
          <w:lang w:eastAsia="en-GB"/>
        </w:rPr>
        <w:t xml:space="preserve">Plots were graphed using coefficients from the best model explaining deer damage occurrence across England, Scotland and Wales c. 2010-2016, </w:t>
      </w:r>
      <w:r w:rsidRPr="00B865A6">
        <w:rPr>
          <w:rFonts w:ascii="Arial" w:hAnsi="Arial" w:cs="Arial"/>
          <w:sz w:val="18"/>
          <w:szCs w:val="18"/>
        </w:rPr>
        <w:t xml:space="preserve"> with conditional variables not graphed held at their median or mode for continuous and categorical variables, respectively. HARSH increases from low to high from top to bottom, while DEERDENS increases from low to high from right to left. Shading shows 95% prediction intervals. White areas correspond to areas outside of the ranges of the regional variables sampled by the NFI sections selected for analysis (see Methods).</w:t>
      </w:r>
    </w:p>
    <w:p w14:paraId="6FEA3B73" w14:textId="04D73346" w:rsidR="00C83AD9" w:rsidRPr="00B865A6" w:rsidRDefault="00C83AD9" w:rsidP="00C83AD9">
      <w:pPr>
        <w:spacing w:line="480" w:lineRule="auto"/>
        <w:rPr>
          <w:rFonts w:ascii="Arial" w:hAnsi="Arial" w:cs="Arial"/>
          <w:sz w:val="18"/>
          <w:szCs w:val="18"/>
        </w:rPr>
      </w:pPr>
      <w:bookmarkStart w:id="30" w:name="_Toc517892364"/>
      <w:bookmarkStart w:id="31" w:name="_Toc520716275"/>
      <w:bookmarkStart w:id="32" w:name="_Toc534293636"/>
      <w:r w:rsidRPr="00B865A6">
        <w:rPr>
          <w:rFonts w:ascii="Arial" w:hAnsi="Arial" w:cs="Arial"/>
          <w:noProof/>
          <w:sz w:val="18"/>
          <w:szCs w:val="18"/>
          <w:lang w:eastAsia="en-GB"/>
        </w:rPr>
        <w:lastRenderedPageBreak/>
        <w:drawing>
          <wp:inline distT="0" distB="0" distL="0" distR="0" wp14:anchorId="0E131978" wp14:editId="0DC4C98B">
            <wp:extent cx="6900523"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effectmaps.png"/>
                    <pic:cNvPicPr/>
                  </pic:nvPicPr>
                  <pic:blipFill>
                    <a:blip r:embed="rId26" cstate="email">
                      <a:extLst>
                        <a:ext uri="{28A0092B-C50C-407E-A947-70E740481C1C}">
                          <a14:useLocalDpi xmlns:a14="http://schemas.microsoft.com/office/drawing/2010/main"/>
                        </a:ext>
                      </a:extLst>
                    </a:blip>
                    <a:stretch>
                      <a:fillRect/>
                    </a:stretch>
                  </pic:blipFill>
                  <pic:spPr>
                    <a:xfrm>
                      <a:off x="0" y="0"/>
                      <a:ext cx="6907361" cy="3012882"/>
                    </a:xfrm>
                    <a:prstGeom prst="rect">
                      <a:avLst/>
                    </a:prstGeom>
                  </pic:spPr>
                </pic:pic>
              </a:graphicData>
            </a:graphic>
          </wp:inline>
        </w:drawing>
      </w:r>
      <w:r w:rsidRPr="00B865A6">
        <w:rPr>
          <w:rFonts w:ascii="Arial" w:hAnsi="Arial" w:cs="Arial"/>
          <w:sz w:val="18"/>
          <w:szCs w:val="18"/>
        </w:rPr>
        <w:t xml:space="preserve">Figure 5. </w:t>
      </w:r>
      <w:r w:rsidRPr="00B865A6">
        <w:rPr>
          <w:rFonts w:ascii="Arial" w:hAnsi="Arial" w:cs="Arial"/>
          <w:sz w:val="18"/>
          <w:szCs w:val="18"/>
        </w:rPr>
        <w:tab/>
        <w:t xml:space="preserve">Spatial variation damage probability across </w:t>
      </w:r>
      <w:r w:rsidRPr="00B865A6">
        <w:rPr>
          <w:rFonts w:ascii="Arial" w:hAnsi="Arial" w:cs="Arial"/>
          <w:sz w:val="18"/>
          <w:szCs w:val="18"/>
          <w:lang w:eastAsia="en-GB"/>
        </w:rPr>
        <w:t>England, Scotland and Wales c. 2010-2016</w:t>
      </w:r>
      <w:r w:rsidRPr="00B865A6">
        <w:rPr>
          <w:rFonts w:ascii="Arial" w:hAnsi="Arial" w:cs="Arial"/>
          <w:sz w:val="18"/>
          <w:szCs w:val="18"/>
        </w:rPr>
        <w:t>, as predicted by climate (the climatic harshness gradient, HARSH), deer density (DEERDENS) for forest sites surrounded by landscapes that are a) 25% and b) 100% wooded within 500-m. c) Effect map displaying spatial variation in the effect of increasing forest cover within 500-m of a forest site (%FOREST) from 25% to 100% on predicted damage probabilities, expressed as a risk difference. Positive values (blue) correspond to increases in the probability of deer damage following an increase in %FOREST, while negative values (red) corresponded to a decrease in damage probability. Shading represents the strength of this effect. Predictions were made using coefficients from the best model with covariates other than regional variables and %FOREST held at their median values (mode for categorical). Grey areas correspond to areas outside of the ranges of the regional variables sampled by the NFI sections selected for analysis (see Methods).</w:t>
      </w:r>
    </w:p>
    <w:p w14:paraId="07F798B3" w14:textId="77777777" w:rsidR="00C83AD9" w:rsidRPr="00B865A6" w:rsidRDefault="00C83AD9" w:rsidP="00C83AD9">
      <w:pPr>
        <w:spacing w:line="480" w:lineRule="auto"/>
      </w:pPr>
    </w:p>
    <w:p w14:paraId="40A9D07C" w14:textId="77777777" w:rsidR="00C83AD9" w:rsidRPr="00B865A6" w:rsidRDefault="00C83AD9" w:rsidP="00C83AD9">
      <w:pPr>
        <w:spacing w:line="480" w:lineRule="auto"/>
      </w:pPr>
      <w:r w:rsidRPr="00B865A6">
        <w:br w:type="page"/>
      </w:r>
    </w:p>
    <w:p w14:paraId="4DB00D7F" w14:textId="018AF470" w:rsidR="00C83AD9" w:rsidRPr="00B865A6" w:rsidRDefault="000307A9" w:rsidP="00C83AD9">
      <w:pPr>
        <w:spacing w:line="480" w:lineRule="auto"/>
        <w:rPr>
          <w:rFonts w:ascii="Arial" w:hAnsi="Arial" w:cs="Arial"/>
          <w:sz w:val="20"/>
        </w:rPr>
      </w:pPr>
      <w:r>
        <w:rPr>
          <w:rFonts w:ascii="Arial" w:hAnsi="Arial" w:cs="Arial"/>
          <w:noProof/>
          <w:sz w:val="20"/>
          <w:lang w:eastAsia="en-GB"/>
        </w:rPr>
        <w:lastRenderedPageBreak/>
        <w:drawing>
          <wp:inline distT="0" distB="0" distL="0" distR="0" wp14:anchorId="231302C2" wp14:editId="2CD9566D">
            <wp:extent cx="5731510" cy="51600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6.600dp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160010"/>
                    </a:xfrm>
                    <a:prstGeom prst="rect">
                      <a:avLst/>
                    </a:prstGeom>
                  </pic:spPr>
                </pic:pic>
              </a:graphicData>
            </a:graphic>
          </wp:inline>
        </w:drawing>
      </w:r>
      <w:r w:rsidR="00C83AD9" w:rsidRPr="00B865A6">
        <w:rPr>
          <w:rFonts w:ascii="Arial" w:hAnsi="Arial" w:cs="Arial"/>
          <w:sz w:val="20"/>
        </w:rPr>
        <w:t>Figure 6.</w:t>
      </w:r>
      <w:r w:rsidR="00C83AD9" w:rsidRPr="00B865A6">
        <w:rPr>
          <w:rFonts w:ascii="Arial" w:hAnsi="Arial" w:cs="Arial"/>
          <w:sz w:val="20"/>
        </w:rPr>
        <w:tab/>
        <w:t>The main features of the interactive deer damage tool (</w:t>
      </w:r>
      <w:r w:rsidR="000E1477" w:rsidRPr="000E1477">
        <w:t>https://spake.shinyapps.io/DEERDAMAGETOOL/</w:t>
      </w:r>
      <w:r w:rsidR="00C83AD9" w:rsidRPr="00B865A6">
        <w:rPr>
          <w:rFonts w:ascii="Arial" w:hAnsi="Arial" w:cs="Arial"/>
          <w:sz w:val="20"/>
        </w:rPr>
        <w:t xml:space="preserve">). Users may adjust </w:t>
      </w:r>
      <w:r w:rsidR="00E96C45" w:rsidRPr="00B865A6">
        <w:rPr>
          <w:rFonts w:ascii="Arial" w:hAnsi="Arial" w:cs="Arial"/>
          <w:sz w:val="20"/>
        </w:rPr>
        <w:t>forest</w:t>
      </w:r>
      <w:r w:rsidR="00C83AD9" w:rsidRPr="00B865A6">
        <w:rPr>
          <w:rFonts w:ascii="Arial" w:hAnsi="Arial" w:cs="Arial"/>
          <w:sz w:val="20"/>
        </w:rPr>
        <w:t xml:space="preserve"> attributes that describe the local variables (such as forest type and tree density) using dropdown boxes and slider bars, and select a particular location (regional context) corresponding to a tile name on the British National Grid (GB Tile)</w:t>
      </w:r>
      <w:r w:rsidR="00C120ED" w:rsidRPr="00B865A6">
        <w:rPr>
          <w:rFonts w:ascii="Arial" w:hAnsi="Arial" w:cs="Arial"/>
          <w:sz w:val="20"/>
        </w:rPr>
        <w:t>.</w:t>
      </w:r>
      <w:r w:rsidR="00C83AD9" w:rsidRPr="00B865A6">
        <w:rPr>
          <w:rFonts w:ascii="Arial" w:hAnsi="Arial" w:cs="Arial"/>
          <w:sz w:val="20"/>
        </w:rPr>
        <w:t xml:space="preserve"> A plot displaying the predicted damage with landscape forest cover, from 0%</w:t>
      </w:r>
      <w:r w:rsidR="000768EA">
        <w:rPr>
          <w:rFonts w:ascii="Arial" w:hAnsi="Arial" w:cs="Arial"/>
          <w:sz w:val="20"/>
        </w:rPr>
        <w:t xml:space="preserve"> to</w:t>
      </w:r>
      <w:r w:rsidR="00C83AD9" w:rsidRPr="00B865A6">
        <w:rPr>
          <w:rFonts w:ascii="Arial" w:hAnsi="Arial" w:cs="Arial"/>
          <w:sz w:val="20"/>
        </w:rPr>
        <w:t xml:space="preserve">100%, at three levels of perennial cover, will dynamically update as the selected attributes are changed. </w:t>
      </w:r>
    </w:p>
    <w:p w14:paraId="7602A2EA" w14:textId="77777777" w:rsidR="00C83AD9" w:rsidRPr="00B865A6" w:rsidRDefault="00C83AD9" w:rsidP="00C83AD9">
      <w:pPr>
        <w:spacing w:line="480" w:lineRule="auto"/>
      </w:pPr>
      <w:r w:rsidRPr="00B865A6">
        <w:br w:type="page"/>
      </w:r>
    </w:p>
    <w:p w14:paraId="5E30ECC8" w14:textId="77777777" w:rsidR="00C83AD9" w:rsidRPr="00B865A6" w:rsidRDefault="00C83AD9" w:rsidP="00C83AD9">
      <w:pPr>
        <w:pStyle w:val="Heading2"/>
        <w:spacing w:line="480" w:lineRule="auto"/>
      </w:pPr>
      <w:r w:rsidRPr="00B865A6">
        <w:lastRenderedPageBreak/>
        <w:t>DISCUSSION</w:t>
      </w:r>
      <w:bookmarkEnd w:id="30"/>
      <w:bookmarkEnd w:id="31"/>
      <w:r w:rsidRPr="00B865A6">
        <w:t xml:space="preserve"> </w:t>
      </w:r>
      <w:bookmarkEnd w:id="32"/>
    </w:p>
    <w:p w14:paraId="15F8A593" w14:textId="2B47EC57" w:rsidR="00C83AD9" w:rsidRPr="00B865A6" w:rsidRDefault="00C83AD9" w:rsidP="00C83AD9">
      <w:pPr>
        <w:spacing w:line="480" w:lineRule="auto"/>
        <w:rPr>
          <w:rFonts w:cstheme="minorHAnsi"/>
          <w:shd w:val="clear" w:color="auto" w:fill="FFFFFF"/>
        </w:rPr>
      </w:pPr>
      <w:r w:rsidRPr="00B865A6">
        <w:t>Through the explicit consideration of cross-scale interactions among multiple drivers operating at regional, landscape and local spatial scales, our study has allowed for the implementation of Johnson’s (1980) selection orders into a single analysis. This has enabled us to identify interactions responsible for spatial variation (context dependency) in site susceptibility to damage by deer, allowing targeted management to forests that might experience increased risk of damage in response to afforestation. Critically, our results show that deer density does not consistently drive up damage to forests across Britain; rather its effect is moderated by, or conditional upon, the regional climate, and landscape attributes.</w:t>
      </w:r>
      <w:r w:rsidRPr="00B865A6">
        <w:rPr>
          <w:lang w:eastAsia="zh-CN"/>
        </w:rPr>
        <w:t xml:space="preserve"> Our results </w:t>
      </w:r>
      <w:r w:rsidRPr="00B865A6">
        <w:t xml:space="preserve">suggest that management of these attributes in particular regions could </w:t>
      </w:r>
      <w:r w:rsidRPr="00B865A6">
        <w:rPr>
          <w:rFonts w:cstheme="minorHAnsi"/>
          <w:shd w:val="clear" w:color="auto" w:fill="FFFFFF"/>
        </w:rPr>
        <w:t xml:space="preserve">alter a forest site’s ‘attractiveness’ as forage to deer, even at high deer densities. This is important because mitigation methods (e.g. fencing, culling, diversionary feeding) are costly, and so must be targeted efficiently to forests that are most at risk </w:t>
      </w:r>
      <w:r w:rsidRPr="00B865A6">
        <w:rPr>
          <w:rFonts w:cstheme="minorHAnsi"/>
          <w:shd w:val="clear" w:color="auto" w:fill="FFFFFF"/>
        </w:rPr>
        <w:fldChar w:fldCharType="begin" w:fldLock="1"/>
      </w:r>
      <w:r w:rsidR="00715A6C" w:rsidRPr="00B865A6">
        <w:rPr>
          <w:rFonts w:cstheme="minorHAnsi"/>
          <w:shd w:val="clear" w:color="auto" w:fill="FFFFFF"/>
        </w:rPr>
        <w:instrText>ADDIN CSL_CITATION {"citationItems":[{"id":"ITEM-1","itemData":{"author":[{"dropping-particle":"","family":"Armstrong","given":"Helen","non-dropping-particle":"","parse-names":false,"suffix":""},{"dropping-particle":"","family":"Gill","given":"Robin","non-dropping-particle":"","parse-names":false,"suffix":""},{"dropping-particle":"","family":"Mayle","given":"Brenda","non-dropping-particle":"","parse-names":false,"suffix":""},{"dropping-particle":"","family":"Trout","given":"Roger","non-dropping-particle":"","parse-names":false,"suffix":""}],"container-title":"Forest Research Annual Report 2001-2002","id":"ITEM-1","issued":{"date-parts":[["2003"]]},"page":"28-39","title":"Protecting trees from deer: an overview of current knowledge and future work","type":"article-journal"},"uris":["http://www.mendeley.com/documents/?uuid=f5b5fe94-6e5b-4271-8fb0-1cd8d13ca004"]}],"mendeley":{"formattedCitation":"(Armstrong, Gill, Mayle, &amp; Trout, 2003)","plainTextFormattedCitation":"(Armstrong, Gill, Mayle, &amp; Trout, 2003)","previouslyFormattedCitation":"(Armstrong, Gill, Mayle, &amp; Trout, 2003)"},"properties":{"noteIndex":0},"schema":"https://github.com/citation-style-language/schema/raw/master/csl-citation.json"}</w:instrText>
      </w:r>
      <w:r w:rsidRPr="00B865A6">
        <w:rPr>
          <w:rFonts w:cstheme="minorHAnsi"/>
          <w:shd w:val="clear" w:color="auto" w:fill="FFFFFF"/>
        </w:rPr>
        <w:fldChar w:fldCharType="separate"/>
      </w:r>
      <w:r w:rsidR="00770064" w:rsidRPr="00B865A6">
        <w:rPr>
          <w:rFonts w:cstheme="minorHAnsi"/>
          <w:noProof/>
          <w:shd w:val="clear" w:color="auto" w:fill="FFFFFF"/>
        </w:rPr>
        <w:t>(Armstrong, Gill, Mayle, &amp; Trout, 2003)</w:t>
      </w:r>
      <w:r w:rsidRPr="00B865A6">
        <w:rPr>
          <w:rFonts w:cstheme="minorHAnsi"/>
          <w:shd w:val="clear" w:color="auto" w:fill="FFFFFF"/>
        </w:rPr>
        <w:fldChar w:fldCharType="end"/>
      </w:r>
      <w:r w:rsidRPr="00B865A6">
        <w:rPr>
          <w:rFonts w:cstheme="minorHAnsi"/>
          <w:shd w:val="clear" w:color="auto" w:fill="FFFFFF"/>
        </w:rPr>
        <w:t xml:space="preserve">. </w:t>
      </w:r>
    </w:p>
    <w:p w14:paraId="7EF4C7F9" w14:textId="31271D5F" w:rsidR="00C83AD9" w:rsidRPr="00B865A6" w:rsidRDefault="00C83AD9" w:rsidP="00C83AD9">
      <w:pPr>
        <w:spacing w:line="480" w:lineRule="auto"/>
      </w:pPr>
      <w:r w:rsidRPr="00B865A6">
        <w:rPr>
          <w:lang w:eastAsia="zh-CN"/>
        </w:rPr>
        <w:t>Regional climate and deer density modify the effect of</w:t>
      </w:r>
      <w:r w:rsidRPr="00B865A6" w:rsidDel="000C01F7">
        <w:rPr>
          <w:rFonts w:cstheme="minorHAnsi"/>
          <w:shd w:val="clear" w:color="auto" w:fill="FFFFFF"/>
        </w:rPr>
        <w:t xml:space="preserve"> </w:t>
      </w:r>
      <w:r w:rsidRPr="00B865A6">
        <w:rPr>
          <w:lang w:eastAsia="zh-CN"/>
        </w:rPr>
        <w:t>landscape-level forest cover on a site’s susceptibility to damage (Fig.</w:t>
      </w:r>
      <w:r w:rsidR="00060A6D">
        <w:rPr>
          <w:lang w:eastAsia="zh-CN"/>
        </w:rPr>
        <w:t xml:space="preserve"> </w:t>
      </w:r>
      <w:r w:rsidRPr="00B865A6">
        <w:rPr>
          <w:lang w:eastAsia="zh-CN"/>
        </w:rPr>
        <w:t>4; Appendix S</w:t>
      </w:r>
      <w:r w:rsidR="00C83E5A" w:rsidRPr="00B865A6">
        <w:rPr>
          <w:lang w:eastAsia="zh-CN"/>
        </w:rPr>
        <w:t>3</w:t>
      </w:r>
      <w:r w:rsidRPr="00B865A6">
        <w:rPr>
          <w:lang w:eastAsia="zh-CN"/>
        </w:rPr>
        <w:t xml:space="preserve">). The probability of damage increased with forest cover in regions with mid to favourable climate and low levels of perennial cover, suggesting that deer select forests within wooded landscapes (at an extent of 500-m), when landscape perennial cover is low (within 2-km). This attraction effect is therefore context dependent. This agrees with previous studies demonstrating the importance of alternative forage within the landscape for reducing damage to focal habitats </w:t>
      </w:r>
      <w:r w:rsidRPr="00B865A6">
        <w:rPr>
          <w:lang w:eastAsia="zh-CN"/>
        </w:rPr>
        <w:fldChar w:fldCharType="begin" w:fldLock="1"/>
      </w:r>
      <w:r w:rsidR="00715A6C" w:rsidRPr="00B865A6">
        <w:rPr>
          <w:lang w:eastAsia="zh-CN"/>
        </w:rPr>
        <w:instrText>ADDIN CSL_CITATION {"citationItems":[{"id":"ITEM-1","itemData":{"DOI":"10.1016/j.biocon.2011.10.034","ISBN":"0006-3207","ISSN":"00063207","abstract":"We investigated the potential for cross-habitat interactions to modulate per capita ungulate browse effects on forest herbaceous layers. Specifically, we examined how white-tailed deer (Odocoileus virginianus) abundance, reserve size, and landscape context at variable spatial scales interact to influence the impact of deer herbivory on forest understory communities in 16 Indiana state parks. We used native herb cover (NHC) as a proxy for deer impact to forest understories, and deer killed per unit hunter effort (DAI) as a proxy for deer abundance. Comparison of multiple regression models, using Akaike's Information Criterion, suggested that the per capita impact of deer herbivory to forest understories was strongly related to landscape configuration of deer habitat types at the scale of an individual deer's home range, whereas deer abundance was more strongly associated with landscape structure at broader spatial scales. Interspersion and juxtaposition of non-forested, perennial forage habitat with other habitat types (forest and agriculture) at the park plus a 0.5. km buffer scale, together with DAI, explained 84% of the variation in native herbaceous cover (NHC). A model with DAI alone as a predictor accounted for only 19% of the variation in NHC. Thus, although deer impact was related to deer abundance, habitat configuration in landscapes surrounding parks appeared to strongly modulate the level of impact associated with a particular abundance of deer. Our results underscore the importance of landscape context in determining foraging behavior and per capita impacts of ungulates on forest resources in protected areas. © 2011 Elsevier Ltd.","author":[{"dropping-particle":"","family":"Hurley","given":"Peter M.","non-dropping-particle":"","parse-names":false,"suffix":""},{"dropping-particle":"","family":"Webster","given":"Christopher R.","non-dropping-particle":"","parse-names":false,"suffix":""},{"dropping-particle":"","family":"Flaspohler","given":"David J.","non-dropping-particle":"","parse-names":false,"suffix":""},{"dropping-particle":"","family":"Parker","given":"George R.","non-dropping-particle":"","parse-names":false,"suffix":""}],"container-title":"Biological Conservation","id":"ITEM-1","issue":"1","issued":{"date-parts":[["2012"]]},"page":"62-71","publisher":"Elsevier Ltd","title":"Untangling the landscape of deer overabundance: Reserve size versus landscape context in the agricultural Midwest","type":"article-journal","volume":"146"},"uris":["http://www.mendeley.com/documents/?uuid=b99e458d-0477-48e3-bf55-42be74a67085"]}],"mendeley":{"formattedCitation":"(Hurley et al., 2012)","plainTextFormattedCitation":"(Hurley et al., 2012)","previouslyFormattedCitation":"(Hurley et al., 2012)"},"properties":{"noteIndex":0},"schema":"https://github.com/citation-style-language/schema/raw/master/csl-citation.json"}</w:instrText>
      </w:r>
      <w:r w:rsidRPr="00B865A6">
        <w:rPr>
          <w:lang w:eastAsia="zh-CN"/>
        </w:rPr>
        <w:fldChar w:fldCharType="separate"/>
      </w:r>
      <w:r w:rsidR="00770064" w:rsidRPr="00B865A6">
        <w:rPr>
          <w:noProof/>
          <w:lang w:eastAsia="zh-CN"/>
        </w:rPr>
        <w:t>(Hurley et al., 2012)</w:t>
      </w:r>
      <w:r w:rsidRPr="00B865A6">
        <w:rPr>
          <w:lang w:eastAsia="zh-CN"/>
        </w:rPr>
        <w:fldChar w:fldCharType="end"/>
      </w:r>
      <w:r w:rsidRPr="00B865A6">
        <w:rPr>
          <w:lang w:eastAsia="zh-CN"/>
        </w:rPr>
        <w:t xml:space="preserve">. For example, </w:t>
      </w:r>
      <w:r w:rsidRPr="00B865A6">
        <w:rPr>
          <w:lang w:eastAsia="zh-CN"/>
        </w:rPr>
        <w:fldChar w:fldCharType="begin" w:fldLock="1"/>
      </w:r>
      <w:r w:rsidR="00715A6C" w:rsidRPr="00B865A6">
        <w:rPr>
          <w:lang w:eastAsia="zh-CN"/>
        </w:rPr>
        <w:instrText>ADDIN CSL_CITATION {"citationItems":[{"id":"ITEM-1","itemData":{"DOI":"10.1890/ES14-00106.1","ISBN":"10.1890/ES14-00106.1","ISSN":"21508925","abstract":"Deer (Cervidae) cause considerable damage to forest plantations, crops, and protected habitats. The most common response to this damage is to implement strategies to lower population densities. However, lowering deer density may not always be desirable from hunting, recreational, or conservation perspectives. Therefore, knowledge is needed about additional factors beyond deer density that affect damage levels, and management actions that consider competing management goals. We studied the relationships between levels of bark-stripping by red deer (Cervus elaphus) on Norway spruce (Picea abies) and (1) relative deer density indices (pellet group count and deer harvest data), (2) availability of alternative natural forage (cover of forage species) and (3) proportion forest in the landscape, both at a forest stand scale and at a landscape scale. Extensive variation in damage level was evident between the six study areas. On a stand scale, the proportion of spruce damaged was positively related to pellet group density, indicating the importance of local deer usage of stands. In addition, available alternative forage in the field layer within spruce stands and proportion forest surrounding stands was negatively related to damage level. On the landscape scale, damage level was negatively related to availability of forage in the field and shrub layers and proportion forest, but was not related to any of the relative deer density indices. Increasing alternative forage may thus decrease damage and thereby reduce conflicts. Additionally, the proportion of forest in the landscape affects damage levels and should thus be considered in landscape planning and when forecasting damage risk. The relationship between local deer usage of stands and damage level suggests that future studies should try to separate the effects of local deer usage and deer density.","author":[{"dropping-particle":"","family":"Jarnemo","given":"Anders","non-dropping-particle":"","parse-names":false,"suffix":""},{"dropping-particle":"","family":"Minderman","given":"Jeroen","non-dropping-particle":"","parse-names":false,"suffix":""},{"dropping-particle":"","family":"Bunnefeld","given":"Nils","non-dropping-particle":"","parse-names":false,"suffix":""},{"dropping-particle":"","family":"Zidar","given":"Josefina","non-dropping-particle":"","parse-names":false,"suffix":""},{"dropping-particle":"","family":"Mansson","given":"Johan","non-dropping-particle":"","parse-names":false,"suffix":""}],"container-title":"Ecosphere","id":"ITEM-1","issue":"8","issued":{"date-parts":[["2014"]]},"title":"Managing landscapes for multiple objectives: Alternative forage can reduce the conflict between deer and forestry","type":"article-journal","volume":"5"},"uris":["http://www.mendeley.com/documents/?uuid=6047a416-0fbc-4039-a47f-be20e5525ae2"]}],"mendeley":{"formattedCitation":"(Jarnemo et al., 2014)","manualFormatting":"Jarnemo et al., (2014)","plainTextFormattedCitation":"(Jarnemo et al., 2014)","previouslyFormattedCitation":"(Jarnemo et al., 2014)"},"properties":{"noteIndex":0},"schema":"https://github.com/citation-style-language/schema/raw/master/csl-citation.json"}</w:instrText>
      </w:r>
      <w:r w:rsidRPr="00B865A6">
        <w:rPr>
          <w:lang w:eastAsia="zh-CN"/>
        </w:rPr>
        <w:fldChar w:fldCharType="separate"/>
      </w:r>
      <w:r w:rsidRPr="00B865A6">
        <w:rPr>
          <w:noProof/>
          <w:lang w:eastAsia="zh-CN"/>
        </w:rPr>
        <w:t xml:space="preserve">Jarnemo </w:t>
      </w:r>
      <w:r w:rsidRPr="00B865A6">
        <w:rPr>
          <w:i/>
          <w:noProof/>
          <w:lang w:eastAsia="zh-CN"/>
        </w:rPr>
        <w:t>et al.</w:t>
      </w:r>
      <w:r w:rsidRPr="00B865A6">
        <w:rPr>
          <w:noProof/>
          <w:lang w:eastAsia="zh-CN"/>
        </w:rPr>
        <w:t>, (2014)</w:t>
      </w:r>
      <w:r w:rsidRPr="00B865A6">
        <w:rPr>
          <w:lang w:eastAsia="zh-CN"/>
        </w:rPr>
        <w:fldChar w:fldCharType="end"/>
      </w:r>
      <w:r w:rsidRPr="00B865A6">
        <w:rPr>
          <w:lang w:eastAsia="zh-CN"/>
        </w:rPr>
        <w:t xml:space="preserve"> found that the proportion of damaged trees in forest stands across an agricultural region in Sweden was negatively related to availability of forage in the field and shrub layers of the focal stands, in addition to the proportion of forest in the landscape, and showed no relationship to any relative deer density indices. The o</w:t>
      </w:r>
      <w:r w:rsidRPr="00B865A6">
        <w:t xml:space="preserve">bserved hump-shaped relationship of damage with forest cover in warmer climes (Fig. 4) could result from the combination of multiple selection processes. The initial increase in damage </w:t>
      </w:r>
      <w:r w:rsidRPr="00B865A6">
        <w:lastRenderedPageBreak/>
        <w:t xml:space="preserve">probability that occurs from low to intermediate levels of forest cover in areas with high perennial cover could arise from deer selecting for perennial landscapes with at least some forest, either as a food resource, protection from adverse weather,  or through cover-seeking behaviour typical to prey species </w:t>
      </w:r>
      <w:r w:rsidRPr="00B865A6">
        <w:fldChar w:fldCharType="begin" w:fldLock="1"/>
      </w:r>
      <w:r w:rsidR="00715A6C" w:rsidRPr="00B865A6">
        <w:instrText>ADDIN CSL_CITATION {"citationItems":[{"id":"ITEM-1","itemData":{"ISBN":"0904282090","PMID":"285","author":[{"dropping-particle":"","family":"Mitchell","given":"Brian","non-dropping-particle":"","parse-names":false,"suffix":""},{"dropping-particle":"","family":"Staines","given":"Brian W.","non-dropping-particle":"","parse-names":false,"suffix":""},{"dropping-particle":"","family":"Welch","given":"David","non-dropping-particle":"","parse-names":false,"suffix":""}],"container-title":"Institute of Terrestrial Ecology","id":"ITEM-1","issued":{"date-parts":[["1977"]]},"page":"74","title":"Ecology of Red Deer: a research review relevant to their management in Scotland","type":"article-journal"},"uris":["http://www.mendeley.com/documents/?uuid=ef97b2bd-0bd4-4c09-bb7b-6b34d5c2e82d"]},{"id":"ITEM-2","itemData":{"author":[{"dropping-particle":"","family":"Staines","given":"Brian W.","non-dropping-particle":"","parse-names":false,"suffix":""}],"container-title":"Mammal Review","id":"ITEM-2","issued":{"date-parts":[["1974"]]},"page":"79-91","title":"A review of factors affecting deer dispersion and their relevance to management","type":"article-journal","volume":"4"},"uris":["http://www.mendeley.com/documents/?uuid=105cea57-c363-43a3-8986-d428687eccbf"]}],"mendeley":{"formattedCitation":"(Brian W. Staines, 1974; Mitchell et al., 1977)","manualFormatting":"(Staines et al., 1995; Mitchell et al., 1977)","plainTextFormattedCitation":"(Brian W. Staines, 1974; Mitchell et al., 1977)","previouslyFormattedCitation":"(Brian W. Staines, 1974; Mitchell et al., 1977)"},"properties":{"noteIndex":0},"schema":"https://github.com/citation-style-language/schema/raw/master/csl-citation.json"}</w:instrText>
      </w:r>
      <w:r w:rsidRPr="00B865A6">
        <w:fldChar w:fldCharType="separate"/>
      </w:r>
      <w:r w:rsidRPr="00B865A6">
        <w:rPr>
          <w:rFonts w:cstheme="minorHAnsi"/>
          <w:noProof/>
        </w:rPr>
        <w:fldChar w:fldCharType="begin" w:fldLock="1"/>
      </w:r>
      <w:r w:rsidR="00715A6C" w:rsidRPr="00B865A6">
        <w:rPr>
          <w:rFonts w:cstheme="minorHAnsi"/>
          <w:noProof/>
        </w:rPr>
        <w:instrText>ADDIN CSL_CITATION {"citationItems":[{"id":"ITEM-1","itemData":{"author":[{"dropping-particle":"","family":"Staines","given":"B. W.","non-dropping-particle":"","parse-names":false,"suffix":""},{"dropping-particle":"","family":"Balharry","given":"R.","non-dropping-particle":"","parse-names":false,"suffix":""},{"dropping-particle":"","family":"Welch","given":"D.","non-dropping-particle":"","parse-names":false,"suffix":""}],"container-title":"Heaths and moorland: Cultural landscapes","editor":[{"dropping-particle":"","family":"Thompson, D. B. A. and Usher","given":"M. B","non-dropping-particle":"","parse-names":false,"suffix":""}],"id":"ITEM-1","issued":{"date-parts":[["1995"]]},"publisher":"SNH/HMSO","publisher-place":"Edinburgh","title":"The impact of red deer and their management on the natural heritage in the uplands","type":"chapter"},"uris":["http://www.mendeley.com/documents/?uuid=48d44e93-a386-4fca-87de-cad2e6c349d9"]}],"mendeley":{"formattedCitation":"(B. W. Staines et al., 1995)","manualFormatting":"(Staines et al., 1995","plainTextFormattedCitation":"(B. W. Staines et al., 1995)","previouslyFormattedCitation":"(B. W. Staines et al., 1995)"},"properties":{"noteIndex":0},"schema":"https://github.com/citation-style-language/schema/raw/master/csl-citation.json"}</w:instrText>
      </w:r>
      <w:r w:rsidRPr="00B865A6">
        <w:rPr>
          <w:rFonts w:cstheme="minorHAnsi"/>
          <w:noProof/>
        </w:rPr>
        <w:fldChar w:fldCharType="separate"/>
      </w:r>
      <w:r w:rsidRPr="00B865A6">
        <w:rPr>
          <w:rFonts w:cstheme="minorHAnsi"/>
          <w:noProof/>
        </w:rPr>
        <w:t xml:space="preserve">(Staines </w:t>
      </w:r>
      <w:r w:rsidRPr="00B865A6">
        <w:rPr>
          <w:rFonts w:cstheme="minorHAnsi"/>
          <w:i/>
          <w:noProof/>
        </w:rPr>
        <w:t>et al.</w:t>
      </w:r>
      <w:r w:rsidRPr="00B865A6">
        <w:rPr>
          <w:rFonts w:cstheme="minorHAnsi"/>
          <w:noProof/>
        </w:rPr>
        <w:t>, 1995</w:t>
      </w:r>
      <w:r w:rsidRPr="00B865A6">
        <w:rPr>
          <w:rFonts w:cstheme="minorHAnsi"/>
          <w:noProof/>
        </w:rPr>
        <w:fldChar w:fldCharType="end"/>
      </w:r>
      <w:r w:rsidRPr="00B865A6">
        <w:rPr>
          <w:noProof/>
        </w:rPr>
        <w:t xml:space="preserve">; Mitchell </w:t>
      </w:r>
      <w:r w:rsidRPr="00B865A6">
        <w:rPr>
          <w:i/>
          <w:noProof/>
        </w:rPr>
        <w:t>et al.</w:t>
      </w:r>
      <w:r w:rsidRPr="00B865A6">
        <w:rPr>
          <w:noProof/>
        </w:rPr>
        <w:t>, 1977)</w:t>
      </w:r>
      <w:r w:rsidRPr="00B865A6">
        <w:fldChar w:fldCharType="end"/>
      </w:r>
      <w:r w:rsidRPr="00B865A6">
        <w:t xml:space="preserve">. It is not clear why the probability of damage declines with further increases in forest cover in these regions. It is possible that the pattern results from a dilution effect, wherein the probability that a particular forest site is damaged declines with an increasing amount of surrounding forest cover </w:t>
      </w:r>
      <w:r w:rsidRPr="00B865A6">
        <w:fldChar w:fldCharType="begin" w:fldLock="1"/>
      </w:r>
      <w:r w:rsidR="00715A6C" w:rsidRPr="00B865A6">
        <w:instrText>ADDIN CSL_CITATION {"citationItems":[{"id":"ITEM-1","itemData":{"DOI":"10.1016/j.biocon.2011.10.034","ISBN":"0006-3207","ISSN":"00063207","abstract":"We investigated the potential for cross-habitat interactions to modulate per capita ungulate browse effects on forest herbaceous layers. Specifically, we examined how white-tailed deer (Odocoileus virginianus) abundance, reserve size, and landscape context at variable spatial scales interact to influence the impact of deer herbivory on forest understory communities in 16 Indiana state parks. We used native herb cover (NHC) as a proxy for deer impact to forest understories, and deer killed per unit hunter effort (DAI) as a proxy for deer abundance. Comparison of multiple regression models, using Akaike's Information Criterion, suggested that the per capita impact of deer herbivory to forest understories was strongly related to landscape configuration of deer habitat types at the scale of an individual deer's home range, whereas deer abundance was more strongly associated with landscape structure at broader spatial scales. Interspersion and juxtaposition of non-forested, perennial forage habitat with other habitat types (forest and agriculture) at the park plus a 0.5. km buffer scale, together with DAI, explained 84% of the variation in native herbaceous cover (NHC). A model with DAI alone as a predictor accounted for only 19% of the variation in NHC. Thus, although deer impact was related to deer abundance, habitat configuration in landscapes surrounding parks appeared to strongly modulate the level of impact associated with a particular abundance of deer. Our results underscore the importance of landscape context in determining foraging behavior and per capita impacts of ungulates on forest resources in protected areas. © 2011 Elsevier Ltd.","author":[{"dropping-particle":"","family":"Hurley","given":"Peter M.","non-dropping-particle":"","parse-names":false,"suffix":""},{"dropping-particle":"","family":"Webster","given":"Christopher R.","non-dropping-particle":"","parse-names":false,"suffix":""},{"dropping-particle":"","family":"Flaspohler","given":"David J.","non-dropping-particle":"","parse-names":false,"suffix":""},{"dropping-particle":"","family":"Parker","given":"George R.","non-dropping-particle":"","parse-names":false,"suffix":""}],"container-title":"Biological Conservation","id":"ITEM-1","issue":"1","issued":{"date-parts":[["2012"]]},"page":"62-71","publisher":"Elsevier Ltd","title":"Untangling the landscape of deer overabundance: Reserve size versus landscape context in the agricultural Midwest","type":"article-journal","volume":"146"},"uris":["http://www.mendeley.com/documents/?uuid=b99e458d-0477-48e3-bf55-42be74a67085"]}],"mendeley":{"formattedCitation":"(Hurley et al., 2012)","plainTextFormattedCitation":"(Hurley et al., 2012)","previouslyFormattedCitation":"(Hurley et al., 2012)"},"properties":{"noteIndex":0},"schema":"https://github.com/citation-style-language/schema/raw/master/csl-citation.json"}</w:instrText>
      </w:r>
      <w:r w:rsidRPr="00B865A6">
        <w:fldChar w:fldCharType="separate"/>
      </w:r>
      <w:r w:rsidR="00770064" w:rsidRPr="00B865A6">
        <w:rPr>
          <w:noProof/>
        </w:rPr>
        <w:t>(Hurley et al., 2012)</w:t>
      </w:r>
      <w:r w:rsidRPr="00B865A6">
        <w:fldChar w:fldCharType="end"/>
      </w:r>
      <w:r w:rsidRPr="00B865A6">
        <w:t xml:space="preserve">. On the other hand, it could result from deer either selecting to forage in less wooded landscapes, preferring perennial forage in favourable climes due to its potentially higher productivity. </w:t>
      </w:r>
      <w:bookmarkStart w:id="33" w:name="_Hlk19021755"/>
      <w:r w:rsidRPr="00B865A6">
        <w:t>It is not possible to distinguish the mechanism without foraging data from other habitats, to understand whether they switch habitats or not. Recording deer damage in other habitats therefore represents a future monitoring priority.</w:t>
      </w:r>
    </w:p>
    <w:bookmarkEnd w:id="33"/>
    <w:p w14:paraId="0FA897EB" w14:textId="3B708E4A" w:rsidR="00C83AD9" w:rsidRPr="00B865A6" w:rsidRDefault="00C83AD9" w:rsidP="00C83AD9">
      <w:pPr>
        <w:spacing w:line="480" w:lineRule="auto"/>
      </w:pPr>
      <w:r w:rsidRPr="00B865A6">
        <w:t xml:space="preserve">The effects of local-level variables are consistent with previous studies, with deer more likely to forage in unmanaged, broadleaved sites with a large age range and low tree volume, relative to even-aged coniferous sites (Fig. 3); such sites could be prioritised for fencing.  This is likely due to greater ease of movement or higher availability of understorey vegetation in these sites </w:t>
      </w:r>
      <w:r w:rsidRPr="00B865A6">
        <w:fldChar w:fldCharType="begin" w:fldLock="1"/>
      </w:r>
      <w:r w:rsidR="00715A6C" w:rsidRPr="00B865A6">
        <w:instrText>ADDIN CSL_CITATION {"citationItems":[{"id":"ITEM-1","itemData":{"DOI":"10.3390/f5061374","ISBN":"1999-4907","ISSN":"19994907","abstract":"The combination of GPS-Telemetry and resource selection functions is widely used to analyze animal habitat selection. Rapid large-scale assessment of vegetation structure allows bridging the requirements of habitat selection studies on grain size and extent, particularly in forest habitats. For roe deer, the cold period in winter forces individuals to optimize their trade off in searching for food and shelter. We analyzed the winter habitat selection of roe deer (Capreolus capreolus) in a montane forest landscape combining estimates of vegetation cover in three different height strata, derived from high resolution airborne Laser-scanning (LiDAR, Light detection and ranging), and activity data from GPS telemetry. Specifically, we tested the influence of temperature, snow height, and wind speed on site selection, differentiating between active and resting animals using mixed-effects conditional logistic regression models in a case-control design. Site selection was best explained by temperature deviations from hourly means, snow height, and activity status of the animals. Roe deer tended to use forests of high canopy cover more frequently with decreasing temperature, and when snow height exceeded 0.6 m. Active animals preferred lower canopy cover, but higher understory cover. Our approach demonstrates the potential of LiDAR measures for studying fine scale habitat selection in complex three-dimensional habitats, such as forests.","author":[{"dropping-particle":"","family":"Ewald","given":"Michael","non-dropping-particle":"","parse-names":false,"suffix":""},{"dropping-particle":"","family":"Dupke","given":"Claudia","non-dropping-particle":"","parse-names":false,"suffix":""},{"dropping-particle":"","family":"Heurich","given":"Marco","non-dropping-particle":"","parse-names":false,"suffix":""},{"dropping-particle":"","family":"Müller","given":"Jörg","non-dropping-particle":"","parse-names":false,"suffix":""},{"dropping-particle":"","family":"Reineking","given":"Björn","non-dropping-particle":"","parse-names":false,"suffix":""}],"container-title":"Forests","id":"ITEM-1","issue":"6","issued":{"date-parts":[["2014"]]},"page":"1374-1390","title":"LiDAR remote sensing of forest structure and GPS telemetry data provide insights on winter habitat selection of european roe deer","type":"article-journal","volume":"5"},"uris":["http://www.mendeley.com/documents/?uuid=5960e536-73f2-433f-8f05-3fa6b57f368b"]}],"mendeley":{"formattedCitation":"(Ewald et al., 2014)","plainTextFormattedCitation":"(Ewald et al., 2014)","previouslyFormattedCitation":"(Ewald et al., 2014)"},"properties":{"noteIndex":0},"schema":"https://github.com/citation-style-language/schema/raw/master/csl-citation.json"}</w:instrText>
      </w:r>
      <w:r w:rsidRPr="00B865A6">
        <w:fldChar w:fldCharType="separate"/>
      </w:r>
      <w:r w:rsidR="00770064" w:rsidRPr="00B865A6">
        <w:rPr>
          <w:noProof/>
        </w:rPr>
        <w:t>(Ewald et al., 2014)</w:t>
      </w:r>
      <w:r w:rsidRPr="00B865A6">
        <w:fldChar w:fldCharType="end"/>
      </w:r>
      <w:r w:rsidRPr="00B865A6">
        <w:t xml:space="preserve">, and preference for broadleaved tree species as browse, with </w:t>
      </w:r>
      <w:r w:rsidRPr="00B865A6">
        <w:rPr>
          <w:i/>
        </w:rPr>
        <w:t>Quercus</w:t>
      </w:r>
      <w:r w:rsidRPr="00B865A6">
        <w:t xml:space="preserve"> and </w:t>
      </w:r>
      <w:r w:rsidRPr="00B865A6">
        <w:rPr>
          <w:i/>
        </w:rPr>
        <w:t>Fraxinus</w:t>
      </w:r>
      <w:r w:rsidRPr="00B865A6">
        <w:t xml:space="preserve"> species among the most susceptible, and Sitka spruce (</w:t>
      </w:r>
      <w:r w:rsidRPr="00B865A6">
        <w:rPr>
          <w:i/>
        </w:rPr>
        <w:t>Picea sitchensis</w:t>
      </w:r>
      <w:r w:rsidRPr="00B865A6">
        <w:t>) and Scots pine (</w:t>
      </w:r>
      <w:r w:rsidRPr="00B865A6">
        <w:rPr>
          <w:i/>
        </w:rPr>
        <w:t>Pinus sylvestris</w:t>
      </w:r>
      <w:r w:rsidRPr="00B865A6">
        <w:t xml:space="preserve">) among the least preferred </w:t>
      </w:r>
      <w:r w:rsidRPr="00B865A6">
        <w:fldChar w:fldCharType="begin" w:fldLock="1"/>
      </w:r>
      <w:r w:rsidR="00C36AD3" w:rsidRPr="00B865A6">
        <w:instrText>ADDIN CSL_CITATION {"citationItems":[{"id":"ITEM-1","itemData":{"DOI":"10.1093/forestry/65.2.145","ISBN":"0015-752X","ISSN":"0015-752X","PMID":"35","abstract":"The causes of browsing, bark stripping, and fraying damage by deer are examined by reviewing the available literature. Trees species differ in vulnerability and each form of damage occurs within certain age and size classes. Stem morphology has an important influence on bark stripping; lower branches and bark thickening tend to deter stripping in any one species. Site related factors such as hiding cover, snow and soil fertility also influence damage. The data relating deer population density to damage are imprecise and there is a need for improved density estimation methods to demonstrate the benefit of culling in different habitats. Vegetation affects both habitat and diet selection in deer, and can create both positive and negative relationships with damage. Computer models are proposed as an aid to damage prediction and forest protection decision making.","author":[{"dropping-particle":"","family":"Gill","given":"R M A","non-dropping-particle":"","parse-names":false,"suffix":""}],"container-title":"Forestry","id":"ITEM-1","issue":"2","issued":{"date-parts":[["1992"]]},"page":"145-169","title":"A review of damage by mammals in North temperate forests. 3. Deer","type":"article-journal","volume":"65"},"uris":["http://www.mendeley.com/documents/?uuid=7a47394d-6af0-461c-b3ad-b5f782d23097"]}],"mendeley":{"formattedCitation":"(R M A Gill, 1992)","manualFormatting":"(Gill, 1992)","plainTextFormattedCitation":"(R M A Gill, 1992)","previouslyFormattedCitation":"(R M A Gill, 1992)"},"properties":{"noteIndex":0},"schema":"https://github.com/citation-style-language/schema/raw/master/csl-citation.json"}</w:instrText>
      </w:r>
      <w:r w:rsidRPr="00B865A6">
        <w:fldChar w:fldCharType="separate"/>
      </w:r>
      <w:r w:rsidR="00770064" w:rsidRPr="00B865A6">
        <w:rPr>
          <w:noProof/>
        </w:rPr>
        <w:t>(Gill, 1992)</w:t>
      </w:r>
      <w:r w:rsidRPr="00B865A6">
        <w:fldChar w:fldCharType="end"/>
      </w:r>
      <w:r w:rsidRPr="00B865A6">
        <w:t xml:space="preserve">. Our results also agree with previous findings of negative effects of road density or traffic on habitat selection by large herbivores </w:t>
      </w:r>
      <w:r w:rsidRPr="00B865A6">
        <w:fldChar w:fldCharType="begin" w:fldLock="1"/>
      </w:r>
      <w:r w:rsidR="00715A6C" w:rsidRPr="00B865A6">
        <w:instrText>ADDIN CSL_CITATION {"citationItems":[{"id":"ITEM-1","itemData":{"DOI":"10.1002/jwmg.469","author":[{"dropping-particle":"","family":"Meisinget","given":"E.L.","non-dropping-particle":"","parse-names":false,"suffix":""},{"dropping-particle":"","family":"Loe","given":"L.E.","non-dropping-particle":"","parse-names":false,"suffix":""},{"dropping-particle":"","family":"Brekkum","given":"O.","non-dropping-particle":"","parse-names":false,"suffix":""},{"dropping-particle":"Van","family":"Moorter","given":"Bram","non-dropping-particle":"","parse-names":false,"suffix":""},{"dropping-particle":"","family":"Mysterud","given":"Atle","non-dropping-particle":"","parse-names":false,"suffix":""}],"container-title":"The Journal of Wildlife Management","id":"ITEM-1","issue":"1","issued":{"date-parts":[["2013"]]},"page":"181-191","title":"Red Deer Habitat Selection and Movements in Relation to Roads","type":"article-journal","volume":"77"},"uris":["http://www.mendeley.com/documents/?uuid=ac356497-3fbe-4f88-8ed5-2879f402cafc"]},{"id":"ITEM-2","itemData":{"DOI":"10.1093/jmammal/gyw167","author":[{"dropping-particle":"","family":"Gilbert","given":"S.L.","non-dropping-particle":"","parse-names":false,"suffix":""},{"dropping-particle":"","family":"Hundertmark","given":"K.J.","non-dropping-particle":"","parse-names":false,"suffix":""},{"dropping-particle":"","family":"Person","given":"D.K.","non-dropping-particle":"","parse-names":false,"suffix":""},{"dropping-particle":"","family":"Lindberg","given":"M.S.","non-dropping-particle":"","parse-names":false,"suffix":""},{"dropping-particle":"","family":"Boyce","given":"M.S.","non-dropping-particle":"","parse-names":false,"suffix":""}],"container-title":"Journal of Mammalogy","id":"ITEM-2","issue":"1","issued":{"date-parts":[["2017"]]},"page":"246-259","title":"Behavioral plasticity in a variable environment : snow depth and habitat interactions drive deer movement in winter","type":"article-journal","volume":"98"},"uris":["http://www.mendeley.com/documents/?uuid=6933c275-1b25-4810-8df3-c04b6a249142"]}],"mendeley":{"formattedCitation":"(Meisinget et al., 2013; Gilbert et al., 2017)","plainTextFormattedCitation":"(Meisinget et al., 2013; Gilbert et al., 2017)","previouslyFormattedCitation":"(Meisinget et al., 2013; Gilbert et al., 2017)"},"properties":{"noteIndex":0},"schema":"https://github.com/citation-style-language/schema/raw/master/csl-citation.json"}</w:instrText>
      </w:r>
      <w:r w:rsidRPr="00B865A6">
        <w:fldChar w:fldCharType="separate"/>
      </w:r>
      <w:r w:rsidR="00770064" w:rsidRPr="00B865A6">
        <w:rPr>
          <w:noProof/>
        </w:rPr>
        <w:t>(Meisinget et al., 2013; Gilbert et al., 2017)</w:t>
      </w:r>
      <w:r w:rsidRPr="00B865A6">
        <w:fldChar w:fldCharType="end"/>
      </w:r>
      <w:r w:rsidRPr="00B865A6">
        <w:t xml:space="preserve">. We note here that fencing serves purposes other than forest protection from herbivore damage, such as preventing road collisions with animals, so do not suggest that fencing is directed away from roadside forests. </w:t>
      </w:r>
    </w:p>
    <w:p w14:paraId="51D8BA9B" w14:textId="0BDCE293" w:rsidR="00C83AD9" w:rsidRPr="00B865A6" w:rsidRDefault="00C83AD9" w:rsidP="00C83AD9">
      <w:pPr>
        <w:spacing w:line="480" w:lineRule="auto"/>
      </w:pPr>
      <w:r w:rsidRPr="00B865A6">
        <w:rPr>
          <w:lang w:eastAsia="zh-CN"/>
        </w:rPr>
        <w:t xml:space="preserve">Our findings have important implications for deer management strategies alongside the </w:t>
      </w:r>
      <w:r w:rsidRPr="00B865A6">
        <w:t xml:space="preserve">ambitious afforestation targets that have recently been set for Britain; </w:t>
      </w:r>
      <w:bookmarkStart w:id="34" w:name="_Hlk32828514"/>
      <w:r w:rsidRPr="00B865A6">
        <w:t xml:space="preserve">Scotland aims to increase forest cover from 18 to 21% by 2032 </w:t>
      </w:r>
      <w:r w:rsidRPr="00B865A6">
        <w:fldChar w:fldCharType="begin" w:fldLock="1"/>
      </w:r>
      <w:r w:rsidR="00715A6C" w:rsidRPr="00B865A6">
        <w:instrText>ADDIN CSL_CITATION {"citationItems":[{"id":"ITEM-1","itemData":{"author":[{"dropping-particle":"","family":"Forestry Commission","given":"","non-dropping-particle":"","parse-names":false,"suffix":""}],"id":"ITEM-1","issued":{"date-parts":[["2009"]]},"publisher-place":"Edinburgh","title":"The Scottish government’s rationale for woodland expansion","type":"report"},"uris":["http://www.mendeley.com/documents/?uuid=171e02fd-61d7-43f4-a17f-79dda371c116"]},{"id":"ITEM-2","itemData":{"author":[{"dropping-particle":"","family":"Scottish Government","given":"","non-dropping-particle":"","parse-names":false,"suffix":""}],"id":"ITEM-2","issued":{"date-parts":[["2017"]]},"publisher-place":"Edinburgh","title":"Draft climate change plan: the draft third report on policies and proposals 2017-2032","type":"report"},"uris":["http://www.mendeley.com/documents/?uuid=b987719b-8983-4fc8-b197-aa3cce619dd0"]}],"mendeley":{"formattedCitation":"(Forestry Commission, 2009; Scottish Government, 2017)","plainTextFormattedCitation":"(Forestry Commission, 2009; Scottish Government, 2017)","previouslyFormattedCitation":"(Forestry Commission, 2009; Scottish Government, 2017)"},"properties":{"noteIndex":0},"schema":"https://github.com/citation-style-language/schema/raw/master/csl-citation.json"}</w:instrText>
      </w:r>
      <w:r w:rsidRPr="00B865A6">
        <w:fldChar w:fldCharType="separate"/>
      </w:r>
      <w:r w:rsidR="00770064" w:rsidRPr="00B865A6">
        <w:rPr>
          <w:noProof/>
        </w:rPr>
        <w:t>(Forestry Commission, 2009; Scottish Government, 2017)</w:t>
      </w:r>
      <w:r w:rsidRPr="00B865A6">
        <w:fldChar w:fldCharType="end"/>
      </w:r>
      <w:r w:rsidRPr="00B865A6">
        <w:t xml:space="preserve">, from 10%-12% in </w:t>
      </w:r>
      <w:r w:rsidRPr="00B865A6">
        <w:lastRenderedPageBreak/>
        <w:t xml:space="preserve">England by 2060 </w:t>
      </w:r>
      <w:r w:rsidRPr="00B865A6">
        <w:fldChar w:fldCharType="begin" w:fldLock="1"/>
      </w:r>
      <w:r w:rsidR="00715A6C" w:rsidRPr="00B865A6">
        <w:instrText>ADDIN CSL_CITATION {"citationItems":[{"id":"ITEM-1","itemData":{"author":[{"dropping-particle":"","family":"DEFRA","given":"","non-dropping-particle":"","parse-names":false,"suffix":""}],"id":"ITEM-1","issued":{"date-parts":[["2018"]]},"publisher-place":"London","title":"A Green Future: Our 25 Year plan to improve the environment","type":"report"},"uris":["http://www.mendeley.com/documents/?uuid=4484bc92-1d57-405a-a5a3-4c02d068b44a"]}],"mendeley":{"formattedCitation":"(DEFRA, 2018)","plainTextFormattedCitation":"(DEFRA, 2018)","previouslyFormattedCitation":"(DEFRA, 2018)"},"properties":{"noteIndex":0},"schema":"https://github.com/citation-style-language/schema/raw/master/csl-citation.json"}</w:instrText>
      </w:r>
      <w:r w:rsidRPr="00B865A6">
        <w:fldChar w:fldCharType="separate"/>
      </w:r>
      <w:r w:rsidR="00770064" w:rsidRPr="00B865A6">
        <w:rPr>
          <w:noProof/>
        </w:rPr>
        <w:t>(DEFRA, 2018)</w:t>
      </w:r>
      <w:r w:rsidRPr="00B865A6">
        <w:fldChar w:fldCharType="end"/>
      </w:r>
      <w:r w:rsidRPr="00B865A6">
        <w:t xml:space="preserve">, while Wales has a target to plant at least 2,000-ha of new forest annually between 2020 to 2030 </w:t>
      </w:r>
      <w:r w:rsidRPr="00B865A6">
        <w:fldChar w:fldCharType="begin" w:fldLock="1"/>
      </w:r>
      <w:r w:rsidR="00715A6C" w:rsidRPr="00B865A6">
        <w:instrText>ADDIN CSL_CITATION {"citationItems":[{"id":"ITEM-1","itemData":{"author":[{"dropping-particle":"","family":"Forestry Commission","given":"","non-dropping-particle":"","parse-names":false,"suffix":""}],"id":"ITEM-1","issued":{"date-parts":[["2018"]]},"publisher-place":"Aberystwyth","title":"Woodlands for Wales: The Welsh Assembly Government’s strategy for woodlands and trees.","type":"report"},"uris":["http://www.mendeley.com/documents/?uuid=dd3d7360-3aca-4fe6-b3c9-3a09d9f05d9f"]}],"mendeley":{"formattedCitation":"(Forestry Commission, 2018)","plainTextFormattedCitation":"(Forestry Commission, 2018)","previouslyFormattedCitation":"(Forestry Commission, 2018)"},"properties":{"noteIndex":0},"schema":"https://github.com/citation-style-language/schema/raw/master/csl-citation.json"}</w:instrText>
      </w:r>
      <w:r w:rsidRPr="00B865A6">
        <w:fldChar w:fldCharType="separate"/>
      </w:r>
      <w:r w:rsidR="00770064" w:rsidRPr="00B865A6">
        <w:rPr>
          <w:noProof/>
        </w:rPr>
        <w:t>(Forestry Commission, 2018)</w:t>
      </w:r>
      <w:r w:rsidRPr="00B865A6">
        <w:fldChar w:fldCharType="end"/>
      </w:r>
      <w:r w:rsidRPr="00B865A6">
        <w:t xml:space="preserve">. </w:t>
      </w:r>
      <w:bookmarkEnd w:id="34"/>
      <w:r w:rsidRPr="00B865A6">
        <w:t xml:space="preserve">The creation of young forest stands can benefit deer by providing abundant forage and cover </w:t>
      </w:r>
      <w:r w:rsidRPr="00B865A6">
        <w:fldChar w:fldCharType="begin" w:fldLock="1"/>
      </w:r>
      <w:r w:rsidR="00C36AD3" w:rsidRPr="00B865A6">
        <w:instrText>ADDIN CSL_CITATION {"citationItems":[{"id":"ITEM-1","itemData":{"author":[{"dropping-particle":"","family":"Gill","given":"Robin M.A.","non-dropping-particle":"","parse-names":false,"suffix":""},{"dropping-particle":"","family":"Thomas","given":"M.L.","non-dropping-particle":"","parse-names":false,"suffix":""},{"dropping-particle":"","family":"Stocker","given":"D.","non-dropping-particle":"","parse-names":false,"suffix":""}],"container-title":"Journal of Applied Ecology","id":"ITEM-1","issue":"1273-1286","issued":{"date-parts":[["1997"]]},"title":"The use of portable thermal imaging for estimating deer population density in forest habitats","type":"article-journal","volume":"34"},"uris":["http://www.mendeley.com/documents/?uuid=133731e3-7bf4-4df4-b040-dbc890263b8a"]}],"mendeley":{"formattedCitation":"(Robin M.A. Gill, Thomas, &amp; Stocker, 1997)","manualFormatting":"(Gill, Thomas, &amp; Stocker, 1997)","plainTextFormattedCitation":"(Robin M.A. Gill, Thomas, &amp; Stocker, 1997)","previouslyFormattedCitation":"(Robin M.A. Gill, Thomas, &amp; Stocker, 1997)"},"properties":{"noteIndex":0},"schema":"https://github.com/citation-style-language/schema/raw/master/csl-citation.json"}</w:instrText>
      </w:r>
      <w:r w:rsidRPr="00B865A6">
        <w:fldChar w:fldCharType="separate"/>
      </w:r>
      <w:r w:rsidR="00770064" w:rsidRPr="00B865A6">
        <w:rPr>
          <w:noProof/>
        </w:rPr>
        <w:t>(Gill, Thomas, &amp; Stocker, 1997)</w:t>
      </w:r>
      <w:r w:rsidRPr="00B865A6">
        <w:fldChar w:fldCharType="end"/>
      </w:r>
      <w:r w:rsidRPr="00B865A6">
        <w:t xml:space="preserve"> </w:t>
      </w:r>
      <w:r w:rsidRPr="00B865A6">
        <w:rPr>
          <w:lang w:eastAsia="zh-CN"/>
        </w:rPr>
        <w:t>The results of this analysis suggest that afforestation of landscapes in less harsh climes with low perennial cover will likely increase  damage of existing forests by deer. H</w:t>
      </w:r>
      <w:r w:rsidRPr="00B865A6">
        <w:t xml:space="preserve">ump-shaped relationships between damage probability and landscape-level forest cover meant that intermediately wooded landscapes were most likely to incur damage in favourable regions with medium-to-high levels of perennial cover (Figs. 4&amp;5). This means that </w:t>
      </w:r>
      <w:r w:rsidRPr="00B865A6">
        <w:rPr>
          <w:lang w:eastAsia="zh-CN"/>
        </w:rPr>
        <w:t>mitigation methods such as fencing may be most needed to protect forests in with these particular landscape and regional contexts. This will be especially true for older forest sites with a large age ranges and low tree densities (Fig. 3)</w:t>
      </w:r>
      <w:r w:rsidR="00ED4CC0" w:rsidRPr="00B865A6">
        <w:rPr>
          <w:lang w:eastAsia="zh-CN"/>
        </w:rPr>
        <w:t>,</w:t>
      </w:r>
      <w:r w:rsidRPr="00B865A6">
        <w:rPr>
          <w:lang w:eastAsia="zh-CN"/>
        </w:rPr>
        <w:t xml:space="preserve"> characteristics that generally correspond to unmanaged ancient semi-natural broadleaved forests </w:t>
      </w:r>
      <w:r w:rsidRPr="00B865A6">
        <w:rPr>
          <w:lang w:eastAsia="zh-CN"/>
        </w:rPr>
        <w:fldChar w:fldCharType="begin" w:fldLock="1"/>
      </w:r>
      <w:r w:rsidR="00715A6C" w:rsidRPr="00B865A6">
        <w:rPr>
          <w:lang w:eastAsia="zh-CN"/>
        </w:rPr>
        <w:instrText>ADDIN CSL_CITATION {"citationItems":[{"id":"ITEM-1","itemData":{"author":[{"dropping-particle":"","family":"Rackham","given":"Oliver","non-dropping-particle":"","parse-names":false,"suffix":""}],"id":"ITEM-1","issued":{"date-parts":[["2008"]]},"page":"571-586","title":"Ancient woodlands: modern threats","type":"article-journal"},"uris":["http://www.mendeley.com/documents/?uuid=a43ad920-77aa-421f-bdac-ab9b54a40fe8"]}],"mendeley":{"formattedCitation":"(Rackham, 2008)","plainTextFormattedCitation":"(Rackham, 2008)","previouslyFormattedCitation":"(Rackham, 2008)"},"properties":{"noteIndex":0},"schema":"https://github.com/citation-style-language/schema/raw/master/csl-citation.json"}</w:instrText>
      </w:r>
      <w:r w:rsidRPr="00B865A6">
        <w:rPr>
          <w:lang w:eastAsia="zh-CN"/>
        </w:rPr>
        <w:fldChar w:fldCharType="separate"/>
      </w:r>
      <w:r w:rsidR="00770064" w:rsidRPr="00B865A6">
        <w:rPr>
          <w:noProof/>
          <w:lang w:eastAsia="zh-CN"/>
        </w:rPr>
        <w:t>(Rackham, 2008)</w:t>
      </w:r>
      <w:r w:rsidRPr="00B865A6">
        <w:rPr>
          <w:lang w:eastAsia="zh-CN"/>
        </w:rPr>
        <w:fldChar w:fldCharType="end"/>
      </w:r>
      <w:r w:rsidRPr="00B865A6">
        <w:rPr>
          <w:lang w:eastAsia="zh-CN"/>
        </w:rPr>
        <w:t xml:space="preserve">, whose lack of regeneration due to grazing threatens their biodiversity value </w:t>
      </w:r>
      <w:r w:rsidRPr="00B865A6">
        <w:rPr>
          <w:lang w:eastAsia="zh-CN"/>
        </w:rPr>
        <w:fldChar w:fldCharType="begin" w:fldLock="1"/>
      </w:r>
      <w:r w:rsidR="00715A6C" w:rsidRPr="00B865A6">
        <w:rPr>
          <w:lang w:eastAsia="zh-CN"/>
        </w:rPr>
        <w:instrText>ADDIN CSL_CITATION {"citationItems":[{"id":"ITEM-1","itemData":{"abstract":"Setting aside overmature planted forests is currently seen as an option for preserving species associated with old-growth forests, such as those with dispersal limitation. Few data exist, however, on the utility of set-aside plantations for this purpose, or the value of this habitat type for biodiversity relative to old-growth semi-natural ecosystems. Here, we evaluate the contribution of forest type relative to habitat characteristics in determining species richness and composition in seven forest blocks, each containing an ancient old-growth stand (&gt;. 1000. yrs) paired with a set-aside even-aged planted stand (ca. 180. yrs). We investigated the functionally important yet relatively neglected ectomycorrhizal fungi (EMF), a group for which the importance of forest age has not been assessed in broadleaved forests. We found that forest type was not an important determinant of EMF species richness or composition, demonstrating that set-aside can be an effective option for conserving ancient EMF communities. Species richness of above-ground EMF fruiting bodies was principally related to the basal area of the stand (a correlate of canopy cover) and tree species diversity, whilst richness of below-ground ectomycorrhizae was driven only by tree diversity. Our results suggest that overmature planted forest stands, particularly those that are mixed-woods with high basal area, are an effective means to connect and expand ecological networks of ancient old-growth forests in historically deforested and fragmented landscapes for ectomycorrhizal fungi.","author":[{"dropping-particle":"","family":"Spake","given":"Rebecca","non-dropping-particle":"","parse-names":false,"suffix":""},{"dropping-particle":"","family":"Linde","given":"Sietse","non-dropping-particle":"van der","parse-names":false,"suffix":""},{"dropping-particle":"","family":"Newton","given":"Adrian C.","non-dropping-particle":"","parse-names":false,"suffix":""},{"dropping-particle":"","family":"Suz","given":"Laura M.","non-dropping-particle":"","parse-names":false,"suffix":""},{"dropping-particle":"","family":"Bidartondo","given":"Martin I.","non-dropping-particle":"","parse-names":false,"suffix":""},{"dropping-particle":"","family":"Doncaster","given":"C. Patrick","non-dropping-particle":"","parse-names":false,"suffix":""}],"container-title":"Biological Conservation","id":"ITEM-1","issued":{"date-parts":[["2016","2","1"]]},"page":"71-79","publisher":"Elsevier Ltd","title":"Similar biodiversity of ectomycorrhizal fungi in set-aside plantations and ancient old-growth broadleaved forests","type":"article-journal","volume":"194"},"uris":["http://www.mendeley.com/documents/?uuid=cab4af3c-2ec5-42ea-b473-81e1531dfcc5"]}],"mendeley":{"formattedCitation":"(Spake et al., 2016)","plainTextFormattedCitation":"(Spake et al., 2016)","previouslyFormattedCitation":"(Spake et al., 2016)"},"properties":{"noteIndex":0},"schema":"https://github.com/citation-style-language/schema/raw/master/csl-citation.json"}</w:instrText>
      </w:r>
      <w:r w:rsidRPr="00B865A6">
        <w:rPr>
          <w:lang w:eastAsia="zh-CN"/>
        </w:rPr>
        <w:fldChar w:fldCharType="separate"/>
      </w:r>
      <w:r w:rsidR="00770064" w:rsidRPr="00B865A6">
        <w:rPr>
          <w:noProof/>
          <w:lang w:eastAsia="zh-CN"/>
        </w:rPr>
        <w:t>(Spake et al., 2016)</w:t>
      </w:r>
      <w:r w:rsidRPr="00B865A6">
        <w:rPr>
          <w:lang w:eastAsia="zh-CN"/>
        </w:rPr>
        <w:fldChar w:fldCharType="end"/>
      </w:r>
      <w:r w:rsidRPr="00B865A6">
        <w:rPr>
          <w:lang w:eastAsia="zh-CN"/>
        </w:rPr>
        <w:t>. Fencing is costly and so must be directed towards forests that are most at risk of deer damage, i.e. forests with the particular local and landscape characteristics described above</w:t>
      </w:r>
      <w:r w:rsidR="002E6937" w:rsidRPr="00B865A6">
        <w:rPr>
          <w:lang w:eastAsia="zh-CN"/>
        </w:rPr>
        <w:t>, whilst considering the potential impacts on the movements of other species</w:t>
      </w:r>
      <w:r w:rsidR="00560757" w:rsidRPr="00B865A6">
        <w:rPr>
          <w:lang w:eastAsia="zh-CN"/>
        </w:rPr>
        <w:t xml:space="preserve"> through fencing placement and design</w:t>
      </w:r>
      <w:r w:rsidRPr="00B865A6">
        <w:rPr>
          <w:lang w:eastAsia="zh-CN"/>
        </w:rPr>
        <w:t xml:space="preserve">. </w:t>
      </w:r>
    </w:p>
    <w:p w14:paraId="027BBAE8" w14:textId="77777777" w:rsidR="00C83AD9" w:rsidRPr="00B865A6" w:rsidRDefault="00C83AD9" w:rsidP="00C83AD9">
      <w:pPr>
        <w:spacing w:line="480" w:lineRule="auto"/>
        <w:rPr>
          <w:rStyle w:val="Heading3Char"/>
        </w:rPr>
      </w:pPr>
      <w:bookmarkStart w:id="35" w:name="_Toc517892365"/>
      <w:bookmarkStart w:id="36" w:name="_Toc520716276"/>
      <w:bookmarkStart w:id="37" w:name="_Toc534293638"/>
      <w:r w:rsidRPr="00B865A6">
        <w:rPr>
          <w:rStyle w:val="Heading3Char"/>
        </w:rPr>
        <w:t>Caveats</w:t>
      </w:r>
      <w:bookmarkEnd w:id="35"/>
      <w:bookmarkEnd w:id="36"/>
      <w:bookmarkEnd w:id="37"/>
    </w:p>
    <w:p w14:paraId="5FBE0DA7" w14:textId="7077E175" w:rsidR="00C83AD9" w:rsidRPr="00B865A6" w:rsidRDefault="00C83AD9" w:rsidP="00C83AD9">
      <w:pPr>
        <w:spacing w:line="480" w:lineRule="auto"/>
      </w:pPr>
      <w:r w:rsidRPr="00B865A6">
        <w:rPr>
          <w:lang w:eastAsia="zh-CN"/>
        </w:rPr>
        <w:t>Numerous studies have shown that seasonal variation in habitat use or home</w:t>
      </w:r>
      <w:r w:rsidR="00B924F9">
        <w:rPr>
          <w:lang w:eastAsia="zh-CN"/>
        </w:rPr>
        <w:t xml:space="preserve"> </w:t>
      </w:r>
      <w:r w:rsidRPr="00B865A6">
        <w:rPr>
          <w:lang w:eastAsia="zh-CN"/>
        </w:rPr>
        <w:t xml:space="preserve">range size and climate is important in predicting resource selection (e.g. </w:t>
      </w:r>
      <w:r w:rsidRPr="00B865A6">
        <w:rPr>
          <w:lang w:eastAsia="zh-CN"/>
        </w:rPr>
        <w:fldChar w:fldCharType="begin" w:fldLock="1"/>
      </w:r>
      <w:r w:rsidR="00336CEE">
        <w:rPr>
          <w:lang w:eastAsia="zh-CN"/>
        </w:rPr>
        <w:instrText>ADDIN CSL_CITATION {"citationItems":[{"id":"ITEM-1","itemData":{"DOI":"10.1111/oik.01069","author":[{"dropping-particle":"","family":"Blix","given":"Anna W","non-dropping-particle":"","parse-names":false,"suffix":""},{"dropping-particle":"","family":"Mysterud","given":"Atle","non-dropping-particle":"","parse-names":false,"suffix":""},{"dropping-particle":"","family":"Loe","given":"Leif Egil","non-dropping-particle":"","parse-names":false,"suffix":""},{"dropping-particle":"","family":"Austrheim","given":"Gunnar","non-dropping-particle":"","parse-names":false,"suffix":""}],"id":"ITEM-1","issued":{"date-parts":[["2014"]]},"page":"933-942","title":"Temporal scales of density-dependent habitat selection in a large grazing herbivore","type":"article-journal","volume":"123"},"uris":["http://www.mendeley.com/documents/?uuid=c4299b19-4ced-4d4d-9797-69a830ec4586"]}],"mendeley":{"formattedCitation":"(Blix, Mysterud, Loe, &amp; Austrheim, 2014)","manualFormatting":"Blix et al., 2014)","plainTextFormattedCitation":"(Blix, Mysterud, Loe, &amp; Austrheim, 2014)","previouslyFormattedCitation":"(Blix, Mysterud, Loe, &amp; Austrheim, 2014)"},"properties":{"noteIndex":0},"schema":"https://github.com/citation-style-language/schema/raw/master/csl-citation.json"}</w:instrText>
      </w:r>
      <w:r w:rsidRPr="00B865A6">
        <w:rPr>
          <w:lang w:eastAsia="zh-CN"/>
        </w:rPr>
        <w:fldChar w:fldCharType="separate"/>
      </w:r>
      <w:r w:rsidRPr="00B865A6">
        <w:rPr>
          <w:noProof/>
          <w:lang w:eastAsia="zh-CN"/>
        </w:rPr>
        <w:t xml:space="preserve">Blix </w:t>
      </w:r>
      <w:r w:rsidRPr="00B865A6">
        <w:rPr>
          <w:i/>
          <w:noProof/>
          <w:lang w:eastAsia="zh-CN"/>
        </w:rPr>
        <w:t>et al.</w:t>
      </w:r>
      <w:r w:rsidRPr="00B865A6">
        <w:rPr>
          <w:noProof/>
          <w:lang w:eastAsia="zh-CN"/>
        </w:rPr>
        <w:t>, 2014)</w:t>
      </w:r>
      <w:r w:rsidRPr="00B865A6">
        <w:rPr>
          <w:lang w:eastAsia="zh-CN"/>
        </w:rPr>
        <w:fldChar w:fldCharType="end"/>
      </w:r>
      <w:r w:rsidRPr="00B865A6">
        <w:rPr>
          <w:lang w:eastAsia="zh-CN"/>
        </w:rPr>
        <w:t xml:space="preserve">. However, damage by deer is detectable for at least a year after browsing or bark stripping has occurred, and so our analysis represents the likelihood of damage over the course of all seasons. Therefore our results are relevant for common control measures such as density reduction and fencing, but perhaps less relevant for spatially targeting diversionary feeding which is usually restricted to seasons where forests are the most vulnerable to damage </w:t>
      </w:r>
      <w:r w:rsidRPr="00B865A6">
        <w:rPr>
          <w:lang w:eastAsia="zh-CN"/>
        </w:rPr>
        <w:fldChar w:fldCharType="begin" w:fldLock="1"/>
      </w:r>
      <w:r w:rsidR="00715A6C" w:rsidRPr="00B865A6">
        <w:rPr>
          <w:lang w:eastAsia="zh-CN"/>
        </w:rPr>
        <w:instrText>ADDIN CSL_CITATION {"citationItems":[{"id":"ITEM-1","itemData":{"ISSN":"03781127","abstract":"Diversionary feeding implies strategic food provisioning to wildlife to lure animals away from undesired areas, and is a common forest management practice throughout Europe and North America. Within forestry, diversionary feeding typically targets cervids, and aims to reduce browsing damage and bark-stripping in vulnerable forest stands (young and mid-aged forest stands). Because these stands are most vulnerable during winter, diversionary feeing is often restricted to that season. Despite being widely applied, clear evidence on the effectiveness of diversionary feeding of cervids is lacking. The aim of this study was to evaluate the effectiveness of diversionary winter feeding as a tool to lure away a large cervid, red deer (Cervus elaphus), from vulnerable forest stands. First, we hypothesized (H1) that diversionary feeding is among the most important factors explaining differences in red deer habitat selection between summer (i.e., no food supply at feeding stations) and winter (i.e., food supply ad libitum at feeding stations). Second, we hypothesized (H2) that diversionary feeding releases red deer habitat selection pressure in forest stands vulnerable for browsing or bark-stripping, and that this release decays with distance to the nearest feeding station. We tested our hypotheses using red deer relocation data (11 individuals &amp; 3 years) and resource selection functions in an intensively managed Austrian forest. As expected, variation in red deer habitat selection between summer and winter was best explained by a different response to supplementary feeding stations between the seasons (H1). During winter, red deer strongly selected for areas close to feeding stations, whereas feeding stations did not strongly affect their habitat selection during summer. We found that diversionary feeding during winter released red deer habitat selection pressure on vulnerable forest stands, but limited to distances of about 1.3 to 1.5 km from the feeding station, this accounts for 39% of the study area (H2). Our results show that diversionary feeding can indeed be an effective tool to mediate habitat selection behavior and to lure cervids away from vulnerable forest stands. However, habitat selection is not necessarily a good proxy for damage, and whether or not diversionary feeding reduces forestry damage in the long-term remains unclear, as it can positively feed-back into survival, reproduction, and eventually population growth and densities. We suggest that f…","author":[{"dropping-particle":"","family":"Arnold","given":"Johanna Maria","non-dropping-particle":"","parse-names":false,"suffix":""},{"dropping-particle":"","family":"Gerhardt","given":"Philipp","non-dropping-particle":"","parse-names":false,"suffix":""},{"dropping-particle":"","family":"Steyaert","given":"Sam M.J.G.","non-dropping-particle":"","parse-names":false,"suffix":""},{"dropping-particle":"","family":"Hochbichler","given":"Eduard","non-dropping-particle":"","parse-names":false,"suffix":""},{"dropping-particle":"","family":"Hackländer","given":"Klaus","non-dropping-particle":"","parse-names":false,"suffix":""}],"container-title":"Forest Ecology and Management","id":"ITEM-1","issued":{"date-parts":[["2018"]]},"page":"166-173","publisher":"Elsevier","title":"Diversionary feeding can reduce red deer habitat selection pressure on vulnerable forest stands, but is not a panacea for red deer damage","type":"article-journal","volume":"407"},"uris":["http://www.mendeley.com/documents/?uuid=4f5915be-09f6-49f6-a819-1bd209051d33"]}],"mendeley":{"formattedCitation":"(Arnold et al., 2018)","plainTextFormattedCitation":"(Arnold et al., 2018)","previouslyFormattedCitation":"(Arnold et al., 2018)"},"properties":{"noteIndex":0},"schema":"https://github.com/citation-style-language/schema/raw/master/csl-citation.json"}</w:instrText>
      </w:r>
      <w:r w:rsidRPr="00B865A6">
        <w:rPr>
          <w:lang w:eastAsia="zh-CN"/>
        </w:rPr>
        <w:fldChar w:fldCharType="separate"/>
      </w:r>
      <w:r w:rsidR="00770064" w:rsidRPr="00B865A6">
        <w:rPr>
          <w:noProof/>
          <w:lang w:eastAsia="zh-CN"/>
        </w:rPr>
        <w:t>(Arnold et al., 2018)</w:t>
      </w:r>
      <w:r w:rsidRPr="00B865A6">
        <w:rPr>
          <w:lang w:eastAsia="zh-CN"/>
        </w:rPr>
        <w:fldChar w:fldCharType="end"/>
      </w:r>
      <w:r w:rsidRPr="00B865A6">
        <w:rPr>
          <w:lang w:eastAsia="zh-CN"/>
        </w:rPr>
        <w:t>. Moreover, w</w:t>
      </w:r>
      <w:r w:rsidRPr="00B865A6">
        <w:t xml:space="preserve">e did not consider seasonal differences in the environmental variables. For example, precipitation (a component of the climatic harshness gradient), does not distinguish between snowfall and rainfall, which differ in their </w:t>
      </w:r>
      <w:r w:rsidRPr="00B865A6">
        <w:lastRenderedPageBreak/>
        <w:t xml:space="preserve">effects on habitat selection by deer. </w:t>
      </w:r>
      <w:r w:rsidR="00560757" w:rsidRPr="00B865A6">
        <w:t>Finally, in extremely severe cases</w:t>
      </w:r>
      <w:r w:rsidR="008B07BD" w:rsidRPr="00B865A6">
        <w:t xml:space="preserve"> of recent high herbivore grazing pressure</w:t>
      </w:r>
      <w:r w:rsidR="00560757" w:rsidRPr="00B865A6">
        <w:t xml:space="preserve">, no browsing may have been recorded in </w:t>
      </w:r>
      <w:r w:rsidR="008B07BD" w:rsidRPr="00B865A6">
        <w:t>a</w:t>
      </w:r>
      <w:r w:rsidR="00560757" w:rsidRPr="00B865A6">
        <w:t xml:space="preserve"> section due to </w:t>
      </w:r>
      <w:r w:rsidR="008B07BD" w:rsidRPr="00B865A6">
        <w:t xml:space="preserve">the </w:t>
      </w:r>
      <w:r w:rsidR="00560757" w:rsidRPr="00B865A6">
        <w:t>complete removal</w:t>
      </w:r>
      <w:r w:rsidR="008B07BD" w:rsidRPr="00B865A6">
        <w:t xml:space="preserve"> of seedlings, saplings and young trees</w:t>
      </w:r>
      <w:r w:rsidR="00560757" w:rsidRPr="00B865A6">
        <w:t xml:space="preserve"> (</w:t>
      </w:r>
      <w:r w:rsidR="0089194B">
        <w:t>Ditchburn et al.</w:t>
      </w:r>
      <w:r w:rsidR="00560757" w:rsidRPr="00B865A6">
        <w:t xml:space="preserve">, </w:t>
      </w:r>
      <w:r w:rsidR="0089194B">
        <w:t>2020</w:t>
      </w:r>
      <w:r w:rsidR="00560757" w:rsidRPr="00B865A6">
        <w:t>)</w:t>
      </w:r>
      <w:r w:rsidR="008B07BD" w:rsidRPr="00B865A6">
        <w:t xml:space="preserve">; however, bark stripping damage to the older, more established trees will remain visible in these </w:t>
      </w:r>
      <w:r w:rsidR="0089194B">
        <w:t>sites</w:t>
      </w:r>
      <w:r w:rsidR="00560757" w:rsidRPr="00B865A6">
        <w:t xml:space="preserve">. </w:t>
      </w:r>
    </w:p>
    <w:p w14:paraId="191EA26E" w14:textId="100674B3" w:rsidR="00842D8B" w:rsidRPr="00B865A6" w:rsidRDefault="00C83AD9" w:rsidP="00842D8B">
      <w:pPr>
        <w:spacing w:line="480" w:lineRule="auto"/>
      </w:pPr>
      <w:r w:rsidRPr="00B865A6">
        <w:t xml:space="preserve">In addition, while </w:t>
      </w:r>
      <w:r w:rsidRPr="00B865A6">
        <w:rPr>
          <w:rFonts w:cstheme="minorHAnsi"/>
        </w:rPr>
        <w:t xml:space="preserve">a range of studies have shown that deer associate with forest edges </w:t>
      </w:r>
      <w:r w:rsidRPr="00B865A6">
        <w:rPr>
          <w:rFonts w:cstheme="minorHAnsi"/>
        </w:rPr>
        <w:fldChar w:fldCharType="begin" w:fldLock="1"/>
      </w:r>
      <w:r w:rsidR="00715A6C" w:rsidRPr="00B865A6">
        <w:rPr>
          <w:rFonts w:cstheme="minorHAnsi"/>
        </w:rPr>
        <w:instrText>ADDIN CSL_CITATION {"citationItems":[{"id":"ITEM-1","itemData":{"DOI":"10.1016/j.biocon.2011.10.034","ISBN":"0006-3207","ISSN":"00063207","abstract":"We investigated the potential for cross-habitat interactions to modulate per capita ungulate browse effects on forest herbaceous layers. Specifically, we examined how white-tailed deer (Odocoileus virginianus) abundance, reserve size, and landscape context at variable spatial scales interact to influence the impact of deer herbivory on forest understory communities in 16 Indiana state parks. We used native herb cover (NHC) as a proxy for deer impact to forest understories, and deer killed per unit hunter effort (DAI) as a proxy for deer abundance. Comparison of multiple regression models, using Akaike's Information Criterion, suggested that the per capita impact of deer herbivory to forest understories was strongly related to landscape configuration of deer habitat types at the scale of an individual deer's home range, whereas deer abundance was more strongly associated with landscape structure at broader spatial scales. Interspersion and juxtaposition of non-forested, perennial forage habitat with other habitat types (forest and agriculture) at the park plus a 0.5. km buffer scale, together with DAI, explained 84% of the variation in native herbaceous cover (NHC). A model with DAI alone as a predictor accounted for only 19% of the variation in NHC. Thus, although deer impact was related to deer abundance, habitat configuration in landscapes surrounding parks appeared to strongly modulate the level of impact associated with a particular abundance of deer. Our results underscore the importance of landscape context in determining foraging behavior and per capita impacts of ungulates on forest resources in protected areas. © 2011 Elsevier Ltd.","author":[{"dropping-particle":"","family":"Hurley","given":"Peter M.","non-dropping-particle":"","parse-names":false,"suffix":""},{"dropping-particle":"","family":"Webster","given":"Christopher R.","non-dropping-particle":"","parse-names":false,"suffix":""},{"dropping-particle":"","family":"Flaspohler","given":"David J.","non-dropping-particle":"","parse-names":false,"suffix":""},{"dropping-particle":"","family":"Parker","given":"George R.","non-dropping-particle":"","parse-names":false,"suffix":""}],"container-title":"Biological Conservation","id":"ITEM-1","issue":"1","issued":{"date-parts":[["2012"]]},"page":"62-71","publisher":"Elsevier Ltd","title":"Untangling the landscape of deer overabundance: Reserve size versus landscape context in the agricultural Midwest","type":"article-journal","volume":"146"},"uris":["http://www.mendeley.com/documents/?uuid=b99e458d-0477-48e3-bf55-42be74a67085"]}],"mendeley":{"formattedCitation":"(Hurley et al., 2012)","plainTextFormattedCitation":"(Hurley et al., 2012)","previouslyFormattedCitation":"(Hurley et al., 2012)"},"properties":{"noteIndex":0},"schema":"https://github.com/citation-style-language/schema/raw/master/csl-citation.json"}</w:instrText>
      </w:r>
      <w:r w:rsidRPr="00B865A6">
        <w:rPr>
          <w:rFonts w:cstheme="minorHAnsi"/>
        </w:rPr>
        <w:fldChar w:fldCharType="separate"/>
      </w:r>
      <w:r w:rsidR="00770064" w:rsidRPr="00B865A6">
        <w:rPr>
          <w:rFonts w:cstheme="minorHAnsi"/>
          <w:noProof/>
        </w:rPr>
        <w:t>(Hurley et al., 2012)</w:t>
      </w:r>
      <w:r w:rsidRPr="00B865A6">
        <w:rPr>
          <w:rFonts w:cstheme="minorHAnsi"/>
        </w:rPr>
        <w:fldChar w:fldCharType="end"/>
      </w:r>
      <w:r w:rsidRPr="00B865A6">
        <w:rPr>
          <w:rFonts w:cstheme="minorHAnsi"/>
        </w:rPr>
        <w:t xml:space="preserve">, </w:t>
      </w:r>
      <w:r w:rsidRPr="00B865A6">
        <w:t xml:space="preserve">we were unable to examine the effect of spatial configuration (e.g. edge-area ratio) of forest and perennial cover, due to high collinearity between the amount and configuration of these metrics, and forest size, typical for observational studies </w:t>
      </w:r>
      <w:r w:rsidRPr="00B865A6">
        <w:fldChar w:fldCharType="begin" w:fldLock="1"/>
      </w:r>
      <w:r w:rsidR="00715A6C" w:rsidRPr="00B865A6">
        <w:instrText>ADDIN CSL_CITATION {"citationItems":[{"id":"ITEM-1","itemData":{"DOI":"10.1111/j.1461-0248.2010.01559.x","ISBN":"1461-023X","ISSN":"1461023X","PMID":"21087380","abstract":"Biodiversity in agricultural landscapes can be increased with conversion of some production lands into ?more- natural? – unmanaged or extensively managed – lands. However, it remains unknown to what extent biodiversity can be enhanced by altering landscape pattern without reducing agricultural production. We propose a framework for this problem, considering separately compositional heterogeneity (the number and proportions of different cover types) and configurational heterogeneity (the spatial arrangement of cover types). Cover type classification and mapping is based on species requirements, such as feeding and nesting, resulting in measures of ?functional landscape heterogeneity?. We then identify three important questions: does biodiversity increase with (1) increasing heterogeneity of the more-natural areas, (2) increasing compositional heterogeneity of production cover types and (3) increasing configurational heterogeneity of production cover types? We discuss approaches for addressing these questions. Such studies should have high priority because biodiversity protection globally depends increasingly on maintaining biodiversity in human-dominated landscapes. Keywords","author":[{"dropping-particle":"","family":"Fahrig","given":"Lenore","non-dropping-particle":"","parse-names":false,"suffix":""},{"dropping-particle":"","family":"Baudry","given":"Jacques","non-dropping-particle":"","parse-names":false,"suffix":""},{"dropping-particle":"","family":"Brotons","given":"Lluís","non-dropping-particle":"","parse-names":false,"suffix":""},{"dropping-particle":"","family":"Burel","given":"Françoise G.","non-dropping-particle":"","parse-names":false,"suffix":""},{"dropping-particle":"","family":"Crist","given":"Thomas O.","non-dropping-particle":"","parse-names":false,"suffix":""},{"dropping-particle":"","family":"Fuller","given":"Robert J.","non-dropping-particle":"","parse-names":false,"suffix":""},{"dropping-particle":"","family":"Sirami","given":"Clelia","non-dropping-particle":"","parse-names":false,"suffix":""},{"dropping-particle":"","family":"Siriwardena","given":"Gavin M.","non-dropping-particle":"","parse-names":false,"suffix":""},{"dropping-particle":"","family":"Martin","given":"Jean Louis","non-dropping-particle":"","parse-names":false,"suffix":""}],"container-title":"Ecology Letters","id":"ITEM-1","issue":"2","issued":{"date-parts":[["2011"]]},"page":"101-112","title":"Functional landscape heterogeneity and animal biodiversity in agricultural landscapes","type":"article-journal","volume":"14"},"uris":["http://www.mendeley.com/documents/?uuid=9c37079f-f9af-4297-b95c-b09ff47f8444"]}],"mendeley":{"formattedCitation":"(Fahrig et al., 2011)","plainTextFormattedCitation":"(Fahrig et al., 2011)","previouslyFormattedCitation":"(Fahrig et al., 2011)"},"properties":{"noteIndex":0},"schema":"https://github.com/citation-style-language/schema/raw/master/csl-citation.json"}</w:instrText>
      </w:r>
      <w:r w:rsidRPr="00B865A6">
        <w:fldChar w:fldCharType="separate"/>
      </w:r>
      <w:r w:rsidR="00770064" w:rsidRPr="00B865A6">
        <w:rPr>
          <w:noProof/>
        </w:rPr>
        <w:t>(Fahrig et al., 2011)</w:t>
      </w:r>
      <w:r w:rsidRPr="00B865A6">
        <w:fldChar w:fldCharType="end"/>
      </w:r>
      <w:r w:rsidRPr="00B865A6">
        <w:t xml:space="preserve">. We can therefore only make inference about how the probability of deer damage to </w:t>
      </w:r>
      <w:r w:rsidRPr="00B865A6">
        <w:rPr>
          <w:i/>
        </w:rPr>
        <w:t>existing</w:t>
      </w:r>
      <w:r w:rsidRPr="00B865A6">
        <w:t xml:space="preserve"> forest sites changes with forest amount within 500-m of the site across different contexts. Future research could attempt to disentangle amount from configuration effects, given that monitoring programmes are increasingly incorporating regional and landscape-level considerations in their sampling strategies </w:t>
      </w:r>
      <w:r w:rsidRPr="00B865A6">
        <w:fldChar w:fldCharType="begin" w:fldLock="1"/>
      </w:r>
      <w:r w:rsidR="00715A6C" w:rsidRPr="00B865A6">
        <w:instrText>ADDIN CSL_CITATION {"citationItems":[{"id":"ITEM-1","itemData":{"DOI":"10.1002/ece3.2066","ISBN":"0003844380000","ISSN":"20457758","PMID":"27217949","abstract":"Natural experiments have been proposed as a way of complementing manipulative experiments to improve ecological understanding and guide management. There is a pressing need for evidence from such studies to inform a shift to landscape-scale conservation, including the design of ecological networks. Although this shift has been widely embraced by conservation communities worldwide, the empirical evidence is limited and equivocal, and may be limiting effective conservation. We present principles for well-designed natural experiments to inform landscape-scale conservation and outline how they are being applied in the WrEN project, which is studying the effects of 160 years of woodland creation on biodiversity in UK landscapes. We describe the study areas and outline the systematic process used to select suitable historical woodland creation sites based on key site- and landscape-scale variables – including size, age, and proximity to other woodland. We present the results of an analysis to explore variation in these variables across sites to test their suitability as a basis for a natural experiment. Our results confirm that this landscape satisfies the principles we have identified and provides an ideal study system for a long-term, large-scale natural experiment to explore how woodland biodiversity is affected by different site and landscape attributes. The WrEN sites are now being surveyed for a wide selection of species that are likely to respond differently to site- and landscape-scale attributes and at different spatial and temporal scales. The results from WrEN will help develop detailed recommendations to guide landscape-scale conservation, including the design of ecological networks. We also believe that the approach presented demonstrates the wider utility of well-designed natural experiments to improve our understanding of ecological systems and inform policy and practice.","author":[{"dropping-particle":"","family":"Watts","given":"Kevin","non-dropping-particle":"","parse-names":false,"suffix":""},{"dropping-particle":"","family":"Fuentes-Montemayor","given":"Elisa","non-dropping-particle":"","parse-names":false,"suffix":""},{"dropping-particle":"","family":"Macgregor","given":"Nicholas A.","non-dropping-particle":"","parse-names":false,"suffix":""},{"dropping-particle":"","family":"Peredo-Alvarez","given":"Victor","non-dropping-particle":"","parse-names":false,"suffix":""},{"dropping-particle":"","family":"Ferryman","given":"Mark","non-dropping-particle":"","parse-names":false,"suffix":""},{"dropping-particle":"","family":"Bellamy","given":"Chloe","non-dropping-particle":"","parse-names":false,"suffix":""},{"dropping-particle":"","family":"Brown","given":"Nigel","non-dropping-particle":"","parse-names":false,"suffix":""},{"dropping-particle":"","family":"Park","given":"Kirsty J.","non-dropping-particle":"","parse-names":false,"suffix":""}],"container-title":"Ecology and Evolution","id":"ITEM-1","issue":"9","issued":{"date-parts":[["2016"]]},"page":"3012-3025","title":"Using historical woodland creation to construct a long-term, large-scale natural experiment: The WrEN project","type":"article-journal","volume":"6"},"uris":["http://www.mendeley.com/documents/?uuid=0f6e7a59-8e5b-45db-b8a0-f28e8a2f9084"]},{"id":"ITEM-2","itemData":{"DOI":"10.1111/2041-210X.12779","ISBN":"4955139574","ISSN":"2041210X","PMID":"28199780","abstract":"1) Ecological processes operating on large spatio-temporal scales are difficult to disentangle with traditional empirical approaches. Alternatively, researchers can take advantage of “natural” experiments, where experimental control is exercised by careful site selection. Recent advances in developing protocols for designing these “pseudo-experiments” commonly do not consider the selection of the focal region and predictor variables are usually restricted to two. Here we advance this type of site selection protocol to study the impact of multiple landscape scale factors on pollinator abundance and diversity across multiple regions. 2) Using datasets of geographic and ecological variables with national coverage, we applied a novel hierarchical computation approach to select study sites that contrast as much as possible in four key variables, while attempting to maintain regional comparability and national representativeness. There were three main steps to the protocol: i) selection of six 100 km x 100 km regions that collectively provided land cover representative of the national land average, ii) mapping of potential sites into a multivariate space with axes representing four key factors potentially influencing insect pollinator abundance, and iii) applying a selection algorithm which maximised differences between the four key variables, while controlling for a set of external constraints. 3) Validation data for the site selection metrics were recorded alongside the collection of data on pollinator populations during two field campaigns. While the accuracy of the metric estimates varied, the site selection succeeded in objectively identifying field sites that differed significantly in values for each of the four key variables. Between variable correlations were also reduced or eliminated, thus facilitating analysis of their separate effects. 4) This study has shown that national datasets can be used to select randomised and Accepted Article replicated field sites objectively within multiple regions and along multiple interacting gradients. Similar protocols could be used for studying a range of alternative research questions related to land use or other spatially explicit environmental variables, and to identify networks of field sites for other countries, regions, drivers, and response taxa in a wide range of scenarios.","author":[{"dropping-particle":"","family":"Gillespie","given":"Mark A.K.","non-dropping-particle":"","parse-names":false,"suffix":""},{"dropping-particle":"","family":"Baude","given":"Mathilde","non-dropping-particle":"","parse-names":false,"suffix":""},{"dropping-particle":"","family":"Biesmeijer","given":"Jacobus","non-dropping-particle":"","parse-names":false,"suffix":""},{"dropping-particle":"","family":"Boatman","given":"Nigel","non-dropping-particle":"","parse-names":false,"suffix":""},{"dropping-particle":"","family":"Budge","given":"Giles E.","non-dropping-particle":"","parse-names":false,"suffix":""},{"dropping-particle":"","family":"Crowe","given":"Andrew","non-dropping-particle":"","parse-names":false,"suffix":""},{"dropping-particle":"","family":"Memmott","given":"Jane","non-dropping-particle":"","parse-names":false,"suffix":""},{"dropping-particle":"","family":"Morton","given":"R. Daniel","non-dropping-particle":"","parse-names":false,"suffix":""},{"dropping-particle":"","family":"Pietravalle","given":"Stephane","non-dropping-particle":"","parse-names":false,"suffix":""},{"dropping-particle":"","family":"Potts","given":"Simon G.","non-dropping-particle":"","parse-names":false,"suffix":""},{"dropping-particle":"","family":"Senapathi","given":"Deepa","non-dropping-particle":"","parse-names":false,"suffix":""},{"dropping-particle":"","family":"Smart","given":"Simon M.","non-dropping-particle":"","parse-names":false,"suffix":""},{"dropping-particle":"","family":"Kunin","given":"William E.","non-dropping-particle":"","parse-names":false,"suffix":""}],"container-title":"Methods in Ecology and Evolution","id":"ITEM-2","issue":"11","issued":{"date-parts":[["2017"]]},"page":"1468-1476","title":"A method for the objective selection of landscape-scale study regions and sites at the national level","type":"article-journal","volume":"8"},"uris":["http://www.mendeley.com/documents/?uuid=ff54e507-2a11-4398-bf32-842d494782a0"]}],"mendeley":{"formattedCitation":"(Watts et al., 2016; Gillespie et al., 2017)","plainTextFormattedCitation":"(Watts et al., 2016; Gillespie et al., 2017)","previouslyFormattedCitation":"(Watts et al., 2016; Gillespie et al., 2017)"},"properties":{"noteIndex":0},"schema":"https://github.com/citation-style-language/schema/raw/master/csl-citation.json"}</w:instrText>
      </w:r>
      <w:r w:rsidRPr="00B865A6">
        <w:fldChar w:fldCharType="separate"/>
      </w:r>
      <w:r w:rsidR="00770064" w:rsidRPr="00B865A6">
        <w:rPr>
          <w:noProof/>
        </w:rPr>
        <w:t>(Watts et al., 2016; Gillespie et al., 2017)</w:t>
      </w:r>
      <w:r w:rsidRPr="00B865A6">
        <w:fldChar w:fldCharType="end"/>
      </w:r>
      <w:r w:rsidRPr="00B865A6">
        <w:t>.</w:t>
      </w:r>
      <w:r w:rsidR="00842D8B" w:rsidRPr="00B865A6">
        <w:t xml:space="preserve"> Furthermore, while we had </w:t>
      </w:r>
      <w:r w:rsidR="00842D8B" w:rsidRPr="00B865A6">
        <w:rPr>
          <w:i/>
        </w:rPr>
        <w:t>a priori</w:t>
      </w:r>
      <w:r w:rsidR="00842D8B" w:rsidRPr="00B865A6">
        <w:t xml:space="preserve"> hypotheses concerning main and interactive effects of a limited set of environmental drivers (see ‘Explanatory variables’ and Tables 1 &amp; 2), we did not have </w:t>
      </w:r>
      <w:r w:rsidR="00842D8B" w:rsidRPr="00B865A6">
        <w:rPr>
          <w:i/>
        </w:rPr>
        <w:t>a priori</w:t>
      </w:r>
      <w:r w:rsidR="00842D8B" w:rsidRPr="00B865A6">
        <w:t xml:space="preserve"> knowledge of i) the scales of effects or landscape-level drivers, or ii) the shape of the driver-response relationships (e.g. whether linear, or quadratic). Given that landscape-level variables tend to be correlated across multiple scales of measurement, many models with the same driver but measured at different scales have similar support</w:t>
      </w:r>
      <w:r w:rsidR="00842D8B" w:rsidRPr="00B865A6">
        <w:rPr>
          <w:lang w:eastAsia="zh-CN"/>
        </w:rPr>
        <w:t xml:space="preserve"> </w:t>
      </w:r>
      <w:r w:rsidR="00842D8B" w:rsidRPr="00B865A6">
        <w:rPr>
          <w:lang w:eastAsia="zh-CN"/>
        </w:rPr>
        <w:fldChar w:fldCharType="begin" w:fldLock="1"/>
      </w:r>
      <w:r w:rsidR="00311C35" w:rsidRPr="00B865A6">
        <w:rPr>
          <w:lang w:eastAsia="zh-CN"/>
        </w:rPr>
        <w:instrText>ADDIN CSL_CITATION {"citationItems":[{"id":"ITEM-1","itemData":{"DOI":"10.1007/s00265-010-1045-6","ISBN":"0340-5443","ISSN":"03405443","PMID":"877","abstract":"There has been a great deal of recent discussion of the practice of regression analysis (or more generally, linear modelling) in behaviour and ecology. In this paper, I wish to highlight two factors that have been under- considered, collinearity and measurement error in predic- tors, as well as to consider what happens when both exist at the same time. I examine what the consequences are for conventional regression analysis (ordinary least squares, OLS) as well as model averaging methods, typified by information theoretic approaches based around Akaike’s information criterion. Collinearity causes variance inflation of estimated slopes in OLS analysis, as is well known. In the presence of collinearity, model averaging reduces this variance for predictors with weak effects, but also can lead to parameter bias. When collinearity is strong or when all predictors have strong effects, model averaging relies heavily on the full model including all predictors and hence the results from this and OLS are essentially the same. I highlight that it is not safe to simply eliminate collinear variables without due consideration of their likely independent effects as this can lead to biases. Measurement error is also considered and I show that when collinearity exists, this can lead to extreme biases when predictors are collinear, have strong effects but differ in their degree of measurement error. I highlight techniques for dealing with and diagnosing these prob- lems. These results reinforce that automated model selection techniques should not be relied on in the analysis of complex multivariable datasets.","author":[{"dropping-particle":"","family":"Freckleton","given":"Robert P.","non-dropping-particle":"","parse-names":false,"suffix":""}],"container-title":"Behavioral Ecology and Sociobiology","id":"ITEM-1","issue":"1","issued":{"date-parts":[["2011"]]},"page":"91-101","title":"Dealing with collinearity in behavioural and ecological data: Model averaging and the problems of measurement error","type":"article-journal","volume":"65"},"uris":["http://www.mendeley.com/documents/?uuid=3b97994f-97d1-443e-9761-7a329df747ec"]}],"mendeley":{"formattedCitation":"(Freckleton, 2011)","plainTextFormattedCitation":"(Freckleton, 2011)","previouslyFormattedCitation":"(Freckleton, 2011)"},"properties":{"noteIndex":0},"schema":"https://github.com/citation-style-language/schema/raw/master/csl-citation.json"}</w:instrText>
      </w:r>
      <w:r w:rsidR="00842D8B" w:rsidRPr="00B865A6">
        <w:rPr>
          <w:lang w:eastAsia="zh-CN"/>
        </w:rPr>
        <w:fldChar w:fldCharType="separate"/>
      </w:r>
      <w:r w:rsidR="00715A6C" w:rsidRPr="00B865A6">
        <w:rPr>
          <w:noProof/>
          <w:lang w:eastAsia="zh-CN"/>
        </w:rPr>
        <w:t>(Freckleton, 2011)</w:t>
      </w:r>
      <w:r w:rsidR="00842D8B" w:rsidRPr="00B865A6">
        <w:rPr>
          <w:lang w:eastAsia="zh-CN"/>
        </w:rPr>
        <w:fldChar w:fldCharType="end"/>
      </w:r>
      <w:r w:rsidR="00F16BCA" w:rsidRPr="00B865A6">
        <w:rPr>
          <w:lang w:eastAsia="zh-CN"/>
        </w:rPr>
        <w:t xml:space="preserve">. Some caution is therefore warranted as to the interpretation of the exact scales of effects of landscape drivers. </w:t>
      </w:r>
    </w:p>
    <w:p w14:paraId="474A0983" w14:textId="65C434C0" w:rsidR="00C83AD9" w:rsidRPr="00B865A6" w:rsidRDefault="00C83AD9" w:rsidP="00C83AD9">
      <w:pPr>
        <w:spacing w:line="480" w:lineRule="auto"/>
      </w:pPr>
      <w:r w:rsidRPr="00B865A6">
        <w:t xml:space="preserve">Damage as recorded in the NFI does not distinguish among herbivore species, meaning that our response variable was a composite indicator of damage by all species of deer in Britain. Deer species in Britain differ in size, ecology and behaviour; while smaller roe and muntjac deer tend towards being solitary with relatively small home-ranges, sika, red and fallow tend towards larger group sizes and are more mobile over a larger home range </w:t>
      </w:r>
      <w:r w:rsidRPr="00B865A6">
        <w:fldChar w:fldCharType="begin" w:fldLock="1"/>
      </w:r>
      <w:r w:rsidR="00715A6C" w:rsidRPr="00B865A6">
        <w:instrText>ADDIN CSL_CITATION {"citationItems":[{"id":"ITEM-1","itemData":{"DOI":"10.1111/j.1365-2907.2010.00173.x","ISBN":"0305-1838","ISSN":"03051838","abstract":"At high densities, deer populations may have adverse effects upon and\\nwithin their environment. In this review we explore published and\\nunpublished information to derive density thresholds for deer species in\\nrelation to impacts upon agriculture, forestry, conservation habitats,\\nroad traffic, and human and livestock health in the UK. Impact levels\\nare affected by many factors other than absolute density. We therefore\\nseek to establish the range of densities within which negative impacts\\nmight start to occur and which should trigger objective monitoring of\\nactual impacts.\\nIn commercial forestry, a threshold of 4 deer per 100ha has been\\nsuggested. Unfenced native woodlands seem to regenerate naturally if\\nthere are fewer than 4-5 large deer or fewer than 25 roe deer Capreolus\\ncapreolus per 100ha; open habitats may suffer only light or moderate\\nimpacts from red deer Cervus elaphus at landscape densities of 7-8 per\\n100ha.\\nWoodland bird species may have declined where deer densities are high\\nbut absolute thresholds seem impossible to establish. One study suggests\\nmaximum diversity at about 8 white-tailed deer Odocoileus virginianus\\nper 100ha.\\nDeer-vehicle collisions are affected by various factors in addition to\\ndeer density, but British and American studies suggest that accident\\nfrequencies decline at densities below 7-8 per 100ha.\\nFallow deer Dama dama populations may maintain bovine TB (bTB) infection\\nat much lower densities (25/100ha) than red or roe deer (91/100ha and\\n200/100ha, respectively) assuming 100% prevalence. Even at 30%\\nprevalence a density of 75 fallow deer per 100ha could maintain bTB\\nwithin the population.\\nWe conclude that deer density alone is unlikely to be a good predictor\\nof impact, and suggest that long-term management should be based on\\nassessment both of actual impacts and apparent density of deer.","author":[{"dropping-particle":"","family":"Putman","given":"Rory","non-dropping-particle":"","parse-names":false,"suffix":""},{"dropping-particle":"","family":"Langbein","given":"Jochen","non-dropping-particle":"","parse-names":false,"suffix":""},{"dropping-particle":"","family":"Green","given":"Peter","non-dropping-particle":"","parse-names":false,"suffix":""},{"dropping-particle":"","family":"Watson","given":"Peter","non-dropping-particle":"","parse-names":false,"suffix":""}],"container-title":"Mammal Review","id":"ITEM-1","issue":"3","issued":{"date-parts":[["2011"]]},"page":"175-196","title":"Identifying threshold densities for wild deer in the UK above which negative impacts may occur","type":"article-journal","volume":"41"},"uris":["http://www.mendeley.com/documents/?uuid=538d5c36-05ba-4a17-9da1-312bb85b76ba"]}],"mendeley":{"formattedCitation":"(Putman et al., 2011)","plainTextFormattedCitation":"(Putman et al., 2011)","previouslyFormattedCitation":"(Putman et al., 2011)"},"properties":{"noteIndex":0},"schema":"https://github.com/citation-style-language/schema/raw/master/csl-citation.json"}</w:instrText>
      </w:r>
      <w:r w:rsidRPr="00B865A6">
        <w:fldChar w:fldCharType="separate"/>
      </w:r>
      <w:r w:rsidR="00770064" w:rsidRPr="00B865A6">
        <w:rPr>
          <w:noProof/>
        </w:rPr>
        <w:t>(Putman et al., 2011)</w:t>
      </w:r>
      <w:r w:rsidRPr="00B865A6">
        <w:fldChar w:fldCharType="end"/>
      </w:r>
      <w:r w:rsidRPr="00B865A6">
        <w:t xml:space="preserve">. Such differences in species </w:t>
      </w:r>
      <w:r w:rsidRPr="00B865A6">
        <w:lastRenderedPageBreak/>
        <w:t>traits could affect the scale</w:t>
      </w:r>
      <w:r w:rsidR="00527A6C" w:rsidRPr="00B865A6">
        <w:t xml:space="preserve"> of effect of</w:t>
      </w:r>
      <w:r w:rsidRPr="00B865A6">
        <w:t xml:space="preserve"> landscape drivers on damage by different species </w:t>
      </w:r>
      <w:r w:rsidRPr="00B865A6">
        <w:fldChar w:fldCharType="begin" w:fldLock="1"/>
      </w:r>
      <w:r w:rsidR="00F000A5">
        <w:instrText>ADDIN CSL_CITATION {"citationItems":[{"id":"ITEM-1","itemData":{"DOI":"10.1007/s10980-012-9757-9","author":[{"dropping-particle":"","family":"Jackson","given":"H.B.","non-dropping-particle":"","parse-names":false,"suffix":""},{"dropping-particle":"","family":"Fahrig","given":"L.","non-dropping-particle":"","parse-names":false,"suffix":""}],"container-title":"Landscape Ecology","id":"ITEM-1","issue":"27","issued":{"date-parts":[["2012"]]},"page":"929-941","title":"What size is a biologically relevant landscape?","type":"article-journal"},"uris":["http://www.mendeley.com/documents/?uuid=d245bee3-9582-4980-9688-6ce67558374c"]}],"mendeley":{"formattedCitation":"(H.B. Jackson &amp; Fahrig, 2012)","manualFormatting":"(i.e. buffer sizes, Jackson &amp; Fahrig, 2012)","plainTextFormattedCitation":"(H.B. Jackson &amp; Fahrig, 2012)","previouslyFormattedCitation":"(H.B. Jackson &amp; Fahrig, 2012)"},"properties":{"noteIndex":0},"schema":"https://github.com/citation-style-language/schema/raw/master/csl-citation.json"}</w:instrText>
      </w:r>
      <w:r w:rsidRPr="00B865A6">
        <w:fldChar w:fldCharType="separate"/>
      </w:r>
      <w:r w:rsidRPr="00B865A6">
        <w:rPr>
          <w:noProof/>
        </w:rPr>
        <w:t>(i.e. buffer sizes, Jackson &amp; Fahrig, 2012)</w:t>
      </w:r>
      <w:r w:rsidRPr="00B865A6">
        <w:fldChar w:fldCharType="end"/>
      </w:r>
      <w:r w:rsidRPr="00B865A6">
        <w:t xml:space="preserve">, possibly weakening the landscape structure-damage relationships observed in our study. Moreover, while steps were taken to avoid selecting sections damaged by other mammalian herbivores (see Methods), it is still possible that some damage was caused by other </w:t>
      </w:r>
      <w:r w:rsidR="008B07BD" w:rsidRPr="00B865A6">
        <w:t xml:space="preserve">wild, feral and domestic animals </w:t>
      </w:r>
      <w:r w:rsidRPr="00B865A6">
        <w:t>including ponies, rabbits and squirrels</w:t>
      </w:r>
      <w:r w:rsidR="008B07BD" w:rsidRPr="00B865A6">
        <w:t xml:space="preserve"> (</w:t>
      </w:r>
      <w:r w:rsidR="00FA21C7">
        <w:t>Ditchburn et al., 2020</w:t>
      </w:r>
      <w:r w:rsidR="008B07BD" w:rsidRPr="00B865A6">
        <w:t>)</w:t>
      </w:r>
      <w:r w:rsidRPr="00B865A6">
        <w:t xml:space="preserve">. </w:t>
      </w:r>
    </w:p>
    <w:p w14:paraId="7E5BBF3A" w14:textId="59A0B0E0" w:rsidR="00C83AD9" w:rsidRPr="00B865A6" w:rsidRDefault="00C83AD9" w:rsidP="00E96C45">
      <w:pPr>
        <w:spacing w:line="480" w:lineRule="auto"/>
      </w:pPr>
      <w:r w:rsidRPr="00B865A6">
        <w:t xml:space="preserve">We analysed records of damage to trees only (bark stripping and browsing damage), as herbivory of other canopy levels was not recorded in the NFI field surveys. Such data could be important in explaining damage to trees, as </w:t>
      </w:r>
      <w:r w:rsidRPr="00B865A6">
        <w:fldChar w:fldCharType="begin" w:fldLock="1"/>
      </w:r>
      <w:r w:rsidR="00715A6C" w:rsidRPr="00B865A6">
        <w:instrText>ADDIN CSL_CITATION {"citationItems":[{"id":"ITEM-1","itemData":{"DOI":"10.1890/ES14-00106.1","ISBN":"10.1890/ES14-00106.1","ISSN":"21508925","abstract":"Deer (Cervidae) cause considerable damage to forest plantations, crops, and protected habitats. The most common response to this damage is to implement strategies to lower population densities. However, lowering deer density may not always be desirable from hunting, recreational, or conservation perspectives. Therefore, knowledge is needed about additional factors beyond deer density that affect damage levels, and management actions that consider competing management goals. We studied the relationships between levels of bark-stripping by red deer (Cervus elaphus) on Norway spruce (Picea abies) and (1) relative deer density indices (pellet group count and deer harvest data), (2) availability of alternative natural forage (cover of forage species) and (3) proportion forest in the landscape, both at a forest stand scale and at a landscape scale. Extensive variation in damage level was evident between the six study areas. On a stand scale, the proportion of spruce damaged was positively related to pellet group density, indicating the importance of local deer usage of stands. In addition, available alternative forage in the field layer within spruce stands and proportion forest surrounding stands was negatively related to damage level. On the landscape scale, damage level was negatively related to availability of forage in the field and shrub layers and proportion forest, but was not related to any of the relative deer density indices. Increasing alternative forage may thus decrease damage and thereby reduce conflicts. Additionally, the proportion of forest in the landscape affects damage levels and should thus be considered in landscape planning and when forecasting damage risk. The relationship between local deer usage of stands and damage level suggests that future studies should try to separate the effects of local deer usage and deer density.","author":[{"dropping-particle":"","family":"Jarnemo","given":"Anders","non-dropping-particle":"","parse-names":false,"suffix":""},{"dropping-particle":"","family":"Minderman","given":"Jeroen","non-dropping-particle":"","parse-names":false,"suffix":""},{"dropping-particle":"","family":"Bunnefeld","given":"Nils","non-dropping-particle":"","parse-names":false,"suffix":""},{"dropping-particle":"","family":"Zidar","given":"Josefina","non-dropping-particle":"","parse-names":false,"suffix":""},{"dropping-particle":"","family":"Mansson","given":"Johan","non-dropping-particle":"","parse-names":false,"suffix":""}],"container-title":"Ecosphere","id":"ITEM-1","issue":"8","issued":{"date-parts":[["2014"]]},"title":"Managing landscapes for multiple objectives: Alternative forage can reduce the conflict between deer and forestry","type":"article-journal","volume":"5"},"uris":["http://www.mendeley.com/documents/?uuid=6047a416-0fbc-4039-a47f-be20e5525ae2"]}],"mendeley":{"formattedCitation":"(Jarnemo et al., 2014)","manualFormatting":"Jarnemo et al., (2014)","plainTextFormattedCitation":"(Jarnemo et al., 2014)","previouslyFormattedCitation":"(Jarnemo et al., 2014)"},"properties":{"noteIndex":0},"schema":"https://github.com/citation-style-language/schema/raw/master/csl-citation.json"}</w:instrText>
      </w:r>
      <w:r w:rsidRPr="00B865A6">
        <w:fldChar w:fldCharType="separate"/>
      </w:r>
      <w:r w:rsidRPr="00B865A6">
        <w:rPr>
          <w:noProof/>
        </w:rPr>
        <w:t xml:space="preserve">Jarnemo </w:t>
      </w:r>
      <w:r w:rsidRPr="00B865A6">
        <w:rPr>
          <w:i/>
          <w:noProof/>
        </w:rPr>
        <w:t>et al.</w:t>
      </w:r>
      <w:r w:rsidRPr="00B865A6">
        <w:rPr>
          <w:noProof/>
        </w:rPr>
        <w:t>, (2014)</w:t>
      </w:r>
      <w:r w:rsidRPr="00B865A6">
        <w:fldChar w:fldCharType="end"/>
      </w:r>
      <w:r w:rsidRPr="00B865A6">
        <w:t xml:space="preserve"> found that red deer damage to Norway spruce (</w:t>
      </w:r>
      <w:r w:rsidRPr="00B865A6">
        <w:rPr>
          <w:i/>
        </w:rPr>
        <w:t>Picea abies</w:t>
      </w:r>
      <w:r w:rsidRPr="00B865A6">
        <w:t>) stands in Sweden was negatively related to ground-layer forage availability (cover). Records of deer pellets could also be useful in explaining damage, as it might help distinguish habitat selection purposes other than forage selection. We suggest that the NFI field survey incorporates the systematic monitoring of these measures.</w:t>
      </w:r>
    </w:p>
    <w:p w14:paraId="20C40FB4" w14:textId="77777777" w:rsidR="00C83AD9" w:rsidRPr="00B865A6" w:rsidRDefault="00C83AD9" w:rsidP="00E96C45">
      <w:pPr>
        <w:pStyle w:val="Heading3"/>
      </w:pPr>
      <w:r w:rsidRPr="00B865A6">
        <w:t>Synthesis and broader applications</w:t>
      </w:r>
    </w:p>
    <w:p w14:paraId="1C9B3B25" w14:textId="4D01B1F2" w:rsidR="00C83AD9" w:rsidRPr="00B865A6" w:rsidRDefault="00C83AD9" w:rsidP="00C83AD9">
      <w:pPr>
        <w:spacing w:line="480" w:lineRule="auto"/>
        <w:rPr>
          <w:lang w:eastAsia="zh-CN"/>
        </w:rPr>
      </w:pPr>
      <w:r w:rsidRPr="00B865A6">
        <w:rPr>
          <w:rFonts w:cstheme="minorHAnsi"/>
        </w:rPr>
        <w:t xml:space="preserve">Deer populations are increasing across the temperate zone, threatening forest biodiversity and ecosystem services. </w:t>
      </w:r>
      <w:r w:rsidRPr="00B865A6">
        <w:t xml:space="preserve">Deer mitigation methods such as fencing are costly and may threaten the movement of other wildlife. Additionally, mitigation by culling is at odds with cultural values of deer in the temperate zone; </w:t>
      </w:r>
      <w:r w:rsidR="00C36AD3" w:rsidRPr="00B865A6">
        <w:t>I</w:t>
      </w:r>
      <w:r w:rsidRPr="00B865A6">
        <w:t xml:space="preserve">ndeed, deer contribute directly </w:t>
      </w:r>
      <w:r w:rsidR="00B924F9">
        <w:t>and</w:t>
      </w:r>
      <w:r w:rsidR="00B924F9" w:rsidRPr="00B865A6">
        <w:t xml:space="preserve"> </w:t>
      </w:r>
      <w:r w:rsidRPr="00B865A6">
        <w:t xml:space="preserve">indirectly to a range of ecosystem services such as maintaining the character of cultural landscapes, as game species, and as important prey species for large predators in Europe </w:t>
      </w:r>
      <w:r w:rsidRPr="00B865A6">
        <w:fldChar w:fldCharType="begin" w:fldLock="1"/>
      </w:r>
      <w:r w:rsidR="00715A6C" w:rsidRPr="00B865A6">
        <w:instrText>ADDIN CSL_CITATION {"citationItems":[{"id":"ITEM-1","itemData":{"DOI":"10.1890/ES14-00106.1","ISBN":"10.1890/ES14-00106.1","ISSN":"21508925","abstract":"Deer (Cervidae) cause considerable damage to forest plantations, crops, and protected habitats. The most common response to this damage is to implement strategies to lower population densities. However, lowering deer density may not always be desirable from hunting, recreational, or conservation perspectives. Therefore, knowledge is needed about additional factors beyond deer density that affect damage levels, and management actions that consider competing management goals. We studied the relationships between levels of bark-stripping by red deer (Cervus elaphus) on Norway spruce (Picea abies) and (1) relative deer density indices (pellet group count and deer harvest data), (2) availability of alternative natural forage (cover of forage species) and (3) proportion forest in the landscape, both at a forest stand scale and at a landscape scale. Extensive variation in damage level was evident between the six study areas. On a stand scale, the proportion of spruce damaged was positively related to pellet group density, indicating the importance of local deer usage of stands. In addition, available alternative forage in the field layer within spruce stands and proportion forest surrounding stands was negatively related to damage level. On the landscape scale, damage level was negatively related to availability of forage in the field and shrub layers and proportion forest, but was not related to any of the relative deer density indices. Increasing alternative forage may thus decrease damage and thereby reduce conflicts. Additionally, the proportion of forest in the landscape affects damage levels and should thus be considered in landscape planning and when forecasting damage risk. The relationship between local deer usage of stands and damage level suggests that future studies should try to separate the effects of local deer usage and deer density.","author":[{"dropping-particle":"","family":"Jarnemo","given":"Anders","non-dropping-particle":"","parse-names":false,"suffix":""},{"dropping-particle":"","family":"Minderman","given":"Jeroen","non-dropping-particle":"","parse-names":false,"suffix":""},{"dropping-particle":"","family":"Bunnefeld","given":"Nils","non-dropping-particle":"","parse-names":false,"suffix":""},{"dropping-particle":"","family":"Zidar","given":"Josefina","non-dropping-particle":"","parse-names":false,"suffix":""},{"dropping-particle":"","family":"Mansson","given":"Johan","non-dropping-particle":"","parse-names":false,"suffix":""}],"container-title":"Ecosphere","id":"ITEM-1","issue":"8","issued":{"date-parts":[["2014"]]},"title":"Managing landscapes for multiple objectives: Alternative forage can reduce the conflict between deer and forestry","type":"article-journal","volume":"5"},"uris":["http://www.mendeley.com/documents/?uuid=6047a416-0fbc-4039-a47f-be20e5525ae2"]}],"mendeley":{"formattedCitation":"(Jarnemo et al., 2014)","plainTextFormattedCitation":"(Jarnemo et al., 2014)","previouslyFormattedCitation":"(Jarnemo et al., 2014)"},"properties":{"noteIndex":0},"schema":"https://github.com/citation-style-language/schema/raw/master/csl-citation.json"}</w:instrText>
      </w:r>
      <w:r w:rsidRPr="00B865A6">
        <w:fldChar w:fldCharType="separate"/>
      </w:r>
      <w:r w:rsidR="00770064" w:rsidRPr="00B865A6">
        <w:rPr>
          <w:noProof/>
        </w:rPr>
        <w:t>(Jarnemo et al., 2014)</w:t>
      </w:r>
      <w:r w:rsidRPr="00B865A6">
        <w:fldChar w:fldCharType="end"/>
      </w:r>
      <w:r w:rsidRPr="00B865A6">
        <w:t>. Ou</w:t>
      </w:r>
      <w:r w:rsidRPr="00B865A6">
        <w:rPr>
          <w:rFonts w:cstheme="minorHAnsi"/>
        </w:rPr>
        <w:t>r findings have revealed potential opportunities for reducing these trade-offs by showing that in some regional contexts</w:t>
      </w:r>
      <w:r w:rsidR="00A72B09" w:rsidRPr="00B865A6">
        <w:rPr>
          <w:rFonts w:cstheme="minorHAnsi"/>
        </w:rPr>
        <w:t xml:space="preserve"> and </w:t>
      </w:r>
      <w:r w:rsidR="00C36AD3" w:rsidRPr="00B865A6">
        <w:rPr>
          <w:rFonts w:cstheme="minorHAnsi"/>
        </w:rPr>
        <w:t>forest</w:t>
      </w:r>
      <w:r w:rsidR="00A72B09" w:rsidRPr="00B865A6">
        <w:rPr>
          <w:rFonts w:cstheme="minorHAnsi"/>
        </w:rPr>
        <w:t xml:space="preserve"> types</w:t>
      </w:r>
      <w:r w:rsidRPr="00B865A6">
        <w:rPr>
          <w:rFonts w:cstheme="minorHAnsi"/>
        </w:rPr>
        <w:t>, even at high deer densities, relatively little damage occ</w:t>
      </w:r>
      <w:bookmarkStart w:id="38" w:name="_GoBack"/>
      <w:bookmarkEnd w:id="38"/>
      <w:r w:rsidRPr="00B865A6">
        <w:rPr>
          <w:rFonts w:cstheme="minorHAnsi"/>
        </w:rPr>
        <w:t>urs to forests</w:t>
      </w:r>
      <w:r w:rsidR="00A72B09" w:rsidRPr="00B865A6">
        <w:rPr>
          <w:rFonts w:cstheme="minorHAnsi"/>
        </w:rPr>
        <w:t>; however, in other regions,</w:t>
      </w:r>
      <w:r w:rsidR="00FF4AA5" w:rsidRPr="00B865A6">
        <w:rPr>
          <w:rFonts w:cstheme="minorHAnsi"/>
        </w:rPr>
        <w:t xml:space="preserve"> the likelihood of deer damage is high and</w:t>
      </w:r>
      <w:r w:rsidR="00A72B09" w:rsidRPr="00B865A6">
        <w:rPr>
          <w:rFonts w:cstheme="minorHAnsi"/>
        </w:rPr>
        <w:t xml:space="preserve"> woodland expansion</w:t>
      </w:r>
      <w:r w:rsidR="00FF4AA5" w:rsidRPr="00B865A6">
        <w:rPr>
          <w:rFonts w:cstheme="minorHAnsi"/>
        </w:rPr>
        <w:t xml:space="preserve"> will have to be balanced with efforts to mitigate against the increased </w:t>
      </w:r>
      <w:r w:rsidR="00A72B09" w:rsidRPr="00B865A6">
        <w:rPr>
          <w:rFonts w:cstheme="minorHAnsi"/>
        </w:rPr>
        <w:t>vulnerability of trees.</w:t>
      </w:r>
      <w:r w:rsidRPr="00B865A6">
        <w:rPr>
          <w:lang w:eastAsia="zh-CN"/>
        </w:rPr>
        <w:br w:type="page"/>
      </w:r>
    </w:p>
    <w:p w14:paraId="0A38AA40" w14:textId="3A662368" w:rsidR="00C83AD9" w:rsidRPr="00B865A6" w:rsidRDefault="00C83AD9" w:rsidP="00C83AD9">
      <w:pPr>
        <w:pStyle w:val="Heading2"/>
        <w:spacing w:line="480" w:lineRule="auto"/>
      </w:pPr>
      <w:bookmarkStart w:id="39" w:name="_Toc534293639"/>
      <w:bookmarkStart w:id="40" w:name="_Toc517892367"/>
      <w:bookmarkStart w:id="41" w:name="_Toc520716279"/>
      <w:r w:rsidRPr="00B865A6">
        <w:lastRenderedPageBreak/>
        <w:t>Author</w:t>
      </w:r>
      <w:r w:rsidR="00E765C6">
        <w:t>s'</w:t>
      </w:r>
      <w:r w:rsidRPr="00B865A6">
        <w:t xml:space="preserve"> contributions</w:t>
      </w:r>
      <w:bookmarkEnd w:id="39"/>
    </w:p>
    <w:p w14:paraId="3AE80861" w14:textId="1ABDCD07" w:rsidR="00C83AD9" w:rsidRPr="00B865A6" w:rsidRDefault="00C83AD9" w:rsidP="00C83AD9">
      <w:pPr>
        <w:spacing w:line="480" w:lineRule="auto"/>
      </w:pPr>
      <w:bookmarkStart w:id="42" w:name="_Toc517431834"/>
      <w:r w:rsidRPr="00B865A6">
        <w:t xml:space="preserve">RS, CB and FE designed the analytical approach. RS and CB carried out all statistical and GIS analyses. TW and CB collated and supplied data. RS, CB, FE and KW wrote the manuscript. </w:t>
      </w:r>
      <w:r w:rsidR="00D940EF" w:rsidRPr="00D940EF">
        <w:t>All authors contributed critically to the drafts and gave final approval for publication</w:t>
      </w:r>
      <w:r w:rsidRPr="00B865A6">
        <w:t>.</w:t>
      </w:r>
      <w:bookmarkEnd w:id="42"/>
      <w:r w:rsidRPr="00B865A6">
        <w:t xml:space="preserve"> </w:t>
      </w:r>
    </w:p>
    <w:p w14:paraId="729654BE" w14:textId="77777777" w:rsidR="00C83AD9" w:rsidRPr="00B865A6" w:rsidRDefault="00C83AD9" w:rsidP="00C83AD9">
      <w:pPr>
        <w:pStyle w:val="Heading2"/>
        <w:spacing w:line="480" w:lineRule="auto"/>
      </w:pPr>
      <w:bookmarkStart w:id="43" w:name="_Toc534293640"/>
      <w:r w:rsidRPr="00B865A6">
        <w:t>Acknowledgements</w:t>
      </w:r>
      <w:bookmarkEnd w:id="43"/>
    </w:p>
    <w:p w14:paraId="0C3DDF42" w14:textId="2825BA19" w:rsidR="00C83AD9" w:rsidRPr="00B865A6" w:rsidRDefault="00C83AD9" w:rsidP="00C83AD9">
      <w:pPr>
        <w:spacing w:line="480" w:lineRule="auto"/>
        <w:rPr>
          <w:lang w:eastAsia="zh-CN"/>
        </w:rPr>
      </w:pPr>
      <w:r w:rsidRPr="00B865A6">
        <w:rPr>
          <w:lang w:eastAsia="zh-CN"/>
        </w:rPr>
        <w:t>This research was funded by the ERC Starting Grant “SCALEFORES” [grant no. 680176] awarded to FE.</w:t>
      </w:r>
      <w:r w:rsidR="00D940EF">
        <w:rPr>
          <w:lang w:eastAsia="zh-CN"/>
        </w:rPr>
        <w:t xml:space="preserve"> We thank two anonymous reviewers for their improvements to earlier versions of this work.</w:t>
      </w:r>
    </w:p>
    <w:p w14:paraId="3CAA9F8C" w14:textId="5C4328EB" w:rsidR="00C83AD9" w:rsidRPr="00B865A6" w:rsidRDefault="00C83AD9" w:rsidP="00C83AD9">
      <w:pPr>
        <w:pStyle w:val="Heading2"/>
        <w:spacing w:line="480" w:lineRule="auto"/>
      </w:pPr>
      <w:bookmarkStart w:id="44" w:name="_Toc534293641"/>
      <w:r w:rsidRPr="00B865A6">
        <w:t xml:space="preserve">Data </w:t>
      </w:r>
      <w:bookmarkEnd w:id="44"/>
      <w:r w:rsidR="00C228D2">
        <w:t>availability statement</w:t>
      </w:r>
    </w:p>
    <w:p w14:paraId="78B79D04" w14:textId="1C64A55F" w:rsidR="00C83AD9" w:rsidRPr="00030C34" w:rsidRDefault="00C83AD9" w:rsidP="008675C0">
      <w:pPr>
        <w:rPr>
          <w:lang w:eastAsia="zh-CN"/>
        </w:rPr>
      </w:pPr>
      <w:r w:rsidRPr="00030C34">
        <w:rPr>
          <w:lang w:eastAsia="zh-CN"/>
        </w:rPr>
        <w:t xml:space="preserve">All datasets used in this study are cited in the text and Table 1. All are </w:t>
      </w:r>
      <w:r w:rsidR="00C228D2" w:rsidRPr="00030C34">
        <w:rPr>
          <w:lang w:eastAsia="zh-CN"/>
        </w:rPr>
        <w:t>publicly</w:t>
      </w:r>
      <w:r w:rsidRPr="00030C34">
        <w:rPr>
          <w:lang w:eastAsia="zh-CN"/>
        </w:rPr>
        <w:t xml:space="preserve"> accessible except for </w:t>
      </w:r>
      <w:r w:rsidR="000D65AC" w:rsidRPr="00030C34">
        <w:rPr>
          <w:lang w:eastAsia="zh-CN"/>
        </w:rPr>
        <w:t xml:space="preserve">deer density data and </w:t>
      </w:r>
      <w:r w:rsidR="0005599D" w:rsidRPr="00030C34">
        <w:rPr>
          <w:lang w:eastAsia="zh-CN"/>
        </w:rPr>
        <w:t>The National Forest Inventory field survey</w:t>
      </w:r>
      <w:r w:rsidRPr="00030C34">
        <w:rPr>
          <w:lang w:eastAsia="zh-CN"/>
        </w:rPr>
        <w:t xml:space="preserve">. </w:t>
      </w:r>
      <w:r w:rsidR="000D65AC" w:rsidRPr="00030C34">
        <w:rPr>
          <w:lang w:eastAsia="zh-CN"/>
        </w:rPr>
        <w:t>Deer density data were obtained from the Game and Wildlife Conservation Trust’s National Game Bag Census</w:t>
      </w:r>
      <w:r w:rsidR="000D65AC" w:rsidRPr="00030C34">
        <w:rPr>
          <w:lang w:eastAsia="zh-CN"/>
        </w:rPr>
        <w:t>. Deer density</w:t>
      </w:r>
      <w:r w:rsidR="000D65AC" w:rsidRPr="00030C34">
        <w:rPr>
          <w:rFonts w:ascii="Calibri" w:hAnsi="Calibri" w:cs="Calibri"/>
        </w:rPr>
        <w:t xml:space="preserve"> data have not been archived because permission was not granted by the data owners, </w:t>
      </w:r>
      <w:r w:rsidR="000D65AC" w:rsidRPr="00030C34">
        <w:rPr>
          <w:lang w:eastAsia="zh-CN"/>
        </w:rPr>
        <w:t>Game and Wildlife Conservation Trust</w:t>
      </w:r>
      <w:r w:rsidR="000D65AC" w:rsidRPr="00030C34">
        <w:rPr>
          <w:rFonts w:ascii="Calibri" w:hAnsi="Calibri" w:cs="Calibri"/>
        </w:rPr>
        <w:t xml:space="preserve">. Access to the data can be requested by contacting </w:t>
      </w:r>
      <w:r w:rsidR="000D65AC" w:rsidRPr="00030C34">
        <w:rPr>
          <w:lang w:eastAsia="zh-CN"/>
        </w:rPr>
        <w:t>Game and Wildlife Conservation Trust</w:t>
      </w:r>
      <w:r w:rsidR="000D65AC" w:rsidRPr="00030C34">
        <w:rPr>
          <w:rFonts w:ascii="Calibri" w:hAnsi="Calibri" w:cs="Calibri"/>
        </w:rPr>
        <w:t xml:space="preserve"> </w:t>
      </w:r>
      <w:r w:rsidR="000D65AC" w:rsidRPr="00030C34">
        <w:rPr>
          <w:lang w:eastAsia="zh-CN"/>
        </w:rPr>
        <w:t>at</w:t>
      </w:r>
      <w:r w:rsidR="000D65AC" w:rsidRPr="00030C34">
        <w:rPr>
          <w:lang w:eastAsia="zh-CN"/>
        </w:rPr>
        <w:t xml:space="preserve"> </w:t>
      </w:r>
      <w:hyperlink r:id="rId28" w:history="1">
        <w:r w:rsidR="000D65AC" w:rsidRPr="00030C34">
          <w:rPr>
            <w:rStyle w:val="Hyperlink"/>
            <w:rFonts w:cstheme="minorHAnsi"/>
            <w:color w:val="auto"/>
            <w:lang w:eastAsia="zh-CN"/>
          </w:rPr>
          <w:t>info@gwct.org.uk</w:t>
        </w:r>
      </w:hyperlink>
      <w:r w:rsidR="000D65AC" w:rsidRPr="00030C34">
        <w:rPr>
          <w:rFonts w:ascii="Calibri" w:hAnsi="Calibri" w:cs="Calibri"/>
        </w:rPr>
        <w:t>. With permission of the data owners, we have included the portion of data used as Supporting Information</w:t>
      </w:r>
      <w:r w:rsidR="000D65AC" w:rsidRPr="00030C34">
        <w:rPr>
          <w:rFonts w:ascii="Calibri" w:hAnsi="Calibri" w:cs="Calibri"/>
        </w:rPr>
        <w:t xml:space="preserve"> (Appendix S4)</w:t>
      </w:r>
      <w:r w:rsidR="000D65AC" w:rsidRPr="00030C34">
        <w:rPr>
          <w:rFonts w:ascii="Calibri" w:hAnsi="Calibri" w:cs="Calibri"/>
        </w:rPr>
        <w:t xml:space="preserve">. Citations of this data should be attributed to </w:t>
      </w:r>
      <w:r w:rsidR="000D65AC" w:rsidRPr="00030C34">
        <w:rPr>
          <w:rFonts w:ascii="Calibri" w:hAnsi="Calibri" w:cs="Calibri"/>
        </w:rPr>
        <w:t xml:space="preserve">the </w:t>
      </w:r>
      <w:r w:rsidR="000D65AC" w:rsidRPr="00030C34">
        <w:rPr>
          <w:lang w:eastAsia="zh-CN"/>
        </w:rPr>
        <w:t>Game and Wildlife Conservation Trust’s National Game Bag Census</w:t>
      </w:r>
      <w:r w:rsidR="000D65AC" w:rsidRPr="00030C34">
        <w:rPr>
          <w:lang w:eastAsia="zh-CN"/>
        </w:rPr>
        <w:t xml:space="preserve"> and </w:t>
      </w:r>
      <w:r w:rsidR="000D65AC" w:rsidRPr="00030C34">
        <w:rPr>
          <w:lang w:eastAsia="zh-CN"/>
        </w:rPr>
        <w:fldChar w:fldCharType="begin" w:fldLock="1"/>
      </w:r>
      <w:r w:rsidR="000D65AC" w:rsidRPr="00030C34">
        <w:rPr>
          <w:lang w:eastAsia="zh-CN"/>
        </w:rPr>
        <w:instrText>ADDIN CSL_CITATION {"citationItems":[{"id":"ITEM-1","itemData":{"ISBN":"ISSN 0963 8901","abstract":"In the UK, monitoring schemes and surveys for mammals vary markedly in methodologies and geographical and temporal extent among species, mainly due to the specialised protocols required to detect and identify most species. In this report, we compare results from two very different current annual monitoring schemes – the BTO/JNCC/RSPB Breeding Bird Survey (BBS) and the GWCT National Gamebag Census (NGC). Both schemes cover the entire UK, have been running for at least 15 years, and provide quantitative measures of abundance for multiple species, with considerable but not complete overlap in species coverage. This makes it possible to compare both temporal and geographic patterns of abundance and to explore possibilities for combining results across the two schemes. Of nine species (brown hare, mountain hare, rabbit, grey squirrel, fox, red deer, fallow deer, roe deer and Reeves muntjac) for which sufficiently reliable population trends could be generated for both schemes between 1995 and 2009, there were no significant differences in the population trend between schemes. Both schemes indicated a significant increase in grey squirrel. The BBS also revealed significant increases in three deer species (red, roe and muntjac) and a significant decline in rabbits over this period. With the exception of red deer, the changes in numbers from NGC over this period were similar but not significantly so. This provided justification for generating a joint trend for each of these nine species using data from both schemes that took into account the statistical variation within each scheme which varied among species. BBS and NGC differ in methodologies as well as in geographical coverage (although both cover the UK) and this provides a process for generating an agreed trend for consistent reporting, particularly in the context of statutory reporting requirements. Spatial maps of relative abundance and change were produced for Great Britain only due to limited data coverage in Northern Ireland. They provide a useful visualisation of geographical patterns, and reveal concordance at very broad but not finer-scale resolutions. This is due to important differences in the design of the two schemes, the extent and distribution of the sampling sites, differences in coverage across the season, and differences in detectability despite using the same spatial modelling procedures. It is therefore not recommended to combine data from BBS and NGC in spatial maps using these spatial m…","author":[{"dropping-particle":"","family":"Noble","given":"D.G.","non-dropping-particle":"","parse-names":false,"suffix":""},{"dropping-particle":"","family":"Aebischer","given":"N.J.","non-dropping-particle":"","parse-names":false,"suffix":""},{"dropping-particle":"","family":"Newson","given":"S.E.","non-dropping-particle":"","parse-names":false,"suffix":""},{"dropping-particle":"","family":"Ewald","given":"J.A.","non-dropping-particle":"","parse-names":false,"suffix":""},{"dropping-particle":"","family":"Dadam","given":"D.","non-dropping-particle":"","parse-names":false,"suffix":""}],"container-title":"JNCC Report","id":"ITEM-1","issue":"468","issued":{"date-parts":[["2012"]]},"page":"2012","title":"A Comparison of Trends and Geographical Variation in Mammal Abundance in the Breeding Bird Survey and the National Gamebag Census","type":"article-journal","volume":"468"},"uris":["http://www.mendeley.com/documents/?uuid=10b354b7-3bd8-4a8d-ad5f-41bc5c2dca1d"]}],"mendeley":{"formattedCitation":"(Noble et al., 2012)","manualFormatting":"Noble et al., (2012)","plainTextFormattedCitation":"(Noble et al., 2012)"},"properties":{"noteIndex":0},"schema":"https://github.com/citation-style-language/schema/raw/master/csl-citation.json"}</w:instrText>
      </w:r>
      <w:r w:rsidR="000D65AC" w:rsidRPr="00030C34">
        <w:rPr>
          <w:lang w:eastAsia="zh-CN"/>
        </w:rPr>
        <w:fldChar w:fldCharType="separate"/>
      </w:r>
      <w:r w:rsidR="000D65AC" w:rsidRPr="00030C34">
        <w:rPr>
          <w:noProof/>
          <w:lang w:eastAsia="zh-CN"/>
        </w:rPr>
        <w:t>Noble et al., (2012)</w:t>
      </w:r>
      <w:r w:rsidR="000D65AC" w:rsidRPr="00030C34">
        <w:rPr>
          <w:lang w:eastAsia="zh-CN"/>
        </w:rPr>
        <w:fldChar w:fldCharType="end"/>
      </w:r>
      <w:r w:rsidR="000D65AC" w:rsidRPr="00030C34">
        <w:rPr>
          <w:rFonts w:ascii="Calibri" w:hAnsi="Calibri" w:cs="Calibri"/>
        </w:rPr>
        <w:t>.</w:t>
      </w:r>
      <w:r w:rsidR="0005599D" w:rsidRPr="00030C34">
        <w:t xml:space="preserve"> The National Forest Inventory (NFI) field survey data used in this report is used by a division of Forest Research for the publication of Official Statistics and, as such, is subject to the Code of Practice for Official Statistics published by the UK Statistics Authority (</w:t>
      </w:r>
      <w:hyperlink r:id="rId29" w:history="1">
        <w:r w:rsidR="0005599D" w:rsidRPr="00030C34">
          <w:rPr>
            <w:rStyle w:val="Hyperlink"/>
            <w:rFonts w:cstheme="minorHAnsi"/>
            <w:color w:val="auto"/>
          </w:rPr>
          <w:t>https://www.statisticsauthority.gov.uk/code-of-practice/</w:t>
        </w:r>
      </w:hyperlink>
      <w:r w:rsidR="00030C34">
        <w:t>)</w:t>
      </w:r>
      <w:r w:rsidR="0005599D" w:rsidRPr="00030C34">
        <w:t>. The confidentiality of the location of the NFI sample plots is critical to the continued success of the NFI survey and the relationships between NFI and individual owners of woodland and forest in which NFI sample plots are located. The authors had limited access to some of these data under the strict terms of a licence agreement specifying that “access to the data is strictly limited to the named individual [co-author] and the data should not be circulated beyond this individual, nor published”. Therefore, although statistics on the data described in this document are published as NFI “Woodland Ecological Condition” reports and spreadsheets (</w:t>
      </w:r>
      <w:r w:rsidR="008675C0" w:rsidRPr="00030C34">
        <w:t>available at</w:t>
      </w:r>
      <w:r w:rsidR="0005599D" w:rsidRPr="00030C34">
        <w:t xml:space="preserve"> </w:t>
      </w:r>
      <w:hyperlink r:id="rId30" w:history="1">
        <w:r w:rsidR="008675C0" w:rsidRPr="00030C34">
          <w:rPr>
            <w:rStyle w:val="Hyperlink"/>
            <w:rFonts w:cstheme="minorHAnsi"/>
            <w:color w:val="auto"/>
          </w:rPr>
          <w:t>https://www.forestresearch.gov.uk/tools-and-resources/national-forest-inventory/what-our-woodlands-and-tree-cover-outside-woodlands-are-like-today-8211-nfi-inventory-reports-and-woodland-map-reports/nfi-woodland-ecological-condition/</w:t>
        </w:r>
      </w:hyperlink>
      <w:r w:rsidR="008675C0" w:rsidRPr="00030C34">
        <w:t>)</w:t>
      </w:r>
      <w:r w:rsidR="0005599D" w:rsidRPr="00030C34">
        <w:t xml:space="preserve">, we are unable to provide access to the full input dataset used in this study without breaching the Official Statistics Code of Practice. For more information, please contact </w:t>
      </w:r>
      <w:hyperlink r:id="rId31" w:history="1">
        <w:r w:rsidR="0005599D" w:rsidRPr="00030C34">
          <w:rPr>
            <w:rStyle w:val="Hyperlink"/>
            <w:rFonts w:cstheme="minorHAnsi"/>
            <w:color w:val="auto"/>
          </w:rPr>
          <w:t>nfi@forestresearch.gov.uk</w:t>
        </w:r>
      </w:hyperlink>
      <w:r w:rsidR="0005599D" w:rsidRPr="00030C34">
        <w:rPr>
          <w:lang w:eastAsia="zh-CN"/>
        </w:rPr>
        <w:t>.</w:t>
      </w:r>
    </w:p>
    <w:p w14:paraId="370F9685" w14:textId="77777777" w:rsidR="00C83AD9" w:rsidRPr="00B865A6" w:rsidRDefault="00C83AD9" w:rsidP="00C83AD9">
      <w:pPr>
        <w:pStyle w:val="Heading2"/>
        <w:spacing w:line="480" w:lineRule="auto"/>
      </w:pPr>
      <w:bookmarkStart w:id="45" w:name="_Toc534293642"/>
      <w:r w:rsidRPr="00B865A6">
        <w:t>References</w:t>
      </w:r>
      <w:bookmarkEnd w:id="40"/>
      <w:bookmarkEnd w:id="41"/>
      <w:bookmarkEnd w:id="45"/>
    </w:p>
    <w:p w14:paraId="55C21B03" w14:textId="1A4C6B8D" w:rsidR="000D65AC" w:rsidRPr="000D65AC" w:rsidRDefault="00C83AD9" w:rsidP="000D65AC">
      <w:pPr>
        <w:widowControl w:val="0"/>
        <w:autoSpaceDE w:val="0"/>
        <w:autoSpaceDN w:val="0"/>
        <w:adjustRightInd w:val="0"/>
        <w:spacing w:line="480" w:lineRule="auto"/>
        <w:ind w:left="480" w:hanging="480"/>
        <w:rPr>
          <w:rFonts w:ascii="Calibri" w:hAnsi="Calibri" w:cs="Calibri"/>
          <w:noProof/>
          <w:szCs w:val="24"/>
        </w:rPr>
      </w:pPr>
      <w:r w:rsidRPr="00B865A6">
        <w:fldChar w:fldCharType="begin" w:fldLock="1"/>
      </w:r>
      <w:r w:rsidRPr="00B865A6">
        <w:instrText xml:space="preserve">ADDIN Mendeley Bibliography CSL_BIBLIOGRAPHY </w:instrText>
      </w:r>
      <w:r w:rsidRPr="00B865A6">
        <w:fldChar w:fldCharType="separate"/>
      </w:r>
      <w:r w:rsidR="000D65AC" w:rsidRPr="000D65AC">
        <w:rPr>
          <w:rFonts w:ascii="Calibri" w:hAnsi="Calibri" w:cs="Calibri"/>
          <w:noProof/>
          <w:szCs w:val="24"/>
        </w:rPr>
        <w:t xml:space="preserve">Addicott, J., Aho, J., Antolin, M., Padilla, D., Richardson, J., &amp; Soluk, D. (1987). Ecological neighborhoods: scaling environmental patterns. </w:t>
      </w:r>
      <w:r w:rsidR="000D65AC" w:rsidRPr="000D65AC">
        <w:rPr>
          <w:rFonts w:ascii="Calibri" w:hAnsi="Calibri" w:cs="Calibri"/>
          <w:i/>
          <w:iCs/>
          <w:noProof/>
          <w:szCs w:val="24"/>
        </w:rPr>
        <w:t>Oikos</w:t>
      </w:r>
      <w:r w:rsidR="000D65AC" w:rsidRPr="000D65AC">
        <w:rPr>
          <w:rFonts w:ascii="Calibri" w:hAnsi="Calibri" w:cs="Calibri"/>
          <w:noProof/>
          <w:szCs w:val="24"/>
        </w:rPr>
        <w:t xml:space="preserve">, </w:t>
      </w:r>
      <w:r w:rsidR="000D65AC" w:rsidRPr="000D65AC">
        <w:rPr>
          <w:rFonts w:ascii="Calibri" w:hAnsi="Calibri" w:cs="Calibri"/>
          <w:i/>
          <w:iCs/>
          <w:noProof/>
          <w:szCs w:val="24"/>
        </w:rPr>
        <w:t>49</w:t>
      </w:r>
      <w:r w:rsidR="000D65AC" w:rsidRPr="000D65AC">
        <w:rPr>
          <w:rFonts w:ascii="Calibri" w:hAnsi="Calibri" w:cs="Calibri"/>
          <w:noProof/>
          <w:szCs w:val="24"/>
        </w:rPr>
        <w:t>, 340–346.</w:t>
      </w:r>
    </w:p>
    <w:p w14:paraId="129315F0"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lastRenderedPageBreak/>
        <w:t xml:space="preserve">Armstrong, H., Gill, R., Mayle, B., &amp; Trout, R. (2003). Protecting trees from deer: an overview of current knowledge and future work. </w:t>
      </w:r>
      <w:r w:rsidRPr="000D65AC">
        <w:rPr>
          <w:rFonts w:ascii="Calibri" w:hAnsi="Calibri" w:cs="Calibri"/>
          <w:i/>
          <w:iCs/>
          <w:noProof/>
          <w:szCs w:val="24"/>
        </w:rPr>
        <w:t>Forest Research Annual Report 2001-2002</w:t>
      </w:r>
      <w:r w:rsidRPr="000D65AC">
        <w:rPr>
          <w:rFonts w:ascii="Calibri" w:hAnsi="Calibri" w:cs="Calibri"/>
          <w:noProof/>
          <w:szCs w:val="24"/>
        </w:rPr>
        <w:t>, 28–39.</w:t>
      </w:r>
    </w:p>
    <w:p w14:paraId="2FBD557B"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Arnold, J. M., Gerhardt, P., Steyaert, S. M. J. G., Hochbichler, E., &amp; Hackländer, K. (2018). Diversionary feeding can reduce red deer habitat selection pressure on vulnerable forest stands, but is not a panacea for red deer damage. </w:t>
      </w:r>
      <w:r w:rsidRPr="000D65AC">
        <w:rPr>
          <w:rFonts w:ascii="Calibri" w:hAnsi="Calibri" w:cs="Calibri"/>
          <w:i/>
          <w:iCs/>
          <w:noProof/>
          <w:szCs w:val="24"/>
        </w:rPr>
        <w:t>Forest Ecology and Management</w:t>
      </w:r>
      <w:r w:rsidRPr="000D65AC">
        <w:rPr>
          <w:rFonts w:ascii="Calibri" w:hAnsi="Calibri" w:cs="Calibri"/>
          <w:noProof/>
          <w:szCs w:val="24"/>
        </w:rPr>
        <w:t xml:space="preserve">, </w:t>
      </w:r>
      <w:r w:rsidRPr="000D65AC">
        <w:rPr>
          <w:rFonts w:ascii="Calibri" w:hAnsi="Calibri" w:cs="Calibri"/>
          <w:i/>
          <w:iCs/>
          <w:noProof/>
          <w:szCs w:val="24"/>
        </w:rPr>
        <w:t>407</w:t>
      </w:r>
      <w:r w:rsidRPr="000D65AC">
        <w:rPr>
          <w:rFonts w:ascii="Calibri" w:hAnsi="Calibri" w:cs="Calibri"/>
          <w:noProof/>
          <w:szCs w:val="24"/>
        </w:rPr>
        <w:t>, 166–173. Retrieved from https://doi.org/10.1016/j.foreco.2017.10.050</w:t>
      </w:r>
    </w:p>
    <w:p w14:paraId="0D85197E"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Bailey, D., Billeter, R., Aviron, S., Schweiger, O., &amp; Herzog, F. (2007). The influence of thematic resolution on metric selection for biodiversity monitoring in agricultural landscapes. </w:t>
      </w:r>
      <w:r w:rsidRPr="000D65AC">
        <w:rPr>
          <w:rFonts w:ascii="Calibri" w:hAnsi="Calibri" w:cs="Calibri"/>
          <w:i/>
          <w:iCs/>
          <w:noProof/>
          <w:szCs w:val="24"/>
        </w:rPr>
        <w:t>Landscape Ecology</w:t>
      </w:r>
      <w:r w:rsidRPr="000D65AC">
        <w:rPr>
          <w:rFonts w:ascii="Calibri" w:hAnsi="Calibri" w:cs="Calibri"/>
          <w:noProof/>
          <w:szCs w:val="24"/>
        </w:rPr>
        <w:t xml:space="preserve">, </w:t>
      </w:r>
      <w:r w:rsidRPr="000D65AC">
        <w:rPr>
          <w:rFonts w:ascii="Calibri" w:hAnsi="Calibri" w:cs="Calibri"/>
          <w:i/>
          <w:iCs/>
          <w:noProof/>
          <w:szCs w:val="24"/>
        </w:rPr>
        <w:t>22</w:t>
      </w:r>
      <w:r w:rsidRPr="000D65AC">
        <w:rPr>
          <w:rFonts w:ascii="Calibri" w:hAnsi="Calibri" w:cs="Calibri"/>
          <w:noProof/>
          <w:szCs w:val="24"/>
        </w:rPr>
        <w:t>(3), 461–473. doi:10.1007/s10980-006-9035-9</w:t>
      </w:r>
    </w:p>
    <w:p w14:paraId="462FA707"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Bartoń, K. (2016). MuMIn: Multi-model inference. R package version 1.15.6. Retrieved from https://cran.r-project.org/package=MuMIn</w:t>
      </w:r>
    </w:p>
    <w:p w14:paraId="2D27907C"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Blix, A. W., Mysterud, A., Loe, L. E., &amp; Austrheim, G. (2014). Temporal scales of density-dependent habitat selection in a large grazing herbivore, </w:t>
      </w:r>
      <w:r w:rsidRPr="000D65AC">
        <w:rPr>
          <w:rFonts w:ascii="Calibri" w:hAnsi="Calibri" w:cs="Calibri"/>
          <w:i/>
          <w:iCs/>
          <w:noProof/>
          <w:szCs w:val="24"/>
        </w:rPr>
        <w:t>123</w:t>
      </w:r>
      <w:r w:rsidRPr="000D65AC">
        <w:rPr>
          <w:rFonts w:ascii="Calibri" w:hAnsi="Calibri" w:cs="Calibri"/>
          <w:noProof/>
          <w:szCs w:val="24"/>
        </w:rPr>
        <w:t>, 933–942. doi:10.1111/oik.01069</w:t>
      </w:r>
    </w:p>
    <w:p w14:paraId="61DEAFD3"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Bradter, U., Kunin, W. E., Altringham, J. D., Thom, T. J., &amp; Benton, T. G. (2013). Identifying appropriate spatial scales of predictors in species distribution models with the random forest algorithm. </w:t>
      </w:r>
      <w:r w:rsidRPr="000D65AC">
        <w:rPr>
          <w:rFonts w:ascii="Calibri" w:hAnsi="Calibri" w:cs="Calibri"/>
          <w:i/>
          <w:iCs/>
          <w:noProof/>
          <w:szCs w:val="24"/>
        </w:rPr>
        <w:t>Methods in Ecology and Evolution</w:t>
      </w:r>
      <w:r w:rsidRPr="000D65AC">
        <w:rPr>
          <w:rFonts w:ascii="Calibri" w:hAnsi="Calibri" w:cs="Calibri"/>
          <w:noProof/>
          <w:szCs w:val="24"/>
        </w:rPr>
        <w:t xml:space="preserve">, </w:t>
      </w:r>
      <w:r w:rsidRPr="000D65AC">
        <w:rPr>
          <w:rFonts w:ascii="Calibri" w:hAnsi="Calibri" w:cs="Calibri"/>
          <w:i/>
          <w:iCs/>
          <w:noProof/>
          <w:szCs w:val="24"/>
        </w:rPr>
        <w:t>4</w:t>
      </w:r>
      <w:r w:rsidRPr="000D65AC">
        <w:rPr>
          <w:rFonts w:ascii="Calibri" w:hAnsi="Calibri" w:cs="Calibri"/>
          <w:noProof/>
          <w:szCs w:val="24"/>
        </w:rPr>
        <w:t>(2), 167–174. doi:10.1111/j.2041-210x.2012.00253.x</w:t>
      </w:r>
    </w:p>
    <w:p w14:paraId="370C1622"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Breheny, P., &amp; Burchett, W. (2017). Visualization of Regression Models Using visreg. </w:t>
      </w:r>
      <w:r w:rsidRPr="000D65AC">
        <w:rPr>
          <w:rFonts w:ascii="Calibri" w:hAnsi="Calibri" w:cs="Calibri"/>
          <w:i/>
          <w:iCs/>
          <w:noProof/>
          <w:szCs w:val="24"/>
        </w:rPr>
        <w:t>The R Journal</w:t>
      </w:r>
      <w:r w:rsidRPr="000D65AC">
        <w:rPr>
          <w:rFonts w:ascii="Calibri" w:hAnsi="Calibri" w:cs="Calibri"/>
          <w:noProof/>
          <w:szCs w:val="24"/>
        </w:rPr>
        <w:t xml:space="preserve">, </w:t>
      </w:r>
      <w:r w:rsidRPr="000D65AC">
        <w:rPr>
          <w:rFonts w:ascii="Calibri" w:hAnsi="Calibri" w:cs="Calibri"/>
          <w:i/>
          <w:iCs/>
          <w:noProof/>
          <w:szCs w:val="24"/>
        </w:rPr>
        <w:t>9</w:t>
      </w:r>
      <w:r w:rsidRPr="000D65AC">
        <w:rPr>
          <w:rFonts w:ascii="Calibri" w:hAnsi="Calibri" w:cs="Calibri"/>
          <w:noProof/>
          <w:szCs w:val="24"/>
        </w:rPr>
        <w:t>, 56–71.</w:t>
      </w:r>
    </w:p>
    <w:p w14:paraId="65B9E014"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Burnham, K. P., &amp; Anderson, D. R. (2002). </w:t>
      </w:r>
      <w:r w:rsidRPr="000D65AC">
        <w:rPr>
          <w:rFonts w:ascii="Calibri" w:hAnsi="Calibri" w:cs="Calibri"/>
          <w:i/>
          <w:iCs/>
          <w:noProof/>
          <w:szCs w:val="24"/>
        </w:rPr>
        <w:t>Model Selection and Multimodel Inference: A Practical Information-Theoretic Approach (2nd ed)</w:t>
      </w:r>
      <w:r w:rsidRPr="000D65AC">
        <w:rPr>
          <w:rFonts w:ascii="Calibri" w:hAnsi="Calibri" w:cs="Calibri"/>
          <w:noProof/>
          <w:szCs w:val="24"/>
        </w:rPr>
        <w:t xml:space="preserve">. </w:t>
      </w:r>
      <w:r w:rsidRPr="000D65AC">
        <w:rPr>
          <w:rFonts w:ascii="Calibri" w:hAnsi="Calibri" w:cs="Calibri"/>
          <w:i/>
          <w:iCs/>
          <w:noProof/>
          <w:szCs w:val="24"/>
        </w:rPr>
        <w:t>Ecological Modelling</w:t>
      </w:r>
      <w:r w:rsidRPr="000D65AC">
        <w:rPr>
          <w:rFonts w:ascii="Calibri" w:hAnsi="Calibri" w:cs="Calibri"/>
          <w:noProof/>
          <w:szCs w:val="24"/>
        </w:rPr>
        <w:t xml:space="preserve"> (Vol. 172). New York: Springer-Verlag. doi:10.1016/j.ecolmodel.2003.11.004</w:t>
      </w:r>
    </w:p>
    <w:p w14:paraId="26D65548"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Cade, B. S. (2015). Model averaging and muddled multimodel inferences. </w:t>
      </w:r>
      <w:r w:rsidRPr="000D65AC">
        <w:rPr>
          <w:rFonts w:ascii="Calibri" w:hAnsi="Calibri" w:cs="Calibri"/>
          <w:i/>
          <w:iCs/>
          <w:noProof/>
          <w:szCs w:val="24"/>
        </w:rPr>
        <w:t>Ecology</w:t>
      </w:r>
      <w:r w:rsidRPr="000D65AC">
        <w:rPr>
          <w:rFonts w:ascii="Calibri" w:hAnsi="Calibri" w:cs="Calibri"/>
          <w:noProof/>
          <w:szCs w:val="24"/>
        </w:rPr>
        <w:t xml:space="preserve">, </w:t>
      </w:r>
      <w:r w:rsidRPr="000D65AC">
        <w:rPr>
          <w:rFonts w:ascii="Calibri" w:hAnsi="Calibri" w:cs="Calibri"/>
          <w:i/>
          <w:iCs/>
          <w:noProof/>
          <w:szCs w:val="24"/>
        </w:rPr>
        <w:t>96</w:t>
      </w:r>
      <w:r w:rsidRPr="000D65AC">
        <w:rPr>
          <w:rFonts w:ascii="Calibri" w:hAnsi="Calibri" w:cs="Calibri"/>
          <w:noProof/>
          <w:szCs w:val="24"/>
        </w:rPr>
        <w:t>(9), 2370–2382.</w:t>
      </w:r>
    </w:p>
    <w:p w14:paraId="079261DC"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lastRenderedPageBreak/>
        <w:t>Chang, W., Cheng, J., Allaire, J. J., Xie, Y., &amp; McPherson, J. (2016). shiny: Web Application Framework for R. Retrieved from https://cran.r-project.org/package=shiny</w:t>
      </w:r>
    </w:p>
    <w:p w14:paraId="15C0D8F7"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Clutton-Brock, T. H., &amp; Albon, S. D. (1989). </w:t>
      </w:r>
      <w:r w:rsidRPr="000D65AC">
        <w:rPr>
          <w:rFonts w:ascii="Calibri" w:hAnsi="Calibri" w:cs="Calibri"/>
          <w:i/>
          <w:iCs/>
          <w:noProof/>
          <w:szCs w:val="24"/>
        </w:rPr>
        <w:t>Red deer in the Highlands.</w:t>
      </w:r>
      <w:r w:rsidRPr="000D65AC">
        <w:rPr>
          <w:rFonts w:ascii="Calibri" w:hAnsi="Calibri" w:cs="Calibri"/>
          <w:noProof/>
          <w:szCs w:val="24"/>
        </w:rPr>
        <w:t xml:space="preserve"> Oxford: BSP Professional books.</w:t>
      </w:r>
    </w:p>
    <w:p w14:paraId="22503D5F"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Cohen, W. E., Drawe, D. L., Bryant, F. C., &amp; Bradley, L. C. (1989). Observations on white-tailed deer and habitat response to livestock grazing in south Texas. </w:t>
      </w:r>
      <w:r w:rsidRPr="000D65AC">
        <w:rPr>
          <w:rFonts w:ascii="Calibri" w:hAnsi="Calibri" w:cs="Calibri"/>
          <w:i/>
          <w:iCs/>
          <w:noProof/>
          <w:szCs w:val="24"/>
        </w:rPr>
        <w:t>Journal of Range Management</w:t>
      </w:r>
      <w:r w:rsidRPr="000D65AC">
        <w:rPr>
          <w:rFonts w:ascii="Calibri" w:hAnsi="Calibri" w:cs="Calibri"/>
          <w:noProof/>
          <w:szCs w:val="24"/>
        </w:rPr>
        <w:t xml:space="preserve">, </w:t>
      </w:r>
      <w:r w:rsidRPr="000D65AC">
        <w:rPr>
          <w:rFonts w:ascii="Calibri" w:hAnsi="Calibri" w:cs="Calibri"/>
          <w:i/>
          <w:iCs/>
          <w:noProof/>
          <w:szCs w:val="24"/>
        </w:rPr>
        <w:t>42</w:t>
      </w:r>
      <w:r w:rsidRPr="000D65AC">
        <w:rPr>
          <w:rFonts w:ascii="Calibri" w:hAnsi="Calibri" w:cs="Calibri"/>
          <w:noProof/>
          <w:szCs w:val="24"/>
        </w:rPr>
        <w:t>(5), 361–365.</w:t>
      </w:r>
    </w:p>
    <w:p w14:paraId="7B4F1D7B"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Conservative and Unionist Party. (2019). </w:t>
      </w:r>
      <w:r w:rsidRPr="000D65AC">
        <w:rPr>
          <w:rFonts w:ascii="Calibri" w:hAnsi="Calibri" w:cs="Calibri"/>
          <w:i/>
          <w:iCs/>
          <w:noProof/>
          <w:szCs w:val="24"/>
        </w:rPr>
        <w:t>Get Brexit Done. Unleash Britain’s Potential. The Conservative and Unionist Party Manifesto 2019.</w:t>
      </w:r>
    </w:p>
    <w:p w14:paraId="252AEBD3"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Creel, S., Winnie, J., Maxwell, B., Hamlin, K., &amp; Creel, M. (2005). Elk Alter Habitat Selection As an Antipredator Response To Wolves. </w:t>
      </w:r>
      <w:r w:rsidRPr="000D65AC">
        <w:rPr>
          <w:rFonts w:ascii="Calibri" w:hAnsi="Calibri" w:cs="Calibri"/>
          <w:i/>
          <w:iCs/>
          <w:noProof/>
          <w:szCs w:val="24"/>
        </w:rPr>
        <w:t>Ecology</w:t>
      </w:r>
      <w:r w:rsidRPr="000D65AC">
        <w:rPr>
          <w:rFonts w:ascii="Calibri" w:hAnsi="Calibri" w:cs="Calibri"/>
          <w:noProof/>
          <w:szCs w:val="24"/>
        </w:rPr>
        <w:t xml:space="preserve">, </w:t>
      </w:r>
      <w:r w:rsidRPr="000D65AC">
        <w:rPr>
          <w:rFonts w:ascii="Calibri" w:hAnsi="Calibri" w:cs="Calibri"/>
          <w:i/>
          <w:iCs/>
          <w:noProof/>
          <w:szCs w:val="24"/>
        </w:rPr>
        <w:t>86</w:t>
      </w:r>
      <w:r w:rsidRPr="000D65AC">
        <w:rPr>
          <w:rFonts w:ascii="Calibri" w:hAnsi="Calibri" w:cs="Calibri"/>
          <w:noProof/>
          <w:szCs w:val="24"/>
        </w:rPr>
        <w:t>(12), 3387–3397.</w:t>
      </w:r>
    </w:p>
    <w:p w14:paraId="7AA5C61B"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DEFRA. (2018). </w:t>
      </w:r>
      <w:r w:rsidRPr="000D65AC">
        <w:rPr>
          <w:rFonts w:ascii="Calibri" w:hAnsi="Calibri" w:cs="Calibri"/>
          <w:i/>
          <w:iCs/>
          <w:noProof/>
          <w:szCs w:val="24"/>
        </w:rPr>
        <w:t>A Green Future: Our 25 Year plan to improve the environment</w:t>
      </w:r>
      <w:r w:rsidRPr="000D65AC">
        <w:rPr>
          <w:rFonts w:ascii="Calibri" w:hAnsi="Calibri" w:cs="Calibri"/>
          <w:noProof/>
          <w:szCs w:val="24"/>
        </w:rPr>
        <w:t>. London.</w:t>
      </w:r>
    </w:p>
    <w:p w14:paraId="44ADEC73"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Degabriel, J. L., Albon, S. D., Fielding, D. A., Riach, D. J., Westaway, S., &amp; Irvine, R. J. (2011). The presence of sheep leads to increases in plant diversity and reductions in the impact of deer on heather, (Ukbap 2007), 1269–1277. doi:10.1111/j.1365-2664.2011.02032.x</w:t>
      </w:r>
    </w:p>
    <w:p w14:paraId="5F54CE51"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Ditchburn, B., Bellamy, C., Wilson, T., Steel, P., Henderson, L., Kirby, K. (2020). </w:t>
      </w:r>
      <w:r w:rsidRPr="000D65AC">
        <w:rPr>
          <w:rFonts w:ascii="Calibri" w:hAnsi="Calibri" w:cs="Calibri"/>
          <w:i/>
          <w:iCs/>
          <w:noProof/>
          <w:szCs w:val="24"/>
        </w:rPr>
        <w:t>NFI woodland ecological condition in Great Britain: Methodology</w:t>
      </w:r>
      <w:r w:rsidRPr="000D65AC">
        <w:rPr>
          <w:rFonts w:ascii="Calibri" w:hAnsi="Calibri" w:cs="Calibri"/>
          <w:noProof/>
          <w:szCs w:val="24"/>
        </w:rPr>
        <w:t>. Edinburgh.</w:t>
      </w:r>
    </w:p>
    <w:p w14:paraId="537BF1C2"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Ditchburn, B., Wilson, T., Henderson, L., Kirby, K. &amp; Steel, P. (2020). </w:t>
      </w:r>
      <w:r w:rsidRPr="000D65AC">
        <w:rPr>
          <w:rFonts w:ascii="Calibri" w:hAnsi="Calibri" w:cs="Calibri"/>
          <w:i/>
          <w:iCs/>
          <w:noProof/>
          <w:szCs w:val="24"/>
        </w:rPr>
        <w:t>NFI woodland ecological condition in Britain: Classification Results</w:t>
      </w:r>
      <w:r w:rsidRPr="000D65AC">
        <w:rPr>
          <w:rFonts w:ascii="Calibri" w:hAnsi="Calibri" w:cs="Calibri"/>
          <w:noProof/>
          <w:szCs w:val="24"/>
        </w:rPr>
        <w:t>. Edinburgh.</w:t>
      </w:r>
    </w:p>
    <w:p w14:paraId="54F694BD"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Ewald, M., Dupke, C., Heurich, M., Müller, J., &amp; Reineking, B. (2014). LiDAR remote sensing of forest structure and GPS telemetry data provide insights on winter habitat selection of european roe deer. </w:t>
      </w:r>
      <w:r w:rsidRPr="000D65AC">
        <w:rPr>
          <w:rFonts w:ascii="Calibri" w:hAnsi="Calibri" w:cs="Calibri"/>
          <w:i/>
          <w:iCs/>
          <w:noProof/>
          <w:szCs w:val="24"/>
        </w:rPr>
        <w:t>Forests</w:t>
      </w:r>
      <w:r w:rsidRPr="000D65AC">
        <w:rPr>
          <w:rFonts w:ascii="Calibri" w:hAnsi="Calibri" w:cs="Calibri"/>
          <w:noProof/>
          <w:szCs w:val="24"/>
        </w:rPr>
        <w:t xml:space="preserve">, </w:t>
      </w:r>
      <w:r w:rsidRPr="000D65AC">
        <w:rPr>
          <w:rFonts w:ascii="Calibri" w:hAnsi="Calibri" w:cs="Calibri"/>
          <w:i/>
          <w:iCs/>
          <w:noProof/>
          <w:szCs w:val="24"/>
        </w:rPr>
        <w:t>5</w:t>
      </w:r>
      <w:r w:rsidRPr="000D65AC">
        <w:rPr>
          <w:rFonts w:ascii="Calibri" w:hAnsi="Calibri" w:cs="Calibri"/>
          <w:noProof/>
          <w:szCs w:val="24"/>
        </w:rPr>
        <w:t>(6), 1374–1390. doi:10.3390/f5061374</w:t>
      </w:r>
    </w:p>
    <w:p w14:paraId="12B4FAC4"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Fahrig, L., Baudry, J., Brotons, L., Burel, F. G., Crist, T. O., Fuller, R. J., … Martin, J. L. (2011). Functional </w:t>
      </w:r>
      <w:r w:rsidRPr="000D65AC">
        <w:rPr>
          <w:rFonts w:ascii="Calibri" w:hAnsi="Calibri" w:cs="Calibri"/>
          <w:noProof/>
          <w:szCs w:val="24"/>
        </w:rPr>
        <w:lastRenderedPageBreak/>
        <w:t xml:space="preserve">landscape heterogeneity and animal biodiversity in agricultural landscapes. </w:t>
      </w:r>
      <w:r w:rsidRPr="000D65AC">
        <w:rPr>
          <w:rFonts w:ascii="Calibri" w:hAnsi="Calibri" w:cs="Calibri"/>
          <w:i/>
          <w:iCs/>
          <w:noProof/>
          <w:szCs w:val="24"/>
        </w:rPr>
        <w:t>Ecology Letters</w:t>
      </w:r>
      <w:r w:rsidRPr="000D65AC">
        <w:rPr>
          <w:rFonts w:ascii="Calibri" w:hAnsi="Calibri" w:cs="Calibri"/>
          <w:noProof/>
          <w:szCs w:val="24"/>
        </w:rPr>
        <w:t xml:space="preserve">, </w:t>
      </w:r>
      <w:r w:rsidRPr="000D65AC">
        <w:rPr>
          <w:rFonts w:ascii="Calibri" w:hAnsi="Calibri" w:cs="Calibri"/>
          <w:i/>
          <w:iCs/>
          <w:noProof/>
          <w:szCs w:val="24"/>
        </w:rPr>
        <w:t>14</w:t>
      </w:r>
      <w:r w:rsidRPr="000D65AC">
        <w:rPr>
          <w:rFonts w:ascii="Calibri" w:hAnsi="Calibri" w:cs="Calibri"/>
          <w:noProof/>
          <w:szCs w:val="24"/>
        </w:rPr>
        <w:t>(2), 101–112. doi:10.1111/j.1461-0248.2010.01559.x</w:t>
      </w:r>
    </w:p>
    <w:p w14:paraId="4404FE74"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Forest Research. (2019). About the NFI. Retrieved from https://www.forestresearch.gov.uk/tools-and-resources/national-forest-inventory/about-the-nfi/</w:t>
      </w:r>
    </w:p>
    <w:p w14:paraId="0EA28C66"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Forestry Commission. (2009). </w:t>
      </w:r>
      <w:r w:rsidRPr="000D65AC">
        <w:rPr>
          <w:rFonts w:ascii="Calibri" w:hAnsi="Calibri" w:cs="Calibri"/>
          <w:i/>
          <w:iCs/>
          <w:noProof/>
          <w:szCs w:val="24"/>
        </w:rPr>
        <w:t>The Scottish government’s rationale for woodland expansion</w:t>
      </w:r>
      <w:r w:rsidRPr="000D65AC">
        <w:rPr>
          <w:rFonts w:ascii="Calibri" w:hAnsi="Calibri" w:cs="Calibri"/>
          <w:noProof/>
          <w:szCs w:val="24"/>
        </w:rPr>
        <w:t>. Edinburgh.</w:t>
      </w:r>
    </w:p>
    <w:p w14:paraId="0CF0D9E2"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Forestry Commission. (2018). </w:t>
      </w:r>
      <w:r w:rsidRPr="000D65AC">
        <w:rPr>
          <w:rFonts w:ascii="Calibri" w:hAnsi="Calibri" w:cs="Calibri"/>
          <w:i/>
          <w:iCs/>
          <w:noProof/>
          <w:szCs w:val="24"/>
        </w:rPr>
        <w:t>Woodlands for Wales: The Welsh Assembly Government’s strategy for woodlands and trees.</w:t>
      </w:r>
      <w:r w:rsidRPr="000D65AC">
        <w:rPr>
          <w:rFonts w:ascii="Calibri" w:hAnsi="Calibri" w:cs="Calibri"/>
          <w:noProof/>
          <w:szCs w:val="24"/>
        </w:rPr>
        <w:t xml:space="preserve"> Aberystwyth.</w:t>
      </w:r>
    </w:p>
    <w:p w14:paraId="0EE368C1"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Freckleton, R. P. (2011). Dealing with collinearity in behavioural and ecological data: Model averaging and the problems of measurement error. </w:t>
      </w:r>
      <w:r w:rsidRPr="000D65AC">
        <w:rPr>
          <w:rFonts w:ascii="Calibri" w:hAnsi="Calibri" w:cs="Calibri"/>
          <w:i/>
          <w:iCs/>
          <w:noProof/>
          <w:szCs w:val="24"/>
        </w:rPr>
        <w:t>Behavioral Ecology and Sociobiology</w:t>
      </w:r>
      <w:r w:rsidRPr="000D65AC">
        <w:rPr>
          <w:rFonts w:ascii="Calibri" w:hAnsi="Calibri" w:cs="Calibri"/>
          <w:noProof/>
          <w:szCs w:val="24"/>
        </w:rPr>
        <w:t xml:space="preserve">, </w:t>
      </w:r>
      <w:r w:rsidRPr="000D65AC">
        <w:rPr>
          <w:rFonts w:ascii="Calibri" w:hAnsi="Calibri" w:cs="Calibri"/>
          <w:i/>
          <w:iCs/>
          <w:noProof/>
          <w:szCs w:val="24"/>
        </w:rPr>
        <w:t>65</w:t>
      </w:r>
      <w:r w:rsidRPr="000D65AC">
        <w:rPr>
          <w:rFonts w:ascii="Calibri" w:hAnsi="Calibri" w:cs="Calibri"/>
          <w:noProof/>
          <w:szCs w:val="24"/>
        </w:rPr>
        <w:t>(1), 91–101. doi:10.1007/s00265-010-1045-6</w:t>
      </w:r>
    </w:p>
    <w:p w14:paraId="453669B0"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Gagnon, J. W., Theimer, T. C., Dodd, N. L., Boe, S., &amp; Schweinsburg, R. E. (2007). Traffic Volume Alters Elk Distribution and Highway Crossings in Arizona. </w:t>
      </w:r>
      <w:r w:rsidRPr="000D65AC">
        <w:rPr>
          <w:rFonts w:ascii="Calibri" w:hAnsi="Calibri" w:cs="Calibri"/>
          <w:i/>
          <w:iCs/>
          <w:noProof/>
          <w:szCs w:val="24"/>
        </w:rPr>
        <w:t>Journal of Wildlife Management</w:t>
      </w:r>
      <w:r w:rsidRPr="000D65AC">
        <w:rPr>
          <w:rFonts w:ascii="Calibri" w:hAnsi="Calibri" w:cs="Calibri"/>
          <w:noProof/>
          <w:szCs w:val="24"/>
        </w:rPr>
        <w:t xml:space="preserve">, </w:t>
      </w:r>
      <w:r w:rsidRPr="000D65AC">
        <w:rPr>
          <w:rFonts w:ascii="Calibri" w:hAnsi="Calibri" w:cs="Calibri"/>
          <w:i/>
          <w:iCs/>
          <w:noProof/>
          <w:szCs w:val="24"/>
        </w:rPr>
        <w:t>71</w:t>
      </w:r>
      <w:r w:rsidRPr="000D65AC">
        <w:rPr>
          <w:rFonts w:ascii="Calibri" w:hAnsi="Calibri" w:cs="Calibri"/>
          <w:noProof/>
          <w:szCs w:val="24"/>
        </w:rPr>
        <w:t>(7), 2318–2323. doi:10.2193/2006-224</w:t>
      </w:r>
    </w:p>
    <w:p w14:paraId="538159E8"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Gilbert, S. L., Hundertmark, K. J., Person, D. K., Lindberg, M. S., &amp; Boyce, M. S. (2017). Behavioral plasticity in a variable environment : snow depth and habitat interactions drive deer movement in winter. </w:t>
      </w:r>
      <w:r w:rsidRPr="000D65AC">
        <w:rPr>
          <w:rFonts w:ascii="Calibri" w:hAnsi="Calibri" w:cs="Calibri"/>
          <w:i/>
          <w:iCs/>
          <w:noProof/>
          <w:szCs w:val="24"/>
        </w:rPr>
        <w:t>Journal of Mammalogy</w:t>
      </w:r>
      <w:r w:rsidRPr="000D65AC">
        <w:rPr>
          <w:rFonts w:ascii="Calibri" w:hAnsi="Calibri" w:cs="Calibri"/>
          <w:noProof/>
          <w:szCs w:val="24"/>
        </w:rPr>
        <w:t xml:space="preserve">, </w:t>
      </w:r>
      <w:r w:rsidRPr="000D65AC">
        <w:rPr>
          <w:rFonts w:ascii="Calibri" w:hAnsi="Calibri" w:cs="Calibri"/>
          <w:i/>
          <w:iCs/>
          <w:noProof/>
          <w:szCs w:val="24"/>
        </w:rPr>
        <w:t>98</w:t>
      </w:r>
      <w:r w:rsidRPr="000D65AC">
        <w:rPr>
          <w:rFonts w:ascii="Calibri" w:hAnsi="Calibri" w:cs="Calibri"/>
          <w:noProof/>
          <w:szCs w:val="24"/>
        </w:rPr>
        <w:t>(1), 246–259. doi:10.1093/jmammal/gyw167</w:t>
      </w:r>
    </w:p>
    <w:p w14:paraId="2462F25F"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Gill, R M A. (1992). A review of damage by mammals in North temperate forests. 3. Deer. </w:t>
      </w:r>
      <w:r w:rsidRPr="000D65AC">
        <w:rPr>
          <w:rFonts w:ascii="Calibri" w:hAnsi="Calibri" w:cs="Calibri"/>
          <w:i/>
          <w:iCs/>
          <w:noProof/>
          <w:szCs w:val="24"/>
        </w:rPr>
        <w:t>Forestry</w:t>
      </w:r>
      <w:r w:rsidRPr="000D65AC">
        <w:rPr>
          <w:rFonts w:ascii="Calibri" w:hAnsi="Calibri" w:cs="Calibri"/>
          <w:noProof/>
          <w:szCs w:val="24"/>
        </w:rPr>
        <w:t xml:space="preserve">, </w:t>
      </w:r>
      <w:r w:rsidRPr="000D65AC">
        <w:rPr>
          <w:rFonts w:ascii="Calibri" w:hAnsi="Calibri" w:cs="Calibri"/>
          <w:i/>
          <w:iCs/>
          <w:noProof/>
          <w:szCs w:val="24"/>
        </w:rPr>
        <w:t>65</w:t>
      </w:r>
      <w:r w:rsidRPr="000D65AC">
        <w:rPr>
          <w:rFonts w:ascii="Calibri" w:hAnsi="Calibri" w:cs="Calibri"/>
          <w:noProof/>
          <w:szCs w:val="24"/>
        </w:rPr>
        <w:t>(2), 145–169. doi:10.1093/forestry/65.2.145</w:t>
      </w:r>
    </w:p>
    <w:p w14:paraId="02F8FF3B"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Gill, Robin M.A., Thomas, M. L., &amp; Stocker, D. (1997). The use of portable thermal imaging for estimating deer population density in forest habitats. </w:t>
      </w:r>
      <w:r w:rsidRPr="000D65AC">
        <w:rPr>
          <w:rFonts w:ascii="Calibri" w:hAnsi="Calibri" w:cs="Calibri"/>
          <w:i/>
          <w:iCs/>
          <w:noProof/>
          <w:szCs w:val="24"/>
        </w:rPr>
        <w:t>Journal of Applied Ecology</w:t>
      </w:r>
      <w:r w:rsidRPr="000D65AC">
        <w:rPr>
          <w:rFonts w:ascii="Calibri" w:hAnsi="Calibri" w:cs="Calibri"/>
          <w:noProof/>
          <w:szCs w:val="24"/>
        </w:rPr>
        <w:t xml:space="preserve">, </w:t>
      </w:r>
      <w:r w:rsidRPr="000D65AC">
        <w:rPr>
          <w:rFonts w:ascii="Calibri" w:hAnsi="Calibri" w:cs="Calibri"/>
          <w:i/>
          <w:iCs/>
          <w:noProof/>
          <w:szCs w:val="24"/>
        </w:rPr>
        <w:t>34</w:t>
      </w:r>
      <w:r w:rsidRPr="000D65AC">
        <w:rPr>
          <w:rFonts w:ascii="Calibri" w:hAnsi="Calibri" w:cs="Calibri"/>
          <w:noProof/>
          <w:szCs w:val="24"/>
        </w:rPr>
        <w:t>(1273–1286).</w:t>
      </w:r>
    </w:p>
    <w:p w14:paraId="2564304F"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Gillespie, M. A. K., Baude, M., Biesmeijer, J., Boatman, N., Budge, G. E., Crowe, A., … Kunin, W. E. </w:t>
      </w:r>
      <w:r w:rsidRPr="000D65AC">
        <w:rPr>
          <w:rFonts w:ascii="Calibri" w:hAnsi="Calibri" w:cs="Calibri"/>
          <w:noProof/>
          <w:szCs w:val="24"/>
        </w:rPr>
        <w:lastRenderedPageBreak/>
        <w:t xml:space="preserve">(2017). A method for the objective selection of landscape-scale study regions and sites at the national level. </w:t>
      </w:r>
      <w:r w:rsidRPr="000D65AC">
        <w:rPr>
          <w:rFonts w:ascii="Calibri" w:hAnsi="Calibri" w:cs="Calibri"/>
          <w:i/>
          <w:iCs/>
          <w:noProof/>
          <w:szCs w:val="24"/>
        </w:rPr>
        <w:t>Methods in Ecology and Evolution</w:t>
      </w:r>
      <w:r w:rsidRPr="000D65AC">
        <w:rPr>
          <w:rFonts w:ascii="Calibri" w:hAnsi="Calibri" w:cs="Calibri"/>
          <w:noProof/>
          <w:szCs w:val="24"/>
        </w:rPr>
        <w:t xml:space="preserve">, </w:t>
      </w:r>
      <w:r w:rsidRPr="000D65AC">
        <w:rPr>
          <w:rFonts w:ascii="Calibri" w:hAnsi="Calibri" w:cs="Calibri"/>
          <w:i/>
          <w:iCs/>
          <w:noProof/>
          <w:szCs w:val="24"/>
        </w:rPr>
        <w:t>8</w:t>
      </w:r>
      <w:r w:rsidRPr="000D65AC">
        <w:rPr>
          <w:rFonts w:ascii="Calibri" w:hAnsi="Calibri" w:cs="Calibri"/>
          <w:noProof/>
          <w:szCs w:val="24"/>
        </w:rPr>
        <w:t>(11), 1468–1476. doi:10.1111/2041-210X.12779</w:t>
      </w:r>
    </w:p>
    <w:p w14:paraId="0F9E112F"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Giroux, M. A., Dussault, C., Tremblay, J. P., &amp; Côté, S. D. (2016). Winter severity modulates the benefits of using a habitat temporally uncoupled from browsing. </w:t>
      </w:r>
      <w:r w:rsidRPr="000D65AC">
        <w:rPr>
          <w:rFonts w:ascii="Calibri" w:hAnsi="Calibri" w:cs="Calibri"/>
          <w:i/>
          <w:iCs/>
          <w:noProof/>
          <w:szCs w:val="24"/>
        </w:rPr>
        <w:t>Ecosphere</w:t>
      </w:r>
      <w:r w:rsidRPr="000D65AC">
        <w:rPr>
          <w:rFonts w:ascii="Calibri" w:hAnsi="Calibri" w:cs="Calibri"/>
          <w:noProof/>
          <w:szCs w:val="24"/>
        </w:rPr>
        <w:t xml:space="preserve">, </w:t>
      </w:r>
      <w:r w:rsidRPr="000D65AC">
        <w:rPr>
          <w:rFonts w:ascii="Calibri" w:hAnsi="Calibri" w:cs="Calibri"/>
          <w:i/>
          <w:iCs/>
          <w:noProof/>
          <w:szCs w:val="24"/>
        </w:rPr>
        <w:t>7</w:t>
      </w:r>
      <w:r w:rsidRPr="000D65AC">
        <w:rPr>
          <w:rFonts w:ascii="Calibri" w:hAnsi="Calibri" w:cs="Calibri"/>
          <w:noProof/>
          <w:szCs w:val="24"/>
        </w:rPr>
        <w:t>(8). doi:10.1002/ecs2.1432</w:t>
      </w:r>
    </w:p>
    <w:p w14:paraId="3E05F152"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Godvik, I. M., Loe, L. E., Vik, J. O., Veiberg, V., Langvatn, R., &amp; Mysterud, A. (2009). Temporal scales , trade-offs , and functional responses in red deer habitat selection. </w:t>
      </w:r>
      <w:r w:rsidRPr="000D65AC">
        <w:rPr>
          <w:rFonts w:ascii="Calibri" w:hAnsi="Calibri" w:cs="Calibri"/>
          <w:i/>
          <w:iCs/>
          <w:noProof/>
          <w:szCs w:val="24"/>
        </w:rPr>
        <w:t>Ecology</w:t>
      </w:r>
      <w:r w:rsidRPr="000D65AC">
        <w:rPr>
          <w:rFonts w:ascii="Calibri" w:hAnsi="Calibri" w:cs="Calibri"/>
          <w:noProof/>
          <w:szCs w:val="24"/>
        </w:rPr>
        <w:t xml:space="preserve">, </w:t>
      </w:r>
      <w:r w:rsidRPr="000D65AC">
        <w:rPr>
          <w:rFonts w:ascii="Calibri" w:hAnsi="Calibri" w:cs="Calibri"/>
          <w:i/>
          <w:iCs/>
          <w:noProof/>
          <w:szCs w:val="24"/>
        </w:rPr>
        <w:t>90</w:t>
      </w:r>
      <w:r w:rsidRPr="000D65AC">
        <w:rPr>
          <w:rFonts w:ascii="Calibri" w:hAnsi="Calibri" w:cs="Calibri"/>
          <w:noProof/>
          <w:szCs w:val="24"/>
        </w:rPr>
        <w:t>(3), 699–710.</w:t>
      </w:r>
    </w:p>
    <w:p w14:paraId="0507A7F1"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Grueber, C. E., Nakagawa, S., Laws, R. J., &amp; Jamieson, I. G. (2011). Multimodel inference in ecology and evolution: Challenges and solutions. </w:t>
      </w:r>
      <w:r w:rsidRPr="000D65AC">
        <w:rPr>
          <w:rFonts w:ascii="Calibri" w:hAnsi="Calibri" w:cs="Calibri"/>
          <w:i/>
          <w:iCs/>
          <w:noProof/>
          <w:szCs w:val="24"/>
        </w:rPr>
        <w:t>Journal of Evolutionary Biology</w:t>
      </w:r>
      <w:r w:rsidRPr="000D65AC">
        <w:rPr>
          <w:rFonts w:ascii="Calibri" w:hAnsi="Calibri" w:cs="Calibri"/>
          <w:noProof/>
          <w:szCs w:val="24"/>
        </w:rPr>
        <w:t xml:space="preserve">, </w:t>
      </w:r>
      <w:r w:rsidRPr="000D65AC">
        <w:rPr>
          <w:rFonts w:ascii="Calibri" w:hAnsi="Calibri" w:cs="Calibri"/>
          <w:i/>
          <w:iCs/>
          <w:noProof/>
          <w:szCs w:val="24"/>
        </w:rPr>
        <w:t>24</w:t>
      </w:r>
      <w:r w:rsidRPr="000D65AC">
        <w:rPr>
          <w:rFonts w:ascii="Calibri" w:hAnsi="Calibri" w:cs="Calibri"/>
          <w:noProof/>
          <w:szCs w:val="24"/>
        </w:rPr>
        <w:t>(4), 699–711. doi:10.1111/j.1420-9101.2010.02210.x</w:t>
      </w:r>
    </w:p>
    <w:p w14:paraId="11C2712A"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Hanmer, M. J., &amp; Kalkan, K. O. (2013). Behind the Curve: Clarifying the Best Approach to Calculating Predicted Probabilities and Marginal Effects from Limited Dependent Variable Models. </w:t>
      </w:r>
      <w:r w:rsidRPr="000D65AC">
        <w:rPr>
          <w:rFonts w:ascii="Calibri" w:hAnsi="Calibri" w:cs="Calibri"/>
          <w:i/>
          <w:iCs/>
          <w:noProof/>
          <w:szCs w:val="24"/>
        </w:rPr>
        <w:t>American Journal OfPolitical Science</w:t>
      </w:r>
      <w:r w:rsidRPr="000D65AC">
        <w:rPr>
          <w:rFonts w:ascii="Calibri" w:hAnsi="Calibri" w:cs="Calibri"/>
          <w:noProof/>
          <w:szCs w:val="24"/>
        </w:rPr>
        <w:t xml:space="preserve">, </w:t>
      </w:r>
      <w:r w:rsidRPr="000D65AC">
        <w:rPr>
          <w:rFonts w:ascii="Calibri" w:hAnsi="Calibri" w:cs="Calibri"/>
          <w:i/>
          <w:iCs/>
          <w:noProof/>
          <w:szCs w:val="24"/>
        </w:rPr>
        <w:t>57</w:t>
      </w:r>
      <w:r w:rsidRPr="000D65AC">
        <w:rPr>
          <w:rFonts w:ascii="Calibri" w:hAnsi="Calibri" w:cs="Calibri"/>
          <w:noProof/>
          <w:szCs w:val="24"/>
        </w:rPr>
        <w:t>(1), 263–277. doi:10.1111/j.1540-5907.2012.00602.x</w:t>
      </w:r>
    </w:p>
    <w:p w14:paraId="6B7C1CF7"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Herrera, J. M., &amp; GarcÍA, D. (2010). Effects of Forest Fragmentation on Seed Dispersal and Seedling Establishment in Ornithochorous Trees: Fragmentation Effects on Tree Recruitment. </w:t>
      </w:r>
      <w:r w:rsidRPr="000D65AC">
        <w:rPr>
          <w:rFonts w:ascii="Calibri" w:hAnsi="Calibri" w:cs="Calibri"/>
          <w:i/>
          <w:iCs/>
          <w:noProof/>
          <w:szCs w:val="24"/>
        </w:rPr>
        <w:t>Conservation Biology</w:t>
      </w:r>
      <w:r w:rsidRPr="000D65AC">
        <w:rPr>
          <w:rFonts w:ascii="Calibri" w:hAnsi="Calibri" w:cs="Calibri"/>
          <w:noProof/>
          <w:szCs w:val="24"/>
        </w:rPr>
        <w:t xml:space="preserve">, </w:t>
      </w:r>
      <w:r w:rsidRPr="000D65AC">
        <w:rPr>
          <w:rFonts w:ascii="Calibri" w:hAnsi="Calibri" w:cs="Calibri"/>
          <w:i/>
          <w:iCs/>
          <w:noProof/>
          <w:szCs w:val="24"/>
        </w:rPr>
        <w:t>24</w:t>
      </w:r>
      <w:r w:rsidRPr="000D65AC">
        <w:rPr>
          <w:rFonts w:ascii="Calibri" w:hAnsi="Calibri" w:cs="Calibri"/>
          <w:noProof/>
          <w:szCs w:val="24"/>
        </w:rPr>
        <w:t>(4), 1089–1098. doi:10.1111/j.1523-1739.2010.01459.x</w:t>
      </w:r>
    </w:p>
    <w:p w14:paraId="13701F3A"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Holland, J. D., Bert, D. G., &amp; Fahrig, L. (2004). Determining the Spatial Scale of Species’ Response to Habitat. </w:t>
      </w:r>
      <w:r w:rsidRPr="000D65AC">
        <w:rPr>
          <w:rFonts w:ascii="Calibri" w:hAnsi="Calibri" w:cs="Calibri"/>
          <w:i/>
          <w:iCs/>
          <w:noProof/>
          <w:szCs w:val="24"/>
        </w:rPr>
        <w:t>BioScience</w:t>
      </w:r>
      <w:r w:rsidRPr="000D65AC">
        <w:rPr>
          <w:rFonts w:ascii="Calibri" w:hAnsi="Calibri" w:cs="Calibri"/>
          <w:noProof/>
          <w:szCs w:val="24"/>
        </w:rPr>
        <w:t xml:space="preserve">, </w:t>
      </w:r>
      <w:r w:rsidRPr="000D65AC">
        <w:rPr>
          <w:rFonts w:ascii="Calibri" w:hAnsi="Calibri" w:cs="Calibri"/>
          <w:i/>
          <w:iCs/>
          <w:noProof/>
          <w:szCs w:val="24"/>
        </w:rPr>
        <w:t>54</w:t>
      </w:r>
      <w:r w:rsidRPr="000D65AC">
        <w:rPr>
          <w:rFonts w:ascii="Calibri" w:hAnsi="Calibri" w:cs="Calibri"/>
          <w:noProof/>
          <w:szCs w:val="24"/>
        </w:rPr>
        <w:t>(3), 227. doi:10.1641/0006-3568(2004)054[0227:DTSSOS]2.0.CO;2</w:t>
      </w:r>
    </w:p>
    <w:p w14:paraId="4F6AB256"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Hurley, P. M., Webster, C. R., Flaspohler, D. J., &amp; Parker, G. R. (2012). Untangling the landscape of deer overabundance: Reserve size versus landscape context in the agricultural Midwest. </w:t>
      </w:r>
      <w:r w:rsidRPr="000D65AC">
        <w:rPr>
          <w:rFonts w:ascii="Calibri" w:hAnsi="Calibri" w:cs="Calibri"/>
          <w:i/>
          <w:iCs/>
          <w:noProof/>
          <w:szCs w:val="24"/>
        </w:rPr>
        <w:t>Biological Conservation</w:t>
      </w:r>
      <w:r w:rsidRPr="000D65AC">
        <w:rPr>
          <w:rFonts w:ascii="Calibri" w:hAnsi="Calibri" w:cs="Calibri"/>
          <w:noProof/>
          <w:szCs w:val="24"/>
        </w:rPr>
        <w:t xml:space="preserve">, </w:t>
      </w:r>
      <w:r w:rsidRPr="000D65AC">
        <w:rPr>
          <w:rFonts w:ascii="Calibri" w:hAnsi="Calibri" w:cs="Calibri"/>
          <w:i/>
          <w:iCs/>
          <w:noProof/>
          <w:szCs w:val="24"/>
        </w:rPr>
        <w:t>146</w:t>
      </w:r>
      <w:r w:rsidRPr="000D65AC">
        <w:rPr>
          <w:rFonts w:ascii="Calibri" w:hAnsi="Calibri" w:cs="Calibri"/>
          <w:noProof/>
          <w:szCs w:val="24"/>
        </w:rPr>
        <w:t>(1), 62–71. doi:10.1016/j.biocon.2011.10.034</w:t>
      </w:r>
    </w:p>
    <w:p w14:paraId="4B4864E8"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Jackson, H.B., &amp; Fahrig, L. (2012). What size is a biologically relevant landscape? </w:t>
      </w:r>
      <w:r w:rsidRPr="000D65AC">
        <w:rPr>
          <w:rFonts w:ascii="Calibri" w:hAnsi="Calibri" w:cs="Calibri"/>
          <w:i/>
          <w:iCs/>
          <w:noProof/>
          <w:szCs w:val="24"/>
        </w:rPr>
        <w:t>Landscape Ecology</w:t>
      </w:r>
      <w:r w:rsidRPr="000D65AC">
        <w:rPr>
          <w:rFonts w:ascii="Calibri" w:hAnsi="Calibri" w:cs="Calibri"/>
          <w:noProof/>
          <w:szCs w:val="24"/>
        </w:rPr>
        <w:t>, (27), 929–941. doi:10.1007/s10980-012-9757-9</w:t>
      </w:r>
    </w:p>
    <w:p w14:paraId="3354060D"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lastRenderedPageBreak/>
        <w:t xml:space="preserve">Jackson, Heather Bird, &amp; Fahrig, L. (2015). Are ecologists conducting research at the optimal scale? </w:t>
      </w:r>
      <w:r w:rsidRPr="000D65AC">
        <w:rPr>
          <w:rFonts w:ascii="Calibri" w:hAnsi="Calibri" w:cs="Calibri"/>
          <w:i/>
          <w:iCs/>
          <w:noProof/>
          <w:szCs w:val="24"/>
        </w:rPr>
        <w:t>Global Ecology and Biogeography</w:t>
      </w:r>
      <w:r w:rsidRPr="000D65AC">
        <w:rPr>
          <w:rFonts w:ascii="Calibri" w:hAnsi="Calibri" w:cs="Calibri"/>
          <w:noProof/>
          <w:szCs w:val="24"/>
        </w:rPr>
        <w:t xml:space="preserve">, </w:t>
      </w:r>
      <w:r w:rsidRPr="000D65AC">
        <w:rPr>
          <w:rFonts w:ascii="Calibri" w:hAnsi="Calibri" w:cs="Calibri"/>
          <w:i/>
          <w:iCs/>
          <w:noProof/>
          <w:szCs w:val="24"/>
        </w:rPr>
        <w:t>24</w:t>
      </w:r>
      <w:r w:rsidRPr="000D65AC">
        <w:rPr>
          <w:rFonts w:ascii="Calibri" w:hAnsi="Calibri" w:cs="Calibri"/>
          <w:noProof/>
          <w:szCs w:val="24"/>
        </w:rPr>
        <w:t>(1), 52–63. doi:10.1111/geb.12233</w:t>
      </w:r>
    </w:p>
    <w:p w14:paraId="3978FE89"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Jarnemo, A., Minderman, J., Bunnefeld, N., Zidar, J., &amp; Mansson, J. (2014). Managing landscapes for multiple objectives: Alternative forage can reduce the conflict between deer and forestry. </w:t>
      </w:r>
      <w:r w:rsidRPr="000D65AC">
        <w:rPr>
          <w:rFonts w:ascii="Calibri" w:hAnsi="Calibri" w:cs="Calibri"/>
          <w:i/>
          <w:iCs/>
          <w:noProof/>
          <w:szCs w:val="24"/>
        </w:rPr>
        <w:t>Ecosphere</w:t>
      </w:r>
      <w:r w:rsidRPr="000D65AC">
        <w:rPr>
          <w:rFonts w:ascii="Calibri" w:hAnsi="Calibri" w:cs="Calibri"/>
          <w:noProof/>
          <w:szCs w:val="24"/>
        </w:rPr>
        <w:t xml:space="preserve">, </w:t>
      </w:r>
      <w:r w:rsidRPr="000D65AC">
        <w:rPr>
          <w:rFonts w:ascii="Calibri" w:hAnsi="Calibri" w:cs="Calibri"/>
          <w:i/>
          <w:iCs/>
          <w:noProof/>
          <w:szCs w:val="24"/>
        </w:rPr>
        <w:t>5</w:t>
      </w:r>
      <w:r w:rsidRPr="000D65AC">
        <w:rPr>
          <w:rFonts w:ascii="Calibri" w:hAnsi="Calibri" w:cs="Calibri"/>
          <w:noProof/>
          <w:szCs w:val="24"/>
        </w:rPr>
        <w:t>(8). doi:10.1890/ES14-00106.1</w:t>
      </w:r>
    </w:p>
    <w:p w14:paraId="71C99121"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Johnson, D. H. (1980). The Comparison of Usage and Availability Measurements for Evaluating Resource Preference. </w:t>
      </w:r>
      <w:r w:rsidRPr="000D65AC">
        <w:rPr>
          <w:rFonts w:ascii="Calibri" w:hAnsi="Calibri" w:cs="Calibri"/>
          <w:i/>
          <w:iCs/>
          <w:noProof/>
          <w:szCs w:val="24"/>
        </w:rPr>
        <w:t>Ecology</w:t>
      </w:r>
      <w:r w:rsidRPr="000D65AC">
        <w:rPr>
          <w:rFonts w:ascii="Calibri" w:hAnsi="Calibri" w:cs="Calibri"/>
          <w:noProof/>
          <w:szCs w:val="24"/>
        </w:rPr>
        <w:t xml:space="preserve">, </w:t>
      </w:r>
      <w:r w:rsidRPr="000D65AC">
        <w:rPr>
          <w:rFonts w:ascii="Calibri" w:hAnsi="Calibri" w:cs="Calibri"/>
          <w:i/>
          <w:iCs/>
          <w:noProof/>
          <w:szCs w:val="24"/>
        </w:rPr>
        <w:t>61</w:t>
      </w:r>
      <w:r w:rsidRPr="000D65AC">
        <w:rPr>
          <w:rFonts w:ascii="Calibri" w:hAnsi="Calibri" w:cs="Calibri"/>
          <w:noProof/>
          <w:szCs w:val="24"/>
        </w:rPr>
        <w:t>(1), 65–71. doi:10.2307/1937156</w:t>
      </w:r>
    </w:p>
    <w:p w14:paraId="5CD18424"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Meisinget, E. L., Loe, L. E., Brekkum, O., Moorter, B. Van, &amp; Mysterud, A. (2013). Red Deer Habitat Selection and Movements in Relation to Roads. </w:t>
      </w:r>
      <w:r w:rsidRPr="000D65AC">
        <w:rPr>
          <w:rFonts w:ascii="Calibri" w:hAnsi="Calibri" w:cs="Calibri"/>
          <w:i/>
          <w:iCs/>
          <w:noProof/>
          <w:szCs w:val="24"/>
        </w:rPr>
        <w:t>The Journal of Wildlife Management</w:t>
      </w:r>
      <w:r w:rsidRPr="000D65AC">
        <w:rPr>
          <w:rFonts w:ascii="Calibri" w:hAnsi="Calibri" w:cs="Calibri"/>
          <w:noProof/>
          <w:szCs w:val="24"/>
        </w:rPr>
        <w:t xml:space="preserve">, </w:t>
      </w:r>
      <w:r w:rsidRPr="000D65AC">
        <w:rPr>
          <w:rFonts w:ascii="Calibri" w:hAnsi="Calibri" w:cs="Calibri"/>
          <w:i/>
          <w:iCs/>
          <w:noProof/>
          <w:szCs w:val="24"/>
        </w:rPr>
        <w:t>77</w:t>
      </w:r>
      <w:r w:rsidRPr="000D65AC">
        <w:rPr>
          <w:rFonts w:ascii="Calibri" w:hAnsi="Calibri" w:cs="Calibri"/>
          <w:noProof/>
          <w:szCs w:val="24"/>
        </w:rPr>
        <w:t>(1), 181–191. doi:10.1002/jwmg.469</w:t>
      </w:r>
    </w:p>
    <w:p w14:paraId="6CC73B4F"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Mitchell, B., Staines, B. W., &amp; Welch, D. (1977). Ecology of Red Deer: a research review relevant to their management in Scotland. </w:t>
      </w:r>
      <w:r w:rsidRPr="000D65AC">
        <w:rPr>
          <w:rFonts w:ascii="Calibri" w:hAnsi="Calibri" w:cs="Calibri"/>
          <w:i/>
          <w:iCs/>
          <w:noProof/>
          <w:szCs w:val="24"/>
        </w:rPr>
        <w:t>Institute of Terrestrial Ecology</w:t>
      </w:r>
      <w:r w:rsidRPr="000D65AC">
        <w:rPr>
          <w:rFonts w:ascii="Calibri" w:hAnsi="Calibri" w:cs="Calibri"/>
          <w:noProof/>
          <w:szCs w:val="24"/>
        </w:rPr>
        <w:t>, 74. Retrieved from http://nora.nerc.ac.uk/id/eprint/5137</w:t>
      </w:r>
    </w:p>
    <w:p w14:paraId="323B248F"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Miyashita, T., Suzuki, M., Ando, D., Fujita, G., Ochiai, K., &amp; Asada, M. (2008). Forest edge creates small-scale variation in reproductive rate of sika deer. </w:t>
      </w:r>
      <w:r w:rsidRPr="000D65AC">
        <w:rPr>
          <w:rFonts w:ascii="Calibri" w:hAnsi="Calibri" w:cs="Calibri"/>
          <w:i/>
          <w:iCs/>
          <w:noProof/>
          <w:szCs w:val="24"/>
        </w:rPr>
        <w:t>Population Ecology</w:t>
      </w:r>
      <w:r w:rsidRPr="000D65AC">
        <w:rPr>
          <w:rFonts w:ascii="Calibri" w:hAnsi="Calibri" w:cs="Calibri"/>
          <w:noProof/>
          <w:szCs w:val="24"/>
        </w:rPr>
        <w:t xml:space="preserve">, </w:t>
      </w:r>
      <w:r w:rsidRPr="000D65AC">
        <w:rPr>
          <w:rFonts w:ascii="Calibri" w:hAnsi="Calibri" w:cs="Calibri"/>
          <w:i/>
          <w:iCs/>
          <w:noProof/>
          <w:szCs w:val="24"/>
        </w:rPr>
        <w:t>50</w:t>
      </w:r>
      <w:r w:rsidRPr="000D65AC">
        <w:rPr>
          <w:rFonts w:ascii="Calibri" w:hAnsi="Calibri" w:cs="Calibri"/>
          <w:noProof/>
          <w:szCs w:val="24"/>
        </w:rPr>
        <w:t>(1), 111–120. doi:10.1007/s10144-007-0068-y</w:t>
      </w:r>
    </w:p>
    <w:p w14:paraId="21F65A4B"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Mobæk, R., Mysterud, A., Loe, L. E., Holand, Ø., &amp; Austrheim, G. (2009). Density dependent and temporal variability in habitat selection by a large herbivore ; an experimental approach. </w:t>
      </w:r>
      <w:r w:rsidRPr="000D65AC">
        <w:rPr>
          <w:rFonts w:ascii="Calibri" w:hAnsi="Calibri" w:cs="Calibri"/>
          <w:i/>
          <w:iCs/>
          <w:noProof/>
          <w:szCs w:val="24"/>
        </w:rPr>
        <w:t>Oikos</w:t>
      </w:r>
      <w:r w:rsidRPr="000D65AC">
        <w:rPr>
          <w:rFonts w:ascii="Calibri" w:hAnsi="Calibri" w:cs="Calibri"/>
          <w:noProof/>
          <w:szCs w:val="24"/>
        </w:rPr>
        <w:t xml:space="preserve">, </w:t>
      </w:r>
      <w:r w:rsidRPr="000D65AC">
        <w:rPr>
          <w:rFonts w:ascii="Calibri" w:hAnsi="Calibri" w:cs="Calibri"/>
          <w:i/>
          <w:iCs/>
          <w:noProof/>
          <w:szCs w:val="24"/>
        </w:rPr>
        <w:t>118</w:t>
      </w:r>
      <w:r w:rsidRPr="000D65AC">
        <w:rPr>
          <w:rFonts w:ascii="Calibri" w:hAnsi="Calibri" w:cs="Calibri"/>
          <w:noProof/>
          <w:szCs w:val="24"/>
        </w:rPr>
        <w:t>, 209–218. doi:10.1111/j.1600-0706.2008.16935.x</w:t>
      </w:r>
    </w:p>
    <w:p w14:paraId="02F2A8A5"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Morellet, N., Moorter, B. Van, &amp; Cargnelutti, B. (2011). Landscape composition influences roe deer habitat selection at both home range and landscape scales. </w:t>
      </w:r>
      <w:r w:rsidRPr="000D65AC">
        <w:rPr>
          <w:rFonts w:ascii="Calibri" w:hAnsi="Calibri" w:cs="Calibri"/>
          <w:i/>
          <w:iCs/>
          <w:noProof/>
          <w:szCs w:val="24"/>
        </w:rPr>
        <w:t>Landscape Ecology</w:t>
      </w:r>
      <w:r w:rsidRPr="000D65AC">
        <w:rPr>
          <w:rFonts w:ascii="Calibri" w:hAnsi="Calibri" w:cs="Calibri"/>
          <w:noProof/>
          <w:szCs w:val="24"/>
        </w:rPr>
        <w:t xml:space="preserve">, </w:t>
      </w:r>
      <w:r w:rsidRPr="000D65AC">
        <w:rPr>
          <w:rFonts w:ascii="Calibri" w:hAnsi="Calibri" w:cs="Calibri"/>
          <w:i/>
          <w:iCs/>
          <w:noProof/>
          <w:szCs w:val="24"/>
        </w:rPr>
        <w:t>26</w:t>
      </w:r>
      <w:r w:rsidRPr="000D65AC">
        <w:rPr>
          <w:rFonts w:ascii="Calibri" w:hAnsi="Calibri" w:cs="Calibri"/>
          <w:noProof/>
          <w:szCs w:val="24"/>
        </w:rPr>
        <w:t>, 999–1010. doi:10.1007/s10980-011-9624-0</w:t>
      </w:r>
    </w:p>
    <w:p w14:paraId="323C7AAA"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Morton, R. D., Rowland, C. S., Wood, C. M., Meek, L., Marston, C. G., &amp; Smith, G. M. (2014). Land Cover Map 2007 (25m raster, GB) v1.2. NERC Environmental Information Data Centre. </w:t>
      </w:r>
      <w:r w:rsidRPr="000D65AC">
        <w:rPr>
          <w:rFonts w:ascii="Calibri" w:hAnsi="Calibri" w:cs="Calibri"/>
          <w:noProof/>
          <w:szCs w:val="24"/>
        </w:rPr>
        <w:lastRenderedPageBreak/>
        <w:t>Retrieved from https://doi.org/10.5285/a1f88807-4826-44bc-994d-a902da5119c2</w:t>
      </w:r>
    </w:p>
    <w:p w14:paraId="553A927E"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Mysterud, A., &amp; Østbye, E. (1999). Cover as a habitat element for temperate ungulates: effects on habitat selection and demography. </w:t>
      </w:r>
      <w:r w:rsidRPr="000D65AC">
        <w:rPr>
          <w:rFonts w:ascii="Calibri" w:hAnsi="Calibri" w:cs="Calibri"/>
          <w:i/>
          <w:iCs/>
          <w:noProof/>
          <w:szCs w:val="24"/>
        </w:rPr>
        <w:t>Wildlife Society Bulletin</w:t>
      </w:r>
      <w:r w:rsidRPr="000D65AC">
        <w:rPr>
          <w:rFonts w:ascii="Calibri" w:hAnsi="Calibri" w:cs="Calibri"/>
          <w:noProof/>
          <w:szCs w:val="24"/>
        </w:rPr>
        <w:t xml:space="preserve">, </w:t>
      </w:r>
      <w:r w:rsidRPr="000D65AC">
        <w:rPr>
          <w:rFonts w:ascii="Calibri" w:hAnsi="Calibri" w:cs="Calibri"/>
          <w:i/>
          <w:iCs/>
          <w:noProof/>
          <w:szCs w:val="24"/>
        </w:rPr>
        <w:t>27</w:t>
      </w:r>
      <w:r w:rsidRPr="000D65AC">
        <w:rPr>
          <w:rFonts w:ascii="Calibri" w:hAnsi="Calibri" w:cs="Calibri"/>
          <w:noProof/>
          <w:szCs w:val="24"/>
        </w:rPr>
        <w:t>, 385–394.</w:t>
      </w:r>
    </w:p>
    <w:p w14:paraId="4312C83C"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Newson, S. E., Johnston, A., Renwick, A. R., Baillie, S. R., &amp; Fuller, R. J. (2012). Modelling large-scale relationships between changes in woodland deer and bird populations. </w:t>
      </w:r>
      <w:r w:rsidRPr="000D65AC">
        <w:rPr>
          <w:rFonts w:ascii="Calibri" w:hAnsi="Calibri" w:cs="Calibri"/>
          <w:i/>
          <w:iCs/>
          <w:noProof/>
          <w:szCs w:val="24"/>
        </w:rPr>
        <w:t>Journal of Applied Ecology</w:t>
      </w:r>
      <w:r w:rsidRPr="000D65AC">
        <w:rPr>
          <w:rFonts w:ascii="Calibri" w:hAnsi="Calibri" w:cs="Calibri"/>
          <w:noProof/>
          <w:szCs w:val="24"/>
        </w:rPr>
        <w:t xml:space="preserve">, </w:t>
      </w:r>
      <w:r w:rsidRPr="000D65AC">
        <w:rPr>
          <w:rFonts w:ascii="Calibri" w:hAnsi="Calibri" w:cs="Calibri"/>
          <w:i/>
          <w:iCs/>
          <w:noProof/>
          <w:szCs w:val="24"/>
        </w:rPr>
        <w:t>49</w:t>
      </w:r>
      <w:r w:rsidRPr="000D65AC">
        <w:rPr>
          <w:rFonts w:ascii="Calibri" w:hAnsi="Calibri" w:cs="Calibri"/>
          <w:noProof/>
          <w:szCs w:val="24"/>
        </w:rPr>
        <w:t>(1), 278–286. doi:10.1111/j.1365-2664.2011.02077.x</w:t>
      </w:r>
    </w:p>
    <w:p w14:paraId="4298852E"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Noble, D. G., Aebischer, N. J., Newson, S. E., Ewald, J. A., &amp; Dadam, D. (2012). A Comparison of Trends and Geographical Variation in Mammal Abundance in the Breeding Bird Survey and the National Gamebag Census. </w:t>
      </w:r>
      <w:r w:rsidRPr="000D65AC">
        <w:rPr>
          <w:rFonts w:ascii="Calibri" w:hAnsi="Calibri" w:cs="Calibri"/>
          <w:i/>
          <w:iCs/>
          <w:noProof/>
          <w:szCs w:val="24"/>
        </w:rPr>
        <w:t>JNCC Report</w:t>
      </w:r>
      <w:r w:rsidRPr="000D65AC">
        <w:rPr>
          <w:rFonts w:ascii="Calibri" w:hAnsi="Calibri" w:cs="Calibri"/>
          <w:noProof/>
          <w:szCs w:val="24"/>
        </w:rPr>
        <w:t xml:space="preserve">, </w:t>
      </w:r>
      <w:r w:rsidRPr="000D65AC">
        <w:rPr>
          <w:rFonts w:ascii="Calibri" w:hAnsi="Calibri" w:cs="Calibri"/>
          <w:i/>
          <w:iCs/>
          <w:noProof/>
          <w:szCs w:val="24"/>
        </w:rPr>
        <w:t>468</w:t>
      </w:r>
      <w:r w:rsidRPr="000D65AC">
        <w:rPr>
          <w:rFonts w:ascii="Calibri" w:hAnsi="Calibri" w:cs="Calibri"/>
          <w:noProof/>
          <w:szCs w:val="24"/>
        </w:rPr>
        <w:t>(468), 2012.</w:t>
      </w:r>
    </w:p>
    <w:p w14:paraId="703A1850"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Pasher, J., Mitchell, S. W., King, D. J., Fahrig, L., Smith, A. C., &amp; Lindsay, K. E. (2013). Optimizing landscape selection for estimating relative effects of landscape variables on ecological responses. </w:t>
      </w:r>
      <w:r w:rsidRPr="000D65AC">
        <w:rPr>
          <w:rFonts w:ascii="Calibri" w:hAnsi="Calibri" w:cs="Calibri"/>
          <w:i/>
          <w:iCs/>
          <w:noProof/>
          <w:szCs w:val="24"/>
        </w:rPr>
        <w:t>Landscape Ecology</w:t>
      </w:r>
      <w:r w:rsidRPr="000D65AC">
        <w:rPr>
          <w:rFonts w:ascii="Calibri" w:hAnsi="Calibri" w:cs="Calibri"/>
          <w:noProof/>
          <w:szCs w:val="24"/>
        </w:rPr>
        <w:t xml:space="preserve">, </w:t>
      </w:r>
      <w:r w:rsidRPr="000D65AC">
        <w:rPr>
          <w:rFonts w:ascii="Calibri" w:hAnsi="Calibri" w:cs="Calibri"/>
          <w:i/>
          <w:iCs/>
          <w:noProof/>
          <w:szCs w:val="24"/>
        </w:rPr>
        <w:t>28</w:t>
      </w:r>
      <w:r w:rsidRPr="000D65AC">
        <w:rPr>
          <w:rFonts w:ascii="Calibri" w:hAnsi="Calibri" w:cs="Calibri"/>
          <w:noProof/>
          <w:szCs w:val="24"/>
        </w:rPr>
        <w:t>(3), 371–383. doi:10.1007/s10980-013-9852-6</w:t>
      </w:r>
    </w:p>
    <w:p w14:paraId="7FC3B6C3"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Perez-Barberıia, F. J., Hooper, R. J., &amp; Gordon, I. J. (2013). Long-term density-dependent changes in habitat selection in red deer (Cervus elaphus). </w:t>
      </w:r>
      <w:r w:rsidRPr="000D65AC">
        <w:rPr>
          <w:rFonts w:ascii="Calibri" w:hAnsi="Calibri" w:cs="Calibri"/>
          <w:i/>
          <w:iCs/>
          <w:noProof/>
          <w:szCs w:val="24"/>
        </w:rPr>
        <w:t>Oecologia</w:t>
      </w:r>
      <w:r w:rsidRPr="000D65AC">
        <w:rPr>
          <w:rFonts w:ascii="Calibri" w:hAnsi="Calibri" w:cs="Calibri"/>
          <w:noProof/>
          <w:szCs w:val="24"/>
        </w:rPr>
        <w:t xml:space="preserve">, </w:t>
      </w:r>
      <w:r w:rsidRPr="000D65AC">
        <w:rPr>
          <w:rFonts w:ascii="Calibri" w:hAnsi="Calibri" w:cs="Calibri"/>
          <w:i/>
          <w:iCs/>
          <w:noProof/>
          <w:szCs w:val="24"/>
        </w:rPr>
        <w:t>173</w:t>
      </w:r>
      <w:r w:rsidRPr="000D65AC">
        <w:rPr>
          <w:rFonts w:ascii="Calibri" w:hAnsi="Calibri" w:cs="Calibri"/>
          <w:noProof/>
          <w:szCs w:val="24"/>
        </w:rPr>
        <w:t>, 837–847. doi:10.1007/s00442-013-2686-8</w:t>
      </w:r>
    </w:p>
    <w:p w14:paraId="124740DE"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Peters, D. P. C., Bestelmeyer, B. T., &amp; Turner, M. G. (2007). Cross-scale interactions and changing pattern-process relationships: Consequences for system dynamics. </w:t>
      </w:r>
      <w:r w:rsidRPr="000D65AC">
        <w:rPr>
          <w:rFonts w:ascii="Calibri" w:hAnsi="Calibri" w:cs="Calibri"/>
          <w:i/>
          <w:iCs/>
          <w:noProof/>
          <w:szCs w:val="24"/>
        </w:rPr>
        <w:t>Ecosystems</w:t>
      </w:r>
      <w:r w:rsidRPr="000D65AC">
        <w:rPr>
          <w:rFonts w:ascii="Calibri" w:hAnsi="Calibri" w:cs="Calibri"/>
          <w:noProof/>
          <w:szCs w:val="24"/>
        </w:rPr>
        <w:t xml:space="preserve">, </w:t>
      </w:r>
      <w:r w:rsidRPr="000D65AC">
        <w:rPr>
          <w:rFonts w:ascii="Calibri" w:hAnsi="Calibri" w:cs="Calibri"/>
          <w:i/>
          <w:iCs/>
          <w:noProof/>
          <w:szCs w:val="24"/>
        </w:rPr>
        <w:t>10</w:t>
      </w:r>
      <w:r w:rsidRPr="000D65AC">
        <w:rPr>
          <w:rFonts w:ascii="Calibri" w:hAnsi="Calibri" w:cs="Calibri"/>
          <w:noProof/>
          <w:szCs w:val="24"/>
        </w:rPr>
        <w:t>(5), 790–796. doi:10.1007/s10021-007-9055-6</w:t>
      </w:r>
    </w:p>
    <w:p w14:paraId="52903906"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Putman, R., Langbein, J., Green, P., &amp; Watson, P. (2011). Identifying threshold densities for wild deer in the UK above which negative impacts may occur. </w:t>
      </w:r>
      <w:r w:rsidRPr="000D65AC">
        <w:rPr>
          <w:rFonts w:ascii="Calibri" w:hAnsi="Calibri" w:cs="Calibri"/>
          <w:i/>
          <w:iCs/>
          <w:noProof/>
          <w:szCs w:val="24"/>
        </w:rPr>
        <w:t>Mammal Review</w:t>
      </w:r>
      <w:r w:rsidRPr="000D65AC">
        <w:rPr>
          <w:rFonts w:ascii="Calibri" w:hAnsi="Calibri" w:cs="Calibri"/>
          <w:noProof/>
          <w:szCs w:val="24"/>
        </w:rPr>
        <w:t xml:space="preserve">, </w:t>
      </w:r>
      <w:r w:rsidRPr="000D65AC">
        <w:rPr>
          <w:rFonts w:ascii="Calibri" w:hAnsi="Calibri" w:cs="Calibri"/>
          <w:i/>
          <w:iCs/>
          <w:noProof/>
          <w:szCs w:val="24"/>
        </w:rPr>
        <w:t>41</w:t>
      </w:r>
      <w:r w:rsidRPr="000D65AC">
        <w:rPr>
          <w:rFonts w:ascii="Calibri" w:hAnsi="Calibri" w:cs="Calibri"/>
          <w:noProof/>
          <w:szCs w:val="24"/>
        </w:rPr>
        <w:t>(3), 175–196. doi:10.1111/j.1365-2907.2010.00173.x</w:t>
      </w:r>
    </w:p>
    <w:p w14:paraId="01E873C0"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Pyatt, D. G., &amp; Ray, D. (2001). </w:t>
      </w:r>
      <w:r w:rsidRPr="000D65AC">
        <w:rPr>
          <w:rFonts w:ascii="Calibri" w:hAnsi="Calibri" w:cs="Calibri"/>
          <w:i/>
          <w:iCs/>
          <w:noProof/>
          <w:szCs w:val="24"/>
        </w:rPr>
        <w:t>An ecological site classification for forestry in Great Britain: Forestry commission bulletin 124</w:t>
      </w:r>
      <w:r w:rsidRPr="000D65AC">
        <w:rPr>
          <w:rFonts w:ascii="Calibri" w:hAnsi="Calibri" w:cs="Calibri"/>
          <w:noProof/>
          <w:szCs w:val="24"/>
        </w:rPr>
        <w:t>. Forestry Commission, Edinburgh.</w:t>
      </w:r>
    </w:p>
    <w:p w14:paraId="4DAD34B0"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lastRenderedPageBreak/>
        <w:t>Rackham, O. (2008). Ancient woodlands: modern threats, 571–586.</w:t>
      </w:r>
    </w:p>
    <w:p w14:paraId="08CB16AA"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Ramirez, J. I., Jansen, P. A., &amp; Poorter, L. (2018). Effects of wild ungulates on the regeneration , structure and functioning of temperate forests : A semi-quantitative review. </w:t>
      </w:r>
      <w:r w:rsidRPr="000D65AC">
        <w:rPr>
          <w:rFonts w:ascii="Calibri" w:hAnsi="Calibri" w:cs="Calibri"/>
          <w:i/>
          <w:iCs/>
          <w:noProof/>
          <w:szCs w:val="24"/>
        </w:rPr>
        <w:t>Forest Ecology and Management</w:t>
      </w:r>
      <w:r w:rsidRPr="000D65AC">
        <w:rPr>
          <w:rFonts w:ascii="Calibri" w:hAnsi="Calibri" w:cs="Calibri"/>
          <w:noProof/>
          <w:szCs w:val="24"/>
        </w:rPr>
        <w:t xml:space="preserve">, </w:t>
      </w:r>
      <w:r w:rsidRPr="000D65AC">
        <w:rPr>
          <w:rFonts w:ascii="Calibri" w:hAnsi="Calibri" w:cs="Calibri"/>
          <w:i/>
          <w:iCs/>
          <w:noProof/>
          <w:szCs w:val="24"/>
        </w:rPr>
        <w:t>424</w:t>
      </w:r>
      <w:r w:rsidRPr="000D65AC">
        <w:rPr>
          <w:rFonts w:ascii="Calibri" w:hAnsi="Calibri" w:cs="Calibri"/>
          <w:noProof/>
          <w:szCs w:val="24"/>
        </w:rPr>
        <w:t>, 406–419. doi:10.1016/j.foreco.2018.05.016</w:t>
      </w:r>
    </w:p>
    <w:p w14:paraId="72313040"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Reimoser, F. (2003). Steering the impacts of ungulates on temperate forests. </w:t>
      </w:r>
      <w:r w:rsidRPr="000D65AC">
        <w:rPr>
          <w:rFonts w:ascii="Calibri" w:hAnsi="Calibri" w:cs="Calibri"/>
          <w:i/>
          <w:iCs/>
          <w:noProof/>
          <w:szCs w:val="24"/>
        </w:rPr>
        <w:t>Journal of Nature Conservation</w:t>
      </w:r>
      <w:r w:rsidRPr="000D65AC">
        <w:rPr>
          <w:rFonts w:ascii="Calibri" w:hAnsi="Calibri" w:cs="Calibri"/>
          <w:noProof/>
          <w:szCs w:val="24"/>
        </w:rPr>
        <w:t xml:space="preserve">, </w:t>
      </w:r>
      <w:r w:rsidRPr="000D65AC">
        <w:rPr>
          <w:rFonts w:ascii="Calibri" w:hAnsi="Calibri" w:cs="Calibri"/>
          <w:i/>
          <w:iCs/>
          <w:noProof/>
          <w:szCs w:val="24"/>
        </w:rPr>
        <w:t>252</w:t>
      </w:r>
      <w:r w:rsidRPr="000D65AC">
        <w:rPr>
          <w:rFonts w:ascii="Calibri" w:hAnsi="Calibri" w:cs="Calibri"/>
          <w:noProof/>
          <w:szCs w:val="24"/>
        </w:rPr>
        <w:t>, 243–252.</w:t>
      </w:r>
    </w:p>
    <w:p w14:paraId="641505CD"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Rodewald, A. D., &amp; Arcese, P. (2016). Direct and Indirect Interactions between Landscape Structure and Invasive or Overabundant Species. </w:t>
      </w:r>
      <w:r w:rsidRPr="000D65AC">
        <w:rPr>
          <w:rFonts w:ascii="Calibri" w:hAnsi="Calibri" w:cs="Calibri"/>
          <w:i/>
          <w:iCs/>
          <w:noProof/>
          <w:szCs w:val="24"/>
        </w:rPr>
        <w:t>Current Landscape Ecology Reports</w:t>
      </w:r>
      <w:r w:rsidRPr="000D65AC">
        <w:rPr>
          <w:rFonts w:ascii="Calibri" w:hAnsi="Calibri" w:cs="Calibri"/>
          <w:noProof/>
          <w:szCs w:val="24"/>
        </w:rPr>
        <w:t xml:space="preserve">, </w:t>
      </w:r>
      <w:r w:rsidRPr="000D65AC">
        <w:rPr>
          <w:rFonts w:ascii="Calibri" w:hAnsi="Calibri" w:cs="Calibri"/>
          <w:i/>
          <w:iCs/>
          <w:noProof/>
          <w:szCs w:val="24"/>
        </w:rPr>
        <w:t>1</w:t>
      </w:r>
      <w:r w:rsidRPr="000D65AC">
        <w:rPr>
          <w:rFonts w:ascii="Calibri" w:hAnsi="Calibri" w:cs="Calibri"/>
          <w:noProof/>
          <w:szCs w:val="24"/>
        </w:rPr>
        <w:t>(1), 30–39. doi:10.1007/s40823-016-0004-y</w:t>
      </w:r>
    </w:p>
    <w:p w14:paraId="158C81BC"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Royo, A. A., Kramer, D. W., Miller, K. V., Nibbelink, N. P., &amp; Stout, S. L. (2017). Spatio-temporal variation in foodscapes modifies deer browsing impact on vegetation. </w:t>
      </w:r>
      <w:r w:rsidRPr="000D65AC">
        <w:rPr>
          <w:rFonts w:ascii="Calibri" w:hAnsi="Calibri" w:cs="Calibri"/>
          <w:i/>
          <w:iCs/>
          <w:noProof/>
          <w:szCs w:val="24"/>
        </w:rPr>
        <w:t>Landscape Ecology</w:t>
      </w:r>
      <w:r w:rsidRPr="000D65AC">
        <w:rPr>
          <w:rFonts w:ascii="Calibri" w:hAnsi="Calibri" w:cs="Calibri"/>
          <w:noProof/>
          <w:szCs w:val="24"/>
        </w:rPr>
        <w:t xml:space="preserve">, </w:t>
      </w:r>
      <w:r w:rsidRPr="000D65AC">
        <w:rPr>
          <w:rFonts w:ascii="Calibri" w:hAnsi="Calibri" w:cs="Calibri"/>
          <w:i/>
          <w:iCs/>
          <w:noProof/>
          <w:szCs w:val="24"/>
        </w:rPr>
        <w:t>32</w:t>
      </w:r>
      <w:r w:rsidRPr="000D65AC">
        <w:rPr>
          <w:rFonts w:ascii="Calibri" w:hAnsi="Calibri" w:cs="Calibri"/>
          <w:noProof/>
          <w:szCs w:val="24"/>
        </w:rPr>
        <w:t>(12), 2281–2295. doi:10.1007/s10980-017-0568-x</w:t>
      </w:r>
    </w:p>
    <w:p w14:paraId="4A59D13A"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Russell, M. B., Woodall, C. W., Potter, K. M., Walters, B. F., Domke, G. M., &amp; Oswalt, C. M. (2017). Interactions between white-tailed deer density and the composition of forest understories in the northern United States. </w:t>
      </w:r>
      <w:r w:rsidRPr="000D65AC">
        <w:rPr>
          <w:rFonts w:ascii="Calibri" w:hAnsi="Calibri" w:cs="Calibri"/>
          <w:i/>
          <w:iCs/>
          <w:noProof/>
          <w:szCs w:val="24"/>
        </w:rPr>
        <w:t>Forest Ecology and Management</w:t>
      </w:r>
      <w:r w:rsidRPr="000D65AC">
        <w:rPr>
          <w:rFonts w:ascii="Calibri" w:hAnsi="Calibri" w:cs="Calibri"/>
          <w:noProof/>
          <w:szCs w:val="24"/>
        </w:rPr>
        <w:t xml:space="preserve">, </w:t>
      </w:r>
      <w:r w:rsidRPr="000D65AC">
        <w:rPr>
          <w:rFonts w:ascii="Calibri" w:hAnsi="Calibri" w:cs="Calibri"/>
          <w:i/>
          <w:iCs/>
          <w:noProof/>
          <w:szCs w:val="24"/>
        </w:rPr>
        <w:t>384</w:t>
      </w:r>
      <w:r w:rsidRPr="000D65AC">
        <w:rPr>
          <w:rFonts w:ascii="Calibri" w:hAnsi="Calibri" w:cs="Calibri"/>
          <w:noProof/>
          <w:szCs w:val="24"/>
        </w:rPr>
        <w:t>, 26–33. doi:10.1016/j.foreco.2016.10.038</w:t>
      </w:r>
    </w:p>
    <w:p w14:paraId="72BC864B"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Scottish Government. (2017). </w:t>
      </w:r>
      <w:r w:rsidRPr="000D65AC">
        <w:rPr>
          <w:rFonts w:ascii="Calibri" w:hAnsi="Calibri" w:cs="Calibri"/>
          <w:i/>
          <w:iCs/>
          <w:noProof/>
          <w:szCs w:val="24"/>
        </w:rPr>
        <w:t>Draft climate change plan: the draft third report on policies and proposals 2017-2032</w:t>
      </w:r>
      <w:r w:rsidRPr="000D65AC">
        <w:rPr>
          <w:rFonts w:ascii="Calibri" w:hAnsi="Calibri" w:cs="Calibri"/>
          <w:noProof/>
          <w:szCs w:val="24"/>
        </w:rPr>
        <w:t>. Edinburgh.</w:t>
      </w:r>
    </w:p>
    <w:p w14:paraId="4578DE7C"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Senft, R. L., Coughenour, M. B., Bailey, D. W., Rittenhouse, L. R., Sala, O. E., &amp; Swift, D. M. (1987). Large Herbivore Foraging and Ecological Hierarchies. </w:t>
      </w:r>
      <w:r w:rsidRPr="000D65AC">
        <w:rPr>
          <w:rFonts w:ascii="Calibri" w:hAnsi="Calibri" w:cs="Calibri"/>
          <w:i/>
          <w:iCs/>
          <w:noProof/>
          <w:szCs w:val="24"/>
        </w:rPr>
        <w:t>BioScience</w:t>
      </w:r>
      <w:r w:rsidRPr="000D65AC">
        <w:rPr>
          <w:rFonts w:ascii="Calibri" w:hAnsi="Calibri" w:cs="Calibri"/>
          <w:noProof/>
          <w:szCs w:val="24"/>
        </w:rPr>
        <w:t>. doi:10.2307/1310545</w:t>
      </w:r>
    </w:p>
    <w:p w14:paraId="48FC22F9"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SNH. (2016). </w:t>
      </w:r>
      <w:r w:rsidRPr="000D65AC">
        <w:rPr>
          <w:rFonts w:ascii="Calibri" w:hAnsi="Calibri" w:cs="Calibri"/>
          <w:i/>
          <w:iCs/>
          <w:noProof/>
          <w:szCs w:val="24"/>
        </w:rPr>
        <w:t>Deer management in Scotland: report to the Scottish Government from Scottish Natural Heritage</w:t>
      </w:r>
      <w:r w:rsidRPr="000D65AC">
        <w:rPr>
          <w:rFonts w:ascii="Calibri" w:hAnsi="Calibri" w:cs="Calibri"/>
          <w:noProof/>
          <w:szCs w:val="24"/>
        </w:rPr>
        <w:t>. Battleby.</w:t>
      </w:r>
    </w:p>
    <w:p w14:paraId="0BD681D4"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Soranno, P. A., Cheruvelil, K. S., Wagner, T., Webster, K. E., &amp; Bremigan, M. T. (2015). Effects of land </w:t>
      </w:r>
      <w:r w:rsidRPr="000D65AC">
        <w:rPr>
          <w:rFonts w:ascii="Calibri" w:hAnsi="Calibri" w:cs="Calibri"/>
          <w:noProof/>
          <w:szCs w:val="24"/>
        </w:rPr>
        <w:lastRenderedPageBreak/>
        <w:t xml:space="preserve">use on lake nutrients: The importance of scale, hydrologic connectivity, and region. </w:t>
      </w:r>
      <w:r w:rsidRPr="000D65AC">
        <w:rPr>
          <w:rFonts w:ascii="Calibri" w:hAnsi="Calibri" w:cs="Calibri"/>
          <w:i/>
          <w:iCs/>
          <w:noProof/>
          <w:szCs w:val="24"/>
        </w:rPr>
        <w:t>PLoS ONE</w:t>
      </w:r>
      <w:r w:rsidRPr="000D65AC">
        <w:rPr>
          <w:rFonts w:ascii="Calibri" w:hAnsi="Calibri" w:cs="Calibri"/>
          <w:noProof/>
          <w:szCs w:val="24"/>
        </w:rPr>
        <w:t xml:space="preserve">, </w:t>
      </w:r>
      <w:r w:rsidRPr="000D65AC">
        <w:rPr>
          <w:rFonts w:ascii="Calibri" w:hAnsi="Calibri" w:cs="Calibri"/>
          <w:i/>
          <w:iCs/>
          <w:noProof/>
          <w:szCs w:val="24"/>
        </w:rPr>
        <w:t>10</w:t>
      </w:r>
      <w:r w:rsidRPr="000D65AC">
        <w:rPr>
          <w:rFonts w:ascii="Calibri" w:hAnsi="Calibri" w:cs="Calibri"/>
          <w:noProof/>
          <w:szCs w:val="24"/>
        </w:rPr>
        <w:t>(8), 1–22. doi:10.1371/journal.pone.0135454</w:t>
      </w:r>
    </w:p>
    <w:p w14:paraId="3F3F4D8D"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Spake, R., Bellamy, C., Graham, L., Watts, K., Wilson, T., Norton, L., … Eigenbrod, F. (2019). An analytical framework for spatially targeted management of natural capital. </w:t>
      </w:r>
      <w:r w:rsidRPr="000D65AC">
        <w:rPr>
          <w:rFonts w:ascii="Calibri" w:hAnsi="Calibri" w:cs="Calibri"/>
          <w:i/>
          <w:iCs/>
          <w:noProof/>
          <w:szCs w:val="24"/>
        </w:rPr>
        <w:t>Nature Sustainability</w:t>
      </w:r>
      <w:r w:rsidRPr="000D65AC">
        <w:rPr>
          <w:rFonts w:ascii="Calibri" w:hAnsi="Calibri" w:cs="Calibri"/>
          <w:noProof/>
          <w:szCs w:val="24"/>
        </w:rPr>
        <w:t>, 1–9.</w:t>
      </w:r>
    </w:p>
    <w:p w14:paraId="7A8EE227"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Spake, R., van der Linde, S., Newton, A. C., Suz, L. M., Bidartondo, M. I., &amp; Doncaster, C. P. (2016). Similar biodiversity of ectomycorrhizal fungi in set-aside plantations and ancient old-growth broadleaved forests. </w:t>
      </w:r>
      <w:r w:rsidRPr="000D65AC">
        <w:rPr>
          <w:rFonts w:ascii="Calibri" w:hAnsi="Calibri" w:cs="Calibri"/>
          <w:i/>
          <w:iCs/>
          <w:noProof/>
          <w:szCs w:val="24"/>
        </w:rPr>
        <w:t>Biological Conservation</w:t>
      </w:r>
      <w:r w:rsidRPr="000D65AC">
        <w:rPr>
          <w:rFonts w:ascii="Calibri" w:hAnsi="Calibri" w:cs="Calibri"/>
          <w:noProof/>
          <w:szCs w:val="24"/>
        </w:rPr>
        <w:t xml:space="preserve">, </w:t>
      </w:r>
      <w:r w:rsidRPr="000D65AC">
        <w:rPr>
          <w:rFonts w:ascii="Calibri" w:hAnsi="Calibri" w:cs="Calibri"/>
          <w:i/>
          <w:iCs/>
          <w:noProof/>
          <w:szCs w:val="24"/>
        </w:rPr>
        <w:t>194</w:t>
      </w:r>
      <w:r w:rsidRPr="000D65AC">
        <w:rPr>
          <w:rFonts w:ascii="Calibri" w:hAnsi="Calibri" w:cs="Calibri"/>
          <w:noProof/>
          <w:szCs w:val="24"/>
        </w:rPr>
        <w:t>, 71–79.</w:t>
      </w:r>
    </w:p>
    <w:p w14:paraId="5686DA64"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Staines, B. W., Balharry, R., &amp; Welch, D. (1995). The impact of red deer and their management on the natural heritage in the uplands. In M. B. Thompson, D. B. A. and Usher (Ed.), </w:t>
      </w:r>
      <w:r w:rsidRPr="000D65AC">
        <w:rPr>
          <w:rFonts w:ascii="Calibri" w:hAnsi="Calibri" w:cs="Calibri"/>
          <w:i/>
          <w:iCs/>
          <w:noProof/>
          <w:szCs w:val="24"/>
        </w:rPr>
        <w:t>Heaths and moorland: Cultural landscapes</w:t>
      </w:r>
      <w:r w:rsidRPr="000D65AC">
        <w:rPr>
          <w:rFonts w:ascii="Calibri" w:hAnsi="Calibri" w:cs="Calibri"/>
          <w:noProof/>
          <w:szCs w:val="24"/>
        </w:rPr>
        <w:t>. Edinburgh: SNH/HMSO.</w:t>
      </w:r>
    </w:p>
    <w:p w14:paraId="0E7521A5"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Staines, Brian W. (1974). A review of factors affecting deer dispersion and their relevance to management. </w:t>
      </w:r>
      <w:r w:rsidRPr="000D65AC">
        <w:rPr>
          <w:rFonts w:ascii="Calibri" w:hAnsi="Calibri" w:cs="Calibri"/>
          <w:i/>
          <w:iCs/>
          <w:noProof/>
          <w:szCs w:val="24"/>
        </w:rPr>
        <w:t>Mammal Review</w:t>
      </w:r>
      <w:r w:rsidRPr="000D65AC">
        <w:rPr>
          <w:rFonts w:ascii="Calibri" w:hAnsi="Calibri" w:cs="Calibri"/>
          <w:noProof/>
          <w:szCs w:val="24"/>
        </w:rPr>
        <w:t xml:space="preserve">, </w:t>
      </w:r>
      <w:r w:rsidRPr="000D65AC">
        <w:rPr>
          <w:rFonts w:ascii="Calibri" w:hAnsi="Calibri" w:cs="Calibri"/>
          <w:i/>
          <w:iCs/>
          <w:noProof/>
          <w:szCs w:val="24"/>
        </w:rPr>
        <w:t>4</w:t>
      </w:r>
      <w:r w:rsidRPr="000D65AC">
        <w:rPr>
          <w:rFonts w:ascii="Calibri" w:hAnsi="Calibri" w:cs="Calibri"/>
          <w:noProof/>
          <w:szCs w:val="24"/>
        </w:rPr>
        <w:t>, 79–91.</w:t>
      </w:r>
    </w:p>
    <w:p w14:paraId="3E987F53"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Tanentzap, A. J., Burrows, L. E., Lee, W. G., Nugent, G., Maxwell, J. M., &amp; Coomes, D. A. (2009). Landscape-level vegetation recovery from herbivory: Progress after four decades of invasive red deer control. </w:t>
      </w:r>
      <w:r w:rsidRPr="000D65AC">
        <w:rPr>
          <w:rFonts w:ascii="Calibri" w:hAnsi="Calibri" w:cs="Calibri"/>
          <w:i/>
          <w:iCs/>
          <w:noProof/>
          <w:szCs w:val="24"/>
        </w:rPr>
        <w:t>Journal of Applied Ecology</w:t>
      </w:r>
      <w:r w:rsidRPr="000D65AC">
        <w:rPr>
          <w:rFonts w:ascii="Calibri" w:hAnsi="Calibri" w:cs="Calibri"/>
          <w:noProof/>
          <w:szCs w:val="24"/>
        </w:rPr>
        <w:t xml:space="preserve">, </w:t>
      </w:r>
      <w:r w:rsidRPr="000D65AC">
        <w:rPr>
          <w:rFonts w:ascii="Calibri" w:hAnsi="Calibri" w:cs="Calibri"/>
          <w:i/>
          <w:iCs/>
          <w:noProof/>
          <w:szCs w:val="24"/>
        </w:rPr>
        <w:t>46</w:t>
      </w:r>
      <w:r w:rsidRPr="000D65AC">
        <w:rPr>
          <w:rFonts w:ascii="Calibri" w:hAnsi="Calibri" w:cs="Calibri"/>
          <w:noProof/>
          <w:szCs w:val="24"/>
        </w:rPr>
        <w:t>(5), 1064–1072. doi:10.1111/j.1365-2664.2009.01683.x</w:t>
      </w:r>
    </w:p>
    <w:p w14:paraId="7B595875"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Tremblay, J. P., Huot, J., &amp; Potvin, F. (2006). Divergent nonlinear responses of the boreal forest field layer along an experimental gradient of deer densities. </w:t>
      </w:r>
      <w:r w:rsidRPr="000D65AC">
        <w:rPr>
          <w:rFonts w:ascii="Calibri" w:hAnsi="Calibri" w:cs="Calibri"/>
          <w:i/>
          <w:iCs/>
          <w:noProof/>
          <w:szCs w:val="24"/>
        </w:rPr>
        <w:t>Oecologia</w:t>
      </w:r>
      <w:r w:rsidRPr="000D65AC">
        <w:rPr>
          <w:rFonts w:ascii="Calibri" w:hAnsi="Calibri" w:cs="Calibri"/>
          <w:noProof/>
          <w:szCs w:val="24"/>
        </w:rPr>
        <w:t xml:space="preserve">, </w:t>
      </w:r>
      <w:r w:rsidRPr="000D65AC">
        <w:rPr>
          <w:rFonts w:ascii="Calibri" w:hAnsi="Calibri" w:cs="Calibri"/>
          <w:i/>
          <w:iCs/>
          <w:noProof/>
          <w:szCs w:val="24"/>
        </w:rPr>
        <w:t>150</w:t>
      </w:r>
      <w:r w:rsidRPr="000D65AC">
        <w:rPr>
          <w:rFonts w:ascii="Calibri" w:hAnsi="Calibri" w:cs="Calibri"/>
          <w:noProof/>
          <w:szCs w:val="24"/>
        </w:rPr>
        <w:t>(1), 78–88. doi:10.1007/s00442-006-0504-2</w:t>
      </w:r>
    </w:p>
    <w:p w14:paraId="2DA38162"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VanDerWal, J., Falconi, L., Stephanie Januchowski, L. S., &amp; Storlie, C. (2019). SDMTools: Species Distribution Modelling Tools: Tools for processing data associated with species distribution modelling exercises. Retrieved from https://cran.r-project.org/web/packages/SDMTools/index.html</w:t>
      </w:r>
    </w:p>
    <w:p w14:paraId="74A75042"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lastRenderedPageBreak/>
        <w:t xml:space="preserve">Ward, A. I. (2005). Expanding ranges of wild and feral deer in Great Britain, </w:t>
      </w:r>
      <w:r w:rsidRPr="000D65AC">
        <w:rPr>
          <w:rFonts w:ascii="Calibri" w:hAnsi="Calibri" w:cs="Calibri"/>
          <w:i/>
          <w:iCs/>
          <w:noProof/>
          <w:szCs w:val="24"/>
        </w:rPr>
        <w:t>35</w:t>
      </w:r>
      <w:r w:rsidRPr="000D65AC">
        <w:rPr>
          <w:rFonts w:ascii="Calibri" w:hAnsi="Calibri" w:cs="Calibri"/>
          <w:noProof/>
          <w:szCs w:val="24"/>
        </w:rPr>
        <w:t>(2), 165–173.</w:t>
      </w:r>
    </w:p>
    <w:p w14:paraId="51BEF501"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Watts, K., Fuentes-Montemayor, E., Macgregor, N. A., Peredo-Alvarez, V., Ferryman, M., Bellamy, C., … Park, K. J. (2016). Using historical woodland creation to construct a long-term, large-scale natural experiment: The WrEN project. </w:t>
      </w:r>
      <w:r w:rsidRPr="000D65AC">
        <w:rPr>
          <w:rFonts w:ascii="Calibri" w:hAnsi="Calibri" w:cs="Calibri"/>
          <w:i/>
          <w:iCs/>
          <w:noProof/>
          <w:szCs w:val="24"/>
        </w:rPr>
        <w:t>Ecology and Evolution</w:t>
      </w:r>
      <w:r w:rsidRPr="000D65AC">
        <w:rPr>
          <w:rFonts w:ascii="Calibri" w:hAnsi="Calibri" w:cs="Calibri"/>
          <w:noProof/>
          <w:szCs w:val="24"/>
        </w:rPr>
        <w:t xml:space="preserve">, </w:t>
      </w:r>
      <w:r w:rsidRPr="000D65AC">
        <w:rPr>
          <w:rFonts w:ascii="Calibri" w:hAnsi="Calibri" w:cs="Calibri"/>
          <w:i/>
          <w:iCs/>
          <w:noProof/>
          <w:szCs w:val="24"/>
        </w:rPr>
        <w:t>6</w:t>
      </w:r>
      <w:r w:rsidRPr="000D65AC">
        <w:rPr>
          <w:rFonts w:ascii="Calibri" w:hAnsi="Calibri" w:cs="Calibri"/>
          <w:noProof/>
          <w:szCs w:val="24"/>
        </w:rPr>
        <w:t>(9), 3012–3025. doi:10.1002/ece3.2066</w:t>
      </w:r>
    </w:p>
    <w:p w14:paraId="25C9F91D"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White, K. S., Testa, J., &amp; Berger, W. (2001). Behavioral and ecologic effects of differential predation pressure on moose in Alaska. </w:t>
      </w:r>
      <w:r w:rsidRPr="000D65AC">
        <w:rPr>
          <w:rFonts w:ascii="Calibri" w:hAnsi="Calibri" w:cs="Calibri"/>
          <w:i/>
          <w:iCs/>
          <w:noProof/>
          <w:szCs w:val="24"/>
        </w:rPr>
        <w:t>Journal of Mammalogy</w:t>
      </w:r>
      <w:r w:rsidRPr="000D65AC">
        <w:rPr>
          <w:rFonts w:ascii="Calibri" w:hAnsi="Calibri" w:cs="Calibri"/>
          <w:noProof/>
          <w:szCs w:val="24"/>
        </w:rPr>
        <w:t xml:space="preserve">, </w:t>
      </w:r>
      <w:r w:rsidRPr="000D65AC">
        <w:rPr>
          <w:rFonts w:ascii="Calibri" w:hAnsi="Calibri" w:cs="Calibri"/>
          <w:i/>
          <w:iCs/>
          <w:noProof/>
          <w:szCs w:val="24"/>
        </w:rPr>
        <w:t>82</w:t>
      </w:r>
      <w:r w:rsidRPr="000D65AC">
        <w:rPr>
          <w:rFonts w:ascii="Calibri" w:hAnsi="Calibri" w:cs="Calibri"/>
          <w:noProof/>
          <w:szCs w:val="24"/>
        </w:rPr>
        <w:t>, 422–429.</w:t>
      </w:r>
    </w:p>
    <w:p w14:paraId="50668787"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Wickham, H. (2016). </w:t>
      </w:r>
      <w:r w:rsidRPr="000D65AC">
        <w:rPr>
          <w:rFonts w:ascii="Calibri" w:hAnsi="Calibri" w:cs="Calibri"/>
          <w:i/>
          <w:iCs/>
          <w:noProof/>
          <w:szCs w:val="24"/>
        </w:rPr>
        <w:t>ggplot2: Elegant Graphics for Data Analysis</w:t>
      </w:r>
      <w:r w:rsidRPr="000D65AC">
        <w:rPr>
          <w:rFonts w:ascii="Calibri" w:hAnsi="Calibri" w:cs="Calibri"/>
          <w:noProof/>
          <w:szCs w:val="24"/>
        </w:rPr>
        <w:t>. New York: Springer-Verlag.</w:t>
      </w:r>
    </w:p>
    <w:p w14:paraId="086A3684"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szCs w:val="24"/>
        </w:rPr>
      </w:pPr>
      <w:r w:rsidRPr="000D65AC">
        <w:rPr>
          <w:rFonts w:ascii="Calibri" w:hAnsi="Calibri" w:cs="Calibri"/>
          <w:noProof/>
          <w:szCs w:val="24"/>
        </w:rPr>
        <w:t xml:space="preserve">Wisdom, M. J., Vavra, M., Boyd, J. M., Hemstrom, M. A., Ager, A. A., &amp; Johnson, B. K. (2006). Understanding Ungulate Herbivory-Episodic Disturbance Effects on Vegetation Dynamics: Knowledge Gaps and Management Needs. </w:t>
      </w:r>
      <w:r w:rsidRPr="000D65AC">
        <w:rPr>
          <w:rFonts w:ascii="Calibri" w:hAnsi="Calibri" w:cs="Calibri"/>
          <w:i/>
          <w:iCs/>
          <w:noProof/>
          <w:szCs w:val="24"/>
        </w:rPr>
        <w:t>Wildlife Society Bulletin</w:t>
      </w:r>
      <w:r w:rsidRPr="000D65AC">
        <w:rPr>
          <w:rFonts w:ascii="Calibri" w:hAnsi="Calibri" w:cs="Calibri"/>
          <w:noProof/>
          <w:szCs w:val="24"/>
        </w:rPr>
        <w:t xml:space="preserve">, </w:t>
      </w:r>
      <w:r w:rsidRPr="000D65AC">
        <w:rPr>
          <w:rFonts w:ascii="Calibri" w:hAnsi="Calibri" w:cs="Calibri"/>
          <w:i/>
          <w:iCs/>
          <w:noProof/>
          <w:szCs w:val="24"/>
        </w:rPr>
        <w:t>34</w:t>
      </w:r>
      <w:r w:rsidRPr="000D65AC">
        <w:rPr>
          <w:rFonts w:ascii="Calibri" w:hAnsi="Calibri" w:cs="Calibri"/>
          <w:noProof/>
          <w:szCs w:val="24"/>
        </w:rPr>
        <w:t>(2), 283–292. doi:10.2193/0091-7648(2006)34[283:uuhdeo]2.0.co;2</w:t>
      </w:r>
    </w:p>
    <w:p w14:paraId="6DBA0BB7" w14:textId="77777777" w:rsidR="000D65AC" w:rsidRPr="000D65AC" w:rsidRDefault="000D65AC" w:rsidP="000D65AC">
      <w:pPr>
        <w:widowControl w:val="0"/>
        <w:autoSpaceDE w:val="0"/>
        <w:autoSpaceDN w:val="0"/>
        <w:adjustRightInd w:val="0"/>
        <w:spacing w:line="480" w:lineRule="auto"/>
        <w:ind w:left="480" w:hanging="480"/>
        <w:rPr>
          <w:rFonts w:ascii="Calibri" w:hAnsi="Calibri" w:cs="Calibri"/>
          <w:noProof/>
        </w:rPr>
      </w:pPr>
      <w:r w:rsidRPr="000D65AC">
        <w:rPr>
          <w:rFonts w:ascii="Calibri" w:hAnsi="Calibri" w:cs="Calibri"/>
          <w:noProof/>
          <w:szCs w:val="24"/>
        </w:rPr>
        <w:t xml:space="preserve">Zuur, A. F., Ieno, E. N., &amp; Elphick, C. S. (2010). A protocol for data exploration to avoid common statistical problems. </w:t>
      </w:r>
      <w:r w:rsidRPr="000D65AC">
        <w:rPr>
          <w:rFonts w:ascii="Calibri" w:hAnsi="Calibri" w:cs="Calibri"/>
          <w:i/>
          <w:iCs/>
          <w:noProof/>
          <w:szCs w:val="24"/>
        </w:rPr>
        <w:t>Methods in Ecology and Evolution</w:t>
      </w:r>
      <w:r w:rsidRPr="000D65AC">
        <w:rPr>
          <w:rFonts w:ascii="Calibri" w:hAnsi="Calibri" w:cs="Calibri"/>
          <w:noProof/>
          <w:szCs w:val="24"/>
        </w:rPr>
        <w:t xml:space="preserve">, </w:t>
      </w:r>
      <w:r w:rsidRPr="000D65AC">
        <w:rPr>
          <w:rFonts w:ascii="Calibri" w:hAnsi="Calibri" w:cs="Calibri"/>
          <w:i/>
          <w:iCs/>
          <w:noProof/>
          <w:szCs w:val="24"/>
        </w:rPr>
        <w:t>1</w:t>
      </w:r>
      <w:r w:rsidRPr="000D65AC">
        <w:rPr>
          <w:rFonts w:ascii="Calibri" w:hAnsi="Calibri" w:cs="Calibri"/>
          <w:noProof/>
          <w:szCs w:val="24"/>
        </w:rPr>
        <w:t>(1), 3–14. doi:10.1111/j.2041-210X.2009.00001.x</w:t>
      </w:r>
    </w:p>
    <w:p w14:paraId="60A7AE8E" w14:textId="77777777" w:rsidR="00C83AD9" w:rsidRPr="00D20E5C" w:rsidRDefault="00C83AD9" w:rsidP="00C83AD9">
      <w:pPr>
        <w:widowControl w:val="0"/>
        <w:autoSpaceDE w:val="0"/>
        <w:autoSpaceDN w:val="0"/>
        <w:adjustRightInd w:val="0"/>
        <w:spacing w:line="480" w:lineRule="auto"/>
        <w:ind w:left="480" w:hanging="480"/>
      </w:pPr>
      <w:r w:rsidRPr="00B865A6">
        <w:fldChar w:fldCharType="end"/>
      </w:r>
    </w:p>
    <w:p w14:paraId="1BE0715A" w14:textId="77777777" w:rsidR="004B105F" w:rsidRDefault="004B105F"/>
    <w:sectPr w:rsidR="004B105F" w:rsidSect="004B105F">
      <w:type w:val="continuous"/>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D2945D" w16cid:durableId="21D43E1E"/>
  <w16cid:commentId w16cid:paraId="3B596752" w16cid:durableId="21D43E64"/>
  <w16cid:commentId w16cid:paraId="5F7C0405" w16cid:durableId="21E3D07E"/>
  <w16cid:commentId w16cid:paraId="135B686D" w16cid:durableId="21D43E6B"/>
  <w16cid:commentId w16cid:paraId="11BFB465" w16cid:durableId="21D43E79"/>
  <w16cid:commentId w16cid:paraId="03BEE71D" w16cid:durableId="21F4D59C"/>
  <w16cid:commentId w16cid:paraId="0AC9015C" w16cid:durableId="21F4D3C4"/>
  <w16cid:commentId w16cid:paraId="7287F51D" w16cid:durableId="21F4D3FD"/>
  <w16cid:commentId w16cid:paraId="39809EA5" w16cid:durableId="21D443FB"/>
  <w16cid:commentId w16cid:paraId="7E24B186" w16cid:durableId="21F4D977"/>
  <w16cid:commentId w16cid:paraId="6A0A186E" w16cid:durableId="21F4DAD9"/>
  <w16cid:commentId w16cid:paraId="1C2519D1" w16cid:durableId="21F4E085"/>
  <w16cid:commentId w16cid:paraId="3A3FA96F" w16cid:durableId="21D43EBB"/>
  <w16cid:commentId w16cid:paraId="4C271B85" w16cid:durableId="21D43F05"/>
  <w16cid:commentId w16cid:paraId="168DE2C0" w16cid:durableId="21F4EDE4"/>
  <w16cid:commentId w16cid:paraId="5B2F0EA1" w16cid:durableId="21D43F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E8C24" w14:textId="77777777" w:rsidR="00857017" w:rsidRDefault="00857017">
      <w:pPr>
        <w:spacing w:after="0" w:line="240" w:lineRule="auto"/>
      </w:pPr>
      <w:r>
        <w:separator/>
      </w:r>
    </w:p>
  </w:endnote>
  <w:endnote w:type="continuationSeparator" w:id="0">
    <w:p w14:paraId="4AD023E9" w14:textId="77777777" w:rsidR="00857017" w:rsidRDefault="008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ndoSans-Light">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619463"/>
      <w:docPartObj>
        <w:docPartGallery w:val="Page Numbers (Bottom of Page)"/>
        <w:docPartUnique/>
      </w:docPartObj>
    </w:sdtPr>
    <w:sdtEndPr>
      <w:rPr>
        <w:noProof/>
      </w:rPr>
    </w:sdtEndPr>
    <w:sdtContent>
      <w:p w14:paraId="62ED0C64" w14:textId="5090F3A0" w:rsidR="00D92431" w:rsidRDefault="00D92431">
        <w:pPr>
          <w:pStyle w:val="Footer"/>
          <w:jc w:val="right"/>
        </w:pPr>
        <w:r>
          <w:fldChar w:fldCharType="begin"/>
        </w:r>
        <w:r>
          <w:instrText xml:space="preserve"> PAGE   \* MERGEFORMAT </w:instrText>
        </w:r>
        <w:r>
          <w:fldChar w:fldCharType="separate"/>
        </w:r>
        <w:r w:rsidR="005D04C0">
          <w:rPr>
            <w:noProof/>
          </w:rPr>
          <w:t>35</w:t>
        </w:r>
        <w:r>
          <w:rPr>
            <w:noProof/>
          </w:rPr>
          <w:fldChar w:fldCharType="end"/>
        </w:r>
      </w:p>
    </w:sdtContent>
  </w:sdt>
  <w:p w14:paraId="3B014520" w14:textId="77777777" w:rsidR="00D92431" w:rsidRDefault="00D92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6270B" w14:textId="77777777" w:rsidR="00857017" w:rsidRDefault="00857017">
      <w:pPr>
        <w:spacing w:after="0" w:line="240" w:lineRule="auto"/>
      </w:pPr>
      <w:r>
        <w:separator/>
      </w:r>
    </w:p>
  </w:footnote>
  <w:footnote w:type="continuationSeparator" w:id="0">
    <w:p w14:paraId="54D144DB" w14:textId="77777777" w:rsidR="00857017" w:rsidRDefault="008570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00903"/>
    <w:multiLevelType w:val="hybridMultilevel"/>
    <w:tmpl w:val="078ABE1E"/>
    <w:lvl w:ilvl="0" w:tplc="F5B487E6">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D6DA5"/>
    <w:multiLevelType w:val="hybridMultilevel"/>
    <w:tmpl w:val="029A21A4"/>
    <w:lvl w:ilvl="0" w:tplc="D5F0104E">
      <w:numFmt w:val="bullet"/>
      <w:lvlText w:val="-"/>
      <w:lvlJc w:val="left"/>
      <w:pPr>
        <w:ind w:left="720" w:hanging="360"/>
      </w:pPr>
      <w:rPr>
        <w:rFonts w:ascii="Verdana" w:eastAsiaTheme="minorHAns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6104F7"/>
    <w:multiLevelType w:val="hybridMultilevel"/>
    <w:tmpl w:val="AB52F8AA"/>
    <w:lvl w:ilvl="0" w:tplc="61683FD2">
      <w:start w:val="1"/>
      <w:numFmt w:val="bullet"/>
      <w:lvlText w:val=""/>
      <w:lvlJc w:val="left"/>
      <w:pPr>
        <w:ind w:left="720" w:hanging="360"/>
      </w:pPr>
      <w:rPr>
        <w:rFonts w:ascii="Wingdings" w:eastAsiaTheme="minorHAnsi" w:hAnsi="Wingdings"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90601"/>
    <w:multiLevelType w:val="hybridMultilevel"/>
    <w:tmpl w:val="F126E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5A3C45"/>
    <w:multiLevelType w:val="hybridMultilevel"/>
    <w:tmpl w:val="A4EC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FF7738"/>
    <w:multiLevelType w:val="hybridMultilevel"/>
    <w:tmpl w:val="D2E63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8D7334"/>
    <w:multiLevelType w:val="hybridMultilevel"/>
    <w:tmpl w:val="A2FE7A08"/>
    <w:lvl w:ilvl="0" w:tplc="F796E68C">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121C25"/>
    <w:multiLevelType w:val="hybridMultilevel"/>
    <w:tmpl w:val="7BF04324"/>
    <w:lvl w:ilvl="0" w:tplc="98E899AA">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4558B0"/>
    <w:multiLevelType w:val="hybridMultilevel"/>
    <w:tmpl w:val="C44C550C"/>
    <w:lvl w:ilvl="0" w:tplc="0FDEFB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A801F3"/>
    <w:multiLevelType w:val="hybridMultilevel"/>
    <w:tmpl w:val="C7A8FABE"/>
    <w:lvl w:ilvl="0" w:tplc="31EC8AF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B521A2"/>
    <w:multiLevelType w:val="hybridMultilevel"/>
    <w:tmpl w:val="042C5A12"/>
    <w:lvl w:ilvl="0" w:tplc="1D7ED3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4AD63A"/>
    <w:multiLevelType w:val="hybridMultilevel"/>
    <w:tmpl w:val="55F102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8325DDE"/>
    <w:multiLevelType w:val="hybridMultilevel"/>
    <w:tmpl w:val="05CEF484"/>
    <w:lvl w:ilvl="0" w:tplc="0ABC11E2">
      <w:start w:val="1"/>
      <w:numFmt w:val="lowerRoman"/>
      <w:lvlText w:val="%1)"/>
      <w:lvlJc w:val="left"/>
      <w:pPr>
        <w:ind w:left="720" w:hanging="720"/>
      </w:pPr>
      <w:rPr>
        <w:rFonts w:asciiTheme="minorHAnsi" w:eastAsiaTheme="minorHAnsi" w:hAnsiTheme="minorHAnsi" w:cstheme="minorBidi"/>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4"/>
  </w:num>
  <w:num w:numId="3">
    <w:abstractNumId w:val="5"/>
  </w:num>
  <w:num w:numId="4">
    <w:abstractNumId w:val="2"/>
  </w:num>
  <w:num w:numId="5">
    <w:abstractNumId w:val="6"/>
  </w:num>
  <w:num w:numId="6">
    <w:abstractNumId w:val="3"/>
  </w:num>
  <w:num w:numId="7">
    <w:abstractNumId w:val="7"/>
  </w:num>
  <w:num w:numId="8">
    <w:abstractNumId w:val="0"/>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12"/>
  </w:num>
  <w:num w:numId="11">
    <w:abstractNumId w:val="9"/>
  </w:num>
  <w:num w:numId="12">
    <w:abstractNumId w:val="8"/>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AD9"/>
    <w:rsid w:val="00021B28"/>
    <w:rsid w:val="000307A9"/>
    <w:rsid w:val="00030C34"/>
    <w:rsid w:val="0005599D"/>
    <w:rsid w:val="00057AD6"/>
    <w:rsid w:val="00060A6D"/>
    <w:rsid w:val="000768EA"/>
    <w:rsid w:val="000A613D"/>
    <w:rsid w:val="000A64CF"/>
    <w:rsid w:val="000C2328"/>
    <w:rsid w:val="000D0873"/>
    <w:rsid w:val="000D65AC"/>
    <w:rsid w:val="000E1477"/>
    <w:rsid w:val="000F2893"/>
    <w:rsid w:val="00110FED"/>
    <w:rsid w:val="0011310A"/>
    <w:rsid w:val="00122264"/>
    <w:rsid w:val="00144860"/>
    <w:rsid w:val="00175EF0"/>
    <w:rsid w:val="001A1BBB"/>
    <w:rsid w:val="001A5791"/>
    <w:rsid w:val="001D6A78"/>
    <w:rsid w:val="001F0C46"/>
    <w:rsid w:val="00207F60"/>
    <w:rsid w:val="00216B9C"/>
    <w:rsid w:val="00221EC8"/>
    <w:rsid w:val="0027380B"/>
    <w:rsid w:val="00295A34"/>
    <w:rsid w:val="00296547"/>
    <w:rsid w:val="002A3C38"/>
    <w:rsid w:val="002E6937"/>
    <w:rsid w:val="002F402B"/>
    <w:rsid w:val="00311C35"/>
    <w:rsid w:val="00316EDC"/>
    <w:rsid w:val="00322A14"/>
    <w:rsid w:val="00332D71"/>
    <w:rsid w:val="00336CEE"/>
    <w:rsid w:val="00344FF2"/>
    <w:rsid w:val="0035155E"/>
    <w:rsid w:val="0037229A"/>
    <w:rsid w:val="00373439"/>
    <w:rsid w:val="00380566"/>
    <w:rsid w:val="0038468C"/>
    <w:rsid w:val="003A0ECD"/>
    <w:rsid w:val="003B69E2"/>
    <w:rsid w:val="003C795A"/>
    <w:rsid w:val="00422DEE"/>
    <w:rsid w:val="0044072A"/>
    <w:rsid w:val="00441276"/>
    <w:rsid w:val="00495160"/>
    <w:rsid w:val="004B105F"/>
    <w:rsid w:val="004D323E"/>
    <w:rsid w:val="00527A6C"/>
    <w:rsid w:val="00560757"/>
    <w:rsid w:val="00564605"/>
    <w:rsid w:val="00577C52"/>
    <w:rsid w:val="005D04C0"/>
    <w:rsid w:val="00655720"/>
    <w:rsid w:val="00671072"/>
    <w:rsid w:val="0068401E"/>
    <w:rsid w:val="006B5DB2"/>
    <w:rsid w:val="006D788E"/>
    <w:rsid w:val="006F5CCF"/>
    <w:rsid w:val="006F798B"/>
    <w:rsid w:val="00704A4E"/>
    <w:rsid w:val="00715A6C"/>
    <w:rsid w:val="00770064"/>
    <w:rsid w:val="007E4F6E"/>
    <w:rsid w:val="0081469B"/>
    <w:rsid w:val="00842D8B"/>
    <w:rsid w:val="00857017"/>
    <w:rsid w:val="008675C0"/>
    <w:rsid w:val="00876CF5"/>
    <w:rsid w:val="008824F5"/>
    <w:rsid w:val="008916F4"/>
    <w:rsid w:val="0089194B"/>
    <w:rsid w:val="008B07BD"/>
    <w:rsid w:val="008B0A0E"/>
    <w:rsid w:val="008B3B04"/>
    <w:rsid w:val="008F3884"/>
    <w:rsid w:val="00970D2E"/>
    <w:rsid w:val="00982AD6"/>
    <w:rsid w:val="009A2960"/>
    <w:rsid w:val="009B1847"/>
    <w:rsid w:val="009C3E8D"/>
    <w:rsid w:val="009E2C1E"/>
    <w:rsid w:val="009F0BC2"/>
    <w:rsid w:val="00A17F1C"/>
    <w:rsid w:val="00A21F50"/>
    <w:rsid w:val="00A26F59"/>
    <w:rsid w:val="00A3754A"/>
    <w:rsid w:val="00A71AC4"/>
    <w:rsid w:val="00A72332"/>
    <w:rsid w:val="00A72B09"/>
    <w:rsid w:val="00A94803"/>
    <w:rsid w:val="00AA4750"/>
    <w:rsid w:val="00AA5EBD"/>
    <w:rsid w:val="00AC5D0B"/>
    <w:rsid w:val="00B122E4"/>
    <w:rsid w:val="00B15218"/>
    <w:rsid w:val="00B26884"/>
    <w:rsid w:val="00B5388D"/>
    <w:rsid w:val="00B6328D"/>
    <w:rsid w:val="00B81D80"/>
    <w:rsid w:val="00B865A6"/>
    <w:rsid w:val="00B924F9"/>
    <w:rsid w:val="00BE5E84"/>
    <w:rsid w:val="00C111C0"/>
    <w:rsid w:val="00C120ED"/>
    <w:rsid w:val="00C228D2"/>
    <w:rsid w:val="00C36AD3"/>
    <w:rsid w:val="00C36CD8"/>
    <w:rsid w:val="00C60EF0"/>
    <w:rsid w:val="00C801D2"/>
    <w:rsid w:val="00C80CFF"/>
    <w:rsid w:val="00C83AD9"/>
    <w:rsid w:val="00C83E5A"/>
    <w:rsid w:val="00CA2CD5"/>
    <w:rsid w:val="00CB3640"/>
    <w:rsid w:val="00CD493B"/>
    <w:rsid w:val="00CD5EFF"/>
    <w:rsid w:val="00CF77C0"/>
    <w:rsid w:val="00D15EA3"/>
    <w:rsid w:val="00D645B6"/>
    <w:rsid w:val="00D92431"/>
    <w:rsid w:val="00D940EF"/>
    <w:rsid w:val="00DD2636"/>
    <w:rsid w:val="00DF3DF7"/>
    <w:rsid w:val="00E17C60"/>
    <w:rsid w:val="00E34E85"/>
    <w:rsid w:val="00E34FFD"/>
    <w:rsid w:val="00E44DC2"/>
    <w:rsid w:val="00E503D9"/>
    <w:rsid w:val="00E55EB5"/>
    <w:rsid w:val="00E765C6"/>
    <w:rsid w:val="00E96C45"/>
    <w:rsid w:val="00EB026C"/>
    <w:rsid w:val="00ED4CC0"/>
    <w:rsid w:val="00EE5884"/>
    <w:rsid w:val="00F000A5"/>
    <w:rsid w:val="00F12516"/>
    <w:rsid w:val="00F16BCA"/>
    <w:rsid w:val="00F25E88"/>
    <w:rsid w:val="00F261B0"/>
    <w:rsid w:val="00F366AC"/>
    <w:rsid w:val="00F55D52"/>
    <w:rsid w:val="00FA21C7"/>
    <w:rsid w:val="00FA63EB"/>
    <w:rsid w:val="00FB3BA6"/>
    <w:rsid w:val="00FF4AA5"/>
    <w:rsid w:val="00FF4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5A2DA"/>
  <w15:chartTrackingRefBased/>
  <w15:docId w15:val="{E1A66C79-CC90-4ABA-89A3-AE4D3AFF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D9"/>
  </w:style>
  <w:style w:type="paragraph" w:styleId="Heading1">
    <w:name w:val="heading 1"/>
    <w:basedOn w:val="Normal"/>
    <w:next w:val="Normal"/>
    <w:link w:val="Heading1Char"/>
    <w:autoRedefine/>
    <w:uiPriority w:val="9"/>
    <w:qFormat/>
    <w:rsid w:val="00AA4750"/>
    <w:pPr>
      <w:keepNext/>
      <w:keepLines/>
      <w:spacing w:before="240" w:after="240" w:line="480" w:lineRule="auto"/>
      <w:outlineLvl w:val="0"/>
    </w:pPr>
    <w:rPr>
      <w:rFonts w:ascii="Arial" w:eastAsiaTheme="majorEastAsia" w:hAnsi="Arial" w:cstheme="majorBidi"/>
      <w:b/>
      <w:sz w:val="32"/>
      <w:szCs w:val="32"/>
      <w:lang w:eastAsia="zh-CN"/>
    </w:rPr>
  </w:style>
  <w:style w:type="paragraph" w:styleId="Heading2">
    <w:name w:val="heading 2"/>
    <w:basedOn w:val="Normal"/>
    <w:next w:val="Normal"/>
    <w:link w:val="Heading2Char"/>
    <w:autoRedefine/>
    <w:uiPriority w:val="9"/>
    <w:unhideWhenUsed/>
    <w:qFormat/>
    <w:rsid w:val="00DD2636"/>
    <w:pPr>
      <w:keepNext/>
      <w:keepLines/>
      <w:spacing w:before="120" w:line="240" w:lineRule="auto"/>
      <w:outlineLvl w:val="1"/>
    </w:pPr>
    <w:rPr>
      <w:rFonts w:asciiTheme="majorHAnsi" w:eastAsiaTheme="majorEastAsia" w:hAnsiTheme="majorHAnsi" w:cstheme="majorBidi"/>
      <w:b/>
      <w:sz w:val="26"/>
      <w:szCs w:val="26"/>
      <w:lang w:eastAsia="zh-CN"/>
    </w:rPr>
  </w:style>
  <w:style w:type="paragraph" w:styleId="Heading3">
    <w:name w:val="heading 3"/>
    <w:basedOn w:val="Normal"/>
    <w:next w:val="Normal"/>
    <w:link w:val="Heading3Char"/>
    <w:uiPriority w:val="9"/>
    <w:unhideWhenUsed/>
    <w:qFormat/>
    <w:rsid w:val="00C83AD9"/>
    <w:pPr>
      <w:keepNext/>
      <w:keepLines/>
      <w:spacing w:before="120" w:after="1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83AD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750"/>
    <w:rPr>
      <w:rFonts w:ascii="Arial" w:eastAsiaTheme="majorEastAsia" w:hAnsi="Arial" w:cstheme="majorBidi"/>
      <w:b/>
      <w:sz w:val="32"/>
      <w:szCs w:val="32"/>
      <w:lang w:eastAsia="zh-CN"/>
    </w:rPr>
  </w:style>
  <w:style w:type="character" w:customStyle="1" w:styleId="Heading2Char">
    <w:name w:val="Heading 2 Char"/>
    <w:basedOn w:val="DefaultParagraphFont"/>
    <w:link w:val="Heading2"/>
    <w:uiPriority w:val="9"/>
    <w:rsid w:val="00DD2636"/>
    <w:rPr>
      <w:rFonts w:asciiTheme="majorHAnsi" w:eastAsiaTheme="majorEastAsia" w:hAnsiTheme="majorHAnsi" w:cstheme="majorBidi"/>
      <w:b/>
      <w:sz w:val="26"/>
      <w:szCs w:val="26"/>
      <w:lang w:eastAsia="zh-CN"/>
    </w:rPr>
  </w:style>
  <w:style w:type="character" w:customStyle="1" w:styleId="Heading3Char">
    <w:name w:val="Heading 3 Char"/>
    <w:basedOn w:val="DefaultParagraphFont"/>
    <w:link w:val="Heading3"/>
    <w:uiPriority w:val="9"/>
    <w:rsid w:val="00C83AD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83AD9"/>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C83AD9"/>
    <w:rPr>
      <w:color w:val="0000FF"/>
      <w:u w:val="single"/>
    </w:rPr>
  </w:style>
  <w:style w:type="character" w:customStyle="1" w:styleId="apple-converted-space">
    <w:name w:val="apple-converted-space"/>
    <w:basedOn w:val="DefaultParagraphFont"/>
    <w:rsid w:val="00C83AD9"/>
  </w:style>
  <w:style w:type="character" w:styleId="Emphasis">
    <w:name w:val="Emphasis"/>
    <w:basedOn w:val="DefaultParagraphFont"/>
    <w:uiPriority w:val="20"/>
    <w:qFormat/>
    <w:rsid w:val="00C83AD9"/>
    <w:rPr>
      <w:i/>
      <w:iCs/>
    </w:rPr>
  </w:style>
  <w:style w:type="paragraph" w:styleId="ListParagraph">
    <w:name w:val="List Paragraph"/>
    <w:basedOn w:val="Normal"/>
    <w:uiPriority w:val="34"/>
    <w:qFormat/>
    <w:rsid w:val="00C83AD9"/>
    <w:pPr>
      <w:ind w:left="720"/>
      <w:contextualSpacing/>
    </w:pPr>
  </w:style>
  <w:style w:type="table" w:styleId="TableGrid">
    <w:name w:val="Table Grid"/>
    <w:basedOn w:val="TableNormal"/>
    <w:uiPriority w:val="39"/>
    <w:rsid w:val="00C83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3AD9"/>
    <w:rPr>
      <w:color w:val="954F72" w:themeColor="followedHyperlink"/>
      <w:u w:val="single"/>
    </w:rPr>
  </w:style>
  <w:style w:type="character" w:customStyle="1" w:styleId="citationref">
    <w:name w:val="citationref"/>
    <w:basedOn w:val="DefaultParagraphFont"/>
    <w:rsid w:val="00C83AD9"/>
  </w:style>
  <w:style w:type="character" w:styleId="CommentReference">
    <w:name w:val="annotation reference"/>
    <w:basedOn w:val="DefaultParagraphFont"/>
    <w:uiPriority w:val="99"/>
    <w:semiHidden/>
    <w:unhideWhenUsed/>
    <w:rsid w:val="00C83AD9"/>
    <w:rPr>
      <w:sz w:val="16"/>
      <w:szCs w:val="16"/>
    </w:rPr>
  </w:style>
  <w:style w:type="paragraph" w:styleId="CommentText">
    <w:name w:val="annotation text"/>
    <w:basedOn w:val="Normal"/>
    <w:link w:val="CommentTextChar"/>
    <w:uiPriority w:val="99"/>
    <w:unhideWhenUsed/>
    <w:rsid w:val="00C83AD9"/>
    <w:pPr>
      <w:spacing w:after="18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C83AD9"/>
    <w:rPr>
      <w:rFonts w:ascii="Times New Roman" w:hAnsi="Times New Roman"/>
      <w:sz w:val="20"/>
      <w:szCs w:val="20"/>
    </w:rPr>
  </w:style>
  <w:style w:type="paragraph" w:styleId="BalloonText">
    <w:name w:val="Balloon Text"/>
    <w:basedOn w:val="Normal"/>
    <w:link w:val="BalloonTextChar"/>
    <w:uiPriority w:val="99"/>
    <w:semiHidden/>
    <w:unhideWhenUsed/>
    <w:rsid w:val="00C83A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A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83AD9"/>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C83AD9"/>
    <w:rPr>
      <w:rFonts w:ascii="Times New Roman" w:hAnsi="Times New Roman"/>
      <w:b/>
      <w:bCs/>
      <w:sz w:val="20"/>
      <w:szCs w:val="20"/>
    </w:rPr>
  </w:style>
  <w:style w:type="paragraph" w:styleId="NormalWeb">
    <w:name w:val="Normal (Web)"/>
    <w:basedOn w:val="Normal"/>
    <w:uiPriority w:val="99"/>
    <w:unhideWhenUsed/>
    <w:rsid w:val="00C83AD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m-1431638038471112502msolistparagraph">
    <w:name w:val="m_-1431638038471112502msolistparagraph"/>
    <w:basedOn w:val="Normal"/>
    <w:rsid w:val="00C83AD9"/>
    <w:pPr>
      <w:spacing w:before="100" w:beforeAutospacing="1" w:after="100" w:afterAutospacing="1" w:line="240" w:lineRule="auto"/>
    </w:pPr>
    <w:rPr>
      <w:rFonts w:ascii="Times New Roman" w:hAnsi="Times New Roman" w:cs="Times New Roman"/>
      <w:sz w:val="24"/>
      <w:szCs w:val="24"/>
      <w:lang w:eastAsia="en-GB"/>
    </w:rPr>
  </w:style>
  <w:style w:type="paragraph" w:customStyle="1" w:styleId="Default">
    <w:name w:val="Default"/>
    <w:rsid w:val="00C83AD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83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AD9"/>
  </w:style>
  <w:style w:type="paragraph" w:styleId="Footer">
    <w:name w:val="footer"/>
    <w:basedOn w:val="Normal"/>
    <w:link w:val="FooterChar"/>
    <w:uiPriority w:val="99"/>
    <w:unhideWhenUsed/>
    <w:rsid w:val="00C83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AD9"/>
  </w:style>
  <w:style w:type="paragraph" w:styleId="TOCHeading">
    <w:name w:val="TOC Heading"/>
    <w:basedOn w:val="Heading1"/>
    <w:next w:val="Normal"/>
    <w:uiPriority w:val="39"/>
    <w:unhideWhenUsed/>
    <w:qFormat/>
    <w:rsid w:val="00C83AD9"/>
    <w:pPr>
      <w:spacing w:after="0" w:line="259" w:lineRule="auto"/>
      <w:outlineLvl w:val="9"/>
    </w:pPr>
    <w:rPr>
      <w:rFonts w:asciiTheme="majorHAnsi" w:hAnsiTheme="majorHAnsi"/>
      <w:b w:val="0"/>
      <w:color w:val="2E74B5" w:themeColor="accent1" w:themeShade="BF"/>
      <w:lang w:val="en-US" w:eastAsia="en-US"/>
    </w:rPr>
  </w:style>
  <w:style w:type="paragraph" w:styleId="TOC1">
    <w:name w:val="toc 1"/>
    <w:basedOn w:val="Normal"/>
    <w:next w:val="Normal"/>
    <w:autoRedefine/>
    <w:uiPriority w:val="39"/>
    <w:unhideWhenUsed/>
    <w:rsid w:val="00C83AD9"/>
    <w:pPr>
      <w:spacing w:after="100"/>
    </w:pPr>
  </w:style>
  <w:style w:type="paragraph" w:styleId="TOC2">
    <w:name w:val="toc 2"/>
    <w:basedOn w:val="Normal"/>
    <w:next w:val="Normal"/>
    <w:autoRedefine/>
    <w:uiPriority w:val="39"/>
    <w:unhideWhenUsed/>
    <w:rsid w:val="00C83AD9"/>
    <w:pPr>
      <w:spacing w:after="100"/>
      <w:ind w:left="220"/>
    </w:pPr>
  </w:style>
  <w:style w:type="paragraph" w:styleId="TOC3">
    <w:name w:val="toc 3"/>
    <w:basedOn w:val="Normal"/>
    <w:next w:val="Normal"/>
    <w:autoRedefine/>
    <w:uiPriority w:val="39"/>
    <w:unhideWhenUsed/>
    <w:rsid w:val="00C83AD9"/>
    <w:pPr>
      <w:spacing w:after="100"/>
      <w:ind w:left="440"/>
    </w:pPr>
  </w:style>
  <w:style w:type="character" w:customStyle="1" w:styleId="A6">
    <w:name w:val="A6"/>
    <w:uiPriority w:val="99"/>
    <w:rsid w:val="00C83AD9"/>
    <w:rPr>
      <w:rFonts w:cs="MundoSans-Light"/>
      <w:color w:val="211D1E"/>
      <w:sz w:val="18"/>
      <w:szCs w:val="18"/>
    </w:rPr>
  </w:style>
  <w:style w:type="paragraph" w:styleId="Revision">
    <w:name w:val="Revision"/>
    <w:hidden/>
    <w:uiPriority w:val="99"/>
    <w:semiHidden/>
    <w:rsid w:val="00C83AD9"/>
    <w:pPr>
      <w:spacing w:after="0" w:line="240" w:lineRule="auto"/>
    </w:pPr>
  </w:style>
  <w:style w:type="paragraph" w:styleId="NoSpacing">
    <w:name w:val="No Spacing"/>
    <w:uiPriority w:val="1"/>
    <w:qFormat/>
    <w:rsid w:val="00C83AD9"/>
    <w:pPr>
      <w:spacing w:after="0" w:line="240" w:lineRule="auto"/>
    </w:pPr>
  </w:style>
  <w:style w:type="character" w:styleId="LineNumber">
    <w:name w:val="line number"/>
    <w:basedOn w:val="DefaultParagraphFont"/>
    <w:uiPriority w:val="99"/>
    <w:semiHidden/>
    <w:unhideWhenUsed/>
    <w:rsid w:val="00C83AD9"/>
  </w:style>
  <w:style w:type="paragraph" w:customStyle="1" w:styleId="a">
    <w:name w:val=":)"/>
    <w:rsid w:val="0035155E"/>
    <w:rPr>
      <w:rFonts w:eastAsiaTheme="minorEastAsia"/>
      <w:lang w:eastAsia="en-GB"/>
    </w:rPr>
  </w:style>
  <w:style w:type="character" w:customStyle="1" w:styleId="UnresolvedMention">
    <w:name w:val="Unresolved Mention"/>
    <w:basedOn w:val="DefaultParagraphFont"/>
    <w:uiPriority w:val="99"/>
    <w:semiHidden/>
    <w:unhideWhenUsed/>
    <w:rsid w:val="00B92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193788">
      <w:bodyDiv w:val="1"/>
      <w:marLeft w:val="0"/>
      <w:marRight w:val="0"/>
      <w:marTop w:val="0"/>
      <w:marBottom w:val="0"/>
      <w:divBdr>
        <w:top w:val="none" w:sz="0" w:space="0" w:color="auto"/>
        <w:left w:val="none" w:sz="0" w:space="0" w:color="auto"/>
        <w:bottom w:val="none" w:sz="0" w:space="0" w:color="auto"/>
        <w:right w:val="none" w:sz="0" w:space="0" w:color="auto"/>
      </w:divBdr>
    </w:div>
    <w:div w:id="142163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ordnancesurvey.co.uk/business-and-government/products/os-open-roads.html"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ordnancesurvey.co.uk/xml/products/OSTerrain50Grid.xml" TargetMode="External"/><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spake.shinyapps.io/DEERDAMAGETOOL/" TargetMode="External"/><Relationship Id="rId17" Type="http://schemas.openxmlformats.org/officeDocument/2006/relationships/hyperlink" Target="https://www.ordnancesurvey.co.uk/xml/products/OSTerrain50Grid.xml"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ata.ceda.ac.uk/badc/ukcp09/" TargetMode="External"/><Relationship Id="rId20" Type="http://schemas.openxmlformats.org/officeDocument/2006/relationships/hyperlink" Target="http://www.esri.com" TargetMode="External"/><Relationship Id="rId29" Type="http://schemas.openxmlformats.org/officeDocument/2006/relationships/hyperlink" Target="https://eur03.safelinks.protection.outlook.com/?url=https%3A%2F%2Fwww.statisticsauthority.gov.uk%2Fcode-of-practice%2F&amp;data=01%7C01%7CR.Spake%40soton.ac.uk%7C113503f9fb784157c2bc08d7aa40c2ad%7C4a5378f929f44d3ebe89669d03ada9d8%7C0&amp;sdata=g85D0fvVjMDHkYt4XNRt%2B9MpRDP9T7TI4dtQoaS%2FzcA%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Spake@soton.ac.uk"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pake.shinyapps.io/DEERDAMAGETOOL/" TargetMode="External"/><Relationship Id="rId28" Type="http://schemas.openxmlformats.org/officeDocument/2006/relationships/hyperlink" Target="mailto:info@gwct.org.uk" TargetMode="External"/><Relationship Id="rId10" Type="http://schemas.openxmlformats.org/officeDocument/2006/relationships/endnotes" Target="endnotes.xml"/><Relationship Id="rId19" Type="http://schemas.openxmlformats.org/officeDocument/2006/relationships/hyperlink" Target="http://data-forestry.opendata.arcgis.com/datasets/national-forest-inventory-woodland-gb" TargetMode="External"/><Relationship Id="rId31" Type="http://schemas.openxmlformats.org/officeDocument/2006/relationships/hyperlink" Target="mailto:nfi@forestresearch.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gcensus.edina.ac.uk/"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www.forestresearch.gov.uk/tools-and-resources/national-forest-inventory/what-our-woodlands-and-tree-cover-outside-woodlands-are-like-today-8211-nfi-inventory-reports-and-woodland-map-reports/nfi-woodland-ecological-cond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A3BB5C2823B142962E53CB61097BB7" ma:contentTypeVersion="8" ma:contentTypeDescription="Create a new document." ma:contentTypeScope="" ma:versionID="7a3e8ec1e01f67cd394ce12a8b4fd61e">
  <xsd:schema xmlns:xsd="http://www.w3.org/2001/XMLSchema" xmlns:xs="http://www.w3.org/2001/XMLSchema" xmlns:p="http://schemas.microsoft.com/office/2006/metadata/properties" xmlns:ns3="abb58167-6e6e-4bf7-adc3-d71b9cf0222c" targetNamespace="http://schemas.microsoft.com/office/2006/metadata/properties" ma:root="true" ma:fieldsID="8423f26a83f54fc858e45013f8069b1e" ns3:_="">
    <xsd:import namespace="abb58167-6e6e-4bf7-adc3-d71b9cf022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58167-6e6e-4bf7-adc3-d71b9cf022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ED72B-9C2D-462A-8822-334E2D682F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0BAEB7-C713-4998-9CD2-BC3D8626C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58167-6e6e-4bf7-adc3-d71b9cf02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B75C0F-B867-4DE2-8B58-B5FF2FDDE83D}">
  <ds:schemaRefs>
    <ds:schemaRef ds:uri="http://schemas.microsoft.com/sharepoint/v3/contenttype/forms"/>
  </ds:schemaRefs>
</ds:datastoreItem>
</file>

<file path=customXml/itemProps4.xml><?xml version="1.0" encoding="utf-8"?>
<ds:datastoreItem xmlns:ds="http://schemas.openxmlformats.org/officeDocument/2006/customXml" ds:itemID="{4EDA83EF-B8EF-413C-A460-B6AEE504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46847</Words>
  <Characters>267032</Characters>
  <Application>Microsoft Office Word</Application>
  <DocSecurity>0</DocSecurity>
  <Lines>2225</Lines>
  <Paragraphs>626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Spake R.</dc:creator>
  <cp:keywords/>
  <dc:description/>
  <cp:lastModifiedBy>Spake R.</cp:lastModifiedBy>
  <cp:revision>2</cp:revision>
  <dcterms:created xsi:type="dcterms:W3CDTF">2020-03-11T02:29:00Z</dcterms:created>
  <dcterms:modified xsi:type="dcterms:W3CDTF">2020-03-11T02:29:00Z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http://www.zotero.org/styles/global-ecology-and-biogeography</vt:lpwstr>
  </property>
  <property fmtid="{D5CDD505-2E9C-101B-9397-08002B2CF9AE}" pid="7" name="Mendeley Recent Style Name 2_1">
    <vt:lpwstr>Global Ecology and Biogeography</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http://www.zotero.org/styles/methods-in-ecology-and-evolution</vt:lpwstr>
  </property>
  <property fmtid="{D5CDD505-2E9C-101B-9397-08002B2CF9AE}" pid="11" name="Mendeley Recent Style Name 4_1">
    <vt:lpwstr>Methods in Ecology and Evolution</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http://www.zotero.org/styles/science-without-titles</vt:lpwstr>
  </property>
  <property fmtid="{D5CDD505-2E9C-101B-9397-08002B2CF9AE}" pid="19" name="Mendeley Recent Style Name 8_1">
    <vt:lpwstr>Science (without titles)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34c0e69b-0968-3ee7-84b2-17c7bd385a48</vt:lpwstr>
  </property>
  <property fmtid="{D5CDD505-2E9C-101B-9397-08002B2CF9AE}" pid="24" name="Mendeley Citation Style_1">
    <vt:lpwstr>http://www.zotero.org/styles/methods-in-ecology-and-evolution</vt:lpwstr>
  </property>
  <property fmtid="{D5CDD505-2E9C-101B-9397-08002B2CF9AE}" pid="25" name="ContentTypeId">
    <vt:lpwstr>0x01010058A3BB5C2823B142962E53CB61097BB7</vt:lpwstr>
  </property>
</Properties>
</file>