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02F31" w14:textId="1AE22A63" w:rsidR="00451471" w:rsidRPr="004034C1" w:rsidRDefault="00632548" w:rsidP="00DB11A6">
      <w:pPr>
        <w:spacing w:line="480" w:lineRule="auto"/>
        <w:jc w:val="center"/>
        <w:rPr>
          <w:rFonts w:ascii="Arial" w:hAnsi="Arial" w:cs="Arial"/>
          <w:b/>
        </w:rPr>
      </w:pPr>
      <w:r w:rsidRPr="004034C1">
        <w:rPr>
          <w:rFonts w:ascii="Arial" w:hAnsi="Arial" w:cs="Arial"/>
          <w:b/>
        </w:rPr>
        <w:t xml:space="preserve">Opportunities </w:t>
      </w:r>
      <w:r w:rsidR="00096926" w:rsidRPr="004034C1">
        <w:rPr>
          <w:rFonts w:ascii="Arial" w:hAnsi="Arial" w:cs="Arial"/>
          <w:b/>
        </w:rPr>
        <w:t>to diagnose</w:t>
      </w:r>
      <w:r w:rsidRPr="004034C1">
        <w:rPr>
          <w:rFonts w:ascii="Arial" w:hAnsi="Arial" w:cs="Arial"/>
          <w:b/>
        </w:rPr>
        <w:t xml:space="preserve"> fibrotic lung diseases</w:t>
      </w:r>
      <w:r w:rsidR="00096926" w:rsidRPr="004034C1">
        <w:rPr>
          <w:rFonts w:ascii="Arial" w:hAnsi="Arial" w:cs="Arial"/>
          <w:b/>
        </w:rPr>
        <w:t xml:space="preserve"> in routine care</w:t>
      </w:r>
      <w:r w:rsidR="00FB1226" w:rsidRPr="004034C1">
        <w:rPr>
          <w:rFonts w:ascii="Arial" w:hAnsi="Arial" w:cs="Arial"/>
          <w:b/>
        </w:rPr>
        <w:t xml:space="preserve">: </w:t>
      </w:r>
      <w:r w:rsidR="00F14A5D">
        <w:rPr>
          <w:rFonts w:ascii="Arial" w:hAnsi="Arial" w:cs="Arial"/>
          <w:b/>
        </w:rPr>
        <w:t>A</w:t>
      </w:r>
      <w:r w:rsidR="00FB1226" w:rsidRPr="004034C1">
        <w:rPr>
          <w:rFonts w:ascii="Arial" w:hAnsi="Arial" w:cs="Arial"/>
          <w:b/>
        </w:rPr>
        <w:t xml:space="preserve"> primary care cohort study</w:t>
      </w:r>
    </w:p>
    <w:p w14:paraId="3B189896" w14:textId="77777777" w:rsidR="00DB11A6" w:rsidRDefault="00DB11A6" w:rsidP="00306C71">
      <w:pPr>
        <w:widowControl w:val="0"/>
        <w:autoSpaceDE w:val="0"/>
        <w:autoSpaceDN w:val="0"/>
        <w:adjustRightInd w:val="0"/>
        <w:spacing w:line="480" w:lineRule="auto"/>
        <w:rPr>
          <w:rFonts w:ascii="Arial" w:hAnsi="Arial" w:cs="Arial"/>
          <w:b/>
        </w:rPr>
      </w:pPr>
    </w:p>
    <w:p w14:paraId="061E3302" w14:textId="4B168C7E" w:rsidR="00FB1226" w:rsidRDefault="00F63BFC" w:rsidP="00306C71">
      <w:pPr>
        <w:widowControl w:val="0"/>
        <w:autoSpaceDE w:val="0"/>
        <w:autoSpaceDN w:val="0"/>
        <w:adjustRightInd w:val="0"/>
        <w:spacing w:line="480" w:lineRule="auto"/>
        <w:rPr>
          <w:rFonts w:ascii="Arial" w:hAnsi="Arial" w:cs="Arial"/>
        </w:rPr>
      </w:pPr>
      <w:r w:rsidRPr="004034C1">
        <w:rPr>
          <w:rFonts w:ascii="Arial" w:hAnsi="Arial" w:cs="Arial"/>
        </w:rPr>
        <w:t>Mark G. Jones</w:t>
      </w:r>
      <w:r w:rsidR="00612EB3" w:rsidRPr="004B700C">
        <w:rPr>
          <w:rFonts w:ascii="Arial" w:hAnsi="Arial"/>
        </w:rPr>
        <w:t>*</w:t>
      </w:r>
      <w:r w:rsidRPr="004034C1">
        <w:rPr>
          <w:rFonts w:ascii="Arial" w:hAnsi="Arial" w:cs="Arial"/>
          <w:vertAlign w:val="superscript"/>
        </w:rPr>
        <w:t>1</w:t>
      </w:r>
      <w:r w:rsidRPr="004034C1">
        <w:rPr>
          <w:rFonts w:ascii="Arial" w:hAnsi="Arial" w:cs="Arial"/>
        </w:rPr>
        <w:t xml:space="preserve">, </w:t>
      </w:r>
      <w:r w:rsidR="00D83D2F" w:rsidRPr="004034C1">
        <w:rPr>
          <w:rFonts w:ascii="Arial" w:hAnsi="Arial" w:cs="Arial"/>
        </w:rPr>
        <w:t>Christopher R.T. Hillyar</w:t>
      </w:r>
      <w:r w:rsidR="00D83D2F" w:rsidRPr="004B700C">
        <w:rPr>
          <w:rFonts w:ascii="Arial" w:hAnsi="Arial"/>
        </w:rPr>
        <w:t>*</w:t>
      </w:r>
      <w:r w:rsidR="00D83D2F">
        <w:rPr>
          <w:rFonts w:ascii="Arial" w:hAnsi="Arial" w:cs="Arial"/>
          <w:vertAlign w:val="superscript"/>
        </w:rPr>
        <w:t>2</w:t>
      </w:r>
      <w:r w:rsidR="00D83D2F" w:rsidRPr="004034C1">
        <w:rPr>
          <w:rFonts w:ascii="Arial" w:hAnsi="Arial" w:cs="Arial"/>
        </w:rPr>
        <w:t xml:space="preserve">, </w:t>
      </w:r>
      <w:r w:rsidR="00734CA3" w:rsidRPr="004034C1">
        <w:rPr>
          <w:rFonts w:ascii="Arial" w:hAnsi="Arial" w:cs="Arial"/>
        </w:rPr>
        <w:t>Anjan Nibber</w:t>
      </w:r>
      <w:r w:rsidR="00D83D2F">
        <w:rPr>
          <w:rFonts w:ascii="Arial" w:hAnsi="Arial" w:cs="Arial"/>
          <w:vertAlign w:val="superscript"/>
        </w:rPr>
        <w:t>3</w:t>
      </w:r>
      <w:r w:rsidR="00C10B09" w:rsidRPr="00306C71">
        <w:rPr>
          <w:rFonts w:ascii="Arial" w:hAnsi="Arial"/>
        </w:rPr>
        <w:t>,</w:t>
      </w:r>
      <w:r w:rsidR="006E2535" w:rsidRPr="004034C1">
        <w:rPr>
          <w:rFonts w:ascii="Arial" w:hAnsi="Arial" w:cs="Arial"/>
        </w:rPr>
        <w:t xml:space="preserve"> </w:t>
      </w:r>
      <w:r w:rsidR="00A76F54" w:rsidRPr="004034C1">
        <w:rPr>
          <w:rFonts w:ascii="Arial" w:hAnsi="Arial" w:cs="Arial"/>
        </w:rPr>
        <w:t xml:space="preserve">Alison </w:t>
      </w:r>
      <w:r w:rsidR="00A76F54" w:rsidRPr="00A76F54">
        <w:rPr>
          <w:rFonts w:ascii="Arial" w:hAnsi="Arial" w:cs="Arial"/>
        </w:rPr>
        <w:t>Chisholm</w:t>
      </w:r>
      <w:r w:rsidR="00D465A6">
        <w:rPr>
          <w:rFonts w:ascii="Arial" w:hAnsi="Arial" w:cs="Arial"/>
          <w:vertAlign w:val="superscript"/>
        </w:rPr>
        <w:t>4</w:t>
      </w:r>
      <w:r w:rsidR="00A76F54">
        <w:rPr>
          <w:rFonts w:ascii="Arial" w:hAnsi="Arial" w:cs="Arial"/>
        </w:rPr>
        <w:t xml:space="preserve">, </w:t>
      </w:r>
      <w:r w:rsidR="002C532F" w:rsidRPr="00A76F54">
        <w:rPr>
          <w:rFonts w:ascii="Arial" w:hAnsi="Arial" w:cs="Arial"/>
        </w:rPr>
        <w:t>Andrew</w:t>
      </w:r>
      <w:r w:rsidR="002C532F" w:rsidRPr="004034C1">
        <w:rPr>
          <w:rFonts w:ascii="Arial" w:hAnsi="Arial" w:cs="Arial"/>
        </w:rPr>
        <w:t xml:space="preserve"> Wilson</w:t>
      </w:r>
      <w:r w:rsidR="00D465A6">
        <w:rPr>
          <w:rFonts w:ascii="Arial" w:hAnsi="Arial" w:cs="Arial"/>
          <w:vertAlign w:val="superscript"/>
        </w:rPr>
        <w:t>5</w:t>
      </w:r>
      <w:r w:rsidR="002C532F" w:rsidRPr="004034C1">
        <w:rPr>
          <w:rFonts w:ascii="Arial" w:hAnsi="Arial" w:cs="Arial"/>
        </w:rPr>
        <w:t xml:space="preserve">, Toby </w:t>
      </w:r>
      <w:r w:rsidR="00E42F73">
        <w:rPr>
          <w:rFonts w:ascii="Arial" w:hAnsi="Arial" w:cs="Arial"/>
        </w:rPr>
        <w:t xml:space="preserve">M. </w:t>
      </w:r>
      <w:r w:rsidR="002C532F" w:rsidRPr="004034C1">
        <w:rPr>
          <w:rFonts w:ascii="Arial" w:hAnsi="Arial" w:cs="Arial"/>
        </w:rPr>
        <w:t>Maher</w:t>
      </w:r>
      <w:r w:rsidR="00D465A6">
        <w:rPr>
          <w:rFonts w:ascii="Arial" w:hAnsi="Arial" w:cs="Arial"/>
          <w:vertAlign w:val="superscript"/>
        </w:rPr>
        <w:t>6</w:t>
      </w:r>
      <w:r w:rsidR="00BA7808" w:rsidRPr="004034C1">
        <w:rPr>
          <w:rFonts w:ascii="Arial" w:hAnsi="Arial" w:cs="Arial"/>
          <w:vertAlign w:val="superscript"/>
        </w:rPr>
        <w:t>,</w:t>
      </w:r>
      <w:r w:rsidR="00D465A6">
        <w:rPr>
          <w:rFonts w:ascii="Arial" w:hAnsi="Arial" w:cs="Arial"/>
          <w:vertAlign w:val="superscript"/>
        </w:rPr>
        <w:t>7</w:t>
      </w:r>
      <w:r w:rsidR="00C10B09" w:rsidRPr="004034C1">
        <w:rPr>
          <w:rFonts w:ascii="Arial" w:hAnsi="Arial" w:cs="Arial"/>
        </w:rPr>
        <w:t>,</w:t>
      </w:r>
      <w:r w:rsidR="00D465A6">
        <w:rPr>
          <w:rFonts w:ascii="Arial" w:hAnsi="Arial" w:cs="Arial"/>
        </w:rPr>
        <w:t xml:space="preserve"> Alan Kaplan</w:t>
      </w:r>
      <w:r w:rsidR="00D465A6">
        <w:rPr>
          <w:rFonts w:ascii="Arial" w:hAnsi="Arial" w:cs="Arial"/>
          <w:vertAlign w:val="superscript"/>
        </w:rPr>
        <w:t>8</w:t>
      </w:r>
      <w:r w:rsidR="00D465A6">
        <w:rPr>
          <w:rFonts w:ascii="Arial" w:hAnsi="Arial" w:cs="Arial"/>
        </w:rPr>
        <w:t xml:space="preserve">, </w:t>
      </w:r>
      <w:r w:rsidR="00CA6400">
        <w:rPr>
          <w:rFonts w:ascii="Arial" w:hAnsi="Arial" w:cs="Arial"/>
        </w:rPr>
        <w:t>David Price</w:t>
      </w:r>
      <w:r w:rsidR="00CA6400" w:rsidRPr="009644BB">
        <w:rPr>
          <w:rFonts w:ascii="Arial" w:hAnsi="Arial" w:cs="Arial"/>
          <w:vertAlign w:val="superscript"/>
        </w:rPr>
        <w:t>9,10</w:t>
      </w:r>
      <w:r w:rsidR="00CA6400">
        <w:rPr>
          <w:rFonts w:ascii="Arial" w:hAnsi="Arial" w:cs="Arial"/>
        </w:rPr>
        <w:t xml:space="preserve">, </w:t>
      </w:r>
      <w:r w:rsidR="00D465A6">
        <w:rPr>
          <w:rFonts w:ascii="Arial" w:hAnsi="Arial" w:cs="Arial"/>
        </w:rPr>
        <w:t>Simon Walsh</w:t>
      </w:r>
      <w:r w:rsidR="00AE0859">
        <w:rPr>
          <w:rFonts w:ascii="Arial" w:hAnsi="Arial" w:cs="Arial"/>
          <w:vertAlign w:val="superscript"/>
        </w:rPr>
        <w:t>7</w:t>
      </w:r>
      <w:r w:rsidR="00D465A6">
        <w:rPr>
          <w:rFonts w:ascii="Arial" w:hAnsi="Arial" w:cs="Arial"/>
        </w:rPr>
        <w:t>,</w:t>
      </w:r>
      <w:r w:rsidRPr="004034C1">
        <w:rPr>
          <w:rFonts w:ascii="Arial" w:hAnsi="Arial" w:cs="Arial"/>
        </w:rPr>
        <w:t xml:space="preserve"> Luca Richeldi</w:t>
      </w:r>
      <w:r w:rsidRPr="004034C1">
        <w:rPr>
          <w:rFonts w:ascii="Arial" w:hAnsi="Arial" w:cs="Arial"/>
          <w:vertAlign w:val="superscript"/>
        </w:rPr>
        <w:t>1,</w:t>
      </w:r>
      <w:r w:rsidR="00D465A6">
        <w:rPr>
          <w:rFonts w:ascii="Arial" w:hAnsi="Arial" w:cs="Arial"/>
          <w:vertAlign w:val="superscript"/>
        </w:rPr>
        <w:t>1</w:t>
      </w:r>
      <w:r w:rsidR="00AE0859">
        <w:rPr>
          <w:rFonts w:ascii="Arial" w:hAnsi="Arial" w:cs="Arial"/>
          <w:vertAlign w:val="superscript"/>
        </w:rPr>
        <w:t>1</w:t>
      </w:r>
      <w:r w:rsidRPr="004034C1">
        <w:rPr>
          <w:rFonts w:ascii="Arial" w:hAnsi="Arial" w:cs="Arial"/>
        </w:rPr>
        <w:t xml:space="preserve"> </w:t>
      </w:r>
      <w:r w:rsidR="00734CA3" w:rsidRPr="004034C1">
        <w:rPr>
          <w:rFonts w:ascii="Arial" w:hAnsi="Arial" w:cs="Arial"/>
        </w:rPr>
        <w:t>on behalf of the Respiratory Effectiveness Group’s Interstitial Lung Disease Working Group</w:t>
      </w:r>
    </w:p>
    <w:p w14:paraId="29B9D954" w14:textId="638BBAC5" w:rsidR="00A0316F" w:rsidRDefault="00A0316F" w:rsidP="00306C71">
      <w:pPr>
        <w:widowControl w:val="0"/>
        <w:autoSpaceDE w:val="0"/>
        <w:autoSpaceDN w:val="0"/>
        <w:adjustRightInd w:val="0"/>
        <w:spacing w:line="480" w:lineRule="auto"/>
        <w:rPr>
          <w:rFonts w:ascii="Arial" w:hAnsi="Arial" w:cs="Arial"/>
        </w:rPr>
      </w:pPr>
      <w:bookmarkStart w:id="0" w:name="_GoBack"/>
      <w:bookmarkEnd w:id="0"/>
    </w:p>
    <w:p w14:paraId="6D817A81" w14:textId="0CD4595E" w:rsidR="00734CA3" w:rsidRPr="004034C1" w:rsidRDefault="00734CA3" w:rsidP="00306C71">
      <w:pPr>
        <w:pStyle w:val="ListParagraph"/>
        <w:numPr>
          <w:ilvl w:val="0"/>
          <w:numId w:val="8"/>
        </w:numPr>
        <w:spacing w:after="0" w:line="480" w:lineRule="auto"/>
        <w:ind w:left="357" w:hanging="357"/>
        <w:rPr>
          <w:rFonts w:ascii="Arial" w:hAnsi="Arial" w:cs="Arial"/>
        </w:rPr>
      </w:pPr>
      <w:r w:rsidRPr="004034C1">
        <w:rPr>
          <w:rFonts w:ascii="Arial" w:hAnsi="Arial" w:cs="Arial"/>
        </w:rPr>
        <w:t xml:space="preserve">National Institute for Health Research </w:t>
      </w:r>
      <w:r w:rsidR="002C532F" w:rsidRPr="004034C1">
        <w:rPr>
          <w:rFonts w:ascii="Arial" w:hAnsi="Arial" w:cs="Arial"/>
        </w:rPr>
        <w:t>Biomedical Research Centre</w:t>
      </w:r>
      <w:r w:rsidRPr="004034C1">
        <w:rPr>
          <w:rFonts w:ascii="Arial" w:hAnsi="Arial" w:cs="Arial"/>
        </w:rPr>
        <w:t xml:space="preserve"> and Clinical and Experimental Sciences, University o</w:t>
      </w:r>
      <w:r w:rsidR="0071534C" w:rsidRPr="004034C1">
        <w:rPr>
          <w:rFonts w:ascii="Arial" w:hAnsi="Arial" w:cs="Arial"/>
        </w:rPr>
        <w:t xml:space="preserve">f Southampton, Southampton, United Kingdom </w:t>
      </w:r>
    </w:p>
    <w:p w14:paraId="231B1E8C" w14:textId="77777777" w:rsidR="00D83D2F" w:rsidRPr="004034C1" w:rsidRDefault="00D83D2F" w:rsidP="00D83D2F">
      <w:pPr>
        <w:pStyle w:val="ListParagraph"/>
        <w:numPr>
          <w:ilvl w:val="0"/>
          <w:numId w:val="8"/>
        </w:numPr>
        <w:spacing w:after="0" w:line="480" w:lineRule="auto"/>
        <w:ind w:left="357" w:hanging="357"/>
        <w:rPr>
          <w:rFonts w:ascii="Arial" w:hAnsi="Arial" w:cs="Arial"/>
        </w:rPr>
      </w:pPr>
      <w:proofErr w:type="spellStart"/>
      <w:r w:rsidRPr="004034C1">
        <w:rPr>
          <w:rFonts w:ascii="Arial" w:hAnsi="Arial" w:cs="Arial"/>
        </w:rPr>
        <w:t>Barts</w:t>
      </w:r>
      <w:proofErr w:type="spellEnd"/>
      <w:r w:rsidRPr="004034C1">
        <w:rPr>
          <w:rFonts w:ascii="Arial" w:hAnsi="Arial" w:cs="Arial"/>
        </w:rPr>
        <w:t xml:space="preserve"> and the London School of Medicine and Dentistry, Queen Mary University of London, London, United Kingdom</w:t>
      </w:r>
    </w:p>
    <w:p w14:paraId="1B458FC4" w14:textId="77777777" w:rsidR="00734CA3" w:rsidRPr="004034C1" w:rsidRDefault="00734CA3" w:rsidP="00306C71">
      <w:pPr>
        <w:pStyle w:val="ListParagraph"/>
        <w:numPr>
          <w:ilvl w:val="0"/>
          <w:numId w:val="8"/>
        </w:numPr>
        <w:spacing w:after="0" w:line="480" w:lineRule="auto"/>
        <w:ind w:left="357" w:hanging="357"/>
        <w:rPr>
          <w:rFonts w:ascii="Arial" w:hAnsi="Arial" w:cs="Arial"/>
        </w:rPr>
      </w:pPr>
      <w:r w:rsidRPr="004034C1">
        <w:rPr>
          <w:rFonts w:ascii="Arial" w:hAnsi="Arial" w:cs="Arial"/>
        </w:rPr>
        <w:t>University of Oxford Medical School, Oxford, United Kingdom</w:t>
      </w:r>
    </w:p>
    <w:p w14:paraId="661249AB" w14:textId="77777777" w:rsidR="00D465A6" w:rsidRPr="004034C1" w:rsidRDefault="00D465A6" w:rsidP="00D465A6">
      <w:pPr>
        <w:pStyle w:val="ListParagraph"/>
        <w:numPr>
          <w:ilvl w:val="0"/>
          <w:numId w:val="8"/>
        </w:numPr>
        <w:spacing w:after="0" w:line="480" w:lineRule="auto"/>
        <w:ind w:left="357" w:hanging="357"/>
        <w:rPr>
          <w:rFonts w:ascii="Arial" w:hAnsi="Arial" w:cs="Arial"/>
        </w:rPr>
      </w:pPr>
      <w:r w:rsidRPr="004034C1">
        <w:rPr>
          <w:rFonts w:ascii="Arial" w:hAnsi="Arial" w:cs="Arial"/>
        </w:rPr>
        <w:t>Respiratory Effectiveness Group, Cambridge, United Kingdom</w:t>
      </w:r>
    </w:p>
    <w:p w14:paraId="55319A1E" w14:textId="49752179" w:rsidR="002C532F" w:rsidRPr="004034C1" w:rsidRDefault="002C532F" w:rsidP="00306C71">
      <w:pPr>
        <w:pStyle w:val="ListParagraph"/>
        <w:numPr>
          <w:ilvl w:val="0"/>
          <w:numId w:val="8"/>
        </w:numPr>
        <w:spacing w:after="0" w:line="480" w:lineRule="auto"/>
        <w:ind w:left="357" w:hanging="357"/>
        <w:rPr>
          <w:rFonts w:ascii="Arial" w:hAnsi="Arial" w:cs="Arial"/>
        </w:rPr>
      </w:pPr>
      <w:r w:rsidRPr="004034C1">
        <w:rPr>
          <w:rFonts w:ascii="Arial" w:hAnsi="Arial" w:cs="Arial"/>
        </w:rPr>
        <w:t>Norwich Medical School, University of East Anglia, Norwich, UK</w:t>
      </w:r>
    </w:p>
    <w:p w14:paraId="2D91ECE2" w14:textId="3CBA08AB" w:rsidR="002C532F" w:rsidRPr="004034C1" w:rsidRDefault="002C532F" w:rsidP="00306C71">
      <w:pPr>
        <w:pStyle w:val="ListParagraph"/>
        <w:numPr>
          <w:ilvl w:val="0"/>
          <w:numId w:val="8"/>
        </w:numPr>
        <w:spacing w:after="0" w:line="480" w:lineRule="auto"/>
        <w:ind w:left="357" w:hanging="357"/>
        <w:rPr>
          <w:rFonts w:ascii="Arial" w:hAnsi="Arial" w:cs="Arial"/>
        </w:rPr>
      </w:pPr>
      <w:r w:rsidRPr="004034C1">
        <w:rPr>
          <w:rFonts w:ascii="Arial" w:hAnsi="Arial" w:cs="Arial"/>
        </w:rPr>
        <w:t>Interstitial Lung Disease Unit, Royal Brompton Hospital, London, UK</w:t>
      </w:r>
    </w:p>
    <w:p w14:paraId="47EB5945" w14:textId="465914F6" w:rsidR="002C532F" w:rsidRDefault="002C532F" w:rsidP="00306C71">
      <w:pPr>
        <w:pStyle w:val="ListParagraph"/>
        <w:numPr>
          <w:ilvl w:val="0"/>
          <w:numId w:val="8"/>
        </w:numPr>
        <w:spacing w:after="0" w:line="480" w:lineRule="auto"/>
        <w:ind w:left="357" w:hanging="357"/>
        <w:rPr>
          <w:rFonts w:ascii="Arial" w:hAnsi="Arial" w:cs="Arial"/>
        </w:rPr>
      </w:pPr>
      <w:r w:rsidRPr="004034C1">
        <w:rPr>
          <w:rFonts w:ascii="Arial" w:hAnsi="Arial" w:cs="Arial"/>
        </w:rPr>
        <w:t>Fibrosis Research Group, National Heart and Lung Institute, Imperial College London, London, UK</w:t>
      </w:r>
    </w:p>
    <w:p w14:paraId="62860B9D" w14:textId="32B6A669" w:rsidR="00D465A6" w:rsidRDefault="00D465A6" w:rsidP="00306C71">
      <w:pPr>
        <w:pStyle w:val="ListParagraph"/>
        <w:numPr>
          <w:ilvl w:val="0"/>
          <w:numId w:val="8"/>
        </w:numPr>
        <w:spacing w:after="0" w:line="480" w:lineRule="auto"/>
        <w:ind w:left="357" w:hanging="357"/>
        <w:rPr>
          <w:rFonts w:ascii="Arial" w:hAnsi="Arial" w:cs="Arial"/>
        </w:rPr>
      </w:pPr>
      <w:r>
        <w:rPr>
          <w:rFonts w:ascii="Arial" w:hAnsi="Arial" w:cs="Arial"/>
        </w:rPr>
        <w:t>Department of Family and Community Medicine, University of Toronto, Ontario, Canada</w:t>
      </w:r>
    </w:p>
    <w:p w14:paraId="241AD35A" w14:textId="6C8CCACC" w:rsidR="00CA6400" w:rsidRDefault="00715DED" w:rsidP="00306C71">
      <w:pPr>
        <w:pStyle w:val="ListParagraph"/>
        <w:numPr>
          <w:ilvl w:val="0"/>
          <w:numId w:val="8"/>
        </w:numPr>
        <w:spacing w:after="0" w:line="480" w:lineRule="auto"/>
        <w:ind w:left="357" w:hanging="357"/>
        <w:rPr>
          <w:rFonts w:ascii="Arial" w:hAnsi="Arial" w:cs="Arial"/>
        </w:rPr>
      </w:pPr>
      <w:r>
        <w:rPr>
          <w:rFonts w:ascii="Arial" w:hAnsi="Arial" w:cs="Arial"/>
        </w:rPr>
        <w:t xml:space="preserve">Centre </w:t>
      </w:r>
      <w:r w:rsidR="00CA6400">
        <w:rPr>
          <w:rFonts w:ascii="Arial" w:hAnsi="Arial" w:cs="Arial"/>
        </w:rPr>
        <w:t xml:space="preserve">of Academic Primary Care, </w:t>
      </w:r>
      <w:r>
        <w:rPr>
          <w:rFonts w:ascii="Arial" w:hAnsi="Arial" w:cs="Arial"/>
        </w:rPr>
        <w:t xml:space="preserve">Division of Applied Health Sciences, </w:t>
      </w:r>
      <w:r w:rsidR="00CA6400">
        <w:rPr>
          <w:rFonts w:ascii="Arial" w:hAnsi="Arial" w:cs="Arial"/>
        </w:rPr>
        <w:t>University of Aberdeen, Aberdeen, United Kingdom</w:t>
      </w:r>
    </w:p>
    <w:p w14:paraId="3E541D5C" w14:textId="5142E9E2" w:rsidR="00CA6400" w:rsidRDefault="00CA6400" w:rsidP="00306C71">
      <w:pPr>
        <w:pStyle w:val="ListParagraph"/>
        <w:numPr>
          <w:ilvl w:val="0"/>
          <w:numId w:val="8"/>
        </w:numPr>
        <w:spacing w:after="0" w:line="480" w:lineRule="auto"/>
        <w:ind w:left="357" w:hanging="357"/>
        <w:rPr>
          <w:rFonts w:ascii="Arial" w:hAnsi="Arial" w:cs="Arial"/>
        </w:rPr>
      </w:pPr>
      <w:r>
        <w:rPr>
          <w:rFonts w:ascii="Arial" w:hAnsi="Arial" w:cs="Arial"/>
        </w:rPr>
        <w:t>Observational and Pragmatic Research Institute, Singapore</w:t>
      </w:r>
    </w:p>
    <w:p w14:paraId="2FD3E549" w14:textId="62B04D08" w:rsidR="00C10B09" w:rsidRPr="004034C1" w:rsidRDefault="00C10B09" w:rsidP="00306C71">
      <w:pPr>
        <w:pStyle w:val="ListParagraph"/>
        <w:numPr>
          <w:ilvl w:val="0"/>
          <w:numId w:val="8"/>
        </w:numPr>
        <w:spacing w:after="0" w:line="480" w:lineRule="auto"/>
        <w:ind w:left="357" w:hanging="357"/>
        <w:rPr>
          <w:rFonts w:ascii="Arial" w:hAnsi="Arial" w:cs="Arial"/>
        </w:rPr>
      </w:pPr>
      <w:proofErr w:type="spellStart"/>
      <w:r w:rsidRPr="004034C1">
        <w:rPr>
          <w:rFonts w:ascii="Arial" w:hAnsi="Arial" w:cs="Arial"/>
        </w:rPr>
        <w:lastRenderedPageBreak/>
        <w:t>Unità</w:t>
      </w:r>
      <w:proofErr w:type="spellEnd"/>
      <w:r w:rsidRPr="004034C1">
        <w:rPr>
          <w:rFonts w:ascii="Arial" w:hAnsi="Arial" w:cs="Arial"/>
        </w:rPr>
        <w:t xml:space="preserve"> </w:t>
      </w:r>
      <w:proofErr w:type="spellStart"/>
      <w:r w:rsidRPr="004034C1">
        <w:rPr>
          <w:rFonts w:ascii="Arial" w:hAnsi="Arial" w:cs="Arial"/>
        </w:rPr>
        <w:t>Operativa</w:t>
      </w:r>
      <w:proofErr w:type="spellEnd"/>
      <w:r w:rsidRPr="004034C1">
        <w:rPr>
          <w:rFonts w:ascii="Arial" w:hAnsi="Arial" w:cs="Arial"/>
        </w:rPr>
        <w:t xml:space="preserve"> </w:t>
      </w:r>
      <w:proofErr w:type="spellStart"/>
      <w:r w:rsidRPr="004034C1">
        <w:rPr>
          <w:rFonts w:ascii="Arial" w:hAnsi="Arial" w:cs="Arial"/>
        </w:rPr>
        <w:t>Complessa</w:t>
      </w:r>
      <w:proofErr w:type="spellEnd"/>
      <w:r w:rsidRPr="004034C1">
        <w:rPr>
          <w:rFonts w:ascii="Arial" w:hAnsi="Arial" w:cs="Arial"/>
        </w:rPr>
        <w:t xml:space="preserve"> di </w:t>
      </w:r>
      <w:proofErr w:type="spellStart"/>
      <w:r w:rsidRPr="004034C1">
        <w:rPr>
          <w:rFonts w:ascii="Arial" w:hAnsi="Arial" w:cs="Arial"/>
        </w:rPr>
        <w:t>Pneumologia</w:t>
      </w:r>
      <w:proofErr w:type="spellEnd"/>
      <w:r w:rsidRPr="004034C1">
        <w:rPr>
          <w:rFonts w:ascii="Arial" w:hAnsi="Arial" w:cs="Arial"/>
        </w:rPr>
        <w:t xml:space="preserve">, </w:t>
      </w:r>
      <w:proofErr w:type="spellStart"/>
      <w:r w:rsidRPr="004034C1">
        <w:rPr>
          <w:rFonts w:ascii="Arial" w:hAnsi="Arial" w:cs="Arial"/>
        </w:rPr>
        <w:t>Università</w:t>
      </w:r>
      <w:proofErr w:type="spellEnd"/>
      <w:r w:rsidRPr="004034C1">
        <w:rPr>
          <w:rFonts w:ascii="Arial" w:hAnsi="Arial" w:cs="Arial"/>
        </w:rPr>
        <w:t xml:space="preserve"> Cattolica del Sacro </w:t>
      </w:r>
      <w:proofErr w:type="spellStart"/>
      <w:r w:rsidRPr="004034C1">
        <w:rPr>
          <w:rFonts w:ascii="Arial" w:hAnsi="Arial" w:cs="Arial"/>
        </w:rPr>
        <w:t>Cuore</w:t>
      </w:r>
      <w:proofErr w:type="spellEnd"/>
      <w:r w:rsidRPr="004034C1">
        <w:rPr>
          <w:rFonts w:ascii="Arial" w:hAnsi="Arial" w:cs="Arial"/>
        </w:rPr>
        <w:t xml:space="preserve">, Fondazione </w:t>
      </w:r>
      <w:proofErr w:type="spellStart"/>
      <w:r w:rsidRPr="004034C1">
        <w:rPr>
          <w:rFonts w:ascii="Arial" w:hAnsi="Arial" w:cs="Arial"/>
        </w:rPr>
        <w:t>Policlinico</w:t>
      </w:r>
      <w:proofErr w:type="spellEnd"/>
      <w:r w:rsidRPr="004034C1">
        <w:rPr>
          <w:rFonts w:ascii="Arial" w:hAnsi="Arial" w:cs="Arial"/>
        </w:rPr>
        <w:t xml:space="preserve"> A. Gemelli, Rome, Italy</w:t>
      </w:r>
    </w:p>
    <w:p w14:paraId="2F827AFD" w14:textId="77777777" w:rsidR="00DB11A6" w:rsidRDefault="00DB11A6" w:rsidP="00DB11A6">
      <w:pPr>
        <w:widowControl w:val="0"/>
        <w:autoSpaceDE w:val="0"/>
        <w:autoSpaceDN w:val="0"/>
        <w:adjustRightInd w:val="0"/>
        <w:spacing w:line="480" w:lineRule="auto"/>
        <w:rPr>
          <w:rFonts w:ascii="Arial" w:hAnsi="Arial"/>
        </w:rPr>
      </w:pPr>
    </w:p>
    <w:p w14:paraId="2EA033E9" w14:textId="38124233" w:rsidR="00DB11A6" w:rsidRPr="00DB11A6" w:rsidRDefault="00DB11A6" w:rsidP="00DB11A6">
      <w:pPr>
        <w:widowControl w:val="0"/>
        <w:autoSpaceDE w:val="0"/>
        <w:autoSpaceDN w:val="0"/>
        <w:adjustRightInd w:val="0"/>
        <w:spacing w:line="480" w:lineRule="auto"/>
        <w:rPr>
          <w:rFonts w:ascii="Arial" w:hAnsi="Arial" w:cs="Arial"/>
          <w:lang w:val="en-US"/>
        </w:rPr>
      </w:pPr>
      <w:r w:rsidRPr="00DB11A6">
        <w:rPr>
          <w:rFonts w:ascii="Arial" w:hAnsi="Arial"/>
        </w:rPr>
        <w:t>* M.G.J. and C.R.T.H. contributed equally to this manuscript.</w:t>
      </w:r>
    </w:p>
    <w:p w14:paraId="1CB80B09" w14:textId="77777777" w:rsidR="0020644A" w:rsidRPr="004034C1" w:rsidRDefault="0020644A" w:rsidP="00306C71">
      <w:pPr>
        <w:spacing w:line="480" w:lineRule="auto"/>
        <w:rPr>
          <w:rFonts w:ascii="Arial" w:hAnsi="Arial" w:cs="Arial"/>
          <w:b/>
        </w:rPr>
      </w:pPr>
    </w:p>
    <w:p w14:paraId="5B8C260B" w14:textId="16096ED6" w:rsidR="00734CA3" w:rsidRPr="004034C1" w:rsidRDefault="00734CA3" w:rsidP="00306C71">
      <w:pPr>
        <w:widowControl w:val="0"/>
        <w:autoSpaceDE w:val="0"/>
        <w:autoSpaceDN w:val="0"/>
        <w:adjustRightInd w:val="0"/>
        <w:spacing w:line="480" w:lineRule="auto"/>
        <w:rPr>
          <w:rFonts w:ascii="Arial" w:hAnsi="Arial" w:cs="Arial"/>
          <w:b/>
        </w:rPr>
      </w:pPr>
      <w:r w:rsidRPr="004034C1">
        <w:rPr>
          <w:rFonts w:ascii="Arial" w:hAnsi="Arial" w:cs="Arial"/>
          <w:b/>
        </w:rPr>
        <w:t>Correspon</w:t>
      </w:r>
      <w:r w:rsidR="007A02DF">
        <w:rPr>
          <w:rFonts w:ascii="Arial" w:hAnsi="Arial" w:cs="Arial"/>
          <w:b/>
        </w:rPr>
        <w:t>d</w:t>
      </w:r>
      <w:r w:rsidR="00DB11A6">
        <w:rPr>
          <w:rFonts w:ascii="Arial" w:hAnsi="Arial" w:cs="Arial"/>
          <w:b/>
        </w:rPr>
        <w:t>ence:</w:t>
      </w:r>
    </w:p>
    <w:p w14:paraId="2A9C62AB" w14:textId="6C3C9F49" w:rsidR="00734CA3" w:rsidRPr="00DB11A6" w:rsidRDefault="007A02DF" w:rsidP="00306C71">
      <w:pPr>
        <w:widowControl w:val="0"/>
        <w:autoSpaceDE w:val="0"/>
        <w:autoSpaceDN w:val="0"/>
        <w:adjustRightInd w:val="0"/>
        <w:spacing w:line="480" w:lineRule="auto"/>
        <w:rPr>
          <w:rFonts w:ascii="Arial" w:hAnsi="Arial" w:cs="Arial"/>
        </w:rPr>
      </w:pPr>
      <w:r w:rsidRPr="00DB11A6">
        <w:rPr>
          <w:rFonts w:ascii="Arial" w:hAnsi="Arial" w:cs="Arial"/>
        </w:rPr>
        <w:t xml:space="preserve">Name: </w:t>
      </w:r>
      <w:r w:rsidR="00734CA3" w:rsidRPr="00DB11A6">
        <w:rPr>
          <w:rFonts w:ascii="Arial" w:hAnsi="Arial" w:cs="Arial"/>
        </w:rPr>
        <w:t xml:space="preserve">Professor Luca </w:t>
      </w:r>
      <w:proofErr w:type="spellStart"/>
      <w:r w:rsidR="00734CA3" w:rsidRPr="00DB11A6">
        <w:rPr>
          <w:rFonts w:ascii="Arial" w:hAnsi="Arial" w:cs="Arial"/>
        </w:rPr>
        <w:t>Richeldi</w:t>
      </w:r>
      <w:proofErr w:type="spellEnd"/>
    </w:p>
    <w:p w14:paraId="4C81F876" w14:textId="4864ECB5" w:rsidR="00734CA3" w:rsidRPr="00DB11A6" w:rsidRDefault="007A02DF" w:rsidP="00306C71">
      <w:pPr>
        <w:widowControl w:val="0"/>
        <w:autoSpaceDE w:val="0"/>
        <w:autoSpaceDN w:val="0"/>
        <w:adjustRightInd w:val="0"/>
        <w:spacing w:line="480" w:lineRule="auto"/>
        <w:rPr>
          <w:rFonts w:ascii="Arial" w:hAnsi="Arial" w:cs="Arial"/>
        </w:rPr>
      </w:pPr>
      <w:r w:rsidRPr="00DB11A6">
        <w:rPr>
          <w:rFonts w:ascii="Arial" w:hAnsi="Arial" w:cs="Arial"/>
        </w:rPr>
        <w:t xml:space="preserve">Address: </w:t>
      </w:r>
      <w:proofErr w:type="spellStart"/>
      <w:r w:rsidR="00734CA3" w:rsidRPr="00DB11A6">
        <w:rPr>
          <w:rFonts w:ascii="Arial" w:hAnsi="Arial" w:cs="Arial"/>
        </w:rPr>
        <w:t>Unità</w:t>
      </w:r>
      <w:proofErr w:type="spellEnd"/>
      <w:r w:rsidR="00734CA3" w:rsidRPr="00DB11A6">
        <w:rPr>
          <w:rFonts w:ascii="Arial" w:hAnsi="Arial" w:cs="Arial"/>
        </w:rPr>
        <w:t xml:space="preserve"> </w:t>
      </w:r>
      <w:proofErr w:type="spellStart"/>
      <w:r w:rsidR="00734CA3" w:rsidRPr="00DB11A6">
        <w:rPr>
          <w:rFonts w:ascii="Arial" w:hAnsi="Arial" w:cs="Arial"/>
        </w:rPr>
        <w:t>Operativa</w:t>
      </w:r>
      <w:proofErr w:type="spellEnd"/>
      <w:r w:rsidR="00734CA3" w:rsidRPr="00DB11A6">
        <w:rPr>
          <w:rFonts w:ascii="Arial" w:hAnsi="Arial" w:cs="Arial"/>
        </w:rPr>
        <w:t xml:space="preserve"> </w:t>
      </w:r>
      <w:proofErr w:type="spellStart"/>
      <w:r w:rsidR="00734CA3" w:rsidRPr="00DB11A6">
        <w:rPr>
          <w:rFonts w:ascii="Arial" w:hAnsi="Arial" w:cs="Arial"/>
        </w:rPr>
        <w:t>Complessa</w:t>
      </w:r>
      <w:proofErr w:type="spellEnd"/>
      <w:r w:rsidR="00734CA3" w:rsidRPr="00DB11A6">
        <w:rPr>
          <w:rFonts w:ascii="Arial" w:hAnsi="Arial" w:cs="Arial"/>
        </w:rPr>
        <w:t xml:space="preserve"> di </w:t>
      </w:r>
      <w:proofErr w:type="spellStart"/>
      <w:r w:rsidR="00734CA3" w:rsidRPr="00DB11A6">
        <w:rPr>
          <w:rFonts w:ascii="Arial" w:hAnsi="Arial" w:cs="Arial"/>
        </w:rPr>
        <w:t>Pneumologia</w:t>
      </w:r>
      <w:proofErr w:type="spellEnd"/>
      <w:r w:rsidR="00734CA3" w:rsidRPr="00DB11A6">
        <w:rPr>
          <w:rFonts w:ascii="Arial" w:hAnsi="Arial" w:cs="Arial"/>
        </w:rPr>
        <w:t xml:space="preserve">, </w:t>
      </w:r>
    </w:p>
    <w:p w14:paraId="3125A581" w14:textId="77777777" w:rsidR="00734CA3" w:rsidRPr="00DB11A6" w:rsidRDefault="00734CA3" w:rsidP="00306C71">
      <w:pPr>
        <w:widowControl w:val="0"/>
        <w:autoSpaceDE w:val="0"/>
        <w:autoSpaceDN w:val="0"/>
        <w:adjustRightInd w:val="0"/>
        <w:spacing w:line="480" w:lineRule="auto"/>
        <w:rPr>
          <w:rFonts w:ascii="Arial" w:hAnsi="Arial" w:cs="Arial"/>
        </w:rPr>
      </w:pPr>
      <w:proofErr w:type="spellStart"/>
      <w:r w:rsidRPr="00DB11A6">
        <w:rPr>
          <w:rFonts w:ascii="Arial" w:hAnsi="Arial" w:cs="Arial"/>
        </w:rPr>
        <w:t>Università</w:t>
      </w:r>
      <w:proofErr w:type="spellEnd"/>
      <w:r w:rsidRPr="00DB11A6">
        <w:rPr>
          <w:rFonts w:ascii="Arial" w:hAnsi="Arial" w:cs="Arial"/>
        </w:rPr>
        <w:t xml:space="preserve"> Cattolica del Sacro </w:t>
      </w:r>
      <w:proofErr w:type="spellStart"/>
      <w:r w:rsidRPr="00DB11A6">
        <w:rPr>
          <w:rFonts w:ascii="Arial" w:hAnsi="Arial" w:cs="Arial"/>
        </w:rPr>
        <w:t>Cuore</w:t>
      </w:r>
      <w:proofErr w:type="spellEnd"/>
      <w:r w:rsidRPr="00DB11A6">
        <w:rPr>
          <w:rFonts w:ascii="Arial" w:hAnsi="Arial" w:cs="Arial"/>
        </w:rPr>
        <w:t xml:space="preserve">, </w:t>
      </w:r>
    </w:p>
    <w:p w14:paraId="0C4B0927" w14:textId="77777777" w:rsidR="00734CA3" w:rsidRPr="00DB11A6" w:rsidRDefault="00734CA3" w:rsidP="00306C71">
      <w:pPr>
        <w:widowControl w:val="0"/>
        <w:autoSpaceDE w:val="0"/>
        <w:autoSpaceDN w:val="0"/>
        <w:adjustRightInd w:val="0"/>
        <w:spacing w:line="480" w:lineRule="auto"/>
        <w:rPr>
          <w:rFonts w:ascii="Arial" w:hAnsi="Arial" w:cs="Arial"/>
        </w:rPr>
      </w:pPr>
      <w:r w:rsidRPr="00DB11A6">
        <w:rPr>
          <w:rFonts w:ascii="Arial" w:hAnsi="Arial" w:cs="Arial"/>
        </w:rPr>
        <w:t xml:space="preserve">Fondazione </w:t>
      </w:r>
      <w:proofErr w:type="spellStart"/>
      <w:r w:rsidRPr="00DB11A6">
        <w:rPr>
          <w:rFonts w:ascii="Arial" w:hAnsi="Arial" w:cs="Arial"/>
        </w:rPr>
        <w:t>Policlinico</w:t>
      </w:r>
      <w:proofErr w:type="spellEnd"/>
      <w:r w:rsidRPr="00DB11A6">
        <w:rPr>
          <w:rFonts w:ascii="Arial" w:hAnsi="Arial" w:cs="Arial"/>
        </w:rPr>
        <w:t xml:space="preserve"> A. Gemelli, </w:t>
      </w:r>
    </w:p>
    <w:p w14:paraId="35AAD4FE" w14:textId="77777777" w:rsidR="00734CA3" w:rsidRPr="00DB11A6" w:rsidRDefault="00734CA3" w:rsidP="00306C71">
      <w:pPr>
        <w:widowControl w:val="0"/>
        <w:autoSpaceDE w:val="0"/>
        <w:autoSpaceDN w:val="0"/>
        <w:adjustRightInd w:val="0"/>
        <w:spacing w:line="480" w:lineRule="auto"/>
        <w:rPr>
          <w:rFonts w:ascii="Arial" w:hAnsi="Arial" w:cs="Arial"/>
        </w:rPr>
      </w:pPr>
      <w:r w:rsidRPr="00DB11A6">
        <w:rPr>
          <w:rFonts w:ascii="Arial" w:hAnsi="Arial" w:cs="Arial"/>
        </w:rPr>
        <w:t>Rome, Italy</w:t>
      </w:r>
    </w:p>
    <w:p w14:paraId="75B9D41C" w14:textId="4192B82D" w:rsidR="00734CA3" w:rsidRDefault="00734CA3" w:rsidP="00306C71">
      <w:pPr>
        <w:widowControl w:val="0"/>
        <w:autoSpaceDE w:val="0"/>
        <w:autoSpaceDN w:val="0"/>
        <w:adjustRightInd w:val="0"/>
        <w:spacing w:line="480" w:lineRule="auto"/>
        <w:rPr>
          <w:rFonts w:ascii="Arial" w:hAnsi="Arial" w:cs="Arial"/>
        </w:rPr>
      </w:pPr>
      <w:r w:rsidRPr="00DB11A6">
        <w:rPr>
          <w:rFonts w:ascii="Arial" w:hAnsi="Arial" w:cs="Arial"/>
        </w:rPr>
        <w:t>Email</w:t>
      </w:r>
      <w:r w:rsidRPr="004034C1">
        <w:rPr>
          <w:rFonts w:ascii="Arial" w:hAnsi="Arial" w:cs="Arial"/>
        </w:rPr>
        <w:t xml:space="preserve">: </w:t>
      </w:r>
      <w:hyperlink r:id="rId8" w:history="1">
        <w:r w:rsidR="00BB13F3" w:rsidRPr="00F22C5A">
          <w:rPr>
            <w:rStyle w:val="Hyperlink"/>
            <w:rFonts w:ascii="Arial" w:hAnsi="Arial" w:cs="Arial"/>
          </w:rPr>
          <w:t>luca.richeldi@policlinicogemelli.it</w:t>
        </w:r>
      </w:hyperlink>
    </w:p>
    <w:p w14:paraId="7D110B7E" w14:textId="34B065EC" w:rsidR="00BB13F3" w:rsidRDefault="00BB13F3" w:rsidP="00306C71">
      <w:pPr>
        <w:widowControl w:val="0"/>
        <w:autoSpaceDE w:val="0"/>
        <w:autoSpaceDN w:val="0"/>
        <w:adjustRightInd w:val="0"/>
        <w:spacing w:line="480" w:lineRule="auto"/>
        <w:rPr>
          <w:rFonts w:ascii="Arial" w:hAnsi="Arial" w:cs="Arial"/>
        </w:rPr>
      </w:pPr>
    </w:p>
    <w:p w14:paraId="373D259C" w14:textId="75E53602" w:rsidR="00DB11A6" w:rsidRDefault="0086644E" w:rsidP="00DB11A6">
      <w:pPr>
        <w:widowControl w:val="0"/>
        <w:autoSpaceDE w:val="0"/>
        <w:autoSpaceDN w:val="0"/>
        <w:adjustRightInd w:val="0"/>
        <w:spacing w:line="480" w:lineRule="auto"/>
        <w:rPr>
          <w:rFonts w:ascii="Arial" w:hAnsi="Arial" w:cs="Arial"/>
          <w:b/>
        </w:rPr>
      </w:pPr>
      <w:r>
        <w:rPr>
          <w:rFonts w:ascii="Arial" w:hAnsi="Arial" w:cs="Arial"/>
          <w:b/>
        </w:rPr>
        <w:t>S</w:t>
      </w:r>
      <w:r w:rsidR="007A02DF">
        <w:rPr>
          <w:rFonts w:ascii="Arial" w:hAnsi="Arial" w:cs="Arial"/>
          <w:b/>
        </w:rPr>
        <w:t>UMMARY AT A GLANCE</w:t>
      </w:r>
    </w:p>
    <w:p w14:paraId="4FE37D4B" w14:textId="1FE1DF38" w:rsidR="00AB5544" w:rsidRDefault="00AB5544" w:rsidP="00FC2D32">
      <w:pPr>
        <w:spacing w:line="480" w:lineRule="auto"/>
        <w:rPr>
          <w:rFonts w:ascii="Arial" w:hAnsi="Arial" w:cs="Arial"/>
          <w:b/>
        </w:rPr>
      </w:pPr>
      <w:r w:rsidRPr="004034C1">
        <w:rPr>
          <w:rFonts w:ascii="Arial" w:hAnsi="Arial" w:cs="Arial"/>
        </w:rPr>
        <w:t>We analysed a primary care clinical cohort database</w:t>
      </w:r>
      <w:r>
        <w:rPr>
          <w:rFonts w:ascii="Arial" w:hAnsi="Arial" w:cs="Arial"/>
        </w:rPr>
        <w:t xml:space="preserve"> to investigate respiratory symptoms and healthcare use in the 10 years prior to a diagnosis of</w:t>
      </w:r>
      <w:r w:rsidR="00A0316F">
        <w:rPr>
          <w:rFonts w:ascii="Arial" w:hAnsi="Arial" w:cs="Arial"/>
        </w:rPr>
        <w:t xml:space="preserve"> </w:t>
      </w:r>
      <w:r>
        <w:rPr>
          <w:rFonts w:ascii="Arial" w:hAnsi="Arial" w:cs="Arial"/>
        </w:rPr>
        <w:t xml:space="preserve">pulmonary fibrosis. Utilisation progressively increased in the years prior to diagnosis, suggesting multiple </w:t>
      </w:r>
      <w:r w:rsidRPr="004034C1">
        <w:rPr>
          <w:rFonts w:ascii="Arial" w:hAnsi="Arial" w:cs="Arial"/>
        </w:rPr>
        <w:t xml:space="preserve">opportunities </w:t>
      </w:r>
      <w:r>
        <w:rPr>
          <w:rFonts w:ascii="Arial" w:hAnsi="Arial" w:cs="Arial"/>
        </w:rPr>
        <w:t>for</w:t>
      </w:r>
      <w:r w:rsidRPr="004034C1">
        <w:rPr>
          <w:rFonts w:ascii="Arial" w:hAnsi="Arial" w:cs="Arial"/>
        </w:rPr>
        <w:t xml:space="preserve"> </w:t>
      </w:r>
      <w:r>
        <w:rPr>
          <w:rFonts w:ascii="Arial" w:hAnsi="Arial" w:cs="Arial"/>
        </w:rPr>
        <w:t>diagnosis</w:t>
      </w:r>
      <w:r w:rsidRPr="004034C1">
        <w:rPr>
          <w:rFonts w:ascii="Arial" w:hAnsi="Arial" w:cs="Arial"/>
        </w:rPr>
        <w:t xml:space="preserve"> at an earlier stage</w:t>
      </w:r>
      <w:r>
        <w:rPr>
          <w:rFonts w:ascii="Arial" w:hAnsi="Arial" w:cs="Arial"/>
        </w:rPr>
        <w:t>.</w:t>
      </w:r>
    </w:p>
    <w:p w14:paraId="183B95E6" w14:textId="77777777" w:rsidR="0086644E" w:rsidRDefault="0086644E" w:rsidP="00306C71">
      <w:pPr>
        <w:spacing w:line="480" w:lineRule="auto"/>
        <w:rPr>
          <w:rFonts w:ascii="Arial" w:hAnsi="Arial" w:cs="Arial"/>
          <w:b/>
        </w:rPr>
      </w:pPr>
    </w:p>
    <w:p w14:paraId="7CBAD746" w14:textId="77777777" w:rsidR="00DB11A6" w:rsidRDefault="00DB11A6">
      <w:pPr>
        <w:rPr>
          <w:rFonts w:ascii="Arial" w:hAnsi="Arial" w:cs="Arial"/>
          <w:b/>
        </w:rPr>
      </w:pPr>
      <w:r>
        <w:rPr>
          <w:rFonts w:ascii="Arial" w:hAnsi="Arial" w:cs="Arial"/>
          <w:b/>
        </w:rPr>
        <w:br w:type="page"/>
      </w:r>
    </w:p>
    <w:p w14:paraId="0E4D345E" w14:textId="7555EEE6" w:rsidR="004034C1" w:rsidRPr="004034C1" w:rsidRDefault="004034C1" w:rsidP="00306C71">
      <w:pPr>
        <w:spacing w:line="480" w:lineRule="auto"/>
        <w:rPr>
          <w:rFonts w:ascii="Arial" w:hAnsi="Arial" w:cs="Arial"/>
          <w:b/>
        </w:rPr>
      </w:pPr>
      <w:r w:rsidRPr="004034C1">
        <w:rPr>
          <w:rFonts w:ascii="Arial" w:hAnsi="Arial" w:cs="Arial"/>
          <w:b/>
        </w:rPr>
        <w:lastRenderedPageBreak/>
        <w:t>ABSTRACT</w:t>
      </w:r>
    </w:p>
    <w:p w14:paraId="4B96BA84" w14:textId="4AB9C86D" w:rsidR="00305563" w:rsidRPr="004034C1" w:rsidRDefault="0086644E" w:rsidP="00306C71">
      <w:pPr>
        <w:spacing w:line="480" w:lineRule="auto"/>
        <w:rPr>
          <w:rFonts w:ascii="Arial" w:hAnsi="Arial" w:cs="Arial"/>
        </w:rPr>
      </w:pPr>
      <w:r w:rsidRPr="00BA42F1">
        <w:rPr>
          <w:rFonts w:ascii="Arial" w:hAnsi="Arial" w:cs="Arial"/>
          <w:b/>
          <w:bCs/>
        </w:rPr>
        <w:t>Background and objective</w:t>
      </w:r>
      <w:r>
        <w:rPr>
          <w:rFonts w:ascii="Arial" w:hAnsi="Arial" w:cs="Arial"/>
        </w:rPr>
        <w:t xml:space="preserve">: </w:t>
      </w:r>
      <w:r w:rsidR="00DE7657" w:rsidRPr="004034C1">
        <w:rPr>
          <w:rFonts w:ascii="Arial" w:hAnsi="Arial" w:cs="Arial"/>
        </w:rPr>
        <w:t xml:space="preserve">Temporal </w:t>
      </w:r>
      <w:r w:rsidR="00957EBE">
        <w:rPr>
          <w:rFonts w:ascii="Arial" w:hAnsi="Arial" w:cs="Arial"/>
        </w:rPr>
        <w:t>trends</w:t>
      </w:r>
      <w:r w:rsidR="006B16A0" w:rsidRPr="004034C1">
        <w:rPr>
          <w:rFonts w:ascii="Arial" w:hAnsi="Arial" w:cs="Arial"/>
        </w:rPr>
        <w:t xml:space="preserve"> of healthcare use in the period before </w:t>
      </w:r>
      <w:r w:rsidR="005A4CC2" w:rsidRPr="004034C1">
        <w:rPr>
          <w:rFonts w:ascii="Arial" w:hAnsi="Arial" w:cs="Arial"/>
        </w:rPr>
        <w:t xml:space="preserve">a </w:t>
      </w:r>
      <w:r w:rsidR="006B16A0" w:rsidRPr="004034C1">
        <w:rPr>
          <w:rFonts w:ascii="Arial" w:hAnsi="Arial" w:cs="Arial"/>
        </w:rPr>
        <w:t>diagnosis</w:t>
      </w:r>
      <w:r w:rsidR="005A4CC2" w:rsidRPr="004034C1">
        <w:rPr>
          <w:rFonts w:ascii="Arial" w:hAnsi="Arial" w:cs="Arial"/>
        </w:rPr>
        <w:t xml:space="preserve"> of pulmonary fibrosis </w:t>
      </w:r>
      <w:r w:rsidR="006B16A0" w:rsidRPr="004034C1">
        <w:rPr>
          <w:rFonts w:ascii="Arial" w:hAnsi="Arial" w:cs="Arial"/>
        </w:rPr>
        <w:t xml:space="preserve">are </w:t>
      </w:r>
      <w:r w:rsidR="00305563" w:rsidRPr="004034C1">
        <w:rPr>
          <w:rFonts w:ascii="Arial" w:hAnsi="Arial" w:cs="Arial"/>
        </w:rPr>
        <w:t>poorly</w:t>
      </w:r>
      <w:r w:rsidR="0050251F" w:rsidRPr="004034C1">
        <w:rPr>
          <w:rFonts w:ascii="Arial" w:hAnsi="Arial" w:cs="Arial"/>
        </w:rPr>
        <w:t xml:space="preserve"> </w:t>
      </w:r>
      <w:r w:rsidR="006B16A0" w:rsidRPr="004034C1">
        <w:rPr>
          <w:rFonts w:ascii="Arial" w:hAnsi="Arial" w:cs="Arial"/>
        </w:rPr>
        <w:t>understood</w:t>
      </w:r>
      <w:r w:rsidR="00305563" w:rsidRPr="004034C1">
        <w:rPr>
          <w:rFonts w:ascii="Arial" w:hAnsi="Arial" w:cs="Arial"/>
        </w:rPr>
        <w:t>. We investigated trends in respiratory symptoms and lower respiratory healthcare resource utilisation (HRU) in the 10 years prior to diagnosis.</w:t>
      </w:r>
    </w:p>
    <w:p w14:paraId="0A4EB3C1" w14:textId="205EE1FF" w:rsidR="00D13858" w:rsidRPr="00DB11A6" w:rsidRDefault="0086644E" w:rsidP="00306C71">
      <w:pPr>
        <w:spacing w:line="480" w:lineRule="auto"/>
        <w:rPr>
          <w:rFonts w:ascii="Arial" w:hAnsi="Arial" w:cs="Arial"/>
        </w:rPr>
      </w:pPr>
      <w:r w:rsidRPr="00BA42F1">
        <w:rPr>
          <w:rFonts w:ascii="Arial" w:hAnsi="Arial" w:cs="Arial"/>
          <w:b/>
          <w:bCs/>
        </w:rPr>
        <w:t>Methods</w:t>
      </w:r>
      <w:r>
        <w:rPr>
          <w:rFonts w:ascii="Arial" w:hAnsi="Arial" w:cs="Arial"/>
        </w:rPr>
        <w:t xml:space="preserve">: </w:t>
      </w:r>
      <w:r w:rsidR="00305563" w:rsidRPr="004034C1">
        <w:rPr>
          <w:rFonts w:ascii="Arial" w:hAnsi="Arial" w:cs="Arial"/>
        </w:rPr>
        <w:t>We analysed</w:t>
      </w:r>
      <w:r w:rsidR="00E429E7" w:rsidRPr="004034C1">
        <w:rPr>
          <w:rFonts w:ascii="Arial" w:hAnsi="Arial" w:cs="Arial"/>
        </w:rPr>
        <w:t xml:space="preserve"> a </w:t>
      </w:r>
      <w:r w:rsidR="00E4698A" w:rsidRPr="004034C1">
        <w:rPr>
          <w:rFonts w:ascii="Arial" w:hAnsi="Arial" w:cs="Arial"/>
        </w:rPr>
        <w:t xml:space="preserve">primary care </w:t>
      </w:r>
      <w:r w:rsidR="00E429E7" w:rsidRPr="004034C1">
        <w:rPr>
          <w:rFonts w:ascii="Arial" w:hAnsi="Arial" w:cs="Arial"/>
        </w:rPr>
        <w:t xml:space="preserve">clinical </w:t>
      </w:r>
      <w:r w:rsidR="00D13858" w:rsidRPr="004034C1">
        <w:rPr>
          <w:rFonts w:ascii="Arial" w:hAnsi="Arial" w:cs="Arial"/>
        </w:rPr>
        <w:t>cohort</w:t>
      </w:r>
      <w:r w:rsidR="006B16A0" w:rsidRPr="004034C1">
        <w:rPr>
          <w:rFonts w:ascii="Arial" w:hAnsi="Arial" w:cs="Arial"/>
        </w:rPr>
        <w:t xml:space="preserve"> </w:t>
      </w:r>
      <w:r w:rsidR="00305563" w:rsidRPr="004034C1">
        <w:rPr>
          <w:rFonts w:ascii="Arial" w:hAnsi="Arial" w:cs="Arial"/>
        </w:rPr>
        <w:t xml:space="preserve">database </w:t>
      </w:r>
      <w:r w:rsidR="006B16A0" w:rsidRPr="004034C1">
        <w:rPr>
          <w:rFonts w:ascii="Arial" w:hAnsi="Arial" w:cs="Arial"/>
        </w:rPr>
        <w:t>(UK Optimum Patien</w:t>
      </w:r>
      <w:r w:rsidR="002E422E">
        <w:rPr>
          <w:rFonts w:ascii="Arial" w:hAnsi="Arial" w:cs="Arial"/>
        </w:rPr>
        <w:t>t</w:t>
      </w:r>
      <w:r w:rsidR="006B16A0" w:rsidRPr="004034C1">
        <w:rPr>
          <w:rFonts w:ascii="Arial" w:hAnsi="Arial" w:cs="Arial"/>
        </w:rPr>
        <w:t xml:space="preserve"> Care Research Database</w:t>
      </w:r>
      <w:r w:rsidR="00305563" w:rsidRPr="004034C1">
        <w:rPr>
          <w:rFonts w:ascii="Arial" w:hAnsi="Arial" w:cs="Arial"/>
        </w:rPr>
        <w:t>)</w:t>
      </w:r>
      <w:r w:rsidR="00260081">
        <w:rPr>
          <w:rFonts w:ascii="Arial" w:hAnsi="Arial" w:cs="Arial"/>
        </w:rPr>
        <w:t xml:space="preserve"> and </w:t>
      </w:r>
      <w:r w:rsidR="006B16A0" w:rsidRPr="004034C1">
        <w:rPr>
          <w:rFonts w:ascii="Arial" w:hAnsi="Arial" w:cs="Arial"/>
        </w:rPr>
        <w:t>assessed patients</w:t>
      </w:r>
      <w:r w:rsidR="00D13858" w:rsidRPr="004034C1">
        <w:rPr>
          <w:rFonts w:ascii="Arial" w:hAnsi="Arial" w:cs="Arial"/>
        </w:rPr>
        <w:t xml:space="preserve"> </w:t>
      </w:r>
      <w:r w:rsidR="00F47EBA" w:rsidRPr="004034C1">
        <w:rPr>
          <w:rFonts w:ascii="Arial" w:hAnsi="Arial" w:cs="Arial"/>
        </w:rPr>
        <w:t>aged ≥40</w:t>
      </w:r>
      <w:r w:rsidR="00CD7DBB" w:rsidRPr="004034C1">
        <w:rPr>
          <w:rFonts w:ascii="Arial" w:hAnsi="Arial" w:cs="Arial"/>
        </w:rPr>
        <w:t xml:space="preserve"> years</w:t>
      </w:r>
      <w:r w:rsidR="006B16A0" w:rsidRPr="004034C1">
        <w:rPr>
          <w:rFonts w:ascii="Arial" w:hAnsi="Arial" w:cs="Arial"/>
        </w:rPr>
        <w:t xml:space="preserve"> who </w:t>
      </w:r>
      <w:r w:rsidR="00E4698A" w:rsidRPr="004034C1">
        <w:rPr>
          <w:rFonts w:ascii="Arial" w:hAnsi="Arial" w:cs="Arial"/>
        </w:rPr>
        <w:t xml:space="preserve">had an electronically coded </w:t>
      </w:r>
      <w:r w:rsidR="00A578A2" w:rsidRPr="004034C1">
        <w:rPr>
          <w:rFonts w:ascii="Arial" w:hAnsi="Arial" w:cs="Arial"/>
        </w:rPr>
        <w:t>diagnosis</w:t>
      </w:r>
      <w:r w:rsidR="00E4698A" w:rsidRPr="004034C1">
        <w:rPr>
          <w:rFonts w:ascii="Arial" w:hAnsi="Arial" w:cs="Arial"/>
        </w:rPr>
        <w:t xml:space="preserve"> of pulmonary fibrosis</w:t>
      </w:r>
      <w:r w:rsidR="006B16A0" w:rsidRPr="004034C1">
        <w:rPr>
          <w:rFonts w:ascii="Arial" w:hAnsi="Arial" w:cs="Arial"/>
        </w:rPr>
        <w:t xml:space="preserve"> </w:t>
      </w:r>
      <w:r w:rsidR="00A578A2" w:rsidRPr="004034C1">
        <w:rPr>
          <w:rFonts w:ascii="Arial" w:hAnsi="Arial" w:cs="Arial"/>
        </w:rPr>
        <w:t xml:space="preserve">between </w:t>
      </w:r>
      <w:r w:rsidR="00717214" w:rsidRPr="004034C1">
        <w:rPr>
          <w:rFonts w:ascii="Arial" w:hAnsi="Arial" w:cs="Arial"/>
        </w:rPr>
        <w:t>2005</w:t>
      </w:r>
      <w:r w:rsidR="00F47EBA" w:rsidRPr="004034C1">
        <w:rPr>
          <w:rFonts w:ascii="Arial" w:hAnsi="Arial" w:cs="Arial"/>
        </w:rPr>
        <w:t>–201</w:t>
      </w:r>
      <w:r w:rsidR="00717214" w:rsidRPr="004034C1">
        <w:rPr>
          <w:rFonts w:ascii="Arial" w:hAnsi="Arial" w:cs="Arial"/>
        </w:rPr>
        <w:t>5</w:t>
      </w:r>
      <w:r w:rsidR="0071534C" w:rsidRPr="004034C1">
        <w:rPr>
          <w:rFonts w:ascii="Arial" w:hAnsi="Arial" w:cs="Arial"/>
        </w:rPr>
        <w:t xml:space="preserve"> </w:t>
      </w:r>
      <w:r w:rsidR="00A23828" w:rsidRPr="004034C1">
        <w:rPr>
          <w:rFonts w:ascii="Arial" w:hAnsi="Arial" w:cs="Arial"/>
        </w:rPr>
        <w:t xml:space="preserve">and </w:t>
      </w:r>
      <w:r w:rsidR="0071534C" w:rsidRPr="004034C1">
        <w:rPr>
          <w:rFonts w:ascii="Arial" w:hAnsi="Arial" w:cs="Arial"/>
        </w:rPr>
        <w:t xml:space="preserve">a minimum </w:t>
      </w:r>
      <w:r w:rsidR="00AC1AD1" w:rsidRPr="00DB11A6">
        <w:rPr>
          <w:rFonts w:ascii="Arial" w:hAnsi="Arial" w:cs="Arial"/>
        </w:rPr>
        <w:t>two</w:t>
      </w:r>
      <w:r w:rsidR="0051686A" w:rsidRPr="00DB11A6">
        <w:rPr>
          <w:rFonts w:ascii="Arial" w:hAnsi="Arial" w:cs="Arial"/>
        </w:rPr>
        <w:t xml:space="preserve"> </w:t>
      </w:r>
      <w:r w:rsidR="00870C04" w:rsidRPr="00DB11A6">
        <w:rPr>
          <w:rFonts w:ascii="Arial" w:hAnsi="Arial" w:cs="Arial"/>
        </w:rPr>
        <w:t>years continuous medical records prior to diagnosis</w:t>
      </w:r>
      <w:r w:rsidR="0071534C" w:rsidRPr="00DB11A6">
        <w:rPr>
          <w:rFonts w:ascii="Arial" w:hAnsi="Arial" w:cs="Arial"/>
        </w:rPr>
        <w:t xml:space="preserve">. </w:t>
      </w:r>
      <w:r w:rsidR="00A0316F" w:rsidRPr="00DB11A6">
        <w:rPr>
          <w:rFonts w:ascii="Arial" w:hAnsi="Arial" w:cs="Arial"/>
        </w:rPr>
        <w:t>Exclusion criteria consisted of el</w:t>
      </w:r>
      <w:r w:rsidR="00FF2ED1" w:rsidRPr="00DB11A6">
        <w:rPr>
          <w:rFonts w:ascii="Arial" w:hAnsi="Arial" w:cs="Arial"/>
        </w:rPr>
        <w:t xml:space="preserve">ectronic codes for recognised causes of pulmonary fibrosis such as </w:t>
      </w:r>
      <w:r w:rsidR="00BC59DF" w:rsidRPr="00DB11A6">
        <w:rPr>
          <w:rFonts w:ascii="Arial" w:hAnsi="Arial" w:cs="Arial"/>
        </w:rPr>
        <w:t>CTD</w:t>
      </w:r>
      <w:r w:rsidR="00F47EBA" w:rsidRPr="00DB11A6">
        <w:rPr>
          <w:rFonts w:ascii="Arial" w:hAnsi="Arial" w:cs="Arial"/>
        </w:rPr>
        <w:t xml:space="preserve">, </w:t>
      </w:r>
      <w:r w:rsidR="001B7A57" w:rsidRPr="00DB11A6">
        <w:rPr>
          <w:rFonts w:ascii="Arial" w:hAnsi="Arial" w:cs="Arial"/>
        </w:rPr>
        <w:t>sarcoidosis</w:t>
      </w:r>
      <w:r w:rsidR="00F47EBA" w:rsidRPr="00DB11A6">
        <w:rPr>
          <w:rFonts w:ascii="Arial" w:hAnsi="Arial" w:cs="Arial"/>
        </w:rPr>
        <w:t xml:space="preserve"> or</w:t>
      </w:r>
      <w:r w:rsidR="00DD2F04" w:rsidRPr="00DB11A6">
        <w:rPr>
          <w:rFonts w:ascii="Arial" w:hAnsi="Arial" w:cs="Arial"/>
        </w:rPr>
        <w:t xml:space="preserve"> extrinsic</w:t>
      </w:r>
      <w:r w:rsidR="00F47EBA" w:rsidRPr="00DB11A6">
        <w:rPr>
          <w:rFonts w:ascii="Arial" w:hAnsi="Arial" w:cs="Arial"/>
        </w:rPr>
        <w:t xml:space="preserve"> allergic alveolitis. </w:t>
      </w:r>
    </w:p>
    <w:p w14:paraId="0852BC19" w14:textId="00CCA23A" w:rsidR="00671E11" w:rsidRPr="00DB11A6" w:rsidRDefault="0086644E" w:rsidP="00306C71">
      <w:pPr>
        <w:spacing w:line="480" w:lineRule="auto"/>
        <w:rPr>
          <w:rFonts w:ascii="Arial" w:hAnsi="Arial" w:cs="Arial"/>
        </w:rPr>
      </w:pPr>
      <w:r w:rsidRPr="00DB11A6">
        <w:rPr>
          <w:rFonts w:ascii="Arial" w:hAnsi="Arial" w:cs="Arial"/>
          <w:b/>
          <w:bCs/>
        </w:rPr>
        <w:t>Results</w:t>
      </w:r>
      <w:r w:rsidRPr="00DB11A6">
        <w:rPr>
          <w:rFonts w:ascii="Arial" w:hAnsi="Arial" w:cs="Arial"/>
        </w:rPr>
        <w:t xml:space="preserve">: </w:t>
      </w:r>
      <w:r w:rsidR="00E42F73" w:rsidRPr="00DB11A6">
        <w:rPr>
          <w:rFonts w:ascii="Arial" w:hAnsi="Arial" w:cs="Arial"/>
        </w:rPr>
        <w:t>D</w:t>
      </w:r>
      <w:r w:rsidR="00BA500C" w:rsidRPr="00DB11A6">
        <w:rPr>
          <w:rFonts w:ascii="Arial" w:hAnsi="Arial" w:cs="Arial"/>
        </w:rPr>
        <w:t xml:space="preserve">ata for 2223 </w:t>
      </w:r>
      <w:r w:rsidR="00146231" w:rsidRPr="00DB11A6">
        <w:rPr>
          <w:rFonts w:ascii="Arial" w:hAnsi="Arial" w:cs="Arial"/>
        </w:rPr>
        <w:t>p</w:t>
      </w:r>
      <w:r w:rsidR="00770F46" w:rsidRPr="00DB11A6">
        <w:rPr>
          <w:rFonts w:ascii="Arial" w:hAnsi="Arial" w:cs="Arial"/>
        </w:rPr>
        <w:t>atients</w:t>
      </w:r>
      <w:r w:rsidR="00E42F73" w:rsidRPr="00DB11A6">
        <w:rPr>
          <w:rFonts w:ascii="Arial" w:hAnsi="Arial" w:cs="Arial"/>
        </w:rPr>
        <w:t xml:space="preserve"> were assessed</w:t>
      </w:r>
      <w:r w:rsidR="00BA500C" w:rsidRPr="00DB11A6">
        <w:rPr>
          <w:rFonts w:ascii="Arial" w:hAnsi="Arial" w:cs="Arial"/>
        </w:rPr>
        <w:t xml:space="preserve">. </w:t>
      </w:r>
      <w:r w:rsidR="00A578A2" w:rsidRPr="00DB11A6">
        <w:rPr>
          <w:rFonts w:ascii="Arial" w:hAnsi="Arial" w:cs="Arial"/>
        </w:rPr>
        <w:t xml:space="preserve">Over </w:t>
      </w:r>
      <w:r w:rsidR="00762C22" w:rsidRPr="00DB11A6">
        <w:rPr>
          <w:rFonts w:ascii="Arial" w:hAnsi="Arial" w:cs="Arial"/>
        </w:rPr>
        <w:t xml:space="preserve">the </w:t>
      </w:r>
      <w:r w:rsidR="00A578A2" w:rsidRPr="00DB11A6">
        <w:rPr>
          <w:rFonts w:ascii="Arial" w:hAnsi="Arial" w:cs="Arial"/>
        </w:rPr>
        <w:t>10 years</w:t>
      </w:r>
      <w:r w:rsidR="00762C22" w:rsidRPr="00DB11A6">
        <w:rPr>
          <w:rFonts w:ascii="Arial" w:hAnsi="Arial" w:cs="Arial"/>
        </w:rPr>
        <w:t xml:space="preserve"> prior to diagnosis of pulmonary fibrosis</w:t>
      </w:r>
      <w:r w:rsidR="00A578A2" w:rsidRPr="00DB11A6">
        <w:rPr>
          <w:rFonts w:ascii="Arial" w:hAnsi="Arial" w:cs="Arial"/>
        </w:rPr>
        <w:t xml:space="preserve"> t</w:t>
      </w:r>
      <w:r w:rsidR="00692169" w:rsidRPr="00DB11A6">
        <w:rPr>
          <w:rFonts w:ascii="Arial" w:hAnsi="Arial" w:cs="Arial"/>
        </w:rPr>
        <w:t xml:space="preserve">here </w:t>
      </w:r>
      <w:r w:rsidR="00A23828" w:rsidRPr="00DB11A6">
        <w:rPr>
          <w:rFonts w:ascii="Arial" w:hAnsi="Arial" w:cs="Arial"/>
        </w:rPr>
        <w:t xml:space="preserve">was </w:t>
      </w:r>
      <w:r w:rsidR="00692169" w:rsidRPr="00DB11A6">
        <w:rPr>
          <w:rFonts w:ascii="Arial" w:hAnsi="Arial" w:cs="Arial"/>
        </w:rPr>
        <w:t xml:space="preserve">a progressive increase in HRU </w:t>
      </w:r>
      <w:r w:rsidR="00A23828" w:rsidRPr="00DB11A6">
        <w:rPr>
          <w:rFonts w:ascii="Arial" w:hAnsi="Arial" w:cs="Arial"/>
        </w:rPr>
        <w:t xml:space="preserve">across </w:t>
      </w:r>
      <w:r w:rsidR="00305563" w:rsidRPr="00DB11A6">
        <w:rPr>
          <w:rFonts w:ascii="Arial" w:hAnsi="Arial" w:cs="Arial"/>
        </w:rPr>
        <w:t>multiple</w:t>
      </w:r>
      <w:r w:rsidR="00A23828" w:rsidRPr="00DB11A6">
        <w:rPr>
          <w:rFonts w:ascii="Arial" w:hAnsi="Arial" w:cs="Arial"/>
        </w:rPr>
        <w:t xml:space="preserve"> </w:t>
      </w:r>
      <w:r w:rsidR="0076366D" w:rsidRPr="00DB11A6">
        <w:rPr>
          <w:rFonts w:ascii="Arial" w:hAnsi="Arial" w:cs="Arial"/>
        </w:rPr>
        <w:t>lower respiratory (LR)</w:t>
      </w:r>
      <w:r w:rsidR="00A23828" w:rsidRPr="00DB11A6">
        <w:rPr>
          <w:rFonts w:ascii="Arial" w:hAnsi="Arial" w:cs="Arial"/>
        </w:rPr>
        <w:t>-related domains</w:t>
      </w:r>
      <w:r w:rsidR="00692169" w:rsidRPr="00DB11A6">
        <w:rPr>
          <w:rFonts w:ascii="Arial" w:hAnsi="Arial" w:cs="Arial"/>
        </w:rPr>
        <w:t>.</w:t>
      </w:r>
      <w:r w:rsidR="00A23828" w:rsidRPr="00DB11A6">
        <w:rPr>
          <w:rFonts w:ascii="Arial" w:hAnsi="Arial" w:cs="Arial"/>
        </w:rPr>
        <w:t xml:space="preserve"> </w:t>
      </w:r>
      <w:r w:rsidR="0072318E" w:rsidRPr="00DB11A6">
        <w:rPr>
          <w:rFonts w:ascii="Arial" w:hAnsi="Arial" w:cs="Arial"/>
        </w:rPr>
        <w:t xml:space="preserve">Five years before diagnosis, </w:t>
      </w:r>
      <w:r w:rsidR="0076366D" w:rsidRPr="00DB11A6">
        <w:rPr>
          <w:rFonts w:ascii="Arial" w:hAnsi="Arial" w:cs="Arial"/>
        </w:rPr>
        <w:t xml:space="preserve">18% of patients </w:t>
      </w:r>
      <w:r w:rsidR="00762C22" w:rsidRPr="00DB11A6">
        <w:rPr>
          <w:rFonts w:ascii="Arial" w:hAnsi="Arial" w:cs="Arial"/>
        </w:rPr>
        <w:t>had</w:t>
      </w:r>
      <w:r w:rsidR="0076366D" w:rsidRPr="00DB11A6">
        <w:rPr>
          <w:rFonts w:ascii="Arial" w:hAnsi="Arial" w:cs="Arial"/>
        </w:rPr>
        <w:t xml:space="preserve"> multiple </w:t>
      </w:r>
      <w:r w:rsidR="00762C22" w:rsidRPr="00DB11A6">
        <w:rPr>
          <w:rFonts w:ascii="Arial" w:hAnsi="Arial" w:cs="Arial"/>
        </w:rPr>
        <w:t>healthcare contacts for LR complaints</w:t>
      </w:r>
      <w:r w:rsidR="0076366D" w:rsidRPr="00DB11A6">
        <w:rPr>
          <w:rFonts w:ascii="Arial" w:hAnsi="Arial" w:cs="Arial"/>
        </w:rPr>
        <w:t>; this increased to 79% in the year before diagnosis</w:t>
      </w:r>
      <w:r w:rsidR="00783766" w:rsidRPr="00DB11A6">
        <w:rPr>
          <w:rFonts w:ascii="Arial" w:hAnsi="Arial" w:cs="Arial"/>
        </w:rPr>
        <w:t xml:space="preserve">, with </w:t>
      </w:r>
      <w:r w:rsidR="0076366D" w:rsidRPr="00DB11A6">
        <w:rPr>
          <w:rFonts w:ascii="Arial" w:hAnsi="Arial" w:cs="Arial"/>
        </w:rPr>
        <w:t>38%</w:t>
      </w:r>
      <w:r w:rsidR="00783766" w:rsidRPr="00DB11A6">
        <w:rPr>
          <w:rFonts w:ascii="Arial" w:hAnsi="Arial" w:cs="Arial"/>
        </w:rPr>
        <w:t xml:space="preserve"> of patients</w:t>
      </w:r>
      <w:r w:rsidR="0076366D" w:rsidRPr="00DB11A6">
        <w:rPr>
          <w:rFonts w:ascii="Arial" w:hAnsi="Arial" w:cs="Arial"/>
        </w:rPr>
        <w:t xml:space="preserve"> having five or more healthcare contacts.</w:t>
      </w:r>
    </w:p>
    <w:p w14:paraId="6906BB69" w14:textId="26E1A406" w:rsidR="00642868" w:rsidRPr="00DB11A6" w:rsidRDefault="0086644E" w:rsidP="00306C71">
      <w:pPr>
        <w:spacing w:line="480" w:lineRule="auto"/>
        <w:rPr>
          <w:rFonts w:ascii="Arial" w:hAnsi="Arial" w:cs="Arial"/>
        </w:rPr>
      </w:pPr>
      <w:r w:rsidRPr="00DB11A6">
        <w:rPr>
          <w:rFonts w:ascii="Arial" w:hAnsi="Arial" w:cs="Arial"/>
          <w:b/>
          <w:bCs/>
        </w:rPr>
        <w:t>Conclusion</w:t>
      </w:r>
      <w:r w:rsidRPr="00DB11A6">
        <w:rPr>
          <w:rFonts w:ascii="Arial" w:hAnsi="Arial" w:cs="Arial"/>
        </w:rPr>
        <w:t xml:space="preserve">: </w:t>
      </w:r>
      <w:r w:rsidR="00642868" w:rsidRPr="00DB11A6">
        <w:rPr>
          <w:rFonts w:ascii="Arial" w:hAnsi="Arial" w:cs="Arial"/>
        </w:rPr>
        <w:t>There are opportunities to diagnose pulmonary fibrosis at an earlier stage</w:t>
      </w:r>
      <w:r w:rsidR="00FF547E" w:rsidRPr="00DB11A6">
        <w:rPr>
          <w:rFonts w:ascii="Arial" w:hAnsi="Arial" w:cs="Arial"/>
        </w:rPr>
        <w:t>; research</w:t>
      </w:r>
      <w:r w:rsidR="00191A74" w:rsidRPr="00DB11A6">
        <w:rPr>
          <w:rFonts w:ascii="Arial" w:hAnsi="Arial" w:cs="Arial"/>
        </w:rPr>
        <w:t xml:space="preserve"> </w:t>
      </w:r>
      <w:r w:rsidR="00FF547E" w:rsidRPr="00DB11A6">
        <w:rPr>
          <w:rFonts w:ascii="Arial" w:hAnsi="Arial" w:cs="Arial"/>
        </w:rPr>
        <w:t xml:space="preserve">into </w:t>
      </w:r>
      <w:r w:rsidR="00191A74" w:rsidRPr="00DB11A6">
        <w:rPr>
          <w:rFonts w:ascii="Arial" w:hAnsi="Arial" w:cs="Arial"/>
        </w:rPr>
        <w:t>case-finding algorithms and strategies</w:t>
      </w:r>
      <w:r w:rsidR="00FF547E" w:rsidRPr="00DB11A6">
        <w:rPr>
          <w:rFonts w:ascii="Arial" w:hAnsi="Arial" w:cs="Arial"/>
        </w:rPr>
        <w:t xml:space="preserve"> to </w:t>
      </w:r>
      <w:r w:rsidR="00191A74" w:rsidRPr="00DB11A6">
        <w:rPr>
          <w:rFonts w:ascii="Arial" w:hAnsi="Arial" w:cs="Arial"/>
        </w:rPr>
        <w:t xml:space="preserve">educate </w:t>
      </w:r>
      <w:r w:rsidR="00FF547E" w:rsidRPr="00DB11A6">
        <w:rPr>
          <w:rFonts w:ascii="Arial" w:hAnsi="Arial" w:cs="Arial"/>
        </w:rPr>
        <w:t>primary care physicians</w:t>
      </w:r>
      <w:r w:rsidR="00395D96" w:rsidRPr="00DB11A6">
        <w:rPr>
          <w:rFonts w:ascii="Arial" w:hAnsi="Arial" w:cs="Arial"/>
        </w:rPr>
        <w:t xml:space="preserve"> is required</w:t>
      </w:r>
      <w:r w:rsidR="00FF547E" w:rsidRPr="00DB11A6">
        <w:rPr>
          <w:rFonts w:ascii="Arial" w:hAnsi="Arial" w:cs="Arial"/>
        </w:rPr>
        <w:t>.</w:t>
      </w:r>
    </w:p>
    <w:p w14:paraId="007E14F3" w14:textId="5A184EE8" w:rsidR="0072318E" w:rsidRPr="00DB11A6" w:rsidRDefault="0072318E" w:rsidP="00306C71">
      <w:pPr>
        <w:spacing w:line="480" w:lineRule="auto"/>
        <w:rPr>
          <w:rFonts w:ascii="Arial" w:hAnsi="Arial" w:cs="Arial"/>
          <w:b/>
          <w:szCs w:val="22"/>
        </w:rPr>
      </w:pPr>
    </w:p>
    <w:p w14:paraId="1942B203" w14:textId="4C5EEB72" w:rsidR="00323E90" w:rsidRPr="00DB11A6" w:rsidRDefault="0086644E" w:rsidP="00323E90">
      <w:r w:rsidRPr="00DB11A6">
        <w:rPr>
          <w:rFonts w:ascii="Arial" w:hAnsi="Arial" w:cs="Arial"/>
          <w:b/>
          <w:szCs w:val="22"/>
        </w:rPr>
        <w:t xml:space="preserve">Short title: </w:t>
      </w:r>
      <w:r w:rsidR="00323E90" w:rsidRPr="00DB11A6">
        <w:rPr>
          <w:rFonts w:ascii="Arial" w:hAnsi="Arial" w:cs="Arial"/>
          <w:bCs/>
          <w:szCs w:val="22"/>
        </w:rPr>
        <w:t>Earlier diagnosis of pulmonary fibrosis</w:t>
      </w:r>
    </w:p>
    <w:p w14:paraId="5F015D8E" w14:textId="77777777" w:rsidR="0086644E" w:rsidRPr="00DB11A6" w:rsidRDefault="0086644E" w:rsidP="00306C71">
      <w:pPr>
        <w:spacing w:line="480" w:lineRule="auto"/>
        <w:rPr>
          <w:rFonts w:ascii="Arial" w:hAnsi="Arial" w:cs="Arial"/>
          <w:b/>
          <w:szCs w:val="22"/>
        </w:rPr>
      </w:pPr>
    </w:p>
    <w:p w14:paraId="5C770CF3" w14:textId="07A7C7E3" w:rsidR="007A02DF" w:rsidRPr="00DB11A6" w:rsidRDefault="007A02DF" w:rsidP="007A02DF">
      <w:pPr>
        <w:spacing w:line="480" w:lineRule="auto"/>
        <w:rPr>
          <w:rFonts w:ascii="Arial" w:hAnsi="Arial" w:cs="Arial"/>
        </w:rPr>
      </w:pPr>
      <w:r w:rsidRPr="00DB11A6">
        <w:rPr>
          <w:rFonts w:ascii="Arial" w:hAnsi="Arial" w:cs="Arial"/>
          <w:b/>
        </w:rPr>
        <w:t xml:space="preserve">Key Words: </w:t>
      </w:r>
      <w:r w:rsidR="004F2689" w:rsidRPr="00DB11A6">
        <w:rPr>
          <w:rFonts w:ascii="Arial" w:hAnsi="Arial" w:cs="Arial"/>
        </w:rPr>
        <w:t>Pulmonary Fibrosis</w:t>
      </w:r>
      <w:r w:rsidRPr="00DB11A6">
        <w:rPr>
          <w:rFonts w:ascii="Arial" w:hAnsi="Arial" w:cs="Arial"/>
        </w:rPr>
        <w:t xml:space="preserve">, </w:t>
      </w:r>
      <w:r w:rsidR="004F2689" w:rsidRPr="00DB11A6">
        <w:rPr>
          <w:rFonts w:ascii="Arial" w:hAnsi="Arial" w:cs="Arial"/>
        </w:rPr>
        <w:t xml:space="preserve">Cough, Respiratory function tests, Clinical Epidemiology, Clinical Respiratory Medicine </w:t>
      </w:r>
    </w:p>
    <w:p w14:paraId="08885F26" w14:textId="77777777" w:rsidR="0086644E" w:rsidRPr="00DB11A6" w:rsidRDefault="0086644E">
      <w:pPr>
        <w:rPr>
          <w:rFonts w:ascii="Arial" w:hAnsi="Arial" w:cs="Arial"/>
          <w:b/>
          <w:szCs w:val="22"/>
        </w:rPr>
      </w:pPr>
      <w:r w:rsidRPr="00DB11A6">
        <w:rPr>
          <w:rFonts w:ascii="Arial" w:hAnsi="Arial" w:cs="Arial"/>
          <w:b/>
          <w:szCs w:val="22"/>
        </w:rPr>
        <w:br w:type="page"/>
      </w:r>
    </w:p>
    <w:p w14:paraId="7FF66951" w14:textId="276C8072" w:rsidR="002E2A7B" w:rsidRPr="00DB11A6" w:rsidRDefault="008740F6" w:rsidP="00306C71">
      <w:pPr>
        <w:spacing w:line="480" w:lineRule="auto"/>
        <w:contextualSpacing/>
        <w:rPr>
          <w:rFonts w:ascii="Arial" w:hAnsi="Arial" w:cs="Arial"/>
          <w:b/>
          <w:szCs w:val="22"/>
        </w:rPr>
      </w:pPr>
      <w:r w:rsidRPr="004034C1">
        <w:rPr>
          <w:rFonts w:ascii="Arial" w:hAnsi="Arial" w:cs="Arial"/>
          <w:b/>
          <w:szCs w:val="22"/>
        </w:rPr>
        <w:lastRenderedPageBreak/>
        <w:t>INTRODUCTION</w:t>
      </w:r>
    </w:p>
    <w:p w14:paraId="2B334DBA" w14:textId="1ED81D3D" w:rsidR="003546BA" w:rsidRPr="00DB11A6" w:rsidRDefault="002C04AC" w:rsidP="00306C71">
      <w:pPr>
        <w:spacing w:line="480" w:lineRule="auto"/>
        <w:contextualSpacing/>
        <w:rPr>
          <w:rFonts w:ascii="Arial" w:hAnsi="Arial" w:cs="Arial"/>
          <w:shd w:val="clear" w:color="auto" w:fill="FFFFFF"/>
        </w:rPr>
      </w:pPr>
      <w:r w:rsidRPr="00DB11A6">
        <w:rPr>
          <w:rFonts w:ascii="Arial" w:hAnsi="Arial" w:cs="Arial"/>
          <w:shd w:val="clear" w:color="auto" w:fill="FFFFFF"/>
        </w:rPr>
        <w:t xml:space="preserve">Idiopathic pulmonary fibrosis (IPF) is </w:t>
      </w:r>
      <w:r w:rsidR="003546BA" w:rsidRPr="00DB11A6">
        <w:rPr>
          <w:rFonts w:ascii="Arial" w:hAnsi="Arial" w:cs="Arial"/>
          <w:shd w:val="clear" w:color="auto" w:fill="FFFFFF"/>
        </w:rPr>
        <w:t xml:space="preserve">a </w:t>
      </w:r>
      <w:r w:rsidR="00DB3679" w:rsidRPr="00DB11A6">
        <w:rPr>
          <w:rFonts w:ascii="Arial" w:hAnsi="Arial" w:cs="Arial"/>
          <w:shd w:val="clear" w:color="auto" w:fill="FFFFFF"/>
        </w:rPr>
        <w:t>form</w:t>
      </w:r>
      <w:r w:rsidR="003546BA" w:rsidRPr="00DB11A6">
        <w:rPr>
          <w:rFonts w:ascii="Arial" w:hAnsi="Arial" w:cs="Arial"/>
          <w:shd w:val="clear" w:color="auto" w:fill="FFFFFF"/>
        </w:rPr>
        <w:t xml:space="preserve"> of chronic, progressive fibrotic lung disease</w:t>
      </w:r>
      <w:r w:rsidRPr="00DB11A6">
        <w:rPr>
          <w:rFonts w:ascii="Arial" w:hAnsi="Arial" w:cs="Arial"/>
          <w:shd w:val="clear" w:color="auto" w:fill="FFFFFF"/>
        </w:rPr>
        <w:t>. It affect</w:t>
      </w:r>
      <w:r w:rsidR="00383E9F" w:rsidRPr="00DB11A6">
        <w:rPr>
          <w:rFonts w:ascii="Arial" w:hAnsi="Arial" w:cs="Arial"/>
          <w:shd w:val="clear" w:color="auto" w:fill="FFFFFF"/>
        </w:rPr>
        <w:t>s</w:t>
      </w:r>
      <w:r w:rsidR="000C6A70" w:rsidRPr="00DB11A6">
        <w:rPr>
          <w:rFonts w:ascii="Arial" w:hAnsi="Arial" w:cs="Arial"/>
          <w:shd w:val="clear" w:color="auto" w:fill="FFFFFF"/>
        </w:rPr>
        <w:t xml:space="preserve"> 14–43 people per 100,000</w:t>
      </w:r>
      <w:r w:rsidR="00DB3679" w:rsidRPr="00DB11A6">
        <w:rPr>
          <w:rFonts w:ascii="Arial" w:hAnsi="Arial" w:cs="Arial"/>
          <w:shd w:val="clear" w:color="auto" w:fill="FFFFFF"/>
        </w:rPr>
        <w:t xml:space="preserve">, with </w:t>
      </w:r>
      <w:r w:rsidR="00E1342E" w:rsidRPr="00DB11A6">
        <w:rPr>
          <w:rFonts w:ascii="Arial" w:hAnsi="Arial" w:cs="Arial"/>
          <w:shd w:val="clear" w:color="auto" w:fill="FFFFFF"/>
        </w:rPr>
        <w:t xml:space="preserve">a mean age </w:t>
      </w:r>
      <w:r w:rsidR="00FB3070" w:rsidRPr="00DB11A6">
        <w:rPr>
          <w:rFonts w:ascii="Arial" w:hAnsi="Arial" w:cs="Arial"/>
          <w:shd w:val="clear" w:color="auto" w:fill="FFFFFF"/>
        </w:rPr>
        <w:t xml:space="preserve">at </w:t>
      </w:r>
      <w:r w:rsidR="00E1342E" w:rsidRPr="00DB11A6">
        <w:rPr>
          <w:rFonts w:ascii="Arial" w:hAnsi="Arial" w:cs="Arial"/>
          <w:shd w:val="clear" w:color="auto" w:fill="FFFFFF"/>
        </w:rPr>
        <w:t>presentation of 66 years</w:t>
      </w:r>
      <w:r w:rsidR="00DA48DC" w:rsidRPr="00DB11A6">
        <w:rPr>
          <w:rFonts w:ascii="Arial" w:hAnsi="Arial" w:cs="Arial"/>
          <w:shd w:val="clear" w:color="auto" w:fill="FFFFFF"/>
        </w:rPr>
        <w:t xml:space="preserve"> [</w:t>
      </w:r>
      <w:r w:rsidR="004034C1" w:rsidRPr="00DB11A6">
        <w:rPr>
          <w:rFonts w:ascii="Arial" w:hAnsi="Arial" w:cs="Arial"/>
          <w:shd w:val="clear" w:color="auto" w:fill="FFFFFF"/>
        </w:rPr>
        <w:t>1–4</w:t>
      </w:r>
      <w:r w:rsidR="00DA48DC" w:rsidRPr="00DB11A6">
        <w:rPr>
          <w:rFonts w:ascii="Arial" w:hAnsi="Arial" w:cs="Arial"/>
          <w:shd w:val="clear" w:color="auto" w:fill="FFFFFF"/>
        </w:rPr>
        <w:t>].</w:t>
      </w:r>
      <w:r w:rsidR="003546BA" w:rsidRPr="00DB11A6">
        <w:rPr>
          <w:rFonts w:ascii="Arial" w:hAnsi="Arial" w:cs="Arial"/>
          <w:shd w:val="clear" w:color="auto" w:fill="FFFFFF"/>
        </w:rPr>
        <w:t xml:space="preserve"> </w:t>
      </w:r>
      <w:r w:rsidR="00527425" w:rsidRPr="00DB11A6">
        <w:rPr>
          <w:rFonts w:ascii="Arial" w:hAnsi="Arial" w:cs="Arial"/>
          <w:shd w:val="clear" w:color="auto" w:fill="FFFFFF"/>
        </w:rPr>
        <w:t>M</w:t>
      </w:r>
      <w:r w:rsidR="003546BA" w:rsidRPr="00DB11A6">
        <w:rPr>
          <w:rFonts w:ascii="Arial" w:hAnsi="Arial" w:cs="Arial"/>
          <w:shd w:val="clear" w:color="auto" w:fill="FFFFFF"/>
        </w:rPr>
        <w:t>edian post-diagnostic survival of</w:t>
      </w:r>
      <w:r w:rsidR="003A237B" w:rsidRPr="00DB11A6">
        <w:rPr>
          <w:rFonts w:ascii="Arial" w:hAnsi="Arial" w:cs="Arial"/>
          <w:shd w:val="clear" w:color="auto" w:fill="FFFFFF"/>
        </w:rPr>
        <w:t xml:space="preserve"> IPF is</w:t>
      </w:r>
      <w:r w:rsidR="003546BA" w:rsidRPr="00DB11A6">
        <w:rPr>
          <w:rFonts w:ascii="Arial" w:hAnsi="Arial" w:cs="Arial"/>
          <w:shd w:val="clear" w:color="auto" w:fill="FFFFFF"/>
        </w:rPr>
        <w:t xml:space="preserve"> 2–5 years</w:t>
      </w:r>
      <w:r w:rsidR="003A237B" w:rsidRPr="00DB11A6">
        <w:rPr>
          <w:rFonts w:ascii="Arial" w:hAnsi="Arial" w:cs="Arial"/>
          <w:shd w:val="clear" w:color="auto" w:fill="FFFFFF"/>
        </w:rPr>
        <w:t>, with</w:t>
      </w:r>
      <w:r w:rsidR="003546BA" w:rsidRPr="00DB11A6">
        <w:rPr>
          <w:rFonts w:ascii="Arial" w:hAnsi="Arial" w:cs="Arial"/>
          <w:shd w:val="clear" w:color="auto" w:fill="FFFFFF"/>
        </w:rPr>
        <w:t xml:space="preserve"> a 5-year survival of 20%</w:t>
      </w:r>
      <w:r w:rsidR="00DA48DC" w:rsidRPr="00DB11A6">
        <w:rPr>
          <w:rFonts w:ascii="Arial" w:hAnsi="Arial" w:cs="Arial"/>
          <w:shd w:val="clear" w:color="auto" w:fill="FFFFFF"/>
        </w:rPr>
        <w:t xml:space="preserve"> [</w:t>
      </w:r>
      <w:r w:rsidR="004034C1" w:rsidRPr="00DB11A6">
        <w:rPr>
          <w:rFonts w:ascii="Arial" w:hAnsi="Arial" w:cs="Arial"/>
          <w:shd w:val="clear" w:color="auto" w:fill="FFFFFF"/>
        </w:rPr>
        <w:t>3,5</w:t>
      </w:r>
      <w:r w:rsidR="00DA48DC" w:rsidRPr="00DB11A6">
        <w:rPr>
          <w:rFonts w:ascii="Arial" w:hAnsi="Arial" w:cs="Arial"/>
          <w:shd w:val="clear" w:color="auto" w:fill="FFFFFF"/>
        </w:rPr>
        <w:t xml:space="preserve">]. </w:t>
      </w:r>
      <w:r w:rsidR="00BC59DF" w:rsidRPr="00DB11A6">
        <w:rPr>
          <w:rFonts w:ascii="Arial" w:hAnsi="Arial" w:cs="Arial"/>
          <w:shd w:val="clear" w:color="auto" w:fill="FFFFFF"/>
        </w:rPr>
        <w:t>T</w:t>
      </w:r>
      <w:r w:rsidR="00E33FD4" w:rsidRPr="00DB11A6">
        <w:rPr>
          <w:rFonts w:ascii="Arial" w:hAnsi="Arial" w:cs="Arial"/>
          <w:shd w:val="clear" w:color="auto" w:fill="FFFFFF"/>
        </w:rPr>
        <w:t>here is a lack of public awareness</w:t>
      </w:r>
      <w:r w:rsidR="00BC59DF" w:rsidRPr="00DB11A6">
        <w:rPr>
          <w:rFonts w:ascii="Arial" w:hAnsi="Arial" w:cs="Arial"/>
          <w:shd w:val="clear" w:color="auto" w:fill="FFFFFF"/>
        </w:rPr>
        <w:t>,</w:t>
      </w:r>
      <w:r w:rsidR="008926F3" w:rsidRPr="00DB11A6">
        <w:rPr>
          <w:rFonts w:ascii="Arial" w:hAnsi="Arial" w:cs="Arial"/>
          <w:shd w:val="clear" w:color="auto" w:fill="FFFFFF"/>
        </w:rPr>
        <w:t xml:space="preserve"> </w:t>
      </w:r>
      <w:r w:rsidR="00541C5C" w:rsidRPr="00DB11A6">
        <w:rPr>
          <w:rFonts w:ascii="Arial" w:hAnsi="Arial" w:cs="Arial"/>
          <w:shd w:val="clear" w:color="auto" w:fill="FFFFFF"/>
        </w:rPr>
        <w:t>yet</w:t>
      </w:r>
      <w:r w:rsidR="00AF0E27" w:rsidRPr="00DB11A6">
        <w:rPr>
          <w:rFonts w:ascii="Arial" w:hAnsi="Arial" w:cs="Arial"/>
          <w:shd w:val="clear" w:color="auto" w:fill="FFFFFF"/>
        </w:rPr>
        <w:t xml:space="preserve"> IPF</w:t>
      </w:r>
      <w:r w:rsidR="00541C5C" w:rsidRPr="00DB11A6">
        <w:rPr>
          <w:rFonts w:ascii="Arial" w:hAnsi="Arial" w:cs="Arial"/>
          <w:shd w:val="clear" w:color="auto" w:fill="FFFFFF"/>
        </w:rPr>
        <w:t xml:space="preserve"> </w:t>
      </w:r>
      <w:r w:rsidR="00770F46" w:rsidRPr="00DB11A6">
        <w:rPr>
          <w:rFonts w:ascii="Arial" w:hAnsi="Arial" w:cs="Arial"/>
          <w:shd w:val="clear" w:color="auto" w:fill="FFFFFF"/>
        </w:rPr>
        <w:t xml:space="preserve">kills more people </w:t>
      </w:r>
      <w:r w:rsidR="00AF0E27" w:rsidRPr="00DB11A6">
        <w:rPr>
          <w:rFonts w:ascii="Arial" w:hAnsi="Arial" w:cs="Arial"/>
          <w:shd w:val="clear" w:color="auto" w:fill="FFFFFF"/>
        </w:rPr>
        <w:t xml:space="preserve">per </w:t>
      </w:r>
      <w:r w:rsidR="00770F46" w:rsidRPr="00DB11A6">
        <w:rPr>
          <w:rFonts w:ascii="Arial" w:hAnsi="Arial" w:cs="Arial"/>
          <w:shd w:val="clear" w:color="auto" w:fill="FFFFFF"/>
        </w:rPr>
        <w:t>year than leukaemia or ovarian cancer</w:t>
      </w:r>
      <w:r w:rsidR="007F26E5" w:rsidRPr="00DB11A6">
        <w:rPr>
          <w:rFonts w:ascii="Arial" w:hAnsi="Arial" w:cs="Arial"/>
          <w:shd w:val="clear" w:color="auto" w:fill="FFFFFF"/>
        </w:rPr>
        <w:t>,</w:t>
      </w:r>
      <w:r w:rsidR="00060F0B" w:rsidRPr="00DB11A6">
        <w:rPr>
          <w:rFonts w:ascii="Arial" w:hAnsi="Arial" w:cs="Arial"/>
          <w:shd w:val="clear" w:color="auto" w:fill="FFFFFF"/>
        </w:rPr>
        <w:t xml:space="preserve"> </w:t>
      </w:r>
      <w:r w:rsidR="007F26E5" w:rsidRPr="00DB11A6">
        <w:rPr>
          <w:rFonts w:ascii="Arial" w:hAnsi="Arial" w:cs="Arial"/>
          <w:shd w:val="clear" w:color="auto" w:fill="FFFFFF"/>
        </w:rPr>
        <w:t>with</w:t>
      </w:r>
      <w:r w:rsidR="00060F0B" w:rsidRPr="00DB11A6">
        <w:rPr>
          <w:rFonts w:ascii="Arial" w:hAnsi="Arial" w:cs="Arial"/>
          <w:shd w:val="clear" w:color="auto" w:fill="FFFFFF"/>
        </w:rPr>
        <w:t xml:space="preserve"> the number affected increasing</w:t>
      </w:r>
      <w:r w:rsidR="00DA48DC" w:rsidRPr="00DB11A6">
        <w:rPr>
          <w:rFonts w:ascii="Arial" w:hAnsi="Arial" w:cs="Arial"/>
          <w:shd w:val="clear" w:color="auto" w:fill="FFFFFF"/>
        </w:rPr>
        <w:t xml:space="preserve"> [</w:t>
      </w:r>
      <w:r w:rsidR="005C3A9C" w:rsidRPr="00DB11A6">
        <w:rPr>
          <w:rFonts w:ascii="Arial" w:hAnsi="Arial" w:cs="Arial"/>
          <w:shd w:val="clear" w:color="auto" w:fill="FFFFFF"/>
        </w:rPr>
        <w:t>6</w:t>
      </w:r>
      <w:r w:rsidR="00DA48DC" w:rsidRPr="00DB11A6">
        <w:rPr>
          <w:rFonts w:ascii="Arial" w:hAnsi="Arial" w:cs="Arial"/>
          <w:shd w:val="clear" w:color="auto" w:fill="FFFFFF"/>
        </w:rPr>
        <w:t>].</w:t>
      </w:r>
    </w:p>
    <w:p w14:paraId="6A399CFA" w14:textId="77777777" w:rsidR="003546BA" w:rsidRPr="00DB11A6" w:rsidRDefault="003546BA" w:rsidP="00306C71">
      <w:pPr>
        <w:spacing w:line="480" w:lineRule="auto"/>
        <w:contextualSpacing/>
        <w:rPr>
          <w:rFonts w:ascii="Arial" w:hAnsi="Arial" w:cs="Arial"/>
          <w:shd w:val="clear" w:color="auto" w:fill="FFFFFF"/>
        </w:rPr>
      </w:pPr>
    </w:p>
    <w:p w14:paraId="3F481CCE" w14:textId="30236E38" w:rsidR="002E2A7B" w:rsidRPr="00DB11A6" w:rsidRDefault="00945B3F" w:rsidP="00306C71">
      <w:pPr>
        <w:spacing w:line="480" w:lineRule="auto"/>
        <w:contextualSpacing/>
        <w:rPr>
          <w:rFonts w:ascii="Arial" w:hAnsi="Arial" w:cs="Arial"/>
          <w:shd w:val="clear" w:color="auto" w:fill="FFFFFF"/>
        </w:rPr>
      </w:pPr>
      <w:r w:rsidRPr="00DB11A6">
        <w:rPr>
          <w:rFonts w:ascii="Arial" w:hAnsi="Arial" w:cs="Arial"/>
          <w:shd w:val="clear" w:color="auto" w:fill="FFFFFF"/>
        </w:rPr>
        <w:t>Historica</w:t>
      </w:r>
      <w:r w:rsidR="005F61B5" w:rsidRPr="00DB11A6">
        <w:rPr>
          <w:rFonts w:ascii="Arial" w:hAnsi="Arial" w:cs="Arial"/>
          <w:shd w:val="clear" w:color="auto" w:fill="FFFFFF"/>
        </w:rPr>
        <w:t>l</w:t>
      </w:r>
      <w:r w:rsidRPr="00DB11A6">
        <w:rPr>
          <w:rFonts w:ascii="Arial" w:hAnsi="Arial" w:cs="Arial"/>
          <w:shd w:val="clear" w:color="auto" w:fill="FFFFFF"/>
        </w:rPr>
        <w:t>ly,</w:t>
      </w:r>
      <w:r w:rsidR="005F61B5" w:rsidRPr="00DB11A6">
        <w:rPr>
          <w:rFonts w:ascii="Arial" w:hAnsi="Arial" w:cs="Arial"/>
          <w:shd w:val="clear" w:color="auto" w:fill="FFFFFF"/>
        </w:rPr>
        <w:t xml:space="preserve"> </w:t>
      </w:r>
      <w:r w:rsidR="002C04AC" w:rsidRPr="00DB11A6">
        <w:rPr>
          <w:rFonts w:ascii="Arial" w:hAnsi="Arial" w:cs="Arial"/>
          <w:shd w:val="clear" w:color="auto" w:fill="FFFFFF"/>
        </w:rPr>
        <w:t xml:space="preserve">treatment </w:t>
      </w:r>
      <w:r w:rsidR="007737F2" w:rsidRPr="00DB11A6">
        <w:rPr>
          <w:rFonts w:ascii="Arial" w:hAnsi="Arial" w:cs="Arial"/>
          <w:shd w:val="clear" w:color="auto" w:fill="FFFFFF"/>
        </w:rPr>
        <w:t>of</w:t>
      </w:r>
      <w:r w:rsidR="00E33FD4" w:rsidRPr="00DB11A6">
        <w:rPr>
          <w:rFonts w:ascii="Arial" w:hAnsi="Arial" w:cs="Arial"/>
          <w:shd w:val="clear" w:color="auto" w:fill="FFFFFF"/>
        </w:rPr>
        <w:t xml:space="preserve"> IPF </w:t>
      </w:r>
      <w:r w:rsidR="005F61B5" w:rsidRPr="00DB11A6">
        <w:rPr>
          <w:rFonts w:ascii="Arial" w:hAnsi="Arial" w:cs="Arial"/>
          <w:shd w:val="clear" w:color="auto" w:fill="FFFFFF"/>
        </w:rPr>
        <w:t>w</w:t>
      </w:r>
      <w:r w:rsidR="007737F2" w:rsidRPr="00DB11A6">
        <w:rPr>
          <w:rFonts w:ascii="Arial" w:hAnsi="Arial" w:cs="Arial"/>
          <w:shd w:val="clear" w:color="auto" w:fill="FFFFFF"/>
        </w:rPr>
        <w:t>as</w:t>
      </w:r>
      <w:r w:rsidR="002C04AC" w:rsidRPr="00DB11A6">
        <w:rPr>
          <w:rFonts w:ascii="Arial" w:hAnsi="Arial" w:cs="Arial"/>
          <w:shd w:val="clear" w:color="auto" w:fill="FFFFFF"/>
        </w:rPr>
        <w:t xml:space="preserve"> limited</w:t>
      </w:r>
      <w:r w:rsidR="005F61B5" w:rsidRPr="00DB11A6">
        <w:rPr>
          <w:rFonts w:ascii="Arial" w:hAnsi="Arial" w:cs="Arial"/>
          <w:shd w:val="clear" w:color="auto" w:fill="FFFFFF"/>
        </w:rPr>
        <w:t xml:space="preserve"> to</w:t>
      </w:r>
      <w:r w:rsidR="002C04AC" w:rsidRPr="00DB11A6">
        <w:rPr>
          <w:rFonts w:ascii="Arial" w:hAnsi="Arial" w:cs="Arial"/>
          <w:shd w:val="clear" w:color="auto" w:fill="FFFFFF"/>
        </w:rPr>
        <w:t xml:space="preserve"> s</w:t>
      </w:r>
      <w:r w:rsidR="005F61B5" w:rsidRPr="00DB11A6">
        <w:rPr>
          <w:rFonts w:ascii="Arial" w:hAnsi="Arial" w:cs="Arial"/>
          <w:shd w:val="clear" w:color="auto" w:fill="FFFFFF"/>
        </w:rPr>
        <w:t>ymptom management and palliation</w:t>
      </w:r>
      <w:r w:rsidR="0097468E" w:rsidRPr="00DB11A6">
        <w:rPr>
          <w:rFonts w:ascii="Arial" w:hAnsi="Arial" w:cs="Arial"/>
          <w:shd w:val="clear" w:color="auto" w:fill="FFFFFF"/>
        </w:rPr>
        <w:t>,</w:t>
      </w:r>
      <w:r w:rsidR="005F61B5" w:rsidRPr="00DB11A6">
        <w:rPr>
          <w:rFonts w:ascii="Arial" w:hAnsi="Arial" w:cs="Arial"/>
          <w:shd w:val="clear" w:color="auto" w:fill="FFFFFF"/>
        </w:rPr>
        <w:t xml:space="preserve"> </w:t>
      </w:r>
      <w:r w:rsidR="008472E0" w:rsidRPr="00DB11A6">
        <w:rPr>
          <w:rFonts w:ascii="Arial" w:hAnsi="Arial" w:cs="Arial"/>
          <w:shd w:val="clear" w:color="auto" w:fill="FFFFFF"/>
        </w:rPr>
        <w:t xml:space="preserve">potentially </w:t>
      </w:r>
      <w:r w:rsidR="005F61B5" w:rsidRPr="00DB11A6">
        <w:rPr>
          <w:rFonts w:ascii="Arial" w:hAnsi="Arial" w:cs="Arial"/>
          <w:shd w:val="clear" w:color="auto" w:fill="FFFFFF"/>
        </w:rPr>
        <w:t>providing little motivation</w:t>
      </w:r>
      <w:r w:rsidR="008472E0" w:rsidRPr="00DB11A6">
        <w:rPr>
          <w:rFonts w:ascii="Arial" w:hAnsi="Arial" w:cs="Arial"/>
          <w:shd w:val="clear" w:color="auto" w:fill="FFFFFF"/>
        </w:rPr>
        <w:t xml:space="preserve"> </w:t>
      </w:r>
      <w:r w:rsidR="000C6A70" w:rsidRPr="00DB11A6">
        <w:rPr>
          <w:rFonts w:ascii="Arial" w:hAnsi="Arial" w:cs="Arial"/>
          <w:shd w:val="clear" w:color="auto" w:fill="FFFFFF"/>
        </w:rPr>
        <w:t>for earlier</w:t>
      </w:r>
      <w:r w:rsidR="00BF74FB" w:rsidRPr="00DB11A6">
        <w:rPr>
          <w:rFonts w:ascii="Arial" w:hAnsi="Arial" w:cs="Arial"/>
          <w:shd w:val="clear" w:color="auto" w:fill="FFFFFF"/>
        </w:rPr>
        <w:t xml:space="preserve"> d</w:t>
      </w:r>
      <w:r w:rsidR="005F61B5" w:rsidRPr="00DB11A6">
        <w:rPr>
          <w:rFonts w:ascii="Arial" w:hAnsi="Arial" w:cs="Arial"/>
          <w:shd w:val="clear" w:color="auto" w:fill="FFFFFF"/>
        </w:rPr>
        <w:t>iagnos</w:t>
      </w:r>
      <w:r w:rsidR="0082027F" w:rsidRPr="00DB11A6">
        <w:rPr>
          <w:rFonts w:ascii="Arial" w:hAnsi="Arial" w:cs="Arial"/>
          <w:shd w:val="clear" w:color="auto" w:fill="FFFFFF"/>
        </w:rPr>
        <w:t>is</w:t>
      </w:r>
      <w:r w:rsidRPr="00DB11A6">
        <w:rPr>
          <w:rFonts w:ascii="Arial" w:hAnsi="Arial" w:cs="Arial"/>
          <w:shd w:val="clear" w:color="auto" w:fill="FFFFFF"/>
        </w:rPr>
        <w:t>.</w:t>
      </w:r>
      <w:r w:rsidR="00E33FD4" w:rsidRPr="00DB11A6">
        <w:rPr>
          <w:rFonts w:ascii="Arial" w:hAnsi="Arial" w:cs="Arial"/>
          <w:shd w:val="clear" w:color="auto" w:fill="FFFFFF"/>
        </w:rPr>
        <w:t xml:space="preserve"> </w:t>
      </w:r>
      <w:r w:rsidR="008472E0" w:rsidRPr="00DB11A6">
        <w:rPr>
          <w:rFonts w:ascii="Arial" w:hAnsi="Arial" w:cs="Arial"/>
          <w:shd w:val="clear" w:color="auto" w:fill="FFFFFF"/>
        </w:rPr>
        <w:t>However, e</w:t>
      </w:r>
      <w:r w:rsidR="0082027F" w:rsidRPr="00DB11A6">
        <w:rPr>
          <w:rFonts w:ascii="Arial" w:hAnsi="Arial" w:cs="Arial"/>
          <w:shd w:val="clear" w:color="auto" w:fill="FFFFFF"/>
        </w:rPr>
        <w:t xml:space="preserve">ven </w:t>
      </w:r>
      <w:r w:rsidR="00CA6F3D" w:rsidRPr="00DB11A6">
        <w:rPr>
          <w:rFonts w:ascii="Arial" w:hAnsi="Arial" w:cs="Arial"/>
          <w:shd w:val="clear" w:color="auto" w:fill="FFFFFF"/>
        </w:rPr>
        <w:t>without</w:t>
      </w:r>
      <w:r w:rsidR="0082027F" w:rsidRPr="00DB11A6">
        <w:rPr>
          <w:rFonts w:ascii="Arial" w:hAnsi="Arial" w:cs="Arial"/>
          <w:shd w:val="clear" w:color="auto" w:fill="FFFFFF"/>
        </w:rPr>
        <w:t xml:space="preserve"> approved pharmacological treatment</w:t>
      </w:r>
      <w:r w:rsidR="007D4366" w:rsidRPr="00DB11A6">
        <w:rPr>
          <w:rFonts w:ascii="Arial" w:hAnsi="Arial" w:cs="Arial"/>
          <w:shd w:val="clear" w:color="auto" w:fill="FFFFFF"/>
        </w:rPr>
        <w:t>,</w:t>
      </w:r>
      <w:r w:rsidR="0082027F" w:rsidRPr="00DB11A6">
        <w:rPr>
          <w:rFonts w:ascii="Arial" w:hAnsi="Arial" w:cs="Arial"/>
          <w:shd w:val="clear" w:color="auto" w:fill="FFFFFF"/>
        </w:rPr>
        <w:t xml:space="preserve"> delayed access to specialist interstitial lung disease </w:t>
      </w:r>
      <w:r w:rsidR="007D4366" w:rsidRPr="00DB11A6">
        <w:rPr>
          <w:rFonts w:ascii="Arial" w:hAnsi="Arial" w:cs="Arial"/>
          <w:shd w:val="clear" w:color="auto" w:fill="FFFFFF"/>
        </w:rPr>
        <w:t xml:space="preserve">(ILD) </w:t>
      </w:r>
      <w:r w:rsidR="0082027F" w:rsidRPr="00DB11A6">
        <w:rPr>
          <w:rFonts w:ascii="Arial" w:hAnsi="Arial" w:cs="Arial"/>
          <w:shd w:val="clear" w:color="auto" w:fill="FFFFFF"/>
        </w:rPr>
        <w:t>service</w:t>
      </w:r>
      <w:r w:rsidR="007D4366" w:rsidRPr="00DB11A6">
        <w:rPr>
          <w:rFonts w:ascii="Arial" w:hAnsi="Arial" w:cs="Arial"/>
          <w:shd w:val="clear" w:color="auto" w:fill="FFFFFF"/>
        </w:rPr>
        <w:t>s</w:t>
      </w:r>
      <w:r w:rsidR="0082027F" w:rsidRPr="00DB11A6">
        <w:rPr>
          <w:rFonts w:ascii="Arial" w:hAnsi="Arial" w:cs="Arial"/>
          <w:shd w:val="clear" w:color="auto" w:fill="FFFFFF"/>
        </w:rPr>
        <w:t xml:space="preserve"> increase</w:t>
      </w:r>
      <w:r w:rsidR="00CA6F3D" w:rsidRPr="00DB11A6">
        <w:rPr>
          <w:rFonts w:ascii="Arial" w:hAnsi="Arial" w:cs="Arial"/>
          <w:shd w:val="clear" w:color="auto" w:fill="FFFFFF"/>
        </w:rPr>
        <w:t>s</w:t>
      </w:r>
      <w:r w:rsidR="0082027F" w:rsidRPr="00DB11A6">
        <w:rPr>
          <w:rFonts w:ascii="Arial" w:hAnsi="Arial" w:cs="Arial"/>
          <w:shd w:val="clear" w:color="auto" w:fill="FFFFFF"/>
        </w:rPr>
        <w:t xml:space="preserve"> risk of death</w:t>
      </w:r>
      <w:r w:rsidR="00DA48DC" w:rsidRPr="00DB11A6">
        <w:rPr>
          <w:rFonts w:ascii="Arial" w:hAnsi="Arial" w:cs="Arial"/>
          <w:shd w:val="clear" w:color="auto" w:fill="FFFFFF"/>
        </w:rPr>
        <w:t xml:space="preserve"> [</w:t>
      </w:r>
      <w:r w:rsidR="005C3A9C" w:rsidRPr="00DB11A6">
        <w:rPr>
          <w:rFonts w:ascii="Arial" w:hAnsi="Arial" w:cs="Arial"/>
          <w:shd w:val="clear" w:color="auto" w:fill="FFFFFF"/>
        </w:rPr>
        <w:t>7</w:t>
      </w:r>
      <w:r w:rsidR="00DA48DC" w:rsidRPr="00DB11A6">
        <w:rPr>
          <w:rFonts w:ascii="Arial" w:hAnsi="Arial" w:cs="Arial"/>
          <w:shd w:val="clear" w:color="auto" w:fill="FFFFFF"/>
        </w:rPr>
        <w:t>].</w:t>
      </w:r>
      <w:r w:rsidR="000C6A70" w:rsidRPr="00DB11A6">
        <w:rPr>
          <w:rFonts w:ascii="Arial" w:hAnsi="Arial" w:cs="Arial"/>
          <w:shd w:val="clear" w:color="auto" w:fill="FFFFFF"/>
        </w:rPr>
        <w:t xml:space="preserve"> </w:t>
      </w:r>
      <w:r w:rsidR="009D664B" w:rsidRPr="00DB11A6">
        <w:rPr>
          <w:rFonts w:ascii="Arial" w:hAnsi="Arial" w:cs="Arial"/>
          <w:shd w:val="clear" w:color="auto" w:fill="FFFFFF"/>
        </w:rPr>
        <w:t>R</w:t>
      </w:r>
      <w:r w:rsidR="005F61B5" w:rsidRPr="00DB11A6">
        <w:rPr>
          <w:rFonts w:ascii="Arial" w:hAnsi="Arial" w:cs="Arial"/>
          <w:shd w:val="clear" w:color="auto" w:fill="FFFFFF"/>
        </w:rPr>
        <w:t xml:space="preserve">ecent </w:t>
      </w:r>
      <w:r w:rsidR="0082027F" w:rsidRPr="00DB11A6">
        <w:rPr>
          <w:rFonts w:ascii="Arial" w:hAnsi="Arial" w:cs="Arial"/>
          <w:shd w:val="clear" w:color="auto" w:fill="FFFFFF"/>
        </w:rPr>
        <w:t xml:space="preserve">approval </w:t>
      </w:r>
      <w:r w:rsidR="005F61B5" w:rsidRPr="00DB11A6">
        <w:rPr>
          <w:rFonts w:ascii="Arial" w:hAnsi="Arial" w:cs="Arial"/>
          <w:shd w:val="clear" w:color="auto" w:fill="FFFFFF"/>
        </w:rPr>
        <w:t xml:space="preserve">of two effective anti-fibrotic treatments </w:t>
      </w:r>
      <w:r w:rsidR="000C6A70" w:rsidRPr="00DB11A6">
        <w:rPr>
          <w:rFonts w:ascii="Arial" w:hAnsi="Arial" w:cs="Arial"/>
          <w:shd w:val="clear" w:color="auto" w:fill="FFFFFF"/>
        </w:rPr>
        <w:t>(</w:t>
      </w:r>
      <w:proofErr w:type="spellStart"/>
      <w:r w:rsidR="000C6A70" w:rsidRPr="00DB11A6">
        <w:rPr>
          <w:rFonts w:ascii="Arial" w:hAnsi="Arial" w:cs="Arial"/>
          <w:shd w:val="clear" w:color="auto" w:fill="FFFFFF"/>
        </w:rPr>
        <w:t>nintedanib</w:t>
      </w:r>
      <w:proofErr w:type="spellEnd"/>
      <w:r w:rsidR="000C6A70" w:rsidRPr="00DB11A6">
        <w:rPr>
          <w:rFonts w:ascii="Arial" w:hAnsi="Arial" w:cs="Arial"/>
          <w:shd w:val="clear" w:color="auto" w:fill="FFFFFF"/>
        </w:rPr>
        <w:t xml:space="preserve"> and pirfenidone)</w:t>
      </w:r>
      <w:r w:rsidR="009E655B" w:rsidRPr="00DB11A6">
        <w:rPr>
          <w:rFonts w:ascii="Arial" w:hAnsi="Arial" w:cs="Arial"/>
          <w:shd w:val="clear" w:color="auto" w:fill="FFFFFF"/>
        </w:rPr>
        <w:t>, which slow disease progression</w:t>
      </w:r>
      <w:r w:rsidR="00BC59DF" w:rsidRPr="00DB11A6">
        <w:rPr>
          <w:rFonts w:ascii="Arial" w:hAnsi="Arial" w:cs="Arial"/>
          <w:shd w:val="clear" w:color="auto" w:fill="FFFFFF"/>
        </w:rPr>
        <w:t>,</w:t>
      </w:r>
      <w:r w:rsidR="000C6A70" w:rsidRPr="00DB11A6">
        <w:rPr>
          <w:rFonts w:ascii="Arial" w:hAnsi="Arial" w:cs="Arial"/>
          <w:shd w:val="clear" w:color="auto" w:fill="FFFFFF"/>
        </w:rPr>
        <w:t xml:space="preserve"> heralds a new era for </w:t>
      </w:r>
      <w:r w:rsidR="005F61B5" w:rsidRPr="00DB11A6">
        <w:rPr>
          <w:rFonts w:ascii="Arial" w:hAnsi="Arial" w:cs="Arial"/>
          <w:shd w:val="clear" w:color="auto" w:fill="FFFFFF"/>
        </w:rPr>
        <w:t>patients with IPF</w:t>
      </w:r>
      <w:r w:rsidR="00DA48DC" w:rsidRPr="00DB11A6">
        <w:rPr>
          <w:rFonts w:ascii="Arial" w:hAnsi="Arial" w:cs="Arial"/>
          <w:shd w:val="clear" w:color="auto" w:fill="FFFFFF"/>
        </w:rPr>
        <w:t xml:space="preserve"> [</w:t>
      </w:r>
      <w:r w:rsidR="005C3A9C" w:rsidRPr="00DB11A6">
        <w:rPr>
          <w:rFonts w:ascii="Arial" w:hAnsi="Arial" w:cs="Arial"/>
          <w:shd w:val="clear" w:color="auto" w:fill="FFFFFF"/>
        </w:rPr>
        <w:t>8</w:t>
      </w:r>
      <w:r w:rsidR="004034C1" w:rsidRPr="00DB11A6">
        <w:rPr>
          <w:rFonts w:ascii="Arial" w:hAnsi="Arial" w:cs="Arial"/>
          <w:shd w:val="clear" w:color="auto" w:fill="FFFFFF"/>
        </w:rPr>
        <w:t>,</w:t>
      </w:r>
      <w:r w:rsidR="005C3A9C" w:rsidRPr="00DB11A6">
        <w:rPr>
          <w:rFonts w:ascii="Arial" w:hAnsi="Arial" w:cs="Arial"/>
          <w:shd w:val="clear" w:color="auto" w:fill="FFFFFF"/>
        </w:rPr>
        <w:t>9</w:t>
      </w:r>
      <w:r w:rsidR="00DA48DC" w:rsidRPr="00DB11A6">
        <w:rPr>
          <w:rFonts w:ascii="Arial" w:hAnsi="Arial" w:cs="Arial"/>
          <w:shd w:val="clear" w:color="auto" w:fill="FFFFFF"/>
        </w:rPr>
        <w:t>].</w:t>
      </w:r>
      <w:r w:rsidR="005F61B5" w:rsidRPr="00DB11A6">
        <w:rPr>
          <w:rFonts w:ascii="Arial" w:hAnsi="Arial" w:cs="Arial"/>
          <w:shd w:val="clear" w:color="auto" w:fill="FFFFFF"/>
        </w:rPr>
        <w:t xml:space="preserve"> </w:t>
      </w:r>
      <w:r w:rsidR="000C6A70" w:rsidRPr="00DB11A6">
        <w:rPr>
          <w:rFonts w:ascii="Arial" w:hAnsi="Arial" w:cs="Arial"/>
          <w:shd w:val="clear" w:color="auto" w:fill="FFFFFF"/>
        </w:rPr>
        <w:t>Thus</w:t>
      </w:r>
      <w:r w:rsidR="002D0852" w:rsidRPr="00DB11A6">
        <w:rPr>
          <w:rFonts w:ascii="Arial" w:hAnsi="Arial" w:cs="Arial"/>
          <w:shd w:val="clear" w:color="auto" w:fill="FFFFFF"/>
        </w:rPr>
        <w:t>,</w:t>
      </w:r>
      <w:r w:rsidR="0082027F" w:rsidRPr="00DB11A6">
        <w:rPr>
          <w:rFonts w:ascii="Arial" w:hAnsi="Arial" w:cs="Arial"/>
          <w:shd w:val="clear" w:color="auto" w:fill="FFFFFF"/>
        </w:rPr>
        <w:t xml:space="preserve"> the importance of an early and accurate diagnosis is clear</w:t>
      </w:r>
      <w:r w:rsidR="00DA48DC" w:rsidRPr="00DB11A6">
        <w:rPr>
          <w:rFonts w:ascii="Arial" w:hAnsi="Arial" w:cs="Arial"/>
          <w:shd w:val="clear" w:color="auto" w:fill="FFFFFF"/>
        </w:rPr>
        <w:t xml:space="preserve"> [</w:t>
      </w:r>
      <w:r w:rsidR="004034C1" w:rsidRPr="00DB11A6">
        <w:rPr>
          <w:rFonts w:ascii="Arial" w:hAnsi="Arial" w:cs="Arial"/>
          <w:shd w:val="clear" w:color="auto" w:fill="FFFFFF"/>
        </w:rPr>
        <w:t>1</w:t>
      </w:r>
      <w:r w:rsidR="005C3A9C" w:rsidRPr="00DB11A6">
        <w:rPr>
          <w:rFonts w:ascii="Arial" w:hAnsi="Arial" w:cs="Arial"/>
          <w:shd w:val="clear" w:color="auto" w:fill="FFFFFF"/>
        </w:rPr>
        <w:t>0</w:t>
      </w:r>
      <w:r w:rsidR="00DA48DC" w:rsidRPr="00DB11A6">
        <w:rPr>
          <w:rFonts w:ascii="Arial" w:hAnsi="Arial" w:cs="Arial"/>
          <w:shd w:val="clear" w:color="auto" w:fill="FFFFFF"/>
        </w:rPr>
        <w:t>].</w:t>
      </w:r>
    </w:p>
    <w:p w14:paraId="4C85D996" w14:textId="77777777" w:rsidR="00722B0A" w:rsidRPr="00DB11A6" w:rsidRDefault="00722B0A" w:rsidP="00306C71">
      <w:pPr>
        <w:spacing w:line="480" w:lineRule="auto"/>
        <w:contextualSpacing/>
        <w:rPr>
          <w:rFonts w:ascii="Arial" w:hAnsi="Arial" w:cs="Arial"/>
          <w:shd w:val="clear" w:color="auto" w:fill="FFFFFF"/>
        </w:rPr>
      </w:pPr>
    </w:p>
    <w:p w14:paraId="1DEA7CF9" w14:textId="08A439F5" w:rsidR="00722B0A" w:rsidRPr="00DB11A6" w:rsidRDefault="008D6B9A" w:rsidP="00306C71">
      <w:pPr>
        <w:spacing w:line="480" w:lineRule="auto"/>
        <w:contextualSpacing/>
        <w:rPr>
          <w:rFonts w:ascii="Arial" w:hAnsi="Arial" w:cs="Arial"/>
          <w:shd w:val="clear" w:color="auto" w:fill="FFFFFF"/>
        </w:rPr>
      </w:pPr>
      <w:r w:rsidRPr="00DB11A6">
        <w:rPr>
          <w:rFonts w:ascii="Arial" w:hAnsi="Arial" w:cs="Arial"/>
          <w:shd w:val="clear" w:color="auto" w:fill="FFFFFF"/>
        </w:rPr>
        <w:t>While early diagnosis and treatment of IPF is now widely advocated</w:t>
      </w:r>
      <w:r w:rsidR="00DA48DC" w:rsidRPr="00DB11A6">
        <w:rPr>
          <w:rFonts w:ascii="Arial" w:hAnsi="Arial" w:cs="Arial"/>
          <w:shd w:val="clear" w:color="auto" w:fill="FFFFFF"/>
        </w:rPr>
        <w:t xml:space="preserve"> [</w:t>
      </w:r>
      <w:r w:rsidR="004034C1" w:rsidRPr="00DB11A6">
        <w:rPr>
          <w:rFonts w:ascii="Arial" w:hAnsi="Arial" w:cs="Arial"/>
          <w:shd w:val="clear" w:color="auto" w:fill="FFFFFF"/>
        </w:rPr>
        <w:t>1</w:t>
      </w:r>
      <w:r w:rsidR="005C3A9C" w:rsidRPr="00DB11A6">
        <w:rPr>
          <w:rFonts w:ascii="Arial" w:hAnsi="Arial" w:cs="Arial"/>
          <w:shd w:val="clear" w:color="auto" w:fill="FFFFFF"/>
        </w:rPr>
        <w:t>1</w:t>
      </w:r>
      <w:r w:rsidR="004034C1" w:rsidRPr="00DB11A6">
        <w:rPr>
          <w:rFonts w:ascii="Arial" w:hAnsi="Arial" w:cs="Arial"/>
          <w:shd w:val="clear" w:color="auto" w:fill="FFFFFF"/>
        </w:rPr>
        <w:t>,1</w:t>
      </w:r>
      <w:r w:rsidR="005C3A9C" w:rsidRPr="00DB11A6">
        <w:rPr>
          <w:rFonts w:ascii="Arial" w:hAnsi="Arial" w:cs="Arial"/>
          <w:shd w:val="clear" w:color="auto" w:fill="FFFFFF"/>
        </w:rPr>
        <w:t>2</w:t>
      </w:r>
      <w:r w:rsidR="00DA48DC" w:rsidRPr="00DB11A6">
        <w:rPr>
          <w:rFonts w:ascii="Arial" w:hAnsi="Arial" w:cs="Arial"/>
          <w:shd w:val="clear" w:color="auto" w:fill="FFFFFF"/>
        </w:rPr>
        <w:t>],</w:t>
      </w:r>
      <w:r w:rsidR="004034C1" w:rsidRPr="00DB11A6">
        <w:rPr>
          <w:rFonts w:ascii="Arial" w:hAnsi="Arial" w:cs="Arial"/>
          <w:shd w:val="clear" w:color="auto" w:fill="FFFFFF"/>
        </w:rPr>
        <w:t xml:space="preserve"> </w:t>
      </w:r>
      <w:r w:rsidRPr="00DB11A6">
        <w:rPr>
          <w:rFonts w:ascii="Arial" w:hAnsi="Arial" w:cs="Arial"/>
          <w:shd w:val="clear" w:color="auto" w:fill="FFFFFF"/>
        </w:rPr>
        <w:t xml:space="preserve">how </w:t>
      </w:r>
      <w:r w:rsidR="00365447" w:rsidRPr="00DB11A6">
        <w:rPr>
          <w:rFonts w:ascii="Arial" w:hAnsi="Arial" w:cs="Arial"/>
          <w:shd w:val="clear" w:color="auto" w:fill="FFFFFF"/>
        </w:rPr>
        <w:t xml:space="preserve">this </w:t>
      </w:r>
      <w:r w:rsidR="00E33FD4" w:rsidRPr="00DB11A6">
        <w:rPr>
          <w:rFonts w:ascii="Arial" w:hAnsi="Arial" w:cs="Arial"/>
          <w:shd w:val="clear" w:color="auto" w:fill="FFFFFF"/>
        </w:rPr>
        <w:t>can</w:t>
      </w:r>
      <w:r w:rsidRPr="00DB11A6">
        <w:rPr>
          <w:rFonts w:ascii="Arial" w:hAnsi="Arial" w:cs="Arial"/>
          <w:shd w:val="clear" w:color="auto" w:fill="FFFFFF"/>
        </w:rPr>
        <w:t xml:space="preserve"> be achieved remains </w:t>
      </w:r>
      <w:r w:rsidR="00E33FD4" w:rsidRPr="00DB11A6">
        <w:rPr>
          <w:rFonts w:ascii="Arial" w:hAnsi="Arial" w:cs="Arial"/>
          <w:shd w:val="clear" w:color="auto" w:fill="FFFFFF"/>
        </w:rPr>
        <w:t>less clear</w:t>
      </w:r>
      <w:r w:rsidRPr="00DB11A6">
        <w:rPr>
          <w:rFonts w:ascii="Arial" w:hAnsi="Arial" w:cs="Arial"/>
          <w:shd w:val="clear" w:color="auto" w:fill="FFFFFF"/>
        </w:rPr>
        <w:t>.</w:t>
      </w:r>
      <w:r w:rsidR="00AA4042" w:rsidRPr="00DB11A6">
        <w:rPr>
          <w:rFonts w:ascii="Arial" w:hAnsi="Arial" w:cs="Arial"/>
          <w:shd w:val="clear" w:color="auto" w:fill="FFFFFF"/>
        </w:rPr>
        <w:t xml:space="preserve"> </w:t>
      </w:r>
      <w:r w:rsidRPr="00DB11A6">
        <w:rPr>
          <w:rFonts w:ascii="Arial" w:hAnsi="Arial" w:cs="Arial"/>
          <w:shd w:val="clear" w:color="auto" w:fill="FFFFFF"/>
        </w:rPr>
        <w:t xml:space="preserve">Precision </w:t>
      </w:r>
      <w:r w:rsidR="007F26E5" w:rsidRPr="00DB11A6">
        <w:rPr>
          <w:rFonts w:ascii="Arial" w:hAnsi="Arial" w:cs="Arial"/>
          <w:shd w:val="clear" w:color="auto" w:fill="FFFFFF"/>
        </w:rPr>
        <w:t>m</w:t>
      </w:r>
      <w:r w:rsidRPr="00DB11A6">
        <w:rPr>
          <w:rFonts w:ascii="Arial" w:hAnsi="Arial" w:cs="Arial"/>
          <w:shd w:val="clear" w:color="auto" w:fill="FFFFFF"/>
        </w:rPr>
        <w:t>edicine and genomic techniques</w:t>
      </w:r>
      <w:r w:rsidR="002316AD" w:rsidRPr="00DB11A6">
        <w:rPr>
          <w:rFonts w:ascii="Arial" w:hAnsi="Arial" w:cs="Arial"/>
          <w:shd w:val="clear" w:color="auto" w:fill="FFFFFF"/>
        </w:rPr>
        <w:t xml:space="preserve"> </w:t>
      </w:r>
      <w:r w:rsidRPr="00DB11A6">
        <w:rPr>
          <w:rFonts w:ascii="Arial" w:hAnsi="Arial" w:cs="Arial"/>
          <w:shd w:val="clear" w:color="auto" w:fill="FFFFFF"/>
        </w:rPr>
        <w:t xml:space="preserve">are being </w:t>
      </w:r>
      <w:r w:rsidR="002316AD" w:rsidRPr="00DB11A6">
        <w:rPr>
          <w:rFonts w:ascii="Arial" w:hAnsi="Arial" w:cs="Arial"/>
          <w:shd w:val="clear" w:color="auto" w:fill="FFFFFF"/>
        </w:rPr>
        <w:t xml:space="preserve">widely </w:t>
      </w:r>
      <w:r w:rsidRPr="00DB11A6">
        <w:rPr>
          <w:rFonts w:ascii="Arial" w:hAnsi="Arial" w:cs="Arial"/>
          <w:shd w:val="clear" w:color="auto" w:fill="FFFFFF"/>
        </w:rPr>
        <w:t xml:space="preserve">researched </w:t>
      </w:r>
      <w:r w:rsidR="00A1761C" w:rsidRPr="00DB11A6">
        <w:rPr>
          <w:rFonts w:ascii="Arial" w:hAnsi="Arial" w:cs="Arial"/>
          <w:shd w:val="clear" w:color="auto" w:fill="FFFFFF"/>
        </w:rPr>
        <w:t>to</w:t>
      </w:r>
      <w:r w:rsidRPr="00DB11A6">
        <w:rPr>
          <w:rFonts w:ascii="Arial" w:hAnsi="Arial" w:cs="Arial"/>
          <w:shd w:val="clear" w:color="auto" w:fill="FFFFFF"/>
        </w:rPr>
        <w:t xml:space="preserve"> identify blood- or lung-specific </w:t>
      </w:r>
      <w:r w:rsidR="00A1761C" w:rsidRPr="00DB11A6">
        <w:rPr>
          <w:rFonts w:ascii="Arial" w:hAnsi="Arial" w:cs="Arial"/>
          <w:shd w:val="clear" w:color="auto" w:fill="FFFFFF"/>
        </w:rPr>
        <w:t>bio</w:t>
      </w:r>
      <w:r w:rsidRPr="00DB11A6">
        <w:rPr>
          <w:rFonts w:ascii="Arial" w:hAnsi="Arial" w:cs="Arial"/>
          <w:shd w:val="clear" w:color="auto" w:fill="FFFFFF"/>
        </w:rPr>
        <w:t>markers to enhance</w:t>
      </w:r>
      <w:r w:rsidR="00365447" w:rsidRPr="00DB11A6">
        <w:rPr>
          <w:rFonts w:ascii="Arial" w:hAnsi="Arial" w:cs="Arial"/>
          <w:shd w:val="clear" w:color="auto" w:fill="FFFFFF"/>
        </w:rPr>
        <w:t xml:space="preserve"> IPF</w:t>
      </w:r>
      <w:r w:rsidRPr="00DB11A6">
        <w:rPr>
          <w:rFonts w:ascii="Arial" w:hAnsi="Arial" w:cs="Arial"/>
          <w:shd w:val="clear" w:color="auto" w:fill="FFFFFF"/>
        </w:rPr>
        <w:t xml:space="preserve"> diagnos</w:t>
      </w:r>
      <w:r w:rsidR="00365447" w:rsidRPr="00DB11A6">
        <w:rPr>
          <w:rFonts w:ascii="Arial" w:hAnsi="Arial" w:cs="Arial"/>
          <w:shd w:val="clear" w:color="auto" w:fill="FFFFFF"/>
        </w:rPr>
        <w:t>is</w:t>
      </w:r>
      <w:r w:rsidR="00DA48DC" w:rsidRPr="00DB11A6">
        <w:rPr>
          <w:rFonts w:ascii="Arial" w:hAnsi="Arial" w:cs="Arial"/>
          <w:shd w:val="clear" w:color="auto" w:fill="FFFFFF"/>
        </w:rPr>
        <w:t xml:space="preserve"> [</w:t>
      </w:r>
      <w:r w:rsidR="004034C1" w:rsidRPr="00DB11A6">
        <w:rPr>
          <w:rFonts w:ascii="Arial" w:hAnsi="Arial" w:cs="Arial"/>
          <w:shd w:val="clear" w:color="auto" w:fill="FFFFFF"/>
        </w:rPr>
        <w:t>1</w:t>
      </w:r>
      <w:r w:rsidR="005C3A9C" w:rsidRPr="00DB11A6">
        <w:rPr>
          <w:rFonts w:ascii="Arial" w:hAnsi="Arial" w:cs="Arial"/>
          <w:shd w:val="clear" w:color="auto" w:fill="FFFFFF"/>
        </w:rPr>
        <w:t>3</w:t>
      </w:r>
      <w:r w:rsidR="00DA48DC" w:rsidRPr="00DB11A6">
        <w:rPr>
          <w:rFonts w:ascii="Arial" w:hAnsi="Arial" w:cs="Arial"/>
          <w:shd w:val="clear" w:color="auto" w:fill="FFFFFF"/>
        </w:rPr>
        <w:t>].</w:t>
      </w:r>
      <w:r w:rsidRPr="00DB11A6">
        <w:rPr>
          <w:rFonts w:ascii="Arial" w:hAnsi="Arial" w:cs="Arial"/>
          <w:shd w:val="clear" w:color="auto" w:fill="FFFFFF"/>
        </w:rPr>
        <w:t xml:space="preserve"> </w:t>
      </w:r>
      <w:r w:rsidR="0026434C" w:rsidRPr="00DB11A6">
        <w:rPr>
          <w:rFonts w:ascii="Arial" w:hAnsi="Arial" w:cs="Arial"/>
          <w:shd w:val="clear" w:color="auto" w:fill="FFFFFF"/>
        </w:rPr>
        <w:t>However</w:t>
      </w:r>
      <w:r w:rsidR="009E655B" w:rsidRPr="00DB11A6">
        <w:rPr>
          <w:rFonts w:ascii="Arial" w:hAnsi="Arial" w:cs="Arial"/>
          <w:shd w:val="clear" w:color="auto" w:fill="FFFFFF"/>
        </w:rPr>
        <w:t>,</w:t>
      </w:r>
      <w:r w:rsidR="00972704" w:rsidRPr="00DB11A6">
        <w:rPr>
          <w:rFonts w:ascii="Arial" w:hAnsi="Arial" w:cs="Arial"/>
          <w:shd w:val="clear" w:color="auto" w:fill="FFFFFF"/>
        </w:rPr>
        <w:t xml:space="preserve"> </w:t>
      </w:r>
      <w:r w:rsidRPr="00DB11A6">
        <w:rPr>
          <w:rFonts w:ascii="Arial" w:hAnsi="Arial" w:cs="Arial"/>
          <w:shd w:val="clear" w:color="auto" w:fill="FFFFFF"/>
        </w:rPr>
        <w:t xml:space="preserve">such methodologies </w:t>
      </w:r>
      <w:r w:rsidR="00365447" w:rsidRPr="00DB11A6">
        <w:rPr>
          <w:rFonts w:ascii="Arial" w:hAnsi="Arial" w:cs="Arial"/>
          <w:shd w:val="clear" w:color="auto" w:fill="FFFFFF"/>
        </w:rPr>
        <w:t xml:space="preserve">are </w:t>
      </w:r>
      <w:r w:rsidRPr="00DB11A6">
        <w:rPr>
          <w:rFonts w:ascii="Arial" w:hAnsi="Arial" w:cs="Arial"/>
          <w:shd w:val="clear" w:color="auto" w:fill="FFFFFF"/>
        </w:rPr>
        <w:t>available only in specialist centres</w:t>
      </w:r>
      <w:r w:rsidR="00FC7B0C" w:rsidRPr="00DB11A6">
        <w:rPr>
          <w:rFonts w:ascii="Arial" w:hAnsi="Arial" w:cs="Arial"/>
          <w:shd w:val="clear" w:color="auto" w:fill="FFFFFF"/>
        </w:rPr>
        <w:t>,</w:t>
      </w:r>
      <w:r w:rsidR="00972704" w:rsidRPr="00DB11A6">
        <w:rPr>
          <w:rFonts w:ascii="Arial" w:hAnsi="Arial" w:cs="Arial"/>
          <w:shd w:val="clear" w:color="auto" w:fill="FFFFFF"/>
        </w:rPr>
        <w:t xml:space="preserve"> access to which first </w:t>
      </w:r>
      <w:r w:rsidRPr="00DB11A6">
        <w:rPr>
          <w:rFonts w:ascii="Arial" w:hAnsi="Arial" w:cs="Arial"/>
          <w:shd w:val="clear" w:color="auto" w:fill="FFFFFF"/>
        </w:rPr>
        <w:t>requires suspicion</w:t>
      </w:r>
      <w:r w:rsidR="00972704" w:rsidRPr="00DB11A6">
        <w:rPr>
          <w:rFonts w:ascii="Arial" w:hAnsi="Arial" w:cs="Arial"/>
          <w:shd w:val="clear" w:color="auto" w:fill="FFFFFF"/>
        </w:rPr>
        <w:t xml:space="preserve">, </w:t>
      </w:r>
      <w:r w:rsidRPr="00DB11A6">
        <w:rPr>
          <w:rFonts w:ascii="Arial" w:hAnsi="Arial" w:cs="Arial"/>
          <w:shd w:val="clear" w:color="auto" w:fill="FFFFFF"/>
        </w:rPr>
        <w:t>or diagnosis</w:t>
      </w:r>
      <w:r w:rsidR="00972704" w:rsidRPr="00DB11A6">
        <w:rPr>
          <w:rFonts w:ascii="Arial" w:hAnsi="Arial" w:cs="Arial"/>
          <w:shd w:val="clear" w:color="auto" w:fill="FFFFFF"/>
        </w:rPr>
        <w:t>,</w:t>
      </w:r>
      <w:r w:rsidRPr="00DB11A6">
        <w:rPr>
          <w:rFonts w:ascii="Arial" w:hAnsi="Arial" w:cs="Arial"/>
          <w:shd w:val="clear" w:color="auto" w:fill="FFFFFF"/>
        </w:rPr>
        <w:t xml:space="preserve"> of </w:t>
      </w:r>
      <w:r w:rsidR="009D607F" w:rsidRPr="00DB11A6">
        <w:rPr>
          <w:rFonts w:ascii="Arial" w:hAnsi="Arial" w:cs="Arial"/>
          <w:shd w:val="clear" w:color="auto" w:fill="FFFFFF"/>
        </w:rPr>
        <w:t>pulmonary</w:t>
      </w:r>
      <w:r w:rsidR="002316AD" w:rsidRPr="00DB11A6">
        <w:rPr>
          <w:rFonts w:ascii="Arial" w:hAnsi="Arial" w:cs="Arial"/>
          <w:shd w:val="clear" w:color="auto" w:fill="FFFFFF"/>
        </w:rPr>
        <w:t xml:space="preserve"> fibrosis</w:t>
      </w:r>
      <w:r w:rsidR="00FC7B0C" w:rsidRPr="00DB11A6">
        <w:rPr>
          <w:rFonts w:ascii="Arial" w:hAnsi="Arial" w:cs="Arial"/>
          <w:shd w:val="clear" w:color="auto" w:fill="FFFFFF"/>
        </w:rPr>
        <w:t>.</w:t>
      </w:r>
      <w:r w:rsidR="0026434C" w:rsidRPr="00DB11A6">
        <w:rPr>
          <w:rFonts w:ascii="Arial" w:hAnsi="Arial" w:cs="Arial"/>
          <w:shd w:val="clear" w:color="auto" w:fill="FFFFFF"/>
        </w:rPr>
        <w:t xml:space="preserve"> </w:t>
      </w:r>
      <w:r w:rsidR="00972704" w:rsidRPr="00DB11A6">
        <w:rPr>
          <w:rFonts w:ascii="Arial" w:hAnsi="Arial" w:cs="Arial"/>
          <w:shd w:val="clear" w:color="auto" w:fill="FFFFFF"/>
        </w:rPr>
        <w:t>A challenge to</w:t>
      </w:r>
      <w:r w:rsidR="008F1C09" w:rsidRPr="00DB11A6">
        <w:rPr>
          <w:rFonts w:ascii="Arial" w:hAnsi="Arial" w:cs="Arial"/>
          <w:shd w:val="clear" w:color="auto" w:fill="FFFFFF"/>
        </w:rPr>
        <w:t xml:space="preserve"> </w:t>
      </w:r>
      <w:r w:rsidR="00E1087A" w:rsidRPr="00DB11A6">
        <w:rPr>
          <w:rFonts w:ascii="Arial" w:hAnsi="Arial" w:cs="Arial"/>
          <w:shd w:val="clear" w:color="auto" w:fill="FFFFFF"/>
        </w:rPr>
        <w:t>the</w:t>
      </w:r>
      <w:r w:rsidR="00972704" w:rsidRPr="00DB11A6">
        <w:rPr>
          <w:rFonts w:ascii="Arial" w:hAnsi="Arial" w:cs="Arial"/>
          <w:shd w:val="clear" w:color="auto" w:fill="FFFFFF"/>
        </w:rPr>
        <w:t xml:space="preserve"> specialist referral </w:t>
      </w:r>
      <w:r w:rsidR="008F1C09" w:rsidRPr="00DB11A6">
        <w:rPr>
          <w:rFonts w:ascii="Arial" w:hAnsi="Arial" w:cs="Arial"/>
          <w:shd w:val="clear" w:color="auto" w:fill="FFFFFF"/>
        </w:rPr>
        <w:t xml:space="preserve">pathway </w:t>
      </w:r>
      <w:r w:rsidR="00972704" w:rsidRPr="00DB11A6">
        <w:rPr>
          <w:rFonts w:ascii="Arial" w:hAnsi="Arial" w:cs="Arial"/>
          <w:shd w:val="clear" w:color="auto" w:fill="FFFFFF"/>
        </w:rPr>
        <w:t>is the limited understanding of t</w:t>
      </w:r>
      <w:r w:rsidR="00722B0A" w:rsidRPr="00DB11A6">
        <w:rPr>
          <w:rFonts w:ascii="Arial" w:hAnsi="Arial" w:cs="Arial"/>
          <w:shd w:val="clear" w:color="auto" w:fill="FFFFFF"/>
        </w:rPr>
        <w:t xml:space="preserve">he natural history of </w:t>
      </w:r>
      <w:r w:rsidR="00DE1C38" w:rsidRPr="00DB11A6">
        <w:rPr>
          <w:rFonts w:ascii="Arial" w:hAnsi="Arial" w:cs="Arial"/>
          <w:shd w:val="clear" w:color="auto" w:fill="FFFFFF"/>
        </w:rPr>
        <w:t>pulmonary fibrosis</w:t>
      </w:r>
      <w:r w:rsidR="00972704" w:rsidRPr="00DB11A6">
        <w:rPr>
          <w:rFonts w:ascii="Arial" w:hAnsi="Arial" w:cs="Arial"/>
          <w:shd w:val="clear" w:color="auto" w:fill="FFFFFF"/>
        </w:rPr>
        <w:t>;</w:t>
      </w:r>
      <w:r w:rsidR="00722B0A" w:rsidRPr="00DB11A6">
        <w:rPr>
          <w:rFonts w:ascii="Arial" w:hAnsi="Arial" w:cs="Arial"/>
          <w:shd w:val="clear" w:color="auto" w:fill="FFFFFF"/>
        </w:rPr>
        <w:t xml:space="preserve"> </w:t>
      </w:r>
      <w:r w:rsidR="00972704" w:rsidRPr="00DB11A6">
        <w:rPr>
          <w:rFonts w:ascii="Arial" w:hAnsi="Arial" w:cs="Arial"/>
          <w:shd w:val="clear" w:color="auto" w:fill="FFFFFF"/>
        </w:rPr>
        <w:t xml:space="preserve">it is </w:t>
      </w:r>
      <w:r w:rsidR="00972704" w:rsidRPr="00DB11A6">
        <w:rPr>
          <w:rFonts w:ascii="Arial" w:hAnsi="Arial" w:cs="Arial"/>
          <w:shd w:val="clear" w:color="auto" w:fill="FFFFFF"/>
        </w:rPr>
        <w:lastRenderedPageBreak/>
        <w:t xml:space="preserve">thought </w:t>
      </w:r>
      <w:r w:rsidR="00722B0A" w:rsidRPr="00DB11A6">
        <w:rPr>
          <w:rFonts w:ascii="Arial" w:hAnsi="Arial" w:cs="Arial"/>
          <w:shd w:val="clear" w:color="auto" w:fill="FFFFFF"/>
        </w:rPr>
        <w:t xml:space="preserve">patients may </w:t>
      </w:r>
      <w:r w:rsidR="00972704" w:rsidRPr="00DB11A6">
        <w:rPr>
          <w:rFonts w:ascii="Arial" w:hAnsi="Arial" w:cs="Arial"/>
          <w:shd w:val="clear" w:color="auto" w:fill="FFFFFF"/>
        </w:rPr>
        <w:t>b</w:t>
      </w:r>
      <w:r w:rsidR="00722B0A" w:rsidRPr="00DB11A6">
        <w:rPr>
          <w:rFonts w:ascii="Arial" w:hAnsi="Arial" w:cs="Arial"/>
          <w:shd w:val="clear" w:color="auto" w:fill="FFFFFF"/>
        </w:rPr>
        <w:t xml:space="preserve">e symptomatic for </w:t>
      </w:r>
      <w:r w:rsidR="002A1E34" w:rsidRPr="00DB11A6">
        <w:rPr>
          <w:rFonts w:ascii="Arial" w:hAnsi="Arial" w:cs="Arial"/>
          <w:shd w:val="clear" w:color="auto" w:fill="FFFFFF"/>
        </w:rPr>
        <w:t>five</w:t>
      </w:r>
      <w:r w:rsidR="00722B0A" w:rsidRPr="00DB11A6">
        <w:rPr>
          <w:rFonts w:ascii="Arial" w:hAnsi="Arial" w:cs="Arial"/>
          <w:shd w:val="clear" w:color="auto" w:fill="FFFFFF"/>
        </w:rPr>
        <w:t xml:space="preserve"> years before a formal diagnosis</w:t>
      </w:r>
      <w:r w:rsidR="00A72523" w:rsidRPr="00DB11A6">
        <w:rPr>
          <w:rFonts w:ascii="Arial" w:hAnsi="Arial" w:cs="Arial"/>
          <w:shd w:val="clear" w:color="auto" w:fill="FFFFFF"/>
        </w:rPr>
        <w:t xml:space="preserve"> is made</w:t>
      </w:r>
      <w:r w:rsidR="00DA48DC" w:rsidRPr="00DB11A6">
        <w:rPr>
          <w:rFonts w:ascii="Arial" w:hAnsi="Arial" w:cs="Arial"/>
          <w:shd w:val="clear" w:color="auto" w:fill="FFFFFF"/>
        </w:rPr>
        <w:t xml:space="preserve"> [</w:t>
      </w:r>
      <w:r w:rsidR="004034C1" w:rsidRPr="00DB11A6">
        <w:rPr>
          <w:rFonts w:ascii="Arial" w:hAnsi="Arial" w:cs="Arial"/>
          <w:shd w:val="clear" w:color="auto" w:fill="FFFFFF"/>
        </w:rPr>
        <w:t>1</w:t>
      </w:r>
      <w:r w:rsidR="005C3A9C" w:rsidRPr="00DB11A6">
        <w:rPr>
          <w:rFonts w:ascii="Arial" w:hAnsi="Arial" w:cs="Arial"/>
          <w:shd w:val="clear" w:color="auto" w:fill="FFFFFF"/>
        </w:rPr>
        <w:t>4</w:t>
      </w:r>
      <w:r w:rsidR="00DA48DC" w:rsidRPr="00DB11A6">
        <w:rPr>
          <w:rFonts w:ascii="Arial" w:hAnsi="Arial" w:cs="Arial"/>
          <w:shd w:val="clear" w:color="auto" w:fill="FFFFFF"/>
        </w:rPr>
        <w:t>].</w:t>
      </w:r>
      <w:r w:rsidR="00722B0A" w:rsidRPr="00DB11A6">
        <w:rPr>
          <w:rFonts w:ascii="Arial" w:hAnsi="Arial" w:cs="Arial"/>
        </w:rPr>
        <w:t xml:space="preserve"> </w:t>
      </w:r>
    </w:p>
    <w:p w14:paraId="47C91854" w14:textId="77777777" w:rsidR="003546BA" w:rsidRPr="00DB11A6" w:rsidRDefault="003546BA" w:rsidP="00306C71">
      <w:pPr>
        <w:spacing w:line="480" w:lineRule="auto"/>
        <w:contextualSpacing/>
        <w:rPr>
          <w:rFonts w:ascii="Arial" w:hAnsi="Arial" w:cs="Arial"/>
          <w:shd w:val="clear" w:color="auto" w:fill="FFFFFF"/>
        </w:rPr>
      </w:pPr>
    </w:p>
    <w:p w14:paraId="3DAF3794" w14:textId="34FFF303" w:rsidR="00306C71" w:rsidRPr="00DB11A6" w:rsidRDefault="006246E7" w:rsidP="005C1CE8">
      <w:pPr>
        <w:widowControl w:val="0"/>
        <w:autoSpaceDE w:val="0"/>
        <w:autoSpaceDN w:val="0"/>
        <w:adjustRightInd w:val="0"/>
        <w:spacing w:line="480" w:lineRule="auto"/>
        <w:contextualSpacing/>
        <w:rPr>
          <w:rFonts w:ascii="Arial" w:hAnsi="Arial" w:cs="Arial"/>
          <w:sz w:val="18"/>
          <w:szCs w:val="18"/>
        </w:rPr>
      </w:pPr>
      <w:r w:rsidRPr="00DB11A6">
        <w:rPr>
          <w:rFonts w:ascii="Arial" w:hAnsi="Arial" w:cs="Arial"/>
          <w:shd w:val="clear" w:color="auto" w:fill="FFFFFF"/>
        </w:rPr>
        <w:t>As all patients with</w:t>
      </w:r>
      <w:r w:rsidR="00645571" w:rsidRPr="00DB11A6">
        <w:rPr>
          <w:rFonts w:ascii="Arial" w:hAnsi="Arial" w:cs="Arial"/>
          <w:shd w:val="clear" w:color="auto" w:fill="FFFFFF"/>
        </w:rPr>
        <w:t xml:space="preserve"> pulmonary fibrosis (including IPF) </w:t>
      </w:r>
      <w:r w:rsidR="007B75DC" w:rsidRPr="00DB11A6">
        <w:rPr>
          <w:rFonts w:ascii="Arial" w:hAnsi="Arial" w:cs="Arial"/>
          <w:shd w:val="clear" w:color="auto" w:fill="FFFFFF"/>
        </w:rPr>
        <w:t>in the United Kingdom (UK)</w:t>
      </w:r>
      <w:r w:rsidRPr="00DB11A6">
        <w:rPr>
          <w:rFonts w:ascii="Arial" w:hAnsi="Arial" w:cs="Arial"/>
          <w:shd w:val="clear" w:color="auto" w:fill="FFFFFF"/>
        </w:rPr>
        <w:t xml:space="preserve"> present </w:t>
      </w:r>
      <w:r w:rsidR="007F26E5" w:rsidRPr="00DB11A6">
        <w:rPr>
          <w:rFonts w:ascii="Arial" w:hAnsi="Arial" w:cs="Arial"/>
          <w:shd w:val="clear" w:color="auto" w:fill="FFFFFF"/>
        </w:rPr>
        <w:t xml:space="preserve">first </w:t>
      </w:r>
      <w:r w:rsidRPr="00DB11A6">
        <w:rPr>
          <w:rFonts w:ascii="Arial" w:hAnsi="Arial" w:cs="Arial"/>
          <w:shd w:val="clear" w:color="auto" w:fill="FFFFFF"/>
        </w:rPr>
        <w:t>in primary care</w:t>
      </w:r>
      <w:r w:rsidR="004125A1" w:rsidRPr="00DB11A6">
        <w:rPr>
          <w:rFonts w:ascii="Arial" w:hAnsi="Arial" w:cs="Arial"/>
          <w:shd w:val="clear" w:color="auto" w:fill="FFFFFF"/>
        </w:rPr>
        <w:t>, p</w:t>
      </w:r>
      <w:r w:rsidRPr="00DB11A6">
        <w:rPr>
          <w:rFonts w:ascii="Arial" w:hAnsi="Arial" w:cs="Arial"/>
          <w:shd w:val="clear" w:color="auto" w:fill="FFFFFF"/>
        </w:rPr>
        <w:t xml:space="preserve">rimary care </w:t>
      </w:r>
      <w:r w:rsidR="00D57938" w:rsidRPr="00DB11A6">
        <w:rPr>
          <w:rFonts w:ascii="Arial" w:hAnsi="Arial" w:cs="Arial"/>
          <w:shd w:val="clear" w:color="auto" w:fill="FFFFFF"/>
        </w:rPr>
        <w:t xml:space="preserve">medical </w:t>
      </w:r>
      <w:r w:rsidRPr="00DB11A6">
        <w:rPr>
          <w:rFonts w:ascii="Arial" w:hAnsi="Arial" w:cs="Arial"/>
          <w:shd w:val="clear" w:color="auto" w:fill="FFFFFF"/>
        </w:rPr>
        <w:t xml:space="preserve">records </w:t>
      </w:r>
      <w:r w:rsidR="007B75DC" w:rsidRPr="00DB11A6">
        <w:rPr>
          <w:rFonts w:ascii="Arial" w:hAnsi="Arial" w:cs="Arial"/>
          <w:shd w:val="clear" w:color="auto" w:fill="FFFFFF"/>
        </w:rPr>
        <w:t>provide</w:t>
      </w:r>
      <w:r w:rsidRPr="00DB11A6">
        <w:rPr>
          <w:rFonts w:ascii="Arial" w:hAnsi="Arial" w:cs="Arial"/>
          <w:shd w:val="clear" w:color="auto" w:fill="FFFFFF"/>
        </w:rPr>
        <w:t xml:space="preserve"> an important resource for understanding</w:t>
      </w:r>
      <w:r w:rsidR="007B75DC" w:rsidRPr="00DB11A6">
        <w:rPr>
          <w:rFonts w:ascii="Arial" w:hAnsi="Arial" w:cs="Arial"/>
          <w:shd w:val="clear" w:color="auto" w:fill="FFFFFF"/>
        </w:rPr>
        <w:t xml:space="preserve"> temporal patterns of </w:t>
      </w:r>
      <w:r w:rsidRPr="00DB11A6">
        <w:rPr>
          <w:rFonts w:ascii="Arial" w:hAnsi="Arial" w:cs="Arial"/>
          <w:shd w:val="clear" w:color="auto" w:fill="FFFFFF"/>
        </w:rPr>
        <w:t>healthcare system utilisation</w:t>
      </w:r>
      <w:r w:rsidR="000C6A70" w:rsidRPr="00DB11A6">
        <w:rPr>
          <w:rFonts w:ascii="Arial" w:hAnsi="Arial" w:cs="Arial"/>
          <w:shd w:val="clear" w:color="auto" w:fill="FFFFFF"/>
        </w:rPr>
        <w:t xml:space="preserve"> (HRU)</w:t>
      </w:r>
      <w:r w:rsidR="00D57938" w:rsidRPr="00DB11A6">
        <w:rPr>
          <w:rFonts w:ascii="Arial" w:hAnsi="Arial" w:cs="Arial"/>
          <w:shd w:val="clear" w:color="auto" w:fill="FFFFFF"/>
        </w:rPr>
        <w:t xml:space="preserve"> prior to diagnosis</w:t>
      </w:r>
      <w:r w:rsidRPr="00DB11A6">
        <w:rPr>
          <w:rFonts w:ascii="Arial" w:hAnsi="Arial" w:cs="Arial"/>
          <w:shd w:val="clear" w:color="auto" w:fill="FFFFFF"/>
        </w:rPr>
        <w:t>.</w:t>
      </w:r>
      <w:r w:rsidR="007F26E5" w:rsidRPr="00DB11A6">
        <w:rPr>
          <w:rFonts w:ascii="Arial" w:hAnsi="Arial" w:cs="Arial"/>
          <w:shd w:val="clear" w:color="auto" w:fill="FFFFFF"/>
        </w:rPr>
        <w:t xml:space="preserve"> T</w:t>
      </w:r>
      <w:r w:rsidR="00FE6452" w:rsidRPr="00DB11A6">
        <w:rPr>
          <w:rFonts w:ascii="Arial" w:hAnsi="Arial" w:cs="Arial"/>
          <w:shd w:val="clear" w:color="auto" w:fill="FFFFFF"/>
        </w:rPr>
        <w:t xml:space="preserve">his study assessed </w:t>
      </w:r>
      <w:r w:rsidR="002A1E34" w:rsidRPr="00DB11A6">
        <w:rPr>
          <w:rFonts w:ascii="Arial" w:hAnsi="Arial" w:cs="Arial"/>
          <w:shd w:val="clear" w:color="auto" w:fill="FFFFFF"/>
        </w:rPr>
        <w:t>trends</w:t>
      </w:r>
      <w:r w:rsidR="00FE6452" w:rsidRPr="00DB11A6">
        <w:rPr>
          <w:rFonts w:ascii="Arial" w:hAnsi="Arial" w:cs="Arial"/>
          <w:shd w:val="clear" w:color="auto" w:fill="FFFFFF"/>
        </w:rPr>
        <w:t xml:space="preserve"> </w:t>
      </w:r>
      <w:r w:rsidR="002A1E34" w:rsidRPr="00DB11A6">
        <w:rPr>
          <w:rFonts w:ascii="Arial" w:hAnsi="Arial" w:cs="Arial"/>
          <w:shd w:val="clear" w:color="auto" w:fill="FFFFFF"/>
        </w:rPr>
        <w:t>in</w:t>
      </w:r>
      <w:r w:rsidR="00FE6452" w:rsidRPr="00DB11A6">
        <w:rPr>
          <w:rFonts w:ascii="Arial" w:hAnsi="Arial" w:cs="Arial"/>
          <w:shd w:val="clear" w:color="auto" w:fill="FFFFFF"/>
        </w:rPr>
        <w:t xml:space="preserve"> </w:t>
      </w:r>
      <w:r w:rsidR="000C6A70" w:rsidRPr="00DB11A6">
        <w:rPr>
          <w:rFonts w:ascii="Arial" w:hAnsi="Arial" w:cs="Arial"/>
          <w:shd w:val="clear" w:color="auto" w:fill="FFFFFF"/>
        </w:rPr>
        <w:t>HRU</w:t>
      </w:r>
      <w:r w:rsidR="004125A1" w:rsidRPr="00DB11A6">
        <w:rPr>
          <w:rFonts w:ascii="Arial" w:hAnsi="Arial" w:cs="Arial"/>
          <w:shd w:val="clear" w:color="auto" w:fill="FFFFFF"/>
        </w:rPr>
        <w:t xml:space="preserve"> over</w:t>
      </w:r>
      <w:r w:rsidR="00032DFD" w:rsidRPr="00DB11A6">
        <w:rPr>
          <w:rFonts w:ascii="Arial" w:hAnsi="Arial" w:cs="Arial"/>
          <w:shd w:val="clear" w:color="auto" w:fill="FFFFFF"/>
        </w:rPr>
        <w:t xml:space="preserve"> </w:t>
      </w:r>
      <w:r w:rsidR="00D57938" w:rsidRPr="00DB11A6">
        <w:rPr>
          <w:rFonts w:ascii="Arial" w:hAnsi="Arial" w:cs="Arial"/>
          <w:shd w:val="clear" w:color="auto" w:fill="FFFFFF"/>
        </w:rPr>
        <w:t xml:space="preserve">10 </w:t>
      </w:r>
      <w:r w:rsidR="007B75DC" w:rsidRPr="00DB11A6">
        <w:rPr>
          <w:rFonts w:ascii="Arial" w:hAnsi="Arial" w:cs="Arial"/>
          <w:shd w:val="clear" w:color="auto" w:fill="FFFFFF"/>
        </w:rPr>
        <w:t>year</w:t>
      </w:r>
      <w:r w:rsidR="000C6A70" w:rsidRPr="00DB11A6">
        <w:rPr>
          <w:rFonts w:ascii="Arial" w:hAnsi="Arial" w:cs="Arial"/>
          <w:shd w:val="clear" w:color="auto" w:fill="FFFFFF"/>
        </w:rPr>
        <w:t>s</w:t>
      </w:r>
      <w:r w:rsidR="00D57938" w:rsidRPr="00DB11A6">
        <w:rPr>
          <w:rFonts w:ascii="Arial" w:hAnsi="Arial" w:cs="Arial"/>
          <w:shd w:val="clear" w:color="auto" w:fill="FFFFFF"/>
        </w:rPr>
        <w:t xml:space="preserve"> </w:t>
      </w:r>
      <w:r w:rsidR="007B75DC" w:rsidRPr="00DB11A6">
        <w:rPr>
          <w:rFonts w:ascii="Arial" w:hAnsi="Arial" w:cs="Arial"/>
          <w:shd w:val="clear" w:color="auto" w:fill="FFFFFF"/>
        </w:rPr>
        <w:t>prior to</w:t>
      </w:r>
      <w:r w:rsidR="00FE6452" w:rsidRPr="00DB11A6">
        <w:rPr>
          <w:rFonts w:ascii="Arial" w:hAnsi="Arial" w:cs="Arial"/>
          <w:shd w:val="clear" w:color="auto" w:fill="FFFFFF"/>
        </w:rPr>
        <w:t xml:space="preserve"> diagnosis of</w:t>
      </w:r>
      <w:r w:rsidR="00645571" w:rsidRPr="00DB11A6">
        <w:rPr>
          <w:rFonts w:ascii="Arial" w:hAnsi="Arial" w:cs="Arial"/>
          <w:shd w:val="clear" w:color="auto" w:fill="FFFFFF"/>
        </w:rPr>
        <w:t xml:space="preserve"> pulmonary fibrosis </w:t>
      </w:r>
      <w:r w:rsidR="00FE6452" w:rsidRPr="00DB11A6">
        <w:rPr>
          <w:rFonts w:ascii="Arial" w:hAnsi="Arial" w:cs="Arial"/>
          <w:shd w:val="clear" w:color="auto" w:fill="FFFFFF"/>
        </w:rPr>
        <w:t xml:space="preserve">to </w:t>
      </w:r>
      <w:r w:rsidR="00390408" w:rsidRPr="00DB11A6">
        <w:rPr>
          <w:rFonts w:ascii="Arial" w:hAnsi="Arial" w:cs="Arial"/>
          <w:shd w:val="clear" w:color="auto" w:fill="FFFFFF"/>
        </w:rPr>
        <w:t xml:space="preserve">inform </w:t>
      </w:r>
      <w:r w:rsidR="00FE6452" w:rsidRPr="00DB11A6">
        <w:rPr>
          <w:rFonts w:ascii="Arial" w:hAnsi="Arial" w:cs="Arial"/>
          <w:shd w:val="clear" w:color="auto" w:fill="FFFFFF"/>
        </w:rPr>
        <w:t xml:space="preserve">potential </w:t>
      </w:r>
      <w:r w:rsidR="00390408" w:rsidRPr="00DB11A6">
        <w:rPr>
          <w:rFonts w:ascii="Arial" w:hAnsi="Arial" w:cs="Arial"/>
          <w:shd w:val="clear" w:color="auto" w:fill="FFFFFF"/>
        </w:rPr>
        <w:t xml:space="preserve">strategies </w:t>
      </w:r>
      <w:r w:rsidR="00FE6452" w:rsidRPr="00DB11A6">
        <w:rPr>
          <w:rFonts w:ascii="Arial" w:hAnsi="Arial" w:cs="Arial"/>
          <w:shd w:val="clear" w:color="auto" w:fill="FFFFFF"/>
        </w:rPr>
        <w:t xml:space="preserve">for earlier </w:t>
      </w:r>
      <w:r w:rsidR="00390408" w:rsidRPr="00DB11A6">
        <w:rPr>
          <w:rFonts w:ascii="Arial" w:hAnsi="Arial" w:cs="Arial"/>
          <w:shd w:val="clear" w:color="auto" w:fill="FFFFFF"/>
        </w:rPr>
        <w:t>identification</w:t>
      </w:r>
      <w:r w:rsidR="00FE6452" w:rsidRPr="00DB11A6">
        <w:rPr>
          <w:rFonts w:ascii="Arial" w:hAnsi="Arial" w:cs="Arial"/>
          <w:shd w:val="clear" w:color="auto" w:fill="FFFFFF"/>
        </w:rPr>
        <w:t>.</w:t>
      </w:r>
      <w:r w:rsidR="00306C71" w:rsidRPr="00DB11A6">
        <w:rPr>
          <w:rFonts w:ascii="Arial" w:hAnsi="Arial" w:cs="Arial"/>
          <w:b/>
          <w:szCs w:val="22"/>
        </w:rPr>
        <w:br w:type="page"/>
      </w:r>
    </w:p>
    <w:p w14:paraId="575E5669" w14:textId="7F648233" w:rsidR="00717214" w:rsidRPr="004034C1" w:rsidRDefault="008740F6" w:rsidP="00306C71">
      <w:pPr>
        <w:spacing w:line="480" w:lineRule="auto"/>
        <w:contextualSpacing/>
        <w:rPr>
          <w:rFonts w:ascii="Arial" w:hAnsi="Arial" w:cs="Arial"/>
          <w:b/>
          <w:szCs w:val="22"/>
        </w:rPr>
      </w:pPr>
      <w:r w:rsidRPr="004034C1">
        <w:rPr>
          <w:rFonts w:ascii="Arial" w:hAnsi="Arial" w:cs="Arial"/>
          <w:b/>
          <w:szCs w:val="22"/>
        </w:rPr>
        <w:lastRenderedPageBreak/>
        <w:t>METHODS</w:t>
      </w:r>
    </w:p>
    <w:p w14:paraId="5925E178" w14:textId="77777777" w:rsidR="00AF3015" w:rsidRPr="004034C1" w:rsidRDefault="00AF3015" w:rsidP="00306C71">
      <w:pPr>
        <w:pStyle w:val="Default"/>
        <w:spacing w:line="480" w:lineRule="auto"/>
        <w:contextualSpacing/>
        <w:rPr>
          <w:rFonts w:ascii="Arial" w:hAnsi="Arial" w:cs="Arial"/>
          <w:b/>
          <w:lang w:val="en-GB"/>
        </w:rPr>
      </w:pPr>
      <w:r w:rsidRPr="004034C1">
        <w:rPr>
          <w:rFonts w:ascii="Arial" w:hAnsi="Arial" w:cs="Arial"/>
          <w:b/>
          <w:lang w:val="en-GB"/>
        </w:rPr>
        <w:t>Data source and study approvals</w:t>
      </w:r>
    </w:p>
    <w:p w14:paraId="1D47A4F1" w14:textId="70602865" w:rsidR="00E419A0" w:rsidRPr="00DB11A6" w:rsidRDefault="000F2841" w:rsidP="00306C71">
      <w:pPr>
        <w:pStyle w:val="Default"/>
        <w:spacing w:line="480" w:lineRule="auto"/>
        <w:contextualSpacing/>
        <w:rPr>
          <w:rFonts w:ascii="Arial" w:eastAsia="Times New Roman" w:hAnsi="Arial" w:cs="Arial"/>
          <w:color w:val="auto"/>
          <w:shd w:val="clear" w:color="auto" w:fill="FFFFFF"/>
          <w:lang w:val="en-GB"/>
        </w:rPr>
      </w:pPr>
      <w:r w:rsidRPr="004034C1">
        <w:rPr>
          <w:rFonts w:ascii="Arial" w:eastAsia="Times New Roman" w:hAnsi="Arial" w:cs="Arial"/>
          <w:shd w:val="clear" w:color="auto" w:fill="FFFFFF"/>
          <w:lang w:val="en-GB"/>
        </w:rPr>
        <w:t xml:space="preserve">The </w:t>
      </w:r>
      <w:r w:rsidR="009A0B57" w:rsidRPr="00DB11A6">
        <w:rPr>
          <w:rFonts w:ascii="Arial" w:eastAsia="Times New Roman" w:hAnsi="Arial" w:cs="Arial"/>
          <w:color w:val="auto"/>
          <w:shd w:val="clear" w:color="auto" w:fill="FFFFFF"/>
          <w:lang w:val="en-GB"/>
        </w:rPr>
        <w:t>Optimum Patient Care Research Database (OPCRD)</w:t>
      </w:r>
      <w:r w:rsidR="00BB35D8" w:rsidRPr="00DB11A6">
        <w:rPr>
          <w:rFonts w:ascii="Arial" w:eastAsia="Times New Roman" w:hAnsi="Arial" w:cs="Arial"/>
          <w:color w:val="auto"/>
          <w:shd w:val="clear" w:color="auto" w:fill="FFFFFF"/>
          <w:lang w:val="en-GB"/>
        </w:rPr>
        <w:t xml:space="preserve"> </w:t>
      </w:r>
      <w:r w:rsidR="009A0B57" w:rsidRPr="00DB11A6">
        <w:rPr>
          <w:rFonts w:ascii="Arial" w:eastAsia="Times New Roman" w:hAnsi="Arial" w:cs="Arial"/>
          <w:color w:val="auto"/>
          <w:shd w:val="clear" w:color="auto" w:fill="FFFFFF"/>
          <w:lang w:val="en-GB"/>
        </w:rPr>
        <w:t xml:space="preserve">contains anonymised, longitudinal medical records for patients registered at primary care practices across </w:t>
      </w:r>
      <w:r w:rsidR="00D42431" w:rsidRPr="00DB11A6">
        <w:rPr>
          <w:rFonts w:ascii="Arial" w:eastAsia="Times New Roman" w:hAnsi="Arial" w:cs="Arial"/>
          <w:color w:val="auto"/>
          <w:shd w:val="clear" w:color="auto" w:fill="FFFFFF"/>
          <w:lang w:val="en-GB"/>
        </w:rPr>
        <w:t xml:space="preserve">the </w:t>
      </w:r>
      <w:r w:rsidR="00322BC4" w:rsidRPr="00DB11A6">
        <w:rPr>
          <w:rFonts w:ascii="Arial" w:eastAsia="Times New Roman" w:hAnsi="Arial" w:cs="Arial"/>
          <w:color w:val="auto"/>
          <w:shd w:val="clear" w:color="auto" w:fill="FFFFFF"/>
          <w:lang w:val="en-GB"/>
        </w:rPr>
        <w:t>UK</w:t>
      </w:r>
      <w:r w:rsidR="00DA48DC" w:rsidRPr="00DB11A6">
        <w:rPr>
          <w:rFonts w:ascii="Arial" w:eastAsia="Times New Roman" w:hAnsi="Arial" w:cs="Arial"/>
          <w:color w:val="auto"/>
          <w:shd w:val="clear" w:color="auto" w:fill="FFFFFF"/>
          <w:lang w:val="en-GB"/>
        </w:rPr>
        <w:t xml:space="preserve"> [</w:t>
      </w:r>
      <w:r w:rsidR="004034C1" w:rsidRPr="00DB11A6">
        <w:rPr>
          <w:rFonts w:ascii="Arial" w:eastAsia="Times New Roman" w:hAnsi="Arial" w:cs="Arial"/>
          <w:color w:val="auto"/>
          <w:shd w:val="clear" w:color="auto" w:fill="FFFFFF"/>
          <w:lang w:val="en-GB"/>
        </w:rPr>
        <w:t>1</w:t>
      </w:r>
      <w:r w:rsidR="005C3A9C" w:rsidRPr="00DB11A6">
        <w:rPr>
          <w:rFonts w:ascii="Arial" w:eastAsia="Times New Roman" w:hAnsi="Arial" w:cs="Arial"/>
          <w:color w:val="auto"/>
          <w:shd w:val="clear" w:color="auto" w:fill="FFFFFF"/>
          <w:lang w:val="en-GB"/>
        </w:rPr>
        <w:t>7</w:t>
      </w:r>
      <w:r w:rsidR="00DA48DC" w:rsidRPr="00DB11A6">
        <w:rPr>
          <w:rFonts w:ascii="Arial" w:eastAsia="Times New Roman" w:hAnsi="Arial" w:cs="Arial"/>
          <w:color w:val="auto"/>
          <w:shd w:val="clear" w:color="auto" w:fill="FFFFFF"/>
          <w:lang w:val="en-GB"/>
        </w:rPr>
        <w:t>].</w:t>
      </w:r>
      <w:r w:rsidR="00E419A0" w:rsidRPr="00DB11A6">
        <w:rPr>
          <w:rFonts w:ascii="Arial" w:eastAsia="Times New Roman" w:hAnsi="Arial" w:cs="Arial"/>
          <w:color w:val="auto"/>
          <w:shd w:val="clear" w:color="auto" w:fill="FFFFFF"/>
          <w:lang w:val="en-GB"/>
        </w:rPr>
        <w:t xml:space="preserve"> </w:t>
      </w:r>
      <w:r w:rsidR="009A0B57" w:rsidRPr="00DB11A6">
        <w:rPr>
          <w:rFonts w:ascii="Arial" w:eastAsia="Times New Roman" w:hAnsi="Arial" w:cs="Arial"/>
          <w:color w:val="auto"/>
          <w:shd w:val="clear" w:color="auto" w:fill="FFFFFF"/>
          <w:lang w:val="en-GB"/>
        </w:rPr>
        <w:t xml:space="preserve">It </w:t>
      </w:r>
      <w:r w:rsidR="00945B3F" w:rsidRPr="00DB11A6">
        <w:rPr>
          <w:rFonts w:ascii="Arial" w:eastAsia="Times New Roman" w:hAnsi="Arial" w:cs="Arial"/>
          <w:color w:val="auto"/>
          <w:shd w:val="clear" w:color="auto" w:fill="FFFFFF"/>
          <w:lang w:val="en-GB"/>
        </w:rPr>
        <w:t>includes</w:t>
      </w:r>
      <w:r w:rsidR="009A0B57" w:rsidRPr="00DB11A6">
        <w:rPr>
          <w:rFonts w:ascii="Arial" w:eastAsia="Times New Roman" w:hAnsi="Arial" w:cs="Arial"/>
          <w:color w:val="auto"/>
          <w:shd w:val="clear" w:color="auto" w:fill="FFFFFF"/>
          <w:lang w:val="en-GB"/>
        </w:rPr>
        <w:t xml:space="preserve"> demographic, lifestyle, diagnostic and </w:t>
      </w:r>
      <w:r w:rsidR="00322BC4" w:rsidRPr="00DB11A6">
        <w:rPr>
          <w:rFonts w:ascii="Arial" w:eastAsia="Times New Roman" w:hAnsi="Arial" w:cs="Arial"/>
          <w:color w:val="auto"/>
          <w:shd w:val="clear" w:color="auto" w:fill="FFFFFF"/>
          <w:lang w:val="en-GB"/>
        </w:rPr>
        <w:t>HRU</w:t>
      </w:r>
      <w:r w:rsidR="009A0B57" w:rsidRPr="00DB11A6">
        <w:rPr>
          <w:rFonts w:ascii="Arial" w:eastAsia="Times New Roman" w:hAnsi="Arial" w:cs="Arial"/>
          <w:color w:val="auto"/>
          <w:shd w:val="clear" w:color="auto" w:fill="FFFFFF"/>
          <w:lang w:val="en-GB"/>
        </w:rPr>
        <w:t xml:space="preserve"> data </w:t>
      </w:r>
      <w:r w:rsidR="00322BC4" w:rsidRPr="00DB11A6">
        <w:rPr>
          <w:rFonts w:ascii="Arial" w:eastAsia="Times New Roman" w:hAnsi="Arial" w:cs="Arial"/>
          <w:color w:val="auto"/>
          <w:shd w:val="clear" w:color="auto" w:fill="FFFFFF"/>
          <w:lang w:val="en-GB"/>
        </w:rPr>
        <w:t xml:space="preserve">recorded </w:t>
      </w:r>
      <w:r w:rsidR="009C5CBE" w:rsidRPr="00DB11A6">
        <w:rPr>
          <w:rFonts w:ascii="Arial" w:eastAsia="Times New Roman" w:hAnsi="Arial" w:cs="Arial"/>
          <w:color w:val="auto"/>
          <w:shd w:val="clear" w:color="auto" w:fill="FFFFFF"/>
          <w:lang w:val="en-GB"/>
        </w:rPr>
        <w:t>from</w:t>
      </w:r>
      <w:r w:rsidR="009A0B57" w:rsidRPr="00DB11A6">
        <w:rPr>
          <w:rFonts w:ascii="Arial" w:eastAsia="Times New Roman" w:hAnsi="Arial" w:cs="Arial"/>
          <w:color w:val="auto"/>
          <w:shd w:val="clear" w:color="auto" w:fill="FFFFFF"/>
          <w:lang w:val="en-GB"/>
        </w:rPr>
        <w:t xml:space="preserve"> primary</w:t>
      </w:r>
      <w:r w:rsidR="00322BC4" w:rsidRPr="00DB11A6">
        <w:rPr>
          <w:rFonts w:ascii="Arial" w:eastAsia="Times New Roman" w:hAnsi="Arial" w:cs="Arial"/>
          <w:color w:val="auto"/>
          <w:shd w:val="clear" w:color="auto" w:fill="FFFFFF"/>
          <w:lang w:val="en-GB"/>
        </w:rPr>
        <w:t xml:space="preserve"> </w:t>
      </w:r>
      <w:r w:rsidR="009A0B57" w:rsidRPr="00DB11A6">
        <w:rPr>
          <w:rFonts w:ascii="Arial" w:eastAsia="Times New Roman" w:hAnsi="Arial" w:cs="Arial"/>
          <w:color w:val="auto"/>
          <w:shd w:val="clear" w:color="auto" w:fill="FFFFFF"/>
          <w:lang w:val="en-GB"/>
        </w:rPr>
        <w:t xml:space="preserve">and secondary care. </w:t>
      </w:r>
      <w:r w:rsidR="00BA7808" w:rsidRPr="00DB11A6">
        <w:rPr>
          <w:rFonts w:ascii="Arial" w:eastAsia="Times New Roman" w:hAnsi="Arial" w:cs="Arial"/>
          <w:color w:val="auto"/>
          <w:shd w:val="clear" w:color="auto" w:fill="FFFFFF"/>
          <w:lang w:val="en-GB"/>
        </w:rPr>
        <w:t>A</w:t>
      </w:r>
      <w:r w:rsidR="009A0B57" w:rsidRPr="00DB11A6">
        <w:rPr>
          <w:rFonts w:ascii="Arial" w:eastAsia="Times New Roman" w:hAnsi="Arial" w:cs="Arial"/>
          <w:color w:val="auto"/>
          <w:shd w:val="clear" w:color="auto" w:fill="FFFFFF"/>
          <w:lang w:val="en-GB"/>
        </w:rPr>
        <w:t>t the time of the study</w:t>
      </w:r>
      <w:r w:rsidR="00BA7808" w:rsidRPr="00DB11A6">
        <w:rPr>
          <w:rFonts w:ascii="Arial" w:eastAsia="Times New Roman" w:hAnsi="Arial" w:cs="Arial"/>
          <w:color w:val="auto"/>
          <w:shd w:val="clear" w:color="auto" w:fill="FFFFFF"/>
          <w:lang w:val="en-GB"/>
        </w:rPr>
        <w:t xml:space="preserve"> it </w:t>
      </w:r>
      <w:r w:rsidR="009A0B57" w:rsidRPr="00DB11A6">
        <w:rPr>
          <w:rFonts w:ascii="Arial" w:eastAsia="Times New Roman" w:hAnsi="Arial" w:cs="Arial"/>
          <w:color w:val="auto"/>
          <w:shd w:val="clear" w:color="auto" w:fill="FFFFFF"/>
          <w:lang w:val="en-GB"/>
        </w:rPr>
        <w:t xml:space="preserve">comprised records for approximately 2.5 million patients registered across 525 </w:t>
      </w:r>
      <w:r w:rsidR="00BD2BCB" w:rsidRPr="00DB11A6">
        <w:rPr>
          <w:rFonts w:ascii="Arial" w:eastAsia="Times New Roman" w:hAnsi="Arial" w:cs="Arial"/>
          <w:color w:val="auto"/>
          <w:shd w:val="clear" w:color="auto" w:fill="FFFFFF"/>
          <w:lang w:val="en-GB"/>
        </w:rPr>
        <w:t xml:space="preserve">UK-based </w:t>
      </w:r>
      <w:r w:rsidR="009A0B57" w:rsidRPr="00DB11A6">
        <w:rPr>
          <w:rFonts w:ascii="Arial" w:eastAsia="Times New Roman" w:hAnsi="Arial" w:cs="Arial"/>
          <w:color w:val="auto"/>
          <w:shd w:val="clear" w:color="auto" w:fill="FFFFFF"/>
          <w:lang w:val="en-GB"/>
        </w:rPr>
        <w:t>primary care practices.</w:t>
      </w:r>
      <w:r w:rsidR="00BB35D8" w:rsidRPr="00DB11A6">
        <w:rPr>
          <w:rFonts w:ascii="Arial" w:eastAsia="Times New Roman" w:hAnsi="Arial" w:cs="Arial"/>
          <w:color w:val="auto"/>
          <w:shd w:val="clear" w:color="auto" w:fill="FFFFFF"/>
          <w:lang w:val="en-GB"/>
        </w:rPr>
        <w:t xml:space="preserve"> </w:t>
      </w:r>
    </w:p>
    <w:p w14:paraId="608F7E0D" w14:textId="77777777" w:rsidR="00E419A0" w:rsidRPr="00DB11A6" w:rsidRDefault="00E419A0" w:rsidP="00306C71">
      <w:pPr>
        <w:pStyle w:val="Default"/>
        <w:spacing w:line="480" w:lineRule="auto"/>
        <w:contextualSpacing/>
        <w:rPr>
          <w:rFonts w:ascii="Arial" w:eastAsia="Times New Roman" w:hAnsi="Arial" w:cs="Arial"/>
          <w:color w:val="auto"/>
          <w:shd w:val="clear" w:color="auto" w:fill="FFFFFF"/>
          <w:lang w:val="en-GB"/>
        </w:rPr>
      </w:pPr>
    </w:p>
    <w:p w14:paraId="263D508A" w14:textId="3FFB9AA9" w:rsidR="00967D33" w:rsidRPr="00DB11A6" w:rsidRDefault="00BB35D8" w:rsidP="00306C71">
      <w:pPr>
        <w:pStyle w:val="Default"/>
        <w:spacing w:line="480" w:lineRule="auto"/>
        <w:contextualSpacing/>
        <w:rPr>
          <w:rFonts w:ascii="Arial" w:eastAsia="Times New Roman" w:hAnsi="Arial" w:cs="Arial"/>
          <w:color w:val="auto"/>
          <w:shd w:val="clear" w:color="auto" w:fill="FFFFFF"/>
          <w:lang w:val="en-GB"/>
        </w:rPr>
      </w:pPr>
      <w:r w:rsidRPr="00DB11A6">
        <w:rPr>
          <w:rFonts w:ascii="Arial" w:eastAsia="Times New Roman" w:hAnsi="Arial" w:cs="Arial"/>
          <w:color w:val="auto"/>
          <w:shd w:val="clear" w:color="auto" w:fill="FFFFFF"/>
          <w:lang w:val="en-GB"/>
        </w:rPr>
        <w:t>The OPCRD is approved by the Health Research Authority of the UK NHS for clinical research use (REC reference: 15/EM/0150).</w:t>
      </w:r>
      <w:r w:rsidR="00967D33" w:rsidRPr="00DB11A6">
        <w:rPr>
          <w:rFonts w:ascii="Arial" w:eastAsia="Times New Roman" w:hAnsi="Arial" w:cs="Arial"/>
          <w:color w:val="auto"/>
          <w:shd w:val="clear" w:color="auto" w:fill="FFFFFF"/>
          <w:lang w:val="en-GB"/>
        </w:rPr>
        <w:t xml:space="preserve"> Access was approved by the OPCRD’s Ano</w:t>
      </w:r>
      <w:r w:rsidR="00D42431" w:rsidRPr="00DB11A6">
        <w:rPr>
          <w:rFonts w:ascii="Arial" w:eastAsia="Times New Roman" w:hAnsi="Arial" w:cs="Arial"/>
          <w:color w:val="auto"/>
          <w:shd w:val="clear" w:color="auto" w:fill="FFFFFF"/>
          <w:lang w:val="en-GB"/>
        </w:rPr>
        <w:t>n</w:t>
      </w:r>
      <w:r w:rsidR="00967D33" w:rsidRPr="00DB11A6">
        <w:rPr>
          <w:rFonts w:ascii="Arial" w:eastAsia="Times New Roman" w:hAnsi="Arial" w:cs="Arial"/>
          <w:color w:val="auto"/>
          <w:shd w:val="clear" w:color="auto" w:fill="FFFFFF"/>
          <w:lang w:val="en-GB"/>
        </w:rPr>
        <w:t xml:space="preserve">ymised Data Ethics and Protocol Transparency Committee (approval code, </w:t>
      </w:r>
      <w:r w:rsidR="00DB4631" w:rsidRPr="00DB11A6">
        <w:rPr>
          <w:rFonts w:ascii="Arial" w:eastAsia="Times New Roman" w:hAnsi="Arial" w:cs="Arial"/>
          <w:color w:val="auto"/>
          <w:shd w:val="clear" w:color="auto" w:fill="FFFFFF"/>
          <w:lang w:val="en-GB"/>
        </w:rPr>
        <w:t>ADEPT0616</w:t>
      </w:r>
      <w:r w:rsidR="00967D33" w:rsidRPr="00DB11A6">
        <w:rPr>
          <w:rFonts w:ascii="Arial" w:eastAsia="Times New Roman" w:hAnsi="Arial" w:cs="Arial"/>
          <w:color w:val="auto"/>
          <w:shd w:val="clear" w:color="auto" w:fill="FFFFFF"/>
          <w:lang w:val="en-GB"/>
        </w:rPr>
        <w:t>).</w:t>
      </w:r>
      <w:r w:rsidR="0026434C" w:rsidRPr="00DB11A6">
        <w:rPr>
          <w:rFonts w:ascii="Arial" w:eastAsia="Times New Roman" w:hAnsi="Arial" w:cs="Arial"/>
          <w:color w:val="auto"/>
          <w:shd w:val="clear" w:color="auto" w:fill="FFFFFF"/>
          <w:lang w:val="en-GB"/>
        </w:rPr>
        <w:t xml:space="preserve"> </w:t>
      </w:r>
      <w:r w:rsidR="00967D33" w:rsidRPr="00DB11A6">
        <w:rPr>
          <w:rFonts w:ascii="Arial" w:eastAsia="Times New Roman" w:hAnsi="Arial" w:cs="Arial"/>
          <w:color w:val="auto"/>
          <w:shd w:val="clear" w:color="auto" w:fill="FFFFFF"/>
          <w:lang w:val="en-GB"/>
        </w:rPr>
        <w:t>The study protocol was</w:t>
      </w:r>
      <w:r w:rsidR="00322BC4" w:rsidRPr="00DB11A6">
        <w:rPr>
          <w:rFonts w:ascii="Arial" w:eastAsia="Times New Roman" w:hAnsi="Arial" w:cs="Arial"/>
          <w:color w:val="auto"/>
          <w:shd w:val="clear" w:color="auto" w:fill="FFFFFF"/>
          <w:lang w:val="en-GB"/>
        </w:rPr>
        <w:t xml:space="preserve"> developed by an independent steering committee of the Respiratory Effectiveness </w:t>
      </w:r>
      <w:r w:rsidR="00A72523" w:rsidRPr="00DB11A6">
        <w:rPr>
          <w:rFonts w:ascii="Arial" w:eastAsia="Times New Roman" w:hAnsi="Arial" w:cs="Arial"/>
          <w:color w:val="auto"/>
          <w:shd w:val="clear" w:color="auto" w:fill="FFFFFF"/>
          <w:lang w:val="en-GB"/>
        </w:rPr>
        <w:t>G</w:t>
      </w:r>
      <w:r w:rsidR="00322BC4" w:rsidRPr="00DB11A6">
        <w:rPr>
          <w:rFonts w:ascii="Arial" w:eastAsia="Times New Roman" w:hAnsi="Arial" w:cs="Arial"/>
          <w:color w:val="auto"/>
          <w:shd w:val="clear" w:color="auto" w:fill="FFFFFF"/>
          <w:lang w:val="en-GB"/>
        </w:rPr>
        <w:t>roup (REG) and</w:t>
      </w:r>
      <w:r w:rsidR="00967D33" w:rsidRPr="00DB11A6">
        <w:rPr>
          <w:rFonts w:ascii="Arial" w:eastAsia="Times New Roman" w:hAnsi="Arial" w:cs="Arial"/>
          <w:color w:val="auto"/>
          <w:shd w:val="clear" w:color="auto" w:fill="FFFFFF"/>
          <w:lang w:val="en-GB"/>
        </w:rPr>
        <w:t xml:space="preserve"> registered </w:t>
      </w:r>
      <w:r w:rsidRPr="00DB11A6">
        <w:rPr>
          <w:rFonts w:ascii="Arial" w:eastAsia="Times New Roman" w:hAnsi="Arial" w:cs="Arial"/>
          <w:color w:val="auto"/>
          <w:shd w:val="clear" w:color="auto" w:fill="FFFFFF"/>
          <w:lang w:val="en-GB"/>
        </w:rPr>
        <w:t>with the European Network of Centres for Pharmacoepidemiology and Pharmacovigilance (</w:t>
      </w:r>
      <w:proofErr w:type="spellStart"/>
      <w:r w:rsidRPr="00DB11A6">
        <w:rPr>
          <w:rFonts w:ascii="Arial" w:eastAsia="Times New Roman" w:hAnsi="Arial" w:cs="Arial"/>
          <w:color w:val="auto"/>
          <w:shd w:val="clear" w:color="auto" w:fill="FFFFFF"/>
          <w:lang w:val="en-GB"/>
        </w:rPr>
        <w:t>ENCePP</w:t>
      </w:r>
      <w:proofErr w:type="spellEnd"/>
      <w:r w:rsidR="00BF74FB" w:rsidRPr="00DB11A6">
        <w:rPr>
          <w:rFonts w:ascii="Arial" w:eastAsia="Times New Roman" w:hAnsi="Arial" w:cs="Arial"/>
          <w:color w:val="auto"/>
          <w:shd w:val="clear" w:color="auto" w:fill="FFFFFF"/>
          <w:lang w:val="en-GB"/>
        </w:rPr>
        <w:t>;</w:t>
      </w:r>
      <w:r w:rsidRPr="00DB11A6">
        <w:rPr>
          <w:rFonts w:ascii="Arial" w:eastAsia="Times New Roman" w:hAnsi="Arial" w:cs="Arial"/>
          <w:color w:val="auto"/>
          <w:shd w:val="clear" w:color="auto" w:fill="FFFFFF"/>
          <w:lang w:val="en-GB"/>
        </w:rPr>
        <w:t xml:space="preserve"> regist</w:t>
      </w:r>
      <w:r w:rsidR="00B81EF1" w:rsidRPr="00DB11A6">
        <w:rPr>
          <w:rFonts w:ascii="Arial" w:eastAsia="Times New Roman" w:hAnsi="Arial" w:cs="Arial"/>
          <w:color w:val="auto"/>
          <w:shd w:val="clear" w:color="auto" w:fill="FFFFFF"/>
          <w:lang w:val="en-GB"/>
        </w:rPr>
        <w:t xml:space="preserve">ration number </w:t>
      </w:r>
      <w:r w:rsidR="00967D33" w:rsidRPr="00DB11A6">
        <w:rPr>
          <w:rFonts w:ascii="Arial" w:eastAsia="Times New Roman" w:hAnsi="Arial" w:cs="Arial"/>
          <w:color w:val="auto"/>
          <w:shd w:val="clear" w:color="auto" w:fill="FFFFFF"/>
          <w:lang w:val="en-GB"/>
        </w:rPr>
        <w:t>EUPAS12086</w:t>
      </w:r>
      <w:r w:rsidR="00B81EF1" w:rsidRPr="00DB11A6">
        <w:rPr>
          <w:rFonts w:ascii="Arial" w:eastAsia="Times New Roman" w:hAnsi="Arial" w:cs="Arial"/>
          <w:color w:val="auto"/>
          <w:shd w:val="clear" w:color="auto" w:fill="FFFFFF"/>
          <w:lang w:val="en-GB"/>
        </w:rPr>
        <w:t>)</w:t>
      </w:r>
      <w:r w:rsidR="00DA48DC" w:rsidRPr="00DB11A6">
        <w:rPr>
          <w:rFonts w:ascii="Arial" w:eastAsia="Times New Roman" w:hAnsi="Arial" w:cs="Arial"/>
          <w:color w:val="auto"/>
          <w:shd w:val="clear" w:color="auto" w:fill="FFFFFF"/>
          <w:lang w:val="en-GB"/>
        </w:rPr>
        <w:t xml:space="preserve"> [</w:t>
      </w:r>
      <w:r w:rsidR="005C3A9C" w:rsidRPr="00DB11A6">
        <w:rPr>
          <w:rFonts w:ascii="Arial" w:eastAsia="Times New Roman" w:hAnsi="Arial" w:cs="Arial"/>
          <w:color w:val="auto"/>
          <w:shd w:val="clear" w:color="auto" w:fill="FFFFFF"/>
          <w:lang w:val="en-GB"/>
        </w:rPr>
        <w:t>18</w:t>
      </w:r>
      <w:r w:rsidR="00DA48DC" w:rsidRPr="00DB11A6">
        <w:rPr>
          <w:rFonts w:ascii="Arial" w:eastAsia="Times New Roman" w:hAnsi="Arial" w:cs="Arial"/>
          <w:color w:val="auto"/>
          <w:shd w:val="clear" w:color="auto" w:fill="FFFFFF"/>
          <w:lang w:val="en-GB"/>
        </w:rPr>
        <w:t>].</w:t>
      </w:r>
      <w:r w:rsidR="00A72523" w:rsidRPr="00DB11A6">
        <w:rPr>
          <w:rFonts w:ascii="Arial" w:eastAsia="Times New Roman" w:hAnsi="Arial" w:cs="Arial"/>
          <w:color w:val="auto"/>
          <w:shd w:val="clear" w:color="auto" w:fill="FFFFFF"/>
          <w:lang w:val="en-GB"/>
        </w:rPr>
        <w:t xml:space="preserve"> </w:t>
      </w:r>
    </w:p>
    <w:p w14:paraId="19477788" w14:textId="77777777" w:rsidR="004C3258" w:rsidRPr="00DB11A6" w:rsidRDefault="004C3258" w:rsidP="00306C71">
      <w:pPr>
        <w:spacing w:line="480" w:lineRule="auto"/>
        <w:contextualSpacing/>
        <w:rPr>
          <w:rFonts w:ascii="Arial" w:hAnsi="Arial" w:cs="Arial"/>
          <w:shd w:val="clear" w:color="auto" w:fill="FFFFFF"/>
        </w:rPr>
      </w:pPr>
    </w:p>
    <w:p w14:paraId="65C15520" w14:textId="77777777" w:rsidR="004C3258" w:rsidRPr="00DB11A6" w:rsidRDefault="004C3258" w:rsidP="00306C71">
      <w:pPr>
        <w:pStyle w:val="Default"/>
        <w:spacing w:line="480" w:lineRule="auto"/>
        <w:contextualSpacing/>
        <w:rPr>
          <w:rFonts w:ascii="Arial" w:eastAsia="Times New Roman" w:hAnsi="Arial" w:cs="Arial"/>
          <w:b/>
          <w:color w:val="auto"/>
          <w:shd w:val="clear" w:color="auto" w:fill="FFFFFF"/>
          <w:lang w:val="en-GB"/>
        </w:rPr>
      </w:pPr>
      <w:r w:rsidRPr="00DB11A6">
        <w:rPr>
          <w:rFonts w:ascii="Arial" w:eastAsia="Times New Roman" w:hAnsi="Arial" w:cs="Arial"/>
          <w:b/>
          <w:color w:val="auto"/>
          <w:shd w:val="clear" w:color="auto" w:fill="FFFFFF"/>
          <w:lang w:val="en-GB"/>
        </w:rPr>
        <w:t xml:space="preserve">Study </w:t>
      </w:r>
      <w:r w:rsidR="002923D6" w:rsidRPr="00DB11A6">
        <w:rPr>
          <w:rFonts w:ascii="Arial" w:eastAsia="Times New Roman" w:hAnsi="Arial" w:cs="Arial"/>
          <w:b/>
          <w:color w:val="auto"/>
          <w:shd w:val="clear" w:color="auto" w:fill="FFFFFF"/>
          <w:lang w:val="en-GB"/>
        </w:rPr>
        <w:t>d</w:t>
      </w:r>
      <w:r w:rsidRPr="00DB11A6">
        <w:rPr>
          <w:rFonts w:ascii="Arial" w:eastAsia="Times New Roman" w:hAnsi="Arial" w:cs="Arial"/>
          <w:b/>
          <w:color w:val="auto"/>
          <w:shd w:val="clear" w:color="auto" w:fill="FFFFFF"/>
          <w:lang w:val="en-GB"/>
        </w:rPr>
        <w:t xml:space="preserve">esign and </w:t>
      </w:r>
      <w:r w:rsidR="002923D6" w:rsidRPr="00DB11A6">
        <w:rPr>
          <w:rFonts w:ascii="Arial" w:eastAsia="Times New Roman" w:hAnsi="Arial" w:cs="Arial"/>
          <w:b/>
          <w:color w:val="auto"/>
          <w:shd w:val="clear" w:color="auto" w:fill="FFFFFF"/>
          <w:lang w:val="en-GB"/>
        </w:rPr>
        <w:t>p</w:t>
      </w:r>
      <w:r w:rsidRPr="00DB11A6">
        <w:rPr>
          <w:rFonts w:ascii="Arial" w:eastAsia="Times New Roman" w:hAnsi="Arial" w:cs="Arial"/>
          <w:b/>
          <w:color w:val="auto"/>
          <w:shd w:val="clear" w:color="auto" w:fill="FFFFFF"/>
          <w:lang w:val="en-GB"/>
        </w:rPr>
        <w:t>opulation</w:t>
      </w:r>
    </w:p>
    <w:p w14:paraId="44EB99B8" w14:textId="09B9D9F1" w:rsidR="005551AE" w:rsidRPr="00DB11A6" w:rsidRDefault="004C3258" w:rsidP="00306C71">
      <w:pPr>
        <w:spacing w:line="480" w:lineRule="auto"/>
        <w:contextualSpacing/>
        <w:rPr>
          <w:rFonts w:ascii="Arial" w:hAnsi="Arial" w:cs="Arial"/>
          <w:szCs w:val="22"/>
        </w:rPr>
      </w:pPr>
      <w:r w:rsidRPr="00DB11A6">
        <w:rPr>
          <w:rFonts w:ascii="Arial" w:hAnsi="Arial" w:cs="Arial"/>
          <w:shd w:val="clear" w:color="auto" w:fill="FFFFFF"/>
        </w:rPr>
        <w:t xml:space="preserve">This </w:t>
      </w:r>
      <w:r w:rsidR="00BC59DF" w:rsidRPr="00DB11A6">
        <w:rPr>
          <w:rFonts w:ascii="Arial" w:hAnsi="Arial" w:cs="Arial"/>
          <w:shd w:val="clear" w:color="auto" w:fill="FFFFFF"/>
        </w:rPr>
        <w:t xml:space="preserve">historical </w:t>
      </w:r>
      <w:r w:rsidRPr="00DB11A6">
        <w:rPr>
          <w:rFonts w:ascii="Arial" w:hAnsi="Arial" w:cs="Arial"/>
          <w:shd w:val="clear" w:color="auto" w:fill="FFFFFF"/>
        </w:rPr>
        <w:t>cohort study includ</w:t>
      </w:r>
      <w:r w:rsidR="00DA467B" w:rsidRPr="00DB11A6">
        <w:rPr>
          <w:rFonts w:ascii="Arial" w:hAnsi="Arial" w:cs="Arial"/>
          <w:shd w:val="clear" w:color="auto" w:fill="FFFFFF"/>
        </w:rPr>
        <w:t xml:space="preserve">ed </w:t>
      </w:r>
      <w:r w:rsidRPr="00DB11A6">
        <w:rPr>
          <w:rFonts w:ascii="Arial" w:hAnsi="Arial" w:cs="Arial"/>
          <w:shd w:val="clear" w:color="auto" w:fill="FFFFFF"/>
        </w:rPr>
        <w:t>a</w:t>
      </w:r>
      <w:r w:rsidR="00B704A1" w:rsidRPr="00DB11A6">
        <w:rPr>
          <w:rFonts w:ascii="Arial" w:hAnsi="Arial" w:cs="Arial"/>
          <w:shd w:val="clear" w:color="auto" w:fill="FFFFFF"/>
        </w:rPr>
        <w:t xml:space="preserve">n observation period of 2–10 </w:t>
      </w:r>
      <w:r w:rsidR="008C184D" w:rsidRPr="00DB11A6">
        <w:rPr>
          <w:rFonts w:ascii="Arial" w:hAnsi="Arial" w:cs="Arial"/>
          <w:shd w:val="clear" w:color="auto" w:fill="FFFFFF"/>
        </w:rPr>
        <w:t>year</w:t>
      </w:r>
      <w:r w:rsidR="00B704A1" w:rsidRPr="00DB11A6">
        <w:rPr>
          <w:rFonts w:ascii="Arial" w:hAnsi="Arial" w:cs="Arial"/>
          <w:shd w:val="clear" w:color="auto" w:fill="FFFFFF"/>
        </w:rPr>
        <w:t>s</w:t>
      </w:r>
      <w:r w:rsidR="008C184D" w:rsidRPr="00DB11A6">
        <w:rPr>
          <w:rFonts w:ascii="Arial" w:hAnsi="Arial" w:cs="Arial"/>
          <w:shd w:val="clear" w:color="auto" w:fill="FFFFFF"/>
        </w:rPr>
        <w:t xml:space="preserve"> </w:t>
      </w:r>
      <w:r w:rsidRPr="00DB11A6">
        <w:rPr>
          <w:rFonts w:ascii="Arial" w:hAnsi="Arial" w:cs="Arial"/>
          <w:shd w:val="clear" w:color="auto" w:fill="FFFFFF"/>
        </w:rPr>
        <w:t xml:space="preserve">(as available) prior to an index date at which patients received a first diagnostic code for </w:t>
      </w:r>
      <w:r w:rsidR="00762CC4" w:rsidRPr="00DB11A6">
        <w:rPr>
          <w:rFonts w:ascii="Arial" w:hAnsi="Arial" w:cs="Arial"/>
          <w:shd w:val="clear" w:color="auto" w:fill="FFFFFF"/>
        </w:rPr>
        <w:t>pulmonary fibrosis</w:t>
      </w:r>
      <w:r w:rsidRPr="00DB11A6">
        <w:rPr>
          <w:rFonts w:ascii="Arial" w:hAnsi="Arial" w:cs="Arial"/>
          <w:shd w:val="clear" w:color="auto" w:fill="FFFFFF"/>
        </w:rPr>
        <w:t xml:space="preserve">. </w:t>
      </w:r>
      <w:r w:rsidR="00842518" w:rsidRPr="00DB11A6">
        <w:rPr>
          <w:rFonts w:ascii="Arial" w:hAnsi="Arial" w:cs="Arial"/>
          <w:shd w:val="clear" w:color="auto" w:fill="FFFFFF"/>
        </w:rPr>
        <w:t>D</w:t>
      </w:r>
      <w:r w:rsidR="00101E38" w:rsidRPr="00DB11A6">
        <w:rPr>
          <w:rFonts w:ascii="Arial" w:hAnsi="Arial" w:cs="Arial"/>
          <w:shd w:val="clear" w:color="auto" w:fill="FFFFFF"/>
        </w:rPr>
        <w:t>ata extraction cut</w:t>
      </w:r>
      <w:r w:rsidR="00322BC4" w:rsidRPr="00DB11A6">
        <w:rPr>
          <w:rFonts w:ascii="Arial" w:hAnsi="Arial" w:cs="Arial"/>
          <w:shd w:val="clear" w:color="auto" w:fill="FFFFFF"/>
        </w:rPr>
        <w:t>-</w:t>
      </w:r>
      <w:r w:rsidR="00101E38" w:rsidRPr="00DB11A6">
        <w:rPr>
          <w:rFonts w:ascii="Arial" w:hAnsi="Arial" w:cs="Arial"/>
          <w:shd w:val="clear" w:color="auto" w:fill="FFFFFF"/>
        </w:rPr>
        <w:t>off date was</w:t>
      </w:r>
      <w:r w:rsidR="008F2B5C" w:rsidRPr="00DB11A6">
        <w:rPr>
          <w:rFonts w:ascii="Arial" w:hAnsi="Arial" w:cs="Arial"/>
          <w:shd w:val="clear" w:color="auto" w:fill="FFFFFF"/>
        </w:rPr>
        <w:t xml:space="preserve"> </w:t>
      </w:r>
      <w:r w:rsidR="00101E38" w:rsidRPr="00DB11A6">
        <w:rPr>
          <w:rFonts w:ascii="Arial" w:hAnsi="Arial" w:cs="Arial"/>
          <w:shd w:val="clear" w:color="auto" w:fill="FFFFFF"/>
        </w:rPr>
        <w:t>December</w:t>
      </w:r>
      <w:r w:rsidR="008F2B5C" w:rsidRPr="00DB11A6">
        <w:rPr>
          <w:rFonts w:ascii="Arial" w:hAnsi="Arial" w:cs="Arial"/>
          <w:shd w:val="clear" w:color="auto" w:fill="FFFFFF"/>
        </w:rPr>
        <w:t xml:space="preserve"> 31</w:t>
      </w:r>
      <w:r w:rsidR="008F2B5C" w:rsidRPr="00DB11A6">
        <w:rPr>
          <w:rFonts w:ascii="Arial" w:hAnsi="Arial" w:cs="Arial"/>
          <w:shd w:val="clear" w:color="auto" w:fill="FFFFFF"/>
          <w:vertAlign w:val="superscript"/>
        </w:rPr>
        <w:t>st</w:t>
      </w:r>
      <w:proofErr w:type="gramStart"/>
      <w:r w:rsidR="00821056" w:rsidRPr="00DB11A6">
        <w:rPr>
          <w:rFonts w:ascii="Arial" w:hAnsi="Arial" w:cs="Arial"/>
          <w:shd w:val="clear" w:color="auto" w:fill="FFFFFF"/>
        </w:rPr>
        <w:t xml:space="preserve"> </w:t>
      </w:r>
      <w:r w:rsidR="00101E38" w:rsidRPr="00DB11A6">
        <w:rPr>
          <w:rFonts w:ascii="Arial" w:hAnsi="Arial" w:cs="Arial"/>
          <w:shd w:val="clear" w:color="auto" w:fill="FFFFFF"/>
        </w:rPr>
        <w:t>2015</w:t>
      </w:r>
      <w:proofErr w:type="gramEnd"/>
      <w:r w:rsidR="00101E38" w:rsidRPr="00DB11A6">
        <w:rPr>
          <w:rFonts w:ascii="Arial" w:hAnsi="Arial" w:cs="Arial"/>
          <w:shd w:val="clear" w:color="auto" w:fill="FFFFFF"/>
        </w:rPr>
        <w:t xml:space="preserve">. </w:t>
      </w:r>
      <w:r w:rsidR="001D70BE" w:rsidRPr="00DB11A6">
        <w:rPr>
          <w:rFonts w:ascii="Arial" w:hAnsi="Arial" w:cs="Arial"/>
          <w:shd w:val="clear" w:color="auto" w:fill="FFFFFF"/>
        </w:rPr>
        <w:t xml:space="preserve">Cases were identified </w:t>
      </w:r>
      <w:r w:rsidR="008F2B5C" w:rsidRPr="00DB11A6">
        <w:rPr>
          <w:rFonts w:ascii="Arial" w:hAnsi="Arial" w:cs="Arial"/>
          <w:shd w:val="clear" w:color="auto" w:fill="FFFFFF"/>
        </w:rPr>
        <w:t>from</w:t>
      </w:r>
      <w:r w:rsidR="001D70BE" w:rsidRPr="00DB11A6">
        <w:rPr>
          <w:rFonts w:ascii="Arial" w:hAnsi="Arial" w:cs="Arial"/>
          <w:shd w:val="clear" w:color="auto" w:fill="FFFFFF"/>
        </w:rPr>
        <w:t xml:space="preserve"> diagnostic </w:t>
      </w:r>
      <w:r w:rsidR="00D57938" w:rsidRPr="00DB11A6">
        <w:rPr>
          <w:rFonts w:ascii="Arial" w:hAnsi="Arial" w:cs="Arial"/>
          <w:shd w:val="clear" w:color="auto" w:fill="FFFFFF"/>
        </w:rPr>
        <w:t xml:space="preserve">(Read) </w:t>
      </w:r>
      <w:r w:rsidR="001D70BE" w:rsidRPr="00DB11A6">
        <w:rPr>
          <w:rFonts w:ascii="Arial" w:hAnsi="Arial" w:cs="Arial"/>
          <w:shd w:val="clear" w:color="auto" w:fill="FFFFFF"/>
        </w:rPr>
        <w:t xml:space="preserve">code lists </w:t>
      </w:r>
      <w:r w:rsidR="001D70BE" w:rsidRPr="00DB11A6">
        <w:rPr>
          <w:rFonts w:ascii="Arial" w:hAnsi="Arial" w:cs="Arial"/>
          <w:szCs w:val="22"/>
        </w:rPr>
        <w:t xml:space="preserve">developed by the </w:t>
      </w:r>
      <w:r w:rsidR="0026434C" w:rsidRPr="00DB11A6">
        <w:rPr>
          <w:rFonts w:ascii="Arial" w:hAnsi="Arial" w:cs="Arial"/>
          <w:szCs w:val="22"/>
        </w:rPr>
        <w:t>REG</w:t>
      </w:r>
      <w:r w:rsidR="001D70BE" w:rsidRPr="00DB11A6">
        <w:rPr>
          <w:rFonts w:ascii="Arial" w:hAnsi="Arial" w:cs="Arial"/>
          <w:szCs w:val="22"/>
        </w:rPr>
        <w:t xml:space="preserve"> ILD Working Group and aligned with published IPF-related research conducted in the UK </w:t>
      </w:r>
      <w:r w:rsidR="00DA48DC" w:rsidRPr="00DB11A6">
        <w:rPr>
          <w:rFonts w:ascii="Arial" w:hAnsi="Arial" w:cs="Arial"/>
          <w:shd w:val="clear" w:color="auto" w:fill="FFFFFF"/>
        </w:rPr>
        <w:t>[</w:t>
      </w:r>
      <w:r w:rsidR="005C3A9C" w:rsidRPr="00DB11A6">
        <w:rPr>
          <w:rFonts w:ascii="Arial" w:hAnsi="Arial" w:cs="Arial"/>
          <w:shd w:val="clear" w:color="auto" w:fill="FFFFFF"/>
        </w:rPr>
        <w:t>6</w:t>
      </w:r>
      <w:r w:rsidR="004034C1" w:rsidRPr="00DB11A6">
        <w:rPr>
          <w:rFonts w:ascii="Arial" w:hAnsi="Arial" w:cs="Arial"/>
          <w:shd w:val="clear" w:color="auto" w:fill="FFFFFF"/>
        </w:rPr>
        <w:t>,1</w:t>
      </w:r>
      <w:r w:rsidR="005C3A9C" w:rsidRPr="00DB11A6">
        <w:rPr>
          <w:rFonts w:ascii="Arial" w:hAnsi="Arial" w:cs="Arial"/>
          <w:shd w:val="clear" w:color="auto" w:fill="FFFFFF"/>
        </w:rPr>
        <w:t>4</w:t>
      </w:r>
      <w:r w:rsidR="00DA48DC" w:rsidRPr="00DB11A6">
        <w:rPr>
          <w:rFonts w:ascii="Arial" w:hAnsi="Arial" w:cs="Arial"/>
          <w:shd w:val="clear" w:color="auto" w:fill="FFFFFF"/>
        </w:rPr>
        <w:t>].</w:t>
      </w:r>
      <w:r w:rsidR="001D70BE" w:rsidRPr="00DB11A6">
        <w:rPr>
          <w:rFonts w:ascii="Arial" w:hAnsi="Arial" w:cs="Arial"/>
          <w:szCs w:val="22"/>
        </w:rPr>
        <w:t xml:space="preserve"> </w:t>
      </w:r>
      <w:r w:rsidR="00406A76" w:rsidRPr="00DB11A6">
        <w:rPr>
          <w:rFonts w:ascii="Arial" w:hAnsi="Arial" w:cs="Arial"/>
        </w:rPr>
        <w:t>Acknowledging variations in coding</w:t>
      </w:r>
      <w:r w:rsidR="00D57938" w:rsidRPr="00DB11A6">
        <w:rPr>
          <w:rFonts w:ascii="Arial" w:hAnsi="Arial" w:cs="Arial"/>
        </w:rPr>
        <w:t xml:space="preserve"> practice </w:t>
      </w:r>
      <w:r w:rsidR="00D57938" w:rsidRPr="00DB11A6">
        <w:rPr>
          <w:rFonts w:ascii="Arial" w:hAnsi="Arial" w:cs="Arial"/>
        </w:rPr>
        <w:lastRenderedPageBreak/>
        <w:t>between healthcare professionals</w:t>
      </w:r>
      <w:r w:rsidR="00C56F5A" w:rsidRPr="00DB11A6">
        <w:rPr>
          <w:rFonts w:ascii="Arial" w:hAnsi="Arial" w:cs="Arial"/>
        </w:rPr>
        <w:t>,</w:t>
      </w:r>
      <w:r w:rsidR="00AC757C" w:rsidRPr="00DB11A6">
        <w:rPr>
          <w:rFonts w:ascii="Arial" w:hAnsi="Arial" w:cs="Arial"/>
        </w:rPr>
        <w:t xml:space="preserve"> c</w:t>
      </w:r>
      <w:r w:rsidR="00AC757C" w:rsidRPr="00DB11A6">
        <w:rPr>
          <w:rFonts w:ascii="Arial" w:hAnsi="Arial" w:cs="Arial"/>
          <w:szCs w:val="22"/>
        </w:rPr>
        <w:t xml:space="preserve">ases were labelled </w:t>
      </w:r>
      <w:r w:rsidR="00B704A1" w:rsidRPr="00DB11A6">
        <w:rPr>
          <w:rFonts w:ascii="Arial" w:hAnsi="Arial" w:cs="Arial"/>
          <w:szCs w:val="22"/>
        </w:rPr>
        <w:t>as “</w:t>
      </w:r>
      <w:r w:rsidR="00AC757C" w:rsidRPr="00DB11A6">
        <w:rPr>
          <w:rFonts w:ascii="Arial" w:hAnsi="Arial" w:cs="Arial"/>
          <w:szCs w:val="22"/>
        </w:rPr>
        <w:t>pulmonary fibrosis-clinical syndrome</w:t>
      </w:r>
      <w:r w:rsidR="00B704A1" w:rsidRPr="00DB11A6">
        <w:rPr>
          <w:rFonts w:ascii="Arial" w:hAnsi="Arial" w:cs="Arial"/>
          <w:szCs w:val="22"/>
        </w:rPr>
        <w:t>”</w:t>
      </w:r>
      <w:r w:rsidR="00AC757C" w:rsidRPr="00DB11A6">
        <w:rPr>
          <w:rFonts w:ascii="Arial" w:hAnsi="Arial" w:cs="Arial"/>
          <w:szCs w:val="22"/>
        </w:rPr>
        <w:t xml:space="preserve"> (PFCS) in</w:t>
      </w:r>
      <w:r w:rsidR="00406A76" w:rsidRPr="00DB11A6">
        <w:rPr>
          <w:rFonts w:ascii="Arial" w:hAnsi="Arial" w:cs="Arial"/>
        </w:rPr>
        <w:t xml:space="preserve"> the presence of </w:t>
      </w:r>
      <w:r w:rsidR="00AC757C" w:rsidRPr="00DB11A6">
        <w:rPr>
          <w:rFonts w:ascii="Arial" w:hAnsi="Arial" w:cs="Arial"/>
        </w:rPr>
        <w:t>a</w:t>
      </w:r>
      <w:r w:rsidR="00406A76" w:rsidRPr="00DB11A6">
        <w:rPr>
          <w:rFonts w:ascii="Arial" w:hAnsi="Arial" w:cs="Arial"/>
        </w:rPr>
        <w:t xml:space="preserve"> </w:t>
      </w:r>
      <w:r w:rsidR="00C56F5A" w:rsidRPr="00DB11A6">
        <w:rPr>
          <w:rFonts w:ascii="Arial" w:hAnsi="Arial" w:cs="Arial"/>
        </w:rPr>
        <w:t>code</w:t>
      </w:r>
      <w:r w:rsidR="00406A76" w:rsidRPr="00DB11A6">
        <w:rPr>
          <w:rFonts w:ascii="Arial" w:hAnsi="Arial" w:cs="Arial"/>
        </w:rPr>
        <w:t xml:space="preserve"> considered diagnostic of pulmonary fibrosis </w:t>
      </w:r>
      <w:r w:rsidR="00AC757C" w:rsidRPr="00DB11A6">
        <w:rPr>
          <w:rFonts w:ascii="Arial" w:hAnsi="Arial" w:cs="Arial"/>
        </w:rPr>
        <w:t>and</w:t>
      </w:r>
      <w:r w:rsidR="00406A76" w:rsidRPr="00DB11A6">
        <w:rPr>
          <w:rFonts w:ascii="Arial" w:hAnsi="Arial" w:cs="Arial"/>
        </w:rPr>
        <w:t xml:space="preserve"> the absence of codes associated with ILD</w:t>
      </w:r>
      <w:r w:rsidR="00B704A1" w:rsidRPr="00DB11A6">
        <w:rPr>
          <w:rFonts w:ascii="Arial" w:hAnsi="Arial" w:cs="Arial"/>
        </w:rPr>
        <w:t>,</w:t>
      </w:r>
      <w:r w:rsidR="00406A76" w:rsidRPr="00DB11A6">
        <w:rPr>
          <w:rFonts w:ascii="Arial" w:hAnsi="Arial" w:cs="Arial"/>
        </w:rPr>
        <w:t xml:space="preserve"> such as a connective tissue disease</w:t>
      </w:r>
      <w:r w:rsidR="00BC59DF" w:rsidRPr="00DB11A6">
        <w:rPr>
          <w:rFonts w:ascii="Arial" w:hAnsi="Arial" w:cs="Arial"/>
        </w:rPr>
        <w:t xml:space="preserve"> </w:t>
      </w:r>
      <w:r w:rsidR="00100A27" w:rsidRPr="00DB11A6">
        <w:rPr>
          <w:rFonts w:ascii="Arial" w:hAnsi="Arial" w:cs="Arial"/>
        </w:rPr>
        <w:t>(CTD), sarcoidosis or extrinsic allergic alveolitis (EAA)</w:t>
      </w:r>
      <w:r w:rsidR="00406A76" w:rsidRPr="00DB11A6">
        <w:rPr>
          <w:rFonts w:ascii="Arial" w:hAnsi="Arial" w:cs="Arial"/>
          <w:szCs w:val="22"/>
        </w:rPr>
        <w:t xml:space="preserve">. </w:t>
      </w:r>
      <w:r w:rsidR="006F0762" w:rsidRPr="00DB11A6">
        <w:rPr>
          <w:rFonts w:ascii="Arial" w:hAnsi="Arial" w:cs="Arial"/>
          <w:szCs w:val="22"/>
        </w:rPr>
        <w:t>A</w:t>
      </w:r>
      <w:r w:rsidR="00406A76" w:rsidRPr="00DB11A6">
        <w:rPr>
          <w:rFonts w:ascii="Arial" w:hAnsi="Arial" w:cs="Arial"/>
          <w:szCs w:val="22"/>
        </w:rPr>
        <w:t xml:space="preserve"> subpopulation of patients with </w:t>
      </w:r>
      <w:r w:rsidR="00AC757C" w:rsidRPr="00DB11A6">
        <w:rPr>
          <w:rFonts w:ascii="Arial" w:hAnsi="Arial" w:cs="Arial"/>
          <w:szCs w:val="22"/>
        </w:rPr>
        <w:t xml:space="preserve">only </w:t>
      </w:r>
      <w:r w:rsidR="00406A76" w:rsidRPr="00DB11A6">
        <w:rPr>
          <w:rFonts w:ascii="Arial" w:hAnsi="Arial" w:cs="Arial"/>
          <w:szCs w:val="22"/>
        </w:rPr>
        <w:t>IPF</w:t>
      </w:r>
      <w:r w:rsidR="00B704A1" w:rsidRPr="00DB11A6">
        <w:rPr>
          <w:rFonts w:ascii="Arial" w:hAnsi="Arial" w:cs="Arial"/>
          <w:szCs w:val="22"/>
        </w:rPr>
        <w:t>-</w:t>
      </w:r>
      <w:r w:rsidR="00406A76" w:rsidRPr="00DB11A6">
        <w:rPr>
          <w:rFonts w:ascii="Arial" w:hAnsi="Arial" w:cs="Arial"/>
          <w:szCs w:val="22"/>
        </w:rPr>
        <w:t>specific diagnostic codes</w:t>
      </w:r>
      <w:r w:rsidR="005551AE" w:rsidRPr="00DB11A6">
        <w:rPr>
          <w:rFonts w:ascii="Arial" w:hAnsi="Arial" w:cs="Arial"/>
          <w:szCs w:val="22"/>
        </w:rPr>
        <w:t>—</w:t>
      </w:r>
      <w:r w:rsidR="00406A76" w:rsidRPr="00DB11A6">
        <w:rPr>
          <w:rFonts w:ascii="Arial" w:hAnsi="Arial" w:cs="Arial"/>
          <w:szCs w:val="22"/>
        </w:rPr>
        <w:t xml:space="preserve">here termed </w:t>
      </w:r>
      <w:r w:rsidR="00B704A1" w:rsidRPr="00DB11A6">
        <w:rPr>
          <w:rFonts w:ascii="Arial" w:hAnsi="Arial" w:cs="Arial"/>
          <w:szCs w:val="22"/>
        </w:rPr>
        <w:t>“</w:t>
      </w:r>
      <w:r w:rsidR="00406A76" w:rsidRPr="00DB11A6">
        <w:rPr>
          <w:rFonts w:ascii="Arial" w:hAnsi="Arial" w:cs="Arial"/>
          <w:szCs w:val="22"/>
        </w:rPr>
        <w:t>IPF clinical syndrome</w:t>
      </w:r>
      <w:r w:rsidR="00B704A1" w:rsidRPr="00DB11A6">
        <w:rPr>
          <w:rFonts w:ascii="Arial" w:hAnsi="Arial" w:cs="Arial"/>
          <w:szCs w:val="22"/>
        </w:rPr>
        <w:t>”</w:t>
      </w:r>
      <w:r w:rsidR="00406A76" w:rsidRPr="00DB11A6">
        <w:rPr>
          <w:rFonts w:ascii="Arial" w:hAnsi="Arial" w:cs="Arial"/>
          <w:szCs w:val="22"/>
        </w:rPr>
        <w:t xml:space="preserve"> (IPFCS)</w:t>
      </w:r>
      <w:r w:rsidR="005551AE" w:rsidRPr="00DB11A6">
        <w:rPr>
          <w:rFonts w:ascii="Arial" w:hAnsi="Arial" w:cs="Arial"/>
          <w:szCs w:val="22"/>
        </w:rPr>
        <w:t>—</w:t>
      </w:r>
      <w:r w:rsidR="00406A76" w:rsidRPr="00DB11A6">
        <w:rPr>
          <w:rFonts w:ascii="Arial" w:hAnsi="Arial" w:cs="Arial"/>
          <w:szCs w:val="22"/>
        </w:rPr>
        <w:t>was identified</w:t>
      </w:r>
      <w:r w:rsidR="00963FE4" w:rsidRPr="00DB11A6">
        <w:rPr>
          <w:rFonts w:ascii="Arial" w:hAnsi="Arial" w:cs="Arial"/>
          <w:szCs w:val="22"/>
        </w:rPr>
        <w:t xml:space="preserve">. </w:t>
      </w:r>
      <w:r w:rsidR="00842518" w:rsidRPr="00DB11A6">
        <w:rPr>
          <w:rFonts w:ascii="Arial" w:hAnsi="Arial" w:cs="Arial"/>
          <w:szCs w:val="22"/>
        </w:rPr>
        <w:t>D</w:t>
      </w:r>
      <w:r w:rsidR="009B5417" w:rsidRPr="00DB11A6">
        <w:rPr>
          <w:rFonts w:ascii="Arial" w:hAnsi="Arial" w:cs="Arial"/>
          <w:szCs w:val="22"/>
        </w:rPr>
        <w:t xml:space="preserve">iagnostic codes used as inclusion criteria for the PFCS and IPFCS cohorts are provided in </w:t>
      </w:r>
      <w:r w:rsidR="00DB6A26">
        <w:rPr>
          <w:rFonts w:ascii="Arial" w:hAnsi="Arial" w:cs="Arial"/>
          <w:szCs w:val="22"/>
        </w:rPr>
        <w:t xml:space="preserve">Supplementary </w:t>
      </w:r>
      <w:r w:rsidR="009B5417" w:rsidRPr="00DB11A6">
        <w:rPr>
          <w:rFonts w:ascii="Arial" w:hAnsi="Arial" w:cs="Arial"/>
          <w:szCs w:val="22"/>
        </w:rPr>
        <w:t>Table S1</w:t>
      </w:r>
      <w:r w:rsidR="002A17DB" w:rsidRPr="00DB11A6">
        <w:rPr>
          <w:rFonts w:ascii="Arial" w:hAnsi="Arial" w:cs="Arial"/>
          <w:szCs w:val="22"/>
        </w:rPr>
        <w:t xml:space="preserve"> </w:t>
      </w:r>
      <w:r w:rsidR="002A17DB" w:rsidRPr="00DB11A6">
        <w:rPr>
          <w:rFonts w:ascii="Arial" w:hAnsi="Arial" w:cs="Arial"/>
          <w:shd w:val="clear" w:color="auto" w:fill="FFFFFF"/>
        </w:rPr>
        <w:t>[6,14]</w:t>
      </w:r>
      <w:r w:rsidR="009B5417" w:rsidRPr="00DB11A6">
        <w:rPr>
          <w:rFonts w:ascii="Arial" w:hAnsi="Arial" w:cs="Arial"/>
          <w:szCs w:val="22"/>
        </w:rPr>
        <w:t xml:space="preserve">. </w:t>
      </w:r>
      <w:r w:rsidR="00100A27" w:rsidRPr="00DB11A6">
        <w:rPr>
          <w:rFonts w:ascii="Arial" w:hAnsi="Arial" w:cs="Arial"/>
          <w:szCs w:val="22"/>
        </w:rPr>
        <w:t>C</w:t>
      </w:r>
      <w:r w:rsidR="001E2DBB" w:rsidRPr="00DB11A6">
        <w:rPr>
          <w:rFonts w:ascii="Arial" w:hAnsi="Arial" w:cs="Arial"/>
          <w:szCs w:val="22"/>
        </w:rPr>
        <w:t xml:space="preserve">odes </w:t>
      </w:r>
      <w:r w:rsidR="00F57AD4" w:rsidRPr="00DB11A6">
        <w:rPr>
          <w:rFonts w:ascii="Arial" w:hAnsi="Arial" w:cs="Arial"/>
          <w:szCs w:val="22"/>
        </w:rPr>
        <w:t xml:space="preserve">contributing to PFCS or IPFCS </w:t>
      </w:r>
      <w:r w:rsidR="007F4C7B" w:rsidRPr="00DB11A6">
        <w:rPr>
          <w:rFonts w:ascii="Arial" w:hAnsi="Arial" w:cs="Arial"/>
          <w:szCs w:val="22"/>
        </w:rPr>
        <w:t xml:space="preserve">were recorded in primary and secondary care. </w:t>
      </w:r>
    </w:p>
    <w:p w14:paraId="1D7513AB" w14:textId="77777777" w:rsidR="005551AE" w:rsidRPr="00DB11A6" w:rsidRDefault="005551AE" w:rsidP="00306C71">
      <w:pPr>
        <w:spacing w:line="480" w:lineRule="auto"/>
        <w:contextualSpacing/>
        <w:rPr>
          <w:rFonts w:ascii="Arial" w:hAnsi="Arial" w:cs="Arial"/>
          <w:shd w:val="clear" w:color="auto" w:fill="FFFFFF"/>
        </w:rPr>
      </w:pPr>
    </w:p>
    <w:p w14:paraId="2F804936" w14:textId="78369806" w:rsidR="00C232FE" w:rsidRPr="00DB11A6" w:rsidRDefault="00E51845" w:rsidP="00306C71">
      <w:pPr>
        <w:spacing w:line="480" w:lineRule="auto"/>
        <w:contextualSpacing/>
        <w:rPr>
          <w:rFonts w:ascii="Arial" w:hAnsi="Arial" w:cs="Arial"/>
          <w:szCs w:val="22"/>
        </w:rPr>
      </w:pPr>
      <w:r w:rsidRPr="00DB11A6">
        <w:rPr>
          <w:rFonts w:ascii="Arial" w:hAnsi="Arial" w:cs="Arial"/>
          <w:shd w:val="clear" w:color="auto" w:fill="FFFFFF"/>
        </w:rPr>
        <w:t>Eligible patients</w:t>
      </w:r>
      <w:r w:rsidR="00D44641" w:rsidRPr="00DB11A6">
        <w:rPr>
          <w:rFonts w:ascii="Arial" w:hAnsi="Arial" w:cs="Arial"/>
          <w:shd w:val="clear" w:color="auto" w:fill="FFFFFF"/>
        </w:rPr>
        <w:t xml:space="preserve"> </w:t>
      </w:r>
      <w:r w:rsidRPr="00DB11A6">
        <w:rPr>
          <w:rFonts w:ascii="Arial" w:hAnsi="Arial" w:cs="Arial"/>
          <w:shd w:val="clear" w:color="auto" w:fill="FFFFFF"/>
        </w:rPr>
        <w:t>were aged ≥40 years</w:t>
      </w:r>
      <w:r w:rsidR="008D15E9" w:rsidRPr="00DB11A6">
        <w:rPr>
          <w:rFonts w:ascii="Arial" w:hAnsi="Arial" w:cs="Arial"/>
          <w:shd w:val="clear" w:color="auto" w:fill="FFFFFF"/>
        </w:rPr>
        <w:t xml:space="preserve"> at diagnosis</w:t>
      </w:r>
      <w:r w:rsidRPr="00DB11A6">
        <w:rPr>
          <w:rFonts w:ascii="Arial" w:hAnsi="Arial" w:cs="Arial"/>
          <w:shd w:val="clear" w:color="auto" w:fill="FFFFFF"/>
        </w:rPr>
        <w:t xml:space="preserve"> and diagnosed with</w:t>
      </w:r>
      <w:r w:rsidR="00A44C91" w:rsidRPr="00DB11A6">
        <w:rPr>
          <w:rFonts w:ascii="Arial" w:hAnsi="Arial" w:cs="Arial"/>
          <w:shd w:val="clear" w:color="auto" w:fill="FFFFFF"/>
        </w:rPr>
        <w:t xml:space="preserve"> PFCS</w:t>
      </w:r>
      <w:r w:rsidR="0011761C" w:rsidRPr="00DB11A6">
        <w:rPr>
          <w:rFonts w:ascii="Arial" w:hAnsi="Arial" w:cs="Arial"/>
          <w:shd w:val="clear" w:color="auto" w:fill="FFFFFF"/>
        </w:rPr>
        <w:t xml:space="preserve"> </w:t>
      </w:r>
      <w:r w:rsidRPr="00DB11A6">
        <w:rPr>
          <w:rFonts w:ascii="Arial" w:hAnsi="Arial" w:cs="Arial"/>
          <w:shd w:val="clear" w:color="auto" w:fill="FFFFFF"/>
        </w:rPr>
        <w:t xml:space="preserve">between 2005–2015. Patients with less than </w:t>
      </w:r>
      <w:r w:rsidR="00D93E60" w:rsidRPr="00DB11A6">
        <w:rPr>
          <w:rFonts w:ascii="Arial" w:hAnsi="Arial" w:cs="Arial"/>
          <w:shd w:val="clear" w:color="auto" w:fill="FFFFFF"/>
        </w:rPr>
        <w:t>two</w:t>
      </w:r>
      <w:r w:rsidRPr="00DB11A6">
        <w:rPr>
          <w:rFonts w:ascii="Arial" w:hAnsi="Arial" w:cs="Arial"/>
          <w:shd w:val="clear" w:color="auto" w:fill="FFFFFF"/>
        </w:rPr>
        <w:t xml:space="preserve"> years of</w:t>
      </w:r>
      <w:r w:rsidRPr="00DB11A6">
        <w:rPr>
          <w:rFonts w:ascii="Arial" w:hAnsi="Arial" w:cs="Arial"/>
        </w:rPr>
        <w:t xml:space="preserve"> continuous medical records immediately prior</w:t>
      </w:r>
      <w:r w:rsidR="000773CE" w:rsidRPr="00DB11A6">
        <w:rPr>
          <w:rFonts w:ascii="Arial" w:hAnsi="Arial" w:cs="Arial"/>
        </w:rPr>
        <w:t xml:space="preserve"> to</w:t>
      </w:r>
      <w:r w:rsidRPr="00DB11A6">
        <w:rPr>
          <w:rFonts w:ascii="Arial" w:hAnsi="Arial" w:cs="Arial"/>
        </w:rPr>
        <w:t xml:space="preserve"> diagnosis</w:t>
      </w:r>
      <w:r w:rsidR="005551AE" w:rsidRPr="00DB11A6">
        <w:rPr>
          <w:rFonts w:ascii="Arial" w:hAnsi="Arial" w:cs="Arial"/>
        </w:rPr>
        <w:t xml:space="preserve"> were excluded</w:t>
      </w:r>
      <w:r w:rsidR="00406A76" w:rsidRPr="00DB11A6">
        <w:rPr>
          <w:rFonts w:ascii="Arial" w:hAnsi="Arial" w:cs="Arial"/>
          <w:szCs w:val="22"/>
        </w:rPr>
        <w:t>.</w:t>
      </w:r>
      <w:r w:rsidR="00E07A96" w:rsidRPr="00DB11A6">
        <w:rPr>
          <w:rFonts w:ascii="Arial" w:hAnsi="Arial" w:cs="Arial"/>
          <w:szCs w:val="22"/>
        </w:rPr>
        <w:t xml:space="preserve"> </w:t>
      </w:r>
      <w:r w:rsidR="00F864E6" w:rsidRPr="00DB11A6">
        <w:rPr>
          <w:rFonts w:ascii="Arial" w:hAnsi="Arial" w:cs="Arial"/>
          <w:szCs w:val="22"/>
        </w:rPr>
        <w:t>E</w:t>
      </w:r>
      <w:r w:rsidR="00E07A96" w:rsidRPr="00DB11A6">
        <w:rPr>
          <w:rFonts w:ascii="Arial" w:hAnsi="Arial" w:cs="Arial"/>
          <w:szCs w:val="22"/>
        </w:rPr>
        <w:t xml:space="preserve">xclusion of patients with CTD, </w:t>
      </w:r>
      <w:r w:rsidR="00E07A96" w:rsidRPr="00DB11A6">
        <w:rPr>
          <w:rFonts w:ascii="Arial" w:hAnsi="Arial" w:cs="Arial"/>
        </w:rPr>
        <w:t>sarcoidosis</w:t>
      </w:r>
      <w:r w:rsidR="001E1EED" w:rsidRPr="00DB11A6">
        <w:rPr>
          <w:rFonts w:ascii="Arial" w:hAnsi="Arial" w:cs="Arial"/>
        </w:rPr>
        <w:t xml:space="preserve"> and EAA</w:t>
      </w:r>
      <w:r w:rsidR="00100A27" w:rsidRPr="00DB11A6">
        <w:rPr>
          <w:rFonts w:ascii="Arial" w:hAnsi="Arial" w:cs="Arial"/>
        </w:rPr>
        <w:t xml:space="preserve"> (codes in </w:t>
      </w:r>
      <w:r w:rsidR="00DB6A26">
        <w:rPr>
          <w:rFonts w:ascii="Arial" w:hAnsi="Arial" w:cs="Arial"/>
          <w:szCs w:val="22"/>
        </w:rPr>
        <w:t>Supplementary</w:t>
      </w:r>
      <w:r w:rsidR="00DB6A26" w:rsidRPr="00DB11A6">
        <w:rPr>
          <w:rFonts w:ascii="Arial" w:hAnsi="Arial" w:cs="Arial"/>
        </w:rPr>
        <w:t xml:space="preserve"> </w:t>
      </w:r>
      <w:r w:rsidR="00100A27" w:rsidRPr="00DB11A6">
        <w:rPr>
          <w:rFonts w:ascii="Arial" w:hAnsi="Arial" w:cs="Arial"/>
        </w:rPr>
        <w:t>Table S2)</w:t>
      </w:r>
      <w:r w:rsidR="001E1EED" w:rsidRPr="00DB11A6">
        <w:rPr>
          <w:rFonts w:ascii="Arial" w:hAnsi="Arial" w:cs="Arial"/>
        </w:rPr>
        <w:t xml:space="preserve"> was </w:t>
      </w:r>
      <w:r w:rsidR="00306AD1" w:rsidRPr="00DB11A6">
        <w:rPr>
          <w:rFonts w:ascii="Arial" w:hAnsi="Arial" w:cs="Arial"/>
        </w:rPr>
        <w:t>agreed</w:t>
      </w:r>
      <w:r w:rsidR="00113F8A" w:rsidRPr="00DB11A6">
        <w:rPr>
          <w:rFonts w:ascii="Arial" w:hAnsi="Arial" w:cs="Arial"/>
        </w:rPr>
        <w:t xml:space="preserve"> by</w:t>
      </w:r>
      <w:r w:rsidR="00E17C44" w:rsidRPr="00DB11A6">
        <w:rPr>
          <w:rFonts w:ascii="Arial" w:hAnsi="Arial" w:cs="Arial"/>
        </w:rPr>
        <w:t xml:space="preserve"> the REG ILD Working Group</w:t>
      </w:r>
      <w:r w:rsidR="0080527E" w:rsidRPr="00DB11A6">
        <w:rPr>
          <w:rFonts w:ascii="Arial" w:hAnsi="Arial" w:cs="Arial"/>
        </w:rPr>
        <w:t>.</w:t>
      </w:r>
    </w:p>
    <w:p w14:paraId="67855809" w14:textId="77777777" w:rsidR="00C232FE" w:rsidRPr="00DB11A6" w:rsidRDefault="00C232FE" w:rsidP="00306C71">
      <w:pPr>
        <w:spacing w:line="480" w:lineRule="auto"/>
        <w:contextualSpacing/>
        <w:rPr>
          <w:rFonts w:ascii="Arial" w:hAnsi="Arial" w:cs="Arial"/>
          <w:szCs w:val="22"/>
        </w:rPr>
      </w:pPr>
    </w:p>
    <w:p w14:paraId="018F2CB0" w14:textId="77777777" w:rsidR="00FE4472" w:rsidRPr="00DB11A6" w:rsidRDefault="00FE4472" w:rsidP="00306C71">
      <w:pPr>
        <w:tabs>
          <w:tab w:val="num" w:pos="2160"/>
        </w:tabs>
        <w:spacing w:line="480" w:lineRule="auto"/>
        <w:contextualSpacing/>
        <w:rPr>
          <w:rFonts w:ascii="Arial" w:hAnsi="Arial" w:cs="Arial"/>
          <w:b/>
        </w:rPr>
      </w:pPr>
      <w:r w:rsidRPr="00DB11A6">
        <w:rPr>
          <w:rFonts w:ascii="Arial" w:hAnsi="Arial" w:cs="Arial"/>
          <w:b/>
        </w:rPr>
        <w:t>Outcome measures</w:t>
      </w:r>
    </w:p>
    <w:p w14:paraId="6CB20020" w14:textId="77777777" w:rsidR="00E419A0" w:rsidRPr="00DB11A6" w:rsidRDefault="00E419A0" w:rsidP="00306C71">
      <w:pPr>
        <w:spacing w:line="480" w:lineRule="auto"/>
        <w:contextualSpacing/>
        <w:rPr>
          <w:rFonts w:ascii="Arial" w:hAnsi="Arial" w:cs="Arial"/>
          <w:bCs/>
          <w:i/>
          <w:szCs w:val="22"/>
        </w:rPr>
      </w:pPr>
      <w:r w:rsidRPr="00DB11A6">
        <w:rPr>
          <w:rFonts w:ascii="Arial" w:hAnsi="Arial" w:cs="Arial"/>
          <w:bCs/>
          <w:i/>
          <w:szCs w:val="22"/>
        </w:rPr>
        <w:t>Characteristics at diagnosis</w:t>
      </w:r>
    </w:p>
    <w:p w14:paraId="03BBC191" w14:textId="69FE8571" w:rsidR="00CC0685" w:rsidRPr="00DB11A6" w:rsidRDefault="003C1B5B" w:rsidP="00306C71">
      <w:pPr>
        <w:spacing w:line="480" w:lineRule="auto"/>
        <w:contextualSpacing/>
        <w:rPr>
          <w:rFonts w:ascii="Arial" w:hAnsi="Arial" w:cs="Arial"/>
          <w:szCs w:val="22"/>
        </w:rPr>
      </w:pPr>
      <w:r w:rsidRPr="00DB11A6">
        <w:rPr>
          <w:rFonts w:ascii="Arial" w:hAnsi="Arial" w:cs="Arial"/>
          <w:bCs/>
          <w:szCs w:val="22"/>
        </w:rPr>
        <w:t>C</w:t>
      </w:r>
      <w:r w:rsidR="00FD74C7" w:rsidRPr="00DB11A6">
        <w:rPr>
          <w:rFonts w:ascii="Arial" w:hAnsi="Arial" w:cs="Arial"/>
          <w:bCs/>
          <w:szCs w:val="22"/>
        </w:rPr>
        <w:t xml:space="preserve">haracteristics of the </w:t>
      </w:r>
      <w:r w:rsidR="00FA0958" w:rsidRPr="00DB11A6">
        <w:rPr>
          <w:rFonts w:ascii="Arial" w:hAnsi="Arial" w:cs="Arial"/>
          <w:szCs w:val="22"/>
        </w:rPr>
        <w:t>study population</w:t>
      </w:r>
      <w:r w:rsidR="005551AE" w:rsidRPr="00DB11A6">
        <w:rPr>
          <w:rFonts w:ascii="Arial" w:hAnsi="Arial" w:cs="Arial"/>
          <w:szCs w:val="22"/>
        </w:rPr>
        <w:t>:</w:t>
      </w:r>
      <w:r w:rsidR="005E3A11" w:rsidRPr="00DB11A6">
        <w:rPr>
          <w:rFonts w:ascii="Arial" w:hAnsi="Arial" w:cs="Arial"/>
          <w:szCs w:val="22"/>
        </w:rPr>
        <w:t xml:space="preserve"> </w:t>
      </w:r>
      <w:r w:rsidR="00D25380" w:rsidRPr="00DB11A6">
        <w:rPr>
          <w:rFonts w:ascii="Arial" w:hAnsi="Arial" w:cs="Arial"/>
          <w:bCs/>
          <w:szCs w:val="22"/>
        </w:rPr>
        <w:t>demographic (age, sex, anthropomorphic measures); lifestyle (smoking history); clinical features (lung function [FVC, FEV1/FVC] recorded closest to diagnosis); common comorbidities (</w:t>
      </w:r>
      <w:r w:rsidR="00B67AA7" w:rsidRPr="00DB11A6">
        <w:rPr>
          <w:rFonts w:ascii="Arial" w:hAnsi="Arial" w:cs="Arial"/>
          <w:bCs/>
          <w:szCs w:val="22"/>
        </w:rPr>
        <w:t xml:space="preserve">chronic obstructive pulmonary disease </w:t>
      </w:r>
      <w:r w:rsidR="006E49F9" w:rsidRPr="00DB11A6">
        <w:rPr>
          <w:rFonts w:ascii="Arial" w:hAnsi="Arial" w:cs="Arial"/>
          <w:bCs/>
          <w:szCs w:val="22"/>
        </w:rPr>
        <w:t>[</w:t>
      </w:r>
      <w:r w:rsidR="00D25380" w:rsidRPr="00DB11A6">
        <w:rPr>
          <w:rFonts w:ascii="Arial" w:hAnsi="Arial" w:cs="Arial"/>
          <w:bCs/>
          <w:szCs w:val="22"/>
        </w:rPr>
        <w:t>COPD</w:t>
      </w:r>
      <w:r w:rsidR="006E49F9" w:rsidRPr="00DB11A6">
        <w:rPr>
          <w:rFonts w:ascii="Arial" w:hAnsi="Arial" w:cs="Arial"/>
          <w:bCs/>
          <w:szCs w:val="22"/>
        </w:rPr>
        <w:t>]</w:t>
      </w:r>
      <w:r w:rsidR="00AA33C8" w:rsidRPr="00DB11A6">
        <w:rPr>
          <w:rFonts w:ascii="Arial" w:hAnsi="Arial" w:cs="Arial"/>
          <w:bCs/>
          <w:szCs w:val="22"/>
        </w:rPr>
        <w:t>,</w:t>
      </w:r>
      <w:r w:rsidR="00B67AA7" w:rsidRPr="00DB11A6">
        <w:rPr>
          <w:rFonts w:ascii="Arial" w:hAnsi="Arial" w:cs="Arial"/>
          <w:bCs/>
          <w:szCs w:val="22"/>
        </w:rPr>
        <w:t xml:space="preserve"> </w:t>
      </w:r>
      <w:r w:rsidR="00D25380" w:rsidRPr="00DB11A6">
        <w:rPr>
          <w:rFonts w:ascii="Arial" w:hAnsi="Arial" w:cs="Arial"/>
          <w:bCs/>
          <w:szCs w:val="22"/>
        </w:rPr>
        <w:t>asthma</w:t>
      </w:r>
      <w:r w:rsidR="00AA33C8" w:rsidRPr="00DB11A6">
        <w:rPr>
          <w:rFonts w:ascii="Arial" w:hAnsi="Arial" w:cs="Arial"/>
          <w:bCs/>
          <w:szCs w:val="22"/>
        </w:rPr>
        <w:t xml:space="preserve"> and lung cancer</w:t>
      </w:r>
      <w:r w:rsidR="00D25380" w:rsidRPr="00DB11A6">
        <w:rPr>
          <w:rFonts w:ascii="Arial" w:hAnsi="Arial" w:cs="Arial"/>
          <w:bCs/>
          <w:szCs w:val="22"/>
        </w:rPr>
        <w:t xml:space="preserve">, </w:t>
      </w:r>
      <w:r w:rsidR="00DC782A" w:rsidRPr="00DB11A6">
        <w:rPr>
          <w:rFonts w:ascii="Arial" w:hAnsi="Arial" w:cs="Arial"/>
          <w:bCs/>
          <w:szCs w:val="22"/>
        </w:rPr>
        <w:t>as</w:t>
      </w:r>
      <w:r w:rsidR="00D25380" w:rsidRPr="00DB11A6">
        <w:rPr>
          <w:rFonts w:ascii="Arial" w:hAnsi="Arial" w:cs="Arial"/>
          <w:bCs/>
          <w:szCs w:val="22"/>
        </w:rPr>
        <w:t xml:space="preserve"> defined by codes</w:t>
      </w:r>
      <w:r w:rsidR="00684B89" w:rsidRPr="00DB11A6">
        <w:rPr>
          <w:rFonts w:ascii="Arial" w:hAnsi="Arial" w:cs="Arial"/>
          <w:bCs/>
          <w:szCs w:val="22"/>
        </w:rPr>
        <w:t xml:space="preserve"> rather than functional tests</w:t>
      </w:r>
      <w:r w:rsidR="00D25380" w:rsidRPr="00DB11A6">
        <w:rPr>
          <w:rFonts w:ascii="Arial" w:hAnsi="Arial" w:cs="Arial"/>
          <w:bCs/>
          <w:szCs w:val="22"/>
        </w:rPr>
        <w:t>)</w:t>
      </w:r>
      <w:r w:rsidR="008E2098" w:rsidRPr="00DB11A6">
        <w:rPr>
          <w:rFonts w:ascii="Arial" w:hAnsi="Arial" w:cs="Arial"/>
          <w:bCs/>
          <w:szCs w:val="22"/>
        </w:rPr>
        <w:t>;</w:t>
      </w:r>
      <w:r w:rsidR="00D25380" w:rsidRPr="00DB11A6">
        <w:rPr>
          <w:rFonts w:ascii="Arial" w:hAnsi="Arial" w:cs="Arial"/>
          <w:bCs/>
          <w:szCs w:val="22"/>
        </w:rPr>
        <w:t xml:space="preserve"> and use of obstructive lung disease (OLD) pharmacotherapy in the year preceding PFCS diagnosis.</w:t>
      </w:r>
      <w:r w:rsidR="00856DFC" w:rsidRPr="00DB11A6">
        <w:rPr>
          <w:rFonts w:ascii="Arial" w:hAnsi="Arial" w:cs="Arial"/>
          <w:szCs w:val="22"/>
        </w:rPr>
        <w:t xml:space="preserve"> </w:t>
      </w:r>
    </w:p>
    <w:p w14:paraId="01CEF41C" w14:textId="1037BF8E" w:rsidR="00A72523" w:rsidRPr="00DB11A6" w:rsidRDefault="00A72523" w:rsidP="0059520C">
      <w:pPr>
        <w:spacing w:line="480" w:lineRule="auto"/>
        <w:rPr>
          <w:rFonts w:ascii="Arial" w:hAnsi="Arial" w:cs="Arial"/>
          <w:bCs/>
          <w:i/>
          <w:szCs w:val="22"/>
        </w:rPr>
      </w:pPr>
    </w:p>
    <w:p w14:paraId="1EFB1B64" w14:textId="7EA101CC" w:rsidR="00CC0685" w:rsidRPr="00DB11A6" w:rsidRDefault="0011761C" w:rsidP="0059520C">
      <w:pPr>
        <w:spacing w:line="480" w:lineRule="auto"/>
        <w:rPr>
          <w:rFonts w:ascii="Arial" w:hAnsi="Arial" w:cs="Arial"/>
          <w:bCs/>
          <w:i/>
          <w:szCs w:val="22"/>
        </w:rPr>
      </w:pPr>
      <w:r w:rsidRPr="00DB11A6">
        <w:rPr>
          <w:rFonts w:ascii="Arial" w:hAnsi="Arial" w:cs="Arial"/>
          <w:bCs/>
          <w:i/>
          <w:szCs w:val="22"/>
        </w:rPr>
        <w:t>Healthcare resource utilisation</w:t>
      </w:r>
    </w:p>
    <w:p w14:paraId="22569E20" w14:textId="7CA2F827" w:rsidR="00546518" w:rsidRPr="00DB11A6" w:rsidRDefault="002D494E" w:rsidP="003E37C1">
      <w:pPr>
        <w:tabs>
          <w:tab w:val="num" w:pos="2160"/>
        </w:tabs>
        <w:spacing w:line="480" w:lineRule="auto"/>
        <w:contextualSpacing/>
        <w:rPr>
          <w:rFonts w:ascii="Arial" w:hAnsi="Arial" w:cs="Arial"/>
          <w:szCs w:val="22"/>
        </w:rPr>
      </w:pPr>
      <w:r w:rsidRPr="00DB11A6">
        <w:rPr>
          <w:rFonts w:ascii="Arial" w:hAnsi="Arial" w:cs="Arial"/>
          <w:szCs w:val="22"/>
        </w:rPr>
        <w:t xml:space="preserve">Temporal </w:t>
      </w:r>
      <w:r w:rsidR="00DC782A" w:rsidRPr="00DB11A6">
        <w:rPr>
          <w:rFonts w:ascii="Arial" w:hAnsi="Arial" w:cs="Arial"/>
          <w:szCs w:val="22"/>
        </w:rPr>
        <w:t>trends</w:t>
      </w:r>
      <w:r w:rsidR="00CC0685" w:rsidRPr="00DB11A6">
        <w:rPr>
          <w:rFonts w:ascii="Arial" w:hAnsi="Arial" w:cs="Arial"/>
          <w:szCs w:val="22"/>
        </w:rPr>
        <w:t xml:space="preserve"> in respiratory symptoms</w:t>
      </w:r>
      <w:r w:rsidR="009F0B63" w:rsidRPr="00DB11A6">
        <w:rPr>
          <w:rFonts w:ascii="Arial" w:hAnsi="Arial" w:cs="Arial"/>
          <w:szCs w:val="22"/>
        </w:rPr>
        <w:t xml:space="preserve"> were evaluated by assessment of </w:t>
      </w:r>
      <w:r w:rsidR="00C961B3" w:rsidRPr="00DB11A6">
        <w:rPr>
          <w:rFonts w:ascii="Arial" w:hAnsi="Arial" w:cs="Arial"/>
          <w:szCs w:val="22"/>
        </w:rPr>
        <w:t>population</w:t>
      </w:r>
      <w:r w:rsidR="00C232FE" w:rsidRPr="00DB11A6">
        <w:rPr>
          <w:rFonts w:ascii="Arial" w:hAnsi="Arial" w:cs="Arial"/>
          <w:szCs w:val="22"/>
        </w:rPr>
        <w:t>-</w:t>
      </w:r>
      <w:r w:rsidR="00C961B3" w:rsidRPr="00DB11A6">
        <w:rPr>
          <w:rFonts w:ascii="Arial" w:hAnsi="Arial" w:cs="Arial"/>
          <w:szCs w:val="22"/>
        </w:rPr>
        <w:t xml:space="preserve">level </w:t>
      </w:r>
      <w:r w:rsidR="009F0B63" w:rsidRPr="00DB11A6">
        <w:rPr>
          <w:rFonts w:ascii="Arial" w:hAnsi="Arial" w:cs="Arial"/>
          <w:szCs w:val="22"/>
        </w:rPr>
        <w:t xml:space="preserve">per-patient annualised cough </w:t>
      </w:r>
      <w:r w:rsidR="00C747EE" w:rsidRPr="00DB11A6">
        <w:rPr>
          <w:rFonts w:ascii="Arial" w:hAnsi="Arial" w:cs="Arial"/>
          <w:szCs w:val="22"/>
        </w:rPr>
        <w:t xml:space="preserve">events </w:t>
      </w:r>
      <w:r w:rsidR="00966861" w:rsidRPr="00DB11A6">
        <w:rPr>
          <w:rFonts w:ascii="Arial" w:hAnsi="Arial" w:cs="Arial"/>
          <w:szCs w:val="22"/>
        </w:rPr>
        <w:t>coded</w:t>
      </w:r>
      <w:r w:rsidR="00EB74FD" w:rsidRPr="00DB11A6">
        <w:rPr>
          <w:rFonts w:ascii="Arial" w:hAnsi="Arial" w:cs="Arial"/>
          <w:szCs w:val="22"/>
        </w:rPr>
        <w:t xml:space="preserve"> </w:t>
      </w:r>
      <w:r w:rsidR="00C747EE" w:rsidRPr="00DB11A6">
        <w:rPr>
          <w:rFonts w:ascii="Arial" w:hAnsi="Arial" w:cs="Arial"/>
          <w:szCs w:val="22"/>
        </w:rPr>
        <w:t xml:space="preserve">through </w:t>
      </w:r>
      <w:r w:rsidR="00D96D45" w:rsidRPr="00DB11A6">
        <w:rPr>
          <w:rFonts w:ascii="Arial" w:hAnsi="Arial" w:cs="Arial"/>
          <w:szCs w:val="22"/>
        </w:rPr>
        <w:t>primary care consultations</w:t>
      </w:r>
      <w:r w:rsidR="00546518" w:rsidRPr="00DB11A6">
        <w:rPr>
          <w:rFonts w:ascii="Arial" w:hAnsi="Arial" w:cs="Arial"/>
          <w:szCs w:val="22"/>
        </w:rPr>
        <w:t xml:space="preserve"> over </w:t>
      </w:r>
      <w:r w:rsidR="006F0762" w:rsidRPr="00DB11A6">
        <w:rPr>
          <w:rFonts w:ascii="Arial" w:hAnsi="Arial" w:cs="Arial"/>
          <w:szCs w:val="22"/>
        </w:rPr>
        <w:t>10</w:t>
      </w:r>
      <w:r w:rsidR="00B704A1" w:rsidRPr="00DB11A6">
        <w:rPr>
          <w:rFonts w:ascii="Arial" w:hAnsi="Arial" w:cs="Arial"/>
          <w:szCs w:val="22"/>
        </w:rPr>
        <w:t xml:space="preserve"> </w:t>
      </w:r>
      <w:r w:rsidR="0011761C" w:rsidRPr="00DB11A6">
        <w:rPr>
          <w:rFonts w:ascii="Arial" w:hAnsi="Arial" w:cs="Arial"/>
          <w:szCs w:val="22"/>
        </w:rPr>
        <w:t xml:space="preserve">years </w:t>
      </w:r>
      <w:r w:rsidR="00546518" w:rsidRPr="00DB11A6">
        <w:rPr>
          <w:rFonts w:ascii="Arial" w:hAnsi="Arial" w:cs="Arial"/>
          <w:szCs w:val="22"/>
        </w:rPr>
        <w:t>prior to</w:t>
      </w:r>
      <w:r w:rsidR="00A44C91" w:rsidRPr="00DB11A6">
        <w:rPr>
          <w:rFonts w:ascii="Arial" w:hAnsi="Arial" w:cs="Arial"/>
          <w:szCs w:val="22"/>
        </w:rPr>
        <w:t xml:space="preserve"> PFCS</w:t>
      </w:r>
      <w:r w:rsidR="00546518" w:rsidRPr="00DB11A6">
        <w:rPr>
          <w:rFonts w:ascii="Arial" w:hAnsi="Arial" w:cs="Arial"/>
          <w:szCs w:val="22"/>
        </w:rPr>
        <w:t xml:space="preserve"> diagnosis</w:t>
      </w:r>
      <w:r w:rsidR="009F0B63" w:rsidRPr="00DB11A6">
        <w:rPr>
          <w:rFonts w:ascii="Arial" w:hAnsi="Arial" w:cs="Arial"/>
          <w:szCs w:val="22"/>
        </w:rPr>
        <w:t>.</w:t>
      </w:r>
      <w:r w:rsidR="00C961B3" w:rsidRPr="00DB11A6">
        <w:rPr>
          <w:rFonts w:ascii="Arial" w:hAnsi="Arial" w:cs="Arial"/>
          <w:szCs w:val="22"/>
        </w:rPr>
        <w:t xml:space="preserve"> Functional impairment was evaluated using the mini-Medical Research Council (</w:t>
      </w:r>
      <w:proofErr w:type="spellStart"/>
      <w:r w:rsidR="00C961B3" w:rsidRPr="00DB11A6">
        <w:rPr>
          <w:rFonts w:ascii="Arial" w:hAnsi="Arial" w:cs="Arial"/>
          <w:szCs w:val="22"/>
        </w:rPr>
        <w:t>mMRC</w:t>
      </w:r>
      <w:proofErr w:type="spellEnd"/>
      <w:r w:rsidR="00C961B3" w:rsidRPr="00DB11A6">
        <w:rPr>
          <w:rFonts w:ascii="Arial" w:hAnsi="Arial" w:cs="Arial"/>
          <w:szCs w:val="22"/>
        </w:rPr>
        <w:t xml:space="preserve">) score captured </w:t>
      </w:r>
      <w:r w:rsidR="004966FE" w:rsidRPr="00DB11A6">
        <w:rPr>
          <w:rFonts w:ascii="Arial" w:hAnsi="Arial" w:cs="Arial"/>
          <w:szCs w:val="22"/>
        </w:rPr>
        <w:t xml:space="preserve">through </w:t>
      </w:r>
      <w:r w:rsidR="00454E28" w:rsidRPr="00DB11A6">
        <w:rPr>
          <w:rFonts w:ascii="Arial" w:hAnsi="Arial" w:cs="Arial"/>
          <w:szCs w:val="22"/>
        </w:rPr>
        <w:t>a</w:t>
      </w:r>
      <w:r w:rsidR="00C961B3" w:rsidRPr="00DB11A6">
        <w:rPr>
          <w:rFonts w:ascii="Arial" w:hAnsi="Arial" w:cs="Arial"/>
          <w:szCs w:val="22"/>
        </w:rPr>
        <w:t xml:space="preserve"> systematic data capture protocol. Availability of </w:t>
      </w:r>
      <w:proofErr w:type="spellStart"/>
      <w:r w:rsidR="00C961B3" w:rsidRPr="00DB11A6">
        <w:rPr>
          <w:rFonts w:ascii="Arial" w:hAnsi="Arial" w:cs="Arial"/>
          <w:szCs w:val="22"/>
        </w:rPr>
        <w:t>mMRC</w:t>
      </w:r>
      <w:proofErr w:type="spellEnd"/>
      <w:r w:rsidR="00C961B3" w:rsidRPr="00DB11A6">
        <w:rPr>
          <w:rFonts w:ascii="Arial" w:hAnsi="Arial" w:cs="Arial"/>
          <w:szCs w:val="22"/>
        </w:rPr>
        <w:t xml:space="preserve"> scores reflect</w:t>
      </w:r>
      <w:r w:rsidR="004966FE" w:rsidRPr="00DB11A6">
        <w:rPr>
          <w:rFonts w:ascii="Arial" w:hAnsi="Arial" w:cs="Arial"/>
          <w:szCs w:val="22"/>
        </w:rPr>
        <w:t>ed</w:t>
      </w:r>
      <w:r w:rsidR="00C961B3" w:rsidRPr="00DB11A6">
        <w:rPr>
          <w:rFonts w:ascii="Arial" w:hAnsi="Arial" w:cs="Arial"/>
          <w:szCs w:val="22"/>
        </w:rPr>
        <w:t xml:space="preserve"> patients’ willingness to participate in routine data collection</w:t>
      </w:r>
      <w:r w:rsidR="0042608D" w:rsidRPr="00DB11A6">
        <w:rPr>
          <w:rFonts w:ascii="Arial" w:hAnsi="Arial" w:cs="Arial"/>
          <w:szCs w:val="22"/>
        </w:rPr>
        <w:t xml:space="preserve"> rather than their clinical situation</w:t>
      </w:r>
      <w:r w:rsidR="00C961B3" w:rsidRPr="00DB11A6">
        <w:rPr>
          <w:rFonts w:ascii="Arial" w:hAnsi="Arial" w:cs="Arial"/>
          <w:szCs w:val="22"/>
        </w:rPr>
        <w:t>.</w:t>
      </w:r>
    </w:p>
    <w:p w14:paraId="6FFD0072" w14:textId="77777777" w:rsidR="00546518" w:rsidRPr="00DB11A6" w:rsidRDefault="00546518" w:rsidP="00306C71">
      <w:pPr>
        <w:tabs>
          <w:tab w:val="num" w:pos="2160"/>
        </w:tabs>
        <w:spacing w:line="480" w:lineRule="auto"/>
        <w:contextualSpacing/>
        <w:rPr>
          <w:rFonts w:ascii="Arial" w:hAnsi="Arial" w:cs="Arial"/>
          <w:szCs w:val="22"/>
        </w:rPr>
      </w:pPr>
    </w:p>
    <w:p w14:paraId="59593EFD" w14:textId="068B554C" w:rsidR="005A7417" w:rsidRPr="00DB11A6" w:rsidRDefault="001A2BCF" w:rsidP="00306C71">
      <w:pPr>
        <w:tabs>
          <w:tab w:val="num" w:pos="2160"/>
        </w:tabs>
        <w:spacing w:line="480" w:lineRule="auto"/>
        <w:contextualSpacing/>
        <w:rPr>
          <w:rFonts w:ascii="Arial" w:hAnsi="Arial" w:cs="Arial"/>
          <w:szCs w:val="22"/>
        </w:rPr>
      </w:pPr>
      <w:r w:rsidRPr="00DB11A6">
        <w:rPr>
          <w:rFonts w:ascii="Arial" w:hAnsi="Arial" w:cs="Arial"/>
          <w:szCs w:val="22"/>
        </w:rPr>
        <w:t xml:space="preserve">10-year trends in lower respiratory (LR) HRU were evaluated </w:t>
      </w:r>
      <w:r w:rsidR="004966FE" w:rsidRPr="00DB11A6">
        <w:rPr>
          <w:rFonts w:ascii="Arial" w:hAnsi="Arial" w:cs="Arial"/>
          <w:szCs w:val="22"/>
        </w:rPr>
        <w:t xml:space="preserve">through </w:t>
      </w:r>
      <w:r w:rsidRPr="00DB11A6">
        <w:rPr>
          <w:rFonts w:ascii="Arial" w:hAnsi="Arial" w:cs="Arial"/>
          <w:szCs w:val="22"/>
        </w:rPr>
        <w:t>annualised per-patient rates of coded events, including: primary care consultations, chest radiography (CXR), hospitalisations</w:t>
      </w:r>
      <w:r w:rsidR="00652269" w:rsidRPr="00DB11A6">
        <w:rPr>
          <w:rFonts w:ascii="Arial" w:hAnsi="Arial" w:cs="Arial"/>
          <w:szCs w:val="22"/>
        </w:rPr>
        <w:t xml:space="preserve"> and</w:t>
      </w:r>
      <w:r w:rsidRPr="00DB11A6">
        <w:rPr>
          <w:rFonts w:ascii="Arial" w:hAnsi="Arial" w:cs="Arial"/>
          <w:szCs w:val="22"/>
        </w:rPr>
        <w:t xml:space="preserve"> emergency room attendances, and antibiotics and </w:t>
      </w:r>
      <w:r w:rsidR="009D51D9" w:rsidRPr="00DB11A6">
        <w:rPr>
          <w:rFonts w:ascii="Arial" w:hAnsi="Arial" w:cs="Arial"/>
          <w:szCs w:val="22"/>
        </w:rPr>
        <w:t xml:space="preserve">acute </w:t>
      </w:r>
      <w:r w:rsidRPr="00DB11A6">
        <w:rPr>
          <w:rFonts w:ascii="Arial" w:hAnsi="Arial" w:cs="Arial"/>
          <w:szCs w:val="22"/>
        </w:rPr>
        <w:t>oral steroid prescriptions for an LR complaint. LR complaint codes included those for LR tract infections (bronchitis, tracheitis, pneumonia), non-infective LR conditions (chronic respiratory failure), and respiratory symptoms (breathlessness, cough, wheez</w:t>
      </w:r>
      <w:r w:rsidR="006A0130" w:rsidRPr="00DB11A6">
        <w:rPr>
          <w:rFonts w:ascii="Arial" w:hAnsi="Arial" w:cs="Arial"/>
          <w:szCs w:val="22"/>
        </w:rPr>
        <w:t>e</w:t>
      </w:r>
      <w:r w:rsidRPr="00DB11A6">
        <w:rPr>
          <w:rFonts w:ascii="Arial" w:hAnsi="Arial" w:cs="Arial"/>
          <w:szCs w:val="22"/>
        </w:rPr>
        <w:t>).</w:t>
      </w:r>
      <w:r w:rsidR="003B6631" w:rsidRPr="00DB11A6">
        <w:rPr>
          <w:rFonts w:ascii="Arial" w:hAnsi="Arial" w:cs="Arial"/>
          <w:szCs w:val="22"/>
        </w:rPr>
        <w:t xml:space="preserve"> </w:t>
      </w:r>
    </w:p>
    <w:p w14:paraId="4FD24A7F" w14:textId="77777777" w:rsidR="00FA0958" w:rsidRPr="00DB11A6" w:rsidRDefault="00FA0958" w:rsidP="00306C71">
      <w:pPr>
        <w:spacing w:line="480" w:lineRule="auto"/>
        <w:contextualSpacing/>
        <w:rPr>
          <w:rFonts w:ascii="Arial" w:hAnsi="Arial" w:cs="Arial"/>
          <w:b/>
          <w:szCs w:val="22"/>
        </w:rPr>
      </w:pPr>
    </w:p>
    <w:p w14:paraId="1921CE61" w14:textId="0B3F288A" w:rsidR="006D4472" w:rsidRPr="00DB11A6" w:rsidRDefault="004471F0" w:rsidP="00306C71">
      <w:pPr>
        <w:widowControl w:val="0"/>
        <w:autoSpaceDE w:val="0"/>
        <w:autoSpaceDN w:val="0"/>
        <w:adjustRightInd w:val="0"/>
        <w:spacing w:line="480" w:lineRule="auto"/>
        <w:contextualSpacing/>
        <w:rPr>
          <w:rFonts w:ascii="Arial" w:hAnsi="Arial" w:cs="Arial"/>
          <w:szCs w:val="22"/>
        </w:rPr>
      </w:pPr>
      <w:r w:rsidRPr="00DB11A6">
        <w:rPr>
          <w:rFonts w:ascii="Arial" w:hAnsi="Arial" w:cs="Arial"/>
          <w:szCs w:val="20"/>
        </w:rPr>
        <w:t>Opportunities for earlier</w:t>
      </w:r>
      <w:r w:rsidR="00A44C91" w:rsidRPr="00DB11A6">
        <w:rPr>
          <w:rFonts w:ascii="Arial" w:hAnsi="Arial" w:cs="Arial"/>
          <w:szCs w:val="20"/>
        </w:rPr>
        <w:t xml:space="preserve"> PFCS</w:t>
      </w:r>
      <w:r w:rsidRPr="00DB11A6">
        <w:rPr>
          <w:rFonts w:ascii="Arial" w:hAnsi="Arial" w:cs="Arial"/>
          <w:szCs w:val="20"/>
        </w:rPr>
        <w:t xml:space="preserve"> diagnosis were explored by evaluating unique </w:t>
      </w:r>
      <w:r w:rsidR="00307870" w:rsidRPr="00DB11A6">
        <w:rPr>
          <w:rFonts w:ascii="Arial" w:hAnsi="Arial" w:cs="Arial"/>
          <w:szCs w:val="20"/>
        </w:rPr>
        <w:t xml:space="preserve">patients with </w:t>
      </w:r>
      <w:r w:rsidRPr="00DB11A6">
        <w:rPr>
          <w:rFonts w:ascii="Arial" w:hAnsi="Arial" w:cs="Arial"/>
          <w:szCs w:val="20"/>
        </w:rPr>
        <w:t xml:space="preserve">0, 1, 2, 3, 4, </w:t>
      </w:r>
      <w:r w:rsidR="00FE51D8" w:rsidRPr="00DB11A6">
        <w:rPr>
          <w:rFonts w:ascii="Arial" w:hAnsi="Arial" w:cs="Arial"/>
          <w:szCs w:val="20"/>
        </w:rPr>
        <w:t>≥</w:t>
      </w:r>
      <w:r w:rsidRPr="00DB11A6">
        <w:rPr>
          <w:rFonts w:ascii="Arial" w:hAnsi="Arial" w:cs="Arial"/>
          <w:szCs w:val="20"/>
        </w:rPr>
        <w:t>5</w:t>
      </w:r>
      <w:r w:rsidR="00FE51D8" w:rsidRPr="00DB11A6">
        <w:rPr>
          <w:rFonts w:ascii="Arial" w:hAnsi="Arial" w:cs="Arial"/>
          <w:szCs w:val="20"/>
        </w:rPr>
        <w:t xml:space="preserve"> LR-related primary care contacts</w:t>
      </w:r>
      <w:r w:rsidR="00307870" w:rsidRPr="00DB11A6">
        <w:rPr>
          <w:rFonts w:ascii="Arial" w:hAnsi="Arial" w:cs="Arial"/>
          <w:szCs w:val="20"/>
        </w:rPr>
        <w:t xml:space="preserve"> </w:t>
      </w:r>
      <w:r w:rsidRPr="00DB11A6">
        <w:rPr>
          <w:rFonts w:ascii="Arial" w:hAnsi="Arial" w:cs="Arial"/>
          <w:szCs w:val="20"/>
        </w:rPr>
        <w:t>in</w:t>
      </w:r>
      <w:r w:rsidR="00307870" w:rsidRPr="00DB11A6">
        <w:rPr>
          <w:rFonts w:ascii="Arial" w:hAnsi="Arial" w:cs="Arial"/>
          <w:szCs w:val="20"/>
        </w:rPr>
        <w:t xml:space="preserve"> </w:t>
      </w:r>
      <w:r w:rsidRPr="00DB11A6">
        <w:rPr>
          <w:rFonts w:ascii="Arial" w:hAnsi="Arial" w:cs="Arial"/>
          <w:szCs w:val="20"/>
        </w:rPr>
        <w:t xml:space="preserve">each </w:t>
      </w:r>
      <w:r w:rsidR="00A97767" w:rsidRPr="00DB11A6">
        <w:rPr>
          <w:rFonts w:ascii="Arial" w:hAnsi="Arial" w:cs="Arial"/>
          <w:szCs w:val="20"/>
        </w:rPr>
        <w:t>1-</w:t>
      </w:r>
      <w:r w:rsidR="00307870" w:rsidRPr="00DB11A6">
        <w:rPr>
          <w:rFonts w:ascii="Arial" w:hAnsi="Arial" w:cs="Arial"/>
          <w:szCs w:val="20"/>
        </w:rPr>
        <w:t xml:space="preserve">year </w:t>
      </w:r>
      <w:r w:rsidRPr="00DB11A6">
        <w:rPr>
          <w:rFonts w:ascii="Arial" w:hAnsi="Arial" w:cs="Arial"/>
          <w:szCs w:val="20"/>
        </w:rPr>
        <w:t>period in the decade preceding</w:t>
      </w:r>
      <w:r w:rsidR="00A44C91" w:rsidRPr="00DB11A6">
        <w:rPr>
          <w:rFonts w:ascii="Arial" w:hAnsi="Arial" w:cs="Arial"/>
          <w:szCs w:val="20"/>
        </w:rPr>
        <w:t xml:space="preserve"> PFCS</w:t>
      </w:r>
      <w:r w:rsidRPr="00DB11A6">
        <w:rPr>
          <w:rFonts w:ascii="Arial" w:hAnsi="Arial" w:cs="Arial"/>
          <w:szCs w:val="20"/>
        </w:rPr>
        <w:t xml:space="preserve"> diagnosis</w:t>
      </w:r>
      <w:r w:rsidR="00307870" w:rsidRPr="00DB11A6">
        <w:rPr>
          <w:rFonts w:ascii="Arial" w:hAnsi="Arial" w:cs="Arial"/>
          <w:szCs w:val="20"/>
        </w:rPr>
        <w:t>.</w:t>
      </w:r>
      <w:r w:rsidR="002E754A" w:rsidRPr="00DB11A6">
        <w:rPr>
          <w:rFonts w:ascii="Arial" w:hAnsi="Arial" w:cs="Arial"/>
          <w:szCs w:val="20"/>
        </w:rPr>
        <w:t xml:space="preserve"> </w:t>
      </w:r>
      <w:r w:rsidR="006D4472" w:rsidRPr="00DB11A6">
        <w:rPr>
          <w:rFonts w:ascii="Arial" w:hAnsi="Arial" w:cs="Arial"/>
          <w:szCs w:val="22"/>
        </w:rPr>
        <w:t xml:space="preserve">Prevalence of potential differential </w:t>
      </w:r>
      <w:r w:rsidR="004F26C5" w:rsidRPr="00DB11A6">
        <w:rPr>
          <w:rFonts w:ascii="Arial" w:hAnsi="Arial" w:cs="Arial"/>
          <w:szCs w:val="22"/>
        </w:rPr>
        <w:t xml:space="preserve">pulmonary </w:t>
      </w:r>
      <w:r w:rsidR="006D4472" w:rsidRPr="00DB11A6">
        <w:rPr>
          <w:rFonts w:ascii="Arial" w:hAnsi="Arial" w:cs="Arial"/>
          <w:szCs w:val="22"/>
        </w:rPr>
        <w:t>diagnoses (</w:t>
      </w:r>
      <w:r w:rsidR="002159C6" w:rsidRPr="00DB11A6">
        <w:rPr>
          <w:rFonts w:ascii="Arial" w:hAnsi="Arial" w:cs="Arial"/>
          <w:szCs w:val="22"/>
        </w:rPr>
        <w:t>COPD</w:t>
      </w:r>
      <w:r w:rsidR="004F26C5" w:rsidRPr="00DB11A6">
        <w:rPr>
          <w:rFonts w:ascii="Arial" w:hAnsi="Arial" w:cs="Arial"/>
          <w:szCs w:val="22"/>
        </w:rPr>
        <w:t>,</w:t>
      </w:r>
      <w:r w:rsidR="006D4472" w:rsidRPr="00DB11A6">
        <w:rPr>
          <w:rFonts w:ascii="Arial" w:hAnsi="Arial" w:cs="Arial"/>
          <w:szCs w:val="22"/>
        </w:rPr>
        <w:t xml:space="preserve"> asthma</w:t>
      </w:r>
      <w:r w:rsidR="004F26C5" w:rsidRPr="00DB11A6">
        <w:rPr>
          <w:rFonts w:ascii="Arial" w:hAnsi="Arial" w:cs="Arial"/>
          <w:szCs w:val="22"/>
        </w:rPr>
        <w:t xml:space="preserve"> and lung cancer</w:t>
      </w:r>
      <w:r w:rsidR="006D4472" w:rsidRPr="00DB11A6">
        <w:rPr>
          <w:rFonts w:ascii="Arial" w:hAnsi="Arial" w:cs="Arial"/>
          <w:szCs w:val="22"/>
        </w:rPr>
        <w:t xml:space="preserve">) </w:t>
      </w:r>
      <w:r w:rsidRPr="00DB11A6">
        <w:rPr>
          <w:rFonts w:ascii="Arial" w:hAnsi="Arial" w:cs="Arial"/>
          <w:szCs w:val="22"/>
        </w:rPr>
        <w:t>at time of</w:t>
      </w:r>
      <w:r w:rsidR="00A44C91" w:rsidRPr="00DB11A6">
        <w:rPr>
          <w:rFonts w:ascii="Arial" w:hAnsi="Arial" w:cs="Arial"/>
          <w:szCs w:val="22"/>
        </w:rPr>
        <w:t xml:space="preserve"> PFCS</w:t>
      </w:r>
      <w:r w:rsidRPr="00DB11A6">
        <w:rPr>
          <w:rFonts w:ascii="Arial" w:hAnsi="Arial" w:cs="Arial"/>
          <w:szCs w:val="22"/>
        </w:rPr>
        <w:t xml:space="preserve"> diagnosis, and their </w:t>
      </w:r>
      <w:r w:rsidR="006D4472" w:rsidRPr="00DB11A6">
        <w:rPr>
          <w:rFonts w:ascii="Arial" w:hAnsi="Arial" w:cs="Arial"/>
          <w:szCs w:val="22"/>
        </w:rPr>
        <w:t>proximity to</w:t>
      </w:r>
      <w:r w:rsidR="00A44C91" w:rsidRPr="00DB11A6">
        <w:rPr>
          <w:rFonts w:ascii="Arial" w:hAnsi="Arial" w:cs="Arial"/>
          <w:szCs w:val="22"/>
        </w:rPr>
        <w:t xml:space="preserve"> PFCS</w:t>
      </w:r>
      <w:r w:rsidR="006A6612" w:rsidRPr="00DB11A6">
        <w:rPr>
          <w:rFonts w:ascii="Arial" w:hAnsi="Arial" w:cs="Arial"/>
          <w:szCs w:val="22"/>
        </w:rPr>
        <w:t xml:space="preserve"> diagnosis</w:t>
      </w:r>
      <w:r w:rsidRPr="00DB11A6">
        <w:rPr>
          <w:rFonts w:ascii="Arial" w:hAnsi="Arial" w:cs="Arial"/>
          <w:szCs w:val="22"/>
        </w:rPr>
        <w:t>,</w:t>
      </w:r>
      <w:r w:rsidR="006D4472" w:rsidRPr="00DB11A6">
        <w:rPr>
          <w:rFonts w:ascii="Arial" w:hAnsi="Arial" w:cs="Arial"/>
          <w:szCs w:val="22"/>
        </w:rPr>
        <w:t xml:space="preserve"> were also explored</w:t>
      </w:r>
      <w:r w:rsidRPr="00DB11A6">
        <w:rPr>
          <w:rFonts w:ascii="Arial" w:hAnsi="Arial" w:cs="Arial"/>
          <w:szCs w:val="22"/>
        </w:rPr>
        <w:t>.</w:t>
      </w:r>
      <w:r w:rsidR="006D4472" w:rsidRPr="00DB11A6">
        <w:rPr>
          <w:rFonts w:ascii="Arial" w:hAnsi="Arial" w:cs="Arial"/>
          <w:szCs w:val="22"/>
        </w:rPr>
        <w:t xml:space="preserve"> </w:t>
      </w:r>
    </w:p>
    <w:p w14:paraId="40F72E23" w14:textId="77777777" w:rsidR="006D4472" w:rsidRPr="00DB11A6" w:rsidRDefault="006D4472" w:rsidP="00306C71">
      <w:pPr>
        <w:widowControl w:val="0"/>
        <w:autoSpaceDE w:val="0"/>
        <w:autoSpaceDN w:val="0"/>
        <w:adjustRightInd w:val="0"/>
        <w:spacing w:line="480" w:lineRule="auto"/>
        <w:contextualSpacing/>
        <w:rPr>
          <w:rFonts w:ascii="Arial" w:hAnsi="Arial" w:cs="Arial"/>
          <w:i/>
          <w:szCs w:val="22"/>
        </w:rPr>
      </w:pPr>
    </w:p>
    <w:p w14:paraId="65B1D8D1" w14:textId="77777777" w:rsidR="005E3A11" w:rsidRPr="00DB11A6" w:rsidRDefault="005E3A11" w:rsidP="00306C71">
      <w:pPr>
        <w:spacing w:line="480" w:lineRule="auto"/>
        <w:contextualSpacing/>
        <w:rPr>
          <w:rFonts w:ascii="Arial" w:hAnsi="Arial" w:cs="Arial"/>
          <w:bCs/>
          <w:i/>
          <w:szCs w:val="22"/>
        </w:rPr>
      </w:pPr>
      <w:r w:rsidRPr="00DB11A6">
        <w:rPr>
          <w:rFonts w:ascii="Arial" w:hAnsi="Arial" w:cs="Arial"/>
          <w:bCs/>
          <w:i/>
          <w:szCs w:val="22"/>
        </w:rPr>
        <w:lastRenderedPageBreak/>
        <w:t>Statistical analysis</w:t>
      </w:r>
    </w:p>
    <w:p w14:paraId="72D7BD8A" w14:textId="6651E3FA" w:rsidR="005E3A11" w:rsidRPr="00DB11A6" w:rsidRDefault="005E3A11" w:rsidP="00306C71">
      <w:pPr>
        <w:widowControl w:val="0"/>
        <w:autoSpaceDE w:val="0"/>
        <w:autoSpaceDN w:val="0"/>
        <w:adjustRightInd w:val="0"/>
        <w:spacing w:line="480" w:lineRule="auto"/>
        <w:contextualSpacing/>
        <w:rPr>
          <w:rFonts w:ascii="Arial" w:hAnsi="Arial" w:cs="Arial"/>
          <w:szCs w:val="22"/>
        </w:rPr>
      </w:pPr>
      <w:r w:rsidRPr="00DB11A6">
        <w:rPr>
          <w:rFonts w:ascii="Arial" w:hAnsi="Arial" w:cs="Arial"/>
          <w:szCs w:val="22"/>
        </w:rPr>
        <w:t>Summary statistics (n</w:t>
      </w:r>
      <w:r w:rsidR="00182E14" w:rsidRPr="00DB11A6">
        <w:rPr>
          <w:rFonts w:ascii="Arial" w:hAnsi="Arial" w:cs="Arial"/>
          <w:szCs w:val="22"/>
        </w:rPr>
        <w:t xml:space="preserve"> </w:t>
      </w:r>
      <w:r w:rsidRPr="00DB11A6">
        <w:rPr>
          <w:rFonts w:ascii="Arial" w:hAnsi="Arial" w:cs="Arial"/>
          <w:szCs w:val="22"/>
        </w:rPr>
        <w:t>[%])</w:t>
      </w:r>
      <w:r w:rsidR="001D050B" w:rsidRPr="00DB11A6">
        <w:rPr>
          <w:rFonts w:ascii="Arial" w:hAnsi="Arial" w:cs="Arial"/>
          <w:szCs w:val="22"/>
        </w:rPr>
        <w:t xml:space="preserve"> </w:t>
      </w:r>
      <w:r w:rsidR="00C3349B" w:rsidRPr="00DB11A6">
        <w:rPr>
          <w:rFonts w:ascii="Arial" w:hAnsi="Arial" w:cs="Arial"/>
          <w:szCs w:val="22"/>
        </w:rPr>
        <w:t>for</w:t>
      </w:r>
      <w:r w:rsidRPr="00DB11A6">
        <w:rPr>
          <w:rFonts w:ascii="Arial" w:hAnsi="Arial" w:cs="Arial"/>
          <w:szCs w:val="22"/>
        </w:rPr>
        <w:t xml:space="preserve"> patient characteristics at time of </w:t>
      </w:r>
      <w:r w:rsidR="00D57938" w:rsidRPr="00DB11A6">
        <w:rPr>
          <w:rFonts w:ascii="Arial" w:hAnsi="Arial" w:cs="Arial"/>
          <w:szCs w:val="22"/>
        </w:rPr>
        <w:t>PFCS</w:t>
      </w:r>
      <w:r w:rsidR="00F21823" w:rsidRPr="00DB11A6">
        <w:rPr>
          <w:rFonts w:ascii="Arial" w:hAnsi="Arial" w:cs="Arial"/>
          <w:szCs w:val="22"/>
        </w:rPr>
        <w:t xml:space="preserve"> or </w:t>
      </w:r>
      <w:r w:rsidR="007F2459" w:rsidRPr="00DB11A6">
        <w:rPr>
          <w:rFonts w:ascii="Arial" w:hAnsi="Arial" w:cs="Arial"/>
          <w:szCs w:val="22"/>
        </w:rPr>
        <w:t>IPFCS</w:t>
      </w:r>
      <w:r w:rsidR="00D57938" w:rsidRPr="00DB11A6">
        <w:rPr>
          <w:rFonts w:ascii="Arial" w:hAnsi="Arial" w:cs="Arial"/>
          <w:szCs w:val="22"/>
        </w:rPr>
        <w:t xml:space="preserve"> </w:t>
      </w:r>
      <w:r w:rsidRPr="00DB11A6">
        <w:rPr>
          <w:rFonts w:ascii="Arial" w:hAnsi="Arial" w:cs="Arial"/>
          <w:szCs w:val="22"/>
        </w:rPr>
        <w:t>diagnosis</w:t>
      </w:r>
      <w:r w:rsidR="001B666E" w:rsidRPr="00DB11A6">
        <w:rPr>
          <w:rFonts w:ascii="Arial" w:hAnsi="Arial" w:cs="Arial"/>
          <w:szCs w:val="22"/>
        </w:rPr>
        <w:t xml:space="preserve"> </w:t>
      </w:r>
      <w:r w:rsidR="001D050B" w:rsidRPr="00DB11A6">
        <w:rPr>
          <w:rFonts w:ascii="Arial" w:hAnsi="Arial" w:cs="Arial"/>
          <w:szCs w:val="22"/>
        </w:rPr>
        <w:t xml:space="preserve">were generated </w:t>
      </w:r>
      <w:r w:rsidR="001B666E" w:rsidRPr="00DB11A6">
        <w:rPr>
          <w:rFonts w:ascii="Arial" w:hAnsi="Arial" w:cs="Arial"/>
          <w:szCs w:val="22"/>
        </w:rPr>
        <w:t xml:space="preserve">using STATA (version 14). </w:t>
      </w:r>
      <w:proofErr w:type="spellStart"/>
      <w:r w:rsidR="0074316A" w:rsidRPr="00DB11A6">
        <w:rPr>
          <w:rFonts w:ascii="Arial" w:hAnsi="Arial" w:cs="Arial"/>
          <w:szCs w:val="22"/>
        </w:rPr>
        <w:t>Joinpoint</w:t>
      </w:r>
      <w:proofErr w:type="spellEnd"/>
      <w:r w:rsidR="0074316A" w:rsidRPr="00DB11A6">
        <w:rPr>
          <w:rFonts w:ascii="Arial" w:hAnsi="Arial" w:cs="Arial"/>
          <w:szCs w:val="22"/>
        </w:rPr>
        <w:t xml:space="preserve"> Trend Analysis software from the Surveillance Research Programme of the US National Cancer Institute (available at http://surveillance.cancer.gov/joinpoint)</w:t>
      </w:r>
      <w:r w:rsidR="00C95241" w:rsidRPr="00DB11A6">
        <w:rPr>
          <w:rFonts w:ascii="Arial" w:hAnsi="Arial" w:cs="Arial"/>
          <w:szCs w:val="22"/>
        </w:rPr>
        <w:t xml:space="preserve"> was used to test whether non-segmented or segmented regression curve</w:t>
      </w:r>
      <w:r w:rsidR="00336532" w:rsidRPr="00DB11A6">
        <w:rPr>
          <w:rFonts w:ascii="Arial" w:hAnsi="Arial" w:cs="Arial"/>
          <w:szCs w:val="22"/>
        </w:rPr>
        <w:t>s</w:t>
      </w:r>
      <w:r w:rsidR="00CC14F5" w:rsidRPr="00DB11A6">
        <w:rPr>
          <w:rFonts w:ascii="Arial" w:hAnsi="Arial" w:cs="Arial"/>
          <w:szCs w:val="22"/>
        </w:rPr>
        <w:t xml:space="preserve"> </w:t>
      </w:r>
      <w:r w:rsidR="00590D53" w:rsidRPr="00DB11A6">
        <w:rPr>
          <w:rFonts w:ascii="Arial" w:hAnsi="Arial" w:cs="Arial"/>
          <w:szCs w:val="22"/>
        </w:rPr>
        <w:t>best described the evolution of</w:t>
      </w:r>
      <w:r w:rsidR="00C95241" w:rsidRPr="00DB11A6">
        <w:rPr>
          <w:rFonts w:ascii="Arial" w:hAnsi="Arial" w:cs="Arial"/>
          <w:szCs w:val="22"/>
        </w:rPr>
        <w:t xml:space="preserve"> </w:t>
      </w:r>
      <w:r w:rsidR="005615C9" w:rsidRPr="00DB11A6">
        <w:rPr>
          <w:rFonts w:ascii="Arial" w:hAnsi="Arial" w:cs="Arial"/>
          <w:szCs w:val="22"/>
        </w:rPr>
        <w:t>t</w:t>
      </w:r>
      <w:r w:rsidRPr="00DB11A6">
        <w:rPr>
          <w:rFonts w:ascii="Arial" w:hAnsi="Arial" w:cs="Arial"/>
          <w:szCs w:val="22"/>
        </w:rPr>
        <w:t xml:space="preserve">emporal </w:t>
      </w:r>
      <w:r w:rsidR="005615C9" w:rsidRPr="00DB11A6">
        <w:rPr>
          <w:rFonts w:ascii="Arial" w:hAnsi="Arial" w:cs="Arial"/>
          <w:szCs w:val="22"/>
        </w:rPr>
        <w:t>trends</w:t>
      </w:r>
      <w:r w:rsidRPr="00DB11A6">
        <w:rPr>
          <w:rFonts w:ascii="Arial" w:hAnsi="Arial" w:cs="Arial"/>
          <w:szCs w:val="22"/>
        </w:rPr>
        <w:t xml:space="preserve"> </w:t>
      </w:r>
      <w:r w:rsidR="0074316A" w:rsidRPr="00DB11A6">
        <w:rPr>
          <w:rFonts w:ascii="Arial" w:hAnsi="Arial" w:cs="Arial"/>
          <w:szCs w:val="22"/>
        </w:rPr>
        <w:t>for</w:t>
      </w:r>
      <w:r w:rsidR="00F3583B" w:rsidRPr="00DB11A6">
        <w:rPr>
          <w:rFonts w:ascii="Arial" w:hAnsi="Arial" w:cs="Arial"/>
          <w:szCs w:val="22"/>
        </w:rPr>
        <w:t xml:space="preserve"> outcomes</w:t>
      </w:r>
      <w:r w:rsidRPr="00DB11A6">
        <w:rPr>
          <w:rFonts w:ascii="Arial" w:hAnsi="Arial" w:cs="Arial"/>
          <w:szCs w:val="22"/>
        </w:rPr>
        <w:t xml:space="preserve"> </w:t>
      </w:r>
      <w:r w:rsidR="00F3583B" w:rsidRPr="00DB11A6">
        <w:rPr>
          <w:rFonts w:ascii="Arial" w:hAnsi="Arial" w:cs="Arial"/>
          <w:szCs w:val="22"/>
        </w:rPr>
        <w:t>(</w:t>
      </w:r>
      <w:r w:rsidR="0042608D" w:rsidRPr="00DB11A6">
        <w:rPr>
          <w:rFonts w:ascii="Arial" w:hAnsi="Arial" w:cs="Arial"/>
          <w:szCs w:val="22"/>
        </w:rPr>
        <w:t xml:space="preserve">LR </w:t>
      </w:r>
      <w:r w:rsidRPr="00DB11A6">
        <w:rPr>
          <w:rFonts w:ascii="Arial" w:hAnsi="Arial" w:cs="Arial"/>
          <w:szCs w:val="22"/>
        </w:rPr>
        <w:t>symptoms and HRU</w:t>
      </w:r>
      <w:r w:rsidR="00F3583B" w:rsidRPr="00DB11A6">
        <w:rPr>
          <w:rFonts w:ascii="Arial" w:hAnsi="Arial" w:cs="Arial"/>
          <w:szCs w:val="22"/>
        </w:rPr>
        <w:t>)</w:t>
      </w:r>
      <w:r w:rsidRPr="00DB11A6">
        <w:rPr>
          <w:rFonts w:ascii="Arial" w:hAnsi="Arial" w:cs="Arial"/>
          <w:szCs w:val="22"/>
        </w:rPr>
        <w:t xml:space="preserve"> over </w:t>
      </w:r>
      <w:r w:rsidR="0092088B" w:rsidRPr="00DB11A6">
        <w:rPr>
          <w:rFonts w:ascii="Arial" w:hAnsi="Arial" w:cs="Arial"/>
          <w:szCs w:val="22"/>
        </w:rPr>
        <w:t>the</w:t>
      </w:r>
      <w:r w:rsidR="00590D53" w:rsidRPr="00DB11A6">
        <w:rPr>
          <w:rFonts w:ascii="Arial" w:hAnsi="Arial" w:cs="Arial"/>
          <w:szCs w:val="22"/>
        </w:rPr>
        <w:t xml:space="preserve"> </w:t>
      </w:r>
      <w:r w:rsidR="00B704A1" w:rsidRPr="00DB11A6">
        <w:rPr>
          <w:rFonts w:ascii="Arial" w:hAnsi="Arial" w:cs="Arial"/>
          <w:szCs w:val="22"/>
        </w:rPr>
        <w:t>ten</w:t>
      </w:r>
      <w:r w:rsidR="00590D53" w:rsidRPr="00DB11A6">
        <w:rPr>
          <w:rFonts w:ascii="Arial" w:hAnsi="Arial" w:cs="Arial"/>
          <w:szCs w:val="22"/>
        </w:rPr>
        <w:t>-</w:t>
      </w:r>
      <w:r w:rsidRPr="00DB11A6">
        <w:rPr>
          <w:rFonts w:ascii="Arial" w:hAnsi="Arial" w:cs="Arial"/>
          <w:szCs w:val="22"/>
        </w:rPr>
        <w:t>year</w:t>
      </w:r>
      <w:r w:rsidR="00590D53" w:rsidRPr="00DB11A6">
        <w:rPr>
          <w:rFonts w:ascii="Arial" w:hAnsi="Arial" w:cs="Arial"/>
          <w:szCs w:val="22"/>
        </w:rPr>
        <w:t xml:space="preserve"> period</w:t>
      </w:r>
      <w:r w:rsidRPr="00DB11A6">
        <w:rPr>
          <w:rFonts w:ascii="Arial" w:hAnsi="Arial" w:cs="Arial"/>
          <w:szCs w:val="22"/>
        </w:rPr>
        <w:t xml:space="preserve"> pr</w:t>
      </w:r>
      <w:r w:rsidR="00634498" w:rsidRPr="00DB11A6">
        <w:rPr>
          <w:rFonts w:ascii="Arial" w:hAnsi="Arial" w:cs="Arial"/>
          <w:szCs w:val="22"/>
        </w:rPr>
        <w:t>ior to</w:t>
      </w:r>
      <w:r w:rsidR="00A44C91" w:rsidRPr="00DB11A6">
        <w:rPr>
          <w:rFonts w:ascii="Arial" w:hAnsi="Arial" w:cs="Arial"/>
          <w:szCs w:val="22"/>
        </w:rPr>
        <w:t xml:space="preserve"> </w:t>
      </w:r>
      <w:r w:rsidRPr="00DB11A6">
        <w:rPr>
          <w:rFonts w:ascii="Arial" w:hAnsi="Arial" w:cs="Arial"/>
          <w:szCs w:val="22"/>
        </w:rPr>
        <w:t>diagnosis</w:t>
      </w:r>
      <w:r w:rsidR="006218AB" w:rsidRPr="00DB11A6">
        <w:rPr>
          <w:rFonts w:ascii="Arial" w:hAnsi="Arial" w:cs="Arial"/>
          <w:szCs w:val="22"/>
        </w:rPr>
        <w:t xml:space="preserve"> [19]</w:t>
      </w:r>
      <w:r w:rsidR="00C95241" w:rsidRPr="00DB11A6">
        <w:rPr>
          <w:rFonts w:ascii="Arial" w:hAnsi="Arial" w:cs="Arial"/>
          <w:szCs w:val="22"/>
        </w:rPr>
        <w:t>.</w:t>
      </w:r>
      <w:r w:rsidR="00F0600F" w:rsidRPr="00DB11A6">
        <w:rPr>
          <w:rFonts w:ascii="Arial" w:hAnsi="Arial" w:cs="Arial"/>
          <w:szCs w:val="22"/>
        </w:rPr>
        <w:t xml:space="preserve"> </w:t>
      </w:r>
      <w:proofErr w:type="spellStart"/>
      <w:r w:rsidR="001623EB" w:rsidRPr="00DB11A6">
        <w:rPr>
          <w:rFonts w:ascii="Arial" w:hAnsi="Arial" w:cs="Arial"/>
          <w:szCs w:val="22"/>
        </w:rPr>
        <w:t>J</w:t>
      </w:r>
      <w:r w:rsidR="00293079" w:rsidRPr="00DB11A6">
        <w:rPr>
          <w:rFonts w:ascii="Arial" w:hAnsi="Arial" w:cs="Arial"/>
          <w:szCs w:val="22"/>
        </w:rPr>
        <w:t>oinpoint</w:t>
      </w:r>
      <w:r w:rsidR="001623EB" w:rsidRPr="00DB11A6">
        <w:rPr>
          <w:rFonts w:ascii="Arial" w:hAnsi="Arial" w:cs="Arial"/>
          <w:szCs w:val="22"/>
        </w:rPr>
        <w:t>s</w:t>
      </w:r>
      <w:proofErr w:type="spellEnd"/>
      <w:r w:rsidR="00293079" w:rsidRPr="00DB11A6">
        <w:rPr>
          <w:rFonts w:ascii="Arial" w:hAnsi="Arial" w:cs="Arial"/>
          <w:szCs w:val="22"/>
        </w:rPr>
        <w:t xml:space="preserve"> (</w:t>
      </w:r>
      <w:r w:rsidR="00411F9E" w:rsidRPr="00DB11A6">
        <w:rPr>
          <w:rFonts w:ascii="Arial" w:hAnsi="Arial" w:cs="Arial"/>
          <w:szCs w:val="22"/>
        </w:rPr>
        <w:t>inflection point</w:t>
      </w:r>
      <w:r w:rsidR="001623EB" w:rsidRPr="00DB11A6">
        <w:rPr>
          <w:rFonts w:ascii="Arial" w:hAnsi="Arial" w:cs="Arial"/>
          <w:szCs w:val="22"/>
        </w:rPr>
        <w:t>s</w:t>
      </w:r>
      <w:r w:rsidR="00293079" w:rsidRPr="00DB11A6">
        <w:rPr>
          <w:rFonts w:ascii="Arial" w:hAnsi="Arial" w:cs="Arial"/>
          <w:szCs w:val="22"/>
        </w:rPr>
        <w:t>)</w:t>
      </w:r>
      <w:r w:rsidR="00F63119" w:rsidRPr="00DB11A6">
        <w:rPr>
          <w:rFonts w:ascii="Arial" w:hAnsi="Arial" w:cs="Arial"/>
          <w:szCs w:val="22"/>
        </w:rPr>
        <w:t xml:space="preserve"> </w:t>
      </w:r>
      <w:r w:rsidR="00DB36A2" w:rsidRPr="00DB11A6">
        <w:rPr>
          <w:rFonts w:ascii="Arial" w:hAnsi="Arial" w:cs="Arial"/>
          <w:szCs w:val="22"/>
        </w:rPr>
        <w:t>indicated</w:t>
      </w:r>
      <w:r w:rsidR="00F63119" w:rsidRPr="00DB11A6">
        <w:rPr>
          <w:rFonts w:ascii="Arial" w:hAnsi="Arial" w:cs="Arial"/>
          <w:szCs w:val="22"/>
        </w:rPr>
        <w:t xml:space="preserve"> </w:t>
      </w:r>
      <w:r w:rsidR="00DB36A2" w:rsidRPr="00DB11A6">
        <w:rPr>
          <w:rFonts w:ascii="Arial" w:hAnsi="Arial" w:cs="Arial"/>
          <w:szCs w:val="22"/>
        </w:rPr>
        <w:t>timepoint</w:t>
      </w:r>
      <w:r w:rsidR="00DD6323" w:rsidRPr="00DB11A6">
        <w:rPr>
          <w:rFonts w:ascii="Arial" w:hAnsi="Arial" w:cs="Arial"/>
          <w:szCs w:val="22"/>
        </w:rPr>
        <w:t>s</w:t>
      </w:r>
      <w:r w:rsidR="00DB36A2" w:rsidRPr="00DB11A6">
        <w:rPr>
          <w:rFonts w:ascii="Arial" w:hAnsi="Arial" w:cs="Arial"/>
          <w:szCs w:val="22"/>
        </w:rPr>
        <w:t xml:space="preserve"> </w:t>
      </w:r>
      <w:r w:rsidR="00EE5804" w:rsidRPr="00DB11A6">
        <w:rPr>
          <w:rFonts w:ascii="Arial" w:hAnsi="Arial" w:cs="Arial"/>
          <w:szCs w:val="22"/>
        </w:rPr>
        <w:t>from</w:t>
      </w:r>
      <w:r w:rsidR="00DB36A2" w:rsidRPr="00DB11A6">
        <w:rPr>
          <w:rFonts w:ascii="Arial" w:hAnsi="Arial" w:cs="Arial"/>
          <w:szCs w:val="22"/>
        </w:rPr>
        <w:t xml:space="preserve"> which a </w:t>
      </w:r>
      <w:r w:rsidR="00B740C3" w:rsidRPr="00DB11A6">
        <w:rPr>
          <w:rFonts w:ascii="Arial" w:hAnsi="Arial" w:cs="Arial"/>
          <w:szCs w:val="22"/>
        </w:rPr>
        <w:t>difference</w:t>
      </w:r>
      <w:r w:rsidR="00F63119" w:rsidRPr="00DB11A6">
        <w:rPr>
          <w:rFonts w:ascii="Arial" w:hAnsi="Arial" w:cs="Arial"/>
          <w:szCs w:val="22"/>
        </w:rPr>
        <w:t xml:space="preserve"> in</w:t>
      </w:r>
      <w:r w:rsidR="00B740C3" w:rsidRPr="00DB11A6">
        <w:rPr>
          <w:rFonts w:ascii="Arial" w:hAnsi="Arial" w:cs="Arial"/>
          <w:szCs w:val="22"/>
        </w:rPr>
        <w:t xml:space="preserve"> </w:t>
      </w:r>
      <w:r w:rsidR="00DD6323" w:rsidRPr="00DB11A6">
        <w:rPr>
          <w:rFonts w:ascii="Arial" w:hAnsi="Arial" w:cs="Arial"/>
          <w:szCs w:val="22"/>
        </w:rPr>
        <w:t>annual percentage change (</w:t>
      </w:r>
      <w:r w:rsidR="00B740C3" w:rsidRPr="00DB11A6">
        <w:rPr>
          <w:rFonts w:ascii="Arial" w:hAnsi="Arial" w:cs="Arial"/>
          <w:szCs w:val="22"/>
        </w:rPr>
        <w:t>APC</w:t>
      </w:r>
      <w:r w:rsidR="00DD6323" w:rsidRPr="00DB11A6">
        <w:rPr>
          <w:rFonts w:ascii="Arial" w:hAnsi="Arial" w:cs="Arial"/>
          <w:szCs w:val="22"/>
        </w:rPr>
        <w:t>) in outcomes</w:t>
      </w:r>
      <w:r w:rsidR="00DB36A2" w:rsidRPr="00DB11A6">
        <w:rPr>
          <w:rFonts w:ascii="Arial" w:hAnsi="Arial" w:cs="Arial"/>
          <w:szCs w:val="22"/>
        </w:rPr>
        <w:t xml:space="preserve"> was observed</w:t>
      </w:r>
      <w:r w:rsidR="001361E2" w:rsidRPr="00DB11A6">
        <w:rPr>
          <w:rFonts w:ascii="Arial" w:hAnsi="Arial" w:cs="Arial"/>
          <w:szCs w:val="22"/>
        </w:rPr>
        <w:t xml:space="preserve"> in a segmented curve</w:t>
      </w:r>
      <w:r w:rsidR="00B740C3" w:rsidRPr="00DB11A6">
        <w:rPr>
          <w:rFonts w:ascii="Arial" w:hAnsi="Arial" w:cs="Arial"/>
          <w:szCs w:val="22"/>
        </w:rPr>
        <w:t>.</w:t>
      </w:r>
    </w:p>
    <w:p w14:paraId="598F3B63" w14:textId="77777777" w:rsidR="00C961B3" w:rsidRPr="00DB11A6" w:rsidRDefault="00C961B3" w:rsidP="00306C71">
      <w:pPr>
        <w:widowControl w:val="0"/>
        <w:autoSpaceDE w:val="0"/>
        <w:autoSpaceDN w:val="0"/>
        <w:adjustRightInd w:val="0"/>
        <w:spacing w:line="480" w:lineRule="auto"/>
        <w:contextualSpacing/>
        <w:rPr>
          <w:rFonts w:ascii="Arial" w:hAnsi="Arial" w:cs="Arial"/>
          <w:b/>
          <w:szCs w:val="22"/>
        </w:rPr>
      </w:pPr>
    </w:p>
    <w:p w14:paraId="6E7D09AD" w14:textId="77777777" w:rsidR="002F56FA" w:rsidRPr="00DB11A6" w:rsidRDefault="00B44C85" w:rsidP="00306C71">
      <w:pPr>
        <w:spacing w:line="480" w:lineRule="auto"/>
        <w:contextualSpacing/>
        <w:rPr>
          <w:rFonts w:ascii="Arial" w:hAnsi="Arial" w:cs="Arial"/>
          <w:b/>
          <w:szCs w:val="22"/>
        </w:rPr>
      </w:pPr>
      <w:r w:rsidRPr="00DB11A6">
        <w:rPr>
          <w:rFonts w:ascii="Arial" w:hAnsi="Arial" w:cs="Arial"/>
          <w:b/>
          <w:szCs w:val="22"/>
        </w:rPr>
        <w:t>RESULTS</w:t>
      </w:r>
      <w:r w:rsidR="00546518" w:rsidRPr="00DB11A6">
        <w:rPr>
          <w:rFonts w:ascii="Arial" w:hAnsi="Arial" w:cs="Arial"/>
          <w:b/>
          <w:szCs w:val="22"/>
        </w:rPr>
        <w:t xml:space="preserve"> </w:t>
      </w:r>
    </w:p>
    <w:p w14:paraId="4DE92A42" w14:textId="68A0B197" w:rsidR="004D32FF" w:rsidRPr="00DB11A6" w:rsidRDefault="00F1171D" w:rsidP="00306C71">
      <w:pPr>
        <w:widowControl w:val="0"/>
        <w:autoSpaceDE w:val="0"/>
        <w:autoSpaceDN w:val="0"/>
        <w:adjustRightInd w:val="0"/>
        <w:spacing w:line="480" w:lineRule="auto"/>
        <w:contextualSpacing/>
        <w:rPr>
          <w:rFonts w:ascii="Arial" w:hAnsi="Arial" w:cs="Arial"/>
          <w:szCs w:val="22"/>
        </w:rPr>
      </w:pPr>
      <w:r w:rsidRPr="00DB11A6">
        <w:rPr>
          <w:rFonts w:ascii="Arial" w:hAnsi="Arial" w:cs="Arial"/>
          <w:szCs w:val="22"/>
        </w:rPr>
        <w:t>A</w:t>
      </w:r>
      <w:r w:rsidR="00856DFC" w:rsidRPr="00DB11A6">
        <w:rPr>
          <w:rFonts w:ascii="Arial" w:hAnsi="Arial" w:cs="Arial"/>
          <w:szCs w:val="22"/>
        </w:rPr>
        <w:t xml:space="preserve"> total of </w:t>
      </w:r>
      <w:r w:rsidR="0081716B" w:rsidRPr="00DB11A6">
        <w:rPr>
          <w:rFonts w:ascii="Arial" w:hAnsi="Arial" w:cs="Arial"/>
          <w:szCs w:val="22"/>
        </w:rPr>
        <w:t>2223</w:t>
      </w:r>
      <w:r w:rsidR="004D32FF" w:rsidRPr="00DB11A6">
        <w:rPr>
          <w:rFonts w:ascii="Arial" w:hAnsi="Arial" w:cs="Arial"/>
          <w:szCs w:val="22"/>
        </w:rPr>
        <w:t xml:space="preserve"> </w:t>
      </w:r>
      <w:r w:rsidR="00A44C91" w:rsidRPr="00DB11A6">
        <w:rPr>
          <w:rFonts w:ascii="Arial" w:hAnsi="Arial" w:cs="Arial"/>
          <w:szCs w:val="22"/>
        </w:rPr>
        <w:t>PFCS</w:t>
      </w:r>
      <w:r w:rsidR="00962C48" w:rsidRPr="00DB11A6">
        <w:rPr>
          <w:rFonts w:ascii="Arial" w:hAnsi="Arial" w:cs="Arial"/>
          <w:szCs w:val="22"/>
        </w:rPr>
        <w:t xml:space="preserve"> </w:t>
      </w:r>
      <w:r w:rsidR="004471F0" w:rsidRPr="00DB11A6">
        <w:rPr>
          <w:rFonts w:ascii="Arial" w:hAnsi="Arial" w:cs="Arial"/>
          <w:szCs w:val="22"/>
        </w:rPr>
        <w:t xml:space="preserve">patients </w:t>
      </w:r>
      <w:r w:rsidR="00962C48" w:rsidRPr="00DB11A6">
        <w:rPr>
          <w:rFonts w:ascii="Arial" w:hAnsi="Arial" w:cs="Arial"/>
          <w:szCs w:val="22"/>
        </w:rPr>
        <w:t>(</w:t>
      </w:r>
      <w:r w:rsidR="006729BC" w:rsidRPr="00DB11A6">
        <w:rPr>
          <w:rFonts w:ascii="Arial" w:hAnsi="Arial" w:cs="Arial"/>
          <w:szCs w:val="22"/>
        </w:rPr>
        <w:t>Figure</w:t>
      </w:r>
      <w:r w:rsidR="00962C48" w:rsidRPr="00DB11A6">
        <w:rPr>
          <w:rFonts w:ascii="Arial" w:hAnsi="Arial" w:cs="Arial"/>
          <w:szCs w:val="22"/>
        </w:rPr>
        <w:t xml:space="preserve"> 1)</w:t>
      </w:r>
      <w:r w:rsidRPr="00DB11A6">
        <w:rPr>
          <w:rFonts w:ascii="Arial" w:hAnsi="Arial" w:cs="Arial"/>
          <w:szCs w:val="22"/>
        </w:rPr>
        <w:t>,</w:t>
      </w:r>
      <w:r w:rsidR="007C0F34" w:rsidRPr="00DB11A6">
        <w:rPr>
          <w:rFonts w:ascii="Arial" w:hAnsi="Arial" w:cs="Arial"/>
          <w:szCs w:val="22"/>
        </w:rPr>
        <w:t xml:space="preserve"> including </w:t>
      </w:r>
      <w:r w:rsidR="00C84E39" w:rsidRPr="00DB11A6">
        <w:rPr>
          <w:rFonts w:ascii="Arial" w:hAnsi="Arial" w:cs="Arial"/>
          <w:szCs w:val="22"/>
        </w:rPr>
        <w:t xml:space="preserve">743 </w:t>
      </w:r>
      <w:r w:rsidRPr="00DB11A6">
        <w:rPr>
          <w:rFonts w:ascii="Arial" w:hAnsi="Arial" w:cs="Arial"/>
          <w:szCs w:val="22"/>
        </w:rPr>
        <w:t xml:space="preserve">IPFCS </w:t>
      </w:r>
      <w:r w:rsidR="00C961B3" w:rsidRPr="00DB11A6">
        <w:rPr>
          <w:rFonts w:ascii="Arial" w:hAnsi="Arial" w:cs="Arial"/>
          <w:szCs w:val="22"/>
        </w:rPr>
        <w:t>patients</w:t>
      </w:r>
      <w:r w:rsidRPr="00DB11A6">
        <w:rPr>
          <w:rFonts w:ascii="Arial" w:hAnsi="Arial" w:cs="Arial"/>
          <w:szCs w:val="22"/>
        </w:rPr>
        <w:t xml:space="preserve">, were </w:t>
      </w:r>
      <w:r w:rsidR="00D57938" w:rsidRPr="00DB11A6">
        <w:rPr>
          <w:rFonts w:ascii="Arial" w:hAnsi="Arial" w:cs="Arial"/>
          <w:szCs w:val="22"/>
        </w:rPr>
        <w:t xml:space="preserve">eligible </w:t>
      </w:r>
      <w:r w:rsidR="004D32FF" w:rsidRPr="00DB11A6">
        <w:rPr>
          <w:rFonts w:ascii="Arial" w:hAnsi="Arial" w:cs="Arial"/>
          <w:szCs w:val="22"/>
        </w:rPr>
        <w:t>(</w:t>
      </w:r>
      <w:r w:rsidR="00962C48" w:rsidRPr="00DB11A6">
        <w:rPr>
          <w:rFonts w:ascii="Arial" w:hAnsi="Arial" w:cs="Arial"/>
          <w:szCs w:val="22"/>
        </w:rPr>
        <w:t xml:space="preserve">supplementary </w:t>
      </w:r>
      <w:r w:rsidR="006729BC" w:rsidRPr="00DB11A6">
        <w:rPr>
          <w:rFonts w:ascii="Arial" w:hAnsi="Arial" w:cs="Arial"/>
          <w:szCs w:val="22"/>
        </w:rPr>
        <w:t>Figure</w:t>
      </w:r>
      <w:r w:rsidR="004D32FF" w:rsidRPr="00DB11A6">
        <w:rPr>
          <w:rFonts w:ascii="Arial" w:hAnsi="Arial" w:cs="Arial"/>
          <w:szCs w:val="22"/>
        </w:rPr>
        <w:t xml:space="preserve"> </w:t>
      </w:r>
      <w:r w:rsidR="00962C48" w:rsidRPr="00DB11A6">
        <w:rPr>
          <w:rFonts w:ascii="Arial" w:hAnsi="Arial" w:cs="Arial"/>
          <w:szCs w:val="22"/>
        </w:rPr>
        <w:t>S</w:t>
      </w:r>
      <w:r w:rsidR="004D32FF" w:rsidRPr="00DB11A6">
        <w:rPr>
          <w:rFonts w:ascii="Arial" w:hAnsi="Arial" w:cs="Arial"/>
          <w:szCs w:val="22"/>
        </w:rPr>
        <w:t>1).</w:t>
      </w:r>
    </w:p>
    <w:p w14:paraId="0506FBEC" w14:textId="77777777" w:rsidR="00856DFC" w:rsidRPr="00DB11A6" w:rsidRDefault="00856DFC" w:rsidP="00306C71">
      <w:pPr>
        <w:spacing w:line="480" w:lineRule="auto"/>
        <w:contextualSpacing/>
        <w:rPr>
          <w:rFonts w:ascii="Arial" w:hAnsi="Arial" w:cs="Arial"/>
          <w:b/>
          <w:szCs w:val="22"/>
        </w:rPr>
      </w:pPr>
    </w:p>
    <w:p w14:paraId="77FB4D52" w14:textId="77777777" w:rsidR="00057B86" w:rsidRPr="00DB11A6" w:rsidRDefault="00057B86" w:rsidP="00306C71">
      <w:pPr>
        <w:spacing w:line="480" w:lineRule="auto"/>
        <w:contextualSpacing/>
        <w:rPr>
          <w:rFonts w:ascii="Arial" w:hAnsi="Arial" w:cs="Arial"/>
          <w:b/>
          <w:szCs w:val="22"/>
        </w:rPr>
      </w:pPr>
      <w:r w:rsidRPr="00DB11A6">
        <w:rPr>
          <w:rFonts w:ascii="Arial" w:hAnsi="Arial" w:cs="Arial"/>
          <w:b/>
          <w:szCs w:val="22"/>
        </w:rPr>
        <w:t>Cohort characteristics</w:t>
      </w:r>
    </w:p>
    <w:p w14:paraId="3E4C85B8" w14:textId="5CC858CB" w:rsidR="00F21FC0" w:rsidRPr="00DB11A6" w:rsidRDefault="00133893" w:rsidP="00306C71">
      <w:pPr>
        <w:spacing w:line="480" w:lineRule="auto"/>
        <w:contextualSpacing/>
        <w:rPr>
          <w:rFonts w:ascii="Arial" w:hAnsi="Arial" w:cs="Arial"/>
        </w:rPr>
      </w:pPr>
      <w:r w:rsidRPr="00DB11A6">
        <w:rPr>
          <w:rFonts w:ascii="Arial" w:hAnsi="Arial" w:cs="Arial"/>
          <w:szCs w:val="22"/>
        </w:rPr>
        <w:t>The</w:t>
      </w:r>
      <w:r w:rsidR="00A44C91" w:rsidRPr="00DB11A6">
        <w:rPr>
          <w:rFonts w:ascii="Arial" w:hAnsi="Arial" w:cs="Arial"/>
          <w:szCs w:val="22"/>
        </w:rPr>
        <w:t xml:space="preserve"> PFCS</w:t>
      </w:r>
      <w:r w:rsidR="004471F0" w:rsidRPr="00DB11A6">
        <w:rPr>
          <w:rFonts w:ascii="Arial" w:hAnsi="Arial" w:cs="Arial"/>
          <w:szCs w:val="22"/>
        </w:rPr>
        <w:t xml:space="preserve"> </w:t>
      </w:r>
      <w:r w:rsidRPr="00DB11A6">
        <w:rPr>
          <w:rFonts w:ascii="Arial" w:hAnsi="Arial" w:cs="Arial"/>
          <w:szCs w:val="22"/>
        </w:rPr>
        <w:t>cohort comprised more men (6</w:t>
      </w:r>
      <w:r w:rsidR="00CF05C3" w:rsidRPr="00DB11A6">
        <w:rPr>
          <w:rFonts w:ascii="Arial" w:hAnsi="Arial" w:cs="Arial"/>
          <w:szCs w:val="22"/>
        </w:rPr>
        <w:t>2.9</w:t>
      </w:r>
      <w:r w:rsidRPr="00DB11A6">
        <w:rPr>
          <w:rFonts w:ascii="Arial" w:hAnsi="Arial" w:cs="Arial"/>
          <w:szCs w:val="22"/>
        </w:rPr>
        <w:t>%) than women</w:t>
      </w:r>
      <w:r w:rsidR="007F26E5" w:rsidRPr="00DB11A6">
        <w:rPr>
          <w:rFonts w:ascii="Arial" w:hAnsi="Arial" w:cs="Arial"/>
          <w:szCs w:val="22"/>
        </w:rPr>
        <w:t>,</w:t>
      </w:r>
      <w:r w:rsidRPr="00DB11A6">
        <w:rPr>
          <w:rFonts w:ascii="Arial" w:hAnsi="Arial" w:cs="Arial"/>
          <w:szCs w:val="22"/>
        </w:rPr>
        <w:t xml:space="preserve"> with </w:t>
      </w:r>
      <w:r w:rsidR="00FB0B7B" w:rsidRPr="00DB11A6">
        <w:rPr>
          <w:rFonts w:ascii="Arial" w:hAnsi="Arial" w:cs="Arial"/>
          <w:szCs w:val="22"/>
        </w:rPr>
        <w:t>a</w:t>
      </w:r>
      <w:r w:rsidR="00A635D9" w:rsidRPr="00DB11A6">
        <w:rPr>
          <w:rFonts w:ascii="Arial" w:hAnsi="Arial" w:cs="Arial"/>
          <w:szCs w:val="22"/>
        </w:rPr>
        <w:t xml:space="preserve"> </w:t>
      </w:r>
      <w:r w:rsidRPr="00DB11A6">
        <w:rPr>
          <w:rFonts w:ascii="Arial" w:hAnsi="Arial" w:cs="Arial"/>
          <w:szCs w:val="22"/>
        </w:rPr>
        <w:t>mean (standard deviation [SD]) age of 72.</w:t>
      </w:r>
      <w:r w:rsidR="00EA248B" w:rsidRPr="00DB11A6">
        <w:rPr>
          <w:rFonts w:ascii="Arial" w:hAnsi="Arial" w:cs="Arial"/>
          <w:szCs w:val="22"/>
        </w:rPr>
        <w:t>6</w:t>
      </w:r>
      <w:r w:rsidRPr="00DB11A6">
        <w:rPr>
          <w:rFonts w:ascii="Arial" w:hAnsi="Arial" w:cs="Arial"/>
          <w:szCs w:val="22"/>
        </w:rPr>
        <w:t xml:space="preserve"> (9.7) years. </w:t>
      </w:r>
      <w:r w:rsidR="003E5391" w:rsidRPr="00DB11A6">
        <w:rPr>
          <w:rFonts w:ascii="Arial" w:hAnsi="Arial" w:cs="Arial"/>
          <w:szCs w:val="22"/>
        </w:rPr>
        <w:t>T</w:t>
      </w:r>
      <w:r w:rsidRPr="00DB11A6">
        <w:rPr>
          <w:rFonts w:ascii="Arial" w:hAnsi="Arial" w:cs="Arial"/>
          <w:szCs w:val="22"/>
        </w:rPr>
        <w:t>wo-thirds (67.</w:t>
      </w:r>
      <w:r w:rsidR="00EA248B" w:rsidRPr="00DB11A6">
        <w:rPr>
          <w:rFonts w:ascii="Arial" w:hAnsi="Arial" w:cs="Arial"/>
          <w:szCs w:val="22"/>
        </w:rPr>
        <w:t>2</w:t>
      </w:r>
      <w:r w:rsidRPr="00DB11A6">
        <w:rPr>
          <w:rFonts w:ascii="Arial" w:hAnsi="Arial" w:cs="Arial"/>
          <w:szCs w:val="22"/>
        </w:rPr>
        <w:t>%) were current</w:t>
      </w:r>
      <w:r w:rsidR="00745625" w:rsidRPr="00DB11A6">
        <w:rPr>
          <w:rFonts w:ascii="Arial" w:hAnsi="Arial" w:cs="Arial"/>
          <w:szCs w:val="22"/>
        </w:rPr>
        <w:t>/</w:t>
      </w:r>
      <w:r w:rsidRPr="00DB11A6">
        <w:rPr>
          <w:rFonts w:ascii="Arial" w:hAnsi="Arial" w:cs="Arial"/>
          <w:szCs w:val="22"/>
        </w:rPr>
        <w:t>former smokers.</w:t>
      </w:r>
      <w:r w:rsidR="00FB3070" w:rsidRPr="00DB11A6">
        <w:rPr>
          <w:rFonts w:ascii="Arial" w:hAnsi="Arial" w:cs="Arial"/>
          <w:szCs w:val="22"/>
        </w:rPr>
        <w:t xml:space="preserve"> Card</w:t>
      </w:r>
      <w:r w:rsidR="00681625" w:rsidRPr="00DB11A6">
        <w:rPr>
          <w:rFonts w:ascii="Arial" w:hAnsi="Arial" w:cs="Arial"/>
          <w:szCs w:val="22"/>
        </w:rPr>
        <w:t>i</w:t>
      </w:r>
      <w:r w:rsidR="007F26E5" w:rsidRPr="00DB11A6">
        <w:rPr>
          <w:rFonts w:ascii="Arial" w:hAnsi="Arial" w:cs="Arial"/>
          <w:szCs w:val="22"/>
        </w:rPr>
        <w:t>o</w:t>
      </w:r>
      <w:r w:rsidR="00681625" w:rsidRPr="00DB11A6">
        <w:rPr>
          <w:rFonts w:ascii="Arial" w:hAnsi="Arial" w:cs="Arial"/>
          <w:szCs w:val="22"/>
        </w:rPr>
        <w:t>respiratory</w:t>
      </w:r>
      <w:r w:rsidRPr="00DB11A6">
        <w:rPr>
          <w:rFonts w:ascii="Arial" w:hAnsi="Arial" w:cs="Arial"/>
          <w:szCs w:val="22"/>
        </w:rPr>
        <w:t xml:space="preserve"> conditions were the most common comorbidities at time of PF</w:t>
      </w:r>
      <w:r w:rsidR="00837C87" w:rsidRPr="00DB11A6">
        <w:rPr>
          <w:rFonts w:ascii="Arial" w:hAnsi="Arial" w:cs="Arial"/>
          <w:szCs w:val="22"/>
        </w:rPr>
        <w:t>CS</w:t>
      </w:r>
      <w:r w:rsidRPr="00DB11A6">
        <w:rPr>
          <w:rFonts w:ascii="Arial" w:hAnsi="Arial" w:cs="Arial"/>
          <w:szCs w:val="22"/>
        </w:rPr>
        <w:t xml:space="preserve"> diagnosis: ischaemic heart disease (3</w:t>
      </w:r>
      <w:r w:rsidR="00EA248B" w:rsidRPr="00DB11A6">
        <w:rPr>
          <w:rFonts w:ascii="Arial" w:hAnsi="Arial" w:cs="Arial"/>
          <w:szCs w:val="22"/>
        </w:rPr>
        <w:t>2</w:t>
      </w:r>
      <w:r w:rsidRPr="00DB11A6">
        <w:rPr>
          <w:rFonts w:ascii="Arial" w:hAnsi="Arial" w:cs="Arial"/>
          <w:szCs w:val="22"/>
        </w:rPr>
        <w:t>.</w:t>
      </w:r>
      <w:r w:rsidR="00EA248B" w:rsidRPr="00DB11A6">
        <w:rPr>
          <w:rFonts w:ascii="Arial" w:hAnsi="Arial" w:cs="Arial"/>
          <w:szCs w:val="22"/>
        </w:rPr>
        <w:t>4</w:t>
      </w:r>
      <w:r w:rsidRPr="00DB11A6">
        <w:rPr>
          <w:rFonts w:ascii="Arial" w:hAnsi="Arial" w:cs="Arial"/>
          <w:szCs w:val="22"/>
        </w:rPr>
        <w:t>%)</w:t>
      </w:r>
      <w:r w:rsidR="00E36D45" w:rsidRPr="00DB11A6">
        <w:rPr>
          <w:rFonts w:ascii="Arial" w:hAnsi="Arial" w:cs="Arial"/>
          <w:szCs w:val="22"/>
        </w:rPr>
        <w:t>,</w:t>
      </w:r>
      <w:r w:rsidRPr="00DB11A6">
        <w:rPr>
          <w:rFonts w:ascii="Arial" w:hAnsi="Arial" w:cs="Arial"/>
          <w:szCs w:val="22"/>
        </w:rPr>
        <w:t xml:space="preserve"> COPD</w:t>
      </w:r>
      <w:r w:rsidR="003E5391" w:rsidRPr="00DB11A6">
        <w:rPr>
          <w:rFonts w:ascii="Arial" w:hAnsi="Arial" w:cs="Arial"/>
          <w:szCs w:val="22"/>
        </w:rPr>
        <w:t xml:space="preserve"> (</w:t>
      </w:r>
      <w:r w:rsidRPr="00DB11A6">
        <w:rPr>
          <w:rFonts w:ascii="Arial" w:hAnsi="Arial" w:cs="Arial"/>
          <w:szCs w:val="22"/>
        </w:rPr>
        <w:t>2</w:t>
      </w:r>
      <w:r w:rsidR="00EA248B" w:rsidRPr="00DB11A6">
        <w:rPr>
          <w:rFonts w:ascii="Arial" w:hAnsi="Arial" w:cs="Arial"/>
          <w:szCs w:val="22"/>
        </w:rPr>
        <w:t>2.6</w:t>
      </w:r>
      <w:r w:rsidRPr="00DB11A6">
        <w:rPr>
          <w:rFonts w:ascii="Arial" w:hAnsi="Arial" w:cs="Arial"/>
          <w:szCs w:val="22"/>
        </w:rPr>
        <w:t>%)</w:t>
      </w:r>
      <w:r w:rsidR="00E36D45" w:rsidRPr="00DB11A6">
        <w:rPr>
          <w:rFonts w:ascii="Arial" w:hAnsi="Arial" w:cs="Arial"/>
          <w:szCs w:val="22"/>
        </w:rPr>
        <w:t xml:space="preserve">, </w:t>
      </w:r>
      <w:r w:rsidRPr="00DB11A6">
        <w:rPr>
          <w:rFonts w:ascii="Arial" w:hAnsi="Arial" w:cs="Arial"/>
          <w:szCs w:val="22"/>
        </w:rPr>
        <w:t>lung cancer (1</w:t>
      </w:r>
      <w:r w:rsidR="00EA248B" w:rsidRPr="00DB11A6">
        <w:rPr>
          <w:rFonts w:ascii="Arial" w:hAnsi="Arial" w:cs="Arial"/>
          <w:szCs w:val="22"/>
        </w:rPr>
        <w:t>8.0</w:t>
      </w:r>
      <w:r w:rsidRPr="00DB11A6">
        <w:rPr>
          <w:rFonts w:ascii="Arial" w:hAnsi="Arial" w:cs="Arial"/>
          <w:szCs w:val="22"/>
        </w:rPr>
        <w:t>%)</w:t>
      </w:r>
      <w:r w:rsidR="00E36D45" w:rsidRPr="00DB11A6">
        <w:rPr>
          <w:rFonts w:ascii="Arial" w:hAnsi="Arial" w:cs="Arial"/>
          <w:szCs w:val="22"/>
        </w:rPr>
        <w:t xml:space="preserve">, </w:t>
      </w:r>
      <w:r w:rsidRPr="00DB11A6">
        <w:rPr>
          <w:rFonts w:ascii="Arial" w:hAnsi="Arial" w:cs="Arial"/>
          <w:szCs w:val="22"/>
        </w:rPr>
        <w:t>asthma (13.</w:t>
      </w:r>
      <w:r w:rsidR="00EA248B" w:rsidRPr="00DB11A6">
        <w:rPr>
          <w:rFonts w:ascii="Arial" w:hAnsi="Arial" w:cs="Arial"/>
          <w:szCs w:val="22"/>
        </w:rPr>
        <w:t>9</w:t>
      </w:r>
      <w:r w:rsidRPr="00DB11A6">
        <w:rPr>
          <w:rFonts w:ascii="Arial" w:hAnsi="Arial" w:cs="Arial"/>
          <w:szCs w:val="22"/>
        </w:rPr>
        <w:t>%)</w:t>
      </w:r>
      <w:r w:rsidR="001037F5" w:rsidRPr="00DB11A6">
        <w:rPr>
          <w:rFonts w:ascii="Arial" w:hAnsi="Arial" w:cs="Arial"/>
          <w:szCs w:val="22"/>
        </w:rPr>
        <w:t>. Mean (SD)</w:t>
      </w:r>
      <w:r w:rsidR="00B704A1" w:rsidRPr="00DB11A6">
        <w:rPr>
          <w:rFonts w:ascii="Arial" w:hAnsi="Arial" w:cs="Arial"/>
          <w:szCs w:val="22"/>
        </w:rPr>
        <w:t xml:space="preserve"> </w:t>
      </w:r>
      <w:r w:rsidR="001037F5" w:rsidRPr="00DB11A6">
        <w:rPr>
          <w:rFonts w:ascii="Arial" w:hAnsi="Arial" w:cs="Arial"/>
          <w:szCs w:val="22"/>
        </w:rPr>
        <w:t xml:space="preserve">FVC was </w:t>
      </w:r>
      <w:r w:rsidR="00EA248B" w:rsidRPr="00DB11A6">
        <w:rPr>
          <w:rFonts w:ascii="Arial" w:hAnsi="Arial" w:cs="Arial"/>
          <w:szCs w:val="22"/>
        </w:rPr>
        <w:t>2.9</w:t>
      </w:r>
      <w:r w:rsidR="001037F5" w:rsidRPr="00DB11A6">
        <w:rPr>
          <w:rFonts w:ascii="Arial" w:hAnsi="Arial" w:cs="Arial"/>
          <w:szCs w:val="22"/>
        </w:rPr>
        <w:t xml:space="preserve"> (</w:t>
      </w:r>
      <w:r w:rsidR="00EA248B" w:rsidRPr="00DB11A6">
        <w:rPr>
          <w:rFonts w:ascii="Arial" w:hAnsi="Arial" w:cs="Arial"/>
          <w:szCs w:val="22"/>
        </w:rPr>
        <w:t>5.7</w:t>
      </w:r>
      <w:r w:rsidR="001037F5" w:rsidRPr="00DB11A6">
        <w:rPr>
          <w:rFonts w:ascii="Arial" w:hAnsi="Arial" w:cs="Arial"/>
          <w:szCs w:val="22"/>
        </w:rPr>
        <w:t>) L and FEV</w:t>
      </w:r>
      <w:r w:rsidR="001037F5" w:rsidRPr="00DB11A6">
        <w:rPr>
          <w:rFonts w:ascii="Arial" w:hAnsi="Arial" w:cs="Arial"/>
          <w:szCs w:val="22"/>
          <w:vertAlign w:val="subscript"/>
        </w:rPr>
        <w:t>1</w:t>
      </w:r>
      <w:r w:rsidR="00B704A1" w:rsidRPr="00DB11A6">
        <w:rPr>
          <w:rFonts w:ascii="Arial" w:hAnsi="Arial" w:cs="Arial"/>
          <w:szCs w:val="22"/>
        </w:rPr>
        <w:t>/</w:t>
      </w:r>
      <w:r w:rsidR="001037F5" w:rsidRPr="00DB11A6">
        <w:rPr>
          <w:rFonts w:ascii="Arial" w:hAnsi="Arial" w:cs="Arial"/>
          <w:szCs w:val="22"/>
        </w:rPr>
        <w:t>FVC</w:t>
      </w:r>
      <w:r w:rsidR="00A724C8" w:rsidRPr="00DB11A6">
        <w:rPr>
          <w:rFonts w:ascii="Arial" w:hAnsi="Arial" w:cs="Arial"/>
          <w:szCs w:val="22"/>
        </w:rPr>
        <w:t xml:space="preserve"> ratio was</w:t>
      </w:r>
      <w:r w:rsidR="001037F5" w:rsidRPr="00DB11A6">
        <w:rPr>
          <w:rFonts w:ascii="Arial" w:hAnsi="Arial" w:cs="Arial"/>
          <w:szCs w:val="22"/>
        </w:rPr>
        <w:t xml:space="preserve"> 0.7</w:t>
      </w:r>
      <w:r w:rsidR="00EA248B" w:rsidRPr="00DB11A6">
        <w:rPr>
          <w:rFonts w:ascii="Arial" w:hAnsi="Arial" w:cs="Arial"/>
          <w:szCs w:val="22"/>
        </w:rPr>
        <w:t>8</w:t>
      </w:r>
      <w:r w:rsidR="001037F5" w:rsidRPr="00DB11A6">
        <w:rPr>
          <w:rFonts w:ascii="Arial" w:hAnsi="Arial" w:cs="Arial"/>
          <w:szCs w:val="22"/>
        </w:rPr>
        <w:t xml:space="preserve"> (0.</w:t>
      </w:r>
      <w:r w:rsidR="00EA248B" w:rsidRPr="00DB11A6">
        <w:rPr>
          <w:rFonts w:ascii="Arial" w:hAnsi="Arial" w:cs="Arial"/>
          <w:szCs w:val="22"/>
        </w:rPr>
        <w:t>1</w:t>
      </w:r>
      <w:r w:rsidR="001037F5" w:rsidRPr="00DB11A6">
        <w:rPr>
          <w:rFonts w:ascii="Arial" w:hAnsi="Arial" w:cs="Arial"/>
          <w:szCs w:val="22"/>
        </w:rPr>
        <w:t xml:space="preserve">). </w:t>
      </w:r>
      <w:r w:rsidR="000B3C2C" w:rsidRPr="00DB11A6">
        <w:rPr>
          <w:rFonts w:ascii="Arial" w:hAnsi="Arial" w:cs="Arial"/>
          <w:szCs w:val="22"/>
        </w:rPr>
        <w:t>Almost o</w:t>
      </w:r>
      <w:r w:rsidR="001037F5" w:rsidRPr="00DB11A6">
        <w:rPr>
          <w:rFonts w:ascii="Arial" w:hAnsi="Arial" w:cs="Arial"/>
          <w:szCs w:val="22"/>
        </w:rPr>
        <w:t>ne-quarter of patients</w:t>
      </w:r>
      <w:r w:rsidR="00D262AD" w:rsidRPr="00DB11A6">
        <w:rPr>
          <w:rFonts w:ascii="Arial" w:hAnsi="Arial" w:cs="Arial"/>
          <w:szCs w:val="22"/>
        </w:rPr>
        <w:t xml:space="preserve"> (23.2%)</w:t>
      </w:r>
      <w:r w:rsidR="001037F5" w:rsidRPr="00DB11A6">
        <w:rPr>
          <w:rFonts w:ascii="Arial" w:hAnsi="Arial" w:cs="Arial"/>
          <w:szCs w:val="22"/>
        </w:rPr>
        <w:t xml:space="preserve"> received a prescription for a short-acting beta</w:t>
      </w:r>
      <w:r w:rsidR="001037F5" w:rsidRPr="00DB11A6">
        <w:rPr>
          <w:rFonts w:ascii="Arial" w:hAnsi="Arial" w:cs="Arial"/>
          <w:szCs w:val="22"/>
          <w:vertAlign w:val="subscript"/>
        </w:rPr>
        <w:t>2</w:t>
      </w:r>
      <w:r w:rsidR="001037F5" w:rsidRPr="00DB11A6">
        <w:rPr>
          <w:rFonts w:ascii="Arial" w:hAnsi="Arial" w:cs="Arial"/>
          <w:szCs w:val="22"/>
        </w:rPr>
        <w:t xml:space="preserve">-agonist </w:t>
      </w:r>
      <w:r w:rsidR="00EB1FCF" w:rsidRPr="00DB11A6">
        <w:rPr>
          <w:rFonts w:ascii="Arial" w:hAnsi="Arial" w:cs="Arial"/>
          <w:szCs w:val="22"/>
        </w:rPr>
        <w:t>one</w:t>
      </w:r>
      <w:r w:rsidR="001037F5" w:rsidRPr="00DB11A6">
        <w:rPr>
          <w:rFonts w:ascii="Arial" w:hAnsi="Arial" w:cs="Arial"/>
          <w:szCs w:val="22"/>
        </w:rPr>
        <w:t xml:space="preserve"> </w:t>
      </w:r>
      <w:r w:rsidR="007F2E74" w:rsidRPr="00DB11A6">
        <w:rPr>
          <w:rFonts w:ascii="Arial" w:hAnsi="Arial" w:cs="Arial"/>
          <w:szCs w:val="22"/>
        </w:rPr>
        <w:t>year prior to</w:t>
      </w:r>
      <w:r w:rsidR="001037F5" w:rsidRPr="00DB11A6">
        <w:rPr>
          <w:rFonts w:ascii="Arial" w:hAnsi="Arial" w:cs="Arial"/>
          <w:szCs w:val="22"/>
        </w:rPr>
        <w:t xml:space="preserve"> PF</w:t>
      </w:r>
      <w:r w:rsidR="00B704A1" w:rsidRPr="00DB11A6">
        <w:rPr>
          <w:rFonts w:ascii="Arial" w:hAnsi="Arial" w:cs="Arial"/>
          <w:szCs w:val="22"/>
        </w:rPr>
        <w:t>CS</w:t>
      </w:r>
      <w:r w:rsidR="001037F5" w:rsidRPr="00DB11A6">
        <w:rPr>
          <w:rFonts w:ascii="Arial" w:hAnsi="Arial" w:cs="Arial"/>
          <w:szCs w:val="22"/>
        </w:rPr>
        <w:t xml:space="preserve"> diagnosis</w:t>
      </w:r>
      <w:r w:rsidR="00DC357E" w:rsidRPr="00DB11A6">
        <w:rPr>
          <w:rFonts w:ascii="Arial" w:hAnsi="Arial" w:cs="Arial"/>
          <w:szCs w:val="22"/>
        </w:rPr>
        <w:t xml:space="preserve"> (Table 1).</w:t>
      </w:r>
      <w:r w:rsidR="00C961B3" w:rsidRPr="00DB11A6">
        <w:rPr>
          <w:rFonts w:ascii="Arial" w:hAnsi="Arial" w:cs="Arial"/>
          <w:szCs w:val="22"/>
        </w:rPr>
        <w:t xml:space="preserve"> </w:t>
      </w:r>
      <w:r w:rsidR="00A44C91" w:rsidRPr="00DB11A6">
        <w:rPr>
          <w:rFonts w:ascii="Arial" w:hAnsi="Arial" w:cs="Arial"/>
          <w:szCs w:val="22"/>
        </w:rPr>
        <w:t>PFCS</w:t>
      </w:r>
      <w:r w:rsidR="00C961B3" w:rsidRPr="00DB11A6">
        <w:rPr>
          <w:rFonts w:ascii="Arial" w:hAnsi="Arial" w:cs="Arial"/>
          <w:szCs w:val="22"/>
        </w:rPr>
        <w:t xml:space="preserve"> and</w:t>
      </w:r>
      <w:r w:rsidR="00A44C91" w:rsidRPr="00DB11A6">
        <w:rPr>
          <w:rFonts w:ascii="Arial" w:hAnsi="Arial" w:cs="Arial"/>
          <w:szCs w:val="22"/>
        </w:rPr>
        <w:t xml:space="preserve"> </w:t>
      </w:r>
      <w:r w:rsidR="003E3081" w:rsidRPr="00DB11A6">
        <w:rPr>
          <w:rFonts w:ascii="Arial" w:hAnsi="Arial" w:cs="Arial"/>
          <w:szCs w:val="22"/>
        </w:rPr>
        <w:t>I</w:t>
      </w:r>
      <w:r w:rsidR="00A44C91" w:rsidRPr="00DB11A6">
        <w:rPr>
          <w:rFonts w:ascii="Arial" w:hAnsi="Arial" w:cs="Arial"/>
          <w:szCs w:val="22"/>
        </w:rPr>
        <w:t>PFCS</w:t>
      </w:r>
      <w:r w:rsidR="00DC357E" w:rsidRPr="00DB11A6">
        <w:rPr>
          <w:rFonts w:ascii="Arial" w:hAnsi="Arial" w:cs="Arial"/>
          <w:szCs w:val="22"/>
        </w:rPr>
        <w:t xml:space="preserve"> </w:t>
      </w:r>
      <w:r w:rsidR="00B704A1" w:rsidRPr="00DB11A6">
        <w:rPr>
          <w:rFonts w:ascii="Arial" w:hAnsi="Arial" w:cs="Arial"/>
          <w:szCs w:val="22"/>
        </w:rPr>
        <w:t>patient characteristics were broadly similar</w:t>
      </w:r>
      <w:r w:rsidR="00DC357E" w:rsidRPr="00DB11A6">
        <w:rPr>
          <w:rFonts w:ascii="Arial" w:hAnsi="Arial" w:cs="Arial"/>
          <w:szCs w:val="22"/>
        </w:rPr>
        <w:t xml:space="preserve"> (Table</w:t>
      </w:r>
      <w:r w:rsidR="00B704A1" w:rsidRPr="00DB11A6">
        <w:rPr>
          <w:rFonts w:ascii="Arial" w:hAnsi="Arial" w:cs="Arial"/>
          <w:szCs w:val="22"/>
        </w:rPr>
        <w:t>s 1</w:t>
      </w:r>
      <w:r w:rsidR="00DC357E" w:rsidRPr="00DB11A6">
        <w:rPr>
          <w:rFonts w:ascii="Arial" w:hAnsi="Arial" w:cs="Arial"/>
          <w:szCs w:val="22"/>
        </w:rPr>
        <w:t xml:space="preserve"> </w:t>
      </w:r>
      <w:r w:rsidR="00B704A1" w:rsidRPr="00DB11A6">
        <w:rPr>
          <w:rFonts w:ascii="Arial" w:hAnsi="Arial" w:cs="Arial"/>
          <w:szCs w:val="22"/>
        </w:rPr>
        <w:t xml:space="preserve">and </w:t>
      </w:r>
      <w:r w:rsidR="00DB6A26">
        <w:rPr>
          <w:rFonts w:ascii="Arial" w:hAnsi="Arial" w:cs="Arial"/>
          <w:szCs w:val="22"/>
        </w:rPr>
        <w:t xml:space="preserve">Supplementary Table </w:t>
      </w:r>
      <w:r w:rsidR="00DC357E" w:rsidRPr="00DB11A6">
        <w:rPr>
          <w:rFonts w:ascii="Arial" w:hAnsi="Arial" w:cs="Arial"/>
          <w:szCs w:val="22"/>
        </w:rPr>
        <w:t>S</w:t>
      </w:r>
      <w:r w:rsidR="00C961B3" w:rsidRPr="00DB11A6">
        <w:rPr>
          <w:rFonts w:ascii="Arial" w:hAnsi="Arial" w:cs="Arial"/>
          <w:szCs w:val="22"/>
        </w:rPr>
        <w:t>3</w:t>
      </w:r>
      <w:r w:rsidR="00B704A1" w:rsidRPr="00DB11A6">
        <w:rPr>
          <w:rFonts w:ascii="Arial" w:hAnsi="Arial" w:cs="Arial"/>
          <w:szCs w:val="22"/>
        </w:rPr>
        <w:t>, respectively</w:t>
      </w:r>
      <w:r w:rsidR="00DC357E" w:rsidRPr="00DB11A6">
        <w:rPr>
          <w:rFonts w:ascii="Arial" w:hAnsi="Arial" w:cs="Arial"/>
          <w:szCs w:val="22"/>
        </w:rPr>
        <w:t xml:space="preserve">). </w:t>
      </w:r>
      <w:r w:rsidR="00F21FC0" w:rsidRPr="00DB11A6">
        <w:rPr>
          <w:rFonts w:ascii="Arial" w:hAnsi="Arial" w:cs="Arial"/>
        </w:rPr>
        <w:t xml:space="preserve">In </w:t>
      </w:r>
      <w:r w:rsidR="00F21FC0" w:rsidRPr="00DB11A6">
        <w:rPr>
          <w:rFonts w:ascii="Arial" w:hAnsi="Arial" w:cs="Arial"/>
        </w:rPr>
        <w:lastRenderedPageBreak/>
        <w:t xml:space="preserve">patients with </w:t>
      </w:r>
      <w:r w:rsidR="006F0762" w:rsidRPr="00DB11A6">
        <w:rPr>
          <w:rFonts w:ascii="Arial" w:hAnsi="Arial" w:cs="Arial"/>
        </w:rPr>
        <w:t>OLD</w:t>
      </w:r>
      <w:r w:rsidR="00F21FC0" w:rsidRPr="00DB11A6">
        <w:rPr>
          <w:rFonts w:ascii="Arial" w:hAnsi="Arial" w:cs="Arial"/>
        </w:rPr>
        <w:t xml:space="preserve">, </w:t>
      </w:r>
      <w:r w:rsidR="007F26E5" w:rsidRPr="00DB11A6">
        <w:rPr>
          <w:rFonts w:ascii="Arial" w:hAnsi="Arial" w:cs="Arial"/>
        </w:rPr>
        <w:t>C</w:t>
      </w:r>
      <w:r w:rsidR="00711E49" w:rsidRPr="00DB11A6">
        <w:rPr>
          <w:rFonts w:ascii="Arial" w:hAnsi="Arial" w:cs="Arial"/>
        </w:rPr>
        <w:t>OPD</w:t>
      </w:r>
      <w:r w:rsidR="007F26E5" w:rsidRPr="00DB11A6">
        <w:rPr>
          <w:rFonts w:ascii="Arial" w:hAnsi="Arial" w:cs="Arial"/>
        </w:rPr>
        <w:t xml:space="preserve"> diagnosis</w:t>
      </w:r>
      <w:r w:rsidR="00711E49" w:rsidRPr="00DB11A6">
        <w:rPr>
          <w:rFonts w:ascii="Arial" w:hAnsi="Arial" w:cs="Arial"/>
        </w:rPr>
        <w:t xml:space="preserve"> occurred </w:t>
      </w:r>
      <w:r w:rsidR="00400752" w:rsidRPr="00DB11A6">
        <w:rPr>
          <w:rFonts w:ascii="Arial" w:hAnsi="Arial" w:cs="Arial"/>
        </w:rPr>
        <w:t xml:space="preserve">at </w:t>
      </w:r>
      <w:r w:rsidR="00711E49" w:rsidRPr="00DB11A6">
        <w:rPr>
          <w:rFonts w:ascii="Arial" w:hAnsi="Arial" w:cs="Arial"/>
        </w:rPr>
        <w:t xml:space="preserve">a </w:t>
      </w:r>
      <w:r w:rsidR="00F21FC0" w:rsidRPr="00DB11A6">
        <w:rPr>
          <w:rFonts w:ascii="Arial" w:hAnsi="Arial" w:cs="Arial"/>
        </w:rPr>
        <w:t>mean (SD)</w:t>
      </w:r>
      <w:r w:rsidR="00400752" w:rsidRPr="00DB11A6">
        <w:rPr>
          <w:rFonts w:ascii="Arial" w:hAnsi="Arial" w:cs="Arial"/>
        </w:rPr>
        <w:t xml:space="preserve"> of</w:t>
      </w:r>
      <w:r w:rsidR="00F21FC0" w:rsidRPr="00DB11A6">
        <w:rPr>
          <w:rFonts w:ascii="Arial" w:hAnsi="Arial" w:cs="Arial"/>
        </w:rPr>
        <w:t xml:space="preserve"> 5.1 (6.7) years</w:t>
      </w:r>
      <w:r w:rsidR="00837C87" w:rsidRPr="00DB11A6">
        <w:rPr>
          <w:rFonts w:ascii="Arial" w:hAnsi="Arial" w:cs="Arial"/>
        </w:rPr>
        <w:t>, and</w:t>
      </w:r>
      <w:r w:rsidR="00F21FC0" w:rsidRPr="00DB11A6">
        <w:rPr>
          <w:rFonts w:ascii="Arial" w:hAnsi="Arial" w:cs="Arial"/>
        </w:rPr>
        <w:t xml:space="preserve"> </w:t>
      </w:r>
      <w:r w:rsidR="00711E49" w:rsidRPr="00DB11A6">
        <w:rPr>
          <w:rFonts w:ascii="Arial" w:hAnsi="Arial" w:cs="Arial"/>
        </w:rPr>
        <w:t>asthma</w:t>
      </w:r>
      <w:r w:rsidR="00A11783" w:rsidRPr="00DB11A6">
        <w:rPr>
          <w:rFonts w:ascii="Arial" w:hAnsi="Arial" w:cs="Arial"/>
        </w:rPr>
        <w:t xml:space="preserve"> at</w:t>
      </w:r>
      <w:r w:rsidR="00711E49" w:rsidRPr="00DB11A6">
        <w:rPr>
          <w:rFonts w:ascii="Arial" w:hAnsi="Arial" w:cs="Arial"/>
        </w:rPr>
        <w:t xml:space="preserve"> a mean (SD)</w:t>
      </w:r>
      <w:r w:rsidR="00A11783" w:rsidRPr="00DB11A6">
        <w:rPr>
          <w:rFonts w:ascii="Arial" w:hAnsi="Arial" w:cs="Arial"/>
        </w:rPr>
        <w:t xml:space="preserve"> of</w:t>
      </w:r>
      <w:r w:rsidR="00711E49" w:rsidRPr="00DB11A6">
        <w:rPr>
          <w:rFonts w:ascii="Arial" w:hAnsi="Arial" w:cs="Arial"/>
        </w:rPr>
        <w:t xml:space="preserve"> </w:t>
      </w:r>
      <w:r w:rsidR="00F21FC0" w:rsidRPr="00DB11A6">
        <w:rPr>
          <w:rFonts w:ascii="Arial" w:hAnsi="Arial" w:cs="Arial"/>
        </w:rPr>
        <w:t>12.1 (14.1) years</w:t>
      </w:r>
      <w:r w:rsidR="00837C87" w:rsidRPr="00DB11A6">
        <w:rPr>
          <w:rFonts w:ascii="Arial" w:hAnsi="Arial" w:cs="Arial"/>
        </w:rPr>
        <w:t>, prior to</w:t>
      </w:r>
      <w:r w:rsidR="00711E49" w:rsidRPr="00DB11A6">
        <w:rPr>
          <w:rFonts w:ascii="Arial" w:hAnsi="Arial" w:cs="Arial"/>
        </w:rPr>
        <w:t xml:space="preserve"> P</w:t>
      </w:r>
      <w:r w:rsidR="00F21FC0" w:rsidRPr="00DB11A6">
        <w:rPr>
          <w:rFonts w:ascii="Arial" w:hAnsi="Arial" w:cs="Arial"/>
        </w:rPr>
        <w:t xml:space="preserve">FCS </w:t>
      </w:r>
      <w:r w:rsidR="00711E49" w:rsidRPr="00DB11A6">
        <w:rPr>
          <w:rFonts w:ascii="Arial" w:hAnsi="Arial" w:cs="Arial"/>
        </w:rPr>
        <w:t>diagnosi</w:t>
      </w:r>
      <w:r w:rsidR="00F21FC0" w:rsidRPr="00DB11A6">
        <w:rPr>
          <w:rFonts w:ascii="Arial" w:hAnsi="Arial" w:cs="Arial"/>
        </w:rPr>
        <w:t>s.</w:t>
      </w:r>
      <w:r w:rsidR="00CF5080" w:rsidRPr="00DB11A6">
        <w:rPr>
          <w:rFonts w:ascii="Arial" w:hAnsi="Arial" w:cs="Arial"/>
        </w:rPr>
        <w:t xml:space="preserve"> 40% of patients received asthma diagnos</w:t>
      </w:r>
      <w:r w:rsidR="007F26E5" w:rsidRPr="00DB11A6">
        <w:rPr>
          <w:rFonts w:ascii="Arial" w:hAnsi="Arial" w:cs="Arial"/>
        </w:rPr>
        <w:t>i</w:t>
      </w:r>
      <w:r w:rsidR="00CF5080" w:rsidRPr="00DB11A6">
        <w:rPr>
          <w:rFonts w:ascii="Arial" w:hAnsi="Arial" w:cs="Arial"/>
        </w:rPr>
        <w:t>s</w:t>
      </w:r>
      <w:r w:rsidR="00E25D08" w:rsidRPr="00DB11A6">
        <w:rPr>
          <w:rFonts w:ascii="Arial" w:hAnsi="Arial" w:cs="Arial"/>
        </w:rPr>
        <w:t xml:space="preserve"> within</w:t>
      </w:r>
      <w:r w:rsidR="00CF5080" w:rsidRPr="00DB11A6">
        <w:rPr>
          <w:rFonts w:ascii="Arial" w:hAnsi="Arial" w:cs="Arial"/>
        </w:rPr>
        <w:t xml:space="preserve"> </w:t>
      </w:r>
      <w:r w:rsidR="00E25D08" w:rsidRPr="00DB11A6">
        <w:rPr>
          <w:rFonts w:ascii="Arial" w:hAnsi="Arial" w:cs="Arial"/>
        </w:rPr>
        <w:t>five</w:t>
      </w:r>
      <w:r w:rsidR="00CF5080" w:rsidRPr="00DB11A6">
        <w:rPr>
          <w:rFonts w:ascii="Arial" w:hAnsi="Arial" w:cs="Arial"/>
        </w:rPr>
        <w:t xml:space="preserve"> years </w:t>
      </w:r>
      <w:r w:rsidR="00E25D08" w:rsidRPr="00DB11A6">
        <w:rPr>
          <w:rFonts w:ascii="Arial" w:hAnsi="Arial" w:cs="Arial"/>
        </w:rPr>
        <w:t>prior to</w:t>
      </w:r>
      <w:r w:rsidR="00CF5080" w:rsidRPr="00DB11A6">
        <w:rPr>
          <w:rFonts w:ascii="Arial" w:hAnsi="Arial" w:cs="Arial"/>
        </w:rPr>
        <w:t xml:space="preserve"> PFCS</w:t>
      </w:r>
      <w:r w:rsidR="00E25D08" w:rsidRPr="00DB11A6">
        <w:rPr>
          <w:rFonts w:ascii="Arial" w:hAnsi="Arial" w:cs="Arial"/>
        </w:rPr>
        <w:t xml:space="preserve"> diagnosis</w:t>
      </w:r>
      <w:r w:rsidR="00CF5080" w:rsidRPr="00DB11A6">
        <w:rPr>
          <w:rFonts w:ascii="Arial" w:hAnsi="Arial" w:cs="Arial"/>
        </w:rPr>
        <w:t xml:space="preserve"> (60% within 10 years).</w:t>
      </w:r>
      <w:r w:rsidR="00A8789F" w:rsidRPr="00DB11A6">
        <w:rPr>
          <w:rFonts w:ascii="Arial" w:hAnsi="Arial" w:cs="Arial"/>
        </w:rPr>
        <w:t xml:space="preserve"> COPD </w:t>
      </w:r>
      <w:r w:rsidR="007F26E5" w:rsidRPr="00DB11A6">
        <w:rPr>
          <w:rFonts w:ascii="Arial" w:hAnsi="Arial" w:cs="Arial"/>
        </w:rPr>
        <w:t xml:space="preserve">diagnosis </w:t>
      </w:r>
      <w:r w:rsidR="00A8789F" w:rsidRPr="00DB11A6">
        <w:rPr>
          <w:rFonts w:ascii="Arial" w:hAnsi="Arial" w:cs="Arial"/>
        </w:rPr>
        <w:t>occurred</w:t>
      </w:r>
      <w:r w:rsidR="005E42B9" w:rsidRPr="00DB11A6">
        <w:rPr>
          <w:rFonts w:ascii="Arial" w:hAnsi="Arial" w:cs="Arial"/>
        </w:rPr>
        <w:t xml:space="preserve"> at</w:t>
      </w:r>
      <w:r w:rsidR="00A8789F" w:rsidRPr="00DB11A6">
        <w:rPr>
          <w:rFonts w:ascii="Arial" w:hAnsi="Arial" w:cs="Arial"/>
        </w:rPr>
        <w:t xml:space="preserve"> </w:t>
      </w:r>
      <w:r w:rsidR="00BC505F" w:rsidRPr="00DB11A6">
        <w:rPr>
          <w:rFonts w:ascii="Arial" w:hAnsi="Arial" w:cs="Arial"/>
        </w:rPr>
        <w:t>4.6</w:t>
      </w:r>
      <w:r w:rsidR="00A8789F" w:rsidRPr="00DB11A6">
        <w:rPr>
          <w:rFonts w:ascii="Arial" w:hAnsi="Arial" w:cs="Arial"/>
        </w:rPr>
        <w:t xml:space="preserve"> (6.</w:t>
      </w:r>
      <w:r w:rsidR="00BC505F" w:rsidRPr="00DB11A6">
        <w:rPr>
          <w:rFonts w:ascii="Arial" w:hAnsi="Arial" w:cs="Arial"/>
        </w:rPr>
        <w:t>2</w:t>
      </w:r>
      <w:r w:rsidR="00A8789F" w:rsidRPr="00DB11A6">
        <w:rPr>
          <w:rFonts w:ascii="Arial" w:hAnsi="Arial" w:cs="Arial"/>
        </w:rPr>
        <w:t>) years, and asthma a</w:t>
      </w:r>
      <w:r w:rsidR="005E42B9" w:rsidRPr="00DB11A6">
        <w:rPr>
          <w:rFonts w:ascii="Arial" w:hAnsi="Arial" w:cs="Arial"/>
        </w:rPr>
        <w:t xml:space="preserve">t </w:t>
      </w:r>
      <w:r w:rsidR="00A8789F" w:rsidRPr="00DB11A6">
        <w:rPr>
          <w:rFonts w:ascii="Arial" w:hAnsi="Arial" w:cs="Arial"/>
        </w:rPr>
        <w:t>1</w:t>
      </w:r>
      <w:r w:rsidR="00B73F72" w:rsidRPr="00DB11A6">
        <w:rPr>
          <w:rFonts w:ascii="Arial" w:hAnsi="Arial" w:cs="Arial"/>
        </w:rPr>
        <w:t>3</w:t>
      </w:r>
      <w:r w:rsidR="00A8789F" w:rsidRPr="00DB11A6">
        <w:rPr>
          <w:rFonts w:ascii="Arial" w:hAnsi="Arial" w:cs="Arial"/>
        </w:rPr>
        <w:t>.</w:t>
      </w:r>
      <w:r w:rsidR="00B73F72" w:rsidRPr="00DB11A6">
        <w:rPr>
          <w:rFonts w:ascii="Arial" w:hAnsi="Arial" w:cs="Arial"/>
        </w:rPr>
        <w:t>0</w:t>
      </w:r>
      <w:r w:rsidR="00A8789F" w:rsidRPr="00DB11A6">
        <w:rPr>
          <w:rFonts w:ascii="Arial" w:hAnsi="Arial" w:cs="Arial"/>
        </w:rPr>
        <w:t xml:space="preserve"> (1</w:t>
      </w:r>
      <w:r w:rsidR="00B73F72" w:rsidRPr="00DB11A6">
        <w:rPr>
          <w:rFonts w:ascii="Arial" w:hAnsi="Arial" w:cs="Arial"/>
        </w:rPr>
        <w:t>7</w:t>
      </w:r>
      <w:r w:rsidR="00A8789F" w:rsidRPr="00DB11A6">
        <w:rPr>
          <w:rFonts w:ascii="Arial" w:hAnsi="Arial" w:cs="Arial"/>
        </w:rPr>
        <w:t>.</w:t>
      </w:r>
      <w:r w:rsidR="00B73F72" w:rsidRPr="00DB11A6">
        <w:rPr>
          <w:rFonts w:ascii="Arial" w:hAnsi="Arial" w:cs="Arial"/>
        </w:rPr>
        <w:t>4</w:t>
      </w:r>
      <w:r w:rsidR="00A8789F" w:rsidRPr="00DB11A6">
        <w:rPr>
          <w:rFonts w:ascii="Arial" w:hAnsi="Arial" w:cs="Arial"/>
        </w:rPr>
        <w:t xml:space="preserve">) years, prior to </w:t>
      </w:r>
      <w:r w:rsidR="00B73F72" w:rsidRPr="00DB11A6">
        <w:rPr>
          <w:rFonts w:ascii="Arial" w:hAnsi="Arial" w:cs="Arial"/>
        </w:rPr>
        <w:t>I</w:t>
      </w:r>
      <w:r w:rsidR="00A8789F" w:rsidRPr="00DB11A6">
        <w:rPr>
          <w:rFonts w:ascii="Arial" w:hAnsi="Arial" w:cs="Arial"/>
        </w:rPr>
        <w:t xml:space="preserve">PFCS diagnosis. </w:t>
      </w:r>
    </w:p>
    <w:p w14:paraId="18B2B020" w14:textId="77777777" w:rsidR="00335C74" w:rsidRPr="00DB11A6" w:rsidRDefault="00335C74" w:rsidP="00306C71">
      <w:pPr>
        <w:spacing w:line="480" w:lineRule="auto"/>
        <w:contextualSpacing/>
        <w:rPr>
          <w:rFonts w:ascii="Arial" w:hAnsi="Arial" w:cs="Arial"/>
          <w:szCs w:val="22"/>
        </w:rPr>
      </w:pPr>
    </w:p>
    <w:p w14:paraId="1A1B6BA8" w14:textId="56A1F418" w:rsidR="00B44C85" w:rsidRPr="00DB11A6" w:rsidRDefault="006B6836" w:rsidP="00306C71">
      <w:pPr>
        <w:spacing w:line="480" w:lineRule="auto"/>
        <w:contextualSpacing/>
        <w:rPr>
          <w:rFonts w:ascii="Arial" w:hAnsi="Arial" w:cs="Arial"/>
          <w:szCs w:val="22"/>
        </w:rPr>
      </w:pPr>
      <w:r w:rsidRPr="00DB11A6">
        <w:rPr>
          <w:rFonts w:ascii="Arial" w:hAnsi="Arial" w:cs="Arial"/>
          <w:szCs w:val="22"/>
        </w:rPr>
        <w:t>Functional impairment</w:t>
      </w:r>
      <w:r w:rsidR="00335C74" w:rsidRPr="00DB11A6">
        <w:rPr>
          <w:rFonts w:ascii="Arial" w:hAnsi="Arial" w:cs="Arial"/>
          <w:szCs w:val="22"/>
        </w:rPr>
        <w:t xml:space="preserve"> </w:t>
      </w:r>
      <w:r w:rsidR="00942B17" w:rsidRPr="00DB11A6">
        <w:rPr>
          <w:rFonts w:ascii="Arial" w:hAnsi="Arial" w:cs="Arial"/>
          <w:szCs w:val="22"/>
        </w:rPr>
        <w:t>(</w:t>
      </w:r>
      <w:r w:rsidR="00837C87" w:rsidRPr="00DB11A6">
        <w:rPr>
          <w:rFonts w:ascii="Arial" w:hAnsi="Arial" w:cs="Arial"/>
          <w:szCs w:val="22"/>
        </w:rPr>
        <w:t xml:space="preserve">assessed by </w:t>
      </w:r>
      <w:proofErr w:type="spellStart"/>
      <w:r w:rsidR="00942B17" w:rsidRPr="00DB11A6">
        <w:rPr>
          <w:rFonts w:ascii="Arial" w:hAnsi="Arial" w:cs="Arial"/>
          <w:szCs w:val="22"/>
        </w:rPr>
        <w:t>mMRC</w:t>
      </w:r>
      <w:proofErr w:type="spellEnd"/>
      <w:r w:rsidR="00942B17" w:rsidRPr="00DB11A6">
        <w:rPr>
          <w:rFonts w:ascii="Arial" w:hAnsi="Arial" w:cs="Arial"/>
          <w:szCs w:val="22"/>
        </w:rPr>
        <w:t xml:space="preserve">) </w:t>
      </w:r>
      <w:r w:rsidR="00335C74" w:rsidRPr="00DB11A6">
        <w:rPr>
          <w:rFonts w:ascii="Arial" w:hAnsi="Arial" w:cs="Arial"/>
          <w:szCs w:val="22"/>
        </w:rPr>
        <w:t>score prior to</w:t>
      </w:r>
      <w:r w:rsidR="00A44C91" w:rsidRPr="00DB11A6">
        <w:rPr>
          <w:rFonts w:ascii="Arial" w:hAnsi="Arial" w:cs="Arial"/>
          <w:szCs w:val="22"/>
        </w:rPr>
        <w:t xml:space="preserve"> PFCS</w:t>
      </w:r>
      <w:r w:rsidR="00335C74" w:rsidRPr="00DB11A6">
        <w:rPr>
          <w:rFonts w:ascii="Arial" w:hAnsi="Arial" w:cs="Arial"/>
          <w:szCs w:val="22"/>
        </w:rPr>
        <w:t xml:space="preserve"> diagnosis</w:t>
      </w:r>
      <w:r w:rsidR="00843D66" w:rsidRPr="00DB11A6">
        <w:rPr>
          <w:rFonts w:ascii="Arial" w:hAnsi="Arial" w:cs="Arial"/>
          <w:szCs w:val="22"/>
        </w:rPr>
        <w:t xml:space="preserve"> w</w:t>
      </w:r>
      <w:r w:rsidR="00335C74" w:rsidRPr="00DB11A6">
        <w:rPr>
          <w:rFonts w:ascii="Arial" w:hAnsi="Arial" w:cs="Arial"/>
          <w:szCs w:val="22"/>
        </w:rPr>
        <w:t>ere</w:t>
      </w:r>
      <w:r w:rsidR="00843D66" w:rsidRPr="00DB11A6">
        <w:rPr>
          <w:rFonts w:ascii="Arial" w:hAnsi="Arial" w:cs="Arial"/>
          <w:szCs w:val="22"/>
        </w:rPr>
        <w:t xml:space="preserve"> available for </w:t>
      </w:r>
      <w:r w:rsidR="003917E0" w:rsidRPr="00DB11A6">
        <w:rPr>
          <w:rFonts w:ascii="Arial" w:hAnsi="Arial" w:cs="Arial"/>
          <w:szCs w:val="22"/>
        </w:rPr>
        <w:t>47</w:t>
      </w:r>
      <w:r w:rsidR="00843D66" w:rsidRPr="00DB11A6">
        <w:rPr>
          <w:rFonts w:ascii="Arial" w:hAnsi="Arial" w:cs="Arial"/>
          <w:szCs w:val="22"/>
        </w:rPr>
        <w:t xml:space="preserve">% of </w:t>
      </w:r>
      <w:r w:rsidR="007F26E5" w:rsidRPr="00DB11A6">
        <w:rPr>
          <w:rFonts w:ascii="Arial" w:hAnsi="Arial" w:cs="Arial"/>
          <w:szCs w:val="22"/>
        </w:rPr>
        <w:t>patients</w:t>
      </w:r>
      <w:r w:rsidR="00843D66" w:rsidRPr="00DB11A6">
        <w:rPr>
          <w:rFonts w:ascii="Arial" w:hAnsi="Arial" w:cs="Arial"/>
          <w:szCs w:val="22"/>
        </w:rPr>
        <w:t>.</w:t>
      </w:r>
      <w:r w:rsidR="00DD62B6" w:rsidRPr="00DB11A6">
        <w:rPr>
          <w:rFonts w:ascii="Arial" w:hAnsi="Arial" w:cs="Arial"/>
          <w:szCs w:val="22"/>
        </w:rPr>
        <w:t xml:space="preserve"> When stratified </w:t>
      </w:r>
      <w:r w:rsidR="00335C74" w:rsidRPr="00DB11A6">
        <w:rPr>
          <w:rFonts w:ascii="Arial" w:hAnsi="Arial" w:cs="Arial"/>
          <w:szCs w:val="22"/>
        </w:rPr>
        <w:t xml:space="preserve">by </w:t>
      </w:r>
      <w:r w:rsidRPr="00DB11A6">
        <w:rPr>
          <w:rFonts w:ascii="Arial" w:hAnsi="Arial" w:cs="Arial"/>
          <w:szCs w:val="22"/>
        </w:rPr>
        <w:t>time</w:t>
      </w:r>
      <w:r w:rsidR="00DD62B6" w:rsidRPr="00DB11A6">
        <w:rPr>
          <w:rFonts w:ascii="Arial" w:hAnsi="Arial" w:cs="Arial"/>
          <w:szCs w:val="22"/>
        </w:rPr>
        <w:t xml:space="preserve"> between </w:t>
      </w:r>
      <w:proofErr w:type="spellStart"/>
      <w:r w:rsidR="00335C74" w:rsidRPr="00DB11A6">
        <w:rPr>
          <w:rFonts w:ascii="Arial" w:hAnsi="Arial" w:cs="Arial"/>
          <w:szCs w:val="22"/>
        </w:rPr>
        <w:t>mMRC</w:t>
      </w:r>
      <w:proofErr w:type="spellEnd"/>
      <w:r w:rsidR="00335C74" w:rsidRPr="00DB11A6">
        <w:rPr>
          <w:rFonts w:ascii="Arial" w:hAnsi="Arial" w:cs="Arial"/>
          <w:szCs w:val="22"/>
        </w:rPr>
        <w:t xml:space="preserve"> assessment </w:t>
      </w:r>
      <w:r w:rsidR="00DD62B6" w:rsidRPr="00DB11A6">
        <w:rPr>
          <w:rFonts w:ascii="Arial" w:hAnsi="Arial" w:cs="Arial"/>
          <w:szCs w:val="22"/>
        </w:rPr>
        <w:t>an</w:t>
      </w:r>
      <w:r w:rsidRPr="00DB11A6">
        <w:rPr>
          <w:rFonts w:ascii="Arial" w:hAnsi="Arial" w:cs="Arial"/>
          <w:szCs w:val="22"/>
        </w:rPr>
        <w:t>d</w:t>
      </w:r>
      <w:r w:rsidR="00A44C91" w:rsidRPr="00DB11A6">
        <w:rPr>
          <w:rFonts w:ascii="Arial" w:hAnsi="Arial" w:cs="Arial"/>
          <w:szCs w:val="22"/>
        </w:rPr>
        <w:t xml:space="preserve"> PFCS</w:t>
      </w:r>
      <w:r w:rsidR="003545F1" w:rsidRPr="00DB11A6">
        <w:rPr>
          <w:rFonts w:ascii="Arial" w:hAnsi="Arial" w:cs="Arial"/>
          <w:szCs w:val="22"/>
        </w:rPr>
        <w:t xml:space="preserve"> </w:t>
      </w:r>
      <w:r w:rsidR="00DD62B6" w:rsidRPr="00DB11A6">
        <w:rPr>
          <w:rFonts w:ascii="Arial" w:hAnsi="Arial" w:cs="Arial"/>
          <w:szCs w:val="22"/>
        </w:rPr>
        <w:t>diagnosis</w:t>
      </w:r>
      <w:r w:rsidR="00942B17" w:rsidRPr="00DB11A6">
        <w:rPr>
          <w:rFonts w:ascii="Arial" w:hAnsi="Arial" w:cs="Arial"/>
          <w:szCs w:val="22"/>
        </w:rPr>
        <w:t>,</w:t>
      </w:r>
      <w:r w:rsidR="00DD62B6" w:rsidRPr="00DB11A6">
        <w:rPr>
          <w:rFonts w:ascii="Arial" w:hAnsi="Arial" w:cs="Arial"/>
          <w:szCs w:val="22"/>
        </w:rPr>
        <w:t xml:space="preserve"> </w:t>
      </w:r>
      <w:r w:rsidRPr="00DB11A6">
        <w:rPr>
          <w:rFonts w:ascii="Arial" w:hAnsi="Arial" w:cs="Arial"/>
          <w:szCs w:val="22"/>
        </w:rPr>
        <w:t xml:space="preserve">no </w:t>
      </w:r>
      <w:r w:rsidR="003545F1" w:rsidRPr="00DB11A6">
        <w:rPr>
          <w:rFonts w:ascii="Arial" w:hAnsi="Arial" w:cs="Arial"/>
          <w:szCs w:val="22"/>
        </w:rPr>
        <w:t>pronounced</w:t>
      </w:r>
      <w:r w:rsidRPr="00DB11A6">
        <w:rPr>
          <w:rFonts w:ascii="Arial" w:hAnsi="Arial" w:cs="Arial"/>
          <w:szCs w:val="22"/>
        </w:rPr>
        <w:t xml:space="preserve"> </w:t>
      </w:r>
      <w:r w:rsidR="00DD62B6" w:rsidRPr="00DB11A6">
        <w:rPr>
          <w:rFonts w:ascii="Arial" w:hAnsi="Arial" w:cs="Arial"/>
          <w:szCs w:val="22"/>
        </w:rPr>
        <w:t>temporal trends</w:t>
      </w:r>
      <w:r w:rsidR="007F26E5" w:rsidRPr="00DB11A6">
        <w:rPr>
          <w:rFonts w:ascii="Arial" w:hAnsi="Arial" w:cs="Arial"/>
          <w:szCs w:val="22"/>
        </w:rPr>
        <w:t xml:space="preserve"> were observed</w:t>
      </w:r>
      <w:r w:rsidR="003E5391" w:rsidRPr="00DB11A6">
        <w:rPr>
          <w:rFonts w:ascii="Arial" w:hAnsi="Arial" w:cs="Arial"/>
          <w:szCs w:val="22"/>
        </w:rPr>
        <w:t xml:space="preserve">, although </w:t>
      </w:r>
      <w:r w:rsidR="00837C87" w:rsidRPr="00DB11A6">
        <w:rPr>
          <w:rFonts w:ascii="Arial" w:hAnsi="Arial" w:cs="Arial"/>
          <w:szCs w:val="22"/>
        </w:rPr>
        <w:t>a</w:t>
      </w:r>
      <w:r w:rsidR="00335C74" w:rsidRPr="00DB11A6">
        <w:rPr>
          <w:rFonts w:ascii="Arial" w:hAnsi="Arial" w:cs="Arial"/>
          <w:szCs w:val="22"/>
        </w:rPr>
        <w:t xml:space="preserve"> slight </w:t>
      </w:r>
      <w:r w:rsidR="003545F1" w:rsidRPr="00DB11A6">
        <w:rPr>
          <w:rFonts w:ascii="Arial" w:hAnsi="Arial" w:cs="Arial"/>
          <w:szCs w:val="22"/>
        </w:rPr>
        <w:t>reduction in</w:t>
      </w:r>
      <w:r w:rsidR="00335C74" w:rsidRPr="00DB11A6">
        <w:rPr>
          <w:rFonts w:ascii="Arial" w:hAnsi="Arial" w:cs="Arial"/>
          <w:szCs w:val="22"/>
        </w:rPr>
        <w:t xml:space="preserve"> patients </w:t>
      </w:r>
      <w:r w:rsidR="003545F1" w:rsidRPr="00DB11A6">
        <w:rPr>
          <w:rFonts w:ascii="Arial" w:hAnsi="Arial" w:cs="Arial"/>
          <w:szCs w:val="22"/>
        </w:rPr>
        <w:t xml:space="preserve">without signs of functional impairment </w:t>
      </w:r>
      <w:r w:rsidR="00942B17" w:rsidRPr="00DB11A6">
        <w:rPr>
          <w:rFonts w:ascii="Arial" w:hAnsi="Arial" w:cs="Arial"/>
          <w:szCs w:val="22"/>
        </w:rPr>
        <w:t>was</w:t>
      </w:r>
      <w:r w:rsidR="00837C87" w:rsidRPr="00DB11A6">
        <w:rPr>
          <w:rFonts w:ascii="Arial" w:hAnsi="Arial" w:cs="Arial"/>
          <w:szCs w:val="22"/>
        </w:rPr>
        <w:t xml:space="preserve"> </w:t>
      </w:r>
      <w:r w:rsidR="00942B17" w:rsidRPr="00DB11A6">
        <w:rPr>
          <w:rFonts w:ascii="Arial" w:hAnsi="Arial" w:cs="Arial"/>
          <w:szCs w:val="22"/>
        </w:rPr>
        <w:t xml:space="preserve">apparent </w:t>
      </w:r>
      <w:r w:rsidR="003545F1" w:rsidRPr="00DB11A6">
        <w:rPr>
          <w:rFonts w:ascii="Arial" w:hAnsi="Arial" w:cs="Arial"/>
          <w:szCs w:val="22"/>
        </w:rPr>
        <w:t xml:space="preserve">over the </w:t>
      </w:r>
      <w:r w:rsidR="00B704A1" w:rsidRPr="00DB11A6">
        <w:rPr>
          <w:rFonts w:ascii="Arial" w:hAnsi="Arial" w:cs="Arial"/>
          <w:szCs w:val="22"/>
        </w:rPr>
        <w:t xml:space="preserve">10-year </w:t>
      </w:r>
      <w:r w:rsidR="003545F1" w:rsidRPr="00DB11A6">
        <w:rPr>
          <w:rFonts w:ascii="Arial" w:hAnsi="Arial" w:cs="Arial"/>
          <w:szCs w:val="22"/>
        </w:rPr>
        <w:t>study period</w:t>
      </w:r>
      <w:r w:rsidR="00335C74" w:rsidRPr="00DB11A6">
        <w:rPr>
          <w:rFonts w:ascii="Arial" w:hAnsi="Arial" w:cs="Arial"/>
          <w:szCs w:val="22"/>
        </w:rPr>
        <w:t xml:space="preserve"> (</w:t>
      </w:r>
      <w:r w:rsidR="006729BC" w:rsidRPr="00DB11A6">
        <w:rPr>
          <w:rFonts w:ascii="Arial" w:hAnsi="Arial" w:cs="Arial"/>
          <w:szCs w:val="22"/>
        </w:rPr>
        <w:t>Figure</w:t>
      </w:r>
      <w:r w:rsidR="00335C74" w:rsidRPr="00DB11A6">
        <w:rPr>
          <w:rFonts w:ascii="Arial" w:hAnsi="Arial" w:cs="Arial"/>
          <w:szCs w:val="22"/>
        </w:rPr>
        <w:t xml:space="preserve"> S</w:t>
      </w:r>
      <w:r w:rsidR="00942B17" w:rsidRPr="00DB11A6">
        <w:rPr>
          <w:rFonts w:ascii="Arial" w:hAnsi="Arial" w:cs="Arial"/>
          <w:szCs w:val="22"/>
        </w:rPr>
        <w:t>2</w:t>
      </w:r>
      <w:r w:rsidR="00335C74" w:rsidRPr="00DB11A6">
        <w:rPr>
          <w:rFonts w:ascii="Arial" w:hAnsi="Arial" w:cs="Arial"/>
          <w:szCs w:val="22"/>
        </w:rPr>
        <w:t>)</w:t>
      </w:r>
      <w:r w:rsidR="00DD62B6" w:rsidRPr="00DB11A6">
        <w:rPr>
          <w:rFonts w:ascii="Arial" w:hAnsi="Arial" w:cs="Arial"/>
          <w:szCs w:val="22"/>
        </w:rPr>
        <w:t>.</w:t>
      </w:r>
    </w:p>
    <w:p w14:paraId="7A3A4DC7" w14:textId="77777777" w:rsidR="00841060" w:rsidRPr="00DB11A6" w:rsidRDefault="00841060" w:rsidP="00306C71">
      <w:pPr>
        <w:spacing w:line="480" w:lineRule="auto"/>
        <w:contextualSpacing/>
        <w:rPr>
          <w:rFonts w:ascii="Arial" w:hAnsi="Arial" w:cs="Arial"/>
          <w:sz w:val="22"/>
        </w:rPr>
      </w:pPr>
    </w:p>
    <w:p w14:paraId="29C6C5F4" w14:textId="7F0F8F9F" w:rsidR="00D951DE" w:rsidRPr="00DB11A6" w:rsidRDefault="00D951DE" w:rsidP="00306C71">
      <w:pPr>
        <w:spacing w:line="480" w:lineRule="auto"/>
        <w:contextualSpacing/>
        <w:rPr>
          <w:rFonts w:ascii="Arial" w:hAnsi="Arial" w:cs="Arial"/>
          <w:b/>
        </w:rPr>
      </w:pPr>
      <w:r w:rsidRPr="00DB11A6">
        <w:rPr>
          <w:rFonts w:ascii="Arial" w:hAnsi="Arial" w:cs="Arial"/>
          <w:b/>
          <w:szCs w:val="22"/>
        </w:rPr>
        <w:t xml:space="preserve">Healthcare resource </w:t>
      </w:r>
      <w:r w:rsidR="00494F4F" w:rsidRPr="00DB11A6">
        <w:rPr>
          <w:rFonts w:ascii="Arial" w:hAnsi="Arial" w:cs="Arial"/>
          <w:b/>
          <w:szCs w:val="22"/>
        </w:rPr>
        <w:t>utilisation</w:t>
      </w:r>
    </w:p>
    <w:p w14:paraId="49A4E274" w14:textId="319F8B8D" w:rsidR="00057B86" w:rsidRPr="00DB11A6" w:rsidRDefault="0043293F" w:rsidP="00306C71">
      <w:pPr>
        <w:spacing w:line="480" w:lineRule="auto"/>
        <w:contextualSpacing/>
        <w:rPr>
          <w:rFonts w:ascii="Arial" w:hAnsi="Arial" w:cs="Arial"/>
          <w:szCs w:val="22"/>
        </w:rPr>
      </w:pPr>
      <w:r w:rsidRPr="00DB11A6">
        <w:rPr>
          <w:rFonts w:ascii="Arial" w:hAnsi="Arial" w:cs="Arial"/>
          <w:szCs w:val="22"/>
        </w:rPr>
        <w:t>T</w:t>
      </w:r>
      <w:r w:rsidR="00F41BD3" w:rsidRPr="00DB11A6">
        <w:rPr>
          <w:rFonts w:ascii="Arial" w:hAnsi="Arial" w:cs="Arial"/>
          <w:szCs w:val="22"/>
        </w:rPr>
        <w:t>he mean pre-observation period</w:t>
      </w:r>
      <w:r w:rsidR="001D728E" w:rsidRPr="00DB11A6">
        <w:rPr>
          <w:rFonts w:ascii="Arial" w:hAnsi="Arial" w:cs="Arial"/>
          <w:szCs w:val="22"/>
        </w:rPr>
        <w:t xml:space="preserve"> </w:t>
      </w:r>
      <w:r w:rsidR="00F17433" w:rsidRPr="00DB11A6">
        <w:rPr>
          <w:rFonts w:ascii="Arial" w:hAnsi="Arial" w:cs="Arial"/>
          <w:szCs w:val="22"/>
        </w:rPr>
        <w:t>for patients with non-missing</w:t>
      </w:r>
      <w:r w:rsidRPr="00DB11A6">
        <w:rPr>
          <w:rFonts w:ascii="Arial" w:hAnsi="Arial" w:cs="Arial"/>
          <w:szCs w:val="22"/>
        </w:rPr>
        <w:t xml:space="preserve"> HRU</w:t>
      </w:r>
      <w:r w:rsidR="00F17433" w:rsidRPr="00DB11A6">
        <w:rPr>
          <w:rFonts w:ascii="Arial" w:hAnsi="Arial" w:cs="Arial"/>
          <w:szCs w:val="22"/>
        </w:rPr>
        <w:t xml:space="preserve"> data ranged from </w:t>
      </w:r>
      <w:r w:rsidR="0037686C" w:rsidRPr="00DB11A6">
        <w:rPr>
          <w:rFonts w:ascii="Arial" w:hAnsi="Arial" w:cs="Arial"/>
          <w:szCs w:val="22"/>
        </w:rPr>
        <w:t>6</w:t>
      </w:r>
      <w:r w:rsidR="00BF425D" w:rsidRPr="00DB11A6">
        <w:rPr>
          <w:rFonts w:ascii="Arial" w:hAnsi="Arial" w:cs="Arial"/>
          <w:szCs w:val="22"/>
        </w:rPr>
        <w:t>–</w:t>
      </w:r>
      <w:r w:rsidR="0037686C" w:rsidRPr="00DB11A6">
        <w:rPr>
          <w:rFonts w:ascii="Arial" w:hAnsi="Arial" w:cs="Arial"/>
          <w:szCs w:val="22"/>
        </w:rPr>
        <w:t>8</w:t>
      </w:r>
      <w:r w:rsidR="00F17433" w:rsidRPr="00DB11A6">
        <w:rPr>
          <w:rFonts w:ascii="Arial" w:hAnsi="Arial" w:cs="Arial"/>
          <w:szCs w:val="22"/>
        </w:rPr>
        <w:t xml:space="preserve"> years</w:t>
      </w:r>
      <w:r w:rsidR="0057394D" w:rsidRPr="00DB11A6">
        <w:rPr>
          <w:rFonts w:ascii="Arial" w:hAnsi="Arial" w:cs="Arial"/>
          <w:szCs w:val="22"/>
        </w:rPr>
        <w:t>.</w:t>
      </w:r>
      <w:r w:rsidR="001D728E" w:rsidRPr="00DB11A6">
        <w:rPr>
          <w:rFonts w:ascii="Arial" w:hAnsi="Arial" w:cs="Arial"/>
          <w:szCs w:val="22"/>
        </w:rPr>
        <w:t xml:space="preserve"> </w:t>
      </w:r>
      <w:r w:rsidR="00057B86" w:rsidRPr="00DB11A6">
        <w:rPr>
          <w:rFonts w:ascii="Arial" w:hAnsi="Arial" w:cs="Arial"/>
          <w:szCs w:val="22"/>
        </w:rPr>
        <w:t xml:space="preserve">There was marked increase in cough </w:t>
      </w:r>
      <w:r w:rsidR="00837C87" w:rsidRPr="00DB11A6">
        <w:rPr>
          <w:rFonts w:ascii="Arial" w:hAnsi="Arial" w:cs="Arial"/>
          <w:szCs w:val="22"/>
        </w:rPr>
        <w:t>events in lead up to PFCS diagnosis</w:t>
      </w:r>
      <w:r w:rsidR="00057B86" w:rsidRPr="00DB11A6">
        <w:rPr>
          <w:rFonts w:ascii="Arial" w:hAnsi="Arial" w:cs="Arial"/>
          <w:szCs w:val="22"/>
        </w:rPr>
        <w:t xml:space="preserve"> (</w:t>
      </w:r>
      <w:r w:rsidR="006729BC" w:rsidRPr="00DB11A6">
        <w:rPr>
          <w:rFonts w:ascii="Arial" w:hAnsi="Arial" w:cs="Arial"/>
          <w:szCs w:val="22"/>
        </w:rPr>
        <w:t>Figure</w:t>
      </w:r>
      <w:r w:rsidR="00057B86" w:rsidRPr="00DB11A6">
        <w:rPr>
          <w:rFonts w:ascii="Arial" w:hAnsi="Arial" w:cs="Arial"/>
          <w:szCs w:val="22"/>
        </w:rPr>
        <w:t xml:space="preserve"> 2)</w:t>
      </w:r>
      <w:r w:rsidR="00837C87" w:rsidRPr="00DB11A6">
        <w:rPr>
          <w:rFonts w:ascii="Arial" w:hAnsi="Arial" w:cs="Arial"/>
          <w:szCs w:val="22"/>
        </w:rPr>
        <w:t>.</w:t>
      </w:r>
      <w:r w:rsidR="00057B86" w:rsidRPr="00DB11A6">
        <w:rPr>
          <w:rFonts w:ascii="Arial" w:hAnsi="Arial" w:cs="Arial"/>
          <w:szCs w:val="22"/>
        </w:rPr>
        <w:t xml:space="preserve"> </w:t>
      </w:r>
      <w:r w:rsidR="00837C87" w:rsidRPr="00DB11A6">
        <w:rPr>
          <w:rFonts w:ascii="Arial" w:hAnsi="Arial" w:cs="Arial"/>
          <w:szCs w:val="22"/>
        </w:rPr>
        <w:t>M</w:t>
      </w:r>
      <w:r w:rsidR="00057B86" w:rsidRPr="00DB11A6">
        <w:rPr>
          <w:rFonts w:ascii="Arial" w:hAnsi="Arial" w:cs="Arial"/>
          <w:szCs w:val="22"/>
        </w:rPr>
        <w:t>ean (SD) annual per-patient cough event rate increas</w:t>
      </w:r>
      <w:r w:rsidR="00B379F1" w:rsidRPr="00DB11A6">
        <w:rPr>
          <w:rFonts w:ascii="Arial" w:hAnsi="Arial" w:cs="Arial"/>
          <w:szCs w:val="22"/>
        </w:rPr>
        <w:t>ed</w:t>
      </w:r>
      <w:r w:rsidR="00057B86" w:rsidRPr="00DB11A6">
        <w:rPr>
          <w:rFonts w:ascii="Arial" w:hAnsi="Arial" w:cs="Arial"/>
          <w:szCs w:val="22"/>
        </w:rPr>
        <w:t xml:space="preserve"> 10-fold (</w:t>
      </w:r>
      <w:r w:rsidR="00A93F19" w:rsidRPr="00DB11A6">
        <w:rPr>
          <w:rFonts w:ascii="Arial" w:hAnsi="Arial" w:cs="Arial"/>
          <w:szCs w:val="22"/>
        </w:rPr>
        <w:t xml:space="preserve">from </w:t>
      </w:r>
      <w:r w:rsidR="00057B86" w:rsidRPr="00DB11A6">
        <w:rPr>
          <w:rFonts w:ascii="Arial" w:hAnsi="Arial" w:cs="Arial"/>
          <w:szCs w:val="22"/>
        </w:rPr>
        <w:t xml:space="preserve">0.06 [0.3] </w:t>
      </w:r>
      <w:r w:rsidR="00677E05" w:rsidRPr="00DB11A6">
        <w:rPr>
          <w:rFonts w:ascii="Arial" w:hAnsi="Arial" w:cs="Arial"/>
          <w:szCs w:val="22"/>
        </w:rPr>
        <w:t xml:space="preserve">per patient per year </w:t>
      </w:r>
      <w:r w:rsidR="003D736D" w:rsidRPr="00DB11A6">
        <w:rPr>
          <w:rFonts w:ascii="Arial" w:hAnsi="Arial" w:cs="Arial"/>
          <w:szCs w:val="22"/>
        </w:rPr>
        <w:t>[</w:t>
      </w:r>
      <w:proofErr w:type="spellStart"/>
      <w:r w:rsidR="00057B86" w:rsidRPr="00DB11A6">
        <w:rPr>
          <w:rFonts w:ascii="Arial" w:hAnsi="Arial" w:cs="Arial"/>
          <w:szCs w:val="22"/>
        </w:rPr>
        <w:t>pppy</w:t>
      </w:r>
      <w:proofErr w:type="spellEnd"/>
      <w:r w:rsidR="003D736D" w:rsidRPr="00DB11A6">
        <w:rPr>
          <w:rFonts w:ascii="Arial" w:hAnsi="Arial" w:cs="Arial"/>
          <w:szCs w:val="22"/>
        </w:rPr>
        <w:t>]</w:t>
      </w:r>
      <w:r w:rsidR="00057B86" w:rsidRPr="00DB11A6">
        <w:rPr>
          <w:rFonts w:ascii="Arial" w:hAnsi="Arial" w:cs="Arial"/>
          <w:szCs w:val="22"/>
        </w:rPr>
        <w:t xml:space="preserve"> </w:t>
      </w:r>
      <w:r w:rsidR="007262B4" w:rsidRPr="00DB11A6">
        <w:rPr>
          <w:rFonts w:ascii="Arial" w:hAnsi="Arial" w:cs="Arial"/>
          <w:szCs w:val="22"/>
        </w:rPr>
        <w:t xml:space="preserve">at </w:t>
      </w:r>
      <w:r w:rsidR="00BC59DF" w:rsidRPr="00DB11A6">
        <w:rPr>
          <w:rFonts w:ascii="Arial" w:hAnsi="Arial" w:cs="Arial"/>
          <w:szCs w:val="22"/>
        </w:rPr>
        <w:t>10</w:t>
      </w:r>
      <w:r w:rsidR="007262B4" w:rsidRPr="00DB11A6">
        <w:rPr>
          <w:rFonts w:ascii="Arial" w:hAnsi="Arial" w:cs="Arial"/>
          <w:szCs w:val="22"/>
        </w:rPr>
        <w:t xml:space="preserve"> </w:t>
      </w:r>
      <w:r w:rsidR="00057B86" w:rsidRPr="00DB11A6">
        <w:rPr>
          <w:rFonts w:ascii="Arial" w:hAnsi="Arial" w:cs="Arial"/>
          <w:szCs w:val="22"/>
        </w:rPr>
        <w:t xml:space="preserve">years </w:t>
      </w:r>
      <w:r w:rsidR="007262B4" w:rsidRPr="00DB11A6">
        <w:rPr>
          <w:rFonts w:ascii="Arial" w:hAnsi="Arial" w:cs="Arial"/>
          <w:szCs w:val="22"/>
        </w:rPr>
        <w:t xml:space="preserve">and </w:t>
      </w:r>
      <w:r w:rsidR="00057B86" w:rsidRPr="00DB11A6">
        <w:rPr>
          <w:rFonts w:ascii="Arial" w:hAnsi="Arial" w:cs="Arial"/>
          <w:szCs w:val="22"/>
        </w:rPr>
        <w:t>0.58 [0.6]</w:t>
      </w:r>
      <w:r w:rsidR="00AE6716" w:rsidRPr="00DB11A6">
        <w:rPr>
          <w:rFonts w:ascii="Arial" w:hAnsi="Arial" w:cs="Arial"/>
          <w:szCs w:val="22"/>
        </w:rPr>
        <w:t xml:space="preserve"> </w:t>
      </w:r>
      <w:proofErr w:type="spellStart"/>
      <w:r w:rsidR="00AE6716" w:rsidRPr="00DB11A6">
        <w:rPr>
          <w:rFonts w:ascii="Arial" w:hAnsi="Arial" w:cs="Arial"/>
          <w:szCs w:val="22"/>
        </w:rPr>
        <w:t>pppy</w:t>
      </w:r>
      <w:proofErr w:type="spellEnd"/>
      <w:r w:rsidR="00057B86" w:rsidRPr="00DB11A6">
        <w:rPr>
          <w:rFonts w:ascii="Arial" w:hAnsi="Arial" w:cs="Arial"/>
          <w:szCs w:val="22"/>
        </w:rPr>
        <w:t xml:space="preserve"> </w:t>
      </w:r>
      <w:r w:rsidR="007262B4" w:rsidRPr="00DB11A6">
        <w:rPr>
          <w:rFonts w:ascii="Arial" w:hAnsi="Arial" w:cs="Arial"/>
          <w:szCs w:val="22"/>
        </w:rPr>
        <w:t>one</w:t>
      </w:r>
      <w:r w:rsidR="00057B86" w:rsidRPr="00DB11A6">
        <w:rPr>
          <w:rFonts w:ascii="Arial" w:hAnsi="Arial" w:cs="Arial"/>
          <w:szCs w:val="22"/>
        </w:rPr>
        <w:t xml:space="preserve"> year prior to diagnosis)</w:t>
      </w:r>
      <w:r w:rsidR="00A93F19" w:rsidRPr="00DB11A6">
        <w:rPr>
          <w:rFonts w:ascii="Arial" w:hAnsi="Arial" w:cs="Arial"/>
          <w:szCs w:val="22"/>
        </w:rPr>
        <w:t>.</w:t>
      </w:r>
      <w:r w:rsidR="00DB522C" w:rsidRPr="00DB11A6">
        <w:rPr>
          <w:rFonts w:ascii="Arial" w:hAnsi="Arial" w:cs="Arial"/>
          <w:szCs w:val="22"/>
        </w:rPr>
        <w:t xml:space="preserve"> </w:t>
      </w:r>
      <w:proofErr w:type="spellStart"/>
      <w:r w:rsidR="0008030C" w:rsidRPr="00DB11A6">
        <w:rPr>
          <w:rFonts w:ascii="Arial" w:hAnsi="Arial" w:cs="Arial"/>
          <w:szCs w:val="22"/>
        </w:rPr>
        <w:t>Joinpoint</w:t>
      </w:r>
      <w:proofErr w:type="spellEnd"/>
      <w:r w:rsidR="00B43D39" w:rsidRPr="00DB11A6">
        <w:rPr>
          <w:rFonts w:ascii="Arial" w:hAnsi="Arial" w:cs="Arial"/>
          <w:szCs w:val="22"/>
        </w:rPr>
        <w:t xml:space="preserve"> </w:t>
      </w:r>
      <w:r w:rsidR="00291155" w:rsidRPr="00DB11A6">
        <w:rPr>
          <w:rFonts w:ascii="Arial" w:hAnsi="Arial" w:cs="Arial"/>
          <w:szCs w:val="22"/>
        </w:rPr>
        <w:t xml:space="preserve">regression </w:t>
      </w:r>
      <w:r w:rsidR="00B43D39" w:rsidRPr="00DB11A6">
        <w:rPr>
          <w:rFonts w:ascii="Arial" w:hAnsi="Arial" w:cs="Arial"/>
          <w:szCs w:val="22"/>
        </w:rPr>
        <w:t xml:space="preserve">analysis </w:t>
      </w:r>
      <w:r w:rsidR="00291155" w:rsidRPr="00DB11A6">
        <w:rPr>
          <w:rFonts w:ascii="Arial" w:hAnsi="Arial" w:cs="Arial"/>
          <w:szCs w:val="22"/>
        </w:rPr>
        <w:t xml:space="preserve">identified a </w:t>
      </w:r>
      <w:r w:rsidR="00DC6AE3" w:rsidRPr="00DB11A6">
        <w:rPr>
          <w:rFonts w:ascii="Arial" w:hAnsi="Arial" w:cs="Arial"/>
          <w:szCs w:val="22"/>
        </w:rPr>
        <w:t xml:space="preserve">significant </w:t>
      </w:r>
      <w:r w:rsidR="00E761E4" w:rsidRPr="00DB11A6">
        <w:rPr>
          <w:rFonts w:ascii="Arial" w:hAnsi="Arial" w:cs="Arial"/>
          <w:szCs w:val="22"/>
        </w:rPr>
        <w:t>increase</w:t>
      </w:r>
      <w:r w:rsidR="00DC6AE3" w:rsidRPr="00DB11A6">
        <w:rPr>
          <w:rFonts w:ascii="Arial" w:hAnsi="Arial" w:cs="Arial"/>
          <w:szCs w:val="22"/>
        </w:rPr>
        <w:t xml:space="preserve"> in </w:t>
      </w:r>
      <w:r w:rsidR="0089601E" w:rsidRPr="00DB11A6">
        <w:rPr>
          <w:rFonts w:ascii="Arial" w:hAnsi="Arial" w:cs="Arial"/>
          <w:szCs w:val="22"/>
        </w:rPr>
        <w:t>cough events</w:t>
      </w:r>
      <w:r w:rsidR="00C751B6" w:rsidRPr="00DB11A6">
        <w:rPr>
          <w:rFonts w:ascii="Arial" w:hAnsi="Arial" w:cs="Arial"/>
          <w:szCs w:val="22"/>
        </w:rPr>
        <w:t xml:space="preserve"> two years prior to </w:t>
      </w:r>
      <w:r w:rsidR="00C3039E" w:rsidRPr="00DB11A6">
        <w:rPr>
          <w:rFonts w:ascii="Arial" w:hAnsi="Arial" w:cs="Arial"/>
          <w:szCs w:val="22"/>
        </w:rPr>
        <w:t xml:space="preserve">PFCS </w:t>
      </w:r>
      <w:r w:rsidR="00C751B6" w:rsidRPr="00DB11A6">
        <w:rPr>
          <w:rFonts w:ascii="Arial" w:hAnsi="Arial" w:cs="Arial"/>
          <w:szCs w:val="22"/>
        </w:rPr>
        <w:t>diagnosis (</w:t>
      </w:r>
      <w:r w:rsidR="00534A13" w:rsidRPr="00DB11A6">
        <w:rPr>
          <w:rFonts w:ascii="Arial" w:hAnsi="Arial" w:cs="Arial"/>
          <w:szCs w:val="22"/>
        </w:rPr>
        <w:t>APC</w:t>
      </w:r>
      <w:r w:rsidR="002765AB" w:rsidRPr="00DB11A6">
        <w:rPr>
          <w:rFonts w:ascii="Arial" w:hAnsi="Arial" w:cs="Arial"/>
          <w:szCs w:val="22"/>
        </w:rPr>
        <w:t>s</w:t>
      </w:r>
      <w:r w:rsidR="0089601E" w:rsidRPr="00DB11A6">
        <w:rPr>
          <w:rFonts w:ascii="Arial" w:hAnsi="Arial" w:cs="Arial"/>
          <w:szCs w:val="22"/>
        </w:rPr>
        <w:t xml:space="preserve"> </w:t>
      </w:r>
      <w:r w:rsidR="002765AB" w:rsidRPr="00DB11A6">
        <w:rPr>
          <w:rFonts w:ascii="Arial" w:hAnsi="Arial" w:cs="Arial"/>
          <w:szCs w:val="22"/>
        </w:rPr>
        <w:t xml:space="preserve">for years </w:t>
      </w:r>
      <w:r w:rsidR="0089601E" w:rsidRPr="00DB11A6">
        <w:rPr>
          <w:rFonts w:ascii="Arial" w:hAnsi="Arial" w:cs="Arial"/>
          <w:szCs w:val="22"/>
        </w:rPr>
        <w:t xml:space="preserve">10–2 </w:t>
      </w:r>
      <w:r w:rsidR="006A2DAA" w:rsidRPr="00DB11A6">
        <w:rPr>
          <w:rFonts w:ascii="Arial" w:hAnsi="Arial" w:cs="Arial"/>
          <w:szCs w:val="22"/>
        </w:rPr>
        <w:t xml:space="preserve">vs </w:t>
      </w:r>
      <w:r w:rsidR="0089601E" w:rsidRPr="00DB11A6">
        <w:rPr>
          <w:rFonts w:ascii="Arial" w:hAnsi="Arial" w:cs="Arial"/>
          <w:szCs w:val="22"/>
        </w:rPr>
        <w:t>2–1</w:t>
      </w:r>
      <w:r w:rsidR="006A2DAA" w:rsidRPr="00DB11A6">
        <w:rPr>
          <w:rFonts w:ascii="Arial" w:hAnsi="Arial" w:cs="Arial"/>
          <w:szCs w:val="22"/>
        </w:rPr>
        <w:t xml:space="preserve">: </w:t>
      </w:r>
      <w:r w:rsidR="0089601E" w:rsidRPr="00DB11A6">
        <w:rPr>
          <w:rFonts w:ascii="Arial" w:hAnsi="Arial" w:cs="Arial"/>
          <w:szCs w:val="22"/>
        </w:rPr>
        <w:t xml:space="preserve">19.67% </w:t>
      </w:r>
      <w:r w:rsidR="006A2DAA" w:rsidRPr="00DB11A6">
        <w:rPr>
          <w:rFonts w:ascii="Arial" w:hAnsi="Arial" w:cs="Arial"/>
          <w:szCs w:val="22"/>
        </w:rPr>
        <w:t>vs</w:t>
      </w:r>
      <w:r w:rsidR="0089601E" w:rsidRPr="00DB11A6">
        <w:rPr>
          <w:rFonts w:ascii="Arial" w:hAnsi="Arial" w:cs="Arial"/>
          <w:szCs w:val="22"/>
        </w:rPr>
        <w:t xml:space="preserve"> 115.09%</w:t>
      </w:r>
      <w:r w:rsidR="006A2DAA" w:rsidRPr="00DB11A6">
        <w:rPr>
          <w:rFonts w:ascii="Arial" w:hAnsi="Arial" w:cs="Arial"/>
          <w:szCs w:val="22"/>
        </w:rPr>
        <w:t xml:space="preserve">; </w:t>
      </w:r>
      <w:r w:rsidR="003274DC" w:rsidRPr="00DB11A6">
        <w:rPr>
          <w:rFonts w:ascii="Arial" w:hAnsi="Arial" w:cs="Arial"/>
          <w:szCs w:val="22"/>
        </w:rPr>
        <w:t>P=0.0002)</w:t>
      </w:r>
      <w:r w:rsidR="0089601E" w:rsidRPr="00DB11A6">
        <w:rPr>
          <w:rFonts w:ascii="Arial" w:hAnsi="Arial" w:cs="Arial"/>
          <w:szCs w:val="22"/>
        </w:rPr>
        <w:t>.</w:t>
      </w:r>
      <w:r w:rsidR="00057B86" w:rsidRPr="00DB11A6">
        <w:rPr>
          <w:rFonts w:ascii="Arial" w:hAnsi="Arial" w:cs="Arial"/>
          <w:szCs w:val="22"/>
        </w:rPr>
        <w:t xml:space="preserve"> </w:t>
      </w:r>
      <w:r w:rsidR="009E19C9" w:rsidRPr="00DB11A6">
        <w:rPr>
          <w:rFonts w:ascii="Arial" w:hAnsi="Arial" w:cs="Arial"/>
          <w:szCs w:val="22"/>
        </w:rPr>
        <w:t>I</w:t>
      </w:r>
      <w:r w:rsidR="00057B86" w:rsidRPr="00DB11A6">
        <w:rPr>
          <w:rFonts w:ascii="Arial" w:hAnsi="Arial" w:cs="Arial"/>
          <w:szCs w:val="22"/>
        </w:rPr>
        <w:t>n the IPFCS cohort cough event rates increas</w:t>
      </w:r>
      <w:r w:rsidR="009E19C9" w:rsidRPr="00DB11A6">
        <w:rPr>
          <w:rFonts w:ascii="Arial" w:hAnsi="Arial" w:cs="Arial"/>
          <w:szCs w:val="22"/>
        </w:rPr>
        <w:t>ed</w:t>
      </w:r>
      <w:r w:rsidR="00057B86" w:rsidRPr="00DB11A6">
        <w:rPr>
          <w:rFonts w:ascii="Arial" w:hAnsi="Arial" w:cs="Arial"/>
          <w:szCs w:val="22"/>
        </w:rPr>
        <w:t xml:space="preserve"> from 0.05 to 0.13 </w:t>
      </w:r>
      <w:proofErr w:type="spellStart"/>
      <w:r w:rsidR="00057B86" w:rsidRPr="00DB11A6">
        <w:rPr>
          <w:rFonts w:ascii="Arial" w:hAnsi="Arial" w:cs="Arial"/>
          <w:szCs w:val="22"/>
        </w:rPr>
        <w:t>pppy</w:t>
      </w:r>
      <w:proofErr w:type="spellEnd"/>
      <w:r w:rsidR="00057B86" w:rsidRPr="00DB11A6">
        <w:rPr>
          <w:rFonts w:ascii="Arial" w:hAnsi="Arial" w:cs="Arial"/>
          <w:szCs w:val="22"/>
        </w:rPr>
        <w:t xml:space="preserve"> over the 10-year period</w:t>
      </w:r>
      <w:r w:rsidR="002C123B" w:rsidRPr="00DB11A6">
        <w:rPr>
          <w:rFonts w:ascii="Arial" w:hAnsi="Arial" w:cs="Arial"/>
          <w:szCs w:val="22"/>
        </w:rPr>
        <w:t xml:space="preserve"> (data not shown)</w:t>
      </w:r>
      <w:r w:rsidR="00057B86" w:rsidRPr="00DB11A6">
        <w:rPr>
          <w:rFonts w:ascii="Arial" w:hAnsi="Arial" w:cs="Arial"/>
          <w:szCs w:val="22"/>
        </w:rPr>
        <w:t>.</w:t>
      </w:r>
    </w:p>
    <w:p w14:paraId="55905A8D" w14:textId="77777777" w:rsidR="00057B86" w:rsidRPr="00DB11A6" w:rsidRDefault="00057B86" w:rsidP="00306C71">
      <w:pPr>
        <w:spacing w:line="480" w:lineRule="auto"/>
        <w:contextualSpacing/>
        <w:rPr>
          <w:rFonts w:ascii="Arial" w:hAnsi="Arial" w:cs="Arial"/>
          <w:szCs w:val="22"/>
        </w:rPr>
      </w:pPr>
    </w:p>
    <w:p w14:paraId="1DEEA7F8" w14:textId="1B267C07" w:rsidR="009A30FD" w:rsidRPr="00DB11A6" w:rsidRDefault="00AE63AC" w:rsidP="00306C71">
      <w:pPr>
        <w:spacing w:line="480" w:lineRule="auto"/>
        <w:contextualSpacing/>
        <w:rPr>
          <w:rFonts w:ascii="Arial" w:hAnsi="Arial" w:cs="Arial"/>
          <w:szCs w:val="22"/>
        </w:rPr>
      </w:pPr>
      <w:r w:rsidRPr="00DB11A6">
        <w:rPr>
          <w:rFonts w:ascii="Arial" w:hAnsi="Arial" w:cs="Arial"/>
          <w:szCs w:val="22"/>
        </w:rPr>
        <w:t>T</w:t>
      </w:r>
      <w:r w:rsidR="00A9374C" w:rsidRPr="00DB11A6">
        <w:rPr>
          <w:rFonts w:ascii="Arial" w:hAnsi="Arial" w:cs="Arial"/>
          <w:szCs w:val="22"/>
        </w:rPr>
        <w:t>rend</w:t>
      </w:r>
      <w:r w:rsidR="00324EE3" w:rsidRPr="00DB11A6">
        <w:rPr>
          <w:rFonts w:ascii="Arial" w:hAnsi="Arial" w:cs="Arial"/>
          <w:szCs w:val="22"/>
        </w:rPr>
        <w:t>s</w:t>
      </w:r>
      <w:r w:rsidR="00A9374C" w:rsidRPr="00DB11A6">
        <w:rPr>
          <w:rFonts w:ascii="Arial" w:hAnsi="Arial" w:cs="Arial"/>
          <w:szCs w:val="22"/>
        </w:rPr>
        <w:t xml:space="preserve"> in </w:t>
      </w:r>
      <w:r w:rsidR="00942B17" w:rsidRPr="00DB11A6">
        <w:rPr>
          <w:rFonts w:ascii="Arial" w:hAnsi="Arial" w:cs="Arial"/>
          <w:szCs w:val="22"/>
        </w:rPr>
        <w:t>LR</w:t>
      </w:r>
      <w:r w:rsidR="00A9374C" w:rsidRPr="00DB11A6">
        <w:rPr>
          <w:rFonts w:ascii="Arial" w:hAnsi="Arial" w:cs="Arial"/>
          <w:szCs w:val="22"/>
        </w:rPr>
        <w:t xml:space="preserve"> </w:t>
      </w:r>
      <w:r w:rsidR="0019010A" w:rsidRPr="00DB11A6">
        <w:rPr>
          <w:rFonts w:ascii="Arial" w:hAnsi="Arial" w:cs="Arial"/>
          <w:szCs w:val="22"/>
        </w:rPr>
        <w:t>HRU</w:t>
      </w:r>
      <w:r w:rsidR="00A9374C" w:rsidRPr="00DB11A6">
        <w:rPr>
          <w:rFonts w:ascii="Arial" w:hAnsi="Arial" w:cs="Arial"/>
          <w:szCs w:val="22"/>
        </w:rPr>
        <w:t xml:space="preserve"> </w:t>
      </w:r>
      <w:r w:rsidRPr="00DB11A6">
        <w:rPr>
          <w:rFonts w:ascii="Arial" w:hAnsi="Arial" w:cs="Arial"/>
          <w:szCs w:val="22"/>
        </w:rPr>
        <w:t>demonstrated that</w:t>
      </w:r>
      <w:r w:rsidR="00A9374C" w:rsidRPr="00DB11A6">
        <w:rPr>
          <w:rFonts w:ascii="Arial" w:hAnsi="Arial" w:cs="Arial"/>
          <w:szCs w:val="22"/>
        </w:rPr>
        <w:t xml:space="preserve"> </w:t>
      </w:r>
      <w:r w:rsidRPr="00DB11A6">
        <w:rPr>
          <w:rFonts w:ascii="Arial" w:hAnsi="Arial" w:cs="Arial"/>
          <w:szCs w:val="22"/>
        </w:rPr>
        <w:t>m</w:t>
      </w:r>
      <w:r w:rsidR="00A9374C" w:rsidRPr="00DB11A6">
        <w:rPr>
          <w:rFonts w:ascii="Arial" w:hAnsi="Arial" w:cs="Arial"/>
          <w:szCs w:val="22"/>
        </w:rPr>
        <w:t xml:space="preserve">ean (SD) primary care </w:t>
      </w:r>
      <w:r w:rsidR="002B3983" w:rsidRPr="00DB11A6">
        <w:rPr>
          <w:rFonts w:ascii="Arial" w:hAnsi="Arial" w:cs="Arial"/>
          <w:szCs w:val="22"/>
        </w:rPr>
        <w:t xml:space="preserve">LR </w:t>
      </w:r>
      <w:r w:rsidR="00A9374C" w:rsidRPr="00DB11A6">
        <w:rPr>
          <w:rFonts w:ascii="Arial" w:hAnsi="Arial" w:cs="Arial"/>
          <w:szCs w:val="22"/>
        </w:rPr>
        <w:t>consultations increased from 0.4 (1.</w:t>
      </w:r>
      <w:r w:rsidR="003B097A" w:rsidRPr="00DB11A6">
        <w:rPr>
          <w:rFonts w:ascii="Arial" w:hAnsi="Arial" w:cs="Arial"/>
          <w:szCs w:val="22"/>
        </w:rPr>
        <w:t>3</w:t>
      </w:r>
      <w:r w:rsidR="00A9374C" w:rsidRPr="00DB11A6">
        <w:rPr>
          <w:rFonts w:ascii="Arial" w:hAnsi="Arial" w:cs="Arial"/>
          <w:szCs w:val="22"/>
        </w:rPr>
        <w:t xml:space="preserve">) </w:t>
      </w:r>
      <w:proofErr w:type="spellStart"/>
      <w:r w:rsidR="003545F1" w:rsidRPr="00DB11A6">
        <w:rPr>
          <w:rFonts w:ascii="Arial" w:hAnsi="Arial" w:cs="Arial"/>
          <w:szCs w:val="22"/>
        </w:rPr>
        <w:t>pppy</w:t>
      </w:r>
      <w:proofErr w:type="spellEnd"/>
      <w:r w:rsidR="00A9374C" w:rsidRPr="00DB11A6">
        <w:rPr>
          <w:rFonts w:ascii="Arial" w:hAnsi="Arial" w:cs="Arial"/>
          <w:szCs w:val="22"/>
        </w:rPr>
        <w:t xml:space="preserve"> </w:t>
      </w:r>
      <w:r w:rsidR="004C359E" w:rsidRPr="00DB11A6">
        <w:rPr>
          <w:rFonts w:ascii="Arial" w:hAnsi="Arial" w:cs="Arial"/>
          <w:szCs w:val="22"/>
        </w:rPr>
        <w:t>at</w:t>
      </w:r>
      <w:r w:rsidR="006D4472" w:rsidRPr="00DB11A6">
        <w:rPr>
          <w:rFonts w:ascii="Arial" w:hAnsi="Arial" w:cs="Arial"/>
          <w:szCs w:val="22"/>
        </w:rPr>
        <w:t xml:space="preserve"> </w:t>
      </w:r>
      <w:r w:rsidR="00A30EC3" w:rsidRPr="00DB11A6">
        <w:rPr>
          <w:rFonts w:ascii="Arial" w:hAnsi="Arial" w:cs="Arial"/>
          <w:szCs w:val="22"/>
        </w:rPr>
        <w:t>10</w:t>
      </w:r>
      <w:r w:rsidR="006D4472" w:rsidRPr="00DB11A6">
        <w:rPr>
          <w:rFonts w:ascii="Arial" w:hAnsi="Arial" w:cs="Arial"/>
          <w:szCs w:val="22"/>
        </w:rPr>
        <w:t xml:space="preserve"> </w:t>
      </w:r>
      <w:r w:rsidR="00A30EC3" w:rsidRPr="00DB11A6">
        <w:rPr>
          <w:rFonts w:ascii="Arial" w:hAnsi="Arial" w:cs="Arial"/>
          <w:szCs w:val="22"/>
        </w:rPr>
        <w:t>year</w:t>
      </w:r>
      <w:r w:rsidR="006D4472" w:rsidRPr="00DB11A6">
        <w:rPr>
          <w:rFonts w:ascii="Arial" w:hAnsi="Arial" w:cs="Arial"/>
          <w:szCs w:val="22"/>
        </w:rPr>
        <w:t>s</w:t>
      </w:r>
      <w:r w:rsidR="00A9374C" w:rsidRPr="00DB11A6">
        <w:rPr>
          <w:rFonts w:ascii="Arial" w:hAnsi="Arial" w:cs="Arial"/>
          <w:szCs w:val="22"/>
        </w:rPr>
        <w:t xml:space="preserve"> prior to </w:t>
      </w:r>
      <w:r w:rsidR="002B3983" w:rsidRPr="00DB11A6">
        <w:rPr>
          <w:rFonts w:ascii="Arial" w:hAnsi="Arial" w:cs="Arial"/>
          <w:szCs w:val="22"/>
        </w:rPr>
        <w:t xml:space="preserve">PFCS </w:t>
      </w:r>
      <w:r w:rsidR="00A9374C" w:rsidRPr="00DB11A6">
        <w:rPr>
          <w:rFonts w:ascii="Arial" w:hAnsi="Arial" w:cs="Arial"/>
          <w:szCs w:val="22"/>
        </w:rPr>
        <w:lastRenderedPageBreak/>
        <w:t>diagnosis</w:t>
      </w:r>
      <w:r w:rsidR="007E1A42" w:rsidRPr="00DB11A6">
        <w:rPr>
          <w:rFonts w:ascii="Arial" w:hAnsi="Arial" w:cs="Arial"/>
          <w:szCs w:val="22"/>
        </w:rPr>
        <w:t>,</w:t>
      </w:r>
      <w:r w:rsidR="00A9374C" w:rsidRPr="00DB11A6">
        <w:rPr>
          <w:rFonts w:ascii="Arial" w:hAnsi="Arial" w:cs="Arial"/>
          <w:szCs w:val="22"/>
        </w:rPr>
        <w:t xml:space="preserve"> to 4.</w:t>
      </w:r>
      <w:r w:rsidR="00247405" w:rsidRPr="00DB11A6">
        <w:rPr>
          <w:rFonts w:ascii="Arial" w:hAnsi="Arial" w:cs="Arial"/>
          <w:szCs w:val="22"/>
        </w:rPr>
        <w:t xml:space="preserve">5 </w:t>
      </w:r>
      <w:r w:rsidR="00A9374C" w:rsidRPr="00DB11A6">
        <w:rPr>
          <w:rFonts w:ascii="Arial" w:hAnsi="Arial" w:cs="Arial"/>
          <w:szCs w:val="22"/>
        </w:rPr>
        <w:t>(1.</w:t>
      </w:r>
      <w:r w:rsidR="003B097A" w:rsidRPr="00DB11A6">
        <w:rPr>
          <w:rFonts w:ascii="Arial" w:hAnsi="Arial" w:cs="Arial"/>
          <w:szCs w:val="22"/>
        </w:rPr>
        <w:t>6</w:t>
      </w:r>
      <w:r w:rsidR="00515800" w:rsidRPr="00DB11A6">
        <w:rPr>
          <w:rFonts w:ascii="Arial" w:hAnsi="Arial" w:cs="Arial"/>
          <w:szCs w:val="22"/>
        </w:rPr>
        <w:t>)</w:t>
      </w:r>
      <w:r w:rsidR="00A9550C" w:rsidRPr="00DB11A6">
        <w:rPr>
          <w:rFonts w:ascii="Arial" w:hAnsi="Arial" w:cs="Arial"/>
          <w:szCs w:val="22"/>
        </w:rPr>
        <w:t xml:space="preserve"> </w:t>
      </w:r>
      <w:proofErr w:type="spellStart"/>
      <w:r w:rsidR="003545F1" w:rsidRPr="00DB11A6">
        <w:rPr>
          <w:rFonts w:ascii="Arial" w:hAnsi="Arial" w:cs="Arial"/>
          <w:szCs w:val="22"/>
        </w:rPr>
        <w:t>pppy</w:t>
      </w:r>
      <w:proofErr w:type="spellEnd"/>
      <w:r w:rsidR="00A9374C" w:rsidRPr="00DB11A6">
        <w:rPr>
          <w:rFonts w:ascii="Arial" w:hAnsi="Arial" w:cs="Arial"/>
          <w:szCs w:val="22"/>
        </w:rPr>
        <w:t xml:space="preserve"> </w:t>
      </w:r>
      <w:r w:rsidR="004C359E" w:rsidRPr="00DB11A6">
        <w:rPr>
          <w:rFonts w:ascii="Arial" w:hAnsi="Arial" w:cs="Arial"/>
          <w:szCs w:val="22"/>
        </w:rPr>
        <w:t>one</w:t>
      </w:r>
      <w:r w:rsidR="00A9374C" w:rsidRPr="00DB11A6">
        <w:rPr>
          <w:rFonts w:ascii="Arial" w:hAnsi="Arial" w:cs="Arial"/>
          <w:szCs w:val="22"/>
        </w:rPr>
        <w:t xml:space="preserve"> </w:t>
      </w:r>
      <w:r w:rsidR="00A30EC3" w:rsidRPr="00DB11A6">
        <w:rPr>
          <w:rFonts w:ascii="Arial" w:hAnsi="Arial" w:cs="Arial"/>
          <w:szCs w:val="22"/>
        </w:rPr>
        <w:t>year</w:t>
      </w:r>
      <w:r w:rsidR="00324EE3" w:rsidRPr="00DB11A6">
        <w:rPr>
          <w:rFonts w:ascii="Arial" w:hAnsi="Arial" w:cs="Arial"/>
          <w:szCs w:val="22"/>
        </w:rPr>
        <w:t xml:space="preserve"> pr</w:t>
      </w:r>
      <w:r w:rsidR="00A30EC3" w:rsidRPr="00DB11A6">
        <w:rPr>
          <w:rFonts w:ascii="Arial" w:hAnsi="Arial" w:cs="Arial"/>
          <w:szCs w:val="22"/>
        </w:rPr>
        <w:t>ior to</w:t>
      </w:r>
      <w:r w:rsidR="00324EE3" w:rsidRPr="00DB11A6">
        <w:rPr>
          <w:rFonts w:ascii="Arial" w:hAnsi="Arial" w:cs="Arial"/>
          <w:szCs w:val="22"/>
        </w:rPr>
        <w:t xml:space="preserve"> diagnosis</w:t>
      </w:r>
      <w:r w:rsidR="00952694" w:rsidRPr="00DB11A6">
        <w:rPr>
          <w:rFonts w:ascii="Arial" w:hAnsi="Arial" w:cs="Arial"/>
          <w:szCs w:val="22"/>
        </w:rPr>
        <w:t xml:space="preserve"> (Figure 3 and Table 2)</w:t>
      </w:r>
      <w:r w:rsidR="00324EE3" w:rsidRPr="00DB11A6">
        <w:rPr>
          <w:rFonts w:ascii="Arial" w:hAnsi="Arial" w:cs="Arial"/>
          <w:szCs w:val="22"/>
        </w:rPr>
        <w:t>.</w:t>
      </w:r>
      <w:r w:rsidR="00A9374C" w:rsidRPr="00DB11A6">
        <w:rPr>
          <w:rFonts w:ascii="Arial" w:hAnsi="Arial" w:cs="Arial"/>
          <w:szCs w:val="22"/>
        </w:rPr>
        <w:t xml:space="preserve"> </w:t>
      </w:r>
      <w:r w:rsidR="00BC18B1" w:rsidRPr="00DB11A6">
        <w:rPr>
          <w:rFonts w:ascii="Arial" w:hAnsi="Arial" w:cs="Arial"/>
          <w:szCs w:val="22"/>
        </w:rPr>
        <w:t>APCs for</w:t>
      </w:r>
      <w:r w:rsidR="00965C9D" w:rsidRPr="00DB11A6">
        <w:rPr>
          <w:rFonts w:ascii="Arial" w:hAnsi="Arial" w:cs="Arial"/>
          <w:szCs w:val="22"/>
        </w:rPr>
        <w:t xml:space="preserve"> </w:t>
      </w:r>
      <w:r w:rsidR="008B1E05" w:rsidRPr="00DB11A6">
        <w:rPr>
          <w:rFonts w:ascii="Arial" w:hAnsi="Arial" w:cs="Arial"/>
          <w:szCs w:val="22"/>
        </w:rPr>
        <w:t>LR consultations</w:t>
      </w:r>
      <w:r w:rsidR="00C3039E" w:rsidRPr="00DB11A6">
        <w:rPr>
          <w:rFonts w:ascii="Arial" w:hAnsi="Arial" w:cs="Arial"/>
          <w:szCs w:val="22"/>
        </w:rPr>
        <w:t xml:space="preserve"> </w:t>
      </w:r>
      <w:r w:rsidR="00BC18B1" w:rsidRPr="00DB11A6">
        <w:rPr>
          <w:rFonts w:ascii="Arial" w:hAnsi="Arial" w:cs="Arial"/>
          <w:szCs w:val="22"/>
        </w:rPr>
        <w:t xml:space="preserve">significantly increased </w:t>
      </w:r>
      <w:r w:rsidR="00C3039E" w:rsidRPr="00DB11A6">
        <w:rPr>
          <w:rFonts w:ascii="Arial" w:hAnsi="Arial" w:cs="Arial"/>
          <w:szCs w:val="22"/>
        </w:rPr>
        <w:t>two years prior to PFCS diagnosis (APCs for years 10–2 vs 2–1: 19.96% vs 199.72%; P=0.0002)</w:t>
      </w:r>
      <w:r w:rsidR="001A34A0" w:rsidRPr="00DB11A6">
        <w:rPr>
          <w:rFonts w:ascii="Arial" w:hAnsi="Arial" w:cs="Arial"/>
          <w:szCs w:val="22"/>
        </w:rPr>
        <w:t xml:space="preserve">. </w:t>
      </w:r>
      <w:r w:rsidR="002B3983" w:rsidRPr="00DB11A6">
        <w:rPr>
          <w:rFonts w:ascii="Arial" w:hAnsi="Arial" w:cs="Arial"/>
          <w:szCs w:val="22"/>
        </w:rPr>
        <w:t>A</w:t>
      </w:r>
      <w:r w:rsidR="00A9374C" w:rsidRPr="00DB11A6">
        <w:rPr>
          <w:rFonts w:ascii="Arial" w:hAnsi="Arial" w:cs="Arial"/>
          <w:szCs w:val="22"/>
        </w:rPr>
        <w:t xml:space="preserve">ntibiotic and </w:t>
      </w:r>
      <w:r w:rsidR="00ED5CF8" w:rsidRPr="00DB11A6">
        <w:rPr>
          <w:rFonts w:ascii="Arial" w:hAnsi="Arial" w:cs="Arial"/>
          <w:szCs w:val="22"/>
        </w:rPr>
        <w:t xml:space="preserve">acute </w:t>
      </w:r>
      <w:r w:rsidR="00A9374C" w:rsidRPr="00DB11A6">
        <w:rPr>
          <w:rFonts w:ascii="Arial" w:hAnsi="Arial" w:cs="Arial"/>
          <w:szCs w:val="22"/>
        </w:rPr>
        <w:t>oral steroid prescriptions for LR events increas</w:t>
      </w:r>
      <w:r w:rsidR="00324EE3" w:rsidRPr="00DB11A6">
        <w:rPr>
          <w:rFonts w:ascii="Arial" w:hAnsi="Arial" w:cs="Arial"/>
          <w:szCs w:val="22"/>
        </w:rPr>
        <w:t xml:space="preserve">ed over the </w:t>
      </w:r>
      <w:r w:rsidR="001D5E9F" w:rsidRPr="00DB11A6">
        <w:rPr>
          <w:rFonts w:ascii="Arial" w:hAnsi="Arial" w:cs="Arial"/>
          <w:szCs w:val="22"/>
        </w:rPr>
        <w:t>10</w:t>
      </w:r>
      <w:r w:rsidR="005D6B15" w:rsidRPr="00DB11A6">
        <w:rPr>
          <w:rFonts w:ascii="Arial" w:hAnsi="Arial" w:cs="Arial"/>
          <w:szCs w:val="22"/>
        </w:rPr>
        <w:t>-</w:t>
      </w:r>
      <w:r w:rsidR="00324EE3" w:rsidRPr="00DB11A6">
        <w:rPr>
          <w:rFonts w:ascii="Arial" w:hAnsi="Arial" w:cs="Arial"/>
          <w:szCs w:val="22"/>
        </w:rPr>
        <w:t>year period (0.08 [0.3] to 0.8</w:t>
      </w:r>
      <w:r w:rsidR="00324FE7" w:rsidRPr="00DB11A6">
        <w:rPr>
          <w:rFonts w:ascii="Arial" w:hAnsi="Arial" w:cs="Arial"/>
          <w:szCs w:val="22"/>
        </w:rPr>
        <w:t>1</w:t>
      </w:r>
      <w:r w:rsidR="00324EE3" w:rsidRPr="00DB11A6">
        <w:rPr>
          <w:rFonts w:ascii="Arial" w:hAnsi="Arial" w:cs="Arial"/>
          <w:szCs w:val="22"/>
        </w:rPr>
        <w:t xml:space="preserve"> [0.7] </w:t>
      </w:r>
      <w:proofErr w:type="spellStart"/>
      <w:r w:rsidR="003545F1" w:rsidRPr="00DB11A6">
        <w:rPr>
          <w:rFonts w:ascii="Arial" w:hAnsi="Arial" w:cs="Arial"/>
          <w:szCs w:val="22"/>
        </w:rPr>
        <w:t>pppy</w:t>
      </w:r>
      <w:proofErr w:type="spellEnd"/>
      <w:r w:rsidR="00A93F19" w:rsidRPr="00DB11A6">
        <w:rPr>
          <w:rFonts w:ascii="Arial" w:hAnsi="Arial" w:cs="Arial"/>
          <w:szCs w:val="22"/>
        </w:rPr>
        <w:t xml:space="preserve"> and</w:t>
      </w:r>
      <w:r w:rsidR="00324EE3" w:rsidRPr="00DB11A6">
        <w:rPr>
          <w:rFonts w:ascii="Arial" w:hAnsi="Arial" w:cs="Arial"/>
          <w:szCs w:val="22"/>
        </w:rPr>
        <w:t xml:space="preserve"> 0.0</w:t>
      </w:r>
      <w:r w:rsidR="00324FE7" w:rsidRPr="00DB11A6">
        <w:rPr>
          <w:rFonts w:ascii="Arial" w:hAnsi="Arial" w:cs="Arial"/>
          <w:szCs w:val="22"/>
        </w:rPr>
        <w:t>2</w:t>
      </w:r>
      <w:r w:rsidR="00324EE3" w:rsidRPr="00DB11A6">
        <w:rPr>
          <w:rFonts w:ascii="Arial" w:hAnsi="Arial" w:cs="Arial"/>
          <w:szCs w:val="22"/>
        </w:rPr>
        <w:t xml:space="preserve"> [0.2] to </w:t>
      </w:r>
      <w:r w:rsidR="00324FE7" w:rsidRPr="00DB11A6">
        <w:rPr>
          <w:rFonts w:ascii="Arial" w:hAnsi="Arial" w:cs="Arial"/>
          <w:szCs w:val="22"/>
        </w:rPr>
        <w:t>1.07</w:t>
      </w:r>
      <w:r w:rsidR="00324EE3" w:rsidRPr="00DB11A6">
        <w:rPr>
          <w:rFonts w:ascii="Arial" w:hAnsi="Arial" w:cs="Arial"/>
          <w:szCs w:val="22"/>
        </w:rPr>
        <w:t xml:space="preserve"> [0.7] </w:t>
      </w:r>
      <w:proofErr w:type="spellStart"/>
      <w:r w:rsidR="003545F1" w:rsidRPr="00DB11A6">
        <w:rPr>
          <w:rFonts w:ascii="Arial" w:hAnsi="Arial" w:cs="Arial"/>
          <w:szCs w:val="22"/>
        </w:rPr>
        <w:t>pppy</w:t>
      </w:r>
      <w:proofErr w:type="spellEnd"/>
      <w:r w:rsidR="00324EE3" w:rsidRPr="00DB11A6">
        <w:rPr>
          <w:rFonts w:ascii="Arial" w:hAnsi="Arial" w:cs="Arial"/>
          <w:szCs w:val="22"/>
        </w:rPr>
        <w:t>, respectively).</w:t>
      </w:r>
      <w:r w:rsidR="00524463" w:rsidRPr="00DB11A6">
        <w:rPr>
          <w:rFonts w:ascii="Arial" w:hAnsi="Arial" w:cs="Arial"/>
          <w:szCs w:val="22"/>
        </w:rPr>
        <w:t xml:space="preserve"> </w:t>
      </w:r>
      <w:r w:rsidR="003F207B" w:rsidRPr="00DB11A6">
        <w:rPr>
          <w:rFonts w:ascii="Arial" w:hAnsi="Arial" w:cs="Arial"/>
          <w:szCs w:val="22"/>
        </w:rPr>
        <w:t>APC</w:t>
      </w:r>
      <w:r w:rsidR="00711F8A" w:rsidRPr="00DB11A6">
        <w:rPr>
          <w:rFonts w:ascii="Arial" w:hAnsi="Arial" w:cs="Arial"/>
          <w:szCs w:val="22"/>
        </w:rPr>
        <w:t>s</w:t>
      </w:r>
      <w:r w:rsidR="003F207B" w:rsidRPr="00DB11A6">
        <w:rPr>
          <w:rFonts w:ascii="Arial" w:hAnsi="Arial" w:cs="Arial"/>
          <w:szCs w:val="22"/>
        </w:rPr>
        <w:t xml:space="preserve"> </w:t>
      </w:r>
      <w:r w:rsidR="00965C9D" w:rsidRPr="00DB11A6">
        <w:rPr>
          <w:rFonts w:ascii="Arial" w:hAnsi="Arial" w:cs="Arial"/>
          <w:szCs w:val="22"/>
        </w:rPr>
        <w:t>for</w:t>
      </w:r>
      <w:r w:rsidR="003F207B" w:rsidRPr="00DB11A6">
        <w:rPr>
          <w:rFonts w:ascii="Arial" w:hAnsi="Arial" w:cs="Arial"/>
          <w:szCs w:val="22"/>
        </w:rPr>
        <w:t xml:space="preserve"> antibiotic</w:t>
      </w:r>
      <w:r w:rsidR="00711F8A" w:rsidRPr="00DB11A6">
        <w:rPr>
          <w:rFonts w:ascii="Arial" w:hAnsi="Arial" w:cs="Arial"/>
          <w:szCs w:val="22"/>
        </w:rPr>
        <w:t xml:space="preserve"> and acute steroid</w:t>
      </w:r>
      <w:r w:rsidR="003F207B" w:rsidRPr="00DB11A6">
        <w:rPr>
          <w:rFonts w:ascii="Arial" w:hAnsi="Arial" w:cs="Arial"/>
          <w:szCs w:val="22"/>
        </w:rPr>
        <w:t xml:space="preserve"> prescriptions</w:t>
      </w:r>
      <w:r w:rsidR="009A5843" w:rsidRPr="00DB11A6">
        <w:rPr>
          <w:rFonts w:ascii="Arial" w:hAnsi="Arial" w:cs="Arial"/>
          <w:szCs w:val="22"/>
        </w:rPr>
        <w:t xml:space="preserve"> significantly increased two years </w:t>
      </w:r>
      <w:r w:rsidR="009B3BA0" w:rsidRPr="00DB11A6">
        <w:rPr>
          <w:rFonts w:ascii="Arial" w:hAnsi="Arial" w:cs="Arial"/>
          <w:szCs w:val="22"/>
        </w:rPr>
        <w:t>(</w:t>
      </w:r>
      <w:r w:rsidR="00120D47" w:rsidRPr="00DB11A6">
        <w:rPr>
          <w:rFonts w:ascii="Arial" w:hAnsi="Arial" w:cs="Arial"/>
          <w:szCs w:val="22"/>
        </w:rPr>
        <w:t>APC</w:t>
      </w:r>
      <w:r w:rsidR="009B3BA0" w:rsidRPr="00DB11A6">
        <w:rPr>
          <w:rFonts w:ascii="Arial" w:hAnsi="Arial" w:cs="Arial"/>
          <w:szCs w:val="22"/>
        </w:rPr>
        <w:t>s for years</w:t>
      </w:r>
      <w:r w:rsidR="003F207B" w:rsidRPr="00DB11A6">
        <w:rPr>
          <w:rFonts w:ascii="Arial" w:hAnsi="Arial" w:cs="Arial"/>
          <w:szCs w:val="22"/>
        </w:rPr>
        <w:t xml:space="preserve"> 10–2 </w:t>
      </w:r>
      <w:r w:rsidR="009B3BA0" w:rsidRPr="00DB11A6">
        <w:rPr>
          <w:rFonts w:ascii="Arial" w:hAnsi="Arial" w:cs="Arial"/>
          <w:szCs w:val="22"/>
        </w:rPr>
        <w:t xml:space="preserve">vs 2–1: </w:t>
      </w:r>
      <w:r w:rsidR="00FE6A57" w:rsidRPr="00DB11A6">
        <w:rPr>
          <w:rFonts w:ascii="Arial" w:hAnsi="Arial" w:cs="Arial"/>
          <w:szCs w:val="22"/>
        </w:rPr>
        <w:t>20.70%</w:t>
      </w:r>
      <w:r w:rsidR="009B3BA0" w:rsidRPr="00DB11A6">
        <w:rPr>
          <w:rFonts w:ascii="Arial" w:hAnsi="Arial" w:cs="Arial"/>
          <w:szCs w:val="22"/>
        </w:rPr>
        <w:t xml:space="preserve"> vs </w:t>
      </w:r>
      <w:r w:rsidR="00FE6A57" w:rsidRPr="00DB11A6">
        <w:rPr>
          <w:rFonts w:ascii="Arial" w:hAnsi="Arial" w:cs="Arial"/>
          <w:szCs w:val="22"/>
        </w:rPr>
        <w:t>118.72%</w:t>
      </w:r>
      <w:r w:rsidR="009B3BA0" w:rsidRPr="00DB11A6">
        <w:rPr>
          <w:rFonts w:ascii="Arial" w:hAnsi="Arial" w:cs="Arial"/>
          <w:szCs w:val="22"/>
        </w:rPr>
        <w:t xml:space="preserve">; </w:t>
      </w:r>
      <w:r w:rsidR="003F207B" w:rsidRPr="00DB11A6">
        <w:rPr>
          <w:rFonts w:ascii="Arial" w:hAnsi="Arial" w:cs="Arial"/>
          <w:szCs w:val="22"/>
        </w:rPr>
        <w:t>P=0.00</w:t>
      </w:r>
      <w:r w:rsidR="00220655" w:rsidRPr="00DB11A6">
        <w:rPr>
          <w:rFonts w:ascii="Arial" w:hAnsi="Arial" w:cs="Arial"/>
          <w:szCs w:val="22"/>
        </w:rPr>
        <w:t>0</w:t>
      </w:r>
      <w:r w:rsidR="003F207B" w:rsidRPr="00DB11A6">
        <w:rPr>
          <w:rFonts w:ascii="Arial" w:hAnsi="Arial" w:cs="Arial"/>
          <w:szCs w:val="22"/>
        </w:rPr>
        <w:t>2)</w:t>
      </w:r>
      <w:r w:rsidR="009B3BA0" w:rsidRPr="00DB11A6">
        <w:rPr>
          <w:rFonts w:ascii="Arial" w:hAnsi="Arial" w:cs="Arial"/>
          <w:szCs w:val="22"/>
        </w:rPr>
        <w:t xml:space="preserve"> and three years (</w:t>
      </w:r>
      <w:r w:rsidR="00711F8A" w:rsidRPr="00DB11A6">
        <w:rPr>
          <w:rFonts w:ascii="Arial" w:hAnsi="Arial" w:cs="Arial"/>
          <w:szCs w:val="22"/>
        </w:rPr>
        <w:t>APCs for years 10–3 vs 3–1: 36.92% vs 151.27%; P=0.0024</w:t>
      </w:r>
      <w:r w:rsidR="009B3BA0" w:rsidRPr="00DB11A6">
        <w:rPr>
          <w:rFonts w:ascii="Arial" w:hAnsi="Arial" w:cs="Arial"/>
          <w:szCs w:val="22"/>
        </w:rPr>
        <w:t>)</w:t>
      </w:r>
      <w:r w:rsidR="00BC18B1" w:rsidRPr="00DB11A6">
        <w:rPr>
          <w:rFonts w:ascii="Arial" w:hAnsi="Arial" w:cs="Arial"/>
          <w:szCs w:val="22"/>
        </w:rPr>
        <w:t xml:space="preserve"> prior to PFCS diagnosis</w:t>
      </w:r>
      <w:r w:rsidR="00711F8A" w:rsidRPr="00DB11A6">
        <w:rPr>
          <w:rFonts w:ascii="Arial" w:hAnsi="Arial" w:cs="Arial"/>
          <w:szCs w:val="22"/>
        </w:rPr>
        <w:t xml:space="preserve">, respectively. </w:t>
      </w:r>
      <w:r w:rsidR="00897FBC" w:rsidRPr="00DB11A6">
        <w:rPr>
          <w:rFonts w:ascii="Arial" w:hAnsi="Arial" w:cs="Arial"/>
          <w:szCs w:val="22"/>
        </w:rPr>
        <w:t>These t</w:t>
      </w:r>
      <w:r w:rsidR="00981441" w:rsidRPr="00DB11A6">
        <w:rPr>
          <w:rFonts w:ascii="Arial" w:hAnsi="Arial" w:cs="Arial"/>
          <w:szCs w:val="22"/>
        </w:rPr>
        <w:t>rends</w:t>
      </w:r>
      <w:r w:rsidR="00EA2958" w:rsidRPr="00DB11A6">
        <w:rPr>
          <w:rFonts w:ascii="Arial" w:hAnsi="Arial" w:cs="Arial"/>
          <w:szCs w:val="22"/>
        </w:rPr>
        <w:t xml:space="preserve"> </w:t>
      </w:r>
      <w:r w:rsidR="009A30FD" w:rsidRPr="00DB11A6">
        <w:rPr>
          <w:rFonts w:ascii="Arial" w:hAnsi="Arial" w:cs="Arial"/>
          <w:szCs w:val="22"/>
        </w:rPr>
        <w:t>w</w:t>
      </w:r>
      <w:r w:rsidR="00EA2958" w:rsidRPr="00DB11A6">
        <w:rPr>
          <w:rFonts w:ascii="Arial" w:hAnsi="Arial" w:cs="Arial"/>
          <w:szCs w:val="22"/>
        </w:rPr>
        <w:t>ere</w:t>
      </w:r>
      <w:r w:rsidR="006D7AEB" w:rsidRPr="00DB11A6">
        <w:rPr>
          <w:rFonts w:ascii="Arial" w:hAnsi="Arial" w:cs="Arial"/>
          <w:szCs w:val="22"/>
        </w:rPr>
        <w:t xml:space="preserve"> </w:t>
      </w:r>
      <w:r w:rsidR="009A30FD" w:rsidRPr="00DB11A6">
        <w:rPr>
          <w:rFonts w:ascii="Arial" w:hAnsi="Arial" w:cs="Arial"/>
          <w:szCs w:val="22"/>
        </w:rPr>
        <w:t>consistent in the</w:t>
      </w:r>
      <w:r w:rsidR="00A44C91" w:rsidRPr="00DB11A6">
        <w:rPr>
          <w:rFonts w:ascii="Arial" w:hAnsi="Arial" w:cs="Arial"/>
          <w:szCs w:val="22"/>
        </w:rPr>
        <w:t xml:space="preserve"> </w:t>
      </w:r>
      <w:r w:rsidR="001C6FB0" w:rsidRPr="00DB11A6">
        <w:rPr>
          <w:rFonts w:ascii="Arial" w:hAnsi="Arial" w:cs="Arial"/>
          <w:szCs w:val="22"/>
        </w:rPr>
        <w:t>I</w:t>
      </w:r>
      <w:r w:rsidR="00A44C91" w:rsidRPr="00DB11A6">
        <w:rPr>
          <w:rFonts w:ascii="Arial" w:hAnsi="Arial" w:cs="Arial"/>
          <w:szCs w:val="22"/>
        </w:rPr>
        <w:t>PFCS</w:t>
      </w:r>
      <w:r w:rsidR="009A30FD" w:rsidRPr="00DB11A6">
        <w:rPr>
          <w:rFonts w:ascii="Arial" w:hAnsi="Arial" w:cs="Arial"/>
          <w:szCs w:val="22"/>
        </w:rPr>
        <w:t xml:space="preserve"> cohort (</w:t>
      </w:r>
      <w:r w:rsidR="00DB6A26">
        <w:rPr>
          <w:rFonts w:ascii="Arial" w:hAnsi="Arial" w:cs="Arial"/>
          <w:szCs w:val="22"/>
        </w:rPr>
        <w:t xml:space="preserve">Supplementary </w:t>
      </w:r>
      <w:r w:rsidR="00DC3C3F" w:rsidRPr="00DB11A6">
        <w:rPr>
          <w:rFonts w:ascii="Arial" w:hAnsi="Arial" w:cs="Arial"/>
          <w:szCs w:val="22"/>
        </w:rPr>
        <w:t>Figure S3 and Table S4</w:t>
      </w:r>
      <w:r w:rsidR="009A30FD" w:rsidRPr="00DB11A6">
        <w:rPr>
          <w:rFonts w:ascii="Arial" w:hAnsi="Arial" w:cs="Arial"/>
          <w:szCs w:val="22"/>
        </w:rPr>
        <w:t>).</w:t>
      </w:r>
      <w:r w:rsidR="00332779" w:rsidRPr="00DB11A6">
        <w:rPr>
          <w:rFonts w:ascii="Arial" w:hAnsi="Arial" w:cs="Arial"/>
          <w:szCs w:val="22"/>
        </w:rPr>
        <w:t xml:space="preserve"> </w:t>
      </w:r>
    </w:p>
    <w:p w14:paraId="67AE9947" w14:textId="77777777" w:rsidR="00324EE3" w:rsidRPr="00DB11A6" w:rsidRDefault="00324EE3" w:rsidP="00306C71">
      <w:pPr>
        <w:spacing w:line="480" w:lineRule="auto"/>
        <w:contextualSpacing/>
        <w:rPr>
          <w:rFonts w:ascii="Arial" w:hAnsi="Arial" w:cs="Arial"/>
          <w:szCs w:val="22"/>
        </w:rPr>
      </w:pPr>
    </w:p>
    <w:p w14:paraId="303B1DDF" w14:textId="66D27867" w:rsidR="001425C1" w:rsidRPr="00DB11A6" w:rsidRDefault="00AA0D37" w:rsidP="00306C71">
      <w:pPr>
        <w:spacing w:line="480" w:lineRule="auto"/>
        <w:contextualSpacing/>
        <w:rPr>
          <w:rFonts w:ascii="Arial" w:hAnsi="Arial" w:cs="Arial"/>
          <w:szCs w:val="22"/>
        </w:rPr>
      </w:pPr>
      <w:r w:rsidRPr="00DB11A6">
        <w:rPr>
          <w:rFonts w:ascii="Arial" w:hAnsi="Arial" w:cs="Arial"/>
          <w:szCs w:val="22"/>
        </w:rPr>
        <w:t>APC</w:t>
      </w:r>
      <w:r w:rsidR="00885F3B" w:rsidRPr="00DB11A6">
        <w:rPr>
          <w:rFonts w:ascii="Arial" w:hAnsi="Arial" w:cs="Arial"/>
          <w:szCs w:val="22"/>
        </w:rPr>
        <w:t xml:space="preserve"> </w:t>
      </w:r>
      <w:r w:rsidRPr="00DB11A6">
        <w:rPr>
          <w:rFonts w:ascii="Arial" w:hAnsi="Arial" w:cs="Arial"/>
          <w:szCs w:val="22"/>
        </w:rPr>
        <w:t>for</w:t>
      </w:r>
      <w:r w:rsidR="00885F3B" w:rsidRPr="00DB11A6">
        <w:rPr>
          <w:rFonts w:ascii="Arial" w:hAnsi="Arial" w:cs="Arial"/>
          <w:szCs w:val="22"/>
        </w:rPr>
        <w:t xml:space="preserve"> secondary care contacts </w:t>
      </w:r>
      <w:r w:rsidR="00473E8D" w:rsidRPr="00DB11A6">
        <w:rPr>
          <w:rFonts w:ascii="Arial" w:hAnsi="Arial" w:cs="Arial"/>
          <w:szCs w:val="22"/>
        </w:rPr>
        <w:t xml:space="preserve">for </w:t>
      </w:r>
      <w:r w:rsidR="00885F3B" w:rsidRPr="00DB11A6">
        <w:rPr>
          <w:rFonts w:ascii="Arial" w:hAnsi="Arial" w:cs="Arial"/>
          <w:szCs w:val="22"/>
        </w:rPr>
        <w:t>LR complaints (hospital admissions or ER attendances)</w:t>
      </w:r>
      <w:r w:rsidR="00A60E3D" w:rsidRPr="00DB11A6">
        <w:rPr>
          <w:rFonts w:ascii="Arial" w:hAnsi="Arial" w:cs="Arial"/>
          <w:szCs w:val="22"/>
        </w:rPr>
        <w:t xml:space="preserve"> </w:t>
      </w:r>
      <w:r w:rsidRPr="00DB11A6">
        <w:rPr>
          <w:rFonts w:ascii="Arial" w:hAnsi="Arial" w:cs="Arial"/>
          <w:szCs w:val="22"/>
        </w:rPr>
        <w:t>w</w:t>
      </w:r>
      <w:r w:rsidR="00C91082" w:rsidRPr="00DB11A6">
        <w:rPr>
          <w:rFonts w:ascii="Arial" w:hAnsi="Arial" w:cs="Arial"/>
          <w:szCs w:val="22"/>
        </w:rPr>
        <w:t>as</w:t>
      </w:r>
      <w:r w:rsidRPr="00DB11A6">
        <w:rPr>
          <w:rFonts w:ascii="Arial" w:hAnsi="Arial" w:cs="Arial"/>
          <w:szCs w:val="22"/>
        </w:rPr>
        <w:t xml:space="preserve"> 0.00%</w:t>
      </w:r>
      <w:r w:rsidR="00A60E3D" w:rsidRPr="00DB11A6">
        <w:rPr>
          <w:rFonts w:ascii="Arial" w:hAnsi="Arial" w:cs="Arial"/>
          <w:szCs w:val="22"/>
        </w:rPr>
        <w:t xml:space="preserve"> </w:t>
      </w:r>
      <w:r w:rsidR="004F76B5" w:rsidRPr="00DB11A6">
        <w:rPr>
          <w:rFonts w:ascii="Arial" w:hAnsi="Arial" w:cs="Arial"/>
          <w:szCs w:val="22"/>
        </w:rPr>
        <w:t xml:space="preserve">until </w:t>
      </w:r>
      <w:r w:rsidR="00BC0924" w:rsidRPr="00DB11A6">
        <w:rPr>
          <w:rFonts w:ascii="Arial" w:hAnsi="Arial" w:cs="Arial"/>
          <w:szCs w:val="22"/>
        </w:rPr>
        <w:t>two</w:t>
      </w:r>
      <w:r w:rsidR="004F76B5" w:rsidRPr="00DB11A6">
        <w:rPr>
          <w:rFonts w:ascii="Arial" w:hAnsi="Arial" w:cs="Arial"/>
          <w:szCs w:val="22"/>
        </w:rPr>
        <w:t xml:space="preserve"> year</w:t>
      </w:r>
      <w:r w:rsidR="00BC0924" w:rsidRPr="00DB11A6">
        <w:rPr>
          <w:rFonts w:ascii="Arial" w:hAnsi="Arial" w:cs="Arial"/>
          <w:szCs w:val="22"/>
        </w:rPr>
        <w:t>s</w:t>
      </w:r>
      <w:r w:rsidR="004F76B5" w:rsidRPr="00DB11A6">
        <w:rPr>
          <w:rFonts w:ascii="Arial" w:hAnsi="Arial" w:cs="Arial"/>
          <w:szCs w:val="22"/>
        </w:rPr>
        <w:t xml:space="preserve"> prior to PFCS diagnosis</w:t>
      </w:r>
      <w:r w:rsidR="00473E8D" w:rsidRPr="00DB11A6">
        <w:rPr>
          <w:rFonts w:ascii="Arial" w:hAnsi="Arial" w:cs="Arial"/>
          <w:szCs w:val="22"/>
        </w:rPr>
        <w:t>.</w:t>
      </w:r>
      <w:r w:rsidR="00EF750A" w:rsidRPr="00DB11A6">
        <w:rPr>
          <w:rFonts w:ascii="Arial" w:hAnsi="Arial" w:cs="Arial"/>
          <w:szCs w:val="22"/>
        </w:rPr>
        <w:t xml:space="preserve"> </w:t>
      </w:r>
      <w:r w:rsidR="00BC0924" w:rsidRPr="00DB11A6">
        <w:rPr>
          <w:rFonts w:ascii="Arial" w:hAnsi="Arial" w:cs="Arial"/>
          <w:szCs w:val="22"/>
        </w:rPr>
        <w:t xml:space="preserve">For </w:t>
      </w:r>
      <w:r w:rsidR="00473E8D" w:rsidRPr="00DB11A6">
        <w:rPr>
          <w:rFonts w:ascii="Arial" w:hAnsi="Arial" w:cs="Arial"/>
          <w:szCs w:val="22"/>
        </w:rPr>
        <w:t xml:space="preserve">years </w:t>
      </w:r>
      <w:r w:rsidR="004F76B5" w:rsidRPr="00DB11A6">
        <w:rPr>
          <w:rFonts w:ascii="Arial" w:hAnsi="Arial" w:cs="Arial"/>
          <w:szCs w:val="22"/>
        </w:rPr>
        <w:t>2–1</w:t>
      </w:r>
      <w:r w:rsidRPr="00DB11A6">
        <w:rPr>
          <w:rFonts w:ascii="Arial" w:hAnsi="Arial" w:cs="Arial"/>
          <w:szCs w:val="22"/>
        </w:rPr>
        <w:t xml:space="preserve"> prior to PFCS diagnosis</w:t>
      </w:r>
      <w:r w:rsidR="008E56AF" w:rsidRPr="00DB11A6">
        <w:rPr>
          <w:rFonts w:ascii="Arial" w:hAnsi="Arial" w:cs="Arial"/>
          <w:szCs w:val="22"/>
        </w:rPr>
        <w:t xml:space="preserve">, </w:t>
      </w:r>
      <w:r w:rsidR="00473E8D" w:rsidRPr="00DB11A6">
        <w:rPr>
          <w:rFonts w:ascii="Arial" w:hAnsi="Arial" w:cs="Arial"/>
          <w:szCs w:val="22"/>
        </w:rPr>
        <w:t xml:space="preserve">an APC </w:t>
      </w:r>
      <w:r w:rsidR="004F76B5" w:rsidRPr="00DB11A6">
        <w:rPr>
          <w:rFonts w:ascii="Arial" w:hAnsi="Arial" w:cs="Arial"/>
          <w:szCs w:val="22"/>
        </w:rPr>
        <w:t>of 700.00%</w:t>
      </w:r>
      <w:r w:rsidR="00EF750A" w:rsidRPr="00DB11A6">
        <w:rPr>
          <w:rFonts w:ascii="Arial" w:hAnsi="Arial" w:cs="Arial"/>
          <w:szCs w:val="22"/>
        </w:rPr>
        <w:t xml:space="preserve"> was observed</w:t>
      </w:r>
      <w:r w:rsidR="009913A2" w:rsidRPr="00DB11A6">
        <w:rPr>
          <w:rFonts w:ascii="Arial" w:hAnsi="Arial" w:cs="Arial"/>
          <w:szCs w:val="22"/>
        </w:rPr>
        <w:t xml:space="preserve"> (Figure 3 and Table 2)</w:t>
      </w:r>
      <w:r w:rsidR="004F76B5" w:rsidRPr="00DB11A6">
        <w:rPr>
          <w:rFonts w:ascii="Arial" w:hAnsi="Arial" w:cs="Arial"/>
          <w:szCs w:val="20"/>
        </w:rPr>
        <w:t>.</w:t>
      </w:r>
      <w:r w:rsidR="00885F3B" w:rsidRPr="00DB11A6">
        <w:rPr>
          <w:rFonts w:ascii="Arial" w:hAnsi="Arial" w:cs="Arial"/>
          <w:szCs w:val="20"/>
        </w:rPr>
        <w:t xml:space="preserve"> </w:t>
      </w:r>
      <w:r w:rsidR="005B33AC" w:rsidRPr="00DB11A6">
        <w:rPr>
          <w:rFonts w:ascii="Arial" w:hAnsi="Arial" w:cs="Arial"/>
          <w:szCs w:val="22"/>
        </w:rPr>
        <w:t xml:space="preserve">This was consistent in the IPFCS cohort </w:t>
      </w:r>
      <w:proofErr w:type="gramStart"/>
      <w:r w:rsidR="005B33AC" w:rsidRPr="00DB11A6">
        <w:rPr>
          <w:rFonts w:ascii="Arial" w:hAnsi="Arial" w:cs="Arial"/>
          <w:szCs w:val="22"/>
        </w:rPr>
        <w:t>(</w:t>
      </w:r>
      <w:r w:rsidR="00DB6A26">
        <w:rPr>
          <w:rFonts w:ascii="Arial" w:hAnsi="Arial" w:cs="Arial"/>
          <w:szCs w:val="22"/>
        </w:rPr>
        <w:t xml:space="preserve"> Supplementary</w:t>
      </w:r>
      <w:proofErr w:type="gramEnd"/>
      <w:r w:rsidR="00DB6A26" w:rsidRPr="00DB11A6">
        <w:rPr>
          <w:rFonts w:ascii="Arial" w:hAnsi="Arial" w:cs="Arial"/>
          <w:szCs w:val="22"/>
        </w:rPr>
        <w:t xml:space="preserve"> </w:t>
      </w:r>
      <w:r w:rsidR="005B33AC" w:rsidRPr="00DB11A6">
        <w:rPr>
          <w:rFonts w:ascii="Arial" w:hAnsi="Arial" w:cs="Arial"/>
          <w:szCs w:val="22"/>
        </w:rPr>
        <w:t xml:space="preserve">Figure S3 and Table S4). </w:t>
      </w:r>
      <w:r w:rsidR="00711ACF" w:rsidRPr="00DB11A6">
        <w:rPr>
          <w:rFonts w:ascii="Arial" w:hAnsi="Arial" w:cs="Arial"/>
          <w:szCs w:val="20"/>
        </w:rPr>
        <w:t xml:space="preserve">A </w:t>
      </w:r>
      <w:r w:rsidR="00885F3B" w:rsidRPr="00DB11A6">
        <w:rPr>
          <w:rFonts w:ascii="Arial" w:hAnsi="Arial" w:cs="Arial"/>
          <w:szCs w:val="20"/>
        </w:rPr>
        <w:t>3-fold increase in pneumonia in the two years immediately prior to PFCS diagnosis</w:t>
      </w:r>
      <w:r w:rsidR="00711ACF" w:rsidRPr="00DB11A6">
        <w:rPr>
          <w:rFonts w:ascii="Arial" w:hAnsi="Arial" w:cs="Arial"/>
          <w:szCs w:val="20"/>
        </w:rPr>
        <w:t xml:space="preserve"> was also observed</w:t>
      </w:r>
      <w:r w:rsidR="00885F3B" w:rsidRPr="00DB11A6">
        <w:rPr>
          <w:rFonts w:ascii="Arial" w:hAnsi="Arial" w:cs="Arial"/>
          <w:szCs w:val="20"/>
        </w:rPr>
        <w:t xml:space="preserve"> (data not shown)</w:t>
      </w:r>
      <w:r w:rsidR="00885F3B" w:rsidRPr="00DB11A6">
        <w:rPr>
          <w:rFonts w:ascii="Arial" w:hAnsi="Arial" w:cs="Arial"/>
          <w:szCs w:val="22"/>
        </w:rPr>
        <w:t>.</w:t>
      </w:r>
      <w:r w:rsidR="004F76B5" w:rsidRPr="00DB11A6">
        <w:rPr>
          <w:rFonts w:ascii="Arial" w:hAnsi="Arial" w:cs="Arial"/>
          <w:szCs w:val="22"/>
        </w:rPr>
        <w:t xml:space="preserve"> </w:t>
      </w:r>
      <w:r w:rsidR="007649B0" w:rsidRPr="00DB11A6">
        <w:rPr>
          <w:rFonts w:ascii="Arial" w:hAnsi="Arial" w:cs="Arial"/>
          <w:szCs w:val="22"/>
        </w:rPr>
        <w:t>C</w:t>
      </w:r>
      <w:r w:rsidR="0019010A" w:rsidRPr="00DB11A6">
        <w:rPr>
          <w:rFonts w:ascii="Arial" w:hAnsi="Arial" w:cs="Arial"/>
          <w:szCs w:val="22"/>
        </w:rPr>
        <w:t>hest X-rays</w:t>
      </w:r>
      <w:r w:rsidR="00A93F19" w:rsidRPr="00DB11A6">
        <w:rPr>
          <w:rFonts w:ascii="Arial" w:hAnsi="Arial" w:cs="Arial"/>
          <w:szCs w:val="22"/>
        </w:rPr>
        <w:t xml:space="preserve"> (CXR</w:t>
      </w:r>
      <w:r w:rsidR="0088398B" w:rsidRPr="00DB11A6">
        <w:rPr>
          <w:rFonts w:ascii="Arial" w:hAnsi="Arial" w:cs="Arial"/>
          <w:szCs w:val="22"/>
        </w:rPr>
        <w:t>s</w:t>
      </w:r>
      <w:r w:rsidR="00A93F19" w:rsidRPr="00DB11A6">
        <w:rPr>
          <w:rFonts w:ascii="Arial" w:hAnsi="Arial" w:cs="Arial"/>
          <w:szCs w:val="22"/>
        </w:rPr>
        <w:t>)</w:t>
      </w:r>
      <w:r w:rsidR="0019010A" w:rsidRPr="00DB11A6">
        <w:rPr>
          <w:rFonts w:ascii="Arial" w:hAnsi="Arial" w:cs="Arial"/>
          <w:szCs w:val="22"/>
        </w:rPr>
        <w:t xml:space="preserve"> </w:t>
      </w:r>
      <w:r w:rsidR="007649B0" w:rsidRPr="00DB11A6">
        <w:rPr>
          <w:rFonts w:ascii="Arial" w:hAnsi="Arial" w:cs="Arial"/>
          <w:szCs w:val="22"/>
        </w:rPr>
        <w:t>increased 10-fold</w:t>
      </w:r>
      <w:r w:rsidR="0019010A" w:rsidRPr="00DB11A6">
        <w:rPr>
          <w:rFonts w:ascii="Arial" w:hAnsi="Arial" w:cs="Arial"/>
          <w:szCs w:val="22"/>
        </w:rPr>
        <w:t xml:space="preserve"> </w:t>
      </w:r>
      <w:r w:rsidR="007649B0" w:rsidRPr="00DB11A6">
        <w:rPr>
          <w:rFonts w:ascii="Arial" w:hAnsi="Arial" w:cs="Arial"/>
          <w:szCs w:val="22"/>
        </w:rPr>
        <w:t xml:space="preserve">from </w:t>
      </w:r>
      <w:r w:rsidR="00B60A04" w:rsidRPr="00DB11A6">
        <w:rPr>
          <w:rFonts w:ascii="Arial" w:hAnsi="Arial" w:cs="Arial"/>
          <w:szCs w:val="22"/>
        </w:rPr>
        <w:t>10</w:t>
      </w:r>
      <w:r w:rsidR="00F50C3F" w:rsidRPr="00DB11A6">
        <w:rPr>
          <w:rFonts w:ascii="Arial" w:hAnsi="Arial" w:cs="Arial"/>
          <w:szCs w:val="22"/>
        </w:rPr>
        <w:t xml:space="preserve"> </w:t>
      </w:r>
      <w:r w:rsidR="0019010A" w:rsidRPr="00DB11A6">
        <w:rPr>
          <w:rFonts w:ascii="Arial" w:hAnsi="Arial" w:cs="Arial"/>
          <w:szCs w:val="22"/>
        </w:rPr>
        <w:t>year</w:t>
      </w:r>
      <w:r w:rsidR="006D4472" w:rsidRPr="00DB11A6">
        <w:rPr>
          <w:rFonts w:ascii="Arial" w:hAnsi="Arial" w:cs="Arial"/>
          <w:szCs w:val="22"/>
        </w:rPr>
        <w:t>s</w:t>
      </w:r>
      <w:r w:rsidR="0019010A" w:rsidRPr="00DB11A6">
        <w:rPr>
          <w:rFonts w:ascii="Arial" w:hAnsi="Arial" w:cs="Arial"/>
          <w:szCs w:val="22"/>
        </w:rPr>
        <w:t xml:space="preserve"> </w:t>
      </w:r>
      <w:r w:rsidR="007649B0" w:rsidRPr="00DB11A6">
        <w:rPr>
          <w:rFonts w:ascii="Arial" w:hAnsi="Arial" w:cs="Arial"/>
          <w:szCs w:val="22"/>
        </w:rPr>
        <w:t>to one year prior</w:t>
      </w:r>
      <w:r w:rsidR="00E73EC3" w:rsidRPr="00DB11A6">
        <w:rPr>
          <w:rFonts w:ascii="Arial" w:hAnsi="Arial" w:cs="Arial"/>
          <w:szCs w:val="22"/>
        </w:rPr>
        <w:t xml:space="preserve"> to </w:t>
      </w:r>
      <w:r w:rsidR="007649B0" w:rsidRPr="00DB11A6">
        <w:rPr>
          <w:rFonts w:ascii="Arial" w:hAnsi="Arial" w:cs="Arial"/>
          <w:szCs w:val="22"/>
        </w:rPr>
        <w:t xml:space="preserve">PFCS </w:t>
      </w:r>
      <w:r w:rsidR="00E73EC3" w:rsidRPr="00DB11A6">
        <w:rPr>
          <w:rFonts w:ascii="Arial" w:hAnsi="Arial" w:cs="Arial"/>
          <w:szCs w:val="22"/>
        </w:rPr>
        <w:t>diagnosis</w:t>
      </w:r>
      <w:r w:rsidR="00E73EC3" w:rsidRPr="00DB11A6" w:rsidDel="00E73EC3">
        <w:rPr>
          <w:rFonts w:ascii="Arial" w:hAnsi="Arial" w:cs="Arial"/>
          <w:szCs w:val="22"/>
        </w:rPr>
        <w:t xml:space="preserve"> </w:t>
      </w:r>
      <w:r w:rsidR="00324EE3" w:rsidRPr="00DB11A6">
        <w:rPr>
          <w:rFonts w:ascii="Arial" w:hAnsi="Arial" w:cs="Arial"/>
          <w:szCs w:val="22"/>
        </w:rPr>
        <w:t xml:space="preserve">(mean [SD] </w:t>
      </w:r>
      <w:r w:rsidR="007649B0" w:rsidRPr="00DB11A6">
        <w:rPr>
          <w:rFonts w:ascii="Arial" w:hAnsi="Arial" w:cs="Arial"/>
          <w:szCs w:val="22"/>
        </w:rPr>
        <w:t>CXR</w:t>
      </w:r>
      <w:r w:rsidR="0088398B" w:rsidRPr="00DB11A6">
        <w:rPr>
          <w:rFonts w:ascii="Arial" w:hAnsi="Arial" w:cs="Arial"/>
          <w:szCs w:val="22"/>
        </w:rPr>
        <w:t>s</w:t>
      </w:r>
      <w:r w:rsidR="007649B0" w:rsidRPr="00DB11A6">
        <w:rPr>
          <w:rFonts w:ascii="Arial" w:hAnsi="Arial" w:cs="Arial"/>
          <w:szCs w:val="22"/>
        </w:rPr>
        <w:t>:</w:t>
      </w:r>
      <w:r w:rsidR="00324EE3" w:rsidRPr="00DB11A6">
        <w:rPr>
          <w:rFonts w:ascii="Arial" w:hAnsi="Arial" w:cs="Arial"/>
          <w:szCs w:val="22"/>
        </w:rPr>
        <w:t xml:space="preserve"> 0.0</w:t>
      </w:r>
      <w:r w:rsidR="00324FE7" w:rsidRPr="00DB11A6">
        <w:rPr>
          <w:rFonts w:ascii="Arial" w:hAnsi="Arial" w:cs="Arial"/>
          <w:szCs w:val="22"/>
        </w:rPr>
        <w:t>3</w:t>
      </w:r>
      <w:r w:rsidR="00324EE3" w:rsidRPr="00DB11A6">
        <w:rPr>
          <w:rFonts w:ascii="Arial" w:hAnsi="Arial" w:cs="Arial"/>
          <w:szCs w:val="22"/>
        </w:rPr>
        <w:t xml:space="preserve"> [0.2] </w:t>
      </w:r>
      <w:r w:rsidR="00A93F19" w:rsidRPr="00DB11A6">
        <w:rPr>
          <w:rFonts w:ascii="Arial" w:hAnsi="Arial" w:cs="Arial"/>
          <w:szCs w:val="22"/>
        </w:rPr>
        <w:t xml:space="preserve">to </w:t>
      </w:r>
      <w:r w:rsidR="00324EE3" w:rsidRPr="00DB11A6">
        <w:rPr>
          <w:rFonts w:ascii="Arial" w:hAnsi="Arial" w:cs="Arial"/>
          <w:szCs w:val="22"/>
        </w:rPr>
        <w:t>0.4</w:t>
      </w:r>
      <w:r w:rsidR="00324FE7" w:rsidRPr="00DB11A6">
        <w:rPr>
          <w:rFonts w:ascii="Arial" w:hAnsi="Arial" w:cs="Arial"/>
          <w:szCs w:val="22"/>
        </w:rPr>
        <w:t>0</w:t>
      </w:r>
      <w:r w:rsidR="00324EE3" w:rsidRPr="00DB11A6">
        <w:rPr>
          <w:rFonts w:ascii="Arial" w:hAnsi="Arial" w:cs="Arial"/>
          <w:szCs w:val="22"/>
        </w:rPr>
        <w:t xml:space="preserve"> [0.5] </w:t>
      </w:r>
      <w:proofErr w:type="spellStart"/>
      <w:r w:rsidR="003545F1" w:rsidRPr="00DB11A6">
        <w:rPr>
          <w:rFonts w:ascii="Arial" w:hAnsi="Arial" w:cs="Arial"/>
          <w:szCs w:val="22"/>
        </w:rPr>
        <w:t>pppy</w:t>
      </w:r>
      <w:proofErr w:type="spellEnd"/>
      <w:r w:rsidR="0019010A" w:rsidRPr="00DB11A6">
        <w:rPr>
          <w:rFonts w:ascii="Arial" w:hAnsi="Arial" w:cs="Arial"/>
          <w:szCs w:val="22"/>
        </w:rPr>
        <w:t>, respectively</w:t>
      </w:r>
      <w:r w:rsidR="00B60A04" w:rsidRPr="00DB11A6">
        <w:rPr>
          <w:rFonts w:ascii="Arial" w:hAnsi="Arial" w:cs="Arial"/>
          <w:szCs w:val="22"/>
        </w:rPr>
        <w:t xml:space="preserve">; </w:t>
      </w:r>
      <w:r w:rsidR="006729BC" w:rsidRPr="00DB11A6">
        <w:rPr>
          <w:rFonts w:ascii="Arial" w:hAnsi="Arial" w:cs="Arial"/>
          <w:szCs w:val="22"/>
        </w:rPr>
        <w:t>Figure</w:t>
      </w:r>
      <w:r w:rsidR="00B60A04" w:rsidRPr="00DB11A6">
        <w:rPr>
          <w:rFonts w:ascii="Arial" w:hAnsi="Arial" w:cs="Arial"/>
          <w:szCs w:val="22"/>
        </w:rPr>
        <w:t xml:space="preserve"> 3 and Table 2</w:t>
      </w:r>
      <w:r w:rsidR="00FB0B7B" w:rsidRPr="00DB11A6">
        <w:rPr>
          <w:rFonts w:ascii="Arial" w:hAnsi="Arial" w:cs="Arial"/>
          <w:szCs w:val="22"/>
        </w:rPr>
        <w:t>)</w:t>
      </w:r>
      <w:r w:rsidR="001425C1" w:rsidRPr="00DB11A6">
        <w:rPr>
          <w:rFonts w:ascii="Arial" w:hAnsi="Arial" w:cs="Arial"/>
          <w:szCs w:val="22"/>
        </w:rPr>
        <w:t>.</w:t>
      </w:r>
      <w:r w:rsidR="006826F8" w:rsidRPr="00DB11A6">
        <w:rPr>
          <w:rFonts w:ascii="Arial" w:hAnsi="Arial" w:cs="Arial"/>
          <w:szCs w:val="22"/>
        </w:rPr>
        <w:t xml:space="preserve"> APC </w:t>
      </w:r>
      <w:r w:rsidR="00F7500A" w:rsidRPr="00DB11A6">
        <w:rPr>
          <w:rFonts w:ascii="Arial" w:hAnsi="Arial" w:cs="Arial"/>
          <w:szCs w:val="22"/>
        </w:rPr>
        <w:t>for</w:t>
      </w:r>
      <w:r w:rsidR="006826F8" w:rsidRPr="00DB11A6">
        <w:rPr>
          <w:rFonts w:ascii="Arial" w:hAnsi="Arial" w:cs="Arial"/>
          <w:szCs w:val="22"/>
        </w:rPr>
        <w:t xml:space="preserve"> CXR</w:t>
      </w:r>
      <w:r w:rsidR="0088398B" w:rsidRPr="00DB11A6">
        <w:rPr>
          <w:rFonts w:ascii="Arial" w:hAnsi="Arial" w:cs="Arial"/>
          <w:szCs w:val="22"/>
        </w:rPr>
        <w:t>s</w:t>
      </w:r>
      <w:r w:rsidR="006826F8" w:rsidRPr="00DB11A6">
        <w:rPr>
          <w:rFonts w:ascii="Arial" w:hAnsi="Arial" w:cs="Arial"/>
          <w:szCs w:val="22"/>
        </w:rPr>
        <w:t xml:space="preserve"> </w:t>
      </w:r>
      <w:r w:rsidR="00F7500A" w:rsidRPr="00DB11A6">
        <w:rPr>
          <w:rFonts w:ascii="Arial" w:hAnsi="Arial" w:cs="Arial"/>
          <w:szCs w:val="22"/>
        </w:rPr>
        <w:t>significantly increased two years prior to PFCS diagnosis (APCs for years 10–2 vs 2–1: 18.64% vs 216.07%; P=0.0002)</w:t>
      </w:r>
      <w:r w:rsidR="006826F8" w:rsidRPr="00DB11A6">
        <w:rPr>
          <w:rFonts w:ascii="Arial" w:hAnsi="Arial" w:cs="Arial"/>
          <w:szCs w:val="22"/>
        </w:rPr>
        <w:t xml:space="preserve">. </w:t>
      </w:r>
      <w:r w:rsidR="00A543E1" w:rsidRPr="00DB11A6">
        <w:rPr>
          <w:rFonts w:ascii="Arial" w:hAnsi="Arial" w:cs="Arial"/>
          <w:szCs w:val="22"/>
        </w:rPr>
        <w:t>I</w:t>
      </w:r>
      <w:r w:rsidR="00543AFC" w:rsidRPr="00DB11A6">
        <w:rPr>
          <w:rFonts w:ascii="Arial" w:hAnsi="Arial" w:cs="Arial"/>
          <w:szCs w:val="22"/>
        </w:rPr>
        <w:t>n the IPFCS cohort,</w:t>
      </w:r>
      <w:r w:rsidR="00A543E1" w:rsidRPr="00DB11A6">
        <w:rPr>
          <w:rFonts w:ascii="Arial" w:hAnsi="Arial" w:cs="Arial"/>
          <w:szCs w:val="22"/>
        </w:rPr>
        <w:t xml:space="preserve"> however,</w:t>
      </w:r>
      <w:r w:rsidR="00543AFC" w:rsidRPr="00DB11A6">
        <w:rPr>
          <w:rFonts w:ascii="Arial" w:hAnsi="Arial" w:cs="Arial"/>
          <w:szCs w:val="22"/>
        </w:rPr>
        <w:t xml:space="preserve"> </w:t>
      </w:r>
      <w:r w:rsidR="005A1B81" w:rsidRPr="00DB11A6">
        <w:rPr>
          <w:rFonts w:ascii="Arial" w:hAnsi="Arial" w:cs="Arial"/>
          <w:szCs w:val="22"/>
        </w:rPr>
        <w:t xml:space="preserve">APC for CXRs </w:t>
      </w:r>
      <w:r w:rsidR="002A38DF" w:rsidRPr="00DB11A6">
        <w:rPr>
          <w:rFonts w:ascii="Arial" w:hAnsi="Arial" w:cs="Arial"/>
          <w:szCs w:val="22"/>
        </w:rPr>
        <w:t>significantly</w:t>
      </w:r>
      <w:r w:rsidR="00F22A72" w:rsidRPr="00DB11A6">
        <w:rPr>
          <w:rFonts w:ascii="Arial" w:hAnsi="Arial" w:cs="Arial"/>
          <w:szCs w:val="22"/>
        </w:rPr>
        <w:t xml:space="preserve"> increased one year earlier, i.e. three years </w:t>
      </w:r>
      <w:r w:rsidR="005A1B81" w:rsidRPr="00DB11A6">
        <w:rPr>
          <w:rFonts w:ascii="Arial" w:hAnsi="Arial" w:cs="Arial"/>
          <w:szCs w:val="22"/>
        </w:rPr>
        <w:t>prior to</w:t>
      </w:r>
      <w:r w:rsidR="0095256E" w:rsidRPr="00DB11A6">
        <w:rPr>
          <w:rFonts w:ascii="Arial" w:hAnsi="Arial" w:cs="Arial"/>
          <w:szCs w:val="22"/>
        </w:rPr>
        <w:t xml:space="preserve"> </w:t>
      </w:r>
      <w:r w:rsidR="00F22A72" w:rsidRPr="00DB11A6">
        <w:rPr>
          <w:rFonts w:ascii="Arial" w:hAnsi="Arial" w:cs="Arial"/>
          <w:szCs w:val="22"/>
        </w:rPr>
        <w:t xml:space="preserve">IPFCS </w:t>
      </w:r>
      <w:r w:rsidR="0095256E" w:rsidRPr="00DB11A6">
        <w:rPr>
          <w:rFonts w:ascii="Arial" w:hAnsi="Arial" w:cs="Arial"/>
          <w:szCs w:val="22"/>
        </w:rPr>
        <w:t>diagnosis</w:t>
      </w:r>
      <w:r w:rsidR="003009AD" w:rsidRPr="00DB11A6">
        <w:rPr>
          <w:rFonts w:ascii="Arial" w:hAnsi="Arial" w:cs="Arial"/>
          <w:szCs w:val="22"/>
        </w:rPr>
        <w:t xml:space="preserve"> (</w:t>
      </w:r>
      <w:r w:rsidR="00DB6A26">
        <w:rPr>
          <w:rFonts w:ascii="Arial" w:hAnsi="Arial" w:cs="Arial"/>
          <w:szCs w:val="22"/>
        </w:rPr>
        <w:t>Supplementary</w:t>
      </w:r>
      <w:r w:rsidR="00DB6A26" w:rsidRPr="00DB11A6">
        <w:rPr>
          <w:rFonts w:ascii="Arial" w:hAnsi="Arial" w:cs="Arial"/>
          <w:szCs w:val="22"/>
        </w:rPr>
        <w:t xml:space="preserve"> </w:t>
      </w:r>
      <w:r w:rsidR="00DC3C3F" w:rsidRPr="00DB11A6">
        <w:rPr>
          <w:rFonts w:ascii="Arial" w:hAnsi="Arial" w:cs="Arial"/>
          <w:szCs w:val="22"/>
        </w:rPr>
        <w:t xml:space="preserve">Figure S3 and </w:t>
      </w:r>
      <w:r w:rsidR="003009AD" w:rsidRPr="00DB11A6">
        <w:rPr>
          <w:rFonts w:ascii="Arial" w:hAnsi="Arial" w:cs="Arial"/>
          <w:szCs w:val="22"/>
        </w:rPr>
        <w:t xml:space="preserve">Table S4). </w:t>
      </w:r>
    </w:p>
    <w:p w14:paraId="66F5CF1F" w14:textId="77777777" w:rsidR="006D4472" w:rsidRPr="00DB11A6" w:rsidRDefault="006D4472" w:rsidP="00306C71">
      <w:pPr>
        <w:spacing w:line="480" w:lineRule="auto"/>
        <w:contextualSpacing/>
        <w:rPr>
          <w:rFonts w:ascii="Arial" w:hAnsi="Arial" w:cs="Arial"/>
          <w:szCs w:val="22"/>
        </w:rPr>
      </w:pPr>
    </w:p>
    <w:p w14:paraId="7F17D3AA" w14:textId="22A5E375" w:rsidR="00FA2408" w:rsidRPr="00DB11A6" w:rsidRDefault="004F26C5" w:rsidP="00306C71">
      <w:pPr>
        <w:spacing w:line="480" w:lineRule="auto"/>
        <w:contextualSpacing/>
        <w:rPr>
          <w:rFonts w:ascii="Arial" w:hAnsi="Arial" w:cs="Arial"/>
        </w:rPr>
      </w:pPr>
      <w:r w:rsidRPr="00DB11A6">
        <w:rPr>
          <w:rFonts w:ascii="Arial" w:hAnsi="Arial" w:cs="Arial"/>
          <w:szCs w:val="22"/>
        </w:rPr>
        <w:t xml:space="preserve">All-cause </w:t>
      </w:r>
      <w:r w:rsidR="001425C1" w:rsidRPr="00DB11A6">
        <w:rPr>
          <w:rFonts w:ascii="Arial" w:hAnsi="Arial" w:cs="Arial"/>
          <w:szCs w:val="22"/>
        </w:rPr>
        <w:t xml:space="preserve">primary care consultations </w:t>
      </w:r>
      <w:r w:rsidRPr="00DB11A6">
        <w:rPr>
          <w:rFonts w:ascii="Arial" w:hAnsi="Arial" w:cs="Arial"/>
          <w:szCs w:val="22"/>
        </w:rPr>
        <w:t>were</w:t>
      </w:r>
      <w:r w:rsidR="001425C1" w:rsidRPr="00DB11A6">
        <w:rPr>
          <w:rFonts w:ascii="Arial" w:hAnsi="Arial" w:cs="Arial"/>
          <w:szCs w:val="22"/>
        </w:rPr>
        <w:t xml:space="preserve"> </w:t>
      </w:r>
      <w:r w:rsidR="00942B17" w:rsidRPr="00DB11A6">
        <w:rPr>
          <w:rFonts w:ascii="Arial" w:hAnsi="Arial" w:cs="Arial"/>
          <w:szCs w:val="22"/>
        </w:rPr>
        <w:t xml:space="preserve">examined to explore </w:t>
      </w:r>
      <w:r w:rsidR="00B60A04" w:rsidRPr="00DB11A6">
        <w:rPr>
          <w:rFonts w:ascii="Arial" w:hAnsi="Arial" w:cs="Arial"/>
          <w:szCs w:val="22"/>
        </w:rPr>
        <w:t xml:space="preserve">whether </w:t>
      </w:r>
      <w:r w:rsidRPr="00DB11A6">
        <w:rPr>
          <w:rFonts w:ascii="Arial" w:hAnsi="Arial" w:cs="Arial"/>
          <w:szCs w:val="22"/>
        </w:rPr>
        <w:t xml:space="preserve">increases in LR consultations reflected a </w:t>
      </w:r>
      <w:r w:rsidR="00A93F19" w:rsidRPr="00DB11A6">
        <w:rPr>
          <w:rFonts w:ascii="Arial" w:hAnsi="Arial" w:cs="Arial"/>
          <w:szCs w:val="22"/>
        </w:rPr>
        <w:t xml:space="preserve">general </w:t>
      </w:r>
      <w:r w:rsidRPr="00DB11A6">
        <w:rPr>
          <w:rFonts w:ascii="Arial" w:hAnsi="Arial" w:cs="Arial"/>
          <w:szCs w:val="22"/>
        </w:rPr>
        <w:t xml:space="preserve">escalation in all-cause HRU </w:t>
      </w:r>
      <w:r w:rsidR="000F238E" w:rsidRPr="00DB11A6">
        <w:rPr>
          <w:rFonts w:ascii="Arial" w:hAnsi="Arial" w:cs="Arial"/>
          <w:szCs w:val="22"/>
        </w:rPr>
        <w:t xml:space="preserve">due to </w:t>
      </w:r>
      <w:r w:rsidR="00942B17" w:rsidRPr="00DB11A6">
        <w:rPr>
          <w:rFonts w:ascii="Arial" w:hAnsi="Arial" w:cs="Arial"/>
          <w:szCs w:val="22"/>
        </w:rPr>
        <w:t>ag</w:t>
      </w:r>
      <w:r w:rsidR="000F238E" w:rsidRPr="00DB11A6">
        <w:rPr>
          <w:rFonts w:ascii="Arial" w:hAnsi="Arial" w:cs="Arial"/>
          <w:szCs w:val="22"/>
        </w:rPr>
        <w:t>ing</w:t>
      </w:r>
      <w:r w:rsidR="00D717C4" w:rsidRPr="00DB11A6">
        <w:rPr>
          <w:rFonts w:ascii="Arial" w:hAnsi="Arial" w:cs="Arial"/>
          <w:szCs w:val="22"/>
        </w:rPr>
        <w:t>.</w:t>
      </w:r>
      <w:r w:rsidR="00006BC9" w:rsidRPr="00DB11A6">
        <w:rPr>
          <w:rFonts w:ascii="Arial" w:hAnsi="Arial" w:cs="Arial"/>
          <w:szCs w:val="22"/>
        </w:rPr>
        <w:t xml:space="preserve"> LR consultations accounted for 10% and 3</w:t>
      </w:r>
      <w:r w:rsidR="002A4890" w:rsidRPr="00DB11A6">
        <w:rPr>
          <w:rFonts w:ascii="Arial" w:hAnsi="Arial" w:cs="Arial"/>
          <w:szCs w:val="22"/>
        </w:rPr>
        <w:t>5</w:t>
      </w:r>
      <w:r w:rsidR="00006BC9" w:rsidRPr="00DB11A6">
        <w:rPr>
          <w:rFonts w:ascii="Arial" w:hAnsi="Arial" w:cs="Arial"/>
          <w:szCs w:val="22"/>
        </w:rPr>
        <w:t>% of all-cause consultations 10 years and one year prior to PFCS diagnosis, respectively.</w:t>
      </w:r>
      <w:r w:rsidR="00D717C4" w:rsidRPr="00DB11A6">
        <w:rPr>
          <w:rFonts w:ascii="Arial" w:hAnsi="Arial" w:cs="Arial"/>
          <w:szCs w:val="22"/>
        </w:rPr>
        <w:t xml:space="preserve"> </w:t>
      </w:r>
      <w:r w:rsidR="00D523BA" w:rsidRPr="00DB11A6">
        <w:rPr>
          <w:rFonts w:ascii="Arial" w:hAnsi="Arial" w:cs="Arial"/>
          <w:szCs w:val="22"/>
        </w:rPr>
        <w:t>APC for a</w:t>
      </w:r>
      <w:r w:rsidRPr="00DB11A6">
        <w:rPr>
          <w:rFonts w:ascii="Arial" w:hAnsi="Arial" w:cs="Arial"/>
          <w:szCs w:val="22"/>
        </w:rPr>
        <w:t>ll-cause</w:t>
      </w:r>
      <w:r w:rsidR="00D717C4" w:rsidRPr="00DB11A6">
        <w:rPr>
          <w:rFonts w:ascii="Arial" w:hAnsi="Arial" w:cs="Arial"/>
          <w:szCs w:val="22"/>
        </w:rPr>
        <w:t xml:space="preserve"> consultations</w:t>
      </w:r>
      <w:r w:rsidRPr="00DB11A6">
        <w:rPr>
          <w:rFonts w:ascii="Arial" w:hAnsi="Arial" w:cs="Arial"/>
          <w:szCs w:val="22"/>
        </w:rPr>
        <w:t xml:space="preserve"> </w:t>
      </w:r>
      <w:r w:rsidR="00D523BA" w:rsidRPr="00DB11A6">
        <w:rPr>
          <w:rFonts w:ascii="Arial" w:hAnsi="Arial" w:cs="Arial"/>
          <w:szCs w:val="22"/>
        </w:rPr>
        <w:t xml:space="preserve">significantly </w:t>
      </w:r>
      <w:r w:rsidR="00D717C4" w:rsidRPr="00DB11A6">
        <w:rPr>
          <w:rFonts w:ascii="Arial" w:hAnsi="Arial" w:cs="Arial"/>
          <w:szCs w:val="22"/>
        </w:rPr>
        <w:t>increase</w:t>
      </w:r>
      <w:r w:rsidR="000F238E" w:rsidRPr="00DB11A6">
        <w:rPr>
          <w:rFonts w:ascii="Arial" w:hAnsi="Arial" w:cs="Arial"/>
          <w:szCs w:val="22"/>
        </w:rPr>
        <w:t>d</w:t>
      </w:r>
      <w:r w:rsidRPr="00DB11A6">
        <w:rPr>
          <w:rFonts w:ascii="Arial" w:hAnsi="Arial" w:cs="Arial"/>
          <w:szCs w:val="22"/>
        </w:rPr>
        <w:t xml:space="preserve"> </w:t>
      </w:r>
      <w:r w:rsidR="00D523BA" w:rsidRPr="00DB11A6">
        <w:rPr>
          <w:rFonts w:ascii="Arial" w:hAnsi="Arial" w:cs="Arial"/>
          <w:szCs w:val="22"/>
        </w:rPr>
        <w:t>two years prior to PFCS diagnosis (</w:t>
      </w:r>
      <w:r w:rsidR="004F2E90" w:rsidRPr="00DB11A6">
        <w:rPr>
          <w:rFonts w:ascii="Arial" w:hAnsi="Arial" w:cs="Arial"/>
          <w:szCs w:val="22"/>
        </w:rPr>
        <w:t>APCs for years 10–2 vs 2–1: 11.90% vs 46.76%; P=0.0004)</w:t>
      </w:r>
      <w:r w:rsidR="00D523BA" w:rsidRPr="00DB11A6">
        <w:rPr>
          <w:rFonts w:ascii="Arial" w:hAnsi="Arial" w:cs="Arial"/>
          <w:szCs w:val="22"/>
        </w:rPr>
        <w:t>. Th</w:t>
      </w:r>
      <w:r w:rsidR="00AA1C55" w:rsidRPr="00DB11A6">
        <w:rPr>
          <w:rFonts w:ascii="Arial" w:hAnsi="Arial" w:cs="Arial"/>
          <w:szCs w:val="22"/>
        </w:rPr>
        <w:t>is</w:t>
      </w:r>
      <w:r w:rsidR="002724F6" w:rsidRPr="00DB11A6">
        <w:rPr>
          <w:rFonts w:ascii="Arial" w:hAnsi="Arial" w:cs="Arial"/>
          <w:szCs w:val="22"/>
        </w:rPr>
        <w:t xml:space="preserve"> </w:t>
      </w:r>
      <w:r w:rsidR="00DA7DEA" w:rsidRPr="00DB11A6">
        <w:rPr>
          <w:rFonts w:ascii="Arial" w:hAnsi="Arial" w:cs="Arial"/>
          <w:szCs w:val="22"/>
        </w:rPr>
        <w:t xml:space="preserve">increase </w:t>
      </w:r>
      <w:r w:rsidR="00D523BA" w:rsidRPr="00DB11A6">
        <w:rPr>
          <w:rFonts w:ascii="Arial" w:hAnsi="Arial" w:cs="Arial"/>
          <w:szCs w:val="22"/>
        </w:rPr>
        <w:t>was driven by</w:t>
      </w:r>
      <w:r w:rsidRPr="00DB11A6">
        <w:rPr>
          <w:rFonts w:ascii="Arial" w:hAnsi="Arial" w:cs="Arial"/>
          <w:szCs w:val="22"/>
        </w:rPr>
        <w:t xml:space="preserve"> </w:t>
      </w:r>
      <w:r w:rsidR="00D717C4" w:rsidRPr="00DB11A6">
        <w:rPr>
          <w:rFonts w:ascii="Arial" w:hAnsi="Arial" w:cs="Arial"/>
          <w:szCs w:val="22"/>
        </w:rPr>
        <w:t xml:space="preserve">LR </w:t>
      </w:r>
      <w:r w:rsidR="00841FE5" w:rsidRPr="00DB11A6">
        <w:rPr>
          <w:rFonts w:ascii="Arial" w:hAnsi="Arial" w:cs="Arial"/>
          <w:szCs w:val="22"/>
        </w:rPr>
        <w:t>consultations</w:t>
      </w:r>
      <w:r w:rsidR="00D523BA" w:rsidRPr="00DB11A6">
        <w:rPr>
          <w:rFonts w:ascii="Arial" w:hAnsi="Arial" w:cs="Arial"/>
          <w:szCs w:val="22"/>
        </w:rPr>
        <w:t xml:space="preserve"> (</w:t>
      </w:r>
      <w:r w:rsidR="002724F6" w:rsidRPr="00DB11A6">
        <w:rPr>
          <w:rFonts w:ascii="Arial" w:hAnsi="Arial" w:cs="Arial"/>
          <w:szCs w:val="22"/>
        </w:rPr>
        <w:t>APCs for years 10–2 vs 2–1: 19.96% vs 199.72%; P=0.0002</w:t>
      </w:r>
      <w:r w:rsidR="00D523BA" w:rsidRPr="00DB11A6">
        <w:rPr>
          <w:rFonts w:ascii="Arial" w:hAnsi="Arial" w:cs="Arial"/>
          <w:szCs w:val="22"/>
        </w:rPr>
        <w:t>), while</w:t>
      </w:r>
      <w:r w:rsidR="004F2E90" w:rsidRPr="00DB11A6">
        <w:rPr>
          <w:rFonts w:ascii="Arial" w:hAnsi="Arial" w:cs="Arial"/>
          <w:szCs w:val="22"/>
        </w:rPr>
        <w:t xml:space="preserve"> APC for</w:t>
      </w:r>
      <w:r w:rsidR="00D523BA" w:rsidRPr="00DB11A6">
        <w:rPr>
          <w:rFonts w:ascii="Arial" w:hAnsi="Arial" w:cs="Arial"/>
          <w:szCs w:val="22"/>
        </w:rPr>
        <w:t xml:space="preserve"> non-LR con</w:t>
      </w:r>
      <w:r w:rsidR="00841FE5" w:rsidRPr="00DB11A6">
        <w:rPr>
          <w:rFonts w:ascii="Arial" w:hAnsi="Arial" w:cs="Arial"/>
          <w:szCs w:val="22"/>
        </w:rPr>
        <w:t>sultations</w:t>
      </w:r>
      <w:r w:rsidR="004F2E90" w:rsidRPr="00DB11A6">
        <w:rPr>
          <w:rFonts w:ascii="Arial" w:hAnsi="Arial" w:cs="Arial"/>
          <w:szCs w:val="22"/>
        </w:rPr>
        <w:t xml:space="preserve"> </w:t>
      </w:r>
      <w:r w:rsidR="00511327" w:rsidRPr="00DB11A6">
        <w:rPr>
          <w:rFonts w:ascii="Arial" w:hAnsi="Arial" w:cs="Arial"/>
          <w:szCs w:val="22"/>
        </w:rPr>
        <w:t>was constant (</w:t>
      </w:r>
      <w:r w:rsidR="004F2E90" w:rsidRPr="00DB11A6">
        <w:rPr>
          <w:rFonts w:ascii="Arial" w:hAnsi="Arial" w:cs="Arial"/>
          <w:szCs w:val="22"/>
        </w:rPr>
        <w:t>11.03%</w:t>
      </w:r>
      <w:r w:rsidR="00511327" w:rsidRPr="00DB11A6">
        <w:rPr>
          <w:rFonts w:ascii="Arial" w:hAnsi="Arial" w:cs="Arial"/>
          <w:szCs w:val="22"/>
        </w:rPr>
        <w:t>)</w:t>
      </w:r>
      <w:r w:rsidR="004F2E90" w:rsidRPr="00DB11A6">
        <w:rPr>
          <w:rFonts w:ascii="Arial" w:hAnsi="Arial" w:cs="Arial"/>
          <w:szCs w:val="22"/>
        </w:rPr>
        <w:t xml:space="preserve"> (Figure S4).</w:t>
      </w:r>
      <w:r w:rsidR="005444E6" w:rsidRPr="00DB11A6">
        <w:rPr>
          <w:rFonts w:ascii="Arial" w:hAnsi="Arial" w:cs="Arial"/>
          <w:szCs w:val="22"/>
        </w:rPr>
        <w:t xml:space="preserve"> </w:t>
      </w:r>
      <w:r w:rsidR="00D717C4" w:rsidRPr="00DB11A6">
        <w:rPr>
          <w:rFonts w:ascii="Arial" w:hAnsi="Arial" w:cs="Arial"/>
        </w:rPr>
        <w:t>Th</w:t>
      </w:r>
      <w:r w:rsidR="006A572C" w:rsidRPr="00DB11A6">
        <w:rPr>
          <w:rFonts w:ascii="Arial" w:hAnsi="Arial" w:cs="Arial"/>
        </w:rPr>
        <w:t>e</w:t>
      </w:r>
      <w:r w:rsidR="00422DDC" w:rsidRPr="00DB11A6">
        <w:rPr>
          <w:rFonts w:ascii="Arial" w:hAnsi="Arial" w:cs="Arial"/>
        </w:rPr>
        <w:t xml:space="preserve"> </w:t>
      </w:r>
      <w:r w:rsidR="00D717C4" w:rsidRPr="00DB11A6">
        <w:rPr>
          <w:rFonts w:ascii="Arial" w:hAnsi="Arial" w:cs="Arial"/>
        </w:rPr>
        <w:t>contribution of LR</w:t>
      </w:r>
      <w:r w:rsidR="001F295D" w:rsidRPr="00DB11A6">
        <w:rPr>
          <w:rFonts w:ascii="Arial" w:hAnsi="Arial" w:cs="Arial"/>
        </w:rPr>
        <w:t xml:space="preserve"> consultations</w:t>
      </w:r>
      <w:r w:rsidR="00D717C4" w:rsidRPr="00DB11A6">
        <w:rPr>
          <w:rFonts w:ascii="Arial" w:hAnsi="Arial" w:cs="Arial"/>
        </w:rPr>
        <w:t xml:space="preserve"> to all-cause consultations</w:t>
      </w:r>
      <w:r w:rsidR="00B60A04" w:rsidRPr="00DB11A6">
        <w:rPr>
          <w:rFonts w:ascii="Arial" w:hAnsi="Arial" w:cs="Arial"/>
        </w:rPr>
        <w:t xml:space="preserve"> </w:t>
      </w:r>
      <w:r w:rsidR="00D717C4" w:rsidRPr="00DB11A6">
        <w:rPr>
          <w:rFonts w:ascii="Arial" w:hAnsi="Arial" w:cs="Arial"/>
        </w:rPr>
        <w:t>was evident in the</w:t>
      </w:r>
      <w:r w:rsidR="00A44C91" w:rsidRPr="00DB11A6">
        <w:rPr>
          <w:rFonts w:ascii="Arial" w:hAnsi="Arial" w:cs="Arial"/>
        </w:rPr>
        <w:t xml:space="preserve"> </w:t>
      </w:r>
      <w:r w:rsidR="009A7DCB" w:rsidRPr="00DB11A6">
        <w:rPr>
          <w:rFonts w:ascii="Arial" w:hAnsi="Arial" w:cs="Arial"/>
        </w:rPr>
        <w:t>I</w:t>
      </w:r>
      <w:r w:rsidR="00A44C91" w:rsidRPr="00DB11A6">
        <w:rPr>
          <w:rFonts w:ascii="Arial" w:hAnsi="Arial" w:cs="Arial"/>
        </w:rPr>
        <w:t>PFCS</w:t>
      </w:r>
      <w:r w:rsidR="00D717C4" w:rsidRPr="00DB11A6">
        <w:rPr>
          <w:rFonts w:ascii="Arial" w:hAnsi="Arial" w:cs="Arial"/>
        </w:rPr>
        <w:t xml:space="preserve"> cohort</w:t>
      </w:r>
      <w:r w:rsidR="00FF3772" w:rsidRPr="00DB11A6">
        <w:rPr>
          <w:rFonts w:ascii="Arial" w:hAnsi="Arial" w:cs="Arial"/>
        </w:rPr>
        <w:t xml:space="preserve"> </w:t>
      </w:r>
      <w:r w:rsidR="00077C9D" w:rsidRPr="00DB11A6">
        <w:rPr>
          <w:rFonts w:ascii="Arial" w:hAnsi="Arial" w:cs="Arial"/>
        </w:rPr>
        <w:t>(data not shown)</w:t>
      </w:r>
      <w:r w:rsidR="009A30FD" w:rsidRPr="00DB11A6">
        <w:rPr>
          <w:rFonts w:ascii="Arial" w:hAnsi="Arial" w:cs="Arial"/>
        </w:rPr>
        <w:t>.</w:t>
      </w:r>
    </w:p>
    <w:p w14:paraId="5299507A" w14:textId="77777777" w:rsidR="00180043" w:rsidRPr="00DB11A6" w:rsidRDefault="00180043" w:rsidP="00306C71">
      <w:pPr>
        <w:spacing w:line="480" w:lineRule="auto"/>
        <w:contextualSpacing/>
        <w:rPr>
          <w:rFonts w:ascii="Arial" w:hAnsi="Arial" w:cs="Arial"/>
          <w:b/>
        </w:rPr>
      </w:pPr>
    </w:p>
    <w:p w14:paraId="15BC5AE6" w14:textId="51F0BA43" w:rsidR="00306C71" w:rsidRPr="00DB11A6" w:rsidRDefault="00A249D8" w:rsidP="00484F70">
      <w:pPr>
        <w:spacing w:line="480" w:lineRule="auto"/>
        <w:contextualSpacing/>
        <w:rPr>
          <w:rFonts w:ascii="Arial" w:hAnsi="Arial" w:cs="Arial"/>
        </w:rPr>
      </w:pPr>
      <w:r w:rsidRPr="00DB11A6">
        <w:rPr>
          <w:rFonts w:ascii="Arial" w:hAnsi="Arial" w:cs="Arial"/>
        </w:rPr>
        <w:t>T</w:t>
      </w:r>
      <w:r w:rsidR="00711E49" w:rsidRPr="00DB11A6">
        <w:rPr>
          <w:rFonts w:ascii="Arial" w:hAnsi="Arial" w:cs="Arial"/>
        </w:rPr>
        <w:t xml:space="preserve">en years prior to </w:t>
      </w:r>
      <w:r w:rsidR="00AE1822" w:rsidRPr="00DB11A6">
        <w:rPr>
          <w:rFonts w:ascii="Arial" w:hAnsi="Arial" w:cs="Arial"/>
        </w:rPr>
        <w:t>PFCS</w:t>
      </w:r>
      <w:r w:rsidR="00711E49" w:rsidRPr="00DB11A6">
        <w:rPr>
          <w:rFonts w:ascii="Arial" w:hAnsi="Arial" w:cs="Arial"/>
        </w:rPr>
        <w:t xml:space="preserve"> diagnos</w:t>
      </w:r>
      <w:r w:rsidR="00AE1822" w:rsidRPr="00DB11A6">
        <w:rPr>
          <w:rFonts w:ascii="Arial" w:hAnsi="Arial" w:cs="Arial"/>
        </w:rPr>
        <w:t>is</w:t>
      </w:r>
      <w:r w:rsidR="00711E49" w:rsidRPr="00DB11A6">
        <w:rPr>
          <w:rFonts w:ascii="Arial" w:hAnsi="Arial" w:cs="Arial"/>
        </w:rPr>
        <w:t xml:space="preserve">, </w:t>
      </w:r>
      <w:r w:rsidR="00AE1822" w:rsidRPr="00DB11A6">
        <w:rPr>
          <w:rFonts w:ascii="Arial" w:hAnsi="Arial" w:cs="Arial"/>
        </w:rPr>
        <w:t xml:space="preserve">18% of patients </w:t>
      </w:r>
      <w:r w:rsidR="00E270FD" w:rsidRPr="00DB11A6">
        <w:rPr>
          <w:rFonts w:ascii="Arial" w:hAnsi="Arial" w:cs="Arial"/>
        </w:rPr>
        <w:t>visited</w:t>
      </w:r>
      <w:r w:rsidR="00AE1822" w:rsidRPr="00DB11A6">
        <w:rPr>
          <w:rFonts w:ascii="Arial" w:hAnsi="Arial" w:cs="Arial"/>
        </w:rPr>
        <w:t xml:space="preserve"> primary care for a</w:t>
      </w:r>
      <w:r w:rsidR="00A525A6" w:rsidRPr="00DB11A6">
        <w:rPr>
          <w:rFonts w:ascii="Arial" w:hAnsi="Arial" w:cs="Arial"/>
        </w:rPr>
        <w:t>n</w:t>
      </w:r>
      <w:r w:rsidR="00AE1822" w:rsidRPr="00DB11A6">
        <w:rPr>
          <w:rFonts w:ascii="Arial" w:hAnsi="Arial" w:cs="Arial"/>
        </w:rPr>
        <w:t xml:space="preserve"> </w:t>
      </w:r>
      <w:r w:rsidR="00A93F19" w:rsidRPr="00DB11A6">
        <w:rPr>
          <w:rFonts w:ascii="Arial" w:hAnsi="Arial" w:cs="Arial"/>
        </w:rPr>
        <w:t>LR</w:t>
      </w:r>
      <w:r w:rsidR="00E270FD" w:rsidRPr="00DB11A6">
        <w:rPr>
          <w:rFonts w:ascii="Arial" w:hAnsi="Arial" w:cs="Arial"/>
        </w:rPr>
        <w:t xml:space="preserve"> reason</w:t>
      </w:r>
      <w:r w:rsidR="00711E49" w:rsidRPr="00DB11A6">
        <w:rPr>
          <w:rFonts w:ascii="Arial" w:hAnsi="Arial" w:cs="Arial"/>
        </w:rPr>
        <w:t>.</w:t>
      </w:r>
      <w:r w:rsidR="00AE1822" w:rsidRPr="00DB11A6">
        <w:rPr>
          <w:rFonts w:ascii="Arial" w:hAnsi="Arial" w:cs="Arial"/>
        </w:rPr>
        <w:t xml:space="preserve"> Of these patients, only 6.3% consulted </w:t>
      </w:r>
      <w:r w:rsidR="0021235E" w:rsidRPr="00DB11A6">
        <w:rPr>
          <w:rFonts w:ascii="Arial" w:hAnsi="Arial" w:cs="Arial"/>
        </w:rPr>
        <w:t>≥2</w:t>
      </w:r>
      <w:r w:rsidR="00AE1822" w:rsidRPr="00DB11A6">
        <w:rPr>
          <w:rFonts w:ascii="Arial" w:hAnsi="Arial" w:cs="Arial"/>
        </w:rPr>
        <w:t xml:space="preserve"> times and 1.5% </w:t>
      </w:r>
      <w:r w:rsidR="00A242CA" w:rsidRPr="00DB11A6">
        <w:rPr>
          <w:rFonts w:ascii="Arial" w:hAnsi="Arial" w:cs="Arial"/>
        </w:rPr>
        <w:t>≥5</w:t>
      </w:r>
      <w:r w:rsidR="00AE1822" w:rsidRPr="00DB11A6">
        <w:rPr>
          <w:rFonts w:ascii="Arial" w:hAnsi="Arial" w:cs="Arial"/>
        </w:rPr>
        <w:t xml:space="preserve"> times. Five years later, approximately 30% of patients consulted </w:t>
      </w:r>
      <w:r w:rsidR="0021235E" w:rsidRPr="00DB11A6">
        <w:rPr>
          <w:rFonts w:ascii="Arial" w:hAnsi="Arial" w:cs="Arial"/>
        </w:rPr>
        <w:t xml:space="preserve">≥1 </w:t>
      </w:r>
      <w:proofErr w:type="gramStart"/>
      <w:r w:rsidR="0021235E" w:rsidRPr="00DB11A6">
        <w:rPr>
          <w:rFonts w:ascii="Arial" w:hAnsi="Arial" w:cs="Arial"/>
        </w:rPr>
        <w:t>times</w:t>
      </w:r>
      <w:proofErr w:type="gramEnd"/>
      <w:r w:rsidR="00AE1822" w:rsidRPr="00DB11A6">
        <w:rPr>
          <w:rFonts w:ascii="Arial" w:hAnsi="Arial" w:cs="Arial"/>
        </w:rPr>
        <w:t xml:space="preserve"> for </w:t>
      </w:r>
      <w:r w:rsidR="00A93F19" w:rsidRPr="00DB11A6">
        <w:rPr>
          <w:rFonts w:ascii="Arial" w:hAnsi="Arial" w:cs="Arial"/>
        </w:rPr>
        <w:t>an</w:t>
      </w:r>
      <w:r w:rsidR="00AE1822" w:rsidRPr="00DB11A6">
        <w:rPr>
          <w:rFonts w:ascii="Arial" w:hAnsi="Arial" w:cs="Arial"/>
        </w:rPr>
        <w:t xml:space="preserve"> LR complaint, 14.4%</w:t>
      </w:r>
      <w:r w:rsidR="0021235E" w:rsidRPr="00DB11A6">
        <w:rPr>
          <w:rFonts w:ascii="Arial" w:hAnsi="Arial" w:cs="Arial"/>
        </w:rPr>
        <w:t xml:space="preserve"> ≥2</w:t>
      </w:r>
      <w:r w:rsidR="00AE1822" w:rsidRPr="00DB11A6">
        <w:rPr>
          <w:rFonts w:ascii="Arial" w:hAnsi="Arial" w:cs="Arial"/>
        </w:rPr>
        <w:t xml:space="preserve"> times and 3.8% </w:t>
      </w:r>
      <w:r w:rsidR="0021235E" w:rsidRPr="00DB11A6">
        <w:rPr>
          <w:rFonts w:ascii="Arial" w:hAnsi="Arial" w:cs="Arial"/>
        </w:rPr>
        <w:t xml:space="preserve">≥5 </w:t>
      </w:r>
      <w:r w:rsidR="00AE1822" w:rsidRPr="00DB11A6">
        <w:rPr>
          <w:rFonts w:ascii="Arial" w:hAnsi="Arial" w:cs="Arial"/>
        </w:rPr>
        <w:t>times.</w:t>
      </w:r>
      <w:r w:rsidR="00A93F19" w:rsidRPr="00DB11A6">
        <w:rPr>
          <w:rFonts w:ascii="Arial" w:hAnsi="Arial" w:cs="Arial"/>
        </w:rPr>
        <w:t xml:space="preserve"> </w:t>
      </w:r>
      <w:r w:rsidR="00D216E5" w:rsidRPr="00DB11A6">
        <w:rPr>
          <w:rFonts w:ascii="Arial" w:hAnsi="Arial" w:cs="Arial"/>
        </w:rPr>
        <w:t>One year</w:t>
      </w:r>
      <w:r w:rsidR="00AE1822" w:rsidRPr="00DB11A6">
        <w:rPr>
          <w:rFonts w:ascii="Arial" w:hAnsi="Arial" w:cs="Arial"/>
        </w:rPr>
        <w:t xml:space="preserve"> prior to PFCS diagnosis, almost all patients (99.9%) </w:t>
      </w:r>
      <w:r w:rsidR="000966C6" w:rsidRPr="00DB11A6">
        <w:rPr>
          <w:rFonts w:ascii="Arial" w:hAnsi="Arial" w:cs="Arial"/>
        </w:rPr>
        <w:t>consulted</w:t>
      </w:r>
      <w:r w:rsidR="005046D0" w:rsidRPr="00DB11A6">
        <w:rPr>
          <w:rFonts w:ascii="Arial" w:hAnsi="Arial" w:cs="Arial"/>
        </w:rPr>
        <w:t xml:space="preserve"> ≥1 </w:t>
      </w:r>
      <w:proofErr w:type="gramStart"/>
      <w:r w:rsidR="005046D0" w:rsidRPr="00DB11A6">
        <w:rPr>
          <w:rFonts w:ascii="Arial" w:hAnsi="Arial" w:cs="Arial"/>
        </w:rPr>
        <w:t>times</w:t>
      </w:r>
      <w:proofErr w:type="gramEnd"/>
      <w:r w:rsidR="00AE1822" w:rsidRPr="00DB11A6">
        <w:rPr>
          <w:rFonts w:ascii="Arial" w:hAnsi="Arial" w:cs="Arial"/>
        </w:rPr>
        <w:t xml:space="preserve"> </w:t>
      </w:r>
      <w:r w:rsidR="00A93F19" w:rsidRPr="00DB11A6">
        <w:rPr>
          <w:rFonts w:ascii="Arial" w:hAnsi="Arial" w:cs="Arial"/>
        </w:rPr>
        <w:t>for</w:t>
      </w:r>
      <w:r w:rsidR="00AE1822" w:rsidRPr="00DB11A6">
        <w:rPr>
          <w:rFonts w:ascii="Arial" w:hAnsi="Arial" w:cs="Arial"/>
        </w:rPr>
        <w:t xml:space="preserve"> a</w:t>
      </w:r>
      <w:r w:rsidR="001A59E7" w:rsidRPr="00DB11A6">
        <w:rPr>
          <w:rFonts w:ascii="Arial" w:hAnsi="Arial" w:cs="Arial"/>
        </w:rPr>
        <w:t>n</w:t>
      </w:r>
      <w:r w:rsidR="00AE1822" w:rsidRPr="00DB11A6">
        <w:rPr>
          <w:rFonts w:ascii="Arial" w:hAnsi="Arial" w:cs="Arial"/>
        </w:rPr>
        <w:t xml:space="preserve"> LR complaint, 78.8% </w:t>
      </w:r>
      <w:r w:rsidR="005046D0" w:rsidRPr="00DB11A6">
        <w:rPr>
          <w:rFonts w:ascii="Arial" w:hAnsi="Arial" w:cs="Arial"/>
        </w:rPr>
        <w:t>≥2 times</w:t>
      </w:r>
      <w:r w:rsidR="00AE1822" w:rsidRPr="00DB11A6">
        <w:rPr>
          <w:rFonts w:ascii="Arial" w:hAnsi="Arial" w:cs="Arial"/>
        </w:rPr>
        <w:t xml:space="preserve"> and 38.0%</w:t>
      </w:r>
      <w:r w:rsidR="005046D0" w:rsidRPr="00DB11A6">
        <w:rPr>
          <w:rFonts w:ascii="Arial" w:hAnsi="Arial" w:cs="Arial"/>
        </w:rPr>
        <w:t xml:space="preserve"> ≥5 times</w:t>
      </w:r>
      <w:r w:rsidR="00D779CB" w:rsidRPr="00DB11A6">
        <w:rPr>
          <w:rFonts w:ascii="Arial" w:hAnsi="Arial" w:cs="Arial"/>
        </w:rPr>
        <w:t xml:space="preserve"> (Fig</w:t>
      </w:r>
      <w:r w:rsidR="006729BC" w:rsidRPr="00DB11A6">
        <w:rPr>
          <w:rFonts w:ascii="Arial" w:hAnsi="Arial" w:cs="Arial"/>
        </w:rPr>
        <w:t>ure</w:t>
      </w:r>
      <w:r w:rsidR="00D779CB" w:rsidRPr="00DB11A6">
        <w:rPr>
          <w:rFonts w:ascii="Arial" w:hAnsi="Arial" w:cs="Arial"/>
        </w:rPr>
        <w:t xml:space="preserve"> 4</w:t>
      </w:r>
      <w:r w:rsidR="00C40E4B" w:rsidRPr="00DB11A6">
        <w:rPr>
          <w:rFonts w:ascii="Arial" w:hAnsi="Arial" w:cs="Arial"/>
        </w:rPr>
        <w:t xml:space="preserve"> and </w:t>
      </w:r>
      <w:r w:rsidR="00DB6A26">
        <w:rPr>
          <w:rFonts w:ascii="Arial" w:hAnsi="Arial" w:cs="Arial"/>
          <w:szCs w:val="22"/>
        </w:rPr>
        <w:t>Supplementary</w:t>
      </w:r>
      <w:r w:rsidR="00DB6A26" w:rsidRPr="00DB11A6">
        <w:rPr>
          <w:rFonts w:ascii="Arial" w:hAnsi="Arial" w:cs="Arial"/>
        </w:rPr>
        <w:t xml:space="preserve"> </w:t>
      </w:r>
      <w:r w:rsidR="00BB185B" w:rsidRPr="00DB11A6">
        <w:rPr>
          <w:rFonts w:ascii="Arial" w:hAnsi="Arial" w:cs="Arial"/>
        </w:rPr>
        <w:t>Table S5</w:t>
      </w:r>
      <w:r w:rsidR="00D779CB" w:rsidRPr="00DB11A6">
        <w:rPr>
          <w:rFonts w:ascii="Arial" w:hAnsi="Arial" w:cs="Arial"/>
        </w:rPr>
        <w:t>)</w:t>
      </w:r>
      <w:r w:rsidR="00AE1822" w:rsidRPr="00DB11A6">
        <w:rPr>
          <w:rFonts w:ascii="Arial" w:hAnsi="Arial" w:cs="Arial"/>
        </w:rPr>
        <w:t xml:space="preserve">. </w:t>
      </w:r>
      <w:r w:rsidR="005C666E" w:rsidRPr="00DB11A6">
        <w:rPr>
          <w:rFonts w:ascii="Arial" w:hAnsi="Arial" w:cs="Arial"/>
          <w:szCs w:val="22"/>
        </w:rPr>
        <w:t xml:space="preserve">Consistent with this, </w:t>
      </w:r>
      <w:r w:rsidR="00C559A1" w:rsidRPr="00DB11A6">
        <w:rPr>
          <w:rFonts w:ascii="Arial" w:hAnsi="Arial" w:cs="Arial"/>
          <w:szCs w:val="22"/>
        </w:rPr>
        <w:t>APCs for</w:t>
      </w:r>
      <w:r w:rsidR="00D4697A" w:rsidRPr="00DB11A6">
        <w:rPr>
          <w:rFonts w:ascii="Arial" w:hAnsi="Arial" w:cs="Arial"/>
          <w:szCs w:val="22"/>
        </w:rPr>
        <w:t xml:space="preserve"> two, three, four, and five or more LR consultation</w:t>
      </w:r>
      <w:r w:rsidR="00C024CD" w:rsidRPr="00DB11A6">
        <w:rPr>
          <w:rFonts w:ascii="Arial" w:hAnsi="Arial" w:cs="Arial"/>
          <w:bCs/>
        </w:rPr>
        <w:t xml:space="preserve">s </w:t>
      </w:r>
      <w:r w:rsidR="00C66FBF" w:rsidRPr="00DB11A6">
        <w:rPr>
          <w:rFonts w:ascii="Arial" w:hAnsi="Arial" w:cs="Arial"/>
          <w:bCs/>
        </w:rPr>
        <w:t>significantly increased two years prior to PFCS diagnosis</w:t>
      </w:r>
      <w:r w:rsidR="00B544FA" w:rsidRPr="00DB11A6">
        <w:rPr>
          <w:rFonts w:ascii="Arial" w:hAnsi="Arial" w:cs="Arial"/>
          <w:bCs/>
        </w:rPr>
        <w:t xml:space="preserve"> (</w:t>
      </w:r>
      <w:r w:rsidR="00C024CD" w:rsidRPr="00DB11A6">
        <w:rPr>
          <w:rFonts w:ascii="Arial" w:hAnsi="Arial" w:cs="Arial"/>
          <w:bCs/>
        </w:rPr>
        <w:t>APCs</w:t>
      </w:r>
      <w:r w:rsidR="00995451" w:rsidRPr="00DB11A6">
        <w:rPr>
          <w:rFonts w:ascii="Arial" w:hAnsi="Arial" w:cs="Arial"/>
          <w:bCs/>
        </w:rPr>
        <w:t xml:space="preserve"> </w:t>
      </w:r>
      <w:r w:rsidR="00C66FBF" w:rsidRPr="00DB11A6">
        <w:rPr>
          <w:rFonts w:ascii="Arial" w:hAnsi="Arial" w:cs="Arial"/>
          <w:bCs/>
        </w:rPr>
        <w:t>for</w:t>
      </w:r>
      <w:r w:rsidR="00C024CD" w:rsidRPr="00DB11A6">
        <w:rPr>
          <w:rFonts w:ascii="Arial" w:hAnsi="Arial" w:cs="Arial"/>
          <w:bCs/>
        </w:rPr>
        <w:t xml:space="preserve"> 10–2 </w:t>
      </w:r>
      <w:r w:rsidR="00C66FBF" w:rsidRPr="00DB11A6">
        <w:rPr>
          <w:rFonts w:ascii="Arial" w:hAnsi="Arial" w:cs="Arial"/>
          <w:bCs/>
        </w:rPr>
        <w:t>vs</w:t>
      </w:r>
      <w:r w:rsidR="00C024CD" w:rsidRPr="00DB11A6">
        <w:rPr>
          <w:rFonts w:ascii="Arial" w:hAnsi="Arial" w:cs="Arial"/>
          <w:bCs/>
        </w:rPr>
        <w:t xml:space="preserve"> 2–1 years</w:t>
      </w:r>
      <w:r w:rsidR="00B544FA" w:rsidRPr="00DB11A6">
        <w:rPr>
          <w:rFonts w:ascii="Arial" w:hAnsi="Arial" w:cs="Arial"/>
          <w:bCs/>
        </w:rPr>
        <w:t>:</w:t>
      </w:r>
      <w:r w:rsidR="005F1DAC" w:rsidRPr="00DB11A6">
        <w:rPr>
          <w:rFonts w:ascii="Arial" w:hAnsi="Arial" w:cs="Arial"/>
          <w:bCs/>
        </w:rPr>
        <w:t xml:space="preserve"> 12.60% </w:t>
      </w:r>
      <w:r w:rsidR="00C66FBF" w:rsidRPr="00DB11A6">
        <w:rPr>
          <w:rFonts w:ascii="Arial" w:hAnsi="Arial" w:cs="Arial"/>
          <w:bCs/>
        </w:rPr>
        <w:t>vs</w:t>
      </w:r>
      <w:r w:rsidR="005F1DAC" w:rsidRPr="00DB11A6">
        <w:rPr>
          <w:rFonts w:ascii="Arial" w:hAnsi="Arial" w:cs="Arial"/>
          <w:bCs/>
        </w:rPr>
        <w:t xml:space="preserve"> 85</w:t>
      </w:r>
      <w:r w:rsidR="005D5F4B" w:rsidRPr="00DB11A6">
        <w:rPr>
          <w:rFonts w:ascii="Arial" w:hAnsi="Arial" w:cs="Arial"/>
          <w:bCs/>
        </w:rPr>
        <w:t>.47% (</w:t>
      </w:r>
      <w:r w:rsidR="00122428" w:rsidRPr="00DB11A6">
        <w:rPr>
          <w:rFonts w:ascii="Arial" w:hAnsi="Arial" w:cs="Arial"/>
          <w:bCs/>
        </w:rPr>
        <w:t>P=0.0018</w:t>
      </w:r>
      <w:r w:rsidR="005D5F4B" w:rsidRPr="00DB11A6">
        <w:rPr>
          <w:rFonts w:ascii="Arial" w:hAnsi="Arial" w:cs="Arial"/>
          <w:bCs/>
        </w:rPr>
        <w:t xml:space="preserve">), 20.96% </w:t>
      </w:r>
      <w:r w:rsidR="00C66FBF" w:rsidRPr="00DB11A6">
        <w:rPr>
          <w:rFonts w:ascii="Arial" w:hAnsi="Arial" w:cs="Arial"/>
          <w:bCs/>
        </w:rPr>
        <w:t>vs</w:t>
      </w:r>
      <w:r w:rsidR="005D5F4B" w:rsidRPr="00DB11A6">
        <w:rPr>
          <w:rFonts w:ascii="Arial" w:hAnsi="Arial" w:cs="Arial"/>
          <w:bCs/>
        </w:rPr>
        <w:t xml:space="preserve"> 67.79% (</w:t>
      </w:r>
      <w:r w:rsidR="00122428" w:rsidRPr="00DB11A6">
        <w:rPr>
          <w:rFonts w:ascii="Arial" w:hAnsi="Arial" w:cs="Arial"/>
          <w:bCs/>
        </w:rPr>
        <w:t>P=0.0104</w:t>
      </w:r>
      <w:r w:rsidR="005D5F4B" w:rsidRPr="00DB11A6">
        <w:rPr>
          <w:rFonts w:ascii="Arial" w:hAnsi="Arial" w:cs="Arial"/>
          <w:bCs/>
        </w:rPr>
        <w:t xml:space="preserve">), 21.95% </w:t>
      </w:r>
      <w:r w:rsidR="00C66FBF" w:rsidRPr="00DB11A6">
        <w:rPr>
          <w:rFonts w:ascii="Arial" w:hAnsi="Arial" w:cs="Arial"/>
          <w:bCs/>
        </w:rPr>
        <w:t>vs</w:t>
      </w:r>
      <w:r w:rsidR="005D5F4B" w:rsidRPr="00DB11A6">
        <w:rPr>
          <w:rFonts w:ascii="Arial" w:hAnsi="Arial" w:cs="Arial"/>
          <w:bCs/>
        </w:rPr>
        <w:t xml:space="preserve"> 141.43% (</w:t>
      </w:r>
      <w:r w:rsidR="00122428" w:rsidRPr="00DB11A6">
        <w:rPr>
          <w:rFonts w:ascii="Arial" w:hAnsi="Arial" w:cs="Arial"/>
          <w:bCs/>
        </w:rPr>
        <w:t>P=0.0007</w:t>
      </w:r>
      <w:r w:rsidR="005D5F4B" w:rsidRPr="00DB11A6">
        <w:rPr>
          <w:rFonts w:ascii="Arial" w:hAnsi="Arial" w:cs="Arial"/>
          <w:bCs/>
        </w:rPr>
        <w:t xml:space="preserve">), and </w:t>
      </w:r>
      <w:r w:rsidR="00122428" w:rsidRPr="00DB11A6">
        <w:rPr>
          <w:rFonts w:ascii="Arial" w:hAnsi="Arial" w:cs="Arial"/>
          <w:bCs/>
        </w:rPr>
        <w:t xml:space="preserve">25.35% </w:t>
      </w:r>
      <w:r w:rsidR="00C66FBF" w:rsidRPr="00DB11A6">
        <w:rPr>
          <w:rFonts w:ascii="Arial" w:hAnsi="Arial" w:cs="Arial"/>
          <w:bCs/>
        </w:rPr>
        <w:t xml:space="preserve">vs </w:t>
      </w:r>
      <w:r w:rsidR="00122428" w:rsidRPr="00DB11A6">
        <w:rPr>
          <w:rFonts w:ascii="Arial" w:hAnsi="Arial" w:cs="Arial"/>
          <w:bCs/>
        </w:rPr>
        <w:t>309.71% (P=0.0002), respectively</w:t>
      </w:r>
      <w:r w:rsidR="00B544FA" w:rsidRPr="00DB11A6">
        <w:rPr>
          <w:rFonts w:ascii="Arial" w:hAnsi="Arial" w:cs="Arial"/>
          <w:bCs/>
        </w:rPr>
        <w:t>)</w:t>
      </w:r>
      <w:r w:rsidR="00122428" w:rsidRPr="00DB11A6">
        <w:rPr>
          <w:rFonts w:ascii="Arial" w:hAnsi="Arial" w:cs="Arial"/>
          <w:bCs/>
        </w:rPr>
        <w:t xml:space="preserve">. </w:t>
      </w:r>
      <w:r w:rsidR="00306C71" w:rsidRPr="00DB11A6">
        <w:rPr>
          <w:rFonts w:ascii="Arial" w:hAnsi="Arial" w:cs="Arial"/>
          <w:b/>
        </w:rPr>
        <w:br w:type="page"/>
      </w:r>
    </w:p>
    <w:p w14:paraId="1DC820B1" w14:textId="7A186A8B" w:rsidR="00991346" w:rsidRPr="00DB11A6" w:rsidRDefault="002F56FA" w:rsidP="00306C71">
      <w:pPr>
        <w:spacing w:line="480" w:lineRule="auto"/>
        <w:contextualSpacing/>
        <w:rPr>
          <w:rFonts w:ascii="Arial" w:hAnsi="Arial" w:cs="Arial"/>
        </w:rPr>
      </w:pPr>
      <w:r w:rsidRPr="00DB11A6">
        <w:rPr>
          <w:rFonts w:ascii="Arial" w:hAnsi="Arial" w:cs="Arial"/>
          <w:b/>
        </w:rPr>
        <w:lastRenderedPageBreak/>
        <w:t>D</w:t>
      </w:r>
      <w:r w:rsidR="00856581" w:rsidRPr="00DB11A6">
        <w:rPr>
          <w:rFonts w:ascii="Arial" w:hAnsi="Arial" w:cs="Arial"/>
          <w:b/>
        </w:rPr>
        <w:t>ISCUSSION</w:t>
      </w:r>
      <w:r w:rsidR="00ED02C9" w:rsidRPr="00DB11A6">
        <w:rPr>
          <w:rFonts w:ascii="Arial" w:hAnsi="Arial" w:cs="Arial"/>
          <w:b/>
        </w:rPr>
        <w:t xml:space="preserve"> </w:t>
      </w:r>
    </w:p>
    <w:p w14:paraId="219AE52B" w14:textId="0E2353D8" w:rsidR="004C164C" w:rsidRPr="00DB11A6" w:rsidRDefault="004C164C" w:rsidP="00306C71">
      <w:pPr>
        <w:spacing w:line="480" w:lineRule="auto"/>
        <w:contextualSpacing/>
        <w:rPr>
          <w:rFonts w:ascii="Arial" w:hAnsi="Arial" w:cs="Arial"/>
        </w:rPr>
      </w:pPr>
      <w:r w:rsidRPr="00DB11A6">
        <w:rPr>
          <w:rFonts w:ascii="Arial" w:hAnsi="Arial" w:cs="Arial"/>
        </w:rPr>
        <w:t xml:space="preserve">Our findings show a </w:t>
      </w:r>
      <w:r w:rsidR="00F57CC5" w:rsidRPr="00DB11A6">
        <w:rPr>
          <w:rFonts w:ascii="Arial" w:hAnsi="Arial" w:cs="Arial"/>
        </w:rPr>
        <w:t>significant</w:t>
      </w:r>
      <w:r w:rsidRPr="00DB11A6">
        <w:rPr>
          <w:rFonts w:ascii="Arial" w:hAnsi="Arial" w:cs="Arial"/>
        </w:rPr>
        <w:t xml:space="preserve"> increase </w:t>
      </w:r>
      <w:r w:rsidR="002D5489" w:rsidRPr="00DB11A6">
        <w:rPr>
          <w:rFonts w:ascii="Arial" w:hAnsi="Arial" w:cs="Arial"/>
        </w:rPr>
        <w:t xml:space="preserve">in HRU across </w:t>
      </w:r>
      <w:r w:rsidR="00E83863" w:rsidRPr="00DB11A6">
        <w:rPr>
          <w:rFonts w:ascii="Arial" w:hAnsi="Arial" w:cs="Arial"/>
        </w:rPr>
        <w:t>several</w:t>
      </w:r>
      <w:r w:rsidR="004F26C5" w:rsidRPr="00DB11A6">
        <w:rPr>
          <w:rFonts w:ascii="Arial" w:hAnsi="Arial" w:cs="Arial"/>
        </w:rPr>
        <w:t xml:space="preserve"> domains</w:t>
      </w:r>
      <w:r w:rsidR="00CA2BFC" w:rsidRPr="00DB11A6">
        <w:rPr>
          <w:rFonts w:ascii="Arial" w:hAnsi="Arial" w:cs="Arial"/>
        </w:rPr>
        <w:t xml:space="preserve"> prior to </w:t>
      </w:r>
      <w:r w:rsidR="005C666E" w:rsidRPr="00DB11A6">
        <w:rPr>
          <w:rFonts w:ascii="Arial" w:hAnsi="Arial" w:cs="Arial"/>
        </w:rPr>
        <w:t xml:space="preserve">a </w:t>
      </w:r>
      <w:r w:rsidR="00CA2BFC" w:rsidRPr="00DB11A6">
        <w:rPr>
          <w:rFonts w:ascii="Arial" w:hAnsi="Arial" w:cs="Arial"/>
        </w:rPr>
        <w:t>PFCS diagnosis</w:t>
      </w:r>
      <w:r w:rsidR="004F26C5" w:rsidRPr="00DB11A6">
        <w:rPr>
          <w:rFonts w:ascii="Arial" w:hAnsi="Arial" w:cs="Arial"/>
        </w:rPr>
        <w:t xml:space="preserve">: </w:t>
      </w:r>
      <w:r w:rsidR="00FB3070" w:rsidRPr="00DB11A6">
        <w:rPr>
          <w:rFonts w:ascii="Arial" w:hAnsi="Arial" w:cs="Arial"/>
        </w:rPr>
        <w:t>cough</w:t>
      </w:r>
      <w:r w:rsidRPr="00DB11A6">
        <w:rPr>
          <w:rFonts w:ascii="Arial" w:hAnsi="Arial" w:cs="Arial"/>
        </w:rPr>
        <w:t xml:space="preserve">, </w:t>
      </w:r>
      <w:r w:rsidR="002D5489" w:rsidRPr="00DB11A6">
        <w:rPr>
          <w:rFonts w:ascii="Arial" w:hAnsi="Arial" w:cs="Arial"/>
        </w:rPr>
        <w:t xml:space="preserve">LR </w:t>
      </w:r>
      <w:r w:rsidR="004F26C5" w:rsidRPr="00DB11A6">
        <w:rPr>
          <w:rFonts w:ascii="Arial" w:hAnsi="Arial" w:cs="Arial"/>
        </w:rPr>
        <w:t xml:space="preserve">consultations, </w:t>
      </w:r>
      <w:r w:rsidRPr="00DB11A6">
        <w:rPr>
          <w:rFonts w:ascii="Arial" w:hAnsi="Arial" w:cs="Arial"/>
        </w:rPr>
        <w:t>antibiotic</w:t>
      </w:r>
      <w:r w:rsidR="004F26C5" w:rsidRPr="00DB11A6">
        <w:rPr>
          <w:rFonts w:ascii="Arial" w:hAnsi="Arial" w:cs="Arial"/>
        </w:rPr>
        <w:t xml:space="preserve"> and </w:t>
      </w:r>
      <w:r w:rsidR="00654132" w:rsidRPr="00DB11A6">
        <w:rPr>
          <w:rFonts w:ascii="Arial" w:hAnsi="Arial" w:cs="Arial"/>
        </w:rPr>
        <w:t xml:space="preserve">acute </w:t>
      </w:r>
      <w:r w:rsidR="004F26C5" w:rsidRPr="00DB11A6">
        <w:rPr>
          <w:rFonts w:ascii="Arial" w:hAnsi="Arial" w:cs="Arial"/>
        </w:rPr>
        <w:t>steroid prescriptions</w:t>
      </w:r>
      <w:r w:rsidR="00711C70" w:rsidRPr="00DB11A6">
        <w:rPr>
          <w:rFonts w:ascii="Arial" w:hAnsi="Arial" w:cs="Arial"/>
        </w:rPr>
        <w:t>,</w:t>
      </w:r>
      <w:r w:rsidR="004F26C5" w:rsidRPr="00DB11A6">
        <w:rPr>
          <w:rFonts w:ascii="Arial" w:hAnsi="Arial" w:cs="Arial"/>
        </w:rPr>
        <w:t xml:space="preserve"> </w:t>
      </w:r>
      <w:r w:rsidRPr="00DB11A6">
        <w:rPr>
          <w:rFonts w:ascii="Arial" w:hAnsi="Arial" w:cs="Arial"/>
        </w:rPr>
        <w:t xml:space="preserve">and </w:t>
      </w:r>
      <w:r w:rsidR="002D5489" w:rsidRPr="00DB11A6">
        <w:rPr>
          <w:rFonts w:ascii="Arial" w:hAnsi="Arial" w:cs="Arial"/>
        </w:rPr>
        <w:t>CXR</w:t>
      </w:r>
      <w:r w:rsidRPr="00DB11A6">
        <w:rPr>
          <w:rFonts w:ascii="Arial" w:hAnsi="Arial" w:cs="Arial"/>
        </w:rPr>
        <w:t>.</w:t>
      </w:r>
      <w:r w:rsidR="004E36B4" w:rsidRPr="00DB11A6">
        <w:rPr>
          <w:rFonts w:ascii="Arial" w:hAnsi="Arial" w:cs="Arial"/>
        </w:rPr>
        <w:t xml:space="preserve"> </w:t>
      </w:r>
      <w:r w:rsidR="009B57E4" w:rsidRPr="00DB11A6">
        <w:rPr>
          <w:rFonts w:ascii="Arial" w:hAnsi="Arial" w:cs="Arial"/>
        </w:rPr>
        <w:t>Eighteen percent</w:t>
      </w:r>
      <w:r w:rsidR="00D779CB" w:rsidRPr="00DB11A6">
        <w:rPr>
          <w:rFonts w:ascii="Arial" w:hAnsi="Arial" w:cs="Arial"/>
        </w:rPr>
        <w:t xml:space="preserve"> of patients made multiple </w:t>
      </w:r>
      <w:r w:rsidR="00B60A04" w:rsidRPr="00DB11A6">
        <w:rPr>
          <w:rFonts w:ascii="Arial" w:hAnsi="Arial" w:cs="Arial"/>
        </w:rPr>
        <w:t>primary care visits</w:t>
      </w:r>
      <w:r w:rsidR="00D779CB" w:rsidRPr="00DB11A6">
        <w:rPr>
          <w:rFonts w:ascii="Arial" w:hAnsi="Arial" w:cs="Arial"/>
        </w:rPr>
        <w:t xml:space="preserve"> </w:t>
      </w:r>
      <w:r w:rsidR="00A36D44" w:rsidRPr="00DB11A6">
        <w:rPr>
          <w:rFonts w:ascii="Arial" w:hAnsi="Arial" w:cs="Arial"/>
        </w:rPr>
        <w:t>for</w:t>
      </w:r>
      <w:r w:rsidR="00D779CB" w:rsidRPr="00DB11A6">
        <w:rPr>
          <w:rFonts w:ascii="Arial" w:hAnsi="Arial" w:cs="Arial"/>
        </w:rPr>
        <w:t xml:space="preserve"> LR complaint</w:t>
      </w:r>
      <w:r w:rsidR="00A36D44" w:rsidRPr="00DB11A6">
        <w:rPr>
          <w:rFonts w:ascii="Arial" w:hAnsi="Arial" w:cs="Arial"/>
        </w:rPr>
        <w:t>s</w:t>
      </w:r>
      <w:r w:rsidR="00D779CB" w:rsidRPr="00DB11A6">
        <w:rPr>
          <w:rFonts w:ascii="Arial" w:hAnsi="Arial" w:cs="Arial"/>
        </w:rPr>
        <w:t xml:space="preserve"> five years before PFCS</w:t>
      </w:r>
      <w:r w:rsidR="00B60A04" w:rsidRPr="00DB11A6">
        <w:rPr>
          <w:rFonts w:ascii="Arial" w:hAnsi="Arial" w:cs="Arial"/>
        </w:rPr>
        <w:t xml:space="preserve"> diagnosis</w:t>
      </w:r>
      <w:r w:rsidR="00D779CB" w:rsidRPr="00DB11A6">
        <w:rPr>
          <w:rFonts w:ascii="Arial" w:hAnsi="Arial" w:cs="Arial"/>
        </w:rPr>
        <w:t xml:space="preserve">; </w:t>
      </w:r>
      <w:r w:rsidR="009C5A6F" w:rsidRPr="00DB11A6">
        <w:rPr>
          <w:rFonts w:ascii="Arial" w:hAnsi="Arial" w:cs="Arial"/>
        </w:rPr>
        <w:t>i</w:t>
      </w:r>
      <w:r w:rsidR="00FB1254" w:rsidRPr="00DB11A6">
        <w:rPr>
          <w:rFonts w:ascii="Arial" w:hAnsi="Arial" w:cs="Arial"/>
        </w:rPr>
        <w:t>ncreas</w:t>
      </w:r>
      <w:r w:rsidR="009C5A6F" w:rsidRPr="00DB11A6">
        <w:rPr>
          <w:rFonts w:ascii="Arial" w:hAnsi="Arial" w:cs="Arial"/>
        </w:rPr>
        <w:t>ing</w:t>
      </w:r>
      <w:r w:rsidR="00FB1254" w:rsidRPr="00DB11A6">
        <w:rPr>
          <w:rFonts w:ascii="Arial" w:hAnsi="Arial" w:cs="Arial"/>
        </w:rPr>
        <w:t xml:space="preserve"> to </w:t>
      </w:r>
      <w:r w:rsidR="009B57E4" w:rsidRPr="00DB11A6">
        <w:rPr>
          <w:rFonts w:ascii="Arial" w:hAnsi="Arial" w:cs="Arial"/>
        </w:rPr>
        <w:t xml:space="preserve">almost </w:t>
      </w:r>
      <w:r w:rsidR="000B6C94" w:rsidRPr="00DB11A6">
        <w:rPr>
          <w:rFonts w:ascii="Arial" w:hAnsi="Arial" w:cs="Arial"/>
        </w:rPr>
        <w:t>80%</w:t>
      </w:r>
      <w:r w:rsidR="00D779CB" w:rsidRPr="00DB11A6">
        <w:rPr>
          <w:rFonts w:ascii="Arial" w:hAnsi="Arial" w:cs="Arial"/>
        </w:rPr>
        <w:t xml:space="preserve"> </w:t>
      </w:r>
      <w:r w:rsidR="00C662FC" w:rsidRPr="00DB11A6">
        <w:rPr>
          <w:rFonts w:ascii="Arial" w:hAnsi="Arial" w:cs="Arial"/>
        </w:rPr>
        <w:t>one</w:t>
      </w:r>
      <w:r w:rsidR="00D779CB" w:rsidRPr="00DB11A6">
        <w:rPr>
          <w:rFonts w:ascii="Arial" w:hAnsi="Arial" w:cs="Arial"/>
        </w:rPr>
        <w:t xml:space="preserve"> year before diagnosis</w:t>
      </w:r>
      <w:r w:rsidR="00E05E5A" w:rsidRPr="00DB11A6">
        <w:rPr>
          <w:rFonts w:ascii="Arial" w:hAnsi="Arial" w:cs="Arial"/>
        </w:rPr>
        <w:t>,</w:t>
      </w:r>
      <w:r w:rsidR="00FB1254" w:rsidRPr="00DB11A6">
        <w:rPr>
          <w:rFonts w:ascii="Arial" w:hAnsi="Arial" w:cs="Arial"/>
        </w:rPr>
        <w:t xml:space="preserve"> </w:t>
      </w:r>
      <w:r w:rsidR="0064554B" w:rsidRPr="00DB11A6">
        <w:rPr>
          <w:rFonts w:ascii="Arial" w:hAnsi="Arial" w:cs="Arial"/>
        </w:rPr>
        <w:t xml:space="preserve">with </w:t>
      </w:r>
      <w:r w:rsidR="000B6C94" w:rsidRPr="00DB11A6">
        <w:rPr>
          <w:rFonts w:ascii="Arial" w:hAnsi="Arial" w:cs="Arial"/>
        </w:rPr>
        <w:t>38%</w:t>
      </w:r>
      <w:r w:rsidR="00FB1254" w:rsidRPr="00DB11A6">
        <w:rPr>
          <w:rFonts w:ascii="Arial" w:hAnsi="Arial" w:cs="Arial"/>
        </w:rPr>
        <w:t xml:space="preserve"> having five or more</w:t>
      </w:r>
      <w:r w:rsidR="006E79CE" w:rsidRPr="00DB11A6">
        <w:rPr>
          <w:rFonts w:ascii="Arial" w:hAnsi="Arial" w:cs="Arial"/>
        </w:rPr>
        <w:t xml:space="preserve"> primary care contacts</w:t>
      </w:r>
      <w:r w:rsidR="003C2AAE" w:rsidRPr="00DB11A6">
        <w:rPr>
          <w:rFonts w:ascii="Arial" w:hAnsi="Arial" w:cs="Arial"/>
        </w:rPr>
        <w:t>.</w:t>
      </w:r>
      <w:r w:rsidR="00F121DF" w:rsidRPr="00DB11A6">
        <w:rPr>
          <w:rFonts w:ascii="Arial" w:hAnsi="Arial" w:cs="Arial"/>
        </w:rPr>
        <w:t xml:space="preserve"> </w:t>
      </w:r>
      <w:r w:rsidR="00EC5FBC" w:rsidRPr="00DB11A6">
        <w:rPr>
          <w:rFonts w:ascii="Arial" w:hAnsi="Arial" w:cs="Arial"/>
        </w:rPr>
        <w:t>Therefore,</w:t>
      </w:r>
      <w:r w:rsidR="00D6213B" w:rsidRPr="00DB11A6">
        <w:rPr>
          <w:rFonts w:ascii="Arial" w:hAnsi="Arial" w:cs="Arial"/>
        </w:rPr>
        <w:t xml:space="preserve"> </w:t>
      </w:r>
      <w:r w:rsidRPr="00DB11A6">
        <w:rPr>
          <w:rFonts w:ascii="Arial" w:hAnsi="Arial" w:cs="Arial"/>
        </w:rPr>
        <w:t>opportunities</w:t>
      </w:r>
      <w:r w:rsidR="00D779CB" w:rsidRPr="00DB11A6">
        <w:rPr>
          <w:rFonts w:ascii="Arial" w:hAnsi="Arial" w:cs="Arial"/>
        </w:rPr>
        <w:t xml:space="preserve"> exist</w:t>
      </w:r>
      <w:r w:rsidR="006875A7" w:rsidRPr="00DB11A6">
        <w:rPr>
          <w:rFonts w:ascii="Arial" w:hAnsi="Arial" w:cs="Arial"/>
        </w:rPr>
        <w:t xml:space="preserve"> </w:t>
      </w:r>
      <w:r w:rsidRPr="00DB11A6">
        <w:rPr>
          <w:rFonts w:ascii="Arial" w:hAnsi="Arial" w:cs="Arial"/>
        </w:rPr>
        <w:t xml:space="preserve">for earlier </w:t>
      </w:r>
      <w:r w:rsidR="002316AD" w:rsidRPr="00DB11A6">
        <w:rPr>
          <w:rFonts w:ascii="Arial" w:hAnsi="Arial" w:cs="Arial"/>
        </w:rPr>
        <w:t xml:space="preserve">referral for </w:t>
      </w:r>
      <w:r w:rsidR="00F93632" w:rsidRPr="00DB11A6">
        <w:rPr>
          <w:rFonts w:ascii="Arial" w:hAnsi="Arial" w:cs="Arial"/>
        </w:rPr>
        <w:t>pulmonary fibrosis</w:t>
      </w:r>
      <w:r w:rsidR="00D7383D" w:rsidRPr="00DB11A6">
        <w:rPr>
          <w:rFonts w:ascii="Arial" w:hAnsi="Arial" w:cs="Arial"/>
        </w:rPr>
        <w:t xml:space="preserve"> </w:t>
      </w:r>
      <w:r w:rsidR="0064554B" w:rsidRPr="00DB11A6">
        <w:rPr>
          <w:rFonts w:ascii="Arial" w:hAnsi="Arial" w:cs="Arial"/>
        </w:rPr>
        <w:t xml:space="preserve">suspected </w:t>
      </w:r>
      <w:r w:rsidR="00D7383D" w:rsidRPr="00DB11A6">
        <w:rPr>
          <w:rFonts w:ascii="Arial" w:hAnsi="Arial" w:cs="Arial"/>
        </w:rPr>
        <w:t>in primary care</w:t>
      </w:r>
      <w:r w:rsidRPr="00DB11A6">
        <w:rPr>
          <w:rFonts w:ascii="Arial" w:hAnsi="Arial" w:cs="Arial"/>
        </w:rPr>
        <w:t>.</w:t>
      </w:r>
    </w:p>
    <w:p w14:paraId="4E56654F" w14:textId="77777777" w:rsidR="00A31372" w:rsidRPr="00DB11A6" w:rsidRDefault="00A31372" w:rsidP="00306C71">
      <w:pPr>
        <w:spacing w:line="480" w:lineRule="auto"/>
        <w:contextualSpacing/>
        <w:rPr>
          <w:rFonts w:ascii="Arial" w:hAnsi="Arial" w:cs="Arial"/>
        </w:rPr>
      </w:pPr>
    </w:p>
    <w:p w14:paraId="63795480" w14:textId="182CA241" w:rsidR="004F26C5" w:rsidRPr="00DB11A6" w:rsidRDefault="00CD0E8B" w:rsidP="00306C71">
      <w:pPr>
        <w:spacing w:line="480" w:lineRule="auto"/>
        <w:rPr>
          <w:rFonts w:ascii="Arial" w:hAnsi="Arial" w:cs="Arial"/>
        </w:rPr>
      </w:pPr>
      <w:r w:rsidRPr="00DB11A6">
        <w:rPr>
          <w:rFonts w:ascii="Arial" w:hAnsi="Arial" w:cs="Arial"/>
        </w:rPr>
        <w:t>Whilst</w:t>
      </w:r>
      <w:r w:rsidR="00391547" w:rsidRPr="00DB11A6">
        <w:rPr>
          <w:rFonts w:ascii="Arial" w:hAnsi="Arial" w:cs="Arial"/>
        </w:rPr>
        <w:t xml:space="preserve"> the</w:t>
      </w:r>
      <w:r w:rsidR="00B42ED9" w:rsidRPr="00DB11A6">
        <w:rPr>
          <w:rFonts w:ascii="Arial" w:hAnsi="Arial" w:cs="Arial"/>
        </w:rPr>
        <w:t xml:space="preserve"> natural histor</w:t>
      </w:r>
      <w:r w:rsidR="004F26C5" w:rsidRPr="00DB11A6">
        <w:rPr>
          <w:rFonts w:ascii="Arial" w:hAnsi="Arial" w:cs="Arial"/>
        </w:rPr>
        <w:t>y</w:t>
      </w:r>
      <w:r w:rsidR="00B42ED9" w:rsidRPr="00DB11A6">
        <w:rPr>
          <w:rFonts w:ascii="Arial" w:hAnsi="Arial" w:cs="Arial"/>
        </w:rPr>
        <w:t xml:space="preserve"> of </w:t>
      </w:r>
      <w:r w:rsidR="006F0762" w:rsidRPr="00DB11A6">
        <w:rPr>
          <w:rFonts w:ascii="Arial" w:hAnsi="Arial" w:cs="Arial"/>
        </w:rPr>
        <w:t>OLD</w:t>
      </w:r>
      <w:r w:rsidR="00B42ED9" w:rsidRPr="00DB11A6">
        <w:rPr>
          <w:rFonts w:ascii="Arial" w:hAnsi="Arial" w:cs="Arial"/>
        </w:rPr>
        <w:t xml:space="preserve"> </w:t>
      </w:r>
      <w:r w:rsidR="00391547" w:rsidRPr="00DB11A6">
        <w:rPr>
          <w:rFonts w:ascii="Arial" w:hAnsi="Arial" w:cs="Arial"/>
        </w:rPr>
        <w:t>is growing</w:t>
      </w:r>
      <w:r w:rsidR="00AB5CC4" w:rsidRPr="00DB11A6">
        <w:rPr>
          <w:rFonts w:ascii="Arial" w:hAnsi="Arial" w:cs="Arial"/>
        </w:rPr>
        <w:t xml:space="preserve"> [</w:t>
      </w:r>
      <w:r w:rsidR="00D50DA1" w:rsidRPr="00DB11A6">
        <w:rPr>
          <w:rFonts w:ascii="Arial" w:hAnsi="Arial" w:cs="Arial"/>
        </w:rPr>
        <w:t>20</w:t>
      </w:r>
      <w:r w:rsidR="00AB5CC4" w:rsidRPr="00DB11A6">
        <w:rPr>
          <w:rFonts w:ascii="Arial" w:hAnsi="Arial" w:cs="Arial"/>
        </w:rPr>
        <w:t>]</w:t>
      </w:r>
      <w:r w:rsidR="0026434C" w:rsidRPr="00DB11A6">
        <w:rPr>
          <w:rFonts w:ascii="Arial" w:hAnsi="Arial" w:cs="Arial"/>
        </w:rPr>
        <w:t>,</w:t>
      </w:r>
      <w:r w:rsidR="00391547" w:rsidRPr="00DB11A6">
        <w:rPr>
          <w:rFonts w:ascii="Arial" w:hAnsi="Arial" w:cs="Arial"/>
        </w:rPr>
        <w:t xml:space="preserve"> that of </w:t>
      </w:r>
      <w:r w:rsidR="00B42ED9" w:rsidRPr="00DB11A6">
        <w:rPr>
          <w:rFonts w:ascii="Arial" w:hAnsi="Arial" w:cs="Arial"/>
        </w:rPr>
        <w:t>fibrotic lung diseases</w:t>
      </w:r>
      <w:r w:rsidR="00391547" w:rsidRPr="00DB11A6">
        <w:rPr>
          <w:rFonts w:ascii="Arial" w:hAnsi="Arial" w:cs="Arial"/>
        </w:rPr>
        <w:t xml:space="preserve"> remains limited</w:t>
      </w:r>
      <w:r w:rsidR="004F26C5" w:rsidRPr="00DB11A6">
        <w:rPr>
          <w:rFonts w:ascii="Arial" w:hAnsi="Arial" w:cs="Arial"/>
        </w:rPr>
        <w:t xml:space="preserve">. </w:t>
      </w:r>
      <w:r w:rsidRPr="00DB11A6">
        <w:rPr>
          <w:rFonts w:ascii="Arial" w:hAnsi="Arial" w:cs="Arial"/>
        </w:rPr>
        <w:t>R</w:t>
      </w:r>
      <w:r w:rsidR="004F26C5" w:rsidRPr="00DB11A6">
        <w:rPr>
          <w:rFonts w:ascii="Arial" w:hAnsi="Arial" w:cs="Arial"/>
        </w:rPr>
        <w:t xml:space="preserve">esearch into </w:t>
      </w:r>
      <w:r w:rsidR="00DF1B82" w:rsidRPr="00DB11A6">
        <w:rPr>
          <w:rFonts w:ascii="Arial" w:hAnsi="Arial" w:cs="Arial"/>
        </w:rPr>
        <w:t xml:space="preserve">fibrotic lung disease </w:t>
      </w:r>
      <w:r w:rsidR="004F26C5" w:rsidRPr="00DB11A6">
        <w:rPr>
          <w:rFonts w:ascii="Arial" w:hAnsi="Arial" w:cs="Arial"/>
        </w:rPr>
        <w:t xml:space="preserve">has traditionally been </w:t>
      </w:r>
      <w:r w:rsidR="00391547" w:rsidRPr="00DB11A6">
        <w:rPr>
          <w:rFonts w:ascii="Arial" w:hAnsi="Arial" w:cs="Arial"/>
        </w:rPr>
        <w:t xml:space="preserve">restricted to </w:t>
      </w:r>
      <w:r w:rsidR="004F26C5" w:rsidRPr="00DB11A6">
        <w:rPr>
          <w:rFonts w:ascii="Arial" w:hAnsi="Arial" w:cs="Arial"/>
        </w:rPr>
        <w:t>evaluation</w:t>
      </w:r>
      <w:r w:rsidR="002D5489" w:rsidRPr="00DB11A6">
        <w:rPr>
          <w:rFonts w:ascii="Arial" w:hAnsi="Arial" w:cs="Arial"/>
        </w:rPr>
        <w:t>s conducted</w:t>
      </w:r>
      <w:r w:rsidR="004F26C5" w:rsidRPr="00DB11A6">
        <w:rPr>
          <w:rFonts w:ascii="Arial" w:hAnsi="Arial" w:cs="Arial"/>
        </w:rPr>
        <w:t xml:space="preserve"> </w:t>
      </w:r>
      <w:r w:rsidR="00F93632" w:rsidRPr="00DB11A6">
        <w:rPr>
          <w:rFonts w:ascii="Arial" w:hAnsi="Arial" w:cs="Arial"/>
        </w:rPr>
        <w:t xml:space="preserve">within </w:t>
      </w:r>
      <w:r w:rsidRPr="00DB11A6">
        <w:rPr>
          <w:rFonts w:ascii="Arial" w:hAnsi="Arial" w:cs="Arial"/>
        </w:rPr>
        <w:t xml:space="preserve">specialist </w:t>
      </w:r>
      <w:r w:rsidR="00F93632" w:rsidRPr="00DB11A6">
        <w:rPr>
          <w:rFonts w:ascii="Arial" w:hAnsi="Arial" w:cs="Arial"/>
        </w:rPr>
        <w:t>centres</w:t>
      </w:r>
      <w:r w:rsidR="00E129AF" w:rsidRPr="00DB11A6">
        <w:rPr>
          <w:rFonts w:ascii="Arial" w:hAnsi="Arial" w:cs="Arial"/>
        </w:rPr>
        <w:t xml:space="preserve">; </w:t>
      </w:r>
      <w:r w:rsidR="004F26C5" w:rsidRPr="00DB11A6">
        <w:rPr>
          <w:rFonts w:ascii="Arial" w:hAnsi="Arial" w:cs="Arial"/>
        </w:rPr>
        <w:t>l</w:t>
      </w:r>
      <w:r w:rsidR="00B42ED9" w:rsidRPr="00DB11A6">
        <w:rPr>
          <w:rFonts w:ascii="Arial" w:hAnsi="Arial" w:cs="Arial"/>
        </w:rPr>
        <w:t>arge</w:t>
      </w:r>
      <w:r w:rsidR="002D5489" w:rsidRPr="00DB11A6">
        <w:rPr>
          <w:rFonts w:ascii="Arial" w:hAnsi="Arial" w:cs="Arial"/>
        </w:rPr>
        <w:t>-</w:t>
      </w:r>
      <w:r w:rsidR="00B42ED9" w:rsidRPr="00DB11A6">
        <w:rPr>
          <w:rFonts w:ascii="Arial" w:hAnsi="Arial" w:cs="Arial"/>
        </w:rPr>
        <w:t>scale primary care databases</w:t>
      </w:r>
      <w:r w:rsidR="004F26C5" w:rsidRPr="00DB11A6">
        <w:rPr>
          <w:rFonts w:ascii="Arial" w:hAnsi="Arial" w:cs="Arial"/>
        </w:rPr>
        <w:t xml:space="preserve"> offer an</w:t>
      </w:r>
      <w:r w:rsidR="00B42ED9" w:rsidRPr="00DB11A6">
        <w:rPr>
          <w:rFonts w:ascii="Arial" w:hAnsi="Arial" w:cs="Arial"/>
        </w:rPr>
        <w:t xml:space="preserve"> opportunity to </w:t>
      </w:r>
      <w:r w:rsidR="00BA7808" w:rsidRPr="00DB11A6">
        <w:rPr>
          <w:rFonts w:ascii="Arial" w:hAnsi="Arial" w:cs="Arial"/>
        </w:rPr>
        <w:t>study more</w:t>
      </w:r>
      <w:r w:rsidR="004F26C5" w:rsidRPr="00DB11A6">
        <w:rPr>
          <w:rFonts w:ascii="Arial" w:hAnsi="Arial" w:cs="Arial"/>
        </w:rPr>
        <w:t xml:space="preserve"> widely representative </w:t>
      </w:r>
      <w:r w:rsidR="00DF1B82" w:rsidRPr="00DB11A6">
        <w:rPr>
          <w:rFonts w:ascii="Arial" w:hAnsi="Arial" w:cs="Arial"/>
        </w:rPr>
        <w:t>and generali</w:t>
      </w:r>
      <w:r w:rsidR="002D5489" w:rsidRPr="00DB11A6">
        <w:rPr>
          <w:rFonts w:ascii="Arial" w:hAnsi="Arial" w:cs="Arial"/>
        </w:rPr>
        <w:t>s</w:t>
      </w:r>
      <w:r w:rsidR="00DF1B82" w:rsidRPr="00DB11A6">
        <w:rPr>
          <w:rFonts w:ascii="Arial" w:hAnsi="Arial" w:cs="Arial"/>
        </w:rPr>
        <w:t xml:space="preserve">able </w:t>
      </w:r>
      <w:r w:rsidR="004F26C5" w:rsidRPr="00DB11A6">
        <w:rPr>
          <w:rFonts w:ascii="Arial" w:hAnsi="Arial" w:cs="Arial"/>
        </w:rPr>
        <w:t>populations</w:t>
      </w:r>
      <w:r w:rsidR="00B42ED9" w:rsidRPr="00DB11A6">
        <w:rPr>
          <w:rFonts w:ascii="Arial" w:hAnsi="Arial" w:cs="Arial"/>
        </w:rPr>
        <w:t xml:space="preserve">. </w:t>
      </w:r>
    </w:p>
    <w:p w14:paraId="40AB934F" w14:textId="77777777" w:rsidR="004F26C5" w:rsidRPr="00DB11A6" w:rsidRDefault="004F26C5" w:rsidP="00306C71">
      <w:pPr>
        <w:spacing w:line="480" w:lineRule="auto"/>
        <w:rPr>
          <w:rFonts w:ascii="Arial" w:hAnsi="Arial" w:cs="Arial"/>
        </w:rPr>
      </w:pPr>
    </w:p>
    <w:p w14:paraId="113F0B41" w14:textId="46CB8789" w:rsidR="00AF6598" w:rsidRPr="00DB11A6" w:rsidRDefault="00A81DEB" w:rsidP="00306C71">
      <w:pPr>
        <w:spacing w:line="480" w:lineRule="auto"/>
        <w:rPr>
          <w:rFonts w:ascii="Arial" w:hAnsi="Arial" w:cs="Arial"/>
        </w:rPr>
      </w:pPr>
      <w:r w:rsidRPr="00DB11A6">
        <w:rPr>
          <w:rFonts w:ascii="Arial" w:hAnsi="Arial" w:cs="Arial"/>
        </w:rPr>
        <w:t>We analysed a</w:t>
      </w:r>
      <w:r w:rsidR="00F74E4D" w:rsidRPr="00DB11A6">
        <w:rPr>
          <w:rFonts w:ascii="Arial" w:hAnsi="Arial" w:cs="Arial"/>
        </w:rPr>
        <w:t xml:space="preserve"> high-quality</w:t>
      </w:r>
      <w:r w:rsidRPr="00DB11A6">
        <w:rPr>
          <w:rFonts w:ascii="Arial" w:hAnsi="Arial" w:cs="Arial"/>
        </w:rPr>
        <w:t xml:space="preserve"> dataset</w:t>
      </w:r>
      <w:r w:rsidR="00F425A3" w:rsidRPr="00DB11A6">
        <w:rPr>
          <w:rFonts w:ascii="Arial" w:hAnsi="Arial" w:cs="Arial"/>
        </w:rPr>
        <w:t xml:space="preserve"> widely used in primary care studies </w:t>
      </w:r>
      <w:r w:rsidR="00AB5CC4" w:rsidRPr="00DB11A6">
        <w:rPr>
          <w:rFonts w:ascii="Arial" w:hAnsi="Arial" w:cs="Arial"/>
        </w:rPr>
        <w:t>[</w:t>
      </w:r>
      <w:r w:rsidR="004034C1" w:rsidRPr="00DB11A6">
        <w:rPr>
          <w:rFonts w:ascii="Arial" w:hAnsi="Arial" w:cs="Arial"/>
        </w:rPr>
        <w:t>1</w:t>
      </w:r>
      <w:r w:rsidR="005C3A9C" w:rsidRPr="00DB11A6">
        <w:rPr>
          <w:rFonts w:ascii="Arial" w:hAnsi="Arial" w:cs="Arial"/>
        </w:rPr>
        <w:t>7</w:t>
      </w:r>
      <w:r w:rsidR="009232B0" w:rsidRPr="00DB11A6">
        <w:rPr>
          <w:rFonts w:ascii="Arial" w:hAnsi="Arial" w:cs="Arial"/>
        </w:rPr>
        <w:t>,</w:t>
      </w:r>
      <w:r w:rsidR="00D50DA1" w:rsidRPr="00DB11A6">
        <w:rPr>
          <w:rFonts w:ascii="Arial" w:hAnsi="Arial" w:cs="Arial"/>
        </w:rPr>
        <w:t>20]</w:t>
      </w:r>
      <w:r w:rsidR="00FB7593" w:rsidRPr="00DB11A6">
        <w:rPr>
          <w:rFonts w:ascii="Arial" w:hAnsi="Arial" w:cs="Arial"/>
        </w:rPr>
        <w:t>.</w:t>
      </w:r>
      <w:r w:rsidR="008E0893" w:rsidRPr="00DB11A6">
        <w:rPr>
          <w:rFonts w:ascii="Arial" w:hAnsi="Arial" w:cs="Arial"/>
        </w:rPr>
        <w:t xml:space="preserve"> </w:t>
      </w:r>
      <w:r w:rsidR="009D77EF" w:rsidRPr="00DB11A6">
        <w:rPr>
          <w:rFonts w:ascii="Arial" w:hAnsi="Arial" w:cs="Arial"/>
        </w:rPr>
        <w:t>A</w:t>
      </w:r>
      <w:r w:rsidR="00F425A3" w:rsidRPr="00DB11A6">
        <w:rPr>
          <w:rFonts w:ascii="Arial" w:hAnsi="Arial" w:cs="Arial"/>
        </w:rPr>
        <w:t>nthropomorphic and lung function measures are consistent with previous IPF cohort</w:t>
      </w:r>
      <w:r w:rsidR="00217CE9" w:rsidRPr="00DB11A6">
        <w:rPr>
          <w:rFonts w:ascii="Arial" w:hAnsi="Arial" w:cs="Arial"/>
        </w:rPr>
        <w:t xml:space="preserve">s </w:t>
      </w:r>
      <w:r w:rsidR="00AB5CC4" w:rsidRPr="00DB11A6">
        <w:rPr>
          <w:rFonts w:ascii="Arial" w:hAnsi="Arial" w:cs="Arial"/>
        </w:rPr>
        <w:t>[</w:t>
      </w:r>
      <w:r w:rsidR="005C3A9C" w:rsidRPr="00DB11A6">
        <w:rPr>
          <w:rFonts w:ascii="Arial" w:hAnsi="Arial" w:cs="Arial"/>
        </w:rPr>
        <w:t>6</w:t>
      </w:r>
      <w:r w:rsidR="004034C1" w:rsidRPr="00DB11A6">
        <w:rPr>
          <w:rFonts w:ascii="Arial" w:hAnsi="Arial" w:cs="Arial"/>
        </w:rPr>
        <w:t>,</w:t>
      </w:r>
      <w:r w:rsidR="005C3A9C" w:rsidRPr="00DB11A6">
        <w:rPr>
          <w:rFonts w:ascii="Arial" w:hAnsi="Arial" w:cs="Arial"/>
        </w:rPr>
        <w:t>8</w:t>
      </w:r>
      <w:r w:rsidR="004034C1" w:rsidRPr="00DB11A6">
        <w:rPr>
          <w:rFonts w:ascii="Arial" w:hAnsi="Arial" w:cs="Arial"/>
        </w:rPr>
        <w:t>,</w:t>
      </w:r>
      <w:r w:rsidR="005C3A9C" w:rsidRPr="00DB11A6">
        <w:rPr>
          <w:rFonts w:ascii="Arial" w:hAnsi="Arial" w:cs="Arial"/>
        </w:rPr>
        <w:t>9,2</w:t>
      </w:r>
      <w:r w:rsidR="00D50DA1" w:rsidRPr="00DB11A6">
        <w:rPr>
          <w:rFonts w:ascii="Arial" w:hAnsi="Arial" w:cs="Arial"/>
        </w:rPr>
        <w:t>1</w:t>
      </w:r>
      <w:r w:rsidR="00AB5CC4" w:rsidRPr="00DB11A6">
        <w:rPr>
          <w:rFonts w:ascii="Arial" w:hAnsi="Arial" w:cs="Arial"/>
        </w:rPr>
        <w:t>].</w:t>
      </w:r>
      <w:r w:rsidR="008E0893" w:rsidRPr="00DB11A6">
        <w:rPr>
          <w:rFonts w:ascii="Arial" w:hAnsi="Arial" w:cs="Arial"/>
        </w:rPr>
        <w:t xml:space="preserve"> </w:t>
      </w:r>
      <w:r w:rsidR="00F74E4D" w:rsidRPr="00DB11A6">
        <w:rPr>
          <w:rFonts w:ascii="Arial" w:hAnsi="Arial" w:cs="Arial"/>
        </w:rPr>
        <w:t xml:space="preserve">PFCS </w:t>
      </w:r>
      <w:r w:rsidR="00257661" w:rsidRPr="00DB11A6">
        <w:rPr>
          <w:rFonts w:ascii="Arial" w:hAnsi="Arial" w:cs="Arial"/>
        </w:rPr>
        <w:t xml:space="preserve">diagnosis was based on </w:t>
      </w:r>
      <w:r w:rsidR="002F73B6" w:rsidRPr="00DB11A6">
        <w:rPr>
          <w:rFonts w:ascii="Arial" w:hAnsi="Arial" w:cs="Arial"/>
        </w:rPr>
        <w:t xml:space="preserve">codes diagnostic </w:t>
      </w:r>
      <w:r w:rsidR="00FA50AB" w:rsidRPr="00DB11A6">
        <w:rPr>
          <w:rFonts w:ascii="Arial" w:hAnsi="Arial" w:cs="Arial"/>
        </w:rPr>
        <w:t>for</w:t>
      </w:r>
      <w:r w:rsidR="00257661" w:rsidRPr="00DB11A6">
        <w:rPr>
          <w:rFonts w:ascii="Arial" w:hAnsi="Arial" w:cs="Arial"/>
        </w:rPr>
        <w:t xml:space="preserve"> pulmonary fibrosis</w:t>
      </w:r>
      <w:r w:rsidR="008E0893" w:rsidRPr="00DB11A6">
        <w:rPr>
          <w:rFonts w:ascii="Arial" w:hAnsi="Arial" w:cs="Arial"/>
        </w:rPr>
        <w:t xml:space="preserve"> </w:t>
      </w:r>
      <w:r w:rsidR="00257661" w:rsidRPr="00DB11A6">
        <w:rPr>
          <w:rFonts w:ascii="Arial" w:hAnsi="Arial" w:cs="Arial"/>
        </w:rPr>
        <w:t>and the absence of codes associated with ILD</w:t>
      </w:r>
      <w:r w:rsidR="00143EB9" w:rsidRPr="00DB11A6">
        <w:rPr>
          <w:rFonts w:ascii="Arial" w:hAnsi="Arial" w:cs="Arial"/>
        </w:rPr>
        <w:t xml:space="preserve">. </w:t>
      </w:r>
      <w:r w:rsidR="007C2770" w:rsidRPr="00DB11A6">
        <w:rPr>
          <w:rFonts w:ascii="Arial" w:hAnsi="Arial" w:cs="Arial"/>
        </w:rPr>
        <w:t>W</w:t>
      </w:r>
      <w:r w:rsidR="00AF6598" w:rsidRPr="00DB11A6">
        <w:rPr>
          <w:rFonts w:ascii="Arial" w:hAnsi="Arial" w:cs="Arial"/>
        </w:rPr>
        <w:t>hil</w:t>
      </w:r>
      <w:r w:rsidR="008D00F0" w:rsidRPr="00DB11A6">
        <w:rPr>
          <w:rFonts w:ascii="Arial" w:hAnsi="Arial" w:cs="Arial"/>
        </w:rPr>
        <w:t>e</w:t>
      </w:r>
      <w:r w:rsidR="00AF6598" w:rsidRPr="00DB11A6">
        <w:rPr>
          <w:rFonts w:ascii="Arial" w:hAnsi="Arial" w:cs="Arial"/>
        </w:rPr>
        <w:t xml:space="preserve"> potentially including patients with a form of pulmonary fibrosis other than IPF, </w:t>
      </w:r>
      <w:r w:rsidR="007812FE" w:rsidRPr="00DB11A6">
        <w:rPr>
          <w:rFonts w:ascii="Arial" w:hAnsi="Arial" w:cs="Arial"/>
        </w:rPr>
        <w:t>a</w:t>
      </w:r>
      <w:r w:rsidR="00AF6598" w:rsidRPr="00DB11A6">
        <w:rPr>
          <w:rFonts w:ascii="Arial" w:hAnsi="Arial" w:cs="Arial"/>
        </w:rPr>
        <w:t xml:space="preserve"> </w:t>
      </w:r>
      <w:r w:rsidR="008D00F0" w:rsidRPr="00DB11A6">
        <w:rPr>
          <w:rFonts w:ascii="Arial" w:hAnsi="Arial" w:cs="Arial"/>
        </w:rPr>
        <w:t>subgroup</w:t>
      </w:r>
      <w:r w:rsidR="001E6D2B" w:rsidRPr="00DB11A6">
        <w:rPr>
          <w:rFonts w:ascii="Arial" w:hAnsi="Arial" w:cs="Arial"/>
        </w:rPr>
        <w:t xml:space="preserve"> analysis of</w:t>
      </w:r>
      <w:r w:rsidR="00AF6598" w:rsidRPr="00DB11A6">
        <w:rPr>
          <w:rFonts w:ascii="Arial" w:hAnsi="Arial" w:cs="Arial"/>
        </w:rPr>
        <w:t xml:space="preserve"> codes specific for IPF demonstrated </w:t>
      </w:r>
      <w:r w:rsidR="00DF1B82" w:rsidRPr="00DB11A6">
        <w:rPr>
          <w:rFonts w:ascii="Arial" w:hAnsi="Arial" w:cs="Arial"/>
        </w:rPr>
        <w:t>c</w:t>
      </w:r>
      <w:r w:rsidR="00AF6598" w:rsidRPr="00DB11A6">
        <w:rPr>
          <w:rFonts w:ascii="Arial" w:hAnsi="Arial" w:cs="Arial"/>
        </w:rPr>
        <w:t>omparability</w:t>
      </w:r>
      <w:r w:rsidR="007C2770" w:rsidRPr="00DB11A6">
        <w:rPr>
          <w:rFonts w:ascii="Arial" w:hAnsi="Arial" w:cs="Arial"/>
        </w:rPr>
        <w:t xml:space="preserve">. </w:t>
      </w:r>
      <w:r w:rsidR="00C169CF" w:rsidRPr="00DB11A6">
        <w:rPr>
          <w:rFonts w:ascii="Arial" w:hAnsi="Arial" w:cs="Arial"/>
        </w:rPr>
        <w:t>These</w:t>
      </w:r>
      <w:r w:rsidR="00F50D09" w:rsidRPr="00DB11A6">
        <w:rPr>
          <w:rFonts w:ascii="Arial" w:hAnsi="Arial" w:cs="Arial"/>
        </w:rPr>
        <w:t xml:space="preserve"> patients </w:t>
      </w:r>
      <w:r w:rsidR="00921FC0" w:rsidRPr="00DB11A6">
        <w:rPr>
          <w:rFonts w:ascii="Arial" w:hAnsi="Arial" w:cs="Arial"/>
        </w:rPr>
        <w:t>need</w:t>
      </w:r>
      <w:r w:rsidR="00F50D09" w:rsidRPr="00DB11A6">
        <w:rPr>
          <w:rFonts w:ascii="Arial" w:hAnsi="Arial" w:cs="Arial"/>
        </w:rPr>
        <w:t xml:space="preserve"> specialist referral f</w:t>
      </w:r>
      <w:r w:rsidR="00005C53" w:rsidRPr="00DB11A6">
        <w:rPr>
          <w:rFonts w:ascii="Arial" w:hAnsi="Arial" w:cs="Arial"/>
        </w:rPr>
        <w:t xml:space="preserve">or investigation </w:t>
      </w:r>
      <w:r w:rsidR="001A7148" w:rsidRPr="00DB11A6">
        <w:rPr>
          <w:rFonts w:ascii="Arial" w:hAnsi="Arial" w:cs="Arial"/>
        </w:rPr>
        <w:t>irrespective of final diagnosis</w:t>
      </w:r>
      <w:r w:rsidR="007812FE" w:rsidRPr="00DB11A6">
        <w:rPr>
          <w:rFonts w:ascii="Arial" w:hAnsi="Arial" w:cs="Arial"/>
        </w:rPr>
        <w:t>.</w:t>
      </w:r>
      <w:r w:rsidR="00005C53" w:rsidRPr="00DB11A6">
        <w:rPr>
          <w:rFonts w:ascii="Arial" w:hAnsi="Arial" w:cs="Arial"/>
        </w:rPr>
        <w:t xml:space="preserve"> </w:t>
      </w:r>
      <w:r w:rsidR="007812FE" w:rsidRPr="00DB11A6">
        <w:rPr>
          <w:rFonts w:ascii="Arial" w:hAnsi="Arial" w:cs="Arial"/>
        </w:rPr>
        <w:t>A</w:t>
      </w:r>
      <w:r w:rsidR="00005C53" w:rsidRPr="00DB11A6">
        <w:rPr>
          <w:rFonts w:ascii="Arial" w:hAnsi="Arial" w:cs="Arial"/>
        </w:rPr>
        <w:t>dditional</w:t>
      </w:r>
      <w:r w:rsidR="00F50D09" w:rsidRPr="00DB11A6">
        <w:rPr>
          <w:rFonts w:ascii="Arial" w:hAnsi="Arial" w:cs="Arial"/>
        </w:rPr>
        <w:t xml:space="preserve"> </w:t>
      </w:r>
      <w:r w:rsidR="00005C53" w:rsidRPr="00DB11A6">
        <w:rPr>
          <w:rFonts w:ascii="Arial" w:hAnsi="Arial" w:cs="Arial"/>
        </w:rPr>
        <w:t xml:space="preserve">studies </w:t>
      </w:r>
      <w:r w:rsidR="007812FE" w:rsidRPr="00DB11A6">
        <w:rPr>
          <w:rFonts w:ascii="Arial" w:hAnsi="Arial" w:cs="Arial"/>
        </w:rPr>
        <w:t>are</w:t>
      </w:r>
      <w:r w:rsidR="00005C53" w:rsidRPr="00DB11A6">
        <w:rPr>
          <w:rFonts w:ascii="Arial" w:hAnsi="Arial" w:cs="Arial"/>
        </w:rPr>
        <w:t xml:space="preserve"> required to </w:t>
      </w:r>
      <w:r w:rsidR="00E05E5A" w:rsidRPr="00DB11A6">
        <w:rPr>
          <w:rFonts w:ascii="Arial" w:hAnsi="Arial" w:cs="Arial"/>
        </w:rPr>
        <w:t>validate</w:t>
      </w:r>
      <w:r w:rsidR="00005C53" w:rsidRPr="00DB11A6">
        <w:rPr>
          <w:rFonts w:ascii="Arial" w:hAnsi="Arial" w:cs="Arial"/>
        </w:rPr>
        <w:t xml:space="preserve"> </w:t>
      </w:r>
      <w:r w:rsidR="00921FC0" w:rsidRPr="00DB11A6">
        <w:rPr>
          <w:rFonts w:ascii="Arial" w:hAnsi="Arial" w:cs="Arial"/>
        </w:rPr>
        <w:t>specific</w:t>
      </w:r>
      <w:r w:rsidR="00005C53" w:rsidRPr="00DB11A6">
        <w:rPr>
          <w:rFonts w:ascii="Arial" w:hAnsi="Arial" w:cs="Arial"/>
        </w:rPr>
        <w:t xml:space="preserve"> </w:t>
      </w:r>
      <w:r w:rsidR="00921FC0" w:rsidRPr="00DB11A6">
        <w:rPr>
          <w:rFonts w:ascii="Arial" w:hAnsi="Arial" w:cs="Arial"/>
        </w:rPr>
        <w:t>diagnostic groups,</w:t>
      </w:r>
      <w:r w:rsidR="00005C53" w:rsidRPr="00DB11A6">
        <w:rPr>
          <w:rFonts w:ascii="Arial" w:hAnsi="Arial" w:cs="Arial"/>
        </w:rPr>
        <w:t xml:space="preserve"> including </w:t>
      </w:r>
      <w:r w:rsidR="007812FE" w:rsidRPr="00DB11A6">
        <w:rPr>
          <w:rFonts w:ascii="Arial" w:hAnsi="Arial" w:cs="Arial"/>
        </w:rPr>
        <w:t>t</w:t>
      </w:r>
      <w:r w:rsidR="00005C53" w:rsidRPr="00DB11A6">
        <w:rPr>
          <w:rFonts w:ascii="Arial" w:hAnsi="Arial" w:cs="Arial"/>
        </w:rPr>
        <w:t xml:space="preserve">he </w:t>
      </w:r>
      <w:r w:rsidR="001A7148" w:rsidRPr="00DB11A6">
        <w:rPr>
          <w:rFonts w:ascii="Arial" w:hAnsi="Arial" w:cs="Arial"/>
        </w:rPr>
        <w:t>correlation</w:t>
      </w:r>
      <w:r w:rsidR="00005C53" w:rsidRPr="00DB11A6">
        <w:rPr>
          <w:rFonts w:ascii="Arial" w:hAnsi="Arial" w:cs="Arial"/>
        </w:rPr>
        <w:t xml:space="preserve"> </w:t>
      </w:r>
      <w:r w:rsidR="001A7148" w:rsidRPr="00DB11A6">
        <w:rPr>
          <w:rFonts w:ascii="Arial" w:hAnsi="Arial" w:cs="Arial"/>
        </w:rPr>
        <w:t>of</w:t>
      </w:r>
      <w:r w:rsidR="00005C53" w:rsidRPr="00DB11A6">
        <w:rPr>
          <w:rFonts w:ascii="Arial" w:hAnsi="Arial" w:cs="Arial"/>
        </w:rPr>
        <w:t xml:space="preserve"> primary care diagnostic codes </w:t>
      </w:r>
      <w:r w:rsidR="001A7148" w:rsidRPr="00DB11A6">
        <w:rPr>
          <w:rFonts w:ascii="Arial" w:hAnsi="Arial" w:cs="Arial"/>
        </w:rPr>
        <w:t>with</w:t>
      </w:r>
      <w:r w:rsidR="00005C53" w:rsidRPr="00DB11A6">
        <w:rPr>
          <w:rFonts w:ascii="Arial" w:hAnsi="Arial" w:cs="Arial"/>
        </w:rPr>
        <w:t xml:space="preserve"> </w:t>
      </w:r>
      <w:r w:rsidR="00061A50" w:rsidRPr="00DB11A6">
        <w:rPr>
          <w:rFonts w:ascii="Arial" w:hAnsi="Arial" w:cs="Arial"/>
        </w:rPr>
        <w:t xml:space="preserve">specialist care </w:t>
      </w:r>
      <w:r w:rsidR="00005C53" w:rsidRPr="00DB11A6">
        <w:rPr>
          <w:rFonts w:ascii="Arial" w:hAnsi="Arial" w:cs="Arial"/>
        </w:rPr>
        <w:t xml:space="preserve">diagnosis. </w:t>
      </w:r>
      <w:r w:rsidR="00F50D09" w:rsidRPr="00DB11A6">
        <w:rPr>
          <w:rFonts w:ascii="Arial" w:hAnsi="Arial" w:cs="Arial"/>
        </w:rPr>
        <w:t xml:space="preserve">  </w:t>
      </w:r>
    </w:p>
    <w:p w14:paraId="70728CC7" w14:textId="77777777" w:rsidR="00EE3C04" w:rsidRPr="00DB11A6" w:rsidRDefault="00EE3C04" w:rsidP="00EE3C04">
      <w:pPr>
        <w:spacing w:line="480" w:lineRule="auto"/>
        <w:rPr>
          <w:rFonts w:ascii="Arial" w:hAnsi="Arial" w:cs="Arial"/>
        </w:rPr>
      </w:pPr>
    </w:p>
    <w:p w14:paraId="23EA1E6D" w14:textId="3B369302" w:rsidR="000D149E" w:rsidRPr="00DB11A6" w:rsidRDefault="00D26DD7" w:rsidP="00306C71">
      <w:pPr>
        <w:spacing w:line="480" w:lineRule="auto"/>
        <w:rPr>
          <w:rFonts w:ascii="Arial" w:hAnsi="Arial" w:cs="Arial"/>
        </w:rPr>
      </w:pPr>
      <w:r w:rsidRPr="00DB11A6">
        <w:rPr>
          <w:rFonts w:ascii="Arial" w:hAnsi="Arial" w:cs="Arial"/>
        </w:rPr>
        <w:t>O</w:t>
      </w:r>
      <w:r w:rsidR="00C259AB" w:rsidRPr="00DB11A6">
        <w:rPr>
          <w:rFonts w:ascii="Arial" w:hAnsi="Arial" w:cs="Arial"/>
        </w:rPr>
        <w:t xml:space="preserve">ur </w:t>
      </w:r>
      <w:r w:rsidR="00CA30A6" w:rsidRPr="00DB11A6">
        <w:rPr>
          <w:rFonts w:ascii="Arial" w:hAnsi="Arial" w:cs="Arial"/>
        </w:rPr>
        <w:t xml:space="preserve">findings </w:t>
      </w:r>
      <w:r w:rsidR="00C259AB" w:rsidRPr="00DB11A6">
        <w:rPr>
          <w:rFonts w:ascii="Arial" w:hAnsi="Arial" w:cs="Arial"/>
        </w:rPr>
        <w:t>extend</w:t>
      </w:r>
      <w:r w:rsidR="00CA30A6" w:rsidRPr="00DB11A6">
        <w:rPr>
          <w:rFonts w:ascii="Arial" w:hAnsi="Arial" w:cs="Arial"/>
        </w:rPr>
        <w:t xml:space="preserve"> those of Hewson </w:t>
      </w:r>
      <w:r w:rsidR="00CA30A6" w:rsidRPr="00DB11A6">
        <w:rPr>
          <w:rFonts w:ascii="Arial" w:hAnsi="Arial" w:cs="Arial"/>
          <w:i/>
        </w:rPr>
        <w:t>et al</w:t>
      </w:r>
      <w:r w:rsidR="00153E48" w:rsidRPr="00DB11A6">
        <w:rPr>
          <w:rFonts w:ascii="Arial" w:hAnsi="Arial" w:cs="Arial"/>
          <w:i/>
        </w:rPr>
        <w:t>.</w:t>
      </w:r>
      <w:r w:rsidR="00CA30A6" w:rsidRPr="00DB11A6">
        <w:rPr>
          <w:rFonts w:ascii="Arial" w:hAnsi="Arial" w:cs="Arial"/>
        </w:rPr>
        <w:t xml:space="preserve"> who identified increasing breathlessness and cough in the </w:t>
      </w:r>
      <w:r w:rsidR="009B57E4" w:rsidRPr="00DB11A6">
        <w:rPr>
          <w:rFonts w:ascii="Arial" w:hAnsi="Arial" w:cs="Arial"/>
        </w:rPr>
        <w:t>five</w:t>
      </w:r>
      <w:r w:rsidR="00A907E2" w:rsidRPr="00DB11A6">
        <w:rPr>
          <w:rFonts w:ascii="Arial" w:hAnsi="Arial" w:cs="Arial"/>
        </w:rPr>
        <w:t xml:space="preserve"> years prior to </w:t>
      </w:r>
      <w:r w:rsidR="00412098" w:rsidRPr="00DB11A6">
        <w:rPr>
          <w:rFonts w:ascii="Arial" w:hAnsi="Arial" w:cs="Arial"/>
        </w:rPr>
        <w:t xml:space="preserve">IPFCS </w:t>
      </w:r>
      <w:r w:rsidR="00A907E2" w:rsidRPr="00DB11A6">
        <w:rPr>
          <w:rFonts w:ascii="Arial" w:hAnsi="Arial" w:cs="Arial"/>
        </w:rPr>
        <w:t>diagnosis</w:t>
      </w:r>
      <w:r w:rsidR="00A44C91" w:rsidRPr="00DB11A6">
        <w:rPr>
          <w:rFonts w:ascii="Arial" w:hAnsi="Arial" w:cs="Arial"/>
        </w:rPr>
        <w:t xml:space="preserve"> </w:t>
      </w:r>
      <w:r w:rsidR="00AB5CC4" w:rsidRPr="00DB11A6">
        <w:rPr>
          <w:rFonts w:ascii="Arial" w:hAnsi="Arial" w:cs="Arial"/>
        </w:rPr>
        <w:t>[</w:t>
      </w:r>
      <w:r w:rsidR="004034C1" w:rsidRPr="00DB11A6">
        <w:rPr>
          <w:rFonts w:ascii="Arial" w:hAnsi="Arial" w:cs="Arial"/>
        </w:rPr>
        <w:t>1</w:t>
      </w:r>
      <w:r w:rsidR="005C3A9C" w:rsidRPr="00DB11A6">
        <w:rPr>
          <w:rFonts w:ascii="Arial" w:hAnsi="Arial" w:cs="Arial"/>
        </w:rPr>
        <w:t>4</w:t>
      </w:r>
      <w:r w:rsidR="00AB5CC4" w:rsidRPr="00DB11A6">
        <w:rPr>
          <w:rFonts w:ascii="Arial" w:hAnsi="Arial" w:cs="Arial"/>
        </w:rPr>
        <w:t>].</w:t>
      </w:r>
      <w:r w:rsidR="000F4D20" w:rsidRPr="00DB11A6">
        <w:rPr>
          <w:rFonts w:ascii="Arial" w:hAnsi="Arial" w:cs="Arial"/>
        </w:rPr>
        <w:t xml:space="preserve"> </w:t>
      </w:r>
      <w:r w:rsidR="002D5489" w:rsidRPr="00DB11A6">
        <w:rPr>
          <w:rFonts w:ascii="Arial" w:hAnsi="Arial" w:cs="Arial"/>
        </w:rPr>
        <w:t>W</w:t>
      </w:r>
      <w:r w:rsidR="00C259AB" w:rsidRPr="00DB11A6">
        <w:rPr>
          <w:rFonts w:ascii="Arial" w:hAnsi="Arial" w:cs="Arial"/>
        </w:rPr>
        <w:t xml:space="preserve">e </w:t>
      </w:r>
      <w:r w:rsidR="007023E9" w:rsidRPr="00DB11A6">
        <w:rPr>
          <w:rFonts w:ascii="Arial" w:hAnsi="Arial" w:cs="Arial"/>
        </w:rPr>
        <w:t>identified</w:t>
      </w:r>
      <w:r w:rsidR="0029376A" w:rsidRPr="00DB11A6">
        <w:rPr>
          <w:rFonts w:ascii="Arial" w:hAnsi="Arial" w:cs="Arial"/>
        </w:rPr>
        <w:t xml:space="preserve"> significant</w:t>
      </w:r>
      <w:r w:rsidR="00C259AB" w:rsidRPr="00DB11A6">
        <w:rPr>
          <w:rFonts w:ascii="Arial" w:hAnsi="Arial" w:cs="Arial"/>
        </w:rPr>
        <w:t xml:space="preserve"> </w:t>
      </w:r>
      <w:r w:rsidR="00D707CA" w:rsidRPr="00DB11A6">
        <w:rPr>
          <w:rFonts w:ascii="Arial" w:hAnsi="Arial" w:cs="Arial"/>
        </w:rPr>
        <w:t>i</w:t>
      </w:r>
      <w:r w:rsidR="00C259AB" w:rsidRPr="00DB11A6">
        <w:rPr>
          <w:rFonts w:ascii="Arial" w:hAnsi="Arial" w:cs="Arial"/>
        </w:rPr>
        <w:t>ncrease</w:t>
      </w:r>
      <w:r w:rsidR="0029376A" w:rsidRPr="00DB11A6">
        <w:rPr>
          <w:rFonts w:ascii="Arial" w:hAnsi="Arial" w:cs="Arial"/>
        </w:rPr>
        <w:t>s in</w:t>
      </w:r>
      <w:r w:rsidR="00C259AB" w:rsidRPr="00DB11A6">
        <w:rPr>
          <w:rFonts w:ascii="Arial" w:hAnsi="Arial" w:cs="Arial"/>
        </w:rPr>
        <w:t xml:space="preserve"> </w:t>
      </w:r>
      <w:r w:rsidR="0029376A" w:rsidRPr="00DB11A6">
        <w:rPr>
          <w:rFonts w:ascii="Arial" w:hAnsi="Arial" w:cs="Arial"/>
        </w:rPr>
        <w:t xml:space="preserve">cough events and </w:t>
      </w:r>
      <w:r w:rsidR="00676F5A" w:rsidRPr="00DB11A6">
        <w:rPr>
          <w:rFonts w:ascii="Arial" w:hAnsi="Arial" w:cs="Arial"/>
        </w:rPr>
        <w:t xml:space="preserve">LR-related </w:t>
      </w:r>
      <w:r w:rsidR="00C259AB" w:rsidRPr="00DB11A6">
        <w:rPr>
          <w:rFonts w:ascii="Arial" w:hAnsi="Arial" w:cs="Arial"/>
        </w:rPr>
        <w:t xml:space="preserve">HRU </w:t>
      </w:r>
      <w:r w:rsidR="0029376A" w:rsidRPr="00DB11A6">
        <w:rPr>
          <w:rFonts w:ascii="Arial" w:hAnsi="Arial" w:cs="Arial"/>
        </w:rPr>
        <w:t>two</w:t>
      </w:r>
      <w:r w:rsidR="00AC4DEC" w:rsidRPr="00DB11A6">
        <w:rPr>
          <w:rFonts w:ascii="Arial" w:hAnsi="Arial" w:cs="Arial"/>
        </w:rPr>
        <w:t xml:space="preserve"> </w:t>
      </w:r>
      <w:r w:rsidR="002D5489" w:rsidRPr="00DB11A6">
        <w:rPr>
          <w:rFonts w:ascii="Arial" w:hAnsi="Arial" w:cs="Arial"/>
        </w:rPr>
        <w:t>years</w:t>
      </w:r>
      <w:r w:rsidR="008F2B5C" w:rsidRPr="00DB11A6">
        <w:rPr>
          <w:rFonts w:ascii="Arial" w:hAnsi="Arial" w:cs="Arial"/>
        </w:rPr>
        <w:t xml:space="preserve"> </w:t>
      </w:r>
      <w:r w:rsidR="002D5489" w:rsidRPr="00DB11A6">
        <w:rPr>
          <w:rFonts w:ascii="Arial" w:hAnsi="Arial" w:cs="Arial"/>
        </w:rPr>
        <w:t>preceding</w:t>
      </w:r>
      <w:r w:rsidR="0029376A" w:rsidRPr="00DB11A6">
        <w:rPr>
          <w:rFonts w:ascii="Arial" w:hAnsi="Arial" w:cs="Arial"/>
        </w:rPr>
        <w:t xml:space="preserve"> PFCS</w:t>
      </w:r>
      <w:r w:rsidR="002D5489" w:rsidRPr="00DB11A6">
        <w:rPr>
          <w:rFonts w:ascii="Arial" w:hAnsi="Arial" w:cs="Arial"/>
        </w:rPr>
        <w:t xml:space="preserve"> diagnosis</w:t>
      </w:r>
      <w:r w:rsidR="00C259AB" w:rsidRPr="00DB11A6">
        <w:rPr>
          <w:rFonts w:ascii="Arial" w:hAnsi="Arial" w:cs="Arial"/>
        </w:rPr>
        <w:t xml:space="preserve">. </w:t>
      </w:r>
      <w:r w:rsidR="0015502D" w:rsidRPr="00DB11A6">
        <w:rPr>
          <w:rFonts w:ascii="Arial" w:hAnsi="Arial" w:cs="Arial"/>
        </w:rPr>
        <w:t xml:space="preserve">This may reflect </w:t>
      </w:r>
      <w:r w:rsidR="00D707CA" w:rsidRPr="00DB11A6">
        <w:rPr>
          <w:rFonts w:ascii="Arial" w:hAnsi="Arial" w:cs="Arial"/>
        </w:rPr>
        <w:t>symptom</w:t>
      </w:r>
      <w:r w:rsidR="0015502D" w:rsidRPr="00DB11A6">
        <w:rPr>
          <w:rFonts w:ascii="Arial" w:hAnsi="Arial" w:cs="Arial"/>
        </w:rPr>
        <w:t xml:space="preserve"> progression from </w:t>
      </w:r>
      <w:r w:rsidR="007023E9" w:rsidRPr="00DB11A6">
        <w:rPr>
          <w:rFonts w:ascii="Arial" w:hAnsi="Arial" w:cs="Arial"/>
        </w:rPr>
        <w:t xml:space="preserve">minor to moderate/severe, </w:t>
      </w:r>
      <w:r w:rsidR="00676F5A" w:rsidRPr="00DB11A6">
        <w:rPr>
          <w:rFonts w:ascii="Arial" w:hAnsi="Arial" w:cs="Arial"/>
        </w:rPr>
        <w:t>with</w:t>
      </w:r>
      <w:r w:rsidR="007023E9" w:rsidRPr="00DB11A6">
        <w:rPr>
          <w:rFonts w:ascii="Arial" w:hAnsi="Arial" w:cs="Arial"/>
        </w:rPr>
        <w:t xml:space="preserve"> symptoms</w:t>
      </w:r>
      <w:r w:rsidR="0015502D" w:rsidRPr="00DB11A6">
        <w:rPr>
          <w:rFonts w:ascii="Arial" w:hAnsi="Arial" w:cs="Arial"/>
        </w:rPr>
        <w:t xml:space="preserve"> </w:t>
      </w:r>
      <w:r w:rsidR="008F2B5C" w:rsidRPr="00DB11A6">
        <w:rPr>
          <w:rFonts w:ascii="Arial" w:hAnsi="Arial" w:cs="Arial"/>
        </w:rPr>
        <w:t>affect</w:t>
      </w:r>
      <w:r w:rsidR="009A3B0F" w:rsidRPr="00DB11A6">
        <w:rPr>
          <w:rFonts w:ascii="Arial" w:hAnsi="Arial" w:cs="Arial"/>
        </w:rPr>
        <w:t>ing</w:t>
      </w:r>
      <w:r w:rsidR="0015502D" w:rsidRPr="00DB11A6">
        <w:rPr>
          <w:rFonts w:ascii="Arial" w:hAnsi="Arial" w:cs="Arial"/>
        </w:rPr>
        <w:t xml:space="preserve"> quality</w:t>
      </w:r>
      <w:r w:rsidR="0067440B" w:rsidRPr="00DB11A6">
        <w:rPr>
          <w:rFonts w:ascii="Arial" w:hAnsi="Arial" w:cs="Arial"/>
        </w:rPr>
        <w:t xml:space="preserve"> resulting in </w:t>
      </w:r>
      <w:r w:rsidR="00AD23C2" w:rsidRPr="00DB11A6">
        <w:rPr>
          <w:rFonts w:ascii="Arial" w:hAnsi="Arial" w:cs="Arial"/>
        </w:rPr>
        <w:t>increased HRU</w:t>
      </w:r>
      <w:r w:rsidR="00B911D3" w:rsidRPr="00DB11A6">
        <w:rPr>
          <w:rFonts w:ascii="Arial" w:hAnsi="Arial" w:cs="Arial"/>
        </w:rPr>
        <w:t>.</w:t>
      </w:r>
      <w:r w:rsidR="00A013F2" w:rsidRPr="00DB11A6">
        <w:rPr>
          <w:rFonts w:ascii="Arial" w:hAnsi="Arial" w:cs="Arial"/>
        </w:rPr>
        <w:t xml:space="preserve"> </w:t>
      </w:r>
      <w:r w:rsidR="00DA3FD6" w:rsidRPr="00DB11A6">
        <w:rPr>
          <w:rFonts w:ascii="Arial" w:hAnsi="Arial" w:cs="Arial"/>
        </w:rPr>
        <w:t>I</w:t>
      </w:r>
      <w:r w:rsidR="0015502D" w:rsidRPr="00DB11A6">
        <w:rPr>
          <w:rFonts w:ascii="Arial" w:hAnsi="Arial" w:cs="Arial"/>
        </w:rPr>
        <w:t>ncrease</w:t>
      </w:r>
      <w:r w:rsidR="00DA3FD6" w:rsidRPr="00DB11A6">
        <w:rPr>
          <w:rFonts w:ascii="Arial" w:hAnsi="Arial" w:cs="Arial"/>
        </w:rPr>
        <w:t>s</w:t>
      </w:r>
      <w:r w:rsidR="0015502D" w:rsidRPr="00DB11A6">
        <w:rPr>
          <w:rFonts w:ascii="Arial" w:hAnsi="Arial" w:cs="Arial"/>
        </w:rPr>
        <w:t xml:space="preserve"> in LR consultations</w:t>
      </w:r>
      <w:r w:rsidR="00DA3FD6" w:rsidRPr="00DB11A6">
        <w:rPr>
          <w:rFonts w:ascii="Arial" w:hAnsi="Arial" w:cs="Arial"/>
        </w:rPr>
        <w:t xml:space="preserve">, antibiotic and </w:t>
      </w:r>
      <w:r w:rsidR="00FC7B0C" w:rsidRPr="00DB11A6">
        <w:rPr>
          <w:rFonts w:ascii="Arial" w:hAnsi="Arial" w:cs="Arial"/>
        </w:rPr>
        <w:t xml:space="preserve">acute </w:t>
      </w:r>
      <w:r w:rsidR="00DA3FD6" w:rsidRPr="00DB11A6">
        <w:rPr>
          <w:rFonts w:ascii="Arial" w:hAnsi="Arial" w:cs="Arial"/>
        </w:rPr>
        <w:t xml:space="preserve">oral </w:t>
      </w:r>
      <w:r w:rsidR="00FC7B0C" w:rsidRPr="00DB11A6">
        <w:rPr>
          <w:rFonts w:ascii="Arial" w:hAnsi="Arial" w:cs="Arial"/>
        </w:rPr>
        <w:t xml:space="preserve">steroid </w:t>
      </w:r>
      <w:r w:rsidR="003C2F6C" w:rsidRPr="00DB11A6">
        <w:rPr>
          <w:rFonts w:ascii="Arial" w:hAnsi="Arial" w:cs="Arial"/>
        </w:rPr>
        <w:t xml:space="preserve">prescriptions </w:t>
      </w:r>
      <w:r w:rsidR="005551AE" w:rsidRPr="00DB11A6">
        <w:rPr>
          <w:rFonts w:ascii="Arial" w:hAnsi="Arial" w:cs="Arial"/>
        </w:rPr>
        <w:t>sugg</w:t>
      </w:r>
      <w:r w:rsidR="00057B86" w:rsidRPr="00DB11A6">
        <w:rPr>
          <w:rFonts w:ascii="Arial" w:hAnsi="Arial" w:cs="Arial"/>
        </w:rPr>
        <w:t>est</w:t>
      </w:r>
      <w:r w:rsidR="00711C70" w:rsidRPr="00DB11A6">
        <w:rPr>
          <w:rFonts w:ascii="Arial" w:hAnsi="Arial" w:cs="Arial"/>
        </w:rPr>
        <w:t>s</w:t>
      </w:r>
      <w:r w:rsidR="00E07694" w:rsidRPr="00DB11A6">
        <w:rPr>
          <w:rFonts w:ascii="Arial" w:hAnsi="Arial" w:cs="Arial"/>
        </w:rPr>
        <w:t xml:space="preserve"> </w:t>
      </w:r>
      <w:r w:rsidR="00FC7B0C" w:rsidRPr="00DB11A6">
        <w:rPr>
          <w:rFonts w:ascii="Arial" w:hAnsi="Arial" w:cs="Arial"/>
        </w:rPr>
        <w:t xml:space="preserve">infective </w:t>
      </w:r>
      <w:r w:rsidR="00F121DF" w:rsidRPr="00DB11A6">
        <w:rPr>
          <w:rFonts w:ascii="Arial" w:hAnsi="Arial" w:cs="Arial"/>
        </w:rPr>
        <w:t>episode</w:t>
      </w:r>
      <w:r w:rsidR="00E07694" w:rsidRPr="00DB11A6">
        <w:rPr>
          <w:rFonts w:ascii="Arial" w:hAnsi="Arial" w:cs="Arial"/>
        </w:rPr>
        <w:t>s</w:t>
      </w:r>
      <w:r w:rsidR="00FC7B0C" w:rsidRPr="00DB11A6">
        <w:rPr>
          <w:rFonts w:ascii="Arial" w:hAnsi="Arial" w:cs="Arial"/>
        </w:rPr>
        <w:t xml:space="preserve"> </w:t>
      </w:r>
      <w:r w:rsidR="009A5EC9" w:rsidRPr="00DB11A6">
        <w:rPr>
          <w:rFonts w:ascii="Arial" w:hAnsi="Arial" w:cs="Arial"/>
        </w:rPr>
        <w:t>may</w:t>
      </w:r>
      <w:r w:rsidR="00711C70" w:rsidRPr="00DB11A6">
        <w:rPr>
          <w:rFonts w:ascii="Arial" w:hAnsi="Arial" w:cs="Arial"/>
        </w:rPr>
        <w:t xml:space="preserve"> </w:t>
      </w:r>
      <w:r w:rsidR="00FC7B0C" w:rsidRPr="00DB11A6">
        <w:rPr>
          <w:rFonts w:ascii="Arial" w:hAnsi="Arial" w:cs="Arial"/>
        </w:rPr>
        <w:t>precipita</w:t>
      </w:r>
      <w:r w:rsidR="00975D9A" w:rsidRPr="00DB11A6">
        <w:rPr>
          <w:rFonts w:ascii="Arial" w:hAnsi="Arial" w:cs="Arial"/>
        </w:rPr>
        <w:t>te</w:t>
      </w:r>
      <w:r w:rsidR="00E129AF" w:rsidRPr="00DB11A6">
        <w:rPr>
          <w:rFonts w:ascii="Arial" w:hAnsi="Arial" w:cs="Arial"/>
        </w:rPr>
        <w:t xml:space="preserve"> HRU and </w:t>
      </w:r>
      <w:r w:rsidR="009A5EC9" w:rsidRPr="00DB11A6">
        <w:rPr>
          <w:rFonts w:ascii="Arial" w:hAnsi="Arial" w:cs="Arial"/>
        </w:rPr>
        <w:t xml:space="preserve">lead to </w:t>
      </w:r>
      <w:r w:rsidR="00E129AF" w:rsidRPr="00DB11A6">
        <w:rPr>
          <w:rFonts w:ascii="Arial" w:hAnsi="Arial" w:cs="Arial"/>
        </w:rPr>
        <w:t>subsequent</w:t>
      </w:r>
      <w:r w:rsidR="00FC7B0C" w:rsidRPr="00DB11A6">
        <w:rPr>
          <w:rFonts w:ascii="Arial" w:hAnsi="Arial" w:cs="Arial"/>
        </w:rPr>
        <w:t xml:space="preserve"> diagnosis.</w:t>
      </w:r>
      <w:r w:rsidR="003E388D" w:rsidRPr="00DB11A6">
        <w:rPr>
          <w:rFonts w:ascii="Arial" w:hAnsi="Arial" w:cs="Arial"/>
        </w:rPr>
        <w:t xml:space="preserve"> Alternatively</w:t>
      </w:r>
      <w:r w:rsidR="00E129AF" w:rsidRPr="00DB11A6">
        <w:rPr>
          <w:rFonts w:ascii="Arial" w:hAnsi="Arial" w:cs="Arial"/>
        </w:rPr>
        <w:t>,</w:t>
      </w:r>
      <w:r w:rsidR="003E388D" w:rsidRPr="00DB11A6">
        <w:rPr>
          <w:rFonts w:ascii="Arial" w:hAnsi="Arial" w:cs="Arial"/>
        </w:rPr>
        <w:t xml:space="preserve"> acute prescription</w:t>
      </w:r>
      <w:r w:rsidR="00F121DF" w:rsidRPr="00DB11A6">
        <w:rPr>
          <w:rFonts w:ascii="Arial" w:hAnsi="Arial" w:cs="Arial"/>
        </w:rPr>
        <w:t>s</w:t>
      </w:r>
      <w:r w:rsidR="003E388D" w:rsidRPr="00DB11A6">
        <w:rPr>
          <w:rFonts w:ascii="Arial" w:hAnsi="Arial" w:cs="Arial"/>
        </w:rPr>
        <w:t xml:space="preserve"> may represent empirical trials by primary care physicians following repeat patient attendances for persistent symptoms</w:t>
      </w:r>
      <w:r w:rsidR="0015502D" w:rsidRPr="00DB11A6">
        <w:rPr>
          <w:rFonts w:ascii="Arial" w:hAnsi="Arial" w:cs="Arial"/>
        </w:rPr>
        <w:t xml:space="preserve"> of uncertain aetiology</w:t>
      </w:r>
      <w:r w:rsidR="003E388D" w:rsidRPr="00DB11A6">
        <w:rPr>
          <w:rFonts w:ascii="Arial" w:hAnsi="Arial" w:cs="Arial"/>
        </w:rPr>
        <w:t>.</w:t>
      </w:r>
      <w:r w:rsidR="00F121DF" w:rsidRPr="00DB11A6">
        <w:rPr>
          <w:rFonts w:ascii="Arial" w:hAnsi="Arial" w:cs="Arial"/>
        </w:rPr>
        <w:t xml:space="preserve"> </w:t>
      </w:r>
    </w:p>
    <w:p w14:paraId="59597AB7" w14:textId="77777777" w:rsidR="000D149E" w:rsidRPr="00DB11A6" w:rsidRDefault="000D149E" w:rsidP="00306C71">
      <w:pPr>
        <w:spacing w:line="480" w:lineRule="auto"/>
        <w:rPr>
          <w:rFonts w:ascii="Arial" w:hAnsi="Arial" w:cs="Arial"/>
        </w:rPr>
      </w:pPr>
    </w:p>
    <w:p w14:paraId="130D154E" w14:textId="295C63AC" w:rsidR="00363CA3" w:rsidRPr="00DB11A6" w:rsidRDefault="004A3A42" w:rsidP="00306C71">
      <w:pPr>
        <w:spacing w:line="480" w:lineRule="auto"/>
        <w:rPr>
          <w:rFonts w:ascii="Arial" w:hAnsi="Arial" w:cs="Arial"/>
        </w:rPr>
      </w:pPr>
      <w:r w:rsidRPr="00DB11A6">
        <w:rPr>
          <w:rFonts w:ascii="Arial" w:hAnsi="Arial" w:cs="Arial"/>
        </w:rPr>
        <w:t>Thirty eight percent</w:t>
      </w:r>
      <w:r w:rsidR="00C259AB" w:rsidRPr="00DB11A6">
        <w:rPr>
          <w:rFonts w:ascii="Arial" w:hAnsi="Arial" w:cs="Arial"/>
        </w:rPr>
        <w:t xml:space="preserve"> of patients had </w:t>
      </w:r>
      <w:r w:rsidR="009B57E4" w:rsidRPr="00DB11A6">
        <w:rPr>
          <w:rFonts w:ascii="Arial" w:hAnsi="Arial" w:cs="Arial"/>
        </w:rPr>
        <w:t>five or more LR</w:t>
      </w:r>
      <w:r w:rsidR="00C259AB" w:rsidRPr="00DB11A6">
        <w:rPr>
          <w:rFonts w:ascii="Arial" w:hAnsi="Arial" w:cs="Arial"/>
        </w:rPr>
        <w:t xml:space="preserve"> consultations </w:t>
      </w:r>
      <w:proofErr w:type="gramStart"/>
      <w:r w:rsidRPr="00DB11A6">
        <w:rPr>
          <w:rFonts w:ascii="Arial" w:hAnsi="Arial" w:cs="Arial"/>
        </w:rPr>
        <w:t>one</w:t>
      </w:r>
      <w:r w:rsidR="00C259AB" w:rsidRPr="00DB11A6">
        <w:rPr>
          <w:rFonts w:ascii="Arial" w:hAnsi="Arial" w:cs="Arial"/>
        </w:rPr>
        <w:t xml:space="preserve"> year</w:t>
      </w:r>
      <w:proofErr w:type="gramEnd"/>
      <w:r w:rsidR="00C259AB" w:rsidRPr="00DB11A6">
        <w:rPr>
          <w:rFonts w:ascii="Arial" w:hAnsi="Arial" w:cs="Arial"/>
        </w:rPr>
        <w:t xml:space="preserve"> preceding </w:t>
      </w:r>
      <w:r w:rsidR="009B57E4" w:rsidRPr="00DB11A6">
        <w:rPr>
          <w:rFonts w:ascii="Arial" w:hAnsi="Arial" w:cs="Arial"/>
        </w:rPr>
        <w:t xml:space="preserve">IPF </w:t>
      </w:r>
      <w:r w:rsidR="00C259AB" w:rsidRPr="00DB11A6">
        <w:rPr>
          <w:rFonts w:ascii="Arial" w:hAnsi="Arial" w:cs="Arial"/>
        </w:rPr>
        <w:t>diagnosis</w:t>
      </w:r>
      <w:r w:rsidRPr="00DB11A6">
        <w:rPr>
          <w:rFonts w:ascii="Arial" w:hAnsi="Arial" w:cs="Arial"/>
        </w:rPr>
        <w:t>. This</w:t>
      </w:r>
      <w:r w:rsidR="0050319A" w:rsidRPr="00DB11A6">
        <w:rPr>
          <w:rFonts w:ascii="Arial" w:hAnsi="Arial" w:cs="Arial"/>
        </w:rPr>
        <w:t xml:space="preserve"> </w:t>
      </w:r>
      <w:r w:rsidR="005079E9" w:rsidRPr="00DB11A6">
        <w:rPr>
          <w:rFonts w:ascii="Arial" w:hAnsi="Arial" w:cs="Arial"/>
        </w:rPr>
        <w:t>suggest</w:t>
      </w:r>
      <w:r w:rsidR="00323CD6" w:rsidRPr="00DB11A6">
        <w:rPr>
          <w:rFonts w:ascii="Arial" w:hAnsi="Arial" w:cs="Arial"/>
        </w:rPr>
        <w:t>s</w:t>
      </w:r>
      <w:r w:rsidR="00982926" w:rsidRPr="00DB11A6">
        <w:rPr>
          <w:rFonts w:ascii="Arial" w:hAnsi="Arial" w:cs="Arial"/>
        </w:rPr>
        <w:t xml:space="preserve"> r</w:t>
      </w:r>
      <w:r w:rsidR="0050319A" w:rsidRPr="00DB11A6">
        <w:rPr>
          <w:rFonts w:ascii="Arial" w:hAnsi="Arial" w:cs="Arial"/>
        </w:rPr>
        <w:t xml:space="preserve">epeated primary care attendances </w:t>
      </w:r>
      <w:r w:rsidR="00F121DF" w:rsidRPr="00DB11A6">
        <w:rPr>
          <w:rFonts w:ascii="Arial" w:hAnsi="Arial" w:cs="Arial"/>
        </w:rPr>
        <w:t>are</w:t>
      </w:r>
      <w:r w:rsidR="00120938" w:rsidRPr="00DB11A6">
        <w:rPr>
          <w:rFonts w:ascii="Arial" w:hAnsi="Arial" w:cs="Arial"/>
        </w:rPr>
        <w:t xml:space="preserve"> required </w:t>
      </w:r>
      <w:r w:rsidR="00982926" w:rsidRPr="00DB11A6">
        <w:rPr>
          <w:rFonts w:ascii="Arial" w:hAnsi="Arial" w:cs="Arial"/>
        </w:rPr>
        <w:t>for</w:t>
      </w:r>
      <w:r w:rsidR="00120938" w:rsidRPr="00DB11A6">
        <w:rPr>
          <w:rFonts w:ascii="Arial" w:hAnsi="Arial" w:cs="Arial"/>
        </w:rPr>
        <w:t xml:space="preserve"> </w:t>
      </w:r>
      <w:r w:rsidR="003E388D" w:rsidRPr="00DB11A6">
        <w:rPr>
          <w:rFonts w:ascii="Arial" w:hAnsi="Arial" w:cs="Arial"/>
        </w:rPr>
        <w:t>specialist referral</w:t>
      </w:r>
      <w:r w:rsidR="0050319A" w:rsidRPr="00DB11A6">
        <w:rPr>
          <w:rFonts w:ascii="Arial" w:hAnsi="Arial" w:cs="Arial"/>
        </w:rPr>
        <w:t>.</w:t>
      </w:r>
      <w:r w:rsidR="003E388D" w:rsidRPr="00DB11A6">
        <w:rPr>
          <w:rFonts w:ascii="Arial" w:hAnsi="Arial" w:cs="Arial"/>
        </w:rPr>
        <w:t xml:space="preserve"> </w:t>
      </w:r>
      <w:r w:rsidR="0087084C" w:rsidRPr="00DB11A6">
        <w:rPr>
          <w:rFonts w:ascii="Arial" w:hAnsi="Arial" w:cs="Arial"/>
        </w:rPr>
        <w:t>Given the potential for misdiagnosis</w:t>
      </w:r>
      <w:r w:rsidR="005A7EC4" w:rsidRPr="00DB11A6">
        <w:rPr>
          <w:rFonts w:ascii="Arial" w:hAnsi="Arial" w:cs="Arial"/>
        </w:rPr>
        <w:t>,</w:t>
      </w:r>
      <w:r w:rsidR="0087084C" w:rsidRPr="00DB11A6">
        <w:rPr>
          <w:rFonts w:ascii="Arial" w:hAnsi="Arial" w:cs="Arial"/>
        </w:rPr>
        <w:t xml:space="preserve"> we investigated the relationship </w:t>
      </w:r>
      <w:r w:rsidR="00DE26E4" w:rsidRPr="00DB11A6">
        <w:rPr>
          <w:rFonts w:ascii="Arial" w:hAnsi="Arial" w:cs="Arial"/>
        </w:rPr>
        <w:t>between</w:t>
      </w:r>
      <w:r w:rsidR="0087084C" w:rsidRPr="00DB11A6">
        <w:rPr>
          <w:rFonts w:ascii="Arial" w:hAnsi="Arial" w:cs="Arial"/>
        </w:rPr>
        <w:t xml:space="preserve"> respiratory comorbidities </w:t>
      </w:r>
      <w:r w:rsidR="00DE26E4" w:rsidRPr="00DB11A6">
        <w:rPr>
          <w:rFonts w:ascii="Arial" w:hAnsi="Arial" w:cs="Arial"/>
        </w:rPr>
        <w:t>and</w:t>
      </w:r>
      <w:r w:rsidR="00A44C91" w:rsidRPr="00DB11A6">
        <w:rPr>
          <w:rFonts w:ascii="Arial" w:hAnsi="Arial" w:cs="Arial"/>
        </w:rPr>
        <w:t xml:space="preserve"> PFCS</w:t>
      </w:r>
      <w:r w:rsidR="00A907E2" w:rsidRPr="00DB11A6">
        <w:rPr>
          <w:rFonts w:ascii="Arial" w:hAnsi="Arial" w:cs="Arial"/>
        </w:rPr>
        <w:t xml:space="preserve"> </w:t>
      </w:r>
      <w:r w:rsidR="0087084C" w:rsidRPr="00DB11A6">
        <w:rPr>
          <w:rFonts w:ascii="Arial" w:hAnsi="Arial" w:cs="Arial"/>
        </w:rPr>
        <w:t xml:space="preserve">diagnosis. </w:t>
      </w:r>
      <w:r w:rsidR="00B2065C" w:rsidRPr="00DB11A6">
        <w:rPr>
          <w:rFonts w:ascii="Arial" w:hAnsi="Arial" w:cs="Arial"/>
        </w:rPr>
        <w:t xml:space="preserve">COPD </w:t>
      </w:r>
      <w:r w:rsidR="00D6213B" w:rsidRPr="00DB11A6">
        <w:rPr>
          <w:rFonts w:ascii="Arial" w:hAnsi="Arial" w:cs="Arial"/>
        </w:rPr>
        <w:t xml:space="preserve">and asthma </w:t>
      </w:r>
      <w:r w:rsidR="006C15ED" w:rsidRPr="00DB11A6">
        <w:rPr>
          <w:rFonts w:ascii="Arial" w:hAnsi="Arial" w:cs="Arial"/>
        </w:rPr>
        <w:t xml:space="preserve">diagnoses </w:t>
      </w:r>
      <w:r w:rsidR="00D6213B" w:rsidRPr="00DB11A6">
        <w:rPr>
          <w:rFonts w:ascii="Arial" w:hAnsi="Arial" w:cs="Arial"/>
        </w:rPr>
        <w:t>occurr</w:t>
      </w:r>
      <w:r w:rsidR="00E33538" w:rsidRPr="00DB11A6">
        <w:rPr>
          <w:rFonts w:ascii="Arial" w:hAnsi="Arial" w:cs="Arial"/>
        </w:rPr>
        <w:t>ed at</w:t>
      </w:r>
      <w:r w:rsidR="00D6213B" w:rsidRPr="00DB11A6">
        <w:rPr>
          <w:rFonts w:ascii="Arial" w:hAnsi="Arial" w:cs="Arial"/>
        </w:rPr>
        <w:t xml:space="preserve"> </w:t>
      </w:r>
      <w:r w:rsidR="007023E9" w:rsidRPr="00DB11A6">
        <w:rPr>
          <w:rFonts w:ascii="Arial" w:hAnsi="Arial" w:cs="Arial"/>
        </w:rPr>
        <w:t>five</w:t>
      </w:r>
      <w:r w:rsidR="00D6213B" w:rsidRPr="00DB11A6">
        <w:rPr>
          <w:rFonts w:ascii="Arial" w:hAnsi="Arial" w:cs="Arial"/>
        </w:rPr>
        <w:t xml:space="preserve"> and 12</w:t>
      </w:r>
      <w:r w:rsidR="00B2065C" w:rsidRPr="00DB11A6">
        <w:rPr>
          <w:rFonts w:ascii="Arial" w:hAnsi="Arial" w:cs="Arial"/>
        </w:rPr>
        <w:t xml:space="preserve"> years before PFCS diagnosis</w:t>
      </w:r>
      <w:r w:rsidR="00D6213B" w:rsidRPr="00DB11A6">
        <w:rPr>
          <w:rFonts w:ascii="Arial" w:hAnsi="Arial" w:cs="Arial"/>
        </w:rPr>
        <w:t>, respectively</w:t>
      </w:r>
      <w:r w:rsidR="006C15ED" w:rsidRPr="00DB11A6">
        <w:rPr>
          <w:rFonts w:ascii="Arial" w:hAnsi="Arial" w:cs="Arial"/>
        </w:rPr>
        <w:t xml:space="preserve">. </w:t>
      </w:r>
      <w:r w:rsidR="00D8346C" w:rsidRPr="00DB11A6">
        <w:rPr>
          <w:rFonts w:ascii="Arial" w:hAnsi="Arial" w:cs="Arial"/>
        </w:rPr>
        <w:t xml:space="preserve">While these timelines may </w:t>
      </w:r>
      <w:r w:rsidR="00B2065C" w:rsidRPr="00DB11A6">
        <w:rPr>
          <w:rFonts w:ascii="Arial" w:hAnsi="Arial" w:cs="Arial"/>
        </w:rPr>
        <w:t>suggest alternative respiratory diagnoses</w:t>
      </w:r>
      <w:r w:rsidR="00D8346C" w:rsidRPr="00DB11A6">
        <w:rPr>
          <w:rFonts w:ascii="Arial" w:hAnsi="Arial" w:cs="Arial"/>
        </w:rPr>
        <w:t>, th</w:t>
      </w:r>
      <w:r w:rsidR="00363CA3" w:rsidRPr="00DB11A6">
        <w:rPr>
          <w:rFonts w:ascii="Arial" w:hAnsi="Arial" w:cs="Arial"/>
        </w:rPr>
        <w:t>is</w:t>
      </w:r>
      <w:r w:rsidR="00D6213B" w:rsidRPr="00DB11A6">
        <w:rPr>
          <w:rFonts w:ascii="Arial" w:hAnsi="Arial" w:cs="Arial"/>
        </w:rPr>
        <w:t xml:space="preserve"> </w:t>
      </w:r>
      <w:r w:rsidR="00711C70" w:rsidRPr="00DB11A6">
        <w:rPr>
          <w:rFonts w:ascii="Arial" w:hAnsi="Arial" w:cs="Arial"/>
        </w:rPr>
        <w:t xml:space="preserve">could </w:t>
      </w:r>
      <w:r w:rsidR="00D8346C" w:rsidRPr="00DB11A6">
        <w:rPr>
          <w:rFonts w:ascii="Arial" w:hAnsi="Arial" w:cs="Arial"/>
        </w:rPr>
        <w:t xml:space="preserve">reflect misdiagnosis of initial functional impairment </w:t>
      </w:r>
      <w:r w:rsidR="005B534D" w:rsidRPr="00DB11A6">
        <w:rPr>
          <w:rFonts w:ascii="Arial" w:hAnsi="Arial" w:cs="Arial"/>
        </w:rPr>
        <w:t>due to</w:t>
      </w:r>
      <w:r w:rsidR="00D8346C" w:rsidRPr="00DB11A6">
        <w:rPr>
          <w:rFonts w:ascii="Arial" w:hAnsi="Arial" w:cs="Arial"/>
        </w:rPr>
        <w:t xml:space="preserve"> early-onset PFCS</w:t>
      </w:r>
      <w:r w:rsidR="00DD2EB6" w:rsidRPr="00DB11A6">
        <w:rPr>
          <w:rFonts w:ascii="Arial" w:hAnsi="Arial" w:cs="Arial"/>
        </w:rPr>
        <w:t>.</w:t>
      </w:r>
      <w:r w:rsidR="0089180A" w:rsidRPr="00DB11A6">
        <w:rPr>
          <w:rFonts w:ascii="Arial" w:hAnsi="Arial" w:cs="Arial"/>
        </w:rPr>
        <w:t xml:space="preserve"> </w:t>
      </w:r>
    </w:p>
    <w:p w14:paraId="0F734F98" w14:textId="77777777" w:rsidR="00363CA3" w:rsidRPr="00DB11A6" w:rsidRDefault="00363CA3" w:rsidP="00306C71">
      <w:pPr>
        <w:spacing w:line="480" w:lineRule="auto"/>
        <w:rPr>
          <w:rFonts w:ascii="Arial" w:hAnsi="Arial" w:cs="Arial"/>
        </w:rPr>
      </w:pPr>
    </w:p>
    <w:p w14:paraId="3E3F73E1" w14:textId="4ED175D6" w:rsidR="00101435" w:rsidRPr="00DB11A6" w:rsidRDefault="00D26DD7" w:rsidP="00101435">
      <w:pPr>
        <w:spacing w:line="480" w:lineRule="auto"/>
        <w:rPr>
          <w:rFonts w:ascii="Arial" w:hAnsi="Arial" w:cs="Arial"/>
        </w:rPr>
      </w:pPr>
      <w:r w:rsidRPr="00DB11A6">
        <w:rPr>
          <w:rFonts w:ascii="Arial" w:hAnsi="Arial" w:cs="Arial"/>
        </w:rPr>
        <w:t>Limitations in our data</w:t>
      </w:r>
      <w:r w:rsidR="00737EB2" w:rsidRPr="00DB11A6">
        <w:rPr>
          <w:rFonts w:ascii="Arial" w:hAnsi="Arial" w:cs="Arial"/>
        </w:rPr>
        <w:t xml:space="preserve"> an</w:t>
      </w:r>
      <w:r w:rsidR="000D6369" w:rsidRPr="00DB11A6">
        <w:rPr>
          <w:rFonts w:ascii="Arial" w:hAnsi="Arial" w:cs="Arial"/>
        </w:rPr>
        <w:t>d framework conditions</w:t>
      </w:r>
      <w:r w:rsidRPr="00DB11A6">
        <w:rPr>
          <w:rFonts w:ascii="Arial" w:hAnsi="Arial" w:cs="Arial"/>
        </w:rPr>
        <w:t xml:space="preserve"> potentially restrict our interpretations. For example, spirometry is not routine in primary care, with COPD or asthma patients more likely to undergo spirometry testing. Secondary care data requires manual reporting and entry </w:t>
      </w:r>
      <w:r w:rsidR="00FF591D" w:rsidRPr="00DB11A6">
        <w:rPr>
          <w:rFonts w:ascii="Arial" w:hAnsi="Arial" w:cs="Arial"/>
        </w:rPr>
        <w:t>in</w:t>
      </w:r>
      <w:r w:rsidRPr="00DB11A6">
        <w:rPr>
          <w:rFonts w:ascii="Arial" w:hAnsi="Arial" w:cs="Arial"/>
        </w:rPr>
        <w:t xml:space="preserve">to primary care </w:t>
      </w:r>
      <w:r w:rsidRPr="00DB11A6">
        <w:rPr>
          <w:rFonts w:ascii="Arial" w:hAnsi="Arial" w:cs="Arial"/>
        </w:rPr>
        <w:lastRenderedPageBreak/>
        <w:t xml:space="preserve">records, resulting in under-reporting and under-estimation of HRU from secondary care. </w:t>
      </w:r>
      <w:r w:rsidR="00363CA3" w:rsidRPr="00DB11A6">
        <w:rPr>
          <w:rFonts w:ascii="Arial" w:hAnsi="Arial" w:cs="Arial"/>
        </w:rPr>
        <w:t>A</w:t>
      </w:r>
      <w:r w:rsidR="0089180A" w:rsidRPr="00DB11A6">
        <w:rPr>
          <w:rFonts w:ascii="Arial" w:hAnsi="Arial" w:cs="Arial"/>
        </w:rPr>
        <w:t xml:space="preserve"> limitation to the interpretation of any relationship between </w:t>
      </w:r>
      <w:r w:rsidR="00363CA3" w:rsidRPr="00DB11A6">
        <w:rPr>
          <w:rFonts w:ascii="Arial" w:hAnsi="Arial" w:cs="Arial"/>
        </w:rPr>
        <w:t>PFCS</w:t>
      </w:r>
      <w:r w:rsidR="0089180A" w:rsidRPr="00DB11A6">
        <w:rPr>
          <w:rFonts w:ascii="Arial" w:hAnsi="Arial" w:cs="Arial"/>
        </w:rPr>
        <w:t xml:space="preserve"> diagnosis and preceding comorbidities is that comorbidities were captured through codes rather than function</w:t>
      </w:r>
      <w:r w:rsidR="008F38A2" w:rsidRPr="00DB11A6">
        <w:rPr>
          <w:rFonts w:ascii="Arial" w:hAnsi="Arial" w:cs="Arial"/>
        </w:rPr>
        <w:t>al</w:t>
      </w:r>
      <w:r w:rsidR="0089180A" w:rsidRPr="00DB11A6">
        <w:rPr>
          <w:rFonts w:ascii="Arial" w:hAnsi="Arial" w:cs="Arial"/>
        </w:rPr>
        <w:t xml:space="preserve"> tests</w:t>
      </w:r>
      <w:r w:rsidR="00080614" w:rsidRPr="00DB11A6">
        <w:rPr>
          <w:rFonts w:ascii="Arial" w:hAnsi="Arial" w:cs="Arial"/>
        </w:rPr>
        <w:t xml:space="preserve">. </w:t>
      </w:r>
      <w:r w:rsidR="00A76A26" w:rsidRPr="00DB11A6">
        <w:rPr>
          <w:rFonts w:ascii="Arial" w:hAnsi="Arial" w:cs="Arial"/>
        </w:rPr>
        <w:t>Miscoding</w:t>
      </w:r>
      <w:r w:rsidR="009445E1" w:rsidRPr="00DB11A6">
        <w:rPr>
          <w:rFonts w:ascii="Arial" w:hAnsi="Arial" w:cs="Arial"/>
        </w:rPr>
        <w:t xml:space="preserve"> </w:t>
      </w:r>
      <w:r w:rsidR="0089180A" w:rsidRPr="00DB11A6">
        <w:rPr>
          <w:rFonts w:ascii="Arial" w:hAnsi="Arial" w:cs="Arial"/>
        </w:rPr>
        <w:t>represent</w:t>
      </w:r>
      <w:r w:rsidR="00B3118F" w:rsidRPr="00DB11A6">
        <w:rPr>
          <w:rFonts w:ascii="Arial" w:hAnsi="Arial" w:cs="Arial"/>
        </w:rPr>
        <w:t>s</w:t>
      </w:r>
      <w:r w:rsidR="0089180A" w:rsidRPr="00DB11A6">
        <w:rPr>
          <w:rFonts w:ascii="Arial" w:hAnsi="Arial" w:cs="Arial"/>
        </w:rPr>
        <w:t xml:space="preserve"> a source of potential misdiagnos</w:t>
      </w:r>
      <w:r w:rsidR="00A51819" w:rsidRPr="00DB11A6">
        <w:rPr>
          <w:rFonts w:ascii="Arial" w:hAnsi="Arial" w:cs="Arial"/>
        </w:rPr>
        <w:t>i</w:t>
      </w:r>
      <w:r w:rsidR="0089180A" w:rsidRPr="00DB11A6">
        <w:rPr>
          <w:rFonts w:ascii="Arial" w:hAnsi="Arial" w:cs="Arial"/>
        </w:rPr>
        <w:t>s.</w:t>
      </w:r>
      <w:r w:rsidR="00363CA3" w:rsidRPr="00DB11A6">
        <w:rPr>
          <w:rFonts w:ascii="Arial" w:hAnsi="Arial" w:cs="Arial"/>
        </w:rPr>
        <w:t xml:space="preserve"> </w:t>
      </w:r>
      <w:r w:rsidR="00101435" w:rsidRPr="00DB11A6">
        <w:rPr>
          <w:rFonts w:ascii="Arial" w:hAnsi="Arial" w:cs="Arial"/>
        </w:rPr>
        <w:t xml:space="preserve">Another consideration </w:t>
      </w:r>
      <w:r w:rsidR="0055735F" w:rsidRPr="00DB11A6">
        <w:rPr>
          <w:rFonts w:ascii="Arial" w:hAnsi="Arial" w:cs="Arial"/>
        </w:rPr>
        <w:t>is</w:t>
      </w:r>
      <w:r w:rsidR="00363CA3" w:rsidRPr="00DB11A6">
        <w:rPr>
          <w:rFonts w:ascii="Arial" w:hAnsi="Arial" w:cs="Arial"/>
        </w:rPr>
        <w:t xml:space="preserve"> </w:t>
      </w:r>
      <w:r w:rsidR="00101435" w:rsidRPr="00DB11A6">
        <w:rPr>
          <w:rFonts w:ascii="Arial" w:hAnsi="Arial" w:cs="Arial"/>
        </w:rPr>
        <w:t xml:space="preserve">framework conditions that determine drug prescribing policies </w:t>
      </w:r>
      <w:r w:rsidR="00363CA3" w:rsidRPr="00DB11A6">
        <w:rPr>
          <w:rFonts w:ascii="Arial" w:hAnsi="Arial" w:cs="Arial"/>
        </w:rPr>
        <w:t xml:space="preserve">which </w:t>
      </w:r>
      <w:r w:rsidR="00101435" w:rsidRPr="00DB11A6">
        <w:rPr>
          <w:rFonts w:ascii="Arial" w:hAnsi="Arial" w:cs="Arial"/>
        </w:rPr>
        <w:t>change over time</w:t>
      </w:r>
      <w:r w:rsidR="00F4283C" w:rsidRPr="00DB11A6">
        <w:rPr>
          <w:rFonts w:ascii="Arial" w:hAnsi="Arial" w:cs="Arial"/>
        </w:rPr>
        <w:t xml:space="preserve"> </w:t>
      </w:r>
      <w:r w:rsidR="00101435" w:rsidRPr="00DB11A6">
        <w:rPr>
          <w:rFonts w:ascii="Arial" w:hAnsi="Arial" w:cs="Arial"/>
        </w:rPr>
        <w:t xml:space="preserve">and </w:t>
      </w:r>
      <w:r w:rsidR="0055735F" w:rsidRPr="00DB11A6">
        <w:rPr>
          <w:rFonts w:ascii="Arial" w:hAnsi="Arial" w:cs="Arial"/>
        </w:rPr>
        <w:t xml:space="preserve">may influence HRU </w:t>
      </w:r>
      <w:r w:rsidR="005D7024" w:rsidRPr="00DB11A6">
        <w:rPr>
          <w:rFonts w:ascii="Arial" w:hAnsi="Arial" w:cs="Arial"/>
        </w:rPr>
        <w:t>in the lead</w:t>
      </w:r>
      <w:r w:rsidR="00101435" w:rsidRPr="00DB11A6">
        <w:rPr>
          <w:rFonts w:ascii="Arial" w:hAnsi="Arial" w:cs="Arial"/>
        </w:rPr>
        <w:t xml:space="preserve"> up to diagnosis. </w:t>
      </w:r>
      <w:r w:rsidR="00363CA3" w:rsidRPr="00DB11A6">
        <w:rPr>
          <w:rFonts w:ascii="Arial" w:hAnsi="Arial" w:cs="Arial"/>
        </w:rPr>
        <w:t xml:space="preserve">Our analysis </w:t>
      </w:r>
      <w:r w:rsidR="00F4283C" w:rsidRPr="00DB11A6">
        <w:rPr>
          <w:rFonts w:ascii="Arial" w:hAnsi="Arial" w:cs="Arial"/>
        </w:rPr>
        <w:t>did not</w:t>
      </w:r>
      <w:r w:rsidR="00101435" w:rsidRPr="00DB11A6">
        <w:rPr>
          <w:rFonts w:ascii="Arial" w:hAnsi="Arial" w:cs="Arial"/>
        </w:rPr>
        <w:t xml:space="preserve"> account for this potential covariate. </w:t>
      </w:r>
    </w:p>
    <w:p w14:paraId="055BAA15" w14:textId="77777777" w:rsidR="00F83445" w:rsidRPr="00DB11A6" w:rsidRDefault="00F83445" w:rsidP="00306C71">
      <w:pPr>
        <w:spacing w:line="480" w:lineRule="auto"/>
        <w:rPr>
          <w:rFonts w:ascii="Arial" w:hAnsi="Arial" w:cs="Arial"/>
        </w:rPr>
      </w:pPr>
    </w:p>
    <w:p w14:paraId="25B67C0F" w14:textId="1D239237" w:rsidR="001E7818" w:rsidRPr="00DB11A6" w:rsidRDefault="00363CA3" w:rsidP="00306C71">
      <w:pPr>
        <w:spacing w:line="480" w:lineRule="auto"/>
        <w:rPr>
          <w:rFonts w:ascii="Arial" w:hAnsi="Arial" w:cs="Arial"/>
        </w:rPr>
      </w:pPr>
      <w:r w:rsidRPr="00DB11A6">
        <w:rPr>
          <w:rFonts w:ascii="Arial" w:hAnsi="Arial" w:cs="Arial"/>
        </w:rPr>
        <w:t>Nevertheless, p</w:t>
      </w:r>
      <w:r w:rsidR="00C87C42" w:rsidRPr="00DB11A6">
        <w:rPr>
          <w:rFonts w:ascii="Arial" w:eastAsia="Calibri" w:hAnsi="Arial" w:cs="Arial"/>
        </w:rPr>
        <w:t>atients</w:t>
      </w:r>
      <w:r w:rsidR="00C87C42" w:rsidRPr="00DB11A6">
        <w:rPr>
          <w:rFonts w:ascii="Arial" w:hAnsi="Arial" w:cs="Arial"/>
        </w:rPr>
        <w:t xml:space="preserve"> </w:t>
      </w:r>
      <w:r w:rsidR="00C87C42" w:rsidRPr="00DB11A6">
        <w:rPr>
          <w:rFonts w:ascii="Arial" w:eastAsia="Calibri" w:hAnsi="Arial" w:cs="Arial"/>
        </w:rPr>
        <w:t>consistently</w:t>
      </w:r>
      <w:r w:rsidR="00C87C42" w:rsidRPr="00DB11A6">
        <w:rPr>
          <w:rFonts w:ascii="Arial" w:hAnsi="Arial" w:cs="Arial"/>
        </w:rPr>
        <w:t xml:space="preserve"> </w:t>
      </w:r>
      <w:r w:rsidR="00C87C42" w:rsidRPr="00DB11A6">
        <w:rPr>
          <w:rFonts w:ascii="Arial" w:eastAsia="Calibri" w:hAnsi="Arial" w:cs="Arial"/>
        </w:rPr>
        <w:t>report</w:t>
      </w:r>
      <w:r w:rsidR="00C87C42" w:rsidRPr="00DB11A6">
        <w:rPr>
          <w:rFonts w:ascii="Arial" w:hAnsi="Arial" w:cs="Arial"/>
        </w:rPr>
        <w:t xml:space="preserve"> </w:t>
      </w:r>
      <w:r w:rsidR="00C87C42" w:rsidRPr="00DB11A6">
        <w:rPr>
          <w:rFonts w:ascii="Arial" w:eastAsia="Calibri" w:hAnsi="Arial" w:cs="Arial"/>
        </w:rPr>
        <w:t>dissatisfaction</w:t>
      </w:r>
      <w:r w:rsidR="00C87C42" w:rsidRPr="00DB11A6">
        <w:rPr>
          <w:rFonts w:ascii="Arial" w:hAnsi="Arial" w:cs="Arial"/>
        </w:rPr>
        <w:t xml:space="preserve"> </w:t>
      </w:r>
      <w:r w:rsidR="00C87C42" w:rsidRPr="00DB11A6">
        <w:rPr>
          <w:rFonts w:ascii="Arial" w:eastAsia="Calibri" w:hAnsi="Arial" w:cs="Arial"/>
        </w:rPr>
        <w:t>with</w:t>
      </w:r>
      <w:r w:rsidR="00BA7808" w:rsidRPr="00DB11A6">
        <w:rPr>
          <w:rFonts w:ascii="Arial" w:eastAsia="Calibri" w:hAnsi="Arial" w:cs="Arial"/>
        </w:rPr>
        <w:t xml:space="preserve"> time taken </w:t>
      </w:r>
      <w:r w:rsidR="00C87C42" w:rsidRPr="00DB11A6">
        <w:rPr>
          <w:rFonts w:ascii="Arial" w:eastAsia="Calibri" w:hAnsi="Arial" w:cs="Arial"/>
        </w:rPr>
        <w:t>to</w:t>
      </w:r>
      <w:r w:rsidR="00C87C42" w:rsidRPr="00DB11A6">
        <w:rPr>
          <w:rFonts w:ascii="Arial" w:hAnsi="Arial" w:cs="Arial"/>
        </w:rPr>
        <w:t xml:space="preserve"> </w:t>
      </w:r>
      <w:r w:rsidR="00C87C42" w:rsidRPr="00DB11A6">
        <w:rPr>
          <w:rFonts w:ascii="Arial" w:eastAsia="Calibri" w:hAnsi="Arial" w:cs="Arial"/>
        </w:rPr>
        <w:t>diagnosis</w:t>
      </w:r>
      <w:r w:rsidR="00AB5CC4" w:rsidRPr="00DB11A6">
        <w:rPr>
          <w:rFonts w:ascii="Arial" w:eastAsia="Calibri" w:hAnsi="Arial" w:cs="Arial"/>
        </w:rPr>
        <w:t xml:space="preserve"> [</w:t>
      </w:r>
      <w:r w:rsidR="004034C1" w:rsidRPr="00DB11A6">
        <w:rPr>
          <w:rFonts w:ascii="Arial" w:eastAsia="Calibri" w:hAnsi="Arial" w:cs="Arial"/>
        </w:rPr>
        <w:t>1</w:t>
      </w:r>
      <w:r w:rsidR="009232B0" w:rsidRPr="00DB11A6">
        <w:rPr>
          <w:rFonts w:ascii="Arial" w:eastAsia="Calibri" w:hAnsi="Arial" w:cs="Arial"/>
        </w:rPr>
        <w:t>5</w:t>
      </w:r>
      <w:r w:rsidR="004034C1" w:rsidRPr="00DB11A6">
        <w:rPr>
          <w:rFonts w:ascii="Arial" w:eastAsia="Calibri" w:hAnsi="Arial" w:cs="Arial"/>
        </w:rPr>
        <w:t>,1</w:t>
      </w:r>
      <w:r w:rsidR="009232B0" w:rsidRPr="00DB11A6">
        <w:rPr>
          <w:rFonts w:ascii="Arial" w:eastAsia="Calibri" w:hAnsi="Arial" w:cs="Arial"/>
        </w:rPr>
        <w:t>6</w:t>
      </w:r>
      <w:r w:rsidR="00AB5CC4" w:rsidRPr="00DB11A6">
        <w:rPr>
          <w:rFonts w:ascii="Arial" w:eastAsia="Calibri" w:hAnsi="Arial" w:cs="Arial"/>
        </w:rPr>
        <w:t>].</w:t>
      </w:r>
      <w:r w:rsidR="00C87C42" w:rsidRPr="00DB11A6">
        <w:rPr>
          <w:rFonts w:ascii="Arial" w:hAnsi="Arial" w:cs="Arial"/>
        </w:rPr>
        <w:t xml:space="preserve"> </w:t>
      </w:r>
      <w:r w:rsidR="00ED4F43" w:rsidRPr="00DB11A6">
        <w:rPr>
          <w:rFonts w:ascii="Arial" w:hAnsi="Arial" w:cs="Arial"/>
        </w:rPr>
        <w:t>Studies investigating</w:t>
      </w:r>
      <w:r w:rsidR="00FF547E" w:rsidRPr="00DB11A6">
        <w:rPr>
          <w:rFonts w:ascii="Arial" w:hAnsi="Arial" w:cs="Arial"/>
        </w:rPr>
        <w:t xml:space="preserve"> how to effectively</w:t>
      </w:r>
      <w:r w:rsidR="005C1721" w:rsidRPr="00DB11A6">
        <w:rPr>
          <w:rFonts w:ascii="Arial" w:hAnsi="Arial" w:cs="Arial"/>
        </w:rPr>
        <w:t xml:space="preserve"> </w:t>
      </w:r>
      <w:r w:rsidR="00FF547E" w:rsidRPr="00DB11A6">
        <w:rPr>
          <w:rFonts w:ascii="Arial" w:hAnsi="Arial" w:cs="Arial"/>
        </w:rPr>
        <w:t xml:space="preserve">increase </w:t>
      </w:r>
      <w:r w:rsidR="005C1721" w:rsidRPr="00DB11A6">
        <w:rPr>
          <w:rFonts w:ascii="Arial" w:hAnsi="Arial" w:cs="Arial"/>
        </w:rPr>
        <w:t xml:space="preserve">awareness of </w:t>
      </w:r>
      <w:r w:rsidR="00C87C42" w:rsidRPr="00DB11A6">
        <w:rPr>
          <w:rFonts w:ascii="Arial" w:hAnsi="Arial" w:cs="Arial"/>
        </w:rPr>
        <w:t xml:space="preserve">pulmonary fibrosis </w:t>
      </w:r>
      <w:r w:rsidR="005C1721" w:rsidRPr="00DB11A6">
        <w:rPr>
          <w:rFonts w:ascii="Arial" w:hAnsi="Arial" w:cs="Arial"/>
        </w:rPr>
        <w:t xml:space="preserve">among primary care physicians </w:t>
      </w:r>
      <w:r w:rsidR="00FF547E" w:rsidRPr="00DB11A6">
        <w:rPr>
          <w:rFonts w:ascii="Arial" w:hAnsi="Arial" w:cs="Arial"/>
        </w:rPr>
        <w:t>are required</w:t>
      </w:r>
      <w:r w:rsidR="00097426" w:rsidRPr="00DB11A6">
        <w:rPr>
          <w:rFonts w:ascii="Arial" w:hAnsi="Arial" w:cs="Arial"/>
        </w:rPr>
        <w:t xml:space="preserve">. </w:t>
      </w:r>
      <w:r w:rsidR="00FF547E" w:rsidRPr="00DB11A6">
        <w:rPr>
          <w:rFonts w:ascii="Arial" w:hAnsi="Arial" w:cs="Arial"/>
        </w:rPr>
        <w:t>This may include</w:t>
      </w:r>
      <w:r w:rsidR="00097426" w:rsidRPr="00DB11A6">
        <w:rPr>
          <w:rFonts w:ascii="Arial" w:hAnsi="Arial" w:cs="Arial"/>
        </w:rPr>
        <w:t xml:space="preserve"> re-emphasis </w:t>
      </w:r>
      <w:r w:rsidR="00FF547E" w:rsidRPr="00DB11A6">
        <w:rPr>
          <w:rFonts w:ascii="Arial" w:hAnsi="Arial" w:cs="Arial"/>
        </w:rPr>
        <w:t>of</w:t>
      </w:r>
      <w:r w:rsidR="006100D9" w:rsidRPr="00DB11A6">
        <w:rPr>
          <w:rFonts w:ascii="Arial" w:hAnsi="Arial" w:cs="Arial"/>
        </w:rPr>
        <w:t xml:space="preserve"> routine lung auscultation to </w:t>
      </w:r>
      <w:r w:rsidR="0072318E" w:rsidRPr="00DB11A6">
        <w:rPr>
          <w:rFonts w:ascii="Arial" w:hAnsi="Arial" w:cs="Arial"/>
        </w:rPr>
        <w:t>chec</w:t>
      </w:r>
      <w:r w:rsidR="00BD4306" w:rsidRPr="00DB11A6">
        <w:rPr>
          <w:rFonts w:ascii="Arial" w:hAnsi="Arial" w:cs="Arial"/>
        </w:rPr>
        <w:t>k</w:t>
      </w:r>
      <w:r w:rsidR="0072318E" w:rsidRPr="00DB11A6">
        <w:rPr>
          <w:rFonts w:ascii="Arial" w:hAnsi="Arial" w:cs="Arial"/>
        </w:rPr>
        <w:t xml:space="preserve"> </w:t>
      </w:r>
      <w:r w:rsidR="00244E0A" w:rsidRPr="00DB11A6">
        <w:rPr>
          <w:rFonts w:ascii="Arial" w:hAnsi="Arial" w:cs="Arial"/>
        </w:rPr>
        <w:t xml:space="preserve">for </w:t>
      </w:r>
      <w:r w:rsidR="006100D9" w:rsidRPr="00DB11A6">
        <w:rPr>
          <w:rFonts w:ascii="Arial" w:hAnsi="Arial" w:cs="Arial"/>
        </w:rPr>
        <w:t>crackles</w:t>
      </w:r>
      <w:r w:rsidR="006F0762" w:rsidRPr="00DB11A6">
        <w:rPr>
          <w:rFonts w:ascii="Arial" w:hAnsi="Arial" w:cs="Arial"/>
        </w:rPr>
        <w:t xml:space="preserve"> </w:t>
      </w:r>
      <w:r w:rsidR="006100D9" w:rsidRPr="00DB11A6">
        <w:rPr>
          <w:rFonts w:ascii="Arial" w:hAnsi="Arial" w:cs="Arial"/>
        </w:rPr>
        <w:t xml:space="preserve">in </w:t>
      </w:r>
      <w:r w:rsidR="006F0762" w:rsidRPr="00DB11A6">
        <w:rPr>
          <w:rFonts w:ascii="Arial" w:hAnsi="Arial" w:cs="Arial"/>
        </w:rPr>
        <w:t xml:space="preserve">older </w:t>
      </w:r>
      <w:r w:rsidR="006100D9" w:rsidRPr="00DB11A6">
        <w:rPr>
          <w:rFonts w:ascii="Arial" w:hAnsi="Arial" w:cs="Arial"/>
        </w:rPr>
        <w:t xml:space="preserve">patients </w:t>
      </w:r>
      <w:r w:rsidR="00097426" w:rsidRPr="00DB11A6">
        <w:rPr>
          <w:rFonts w:ascii="Arial" w:hAnsi="Arial" w:cs="Arial"/>
        </w:rPr>
        <w:t>present</w:t>
      </w:r>
      <w:r w:rsidR="007C605A" w:rsidRPr="00DB11A6">
        <w:rPr>
          <w:rFonts w:ascii="Arial" w:hAnsi="Arial" w:cs="Arial"/>
        </w:rPr>
        <w:t>ing</w:t>
      </w:r>
      <w:r w:rsidR="00097426" w:rsidRPr="00DB11A6">
        <w:rPr>
          <w:rFonts w:ascii="Arial" w:hAnsi="Arial" w:cs="Arial"/>
        </w:rPr>
        <w:t xml:space="preserve"> </w:t>
      </w:r>
      <w:r w:rsidR="006100D9" w:rsidRPr="00DB11A6">
        <w:rPr>
          <w:rFonts w:ascii="Arial" w:hAnsi="Arial" w:cs="Arial"/>
        </w:rPr>
        <w:t>w</w:t>
      </w:r>
      <w:r w:rsidR="00097426" w:rsidRPr="00DB11A6">
        <w:rPr>
          <w:rFonts w:ascii="Arial" w:hAnsi="Arial" w:cs="Arial"/>
        </w:rPr>
        <w:t xml:space="preserve">ith </w:t>
      </w:r>
      <w:r w:rsidR="006F0762" w:rsidRPr="00DB11A6">
        <w:rPr>
          <w:rFonts w:ascii="Arial" w:hAnsi="Arial" w:cs="Arial"/>
        </w:rPr>
        <w:t xml:space="preserve">repeated </w:t>
      </w:r>
      <w:r w:rsidR="006100D9" w:rsidRPr="00DB11A6">
        <w:rPr>
          <w:rFonts w:ascii="Arial" w:hAnsi="Arial" w:cs="Arial"/>
        </w:rPr>
        <w:t>LR complaints</w:t>
      </w:r>
      <w:r w:rsidR="006F0762" w:rsidRPr="00DB11A6">
        <w:rPr>
          <w:rFonts w:ascii="Arial" w:hAnsi="Arial" w:cs="Arial"/>
        </w:rPr>
        <w:t xml:space="preserve"> </w:t>
      </w:r>
      <w:r w:rsidR="006100D9" w:rsidRPr="00DB11A6">
        <w:rPr>
          <w:rFonts w:ascii="Arial" w:hAnsi="Arial" w:cs="Arial"/>
        </w:rPr>
        <w:t>over a short time period</w:t>
      </w:r>
      <w:r w:rsidR="00244E0A" w:rsidRPr="00DB11A6">
        <w:rPr>
          <w:rFonts w:ascii="Arial" w:hAnsi="Arial" w:cs="Arial"/>
        </w:rPr>
        <w:t xml:space="preserve">. In older populations, a </w:t>
      </w:r>
      <w:r w:rsidR="0072318E" w:rsidRPr="00DB11A6">
        <w:rPr>
          <w:rFonts w:ascii="Arial" w:hAnsi="Arial" w:cs="Arial"/>
        </w:rPr>
        <w:t xml:space="preserve">joint </w:t>
      </w:r>
      <w:proofErr w:type="spellStart"/>
      <w:r w:rsidR="00244E0A" w:rsidRPr="00DB11A6">
        <w:rPr>
          <w:rFonts w:ascii="Arial" w:hAnsi="Arial" w:cs="Arial"/>
        </w:rPr>
        <w:t>spirometric</w:t>
      </w:r>
      <w:proofErr w:type="spellEnd"/>
      <w:r w:rsidR="00244E0A" w:rsidRPr="00DB11A6">
        <w:rPr>
          <w:rFonts w:ascii="Arial" w:hAnsi="Arial" w:cs="Arial"/>
        </w:rPr>
        <w:t xml:space="preserve"> </w:t>
      </w:r>
      <w:r w:rsidR="00612EB3" w:rsidRPr="00DB11A6">
        <w:rPr>
          <w:rFonts w:ascii="Arial" w:hAnsi="Arial" w:cs="Arial"/>
        </w:rPr>
        <w:t>and</w:t>
      </w:r>
      <w:r w:rsidR="0072318E" w:rsidRPr="00DB11A6">
        <w:rPr>
          <w:rFonts w:ascii="Arial" w:hAnsi="Arial" w:cs="Arial"/>
        </w:rPr>
        <w:t xml:space="preserve"> </w:t>
      </w:r>
      <w:r w:rsidR="00244E0A" w:rsidRPr="00DB11A6">
        <w:rPr>
          <w:rFonts w:ascii="Arial" w:hAnsi="Arial" w:cs="Arial"/>
        </w:rPr>
        <w:t>lung auscultation approach</w:t>
      </w:r>
      <w:r w:rsidR="00645A4D" w:rsidRPr="00DB11A6">
        <w:rPr>
          <w:rFonts w:ascii="Arial" w:hAnsi="Arial" w:cs="Arial"/>
        </w:rPr>
        <w:t xml:space="preserve"> may have value</w:t>
      </w:r>
      <w:r w:rsidR="00244E0A" w:rsidRPr="00DB11A6">
        <w:rPr>
          <w:rFonts w:ascii="Arial" w:hAnsi="Arial" w:cs="Arial"/>
        </w:rPr>
        <w:t xml:space="preserve"> </w:t>
      </w:r>
      <w:r w:rsidR="00D16DCE" w:rsidRPr="00DB11A6">
        <w:rPr>
          <w:rFonts w:ascii="Arial" w:hAnsi="Arial" w:cs="Arial"/>
        </w:rPr>
        <w:t>for</w:t>
      </w:r>
      <w:r w:rsidR="00244E0A" w:rsidRPr="00DB11A6">
        <w:rPr>
          <w:rFonts w:ascii="Arial" w:hAnsi="Arial" w:cs="Arial"/>
        </w:rPr>
        <w:t xml:space="preserve"> obstructive and fibrotic lung disease</w:t>
      </w:r>
      <w:r w:rsidR="00356265" w:rsidRPr="00DB11A6">
        <w:rPr>
          <w:rFonts w:ascii="Arial" w:hAnsi="Arial" w:cs="Arial"/>
        </w:rPr>
        <w:t xml:space="preserve"> diagnosis.</w:t>
      </w:r>
      <w:r w:rsidR="00244E0A" w:rsidRPr="00DB11A6">
        <w:rPr>
          <w:rFonts w:ascii="Arial" w:hAnsi="Arial" w:cs="Arial"/>
        </w:rPr>
        <w:t xml:space="preserve"> </w:t>
      </w:r>
      <w:r w:rsidR="00ED4F43" w:rsidRPr="00DB11A6">
        <w:rPr>
          <w:rFonts w:ascii="Arial" w:hAnsi="Arial" w:cs="Arial"/>
        </w:rPr>
        <w:t>F</w:t>
      </w:r>
      <w:r w:rsidR="002E4EA1" w:rsidRPr="00DB11A6">
        <w:rPr>
          <w:rFonts w:ascii="Arial" w:hAnsi="Arial" w:cs="Arial"/>
        </w:rPr>
        <w:t xml:space="preserve">uture research should seek to link primary and secondary care data to focus on the development of a </w:t>
      </w:r>
      <w:r w:rsidR="00562C16" w:rsidRPr="00DB11A6">
        <w:rPr>
          <w:rFonts w:ascii="Arial" w:hAnsi="Arial" w:cs="Arial"/>
        </w:rPr>
        <w:t xml:space="preserve">pulmonary fibrosis </w:t>
      </w:r>
      <w:r w:rsidR="002E4EA1" w:rsidRPr="00DB11A6">
        <w:rPr>
          <w:rFonts w:ascii="Arial" w:hAnsi="Arial" w:cs="Arial"/>
        </w:rPr>
        <w:t xml:space="preserve">risk </w:t>
      </w:r>
      <w:r w:rsidR="005C1721" w:rsidRPr="00DB11A6">
        <w:rPr>
          <w:rFonts w:ascii="Arial" w:hAnsi="Arial" w:cs="Arial"/>
        </w:rPr>
        <w:t xml:space="preserve">algorithm </w:t>
      </w:r>
      <w:r w:rsidR="002E4EA1" w:rsidRPr="00DB11A6">
        <w:rPr>
          <w:rFonts w:ascii="Arial" w:hAnsi="Arial" w:cs="Arial"/>
        </w:rPr>
        <w:t>for</w:t>
      </w:r>
      <w:r w:rsidR="005C1721" w:rsidRPr="00DB11A6">
        <w:rPr>
          <w:rFonts w:ascii="Arial" w:hAnsi="Arial" w:cs="Arial"/>
        </w:rPr>
        <w:t xml:space="preserve"> integration within clinical decision management systems</w:t>
      </w:r>
      <w:r w:rsidR="002E4EA1" w:rsidRPr="00DB11A6">
        <w:rPr>
          <w:rFonts w:ascii="Arial" w:hAnsi="Arial" w:cs="Arial"/>
        </w:rPr>
        <w:t>.</w:t>
      </w:r>
      <w:r w:rsidR="001E7818" w:rsidRPr="00DB11A6">
        <w:rPr>
          <w:rFonts w:ascii="Arial" w:hAnsi="Arial" w:cs="Arial"/>
        </w:rPr>
        <w:t xml:space="preserve"> </w:t>
      </w:r>
    </w:p>
    <w:p w14:paraId="1C0C2DEE" w14:textId="77777777" w:rsidR="007A02DF" w:rsidRDefault="007A02DF" w:rsidP="00306C71">
      <w:pPr>
        <w:spacing w:line="480" w:lineRule="auto"/>
        <w:rPr>
          <w:rFonts w:ascii="Arial" w:hAnsi="Arial" w:cs="Arial"/>
          <w:b/>
          <w:szCs w:val="22"/>
          <w:highlight w:val="yellow"/>
        </w:rPr>
      </w:pPr>
    </w:p>
    <w:p w14:paraId="774865DB" w14:textId="77777777" w:rsidR="00F14A5D" w:rsidRDefault="00F14A5D">
      <w:pPr>
        <w:rPr>
          <w:rFonts w:ascii="Arial" w:hAnsi="Arial" w:cs="Arial"/>
          <w:b/>
          <w:szCs w:val="22"/>
        </w:rPr>
      </w:pPr>
      <w:r>
        <w:rPr>
          <w:rFonts w:ascii="Arial" w:hAnsi="Arial" w:cs="Arial"/>
          <w:b/>
          <w:szCs w:val="22"/>
        </w:rPr>
        <w:br w:type="page"/>
      </w:r>
    </w:p>
    <w:p w14:paraId="5FEECC78" w14:textId="77777777" w:rsidR="00F14A5D" w:rsidRDefault="00F14A5D" w:rsidP="00DB11A6">
      <w:pPr>
        <w:spacing w:line="480" w:lineRule="auto"/>
        <w:contextualSpacing/>
        <w:rPr>
          <w:rFonts w:ascii="Arial" w:hAnsi="Arial" w:cs="Arial"/>
          <w:b/>
          <w:szCs w:val="22"/>
        </w:rPr>
      </w:pPr>
    </w:p>
    <w:p w14:paraId="039C0E2B" w14:textId="602E0125" w:rsidR="00DB11A6" w:rsidRDefault="007A02DF" w:rsidP="00DB11A6">
      <w:pPr>
        <w:spacing w:line="480" w:lineRule="auto"/>
        <w:contextualSpacing/>
        <w:rPr>
          <w:rFonts w:ascii="Arial" w:hAnsi="Arial" w:cs="Arial"/>
          <w:szCs w:val="22"/>
        </w:rPr>
      </w:pPr>
      <w:r>
        <w:rPr>
          <w:rFonts w:ascii="Arial" w:hAnsi="Arial" w:cs="Arial"/>
          <w:b/>
          <w:szCs w:val="22"/>
        </w:rPr>
        <w:t>D</w:t>
      </w:r>
      <w:r w:rsidR="00DB11A6">
        <w:rPr>
          <w:rFonts w:ascii="Arial" w:hAnsi="Arial" w:cs="Arial"/>
          <w:b/>
          <w:szCs w:val="22"/>
        </w:rPr>
        <w:t>isclosure statement</w:t>
      </w:r>
      <w:r>
        <w:rPr>
          <w:rFonts w:ascii="Arial" w:hAnsi="Arial" w:cs="Arial"/>
          <w:b/>
          <w:szCs w:val="22"/>
        </w:rPr>
        <w:t>:</w:t>
      </w:r>
      <w:r w:rsidR="00DB11A6" w:rsidRPr="00DB11A6">
        <w:rPr>
          <w:rFonts w:ascii="Arial" w:hAnsi="Arial" w:cs="Arial"/>
          <w:szCs w:val="22"/>
        </w:rPr>
        <w:t xml:space="preserve"> </w:t>
      </w:r>
    </w:p>
    <w:p w14:paraId="18305A2D" w14:textId="296E32B5" w:rsidR="00DB11A6" w:rsidRPr="004034C1" w:rsidRDefault="00DB11A6" w:rsidP="00DB11A6">
      <w:pPr>
        <w:spacing w:line="480" w:lineRule="auto"/>
        <w:contextualSpacing/>
        <w:rPr>
          <w:rFonts w:ascii="Arial" w:hAnsi="Arial" w:cs="Arial"/>
          <w:b/>
          <w:sz w:val="22"/>
          <w:szCs w:val="22"/>
        </w:rPr>
      </w:pPr>
      <w:r w:rsidRPr="00DB11A6">
        <w:rPr>
          <w:rFonts w:ascii="Arial" w:hAnsi="Arial" w:cs="Arial"/>
          <w:szCs w:val="22"/>
        </w:rPr>
        <w:t>The study protocol was developed by REG on behalf of its independent ILD Working Group. The dataset was provided by Optimum Patient Care Ltd and the analysis conducted by REG on behalf of the ILD Working Group who reviewed the results and approved the development of this manuscript. The corresponding author had full access to all of the data and accepts responsibility for their submission for publication</w:t>
      </w:r>
      <w:r w:rsidRPr="004034C1">
        <w:rPr>
          <w:rFonts w:ascii="Arial" w:hAnsi="Arial" w:cs="Arial"/>
          <w:szCs w:val="22"/>
        </w:rPr>
        <w:t>.</w:t>
      </w:r>
      <w:r w:rsidRPr="004034C1">
        <w:rPr>
          <w:rFonts w:ascii="Arial" w:hAnsi="Arial" w:cs="Arial"/>
          <w:b/>
          <w:sz w:val="22"/>
          <w:szCs w:val="22"/>
        </w:rPr>
        <w:t xml:space="preserve"> </w:t>
      </w:r>
    </w:p>
    <w:p w14:paraId="44928021" w14:textId="3597ED94" w:rsidR="007A02DF" w:rsidRDefault="007A02DF" w:rsidP="00306C71">
      <w:pPr>
        <w:spacing w:line="480" w:lineRule="auto"/>
        <w:rPr>
          <w:rFonts w:ascii="Arial" w:hAnsi="Arial" w:cs="Arial"/>
          <w:b/>
          <w:szCs w:val="22"/>
        </w:rPr>
      </w:pPr>
    </w:p>
    <w:p w14:paraId="162257C5" w14:textId="7B3B6D6F" w:rsidR="005C2A10" w:rsidRDefault="00A42322" w:rsidP="00306C71">
      <w:pPr>
        <w:spacing w:line="480" w:lineRule="auto"/>
        <w:rPr>
          <w:rFonts w:ascii="Arial" w:hAnsi="Arial" w:cs="Arial"/>
          <w:bCs/>
          <w:szCs w:val="22"/>
        </w:rPr>
      </w:pPr>
      <w:r w:rsidRPr="00A42322">
        <w:rPr>
          <w:rFonts w:ascii="Arial" w:hAnsi="Arial" w:cs="Arial"/>
          <w:bCs/>
          <w:szCs w:val="22"/>
        </w:rPr>
        <w:t>T</w:t>
      </w:r>
      <w:r w:rsidR="005C2A10">
        <w:rPr>
          <w:rFonts w:ascii="Arial" w:hAnsi="Arial" w:cs="Arial"/>
          <w:bCs/>
          <w:szCs w:val="22"/>
        </w:rPr>
        <w:t>.</w:t>
      </w:r>
      <w:r w:rsidRPr="00A42322">
        <w:rPr>
          <w:rFonts w:ascii="Arial" w:hAnsi="Arial" w:cs="Arial"/>
          <w:bCs/>
          <w:szCs w:val="22"/>
        </w:rPr>
        <w:t>M</w:t>
      </w:r>
      <w:r w:rsidR="005C2A10">
        <w:rPr>
          <w:rFonts w:ascii="Arial" w:hAnsi="Arial" w:cs="Arial"/>
          <w:bCs/>
          <w:szCs w:val="22"/>
        </w:rPr>
        <w:t>.</w:t>
      </w:r>
      <w:r w:rsidRPr="00A42322">
        <w:rPr>
          <w:rFonts w:ascii="Arial" w:hAnsi="Arial" w:cs="Arial"/>
          <w:bCs/>
          <w:szCs w:val="22"/>
        </w:rPr>
        <w:t>M</w:t>
      </w:r>
      <w:r w:rsidR="005C2A10">
        <w:rPr>
          <w:rFonts w:ascii="Arial" w:hAnsi="Arial" w:cs="Arial"/>
          <w:bCs/>
          <w:szCs w:val="22"/>
        </w:rPr>
        <w:t>.</w:t>
      </w:r>
      <w:r w:rsidRPr="00A42322">
        <w:rPr>
          <w:rFonts w:ascii="Arial" w:hAnsi="Arial" w:cs="Arial"/>
          <w:bCs/>
          <w:szCs w:val="22"/>
        </w:rPr>
        <w:t xml:space="preserve"> has, via his institution, received industry-academic funding from GlaxoSmithKline R&amp;D and UCB and has received consultancy or speakers fees from </w:t>
      </w:r>
      <w:proofErr w:type="spellStart"/>
      <w:r w:rsidRPr="00A42322">
        <w:rPr>
          <w:rFonts w:ascii="Arial" w:hAnsi="Arial" w:cs="Arial"/>
          <w:bCs/>
          <w:szCs w:val="22"/>
        </w:rPr>
        <w:t>Apellis</w:t>
      </w:r>
      <w:proofErr w:type="spellEnd"/>
      <w:r w:rsidRPr="00A42322">
        <w:rPr>
          <w:rFonts w:ascii="Arial" w:hAnsi="Arial" w:cs="Arial"/>
          <w:bCs/>
          <w:szCs w:val="22"/>
        </w:rPr>
        <w:t xml:space="preserve">, Astra Zeneca, Bayer, Blade Therapeutics, Boehringer Ingelheim, Bristol-Myers Squibb, Galapagos, GlaxoSmithKline R&amp;D, </w:t>
      </w:r>
      <w:proofErr w:type="spellStart"/>
      <w:r w:rsidRPr="00A42322">
        <w:rPr>
          <w:rFonts w:ascii="Arial" w:hAnsi="Arial" w:cs="Arial"/>
          <w:bCs/>
          <w:szCs w:val="22"/>
        </w:rPr>
        <w:t>Indalo</w:t>
      </w:r>
      <w:proofErr w:type="spellEnd"/>
      <w:r w:rsidRPr="00A42322">
        <w:rPr>
          <w:rFonts w:ascii="Arial" w:hAnsi="Arial" w:cs="Arial"/>
          <w:bCs/>
          <w:szCs w:val="22"/>
        </w:rPr>
        <w:t xml:space="preserve">, Novartis, Pliant, </w:t>
      </w:r>
      <w:proofErr w:type="spellStart"/>
      <w:r w:rsidRPr="00A42322">
        <w:rPr>
          <w:rFonts w:ascii="Arial" w:hAnsi="Arial" w:cs="Arial"/>
          <w:bCs/>
          <w:szCs w:val="22"/>
        </w:rPr>
        <w:t>ProMetic</w:t>
      </w:r>
      <w:proofErr w:type="spellEnd"/>
      <w:r w:rsidRPr="00A42322">
        <w:rPr>
          <w:rFonts w:ascii="Arial" w:hAnsi="Arial" w:cs="Arial"/>
          <w:bCs/>
          <w:szCs w:val="22"/>
        </w:rPr>
        <w:t xml:space="preserve">, </w:t>
      </w:r>
      <w:proofErr w:type="spellStart"/>
      <w:r w:rsidRPr="00A42322">
        <w:rPr>
          <w:rFonts w:ascii="Arial" w:hAnsi="Arial" w:cs="Arial"/>
          <w:bCs/>
          <w:szCs w:val="22"/>
        </w:rPr>
        <w:t>Respivnat</w:t>
      </w:r>
      <w:proofErr w:type="spellEnd"/>
      <w:r w:rsidRPr="00A42322">
        <w:rPr>
          <w:rFonts w:ascii="Arial" w:hAnsi="Arial" w:cs="Arial"/>
          <w:bCs/>
          <w:szCs w:val="22"/>
        </w:rPr>
        <w:t xml:space="preserve">, Roche, </w:t>
      </w:r>
      <w:proofErr w:type="spellStart"/>
      <w:r w:rsidRPr="00A42322">
        <w:rPr>
          <w:rFonts w:ascii="Arial" w:hAnsi="Arial" w:cs="Arial"/>
          <w:bCs/>
          <w:szCs w:val="22"/>
        </w:rPr>
        <w:t>Samumed</w:t>
      </w:r>
      <w:proofErr w:type="spellEnd"/>
      <w:r w:rsidRPr="00A42322">
        <w:rPr>
          <w:rFonts w:ascii="Arial" w:hAnsi="Arial" w:cs="Arial"/>
          <w:bCs/>
          <w:szCs w:val="22"/>
        </w:rPr>
        <w:t xml:space="preserve"> and UCB. </w:t>
      </w:r>
    </w:p>
    <w:p w14:paraId="20820808" w14:textId="2E51FC91" w:rsidR="007A02DF" w:rsidRPr="00A42322" w:rsidRDefault="00A42322" w:rsidP="00306C71">
      <w:pPr>
        <w:spacing w:line="480" w:lineRule="auto"/>
        <w:rPr>
          <w:rFonts w:ascii="Arial" w:hAnsi="Arial" w:cs="Arial"/>
          <w:bCs/>
          <w:szCs w:val="22"/>
        </w:rPr>
      </w:pPr>
      <w:r w:rsidRPr="00A42322">
        <w:rPr>
          <w:rFonts w:ascii="Arial" w:hAnsi="Arial" w:cs="Arial"/>
          <w:bCs/>
          <w:szCs w:val="22"/>
        </w:rPr>
        <w:t>A</w:t>
      </w:r>
      <w:r w:rsidR="005C2A10">
        <w:rPr>
          <w:rFonts w:ascii="Arial" w:hAnsi="Arial" w:cs="Arial"/>
          <w:bCs/>
          <w:szCs w:val="22"/>
        </w:rPr>
        <w:t>.</w:t>
      </w:r>
      <w:r w:rsidRPr="00A42322">
        <w:rPr>
          <w:rFonts w:ascii="Arial" w:hAnsi="Arial" w:cs="Arial"/>
          <w:bCs/>
          <w:szCs w:val="22"/>
        </w:rPr>
        <w:t>K</w:t>
      </w:r>
      <w:r w:rsidR="005C2A10">
        <w:rPr>
          <w:rFonts w:ascii="Arial" w:hAnsi="Arial" w:cs="Arial"/>
          <w:bCs/>
          <w:szCs w:val="22"/>
        </w:rPr>
        <w:t>.</w:t>
      </w:r>
      <w:r w:rsidRPr="00A42322">
        <w:rPr>
          <w:rFonts w:ascii="Arial" w:hAnsi="Arial" w:cs="Arial"/>
          <w:bCs/>
          <w:szCs w:val="22"/>
        </w:rPr>
        <w:t xml:space="preserve"> is on the advisory board or </w:t>
      </w:r>
      <w:proofErr w:type="gramStart"/>
      <w:r w:rsidRPr="00A42322">
        <w:rPr>
          <w:rFonts w:ascii="Arial" w:hAnsi="Arial" w:cs="Arial"/>
          <w:bCs/>
          <w:szCs w:val="22"/>
        </w:rPr>
        <w:t>speakers</w:t>
      </w:r>
      <w:proofErr w:type="gramEnd"/>
      <w:r w:rsidRPr="00A42322">
        <w:rPr>
          <w:rFonts w:ascii="Arial" w:hAnsi="Arial" w:cs="Arial"/>
          <w:bCs/>
          <w:szCs w:val="22"/>
        </w:rPr>
        <w:t xml:space="preserve"> bureau for Astra Zeneca, Behring, Boehringer Ingelheim, </w:t>
      </w:r>
      <w:proofErr w:type="spellStart"/>
      <w:r w:rsidRPr="00A42322">
        <w:rPr>
          <w:rFonts w:ascii="Arial" w:hAnsi="Arial" w:cs="Arial"/>
          <w:bCs/>
          <w:szCs w:val="22"/>
        </w:rPr>
        <w:t>Covis</w:t>
      </w:r>
      <w:proofErr w:type="spellEnd"/>
      <w:r w:rsidRPr="00A42322">
        <w:rPr>
          <w:rFonts w:ascii="Arial" w:hAnsi="Arial" w:cs="Arial"/>
          <w:bCs/>
          <w:szCs w:val="22"/>
        </w:rPr>
        <w:t xml:space="preserve">, </w:t>
      </w:r>
      <w:proofErr w:type="spellStart"/>
      <w:r w:rsidRPr="00A42322">
        <w:rPr>
          <w:rFonts w:ascii="Arial" w:hAnsi="Arial" w:cs="Arial"/>
          <w:bCs/>
          <w:szCs w:val="22"/>
        </w:rPr>
        <w:t>Griffols</w:t>
      </w:r>
      <w:proofErr w:type="spellEnd"/>
      <w:r w:rsidRPr="00A42322">
        <w:rPr>
          <w:rFonts w:ascii="Arial" w:hAnsi="Arial" w:cs="Arial"/>
          <w:bCs/>
          <w:szCs w:val="22"/>
        </w:rPr>
        <w:t>, GSK, Merck, Novartis, Paladin, Purdue, Teva, Trudell.</w:t>
      </w:r>
    </w:p>
    <w:p w14:paraId="28A15D5D" w14:textId="5E2BD02B" w:rsidR="00A42322" w:rsidRPr="00A42322" w:rsidRDefault="00A42322" w:rsidP="00306C71">
      <w:pPr>
        <w:spacing w:line="480" w:lineRule="auto"/>
        <w:rPr>
          <w:rFonts w:ascii="Arial" w:hAnsi="Arial" w:cs="Arial"/>
          <w:bCs/>
          <w:szCs w:val="22"/>
        </w:rPr>
      </w:pPr>
      <w:r w:rsidRPr="00A42322">
        <w:rPr>
          <w:rFonts w:ascii="Arial" w:hAnsi="Arial" w:cs="Arial"/>
          <w:bCs/>
          <w:szCs w:val="22"/>
        </w:rPr>
        <w:t>S</w:t>
      </w:r>
      <w:r w:rsidR="005C2A10">
        <w:rPr>
          <w:rFonts w:ascii="Arial" w:hAnsi="Arial" w:cs="Arial"/>
          <w:bCs/>
          <w:szCs w:val="22"/>
        </w:rPr>
        <w:t>.</w:t>
      </w:r>
      <w:r w:rsidRPr="00A42322">
        <w:rPr>
          <w:rFonts w:ascii="Arial" w:hAnsi="Arial" w:cs="Arial"/>
          <w:bCs/>
          <w:szCs w:val="22"/>
        </w:rPr>
        <w:t>W</w:t>
      </w:r>
      <w:r w:rsidR="005C2A10">
        <w:rPr>
          <w:rFonts w:ascii="Arial" w:hAnsi="Arial" w:cs="Arial"/>
          <w:bCs/>
          <w:szCs w:val="22"/>
        </w:rPr>
        <w:t>.</w:t>
      </w:r>
      <w:r w:rsidRPr="00A42322">
        <w:rPr>
          <w:rFonts w:ascii="Arial" w:hAnsi="Arial" w:cs="Arial"/>
          <w:bCs/>
          <w:szCs w:val="22"/>
        </w:rPr>
        <w:t xml:space="preserve"> has received </w:t>
      </w:r>
      <w:proofErr w:type="gramStart"/>
      <w:r w:rsidRPr="00A42322">
        <w:rPr>
          <w:rFonts w:ascii="Arial" w:hAnsi="Arial" w:cs="Arial"/>
          <w:bCs/>
          <w:szCs w:val="22"/>
        </w:rPr>
        <w:t>speakers</w:t>
      </w:r>
      <w:proofErr w:type="gramEnd"/>
      <w:r w:rsidRPr="00A42322">
        <w:rPr>
          <w:rFonts w:ascii="Arial" w:hAnsi="Arial" w:cs="Arial"/>
          <w:bCs/>
          <w:szCs w:val="22"/>
        </w:rPr>
        <w:t xml:space="preserve"> fees from Boehringer Ingelheim, Roche, Galapagos, Bracco, Sanofi-Genzyme and is on the advisory boards for Boehringer Ingelheim, Galapagos, The Open Source Imaging Consortium and </w:t>
      </w:r>
      <w:proofErr w:type="spellStart"/>
      <w:r w:rsidRPr="00A42322">
        <w:rPr>
          <w:rFonts w:ascii="Arial" w:hAnsi="Arial" w:cs="Arial"/>
          <w:bCs/>
          <w:szCs w:val="22"/>
        </w:rPr>
        <w:t>OncoArendi</w:t>
      </w:r>
      <w:proofErr w:type="spellEnd"/>
      <w:r w:rsidRPr="00A42322">
        <w:rPr>
          <w:rFonts w:ascii="Arial" w:hAnsi="Arial" w:cs="Arial"/>
          <w:bCs/>
          <w:szCs w:val="22"/>
        </w:rPr>
        <w:t xml:space="preserve"> Therapeutics. </w:t>
      </w:r>
    </w:p>
    <w:p w14:paraId="1E713168" w14:textId="77777777" w:rsidR="005C2A10" w:rsidRDefault="00A42322" w:rsidP="00306C71">
      <w:pPr>
        <w:spacing w:line="480" w:lineRule="auto"/>
        <w:rPr>
          <w:rFonts w:ascii="Arial" w:hAnsi="Arial" w:cs="Arial"/>
          <w:bCs/>
          <w:szCs w:val="22"/>
        </w:rPr>
      </w:pPr>
      <w:r w:rsidRPr="00A42322">
        <w:rPr>
          <w:rFonts w:ascii="Arial" w:hAnsi="Arial" w:cs="Arial"/>
          <w:bCs/>
          <w:szCs w:val="22"/>
        </w:rPr>
        <w:t>D</w:t>
      </w:r>
      <w:r w:rsidR="005C2A10">
        <w:rPr>
          <w:rFonts w:ascii="Arial" w:hAnsi="Arial" w:cs="Arial"/>
          <w:bCs/>
          <w:szCs w:val="22"/>
        </w:rPr>
        <w:t>.</w:t>
      </w:r>
      <w:r w:rsidRPr="00A42322">
        <w:rPr>
          <w:rFonts w:ascii="Arial" w:hAnsi="Arial" w:cs="Arial"/>
          <w:bCs/>
          <w:szCs w:val="22"/>
        </w:rPr>
        <w:t>P</w:t>
      </w:r>
      <w:r w:rsidR="005C2A10">
        <w:rPr>
          <w:rFonts w:ascii="Arial" w:hAnsi="Arial" w:cs="Arial"/>
          <w:bCs/>
          <w:szCs w:val="22"/>
        </w:rPr>
        <w:t>.</w:t>
      </w:r>
      <w:r w:rsidRPr="00A42322">
        <w:rPr>
          <w:rFonts w:ascii="Arial" w:hAnsi="Arial" w:cs="Arial"/>
          <w:bCs/>
          <w:szCs w:val="22"/>
        </w:rPr>
        <w:t xml:space="preserve"> has board membership with Amgen, AstraZeneca, Boehringer Ingelheim, </w:t>
      </w:r>
      <w:proofErr w:type="spellStart"/>
      <w:r w:rsidRPr="00A42322">
        <w:rPr>
          <w:rFonts w:ascii="Arial" w:hAnsi="Arial" w:cs="Arial"/>
          <w:bCs/>
          <w:szCs w:val="22"/>
        </w:rPr>
        <w:t>Chiesi</w:t>
      </w:r>
      <w:proofErr w:type="spellEnd"/>
      <w:r w:rsidRPr="00A42322">
        <w:rPr>
          <w:rFonts w:ascii="Arial" w:hAnsi="Arial" w:cs="Arial"/>
          <w:bCs/>
          <w:szCs w:val="22"/>
        </w:rPr>
        <w:t xml:space="preserve">, Circassia, Mylan, </w:t>
      </w:r>
      <w:proofErr w:type="spellStart"/>
      <w:r w:rsidRPr="00A42322">
        <w:rPr>
          <w:rFonts w:ascii="Arial" w:hAnsi="Arial" w:cs="Arial"/>
          <w:bCs/>
          <w:szCs w:val="22"/>
        </w:rPr>
        <w:t>Mundipharma</w:t>
      </w:r>
      <w:proofErr w:type="spellEnd"/>
      <w:r w:rsidRPr="00A42322">
        <w:rPr>
          <w:rFonts w:ascii="Arial" w:hAnsi="Arial" w:cs="Arial"/>
          <w:bCs/>
          <w:szCs w:val="22"/>
        </w:rPr>
        <w:t xml:space="preserve">, Novartis, Regeneron Pharmaceuticals, Sanofi Genzyme, Teva Pharmaceuticals; consultancy agreements with Amgen, AstraZeneca, Boehringer Ingelheim, </w:t>
      </w:r>
      <w:proofErr w:type="spellStart"/>
      <w:r w:rsidRPr="00A42322">
        <w:rPr>
          <w:rFonts w:ascii="Arial" w:hAnsi="Arial" w:cs="Arial"/>
          <w:bCs/>
          <w:szCs w:val="22"/>
        </w:rPr>
        <w:t>Chiesi</w:t>
      </w:r>
      <w:proofErr w:type="spellEnd"/>
      <w:r w:rsidRPr="00A42322">
        <w:rPr>
          <w:rFonts w:ascii="Arial" w:hAnsi="Arial" w:cs="Arial"/>
          <w:bCs/>
          <w:szCs w:val="22"/>
        </w:rPr>
        <w:t xml:space="preserve">, </w:t>
      </w:r>
      <w:r w:rsidRPr="00A42322">
        <w:rPr>
          <w:rFonts w:ascii="Arial" w:hAnsi="Arial" w:cs="Arial"/>
          <w:bCs/>
          <w:szCs w:val="22"/>
        </w:rPr>
        <w:lastRenderedPageBreak/>
        <w:t xml:space="preserve">GlaxoSmithKline, Mylan, </w:t>
      </w:r>
      <w:proofErr w:type="spellStart"/>
      <w:r w:rsidRPr="00A42322">
        <w:rPr>
          <w:rFonts w:ascii="Arial" w:hAnsi="Arial" w:cs="Arial"/>
          <w:bCs/>
          <w:szCs w:val="22"/>
        </w:rPr>
        <w:t>Mundipharma</w:t>
      </w:r>
      <w:proofErr w:type="spellEnd"/>
      <w:r w:rsidRPr="00A42322">
        <w:rPr>
          <w:rFonts w:ascii="Arial" w:hAnsi="Arial" w:cs="Arial"/>
          <w:bCs/>
          <w:szCs w:val="22"/>
        </w:rPr>
        <w:t xml:space="preserve">, Novartis, Pfizer, Teva Pharmaceuticals, </w:t>
      </w:r>
      <w:proofErr w:type="spellStart"/>
      <w:r w:rsidRPr="00A42322">
        <w:rPr>
          <w:rFonts w:ascii="Arial" w:hAnsi="Arial" w:cs="Arial"/>
          <w:bCs/>
          <w:szCs w:val="22"/>
        </w:rPr>
        <w:t>Theravance</w:t>
      </w:r>
      <w:proofErr w:type="spellEnd"/>
      <w:r w:rsidRPr="00A42322">
        <w:rPr>
          <w:rFonts w:ascii="Arial" w:hAnsi="Arial" w:cs="Arial"/>
          <w:bCs/>
          <w:szCs w:val="22"/>
        </w:rPr>
        <w:t xml:space="preserve">; grants and unrestricted funding for investigator-initiated studies (conducted through Observational and Pragmatic Research Institute Pte Ltd) from AstraZeneca, Boehringer Ingelheim, </w:t>
      </w:r>
      <w:proofErr w:type="spellStart"/>
      <w:r w:rsidRPr="00A42322">
        <w:rPr>
          <w:rFonts w:ascii="Arial" w:hAnsi="Arial" w:cs="Arial"/>
          <w:bCs/>
          <w:szCs w:val="22"/>
        </w:rPr>
        <w:t>Chiesi</w:t>
      </w:r>
      <w:proofErr w:type="spellEnd"/>
      <w:r w:rsidRPr="00A42322">
        <w:rPr>
          <w:rFonts w:ascii="Arial" w:hAnsi="Arial" w:cs="Arial"/>
          <w:bCs/>
          <w:szCs w:val="22"/>
        </w:rPr>
        <w:t xml:space="preserve">, Circassia, Mylan, </w:t>
      </w:r>
      <w:proofErr w:type="spellStart"/>
      <w:r w:rsidRPr="00A42322">
        <w:rPr>
          <w:rFonts w:ascii="Arial" w:hAnsi="Arial" w:cs="Arial"/>
          <w:bCs/>
          <w:szCs w:val="22"/>
        </w:rPr>
        <w:t>Mundipharma</w:t>
      </w:r>
      <w:proofErr w:type="spellEnd"/>
      <w:r w:rsidRPr="00A42322">
        <w:rPr>
          <w:rFonts w:ascii="Arial" w:hAnsi="Arial" w:cs="Arial"/>
          <w:bCs/>
          <w:szCs w:val="22"/>
        </w:rPr>
        <w:t xml:space="preserve">, Novartis, Pfizer, Regeneron Pharmaceuticals, Respiratory Effectiveness Group, Sanofi Genzyme, Teva Pharmaceuticals, </w:t>
      </w:r>
      <w:proofErr w:type="spellStart"/>
      <w:r w:rsidRPr="00A42322">
        <w:rPr>
          <w:rFonts w:ascii="Arial" w:hAnsi="Arial" w:cs="Arial"/>
          <w:bCs/>
          <w:szCs w:val="22"/>
        </w:rPr>
        <w:t>Theravance</w:t>
      </w:r>
      <w:proofErr w:type="spellEnd"/>
      <w:r w:rsidRPr="00A42322">
        <w:rPr>
          <w:rFonts w:ascii="Arial" w:hAnsi="Arial" w:cs="Arial"/>
          <w:bCs/>
          <w:szCs w:val="22"/>
        </w:rPr>
        <w:t xml:space="preserve">, UK National Health Service; payment for lectures/speaking engagements from AstraZeneca, Boehringer Ingelheim, </w:t>
      </w:r>
      <w:proofErr w:type="spellStart"/>
      <w:r w:rsidRPr="00A42322">
        <w:rPr>
          <w:rFonts w:ascii="Arial" w:hAnsi="Arial" w:cs="Arial"/>
          <w:bCs/>
          <w:szCs w:val="22"/>
        </w:rPr>
        <w:t>Chiesi</w:t>
      </w:r>
      <w:proofErr w:type="spellEnd"/>
      <w:r w:rsidRPr="00A42322">
        <w:rPr>
          <w:rFonts w:ascii="Arial" w:hAnsi="Arial" w:cs="Arial"/>
          <w:bCs/>
          <w:szCs w:val="22"/>
        </w:rPr>
        <w:t xml:space="preserve">, Cipla, GlaxoSmithKline, </w:t>
      </w:r>
      <w:proofErr w:type="spellStart"/>
      <w:r w:rsidRPr="00A42322">
        <w:rPr>
          <w:rFonts w:ascii="Arial" w:hAnsi="Arial" w:cs="Arial"/>
          <w:bCs/>
          <w:szCs w:val="22"/>
        </w:rPr>
        <w:t>Kyorin</w:t>
      </w:r>
      <w:proofErr w:type="spellEnd"/>
      <w:r w:rsidRPr="00A42322">
        <w:rPr>
          <w:rFonts w:ascii="Arial" w:hAnsi="Arial" w:cs="Arial"/>
          <w:bCs/>
          <w:szCs w:val="22"/>
        </w:rPr>
        <w:t xml:space="preserve">, Mylan, Merck, </w:t>
      </w:r>
      <w:proofErr w:type="spellStart"/>
      <w:r w:rsidRPr="00A42322">
        <w:rPr>
          <w:rFonts w:ascii="Arial" w:hAnsi="Arial" w:cs="Arial"/>
          <w:bCs/>
          <w:szCs w:val="22"/>
        </w:rPr>
        <w:t>Mundipharma</w:t>
      </w:r>
      <w:proofErr w:type="spellEnd"/>
      <w:r w:rsidRPr="00A42322">
        <w:rPr>
          <w:rFonts w:ascii="Arial" w:hAnsi="Arial" w:cs="Arial"/>
          <w:bCs/>
          <w:szCs w:val="22"/>
        </w:rPr>
        <w:t xml:space="preserve">, Novartis, Pfizer, Regeneron Pharmaceuticals, Sanofi Genzyme, Teva Pharmaceuticals; payment for manuscript preparation from </w:t>
      </w:r>
      <w:proofErr w:type="spellStart"/>
      <w:r w:rsidRPr="00A42322">
        <w:rPr>
          <w:rFonts w:ascii="Arial" w:hAnsi="Arial" w:cs="Arial"/>
          <w:bCs/>
          <w:szCs w:val="22"/>
        </w:rPr>
        <w:t>Mundipharma</w:t>
      </w:r>
      <w:proofErr w:type="spellEnd"/>
      <w:r w:rsidRPr="00A42322">
        <w:rPr>
          <w:rFonts w:ascii="Arial" w:hAnsi="Arial" w:cs="Arial"/>
          <w:bCs/>
          <w:szCs w:val="22"/>
        </w:rPr>
        <w:t xml:space="preserve">, Teva Pharmaceuticals; payment for the development of educational materials from </w:t>
      </w:r>
      <w:proofErr w:type="spellStart"/>
      <w:r w:rsidRPr="00A42322">
        <w:rPr>
          <w:rFonts w:ascii="Arial" w:hAnsi="Arial" w:cs="Arial"/>
          <w:bCs/>
          <w:szCs w:val="22"/>
        </w:rPr>
        <w:t>Mundipharma</w:t>
      </w:r>
      <w:proofErr w:type="spellEnd"/>
      <w:r w:rsidRPr="00A42322">
        <w:rPr>
          <w:rFonts w:ascii="Arial" w:hAnsi="Arial" w:cs="Arial"/>
          <w:bCs/>
          <w:szCs w:val="22"/>
        </w:rPr>
        <w:t xml:space="preserve">, Novartis; payment for travel/accommodation/meeting expenses from AstraZeneca, Boehringer Ingelheim, Circassia, </w:t>
      </w:r>
      <w:proofErr w:type="spellStart"/>
      <w:r w:rsidRPr="00A42322">
        <w:rPr>
          <w:rFonts w:ascii="Arial" w:hAnsi="Arial" w:cs="Arial"/>
          <w:bCs/>
          <w:szCs w:val="22"/>
        </w:rPr>
        <w:t>Mundipharma</w:t>
      </w:r>
      <w:proofErr w:type="spellEnd"/>
      <w:r w:rsidRPr="00A42322">
        <w:rPr>
          <w:rFonts w:ascii="Arial" w:hAnsi="Arial" w:cs="Arial"/>
          <w:bCs/>
          <w:szCs w:val="22"/>
        </w:rPr>
        <w:t xml:space="preserve">, Novartis, Teva Pharmaceuticals; funding for patient enrolment or completion of research from </w:t>
      </w:r>
      <w:proofErr w:type="spellStart"/>
      <w:r w:rsidRPr="00A42322">
        <w:rPr>
          <w:rFonts w:ascii="Arial" w:hAnsi="Arial" w:cs="Arial"/>
          <w:bCs/>
          <w:szCs w:val="22"/>
        </w:rPr>
        <w:t>Chiesi</w:t>
      </w:r>
      <w:proofErr w:type="spellEnd"/>
      <w:r w:rsidRPr="00A42322">
        <w:rPr>
          <w:rFonts w:ascii="Arial" w:hAnsi="Arial" w:cs="Arial"/>
          <w:bCs/>
          <w:szCs w:val="22"/>
        </w:rPr>
        <w:t xml:space="preserve">, Novartis, Teva Pharmaceuticals; stock/stock options from AKL Research and Development Ltd which produces phytopharmaceuticals; owns 74% of the social enterprise Optimum Patient Care Ltd (Australia and UK) and 74% of Observational and Pragmatic Research Institute Pte Ltd (Singapore); and is peer reviewer for grant committees of the Efficacy and Mechanism Evaluation programme, and Health Technology Assessment. </w:t>
      </w:r>
    </w:p>
    <w:p w14:paraId="73850AAB" w14:textId="4F09BF7D" w:rsidR="00A42322" w:rsidRPr="00A42322" w:rsidRDefault="00A42322" w:rsidP="00306C71">
      <w:pPr>
        <w:spacing w:line="480" w:lineRule="auto"/>
        <w:rPr>
          <w:rFonts w:ascii="Arial" w:hAnsi="Arial" w:cs="Arial"/>
          <w:bCs/>
          <w:szCs w:val="22"/>
        </w:rPr>
      </w:pPr>
      <w:r w:rsidRPr="00A42322">
        <w:rPr>
          <w:rFonts w:ascii="Arial" w:hAnsi="Arial" w:cs="Arial"/>
          <w:bCs/>
        </w:rPr>
        <w:t>L</w:t>
      </w:r>
      <w:r w:rsidR="005C2A10">
        <w:rPr>
          <w:rFonts w:ascii="Arial" w:hAnsi="Arial" w:cs="Arial"/>
          <w:bCs/>
        </w:rPr>
        <w:t>.</w:t>
      </w:r>
      <w:r w:rsidRPr="00A42322">
        <w:rPr>
          <w:rFonts w:ascii="Arial" w:hAnsi="Arial" w:cs="Arial"/>
          <w:bCs/>
        </w:rPr>
        <w:t>R</w:t>
      </w:r>
      <w:r w:rsidR="005C2A10">
        <w:rPr>
          <w:rFonts w:ascii="Arial" w:hAnsi="Arial" w:cs="Arial"/>
          <w:bCs/>
        </w:rPr>
        <w:t>.</w:t>
      </w:r>
      <w:r w:rsidRPr="00A42322">
        <w:rPr>
          <w:rFonts w:ascii="Arial" w:hAnsi="Arial" w:cs="Arial"/>
          <w:bCs/>
          <w:color w:val="000000"/>
        </w:rPr>
        <w:t xml:space="preserve"> has received personal fees from Biogen, Sanofi-Aventis, Roche, Celgene, Nitto, </w:t>
      </w:r>
      <w:proofErr w:type="spellStart"/>
      <w:r w:rsidRPr="00A42322">
        <w:rPr>
          <w:rFonts w:ascii="Arial" w:hAnsi="Arial" w:cs="Arial"/>
          <w:bCs/>
          <w:color w:val="000000"/>
        </w:rPr>
        <w:t>FibroGen</w:t>
      </w:r>
      <w:proofErr w:type="spellEnd"/>
      <w:r w:rsidRPr="00A42322">
        <w:rPr>
          <w:rFonts w:ascii="Arial" w:hAnsi="Arial" w:cs="Arial"/>
          <w:bCs/>
          <w:color w:val="000000"/>
        </w:rPr>
        <w:t xml:space="preserve">, </w:t>
      </w:r>
      <w:proofErr w:type="spellStart"/>
      <w:r w:rsidRPr="00A42322">
        <w:rPr>
          <w:rFonts w:ascii="Arial" w:hAnsi="Arial" w:cs="Arial"/>
          <w:bCs/>
          <w:color w:val="000000"/>
        </w:rPr>
        <w:t>Promefior</w:t>
      </w:r>
      <w:proofErr w:type="spellEnd"/>
      <w:r w:rsidRPr="00A42322">
        <w:rPr>
          <w:rFonts w:ascii="Arial" w:hAnsi="Arial" w:cs="Arial"/>
          <w:bCs/>
          <w:color w:val="000000"/>
        </w:rPr>
        <w:t xml:space="preserve">, Pliant Therapeutics, Asahi Kasei, Toray, </w:t>
      </w:r>
      <w:r w:rsidRPr="00A42322">
        <w:rPr>
          <w:rFonts w:ascii="Arial" w:hAnsi="Arial" w:cs="Arial"/>
          <w:bCs/>
          <w:color w:val="000000"/>
        </w:rPr>
        <w:lastRenderedPageBreak/>
        <w:t xml:space="preserve">Global Blood Therapeutics, </w:t>
      </w:r>
      <w:proofErr w:type="spellStart"/>
      <w:r w:rsidRPr="00A42322">
        <w:rPr>
          <w:rFonts w:ascii="Arial" w:hAnsi="Arial" w:cs="Arial"/>
          <w:bCs/>
          <w:color w:val="000000"/>
        </w:rPr>
        <w:t>Acceleron</w:t>
      </w:r>
      <w:proofErr w:type="spellEnd"/>
      <w:r w:rsidRPr="00A42322">
        <w:rPr>
          <w:rFonts w:ascii="Arial" w:hAnsi="Arial" w:cs="Arial"/>
          <w:bCs/>
          <w:color w:val="000000"/>
        </w:rPr>
        <w:t xml:space="preserve"> and Immune Works, grants and personal fees from Boehringer Ingelheim, outside the submitted work.</w:t>
      </w:r>
    </w:p>
    <w:p w14:paraId="64C16D39" w14:textId="77777777" w:rsidR="007A02DF" w:rsidRPr="00A42322" w:rsidRDefault="007A02DF" w:rsidP="00306C71">
      <w:pPr>
        <w:spacing w:line="480" w:lineRule="auto"/>
        <w:rPr>
          <w:rFonts w:ascii="Arial" w:hAnsi="Arial" w:cs="Arial"/>
          <w:bCs/>
          <w:szCs w:val="22"/>
        </w:rPr>
      </w:pPr>
    </w:p>
    <w:p w14:paraId="41B1467C" w14:textId="7C6EEA41" w:rsidR="005C2A10" w:rsidRPr="005C2A10" w:rsidRDefault="005C2A10" w:rsidP="00306C71">
      <w:pPr>
        <w:spacing w:line="480" w:lineRule="auto"/>
        <w:rPr>
          <w:rFonts w:ascii="Arial" w:hAnsi="Arial" w:cs="Arial"/>
          <w:b/>
          <w:color w:val="000000" w:themeColor="text1"/>
          <w:szCs w:val="22"/>
        </w:rPr>
      </w:pPr>
      <w:r w:rsidRPr="005C2A10">
        <w:rPr>
          <w:rFonts w:ascii="Arial" w:hAnsi="Arial" w:cs="Arial"/>
          <w:b/>
          <w:color w:val="000000" w:themeColor="text1"/>
          <w:szCs w:val="22"/>
        </w:rPr>
        <w:t>A</w:t>
      </w:r>
      <w:r w:rsidR="00DB11A6" w:rsidRPr="005C2A10">
        <w:rPr>
          <w:rFonts w:ascii="Arial" w:hAnsi="Arial" w:cs="Arial"/>
          <w:b/>
          <w:color w:val="000000" w:themeColor="text1"/>
          <w:szCs w:val="22"/>
        </w:rPr>
        <w:t>uthor contributions</w:t>
      </w:r>
      <w:r w:rsidRPr="005C2A10">
        <w:rPr>
          <w:rFonts w:ascii="Arial" w:hAnsi="Arial" w:cs="Arial"/>
          <w:b/>
          <w:color w:val="000000" w:themeColor="text1"/>
          <w:szCs w:val="22"/>
        </w:rPr>
        <w:t>:</w:t>
      </w:r>
    </w:p>
    <w:p w14:paraId="709B71AC" w14:textId="0A15BBBF" w:rsidR="000E32F0" w:rsidRPr="00DB11A6" w:rsidRDefault="005C2A10" w:rsidP="00306C71">
      <w:pPr>
        <w:spacing w:line="480" w:lineRule="auto"/>
        <w:rPr>
          <w:rFonts w:ascii="Arial" w:hAnsi="Arial" w:cs="Arial"/>
          <w:bCs/>
          <w:color w:val="808080" w:themeColor="background1" w:themeShade="80"/>
          <w:szCs w:val="22"/>
          <w:highlight w:val="yellow"/>
        </w:rPr>
      </w:pPr>
      <w:r w:rsidRPr="00DB11A6">
        <w:rPr>
          <w:rFonts w:ascii="Arial" w:hAnsi="Arial" w:cs="Arial"/>
          <w:bCs/>
          <w:color w:val="808080" w:themeColor="background1" w:themeShade="80"/>
          <w:szCs w:val="22"/>
        </w:rPr>
        <w:t xml:space="preserve">Conceptualization: A.C., M.G.J, D.P., L.R. Data curation: </w:t>
      </w:r>
      <w:r w:rsidR="000979DA" w:rsidRPr="00DB11A6">
        <w:rPr>
          <w:rFonts w:ascii="Arial" w:hAnsi="Arial" w:cs="Arial"/>
          <w:bCs/>
          <w:color w:val="808080" w:themeColor="background1" w:themeShade="80"/>
          <w:szCs w:val="22"/>
        </w:rPr>
        <w:t xml:space="preserve">C.R.T.H., </w:t>
      </w:r>
      <w:r w:rsidRPr="00DB11A6">
        <w:rPr>
          <w:rFonts w:ascii="Arial" w:hAnsi="Arial" w:cs="Arial"/>
          <w:bCs/>
          <w:color w:val="808080" w:themeColor="background1" w:themeShade="80"/>
          <w:szCs w:val="22"/>
        </w:rPr>
        <w:t xml:space="preserve">A.N. Formal Analysis: </w:t>
      </w:r>
      <w:r w:rsidR="000979DA" w:rsidRPr="00DB11A6">
        <w:rPr>
          <w:rFonts w:ascii="Arial" w:hAnsi="Arial" w:cs="Arial"/>
          <w:bCs/>
          <w:color w:val="808080" w:themeColor="background1" w:themeShade="80"/>
          <w:szCs w:val="22"/>
        </w:rPr>
        <w:t xml:space="preserve">C.R.T.H., </w:t>
      </w:r>
      <w:r w:rsidRPr="00DB11A6">
        <w:rPr>
          <w:rFonts w:ascii="Arial" w:hAnsi="Arial" w:cs="Arial"/>
          <w:bCs/>
          <w:color w:val="808080" w:themeColor="background1" w:themeShade="80"/>
          <w:szCs w:val="22"/>
        </w:rPr>
        <w:t xml:space="preserve">A.N., M.G.J., A.C., L.R., Methodology: A.C., T.M.M., A.W., S.W., A.K., D.P., L.R., Writing – original draft: A.C., M.G.J., A.N., C.R.T.H. Writing – reviewing and editing: all authors. </w:t>
      </w:r>
      <w:r w:rsidR="000E32F0" w:rsidRPr="00DB11A6">
        <w:rPr>
          <w:rFonts w:ascii="Arial" w:hAnsi="Arial" w:cs="Arial"/>
          <w:bCs/>
          <w:color w:val="808080" w:themeColor="background1" w:themeShade="80"/>
          <w:szCs w:val="22"/>
          <w:highlight w:val="yellow"/>
        </w:rPr>
        <w:br w:type="page"/>
      </w:r>
    </w:p>
    <w:p w14:paraId="1664B86A" w14:textId="7FC755E9" w:rsidR="00BB35D8" w:rsidRPr="00A42322" w:rsidRDefault="002F56FA" w:rsidP="00306C71">
      <w:pPr>
        <w:widowControl w:val="0"/>
        <w:autoSpaceDE w:val="0"/>
        <w:autoSpaceDN w:val="0"/>
        <w:adjustRightInd w:val="0"/>
        <w:spacing w:line="480" w:lineRule="auto"/>
        <w:rPr>
          <w:rFonts w:ascii="Arial" w:hAnsi="Arial" w:cs="Arial"/>
          <w:bCs/>
          <w:color w:val="000000"/>
          <w:sz w:val="28"/>
          <w:szCs w:val="9"/>
        </w:rPr>
      </w:pPr>
      <w:r w:rsidRPr="00A42322">
        <w:rPr>
          <w:rFonts w:ascii="Arial" w:hAnsi="Arial" w:cs="Arial"/>
          <w:bCs/>
          <w:color w:val="000000"/>
          <w:sz w:val="28"/>
          <w:szCs w:val="9"/>
        </w:rPr>
        <w:lastRenderedPageBreak/>
        <w:t>R</w:t>
      </w:r>
      <w:r w:rsidR="00DB11A6" w:rsidRPr="00A42322">
        <w:rPr>
          <w:rFonts w:ascii="Arial" w:hAnsi="Arial" w:cs="Arial"/>
          <w:bCs/>
          <w:color w:val="000000"/>
          <w:sz w:val="28"/>
          <w:szCs w:val="9"/>
        </w:rPr>
        <w:t>eferences</w:t>
      </w:r>
      <w:r w:rsidR="004034C1" w:rsidRPr="00A42322">
        <w:rPr>
          <w:rFonts w:ascii="Arial" w:hAnsi="Arial" w:cs="Arial"/>
          <w:bCs/>
          <w:color w:val="000000"/>
          <w:sz w:val="28"/>
          <w:szCs w:val="9"/>
        </w:rPr>
        <w:br/>
      </w:r>
    </w:p>
    <w:p w14:paraId="1D048EAC" w14:textId="66A89755"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t xml:space="preserve">Raghu G, </w:t>
      </w:r>
      <w:proofErr w:type="spellStart"/>
      <w:r w:rsidRPr="00A42322">
        <w:rPr>
          <w:rFonts w:ascii="Arial" w:hAnsi="Arial"/>
          <w:bCs/>
        </w:rPr>
        <w:t>Weycker</w:t>
      </w:r>
      <w:proofErr w:type="spellEnd"/>
      <w:r w:rsidRPr="00A42322">
        <w:rPr>
          <w:rFonts w:ascii="Arial" w:hAnsi="Arial"/>
          <w:bCs/>
        </w:rPr>
        <w:t xml:space="preserve"> D, </w:t>
      </w:r>
      <w:proofErr w:type="spellStart"/>
      <w:r w:rsidRPr="00A42322">
        <w:rPr>
          <w:rFonts w:ascii="Arial" w:hAnsi="Arial"/>
          <w:bCs/>
        </w:rPr>
        <w:t>Edelsberg</w:t>
      </w:r>
      <w:proofErr w:type="spellEnd"/>
      <w:r w:rsidRPr="00A42322">
        <w:rPr>
          <w:rFonts w:ascii="Arial" w:hAnsi="Arial"/>
          <w:bCs/>
        </w:rPr>
        <w:t xml:space="preserve"> J, Bradford WZ, Oster G. Incidence and prevalence of idiopathic pulmonary fibrosis. </w:t>
      </w:r>
      <w:r w:rsidR="00BB13F3" w:rsidRPr="00A42322">
        <w:rPr>
          <w:rFonts w:ascii="Arial" w:hAnsi="Arial"/>
          <w:bCs/>
        </w:rPr>
        <w:t xml:space="preserve">Am J Respir </w:t>
      </w:r>
      <w:proofErr w:type="spellStart"/>
      <w:r w:rsidR="00BB13F3" w:rsidRPr="00A42322">
        <w:rPr>
          <w:rFonts w:ascii="Arial" w:hAnsi="Arial"/>
          <w:bCs/>
        </w:rPr>
        <w:t>Crit</w:t>
      </w:r>
      <w:proofErr w:type="spellEnd"/>
      <w:r w:rsidR="00BB13F3" w:rsidRPr="00A42322">
        <w:rPr>
          <w:rFonts w:ascii="Arial" w:hAnsi="Arial"/>
          <w:bCs/>
        </w:rPr>
        <w:t xml:space="preserve"> Care Med</w:t>
      </w:r>
      <w:r w:rsidRPr="00A42322">
        <w:rPr>
          <w:rFonts w:ascii="Arial" w:hAnsi="Arial"/>
          <w:bCs/>
        </w:rPr>
        <w:t>. 2006;</w:t>
      </w:r>
      <w:r w:rsidR="000C2679" w:rsidRPr="00A42322">
        <w:rPr>
          <w:rFonts w:ascii="Arial" w:hAnsi="Arial"/>
          <w:bCs/>
        </w:rPr>
        <w:t xml:space="preserve"> </w:t>
      </w:r>
      <w:r w:rsidRPr="00A42322">
        <w:rPr>
          <w:rFonts w:ascii="Arial" w:hAnsi="Arial"/>
          <w:bCs/>
        </w:rPr>
        <w:t>174:</w:t>
      </w:r>
      <w:r w:rsidR="000C2679" w:rsidRPr="00A42322">
        <w:rPr>
          <w:rFonts w:ascii="Arial" w:hAnsi="Arial"/>
          <w:bCs/>
        </w:rPr>
        <w:t xml:space="preserve"> </w:t>
      </w:r>
      <w:r w:rsidRPr="00A42322">
        <w:rPr>
          <w:rFonts w:ascii="Arial" w:hAnsi="Arial"/>
          <w:bCs/>
        </w:rPr>
        <w:t>810-6.</w:t>
      </w:r>
    </w:p>
    <w:p w14:paraId="52E20DF0" w14:textId="006B0E24"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t xml:space="preserve">Pérez ERF, Daniels CE, Schroeder DR, </w:t>
      </w:r>
      <w:proofErr w:type="spellStart"/>
      <w:r w:rsidRPr="00A42322">
        <w:rPr>
          <w:rFonts w:ascii="Arial" w:hAnsi="Arial"/>
          <w:bCs/>
        </w:rPr>
        <w:t>Sauver</w:t>
      </w:r>
      <w:proofErr w:type="spellEnd"/>
      <w:r w:rsidRPr="00A42322">
        <w:rPr>
          <w:rFonts w:ascii="Arial" w:hAnsi="Arial"/>
          <w:bCs/>
        </w:rPr>
        <w:t xml:space="preserve"> JS, Hartman TE, </w:t>
      </w:r>
      <w:proofErr w:type="spellStart"/>
      <w:r w:rsidRPr="00A42322">
        <w:rPr>
          <w:rFonts w:ascii="Arial" w:hAnsi="Arial"/>
          <w:bCs/>
        </w:rPr>
        <w:t>Bartholmai</w:t>
      </w:r>
      <w:proofErr w:type="spellEnd"/>
      <w:r w:rsidRPr="00A42322">
        <w:rPr>
          <w:rFonts w:ascii="Arial" w:hAnsi="Arial"/>
          <w:bCs/>
        </w:rPr>
        <w:t xml:space="preserve"> BJ, </w:t>
      </w:r>
      <w:r w:rsidR="000C2679" w:rsidRPr="00A42322">
        <w:rPr>
          <w:rFonts w:ascii="Arial" w:hAnsi="Arial"/>
          <w:bCs/>
        </w:rPr>
        <w:t>Yi ES, Ryu JH</w:t>
      </w:r>
      <w:r w:rsidRPr="00A42322">
        <w:rPr>
          <w:rFonts w:ascii="Arial" w:hAnsi="Arial"/>
          <w:bCs/>
        </w:rPr>
        <w:t xml:space="preserve">. Incidence, prevalence, and clinical course of idiopathic pulmonary fibrosis: a population-based study. </w:t>
      </w:r>
      <w:r w:rsidR="00172FAB" w:rsidRPr="00A42322">
        <w:rPr>
          <w:rFonts w:ascii="Arial" w:hAnsi="Arial"/>
          <w:bCs/>
        </w:rPr>
        <w:t>Chest</w:t>
      </w:r>
      <w:r w:rsidRPr="00A42322">
        <w:rPr>
          <w:rFonts w:ascii="Arial" w:hAnsi="Arial"/>
          <w:bCs/>
        </w:rPr>
        <w:t>. 2010;</w:t>
      </w:r>
      <w:r w:rsidR="000C2679" w:rsidRPr="00A42322">
        <w:rPr>
          <w:rFonts w:ascii="Arial" w:hAnsi="Arial"/>
          <w:bCs/>
        </w:rPr>
        <w:t xml:space="preserve"> </w:t>
      </w:r>
      <w:r w:rsidRPr="00A42322">
        <w:rPr>
          <w:rFonts w:ascii="Arial" w:hAnsi="Arial"/>
          <w:bCs/>
        </w:rPr>
        <w:t>137:</w:t>
      </w:r>
      <w:r w:rsidR="000C2679" w:rsidRPr="00A42322">
        <w:rPr>
          <w:rFonts w:ascii="Arial" w:hAnsi="Arial"/>
          <w:bCs/>
        </w:rPr>
        <w:t xml:space="preserve"> </w:t>
      </w:r>
      <w:r w:rsidRPr="00A42322">
        <w:rPr>
          <w:rFonts w:ascii="Arial" w:hAnsi="Arial"/>
          <w:bCs/>
        </w:rPr>
        <w:t>129-37.</w:t>
      </w:r>
    </w:p>
    <w:p w14:paraId="453D8588" w14:textId="6570F28E"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t xml:space="preserve">Meltzer EB, Noble PW. Idiopathic pulmonary fibrosis. </w:t>
      </w:r>
      <w:proofErr w:type="spellStart"/>
      <w:r w:rsidRPr="00A42322">
        <w:rPr>
          <w:rFonts w:ascii="Arial" w:hAnsi="Arial"/>
          <w:bCs/>
        </w:rPr>
        <w:t>Orphanet</w:t>
      </w:r>
      <w:proofErr w:type="spellEnd"/>
      <w:r w:rsidRPr="00A42322">
        <w:rPr>
          <w:rFonts w:ascii="Arial" w:hAnsi="Arial"/>
          <w:bCs/>
        </w:rPr>
        <w:t xml:space="preserve"> </w:t>
      </w:r>
      <w:r w:rsidR="000C2679" w:rsidRPr="00A42322">
        <w:rPr>
          <w:rFonts w:ascii="Arial" w:hAnsi="Arial"/>
          <w:bCs/>
        </w:rPr>
        <w:t>J</w:t>
      </w:r>
      <w:r w:rsidRPr="00A42322">
        <w:rPr>
          <w:rFonts w:ascii="Arial" w:hAnsi="Arial"/>
          <w:bCs/>
        </w:rPr>
        <w:t xml:space="preserve"> Rare Dis. 2008;</w:t>
      </w:r>
      <w:r w:rsidR="000C2679" w:rsidRPr="00A42322">
        <w:rPr>
          <w:rFonts w:ascii="Arial" w:hAnsi="Arial"/>
          <w:bCs/>
        </w:rPr>
        <w:t xml:space="preserve"> </w:t>
      </w:r>
      <w:r w:rsidRPr="00A42322">
        <w:rPr>
          <w:rFonts w:ascii="Arial" w:hAnsi="Arial"/>
          <w:bCs/>
        </w:rPr>
        <w:t>3:</w:t>
      </w:r>
      <w:r w:rsidR="000C2679" w:rsidRPr="00A42322">
        <w:rPr>
          <w:rFonts w:ascii="Arial" w:hAnsi="Arial"/>
          <w:bCs/>
        </w:rPr>
        <w:t xml:space="preserve"> </w:t>
      </w:r>
      <w:r w:rsidRPr="00A42322">
        <w:rPr>
          <w:rFonts w:ascii="Arial" w:hAnsi="Arial"/>
          <w:bCs/>
        </w:rPr>
        <w:t>8.</w:t>
      </w:r>
    </w:p>
    <w:p w14:paraId="643887F9" w14:textId="05F42F4F"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t xml:space="preserve">Raghu G, Collard HR, Egan JJ, Martinez FJ, Behr J, Brown KK, </w:t>
      </w:r>
      <w:r w:rsidR="000C2679" w:rsidRPr="00A42322">
        <w:rPr>
          <w:rFonts w:ascii="Arial" w:hAnsi="Arial"/>
          <w:bCs/>
        </w:rPr>
        <w:t>Colby TV</w:t>
      </w:r>
      <w:r w:rsidR="00071C42" w:rsidRPr="00A42322">
        <w:rPr>
          <w:rFonts w:ascii="Arial" w:hAnsi="Arial"/>
          <w:bCs/>
        </w:rPr>
        <w:t xml:space="preserve">, Cordier JF, Flaherty KR, Lasky JA, Lynch DA, Ryu JH, </w:t>
      </w:r>
      <w:proofErr w:type="spellStart"/>
      <w:r w:rsidR="00071C42" w:rsidRPr="00A42322">
        <w:rPr>
          <w:rFonts w:ascii="Arial" w:hAnsi="Arial"/>
          <w:bCs/>
        </w:rPr>
        <w:t>Swigris</w:t>
      </w:r>
      <w:proofErr w:type="spellEnd"/>
      <w:r w:rsidR="00071C42" w:rsidRPr="00A42322">
        <w:rPr>
          <w:rFonts w:ascii="Arial" w:hAnsi="Arial"/>
          <w:bCs/>
        </w:rPr>
        <w:t xml:space="preserve"> JJ, Wells AU, </w:t>
      </w:r>
      <w:proofErr w:type="spellStart"/>
      <w:r w:rsidR="00071C42" w:rsidRPr="00A42322">
        <w:rPr>
          <w:rFonts w:ascii="Arial" w:hAnsi="Arial"/>
          <w:bCs/>
        </w:rPr>
        <w:t>Ancochea</w:t>
      </w:r>
      <w:proofErr w:type="spellEnd"/>
      <w:r w:rsidR="00071C42" w:rsidRPr="00A42322">
        <w:rPr>
          <w:rFonts w:ascii="Arial" w:hAnsi="Arial"/>
          <w:bCs/>
        </w:rPr>
        <w:t xml:space="preserve"> J, </w:t>
      </w:r>
      <w:proofErr w:type="spellStart"/>
      <w:r w:rsidR="00071C42" w:rsidRPr="00A42322">
        <w:rPr>
          <w:rFonts w:ascii="Arial" w:hAnsi="Arial"/>
          <w:bCs/>
        </w:rPr>
        <w:t>Bouros</w:t>
      </w:r>
      <w:proofErr w:type="spellEnd"/>
      <w:r w:rsidR="00071C42" w:rsidRPr="00A42322">
        <w:rPr>
          <w:rFonts w:ascii="Arial" w:hAnsi="Arial"/>
          <w:bCs/>
        </w:rPr>
        <w:t xml:space="preserve"> D, </w:t>
      </w:r>
      <w:proofErr w:type="spellStart"/>
      <w:r w:rsidR="00071C42" w:rsidRPr="00A42322">
        <w:rPr>
          <w:rFonts w:ascii="Arial" w:hAnsi="Arial"/>
          <w:bCs/>
        </w:rPr>
        <w:t>Varvalho</w:t>
      </w:r>
      <w:proofErr w:type="spellEnd"/>
      <w:r w:rsidR="00071C42" w:rsidRPr="00A42322">
        <w:rPr>
          <w:rFonts w:ascii="Arial" w:hAnsi="Arial"/>
          <w:bCs/>
        </w:rPr>
        <w:t xml:space="preserve"> C, </w:t>
      </w:r>
      <w:proofErr w:type="spellStart"/>
      <w:r w:rsidR="00071C42" w:rsidRPr="00A42322">
        <w:rPr>
          <w:rFonts w:ascii="Arial" w:hAnsi="Arial"/>
          <w:bCs/>
        </w:rPr>
        <w:t>Costabel</w:t>
      </w:r>
      <w:proofErr w:type="spellEnd"/>
      <w:r w:rsidR="00071C42" w:rsidRPr="00A42322">
        <w:rPr>
          <w:rFonts w:ascii="Arial" w:hAnsi="Arial"/>
          <w:bCs/>
        </w:rPr>
        <w:t xml:space="preserve"> U, </w:t>
      </w:r>
      <w:proofErr w:type="spellStart"/>
      <w:r w:rsidR="00071C42" w:rsidRPr="00A42322">
        <w:rPr>
          <w:rFonts w:ascii="Arial" w:hAnsi="Arial"/>
          <w:bCs/>
        </w:rPr>
        <w:t>Ebina</w:t>
      </w:r>
      <w:proofErr w:type="spellEnd"/>
      <w:r w:rsidR="00071C42" w:rsidRPr="00A42322">
        <w:rPr>
          <w:rFonts w:ascii="Arial" w:hAnsi="Arial"/>
          <w:bCs/>
        </w:rPr>
        <w:t xml:space="preserve"> M, Hansell DM, </w:t>
      </w:r>
      <w:proofErr w:type="spellStart"/>
      <w:r w:rsidR="00071C42" w:rsidRPr="00A42322">
        <w:rPr>
          <w:rFonts w:ascii="Arial" w:hAnsi="Arial"/>
          <w:bCs/>
        </w:rPr>
        <w:t>Johkoh</w:t>
      </w:r>
      <w:proofErr w:type="spellEnd"/>
      <w:r w:rsidR="00071C42" w:rsidRPr="00A42322">
        <w:rPr>
          <w:rFonts w:ascii="Arial" w:hAnsi="Arial"/>
          <w:bCs/>
        </w:rPr>
        <w:t xml:space="preserve"> T, Kim DS, King TE, </w:t>
      </w:r>
      <w:proofErr w:type="spellStart"/>
      <w:r w:rsidR="00071C42" w:rsidRPr="00A42322">
        <w:rPr>
          <w:rFonts w:ascii="Arial" w:hAnsi="Arial"/>
          <w:bCs/>
        </w:rPr>
        <w:t>Kondoh</w:t>
      </w:r>
      <w:proofErr w:type="spellEnd"/>
      <w:r w:rsidR="00071C42" w:rsidRPr="00A42322">
        <w:rPr>
          <w:rFonts w:ascii="Arial" w:hAnsi="Arial"/>
          <w:bCs/>
        </w:rPr>
        <w:t xml:space="preserve"> Y, Myers J, Muller NL, Nicholson AG, </w:t>
      </w:r>
      <w:proofErr w:type="spellStart"/>
      <w:r w:rsidR="00071C42" w:rsidRPr="00A42322">
        <w:rPr>
          <w:rFonts w:ascii="Arial" w:hAnsi="Arial"/>
          <w:bCs/>
        </w:rPr>
        <w:t>Richeldi</w:t>
      </w:r>
      <w:proofErr w:type="spellEnd"/>
      <w:r w:rsidR="00071C42" w:rsidRPr="00A42322">
        <w:rPr>
          <w:rFonts w:ascii="Arial" w:hAnsi="Arial"/>
          <w:bCs/>
        </w:rPr>
        <w:t xml:space="preserve"> L, Selman M, </w:t>
      </w:r>
      <w:proofErr w:type="spellStart"/>
      <w:r w:rsidR="00071C42" w:rsidRPr="00A42322">
        <w:rPr>
          <w:rFonts w:ascii="Arial" w:hAnsi="Arial"/>
          <w:bCs/>
        </w:rPr>
        <w:t>Dudden</w:t>
      </w:r>
      <w:proofErr w:type="spellEnd"/>
      <w:r w:rsidR="00071C42" w:rsidRPr="00A42322">
        <w:rPr>
          <w:rFonts w:ascii="Arial" w:hAnsi="Arial"/>
          <w:bCs/>
        </w:rPr>
        <w:t xml:space="preserve"> RF, </w:t>
      </w:r>
      <w:proofErr w:type="spellStart"/>
      <w:r w:rsidR="00071C42" w:rsidRPr="00A42322">
        <w:rPr>
          <w:rFonts w:ascii="Arial" w:hAnsi="Arial"/>
          <w:bCs/>
        </w:rPr>
        <w:t>Griss</w:t>
      </w:r>
      <w:proofErr w:type="spellEnd"/>
      <w:r w:rsidR="00071C42" w:rsidRPr="00A42322">
        <w:rPr>
          <w:rFonts w:ascii="Arial" w:hAnsi="Arial"/>
          <w:bCs/>
        </w:rPr>
        <w:t xml:space="preserve"> BS, </w:t>
      </w:r>
      <w:proofErr w:type="spellStart"/>
      <w:r w:rsidR="00071C42" w:rsidRPr="00A42322">
        <w:rPr>
          <w:rFonts w:ascii="Arial" w:hAnsi="Arial"/>
          <w:bCs/>
        </w:rPr>
        <w:t>Protzko</w:t>
      </w:r>
      <w:proofErr w:type="spellEnd"/>
      <w:r w:rsidR="00071C42" w:rsidRPr="00A42322">
        <w:rPr>
          <w:rFonts w:ascii="Arial" w:hAnsi="Arial"/>
          <w:bCs/>
        </w:rPr>
        <w:t xml:space="preserve"> SL, </w:t>
      </w:r>
      <w:proofErr w:type="spellStart"/>
      <w:r w:rsidR="00071C42" w:rsidRPr="00A42322">
        <w:rPr>
          <w:rFonts w:ascii="Arial" w:hAnsi="Arial"/>
          <w:bCs/>
        </w:rPr>
        <w:t>Schunemann</w:t>
      </w:r>
      <w:proofErr w:type="spellEnd"/>
      <w:r w:rsidR="00071C42" w:rsidRPr="00A42322">
        <w:rPr>
          <w:rFonts w:ascii="Arial" w:hAnsi="Arial"/>
          <w:bCs/>
        </w:rPr>
        <w:t xml:space="preserve"> HJ</w:t>
      </w:r>
      <w:r w:rsidRPr="00A42322">
        <w:rPr>
          <w:rFonts w:ascii="Arial" w:hAnsi="Arial"/>
          <w:bCs/>
        </w:rPr>
        <w:t xml:space="preserve">. An official ATS/ERS/JRS/ALAT statement: idiopathic pulmonary fibrosis: evidence-based guidelines for diagnosis and management. </w:t>
      </w:r>
      <w:r w:rsidR="00BB13F3" w:rsidRPr="00A42322">
        <w:rPr>
          <w:rFonts w:ascii="Arial" w:hAnsi="Arial"/>
          <w:bCs/>
        </w:rPr>
        <w:t xml:space="preserve">Am J Respir </w:t>
      </w:r>
      <w:proofErr w:type="spellStart"/>
      <w:r w:rsidR="00BB13F3" w:rsidRPr="00A42322">
        <w:rPr>
          <w:rFonts w:ascii="Arial" w:hAnsi="Arial"/>
          <w:bCs/>
        </w:rPr>
        <w:t>Crit</w:t>
      </w:r>
      <w:proofErr w:type="spellEnd"/>
      <w:r w:rsidR="00BB13F3" w:rsidRPr="00A42322">
        <w:rPr>
          <w:rFonts w:ascii="Arial" w:hAnsi="Arial"/>
          <w:bCs/>
        </w:rPr>
        <w:t xml:space="preserve"> Care Med</w:t>
      </w:r>
      <w:r w:rsidRPr="00A42322">
        <w:rPr>
          <w:rFonts w:ascii="Arial" w:hAnsi="Arial"/>
          <w:bCs/>
        </w:rPr>
        <w:t>. 2011;</w:t>
      </w:r>
      <w:r w:rsidR="000C2679" w:rsidRPr="00A42322">
        <w:rPr>
          <w:rFonts w:ascii="Arial" w:hAnsi="Arial"/>
          <w:bCs/>
        </w:rPr>
        <w:t xml:space="preserve"> </w:t>
      </w:r>
      <w:r w:rsidRPr="00A42322">
        <w:rPr>
          <w:rFonts w:ascii="Arial" w:hAnsi="Arial"/>
          <w:bCs/>
        </w:rPr>
        <w:t>183:</w:t>
      </w:r>
      <w:r w:rsidR="000C2679" w:rsidRPr="00A42322">
        <w:rPr>
          <w:rFonts w:ascii="Arial" w:hAnsi="Arial"/>
          <w:bCs/>
        </w:rPr>
        <w:t xml:space="preserve"> </w:t>
      </w:r>
      <w:r w:rsidRPr="00A42322">
        <w:rPr>
          <w:rFonts w:ascii="Arial" w:hAnsi="Arial"/>
          <w:bCs/>
        </w:rPr>
        <w:t>788-824.</w:t>
      </w:r>
    </w:p>
    <w:p w14:paraId="16189993" w14:textId="03C7916A" w:rsidR="004034C1" w:rsidRPr="00A42322" w:rsidRDefault="004034C1" w:rsidP="00306C71">
      <w:pPr>
        <w:pStyle w:val="ListParagraph"/>
        <w:numPr>
          <w:ilvl w:val="0"/>
          <w:numId w:val="36"/>
        </w:numPr>
        <w:spacing w:after="0" w:line="480" w:lineRule="auto"/>
        <w:rPr>
          <w:rFonts w:ascii="Arial" w:hAnsi="Arial"/>
          <w:bCs/>
        </w:rPr>
      </w:pPr>
      <w:proofErr w:type="spellStart"/>
      <w:r w:rsidRPr="00A42322">
        <w:rPr>
          <w:rFonts w:ascii="Arial" w:hAnsi="Arial"/>
          <w:bCs/>
        </w:rPr>
        <w:t>Richeldi</w:t>
      </w:r>
      <w:proofErr w:type="spellEnd"/>
      <w:r w:rsidRPr="00A42322">
        <w:rPr>
          <w:rFonts w:ascii="Arial" w:hAnsi="Arial"/>
          <w:bCs/>
        </w:rPr>
        <w:t xml:space="preserve"> L, Collard HR, Jones MG. Idiopathic pulmonary fibrosis. Lancet. 2017;</w:t>
      </w:r>
      <w:r w:rsidR="00071C42" w:rsidRPr="00A42322">
        <w:rPr>
          <w:rFonts w:ascii="Arial" w:hAnsi="Arial"/>
          <w:bCs/>
        </w:rPr>
        <w:t xml:space="preserve"> </w:t>
      </w:r>
      <w:r w:rsidRPr="00A42322">
        <w:rPr>
          <w:rFonts w:ascii="Arial" w:hAnsi="Arial"/>
          <w:bCs/>
        </w:rPr>
        <w:t>389:</w:t>
      </w:r>
      <w:r w:rsidR="00071C42" w:rsidRPr="00A42322">
        <w:rPr>
          <w:rFonts w:ascii="Arial" w:hAnsi="Arial"/>
          <w:bCs/>
        </w:rPr>
        <w:t xml:space="preserve"> </w:t>
      </w:r>
      <w:r w:rsidRPr="00A42322">
        <w:rPr>
          <w:rFonts w:ascii="Arial" w:hAnsi="Arial"/>
          <w:bCs/>
        </w:rPr>
        <w:t>1941-52.</w:t>
      </w:r>
    </w:p>
    <w:p w14:paraId="487C3319" w14:textId="1A224D54"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t xml:space="preserve">Navaratnam V, Fleming K, West J, Smith C, Jenkins R, Fogarty A, </w:t>
      </w:r>
      <w:r w:rsidR="00071C42" w:rsidRPr="00A42322">
        <w:rPr>
          <w:rFonts w:ascii="Arial" w:hAnsi="Arial"/>
          <w:bCs/>
        </w:rPr>
        <w:t>Hubbard RB</w:t>
      </w:r>
      <w:r w:rsidRPr="00A42322">
        <w:rPr>
          <w:rFonts w:ascii="Arial" w:hAnsi="Arial"/>
          <w:bCs/>
        </w:rPr>
        <w:t>. The rising incidence of idiopathic pulmonary fibrosis in the UK. Thorax. 2011:</w:t>
      </w:r>
      <w:r w:rsidR="00071C42" w:rsidRPr="00A42322">
        <w:rPr>
          <w:rFonts w:ascii="Arial" w:hAnsi="Arial"/>
          <w:bCs/>
        </w:rPr>
        <w:t xml:space="preserve"> </w:t>
      </w:r>
      <w:r w:rsidR="00172FAB" w:rsidRPr="00A42322">
        <w:rPr>
          <w:rFonts w:ascii="Arial" w:hAnsi="Arial"/>
          <w:bCs/>
        </w:rPr>
        <w:t>66:</w:t>
      </w:r>
      <w:r w:rsidR="00071C42" w:rsidRPr="00A42322">
        <w:rPr>
          <w:rFonts w:ascii="Arial" w:hAnsi="Arial"/>
          <w:bCs/>
        </w:rPr>
        <w:t xml:space="preserve"> </w:t>
      </w:r>
      <w:r w:rsidR="00172FAB" w:rsidRPr="00A42322">
        <w:rPr>
          <w:rFonts w:ascii="Arial" w:hAnsi="Arial"/>
          <w:bCs/>
        </w:rPr>
        <w:t>464-467</w:t>
      </w:r>
      <w:r w:rsidRPr="00A42322">
        <w:rPr>
          <w:rFonts w:ascii="Arial" w:hAnsi="Arial"/>
          <w:bCs/>
        </w:rPr>
        <w:t>.</w:t>
      </w:r>
    </w:p>
    <w:p w14:paraId="5FC129A9" w14:textId="30FD3D5F"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lastRenderedPageBreak/>
        <w:t xml:space="preserve">Lamas DJ, </w:t>
      </w:r>
      <w:proofErr w:type="spellStart"/>
      <w:r w:rsidRPr="00A42322">
        <w:rPr>
          <w:rFonts w:ascii="Arial" w:hAnsi="Arial"/>
          <w:bCs/>
        </w:rPr>
        <w:t>Kawut</w:t>
      </w:r>
      <w:proofErr w:type="spellEnd"/>
      <w:r w:rsidRPr="00A42322">
        <w:rPr>
          <w:rFonts w:ascii="Arial" w:hAnsi="Arial"/>
          <w:bCs/>
        </w:rPr>
        <w:t xml:space="preserve"> SM, </w:t>
      </w:r>
      <w:proofErr w:type="spellStart"/>
      <w:r w:rsidRPr="00A42322">
        <w:rPr>
          <w:rFonts w:ascii="Arial" w:hAnsi="Arial"/>
          <w:bCs/>
        </w:rPr>
        <w:t>Bagiella</w:t>
      </w:r>
      <w:proofErr w:type="spellEnd"/>
      <w:r w:rsidRPr="00A42322">
        <w:rPr>
          <w:rFonts w:ascii="Arial" w:hAnsi="Arial"/>
          <w:bCs/>
        </w:rPr>
        <w:t xml:space="preserve"> E, Philip N, </w:t>
      </w:r>
      <w:proofErr w:type="spellStart"/>
      <w:r w:rsidRPr="00A42322">
        <w:rPr>
          <w:rFonts w:ascii="Arial" w:hAnsi="Arial"/>
          <w:bCs/>
        </w:rPr>
        <w:t>Arcasoy</w:t>
      </w:r>
      <w:proofErr w:type="spellEnd"/>
      <w:r w:rsidRPr="00A42322">
        <w:rPr>
          <w:rFonts w:ascii="Arial" w:hAnsi="Arial"/>
          <w:bCs/>
        </w:rPr>
        <w:t xml:space="preserve"> SM, Lederer DJ. Delayed access and survival in idiopathic pulmonary fibrosis: a cohort study. </w:t>
      </w:r>
      <w:r w:rsidR="00F46BAE" w:rsidRPr="00A42322">
        <w:rPr>
          <w:rFonts w:ascii="Arial" w:hAnsi="Arial"/>
          <w:bCs/>
        </w:rPr>
        <w:t xml:space="preserve">Am J Respir </w:t>
      </w:r>
      <w:proofErr w:type="spellStart"/>
      <w:r w:rsidR="00F46BAE" w:rsidRPr="00A42322">
        <w:rPr>
          <w:rFonts w:ascii="Arial" w:hAnsi="Arial"/>
          <w:bCs/>
        </w:rPr>
        <w:t>Crit</w:t>
      </w:r>
      <w:proofErr w:type="spellEnd"/>
      <w:r w:rsidR="00F46BAE" w:rsidRPr="00A42322">
        <w:rPr>
          <w:rFonts w:ascii="Arial" w:hAnsi="Arial"/>
          <w:bCs/>
        </w:rPr>
        <w:t xml:space="preserve"> Care Med. </w:t>
      </w:r>
      <w:r w:rsidRPr="00A42322">
        <w:rPr>
          <w:rFonts w:ascii="Arial" w:hAnsi="Arial"/>
          <w:bCs/>
        </w:rPr>
        <w:t>2011;</w:t>
      </w:r>
      <w:r w:rsidR="00071C42" w:rsidRPr="00A42322">
        <w:rPr>
          <w:rFonts w:ascii="Arial" w:hAnsi="Arial"/>
          <w:bCs/>
        </w:rPr>
        <w:t xml:space="preserve"> </w:t>
      </w:r>
      <w:r w:rsidRPr="00A42322">
        <w:rPr>
          <w:rFonts w:ascii="Arial" w:hAnsi="Arial"/>
          <w:bCs/>
        </w:rPr>
        <w:t>184:</w:t>
      </w:r>
      <w:r w:rsidR="00071C42" w:rsidRPr="00A42322">
        <w:rPr>
          <w:rFonts w:ascii="Arial" w:hAnsi="Arial"/>
          <w:bCs/>
        </w:rPr>
        <w:t xml:space="preserve"> </w:t>
      </w:r>
      <w:r w:rsidRPr="00A42322">
        <w:rPr>
          <w:rFonts w:ascii="Arial" w:hAnsi="Arial"/>
          <w:bCs/>
        </w:rPr>
        <w:t>842-7.</w:t>
      </w:r>
    </w:p>
    <w:p w14:paraId="10682199" w14:textId="6A04A680" w:rsidR="004034C1" w:rsidRPr="00A42322" w:rsidRDefault="004034C1" w:rsidP="00306C71">
      <w:pPr>
        <w:pStyle w:val="ListParagraph"/>
        <w:numPr>
          <w:ilvl w:val="0"/>
          <w:numId w:val="36"/>
        </w:numPr>
        <w:spacing w:after="0" w:line="480" w:lineRule="auto"/>
        <w:rPr>
          <w:rFonts w:ascii="Arial" w:hAnsi="Arial"/>
          <w:bCs/>
        </w:rPr>
      </w:pPr>
      <w:proofErr w:type="spellStart"/>
      <w:r w:rsidRPr="00A42322">
        <w:rPr>
          <w:rFonts w:ascii="Arial" w:hAnsi="Arial"/>
          <w:bCs/>
        </w:rPr>
        <w:t>Richeldi</w:t>
      </w:r>
      <w:proofErr w:type="spellEnd"/>
      <w:r w:rsidRPr="00A42322">
        <w:rPr>
          <w:rFonts w:ascii="Arial" w:hAnsi="Arial"/>
          <w:bCs/>
        </w:rPr>
        <w:t xml:space="preserve"> L, Du </w:t>
      </w:r>
      <w:proofErr w:type="spellStart"/>
      <w:r w:rsidRPr="00A42322">
        <w:rPr>
          <w:rFonts w:ascii="Arial" w:hAnsi="Arial"/>
          <w:bCs/>
        </w:rPr>
        <w:t>Bois</w:t>
      </w:r>
      <w:proofErr w:type="spellEnd"/>
      <w:r w:rsidRPr="00A42322">
        <w:rPr>
          <w:rFonts w:ascii="Arial" w:hAnsi="Arial"/>
          <w:bCs/>
        </w:rPr>
        <w:t xml:space="preserve"> RM, Raghu G, Azuma A, Brown KK, </w:t>
      </w:r>
      <w:proofErr w:type="spellStart"/>
      <w:r w:rsidRPr="00A42322">
        <w:rPr>
          <w:rFonts w:ascii="Arial" w:hAnsi="Arial"/>
          <w:bCs/>
        </w:rPr>
        <w:t>Costabel</w:t>
      </w:r>
      <w:proofErr w:type="spellEnd"/>
      <w:r w:rsidRPr="00A42322">
        <w:rPr>
          <w:rFonts w:ascii="Arial" w:hAnsi="Arial"/>
          <w:bCs/>
        </w:rPr>
        <w:t xml:space="preserve"> U, </w:t>
      </w:r>
      <w:proofErr w:type="spellStart"/>
      <w:r w:rsidR="00071C42" w:rsidRPr="00A42322">
        <w:rPr>
          <w:rFonts w:ascii="Arial" w:hAnsi="Arial"/>
          <w:bCs/>
        </w:rPr>
        <w:t>Cottin</w:t>
      </w:r>
      <w:proofErr w:type="spellEnd"/>
      <w:r w:rsidR="00071C42" w:rsidRPr="00A42322">
        <w:rPr>
          <w:rFonts w:ascii="Arial" w:hAnsi="Arial"/>
          <w:bCs/>
        </w:rPr>
        <w:t xml:space="preserve"> V, Flaherty KR, Hansell DM, Inoue Y, Kim DS, Kolb M, Nicholson AG, Noble PW, Selman M, Taniguchi H, Brun M, Le </w:t>
      </w:r>
      <w:proofErr w:type="spellStart"/>
      <w:r w:rsidR="00071C42" w:rsidRPr="00A42322">
        <w:rPr>
          <w:rFonts w:ascii="Arial" w:hAnsi="Arial"/>
          <w:bCs/>
        </w:rPr>
        <w:t>Maulf</w:t>
      </w:r>
      <w:proofErr w:type="spellEnd"/>
      <w:r w:rsidR="00071C42" w:rsidRPr="00A42322">
        <w:rPr>
          <w:rFonts w:ascii="Arial" w:hAnsi="Arial"/>
          <w:bCs/>
        </w:rPr>
        <w:t xml:space="preserve"> F, Girard M, </w:t>
      </w:r>
      <w:proofErr w:type="spellStart"/>
      <w:r w:rsidR="00071C42" w:rsidRPr="00A42322">
        <w:rPr>
          <w:rFonts w:ascii="Arial" w:hAnsi="Arial"/>
          <w:bCs/>
        </w:rPr>
        <w:t>Stowasser</w:t>
      </w:r>
      <w:proofErr w:type="spellEnd"/>
      <w:r w:rsidR="00071C42" w:rsidRPr="00A42322">
        <w:rPr>
          <w:rFonts w:ascii="Arial" w:hAnsi="Arial"/>
          <w:bCs/>
        </w:rPr>
        <w:t xml:space="preserve"> S, </w:t>
      </w:r>
      <w:proofErr w:type="spellStart"/>
      <w:r w:rsidR="00071C42" w:rsidRPr="00A42322">
        <w:rPr>
          <w:rFonts w:ascii="Arial" w:hAnsi="Arial"/>
          <w:bCs/>
        </w:rPr>
        <w:t>Schlenker-Herceg</w:t>
      </w:r>
      <w:proofErr w:type="spellEnd"/>
      <w:r w:rsidR="00071C42" w:rsidRPr="00A42322">
        <w:rPr>
          <w:rFonts w:ascii="Arial" w:hAnsi="Arial"/>
          <w:bCs/>
        </w:rPr>
        <w:t xml:space="preserve"> R, </w:t>
      </w:r>
      <w:proofErr w:type="spellStart"/>
      <w:r w:rsidR="00071C42" w:rsidRPr="00A42322">
        <w:rPr>
          <w:rFonts w:ascii="Arial" w:hAnsi="Arial"/>
          <w:bCs/>
        </w:rPr>
        <w:t>Disse</w:t>
      </w:r>
      <w:proofErr w:type="spellEnd"/>
      <w:r w:rsidR="00071C42" w:rsidRPr="00A42322">
        <w:rPr>
          <w:rFonts w:ascii="Arial" w:hAnsi="Arial"/>
          <w:bCs/>
        </w:rPr>
        <w:t xml:space="preserve"> B, Collard HR</w:t>
      </w:r>
      <w:r w:rsidRPr="00A42322">
        <w:rPr>
          <w:rFonts w:ascii="Arial" w:hAnsi="Arial"/>
          <w:bCs/>
        </w:rPr>
        <w:t xml:space="preserve">. Efficacy and safety of </w:t>
      </w:r>
      <w:proofErr w:type="spellStart"/>
      <w:r w:rsidRPr="00A42322">
        <w:rPr>
          <w:rFonts w:ascii="Arial" w:hAnsi="Arial"/>
          <w:bCs/>
        </w:rPr>
        <w:t>nintedanib</w:t>
      </w:r>
      <w:proofErr w:type="spellEnd"/>
      <w:r w:rsidRPr="00A42322">
        <w:rPr>
          <w:rFonts w:ascii="Arial" w:hAnsi="Arial"/>
          <w:bCs/>
        </w:rPr>
        <w:t xml:space="preserve"> in idiopathic pulmonary fibrosis. </w:t>
      </w:r>
      <w:r w:rsidR="00F46BAE" w:rsidRPr="00A42322">
        <w:rPr>
          <w:rFonts w:ascii="Arial" w:hAnsi="Arial"/>
          <w:bCs/>
        </w:rPr>
        <w:t xml:space="preserve">N </w:t>
      </w:r>
      <w:proofErr w:type="spellStart"/>
      <w:r w:rsidR="00F46BAE" w:rsidRPr="00A42322">
        <w:rPr>
          <w:rFonts w:ascii="Arial" w:hAnsi="Arial"/>
          <w:bCs/>
        </w:rPr>
        <w:t>Engl</w:t>
      </w:r>
      <w:proofErr w:type="spellEnd"/>
      <w:r w:rsidR="00F46BAE" w:rsidRPr="00A42322">
        <w:rPr>
          <w:rFonts w:ascii="Arial" w:hAnsi="Arial"/>
          <w:bCs/>
        </w:rPr>
        <w:t xml:space="preserve"> J Med</w:t>
      </w:r>
      <w:r w:rsidRPr="00A42322">
        <w:rPr>
          <w:rFonts w:ascii="Arial" w:hAnsi="Arial"/>
          <w:bCs/>
        </w:rPr>
        <w:t>. 2014;</w:t>
      </w:r>
      <w:r w:rsidR="00071C42" w:rsidRPr="00A42322">
        <w:rPr>
          <w:rFonts w:ascii="Arial" w:hAnsi="Arial"/>
          <w:bCs/>
        </w:rPr>
        <w:t xml:space="preserve"> </w:t>
      </w:r>
      <w:r w:rsidRPr="00A42322">
        <w:rPr>
          <w:rFonts w:ascii="Arial" w:hAnsi="Arial"/>
          <w:bCs/>
        </w:rPr>
        <w:t>370:</w:t>
      </w:r>
      <w:r w:rsidR="00071C42" w:rsidRPr="00A42322">
        <w:rPr>
          <w:rFonts w:ascii="Arial" w:hAnsi="Arial"/>
          <w:bCs/>
        </w:rPr>
        <w:t xml:space="preserve"> </w:t>
      </w:r>
      <w:r w:rsidRPr="00A42322">
        <w:rPr>
          <w:rFonts w:ascii="Arial" w:hAnsi="Arial"/>
          <w:bCs/>
        </w:rPr>
        <w:t>2071-82.</w:t>
      </w:r>
    </w:p>
    <w:p w14:paraId="05DD9EF6" w14:textId="42B2D922"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t>King Jr TE, Bradford WZ, Castro-</w:t>
      </w:r>
      <w:proofErr w:type="spellStart"/>
      <w:r w:rsidRPr="00A42322">
        <w:rPr>
          <w:rFonts w:ascii="Arial" w:hAnsi="Arial"/>
          <w:bCs/>
        </w:rPr>
        <w:t>Bernardini</w:t>
      </w:r>
      <w:proofErr w:type="spellEnd"/>
      <w:r w:rsidRPr="00A42322">
        <w:rPr>
          <w:rFonts w:ascii="Arial" w:hAnsi="Arial"/>
          <w:bCs/>
        </w:rPr>
        <w:t xml:space="preserve"> S, Fagan EA, </w:t>
      </w:r>
      <w:proofErr w:type="spellStart"/>
      <w:r w:rsidRPr="00A42322">
        <w:rPr>
          <w:rFonts w:ascii="Arial" w:hAnsi="Arial"/>
          <w:bCs/>
        </w:rPr>
        <w:t>Glaspole</w:t>
      </w:r>
      <w:proofErr w:type="spellEnd"/>
      <w:r w:rsidRPr="00A42322">
        <w:rPr>
          <w:rFonts w:ascii="Arial" w:hAnsi="Arial"/>
          <w:bCs/>
        </w:rPr>
        <w:t xml:space="preserve"> I, Glassberg MK, </w:t>
      </w:r>
      <w:proofErr w:type="spellStart"/>
      <w:r w:rsidR="00071C42" w:rsidRPr="00A42322">
        <w:rPr>
          <w:rFonts w:ascii="Arial" w:hAnsi="Arial"/>
          <w:bCs/>
        </w:rPr>
        <w:t>Gorina</w:t>
      </w:r>
      <w:proofErr w:type="spellEnd"/>
      <w:r w:rsidR="00071C42" w:rsidRPr="00A42322">
        <w:rPr>
          <w:rFonts w:ascii="Arial" w:hAnsi="Arial"/>
          <w:bCs/>
        </w:rPr>
        <w:t xml:space="preserve"> E, Hopkins PM, </w:t>
      </w:r>
      <w:proofErr w:type="spellStart"/>
      <w:r w:rsidR="00071C42" w:rsidRPr="00A42322">
        <w:rPr>
          <w:rFonts w:ascii="Arial" w:hAnsi="Arial"/>
          <w:bCs/>
        </w:rPr>
        <w:t>Kardatzke</w:t>
      </w:r>
      <w:proofErr w:type="spellEnd"/>
      <w:r w:rsidR="00071C42" w:rsidRPr="00A42322">
        <w:rPr>
          <w:rFonts w:ascii="Arial" w:hAnsi="Arial"/>
          <w:bCs/>
        </w:rPr>
        <w:t xml:space="preserve"> D, Lancaster L, Lederer DJ, Nathan SD, </w:t>
      </w:r>
      <w:proofErr w:type="spellStart"/>
      <w:r w:rsidR="00071C42" w:rsidRPr="00A42322">
        <w:rPr>
          <w:rFonts w:ascii="Arial" w:hAnsi="Arial"/>
          <w:bCs/>
        </w:rPr>
        <w:t>Pererira</w:t>
      </w:r>
      <w:proofErr w:type="spellEnd"/>
      <w:r w:rsidR="00071C42" w:rsidRPr="00A42322">
        <w:rPr>
          <w:rFonts w:ascii="Arial" w:hAnsi="Arial"/>
          <w:bCs/>
        </w:rPr>
        <w:t xml:space="preserve"> CA, </w:t>
      </w:r>
      <w:proofErr w:type="spellStart"/>
      <w:r w:rsidR="00071C42" w:rsidRPr="00A42322">
        <w:rPr>
          <w:rFonts w:ascii="Arial" w:hAnsi="Arial"/>
          <w:bCs/>
        </w:rPr>
        <w:t>Sahn</w:t>
      </w:r>
      <w:proofErr w:type="spellEnd"/>
      <w:r w:rsidR="00071C42" w:rsidRPr="00A42322">
        <w:rPr>
          <w:rFonts w:ascii="Arial" w:hAnsi="Arial"/>
          <w:bCs/>
        </w:rPr>
        <w:t xml:space="preserve"> SA&lt; Sussman R, </w:t>
      </w:r>
      <w:proofErr w:type="spellStart"/>
      <w:r w:rsidR="00071C42" w:rsidRPr="00A42322">
        <w:rPr>
          <w:rFonts w:ascii="Arial" w:hAnsi="Arial"/>
          <w:bCs/>
        </w:rPr>
        <w:t>Swigris</w:t>
      </w:r>
      <w:proofErr w:type="spellEnd"/>
      <w:r w:rsidR="00071C42" w:rsidRPr="00A42322">
        <w:rPr>
          <w:rFonts w:ascii="Arial" w:hAnsi="Arial"/>
          <w:bCs/>
        </w:rPr>
        <w:t xml:space="preserve"> JJ, Noble PW.</w:t>
      </w:r>
      <w:r w:rsidRPr="00A42322">
        <w:rPr>
          <w:rFonts w:ascii="Arial" w:hAnsi="Arial"/>
          <w:bCs/>
        </w:rPr>
        <w:t xml:space="preserve"> A phase 3 trial of pirfenidone in patients with idiopathic pulmonary fibrosis. </w:t>
      </w:r>
      <w:r w:rsidR="00F46BAE" w:rsidRPr="00A42322">
        <w:rPr>
          <w:rFonts w:ascii="Arial" w:hAnsi="Arial"/>
          <w:bCs/>
        </w:rPr>
        <w:t xml:space="preserve">N </w:t>
      </w:r>
      <w:proofErr w:type="spellStart"/>
      <w:r w:rsidR="00F46BAE" w:rsidRPr="00A42322">
        <w:rPr>
          <w:rFonts w:ascii="Arial" w:hAnsi="Arial"/>
          <w:bCs/>
        </w:rPr>
        <w:t>Engl</w:t>
      </w:r>
      <w:proofErr w:type="spellEnd"/>
      <w:r w:rsidR="00F46BAE" w:rsidRPr="00A42322">
        <w:rPr>
          <w:rFonts w:ascii="Arial" w:hAnsi="Arial"/>
          <w:bCs/>
        </w:rPr>
        <w:t xml:space="preserve"> J Med</w:t>
      </w:r>
      <w:r w:rsidRPr="00A42322">
        <w:rPr>
          <w:rFonts w:ascii="Arial" w:hAnsi="Arial"/>
          <w:bCs/>
        </w:rPr>
        <w:t>. 2014;</w:t>
      </w:r>
      <w:r w:rsidR="00071C42" w:rsidRPr="00A42322">
        <w:rPr>
          <w:rFonts w:ascii="Arial" w:hAnsi="Arial"/>
          <w:bCs/>
        </w:rPr>
        <w:t xml:space="preserve"> </w:t>
      </w:r>
      <w:r w:rsidRPr="00A42322">
        <w:rPr>
          <w:rFonts w:ascii="Arial" w:hAnsi="Arial"/>
          <w:bCs/>
        </w:rPr>
        <w:t>370:</w:t>
      </w:r>
      <w:r w:rsidR="00071C42" w:rsidRPr="00A42322">
        <w:rPr>
          <w:rFonts w:ascii="Arial" w:hAnsi="Arial"/>
          <w:bCs/>
        </w:rPr>
        <w:t xml:space="preserve"> </w:t>
      </w:r>
      <w:r w:rsidRPr="00A42322">
        <w:rPr>
          <w:rFonts w:ascii="Arial" w:hAnsi="Arial"/>
          <w:bCs/>
        </w:rPr>
        <w:t>2083-92.</w:t>
      </w:r>
    </w:p>
    <w:p w14:paraId="2227F592" w14:textId="687747DF"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t xml:space="preserve">The Lancet Respiratory Medicine. The changing landscape of idiopathic pulmonary fibrosis. Lancet </w:t>
      </w:r>
      <w:r w:rsidR="00F46BAE" w:rsidRPr="00A42322">
        <w:rPr>
          <w:rFonts w:ascii="Arial" w:hAnsi="Arial"/>
          <w:bCs/>
        </w:rPr>
        <w:t>Respir Med</w:t>
      </w:r>
      <w:r w:rsidRPr="00A42322">
        <w:rPr>
          <w:rFonts w:ascii="Arial" w:hAnsi="Arial"/>
          <w:bCs/>
        </w:rPr>
        <w:t>. 2014;</w:t>
      </w:r>
      <w:r w:rsidR="006729BC" w:rsidRPr="00A42322">
        <w:rPr>
          <w:rFonts w:ascii="Arial" w:hAnsi="Arial"/>
          <w:bCs/>
        </w:rPr>
        <w:t xml:space="preserve"> 2</w:t>
      </w:r>
      <w:r w:rsidRPr="00A42322">
        <w:rPr>
          <w:rFonts w:ascii="Arial" w:hAnsi="Arial"/>
          <w:bCs/>
        </w:rPr>
        <w:t>:</w:t>
      </w:r>
      <w:r w:rsidR="006729BC" w:rsidRPr="00A42322">
        <w:rPr>
          <w:rFonts w:ascii="Arial" w:hAnsi="Arial"/>
          <w:bCs/>
        </w:rPr>
        <w:t xml:space="preserve"> </w:t>
      </w:r>
      <w:r w:rsidRPr="00A42322">
        <w:rPr>
          <w:rFonts w:ascii="Arial" w:hAnsi="Arial"/>
          <w:bCs/>
        </w:rPr>
        <w:t>507.</w:t>
      </w:r>
    </w:p>
    <w:p w14:paraId="7204B056" w14:textId="67BB6924" w:rsidR="004034C1" w:rsidRPr="00A42322" w:rsidRDefault="004034C1" w:rsidP="00306C71">
      <w:pPr>
        <w:pStyle w:val="ListParagraph"/>
        <w:numPr>
          <w:ilvl w:val="0"/>
          <w:numId w:val="36"/>
        </w:numPr>
        <w:spacing w:after="0" w:line="480" w:lineRule="auto"/>
        <w:rPr>
          <w:rFonts w:ascii="Arial" w:hAnsi="Arial"/>
          <w:bCs/>
        </w:rPr>
      </w:pPr>
      <w:proofErr w:type="spellStart"/>
      <w:r w:rsidRPr="00A42322">
        <w:rPr>
          <w:rFonts w:ascii="Arial" w:hAnsi="Arial"/>
          <w:bCs/>
        </w:rPr>
        <w:t>Bonella</w:t>
      </w:r>
      <w:proofErr w:type="spellEnd"/>
      <w:r w:rsidRPr="00A42322">
        <w:rPr>
          <w:rFonts w:ascii="Arial" w:hAnsi="Arial"/>
          <w:bCs/>
        </w:rPr>
        <w:t xml:space="preserve"> F, </w:t>
      </w:r>
      <w:proofErr w:type="spellStart"/>
      <w:r w:rsidRPr="00A42322">
        <w:rPr>
          <w:rFonts w:ascii="Arial" w:hAnsi="Arial"/>
          <w:bCs/>
        </w:rPr>
        <w:t>Wijsenbeek</w:t>
      </w:r>
      <w:proofErr w:type="spellEnd"/>
      <w:r w:rsidRPr="00A42322">
        <w:rPr>
          <w:rFonts w:ascii="Arial" w:hAnsi="Arial"/>
          <w:bCs/>
        </w:rPr>
        <w:t xml:space="preserve"> M, Molina-Molina M, Duck A, Mele R, Geissler K, </w:t>
      </w:r>
      <w:proofErr w:type="spellStart"/>
      <w:r w:rsidR="006729BC" w:rsidRPr="00A42322">
        <w:rPr>
          <w:rFonts w:ascii="Arial" w:hAnsi="Arial"/>
          <w:bCs/>
        </w:rPr>
        <w:t>Wuyts</w:t>
      </w:r>
      <w:proofErr w:type="spellEnd"/>
      <w:r w:rsidR="006729BC" w:rsidRPr="00A42322">
        <w:rPr>
          <w:rFonts w:ascii="Arial" w:hAnsi="Arial"/>
          <w:bCs/>
        </w:rPr>
        <w:t xml:space="preserve"> W.</w:t>
      </w:r>
      <w:r w:rsidRPr="00A42322">
        <w:rPr>
          <w:rFonts w:ascii="Arial" w:hAnsi="Arial"/>
          <w:bCs/>
        </w:rPr>
        <w:t xml:space="preserve"> European IPF Patient Charter: unmet needs and a call to action for healthcare policymakers. </w:t>
      </w:r>
      <w:r w:rsidR="00F46BAE" w:rsidRPr="00A42322">
        <w:rPr>
          <w:rFonts w:ascii="Arial" w:hAnsi="Arial"/>
          <w:bCs/>
        </w:rPr>
        <w:t>Eur Respir J</w:t>
      </w:r>
      <w:r w:rsidRPr="00A42322">
        <w:rPr>
          <w:rFonts w:ascii="Arial" w:hAnsi="Arial"/>
          <w:bCs/>
        </w:rPr>
        <w:t>. 2016;</w:t>
      </w:r>
      <w:r w:rsidR="006729BC" w:rsidRPr="00A42322">
        <w:rPr>
          <w:rFonts w:ascii="Arial" w:hAnsi="Arial"/>
          <w:bCs/>
        </w:rPr>
        <w:t xml:space="preserve"> </w:t>
      </w:r>
      <w:r w:rsidRPr="00A42322">
        <w:rPr>
          <w:rFonts w:ascii="Arial" w:hAnsi="Arial"/>
          <w:bCs/>
        </w:rPr>
        <w:t>47:</w:t>
      </w:r>
      <w:r w:rsidR="006729BC" w:rsidRPr="00A42322">
        <w:rPr>
          <w:rFonts w:ascii="Arial" w:hAnsi="Arial"/>
          <w:bCs/>
        </w:rPr>
        <w:t xml:space="preserve"> </w:t>
      </w:r>
      <w:r w:rsidRPr="00A42322">
        <w:rPr>
          <w:rFonts w:ascii="Arial" w:hAnsi="Arial"/>
          <w:bCs/>
        </w:rPr>
        <w:t>597-606.</w:t>
      </w:r>
    </w:p>
    <w:p w14:paraId="38EDCC54" w14:textId="1BBD735B"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t xml:space="preserve">Antoniou KM, </w:t>
      </w:r>
      <w:proofErr w:type="spellStart"/>
      <w:r w:rsidRPr="00A42322">
        <w:rPr>
          <w:rFonts w:ascii="Arial" w:hAnsi="Arial"/>
          <w:bCs/>
        </w:rPr>
        <w:t>Symvoulakis</w:t>
      </w:r>
      <w:proofErr w:type="spellEnd"/>
      <w:r w:rsidRPr="00A42322">
        <w:rPr>
          <w:rFonts w:ascii="Arial" w:hAnsi="Arial"/>
          <w:bCs/>
        </w:rPr>
        <w:t xml:space="preserve"> EK, </w:t>
      </w:r>
      <w:proofErr w:type="spellStart"/>
      <w:r w:rsidRPr="00A42322">
        <w:rPr>
          <w:rFonts w:ascii="Arial" w:hAnsi="Arial"/>
          <w:bCs/>
        </w:rPr>
        <w:t>Margaritopoulos</w:t>
      </w:r>
      <w:proofErr w:type="spellEnd"/>
      <w:r w:rsidRPr="00A42322">
        <w:rPr>
          <w:rFonts w:ascii="Arial" w:hAnsi="Arial"/>
          <w:bCs/>
        </w:rPr>
        <w:t xml:space="preserve"> GA, </w:t>
      </w:r>
      <w:proofErr w:type="spellStart"/>
      <w:r w:rsidRPr="00A42322">
        <w:rPr>
          <w:rFonts w:ascii="Arial" w:hAnsi="Arial"/>
          <w:bCs/>
        </w:rPr>
        <w:t>Lionis</w:t>
      </w:r>
      <w:proofErr w:type="spellEnd"/>
      <w:r w:rsidRPr="00A42322">
        <w:rPr>
          <w:rFonts w:ascii="Arial" w:hAnsi="Arial"/>
          <w:bCs/>
        </w:rPr>
        <w:t xml:space="preserve"> C, Wells AU. Early diagnosis of IPF: time for a primary-care case-finding initiative? </w:t>
      </w:r>
      <w:r w:rsidR="00F46BAE" w:rsidRPr="00A42322">
        <w:rPr>
          <w:rFonts w:ascii="Arial" w:hAnsi="Arial"/>
          <w:bCs/>
        </w:rPr>
        <w:t>Lancet Respir Med</w:t>
      </w:r>
      <w:r w:rsidRPr="00A42322">
        <w:rPr>
          <w:rFonts w:ascii="Arial" w:hAnsi="Arial"/>
          <w:bCs/>
        </w:rPr>
        <w:t>. 2014;</w:t>
      </w:r>
      <w:r w:rsidR="006729BC" w:rsidRPr="00A42322">
        <w:rPr>
          <w:rFonts w:ascii="Arial" w:hAnsi="Arial"/>
          <w:bCs/>
        </w:rPr>
        <w:t xml:space="preserve"> 2</w:t>
      </w:r>
      <w:r w:rsidRPr="00A42322">
        <w:rPr>
          <w:rFonts w:ascii="Arial" w:hAnsi="Arial"/>
          <w:bCs/>
        </w:rPr>
        <w:t>:</w:t>
      </w:r>
      <w:r w:rsidR="006729BC" w:rsidRPr="00A42322">
        <w:rPr>
          <w:rFonts w:ascii="Arial" w:hAnsi="Arial"/>
          <w:bCs/>
        </w:rPr>
        <w:t xml:space="preserve"> </w:t>
      </w:r>
      <w:r w:rsidRPr="00A42322">
        <w:rPr>
          <w:rFonts w:ascii="Arial" w:hAnsi="Arial"/>
          <w:bCs/>
        </w:rPr>
        <w:t>e1.</w:t>
      </w:r>
    </w:p>
    <w:p w14:paraId="15C47A60" w14:textId="504AB4DD"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t xml:space="preserve">Martinez FJ, Chisholm A, Collard HR, Flaherty KR, Myers J, Raghu G, </w:t>
      </w:r>
      <w:r w:rsidR="006729BC" w:rsidRPr="00A42322">
        <w:rPr>
          <w:rFonts w:ascii="Arial" w:hAnsi="Arial"/>
          <w:bCs/>
        </w:rPr>
        <w:t xml:space="preserve">Walsh SL, White ES, </w:t>
      </w:r>
      <w:proofErr w:type="spellStart"/>
      <w:r w:rsidR="006729BC" w:rsidRPr="00A42322">
        <w:rPr>
          <w:rFonts w:ascii="Arial" w:hAnsi="Arial"/>
          <w:bCs/>
        </w:rPr>
        <w:t>Richeldi</w:t>
      </w:r>
      <w:proofErr w:type="spellEnd"/>
      <w:r w:rsidR="006729BC" w:rsidRPr="00A42322">
        <w:rPr>
          <w:rFonts w:ascii="Arial" w:hAnsi="Arial"/>
          <w:bCs/>
        </w:rPr>
        <w:t xml:space="preserve"> L.</w:t>
      </w:r>
      <w:r w:rsidRPr="00A42322">
        <w:rPr>
          <w:rFonts w:ascii="Arial" w:hAnsi="Arial"/>
          <w:bCs/>
        </w:rPr>
        <w:t xml:space="preserve"> The diagnosis of idiopathic pulmonary </w:t>
      </w:r>
      <w:r w:rsidRPr="00A42322">
        <w:rPr>
          <w:rFonts w:ascii="Arial" w:hAnsi="Arial"/>
          <w:bCs/>
        </w:rPr>
        <w:lastRenderedPageBreak/>
        <w:t xml:space="preserve">fibrosis: current and future approaches. Lancet </w:t>
      </w:r>
      <w:r w:rsidR="00F46BAE" w:rsidRPr="00A42322">
        <w:rPr>
          <w:rFonts w:ascii="Arial" w:hAnsi="Arial"/>
          <w:bCs/>
        </w:rPr>
        <w:t>Respir Med</w:t>
      </w:r>
      <w:r w:rsidRPr="00A42322">
        <w:rPr>
          <w:rFonts w:ascii="Arial" w:hAnsi="Arial"/>
          <w:bCs/>
        </w:rPr>
        <w:t>. 2017;</w:t>
      </w:r>
      <w:r w:rsidR="006729BC" w:rsidRPr="00A42322">
        <w:rPr>
          <w:rFonts w:ascii="Arial" w:hAnsi="Arial"/>
          <w:bCs/>
        </w:rPr>
        <w:t xml:space="preserve"> 5</w:t>
      </w:r>
      <w:r w:rsidRPr="00A42322">
        <w:rPr>
          <w:rFonts w:ascii="Arial" w:hAnsi="Arial"/>
          <w:bCs/>
        </w:rPr>
        <w:t>:</w:t>
      </w:r>
      <w:r w:rsidR="006729BC" w:rsidRPr="00A42322">
        <w:rPr>
          <w:rFonts w:ascii="Arial" w:hAnsi="Arial"/>
          <w:bCs/>
        </w:rPr>
        <w:t xml:space="preserve"> </w:t>
      </w:r>
      <w:r w:rsidRPr="00A42322">
        <w:rPr>
          <w:rFonts w:ascii="Arial" w:hAnsi="Arial"/>
          <w:bCs/>
        </w:rPr>
        <w:t>61-71.</w:t>
      </w:r>
    </w:p>
    <w:p w14:paraId="2D976FC5" w14:textId="5D0950F5"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t xml:space="preserve">Hewson T, McKeever T, Gibson J, Hubbard R, Hutchinson J. </w:t>
      </w:r>
      <w:r w:rsidR="0008248A" w:rsidRPr="00A42322">
        <w:rPr>
          <w:rFonts w:ascii="Arial" w:hAnsi="Arial"/>
          <w:bCs/>
        </w:rPr>
        <w:t>Timing of onset of symptoms in people with idiopathic pulmonary fibrosis</w:t>
      </w:r>
      <w:r w:rsidRPr="00A42322">
        <w:rPr>
          <w:rFonts w:ascii="Arial" w:hAnsi="Arial"/>
          <w:bCs/>
        </w:rPr>
        <w:t xml:space="preserve">. </w:t>
      </w:r>
      <w:r w:rsidR="0008248A" w:rsidRPr="00A42322">
        <w:rPr>
          <w:rFonts w:ascii="Arial" w:hAnsi="Arial"/>
          <w:bCs/>
        </w:rPr>
        <w:t>Thorax. 2018;</w:t>
      </w:r>
      <w:r w:rsidR="006729BC" w:rsidRPr="00A42322">
        <w:rPr>
          <w:rFonts w:ascii="Arial" w:hAnsi="Arial"/>
          <w:bCs/>
        </w:rPr>
        <w:t xml:space="preserve"> </w:t>
      </w:r>
      <w:r w:rsidR="0008248A" w:rsidRPr="00A42322">
        <w:rPr>
          <w:rFonts w:ascii="Arial" w:hAnsi="Arial"/>
          <w:bCs/>
        </w:rPr>
        <w:t>73:</w:t>
      </w:r>
      <w:r w:rsidR="006729BC" w:rsidRPr="00A42322">
        <w:rPr>
          <w:rFonts w:ascii="Arial" w:hAnsi="Arial"/>
          <w:bCs/>
        </w:rPr>
        <w:t xml:space="preserve"> </w:t>
      </w:r>
      <w:r w:rsidR="0008248A" w:rsidRPr="00A42322">
        <w:rPr>
          <w:rFonts w:ascii="Arial" w:hAnsi="Arial"/>
          <w:bCs/>
        </w:rPr>
        <w:t>683-685</w:t>
      </w:r>
    </w:p>
    <w:p w14:paraId="25A7A991" w14:textId="4973BC91" w:rsidR="004034C1" w:rsidRPr="00A42322" w:rsidRDefault="004034C1" w:rsidP="00306C71">
      <w:pPr>
        <w:pStyle w:val="ListParagraph"/>
        <w:numPr>
          <w:ilvl w:val="0"/>
          <w:numId w:val="36"/>
        </w:numPr>
        <w:spacing w:after="0" w:line="480" w:lineRule="auto"/>
        <w:rPr>
          <w:rFonts w:ascii="Arial" w:hAnsi="Arial"/>
          <w:bCs/>
        </w:rPr>
      </w:pPr>
      <w:proofErr w:type="spellStart"/>
      <w:r w:rsidRPr="00A42322">
        <w:rPr>
          <w:rFonts w:ascii="Arial" w:hAnsi="Arial"/>
          <w:bCs/>
        </w:rPr>
        <w:t>Schoenheit</w:t>
      </w:r>
      <w:proofErr w:type="spellEnd"/>
      <w:r w:rsidRPr="00A42322">
        <w:rPr>
          <w:rFonts w:ascii="Arial" w:hAnsi="Arial"/>
          <w:bCs/>
        </w:rPr>
        <w:t xml:space="preserve"> G, </w:t>
      </w:r>
      <w:proofErr w:type="spellStart"/>
      <w:r w:rsidRPr="00A42322">
        <w:rPr>
          <w:rFonts w:ascii="Arial" w:hAnsi="Arial"/>
          <w:bCs/>
        </w:rPr>
        <w:t>Becattelli</w:t>
      </w:r>
      <w:proofErr w:type="spellEnd"/>
      <w:r w:rsidRPr="00A42322">
        <w:rPr>
          <w:rFonts w:ascii="Arial" w:hAnsi="Arial"/>
          <w:bCs/>
        </w:rPr>
        <w:t xml:space="preserve"> I, Cohen AH. Living with idiopathic pulmonary fibrosis: an in-depth qualitative survey of European patients. </w:t>
      </w:r>
      <w:r w:rsidR="005C3A9C" w:rsidRPr="00A42322">
        <w:rPr>
          <w:rFonts w:ascii="Arial" w:hAnsi="Arial"/>
          <w:bCs/>
        </w:rPr>
        <w:t>Chron Respir Dis</w:t>
      </w:r>
      <w:r w:rsidRPr="00A42322">
        <w:rPr>
          <w:rFonts w:ascii="Arial" w:hAnsi="Arial"/>
          <w:bCs/>
        </w:rPr>
        <w:t>. 2011;</w:t>
      </w:r>
      <w:r w:rsidR="006729BC" w:rsidRPr="00A42322">
        <w:rPr>
          <w:rFonts w:ascii="Arial" w:hAnsi="Arial"/>
          <w:bCs/>
        </w:rPr>
        <w:t xml:space="preserve"> </w:t>
      </w:r>
      <w:r w:rsidRPr="00A42322">
        <w:rPr>
          <w:rFonts w:ascii="Arial" w:hAnsi="Arial"/>
          <w:bCs/>
        </w:rPr>
        <w:t>8:</w:t>
      </w:r>
      <w:r w:rsidR="006729BC" w:rsidRPr="00A42322">
        <w:rPr>
          <w:rFonts w:ascii="Arial" w:hAnsi="Arial"/>
          <w:bCs/>
        </w:rPr>
        <w:t xml:space="preserve"> </w:t>
      </w:r>
      <w:r w:rsidRPr="00A42322">
        <w:rPr>
          <w:rFonts w:ascii="Arial" w:hAnsi="Arial"/>
          <w:bCs/>
        </w:rPr>
        <w:t>225-31.</w:t>
      </w:r>
    </w:p>
    <w:p w14:paraId="2C20E0B7" w14:textId="7A4A5A02"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t xml:space="preserve">Collard HR, Tino G, Noble PW, Shreve MA, Michaels M, Carlson B, et al. Patient experiences with pulmonary fibrosis. </w:t>
      </w:r>
      <w:r w:rsidR="009232B0" w:rsidRPr="00A42322">
        <w:rPr>
          <w:rFonts w:ascii="Arial" w:hAnsi="Arial"/>
          <w:bCs/>
        </w:rPr>
        <w:t xml:space="preserve">Respir </w:t>
      </w:r>
      <w:r w:rsidR="00F46BAE" w:rsidRPr="00A42322">
        <w:rPr>
          <w:rFonts w:ascii="Arial" w:hAnsi="Arial"/>
          <w:bCs/>
        </w:rPr>
        <w:t>Med</w:t>
      </w:r>
      <w:r w:rsidRPr="00A42322">
        <w:rPr>
          <w:rFonts w:ascii="Arial" w:hAnsi="Arial"/>
          <w:bCs/>
        </w:rPr>
        <w:t>. 2007;</w:t>
      </w:r>
      <w:r w:rsidR="006729BC" w:rsidRPr="00A42322">
        <w:rPr>
          <w:rFonts w:ascii="Arial" w:hAnsi="Arial"/>
          <w:bCs/>
        </w:rPr>
        <w:t xml:space="preserve"> </w:t>
      </w:r>
      <w:r w:rsidRPr="00A42322">
        <w:rPr>
          <w:rFonts w:ascii="Arial" w:hAnsi="Arial"/>
          <w:bCs/>
        </w:rPr>
        <w:t>101:</w:t>
      </w:r>
      <w:r w:rsidR="006729BC" w:rsidRPr="00A42322">
        <w:rPr>
          <w:rFonts w:ascii="Arial" w:hAnsi="Arial"/>
          <w:bCs/>
        </w:rPr>
        <w:t xml:space="preserve"> </w:t>
      </w:r>
      <w:r w:rsidRPr="00A42322">
        <w:rPr>
          <w:rFonts w:ascii="Arial" w:hAnsi="Arial"/>
          <w:bCs/>
        </w:rPr>
        <w:t>1350-4.</w:t>
      </w:r>
    </w:p>
    <w:p w14:paraId="04599970" w14:textId="7EF1E382"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t xml:space="preserve">Optimum Patient Care Research Database (OPCRD). </w:t>
      </w:r>
      <w:hyperlink r:id="rId9" w:history="1">
        <w:r w:rsidRPr="00A42322">
          <w:rPr>
            <w:rFonts w:ascii="Arial" w:hAnsi="Arial"/>
            <w:bCs/>
          </w:rPr>
          <w:t>http://optimumpatientcare.org/database-overview/</w:t>
        </w:r>
      </w:hyperlink>
      <w:r w:rsidRPr="00A42322">
        <w:rPr>
          <w:rFonts w:ascii="Arial" w:hAnsi="Arial"/>
          <w:bCs/>
        </w:rPr>
        <w:t xml:space="preserve"> (accessed 7 November 2018).</w:t>
      </w:r>
    </w:p>
    <w:p w14:paraId="7C5FFFB4" w14:textId="12F6AB51" w:rsidR="004034C1" w:rsidRDefault="004034C1" w:rsidP="00306C71">
      <w:pPr>
        <w:pStyle w:val="ListParagraph"/>
        <w:numPr>
          <w:ilvl w:val="0"/>
          <w:numId w:val="36"/>
        </w:numPr>
        <w:spacing w:after="0" w:line="480" w:lineRule="auto"/>
        <w:rPr>
          <w:rFonts w:ascii="Arial" w:hAnsi="Arial"/>
          <w:bCs/>
        </w:rPr>
      </w:pPr>
      <w:r w:rsidRPr="00A42322">
        <w:rPr>
          <w:rFonts w:ascii="Arial" w:hAnsi="Arial"/>
          <w:bCs/>
        </w:rPr>
        <w:t xml:space="preserve">The European Union electronic Register of Post-Authorisation Studies (EU PAS Register). </w:t>
      </w:r>
      <w:hyperlink r:id="rId10" w:history="1">
        <w:r w:rsidRPr="00A42322">
          <w:rPr>
            <w:rFonts w:ascii="Arial" w:hAnsi="Arial"/>
            <w:bCs/>
          </w:rPr>
          <w:t>http://www.encepp.eu/encepp/studiesDatabase.jsp</w:t>
        </w:r>
      </w:hyperlink>
      <w:r w:rsidRPr="00A42322">
        <w:rPr>
          <w:rFonts w:ascii="Arial" w:hAnsi="Arial"/>
          <w:bCs/>
        </w:rPr>
        <w:t>. (accessed 7 November 2018).</w:t>
      </w:r>
    </w:p>
    <w:p w14:paraId="1C16FD79" w14:textId="01743F97" w:rsidR="00A24224" w:rsidRPr="00A42322" w:rsidRDefault="00A24224" w:rsidP="00306C71">
      <w:pPr>
        <w:pStyle w:val="ListParagraph"/>
        <w:numPr>
          <w:ilvl w:val="0"/>
          <w:numId w:val="36"/>
        </w:numPr>
        <w:spacing w:after="0" w:line="480" w:lineRule="auto"/>
        <w:rPr>
          <w:rFonts w:ascii="Arial" w:hAnsi="Arial"/>
          <w:bCs/>
        </w:rPr>
      </w:pPr>
      <w:r>
        <w:rPr>
          <w:rFonts w:ascii="Arial" w:hAnsi="Arial"/>
          <w:bCs/>
        </w:rPr>
        <w:t xml:space="preserve">Kim HJ, Fay MP, Feuer EJ, </w:t>
      </w:r>
      <w:proofErr w:type="spellStart"/>
      <w:r>
        <w:rPr>
          <w:rFonts w:ascii="Arial" w:hAnsi="Arial"/>
          <w:bCs/>
        </w:rPr>
        <w:t>Midthune</w:t>
      </w:r>
      <w:proofErr w:type="spellEnd"/>
      <w:r>
        <w:rPr>
          <w:rFonts w:ascii="Arial" w:hAnsi="Arial"/>
          <w:bCs/>
        </w:rPr>
        <w:t xml:space="preserve"> DN</w:t>
      </w:r>
      <w:r w:rsidR="00890D3E">
        <w:rPr>
          <w:rFonts w:ascii="Arial" w:hAnsi="Arial"/>
          <w:bCs/>
        </w:rPr>
        <w:t xml:space="preserve">. </w:t>
      </w:r>
      <w:r w:rsidR="00890D3E" w:rsidRPr="00890D3E">
        <w:rPr>
          <w:rFonts w:ascii="Arial" w:hAnsi="Arial"/>
          <w:bCs/>
        </w:rPr>
        <w:t xml:space="preserve">Permutation tests for </w:t>
      </w:r>
      <w:proofErr w:type="spellStart"/>
      <w:r w:rsidR="00890D3E" w:rsidRPr="00890D3E">
        <w:rPr>
          <w:rFonts w:ascii="Arial" w:hAnsi="Arial"/>
          <w:bCs/>
        </w:rPr>
        <w:t>joinpoint</w:t>
      </w:r>
      <w:proofErr w:type="spellEnd"/>
      <w:r w:rsidR="00890D3E" w:rsidRPr="00890D3E">
        <w:rPr>
          <w:rFonts w:ascii="Arial" w:hAnsi="Arial"/>
          <w:bCs/>
        </w:rPr>
        <w:t xml:space="preserve"> regression with applications to cancer rates</w:t>
      </w:r>
      <w:r w:rsidR="00890D3E">
        <w:rPr>
          <w:rFonts w:ascii="Arial" w:hAnsi="Arial"/>
          <w:bCs/>
        </w:rPr>
        <w:t xml:space="preserve">. </w:t>
      </w:r>
      <w:r w:rsidR="00304BD2">
        <w:rPr>
          <w:rFonts w:ascii="Arial" w:hAnsi="Arial"/>
          <w:bCs/>
        </w:rPr>
        <w:t>Stati</w:t>
      </w:r>
      <w:r w:rsidR="00196DBA">
        <w:rPr>
          <w:rFonts w:ascii="Arial" w:hAnsi="Arial"/>
          <w:bCs/>
        </w:rPr>
        <w:t>stics in Medicine</w:t>
      </w:r>
      <w:r w:rsidR="00BA5068">
        <w:rPr>
          <w:rFonts w:ascii="Arial" w:hAnsi="Arial"/>
          <w:bCs/>
        </w:rPr>
        <w:t>. 2000; 19: 3.</w:t>
      </w:r>
    </w:p>
    <w:p w14:paraId="09E18811" w14:textId="78EBAD83" w:rsidR="004034C1" w:rsidRPr="00A42322" w:rsidRDefault="004034C1" w:rsidP="00306C71">
      <w:pPr>
        <w:pStyle w:val="ListParagraph"/>
        <w:numPr>
          <w:ilvl w:val="0"/>
          <w:numId w:val="36"/>
        </w:numPr>
        <w:spacing w:after="0" w:line="480" w:lineRule="auto"/>
        <w:rPr>
          <w:rFonts w:ascii="Arial" w:hAnsi="Arial"/>
          <w:bCs/>
        </w:rPr>
      </w:pPr>
      <w:r w:rsidRPr="00A42322">
        <w:rPr>
          <w:rFonts w:ascii="Arial" w:hAnsi="Arial"/>
          <w:bCs/>
        </w:rPr>
        <w:t xml:space="preserve">Jones RC, Price D, Ryan D, Sims EJ, von </w:t>
      </w:r>
      <w:proofErr w:type="spellStart"/>
      <w:r w:rsidRPr="00A42322">
        <w:rPr>
          <w:rFonts w:ascii="Arial" w:hAnsi="Arial"/>
          <w:bCs/>
        </w:rPr>
        <w:t>Ziegenweidt</w:t>
      </w:r>
      <w:proofErr w:type="spellEnd"/>
      <w:r w:rsidRPr="00A42322">
        <w:rPr>
          <w:rFonts w:ascii="Arial" w:hAnsi="Arial"/>
          <w:bCs/>
        </w:rPr>
        <w:t xml:space="preserve"> J, </w:t>
      </w:r>
      <w:proofErr w:type="spellStart"/>
      <w:r w:rsidRPr="00A42322">
        <w:rPr>
          <w:rFonts w:ascii="Arial" w:hAnsi="Arial"/>
          <w:bCs/>
        </w:rPr>
        <w:t>Mascarenhas</w:t>
      </w:r>
      <w:proofErr w:type="spellEnd"/>
      <w:r w:rsidRPr="00A42322">
        <w:rPr>
          <w:rFonts w:ascii="Arial" w:hAnsi="Arial"/>
          <w:bCs/>
        </w:rPr>
        <w:t xml:space="preserve"> L, </w:t>
      </w:r>
      <w:r w:rsidR="006729BC" w:rsidRPr="00A42322">
        <w:rPr>
          <w:rFonts w:ascii="Arial" w:hAnsi="Arial"/>
          <w:bCs/>
        </w:rPr>
        <w:t xml:space="preserve">Burden A, Halpin DM, Winter R, Hill S, Kearney M, Holton K, </w:t>
      </w:r>
      <w:proofErr w:type="spellStart"/>
      <w:r w:rsidR="006729BC" w:rsidRPr="00A42322">
        <w:rPr>
          <w:rFonts w:ascii="Arial" w:hAnsi="Arial"/>
          <w:bCs/>
        </w:rPr>
        <w:t>Moger</w:t>
      </w:r>
      <w:proofErr w:type="spellEnd"/>
      <w:r w:rsidR="006729BC" w:rsidRPr="00A42322">
        <w:rPr>
          <w:rFonts w:ascii="Arial" w:hAnsi="Arial"/>
          <w:bCs/>
        </w:rPr>
        <w:t xml:space="preserve"> A, Freeman D, Chisholm A, Bateman ED</w:t>
      </w:r>
      <w:r w:rsidRPr="00A42322">
        <w:rPr>
          <w:rFonts w:ascii="Arial" w:hAnsi="Arial"/>
          <w:bCs/>
        </w:rPr>
        <w:t xml:space="preserve">. Opportunities to diagnose chronic obstructive pulmonary disease in routine care in the UK: a retrospective study of a clinical cohort. Lancet </w:t>
      </w:r>
      <w:r w:rsidR="00F46BAE" w:rsidRPr="00A42322">
        <w:rPr>
          <w:rFonts w:ascii="Arial" w:hAnsi="Arial"/>
          <w:bCs/>
        </w:rPr>
        <w:t>Respir Med</w:t>
      </w:r>
      <w:r w:rsidRPr="00A42322">
        <w:rPr>
          <w:rFonts w:ascii="Arial" w:hAnsi="Arial"/>
          <w:bCs/>
        </w:rPr>
        <w:t>. 2014;</w:t>
      </w:r>
      <w:r w:rsidR="006729BC" w:rsidRPr="00A42322">
        <w:rPr>
          <w:rFonts w:ascii="Arial" w:hAnsi="Arial"/>
          <w:bCs/>
        </w:rPr>
        <w:t xml:space="preserve"> 2</w:t>
      </w:r>
      <w:r w:rsidRPr="00A42322">
        <w:rPr>
          <w:rFonts w:ascii="Arial" w:hAnsi="Arial"/>
          <w:bCs/>
        </w:rPr>
        <w:t>:</w:t>
      </w:r>
      <w:r w:rsidR="006729BC" w:rsidRPr="00A42322">
        <w:rPr>
          <w:rFonts w:ascii="Arial" w:hAnsi="Arial"/>
          <w:bCs/>
        </w:rPr>
        <w:t xml:space="preserve"> </w:t>
      </w:r>
      <w:r w:rsidRPr="00A42322">
        <w:rPr>
          <w:rFonts w:ascii="Arial" w:hAnsi="Arial"/>
          <w:bCs/>
        </w:rPr>
        <w:t>267-76.</w:t>
      </w:r>
    </w:p>
    <w:p w14:paraId="285B2ED3" w14:textId="5095B0BB" w:rsidR="00BA12BB" w:rsidRPr="00A42322" w:rsidRDefault="004034C1" w:rsidP="007A02DF">
      <w:pPr>
        <w:pStyle w:val="ListParagraph"/>
        <w:numPr>
          <w:ilvl w:val="0"/>
          <w:numId w:val="36"/>
        </w:numPr>
        <w:spacing w:after="0" w:line="480" w:lineRule="auto"/>
        <w:rPr>
          <w:rFonts w:cs="Arial"/>
          <w:bCs/>
          <w:sz w:val="22"/>
          <w:szCs w:val="22"/>
        </w:rPr>
      </w:pPr>
      <w:r w:rsidRPr="00A42322">
        <w:rPr>
          <w:rFonts w:ascii="Arial" w:hAnsi="Arial"/>
          <w:bCs/>
        </w:rPr>
        <w:lastRenderedPageBreak/>
        <w:t xml:space="preserve">Maher TM, </w:t>
      </w:r>
      <w:proofErr w:type="spellStart"/>
      <w:r w:rsidRPr="00A42322">
        <w:rPr>
          <w:rFonts w:ascii="Arial" w:hAnsi="Arial"/>
          <w:bCs/>
        </w:rPr>
        <w:t>Oballa</w:t>
      </w:r>
      <w:proofErr w:type="spellEnd"/>
      <w:r w:rsidRPr="00A42322">
        <w:rPr>
          <w:rFonts w:ascii="Arial" w:hAnsi="Arial"/>
          <w:bCs/>
        </w:rPr>
        <w:t xml:space="preserve"> E, Simpson JK, Porte J, </w:t>
      </w:r>
      <w:proofErr w:type="spellStart"/>
      <w:r w:rsidRPr="00A42322">
        <w:rPr>
          <w:rFonts w:ascii="Arial" w:hAnsi="Arial"/>
          <w:bCs/>
        </w:rPr>
        <w:t>Habgood</w:t>
      </w:r>
      <w:proofErr w:type="spellEnd"/>
      <w:r w:rsidRPr="00A42322">
        <w:rPr>
          <w:rFonts w:ascii="Arial" w:hAnsi="Arial"/>
          <w:bCs/>
        </w:rPr>
        <w:t xml:space="preserve"> A, Fahy WA, </w:t>
      </w:r>
      <w:r w:rsidR="006729BC" w:rsidRPr="00A42322">
        <w:rPr>
          <w:rFonts w:ascii="Arial" w:hAnsi="Arial"/>
          <w:bCs/>
        </w:rPr>
        <w:t xml:space="preserve">Flynn A, </w:t>
      </w:r>
      <w:proofErr w:type="spellStart"/>
      <w:r w:rsidR="006729BC" w:rsidRPr="00A42322">
        <w:rPr>
          <w:rFonts w:ascii="Arial" w:hAnsi="Arial"/>
          <w:bCs/>
        </w:rPr>
        <w:t>Molyneaux</w:t>
      </w:r>
      <w:proofErr w:type="spellEnd"/>
      <w:r w:rsidR="006729BC" w:rsidRPr="00A42322">
        <w:rPr>
          <w:rFonts w:ascii="Arial" w:hAnsi="Arial"/>
          <w:bCs/>
        </w:rPr>
        <w:t xml:space="preserve"> PL, </w:t>
      </w:r>
      <w:proofErr w:type="spellStart"/>
      <w:r w:rsidR="006729BC" w:rsidRPr="00A42322">
        <w:rPr>
          <w:rFonts w:ascii="Arial" w:hAnsi="Arial"/>
          <w:bCs/>
        </w:rPr>
        <w:t>Braybrooke</w:t>
      </w:r>
      <w:proofErr w:type="spellEnd"/>
      <w:r w:rsidR="006729BC" w:rsidRPr="00A42322">
        <w:rPr>
          <w:rFonts w:ascii="Arial" w:hAnsi="Arial"/>
          <w:bCs/>
        </w:rPr>
        <w:t xml:space="preserve"> R, </w:t>
      </w:r>
      <w:proofErr w:type="spellStart"/>
      <w:r w:rsidR="006729BC" w:rsidRPr="00A42322">
        <w:rPr>
          <w:rFonts w:ascii="Arial" w:hAnsi="Arial"/>
          <w:bCs/>
        </w:rPr>
        <w:t>Divyateja</w:t>
      </w:r>
      <w:proofErr w:type="spellEnd"/>
      <w:r w:rsidR="006729BC" w:rsidRPr="00A42322">
        <w:rPr>
          <w:rFonts w:ascii="Arial" w:hAnsi="Arial"/>
          <w:bCs/>
        </w:rPr>
        <w:t xml:space="preserve"> H, </w:t>
      </w:r>
      <w:proofErr w:type="spellStart"/>
      <w:r w:rsidR="006729BC" w:rsidRPr="00A42322">
        <w:rPr>
          <w:rFonts w:ascii="Arial" w:hAnsi="Arial"/>
          <w:bCs/>
        </w:rPr>
        <w:t>Parfrey</w:t>
      </w:r>
      <w:proofErr w:type="spellEnd"/>
      <w:r w:rsidR="006729BC" w:rsidRPr="00A42322">
        <w:rPr>
          <w:rFonts w:ascii="Arial" w:hAnsi="Arial"/>
          <w:bCs/>
        </w:rPr>
        <w:t xml:space="preserve"> H, </w:t>
      </w:r>
      <w:proofErr w:type="spellStart"/>
      <w:r w:rsidR="006729BC" w:rsidRPr="00A42322">
        <w:rPr>
          <w:rFonts w:ascii="Arial" w:hAnsi="Arial"/>
          <w:bCs/>
        </w:rPr>
        <w:t>Rassi</w:t>
      </w:r>
      <w:proofErr w:type="spellEnd"/>
      <w:r w:rsidR="006729BC" w:rsidRPr="00A42322">
        <w:rPr>
          <w:rFonts w:ascii="Arial" w:hAnsi="Arial"/>
          <w:bCs/>
        </w:rPr>
        <w:t xml:space="preserve"> D, Russel AM, Saini G, </w:t>
      </w:r>
      <w:proofErr w:type="spellStart"/>
      <w:r w:rsidR="006729BC" w:rsidRPr="00A42322">
        <w:rPr>
          <w:rFonts w:ascii="Arial" w:hAnsi="Arial"/>
          <w:bCs/>
        </w:rPr>
        <w:t>Renzoni</w:t>
      </w:r>
      <w:proofErr w:type="spellEnd"/>
      <w:r w:rsidR="006729BC" w:rsidRPr="00A42322">
        <w:rPr>
          <w:rFonts w:ascii="Arial" w:hAnsi="Arial"/>
          <w:bCs/>
        </w:rPr>
        <w:t xml:space="preserve"> EA, Duggan AM, Hubbard R, Wells AU, </w:t>
      </w:r>
      <w:proofErr w:type="spellStart"/>
      <w:r w:rsidR="006729BC" w:rsidRPr="00A42322">
        <w:rPr>
          <w:rFonts w:ascii="Arial" w:hAnsi="Arial"/>
          <w:bCs/>
        </w:rPr>
        <w:t>Lukey</w:t>
      </w:r>
      <w:proofErr w:type="spellEnd"/>
      <w:r w:rsidR="006729BC" w:rsidRPr="00A42322">
        <w:rPr>
          <w:rFonts w:ascii="Arial" w:hAnsi="Arial"/>
          <w:bCs/>
        </w:rPr>
        <w:t xml:space="preserve"> PT, Marshall RP, Jenkins </w:t>
      </w:r>
      <w:proofErr w:type="spellStart"/>
      <w:r w:rsidR="006729BC" w:rsidRPr="00A42322">
        <w:rPr>
          <w:rFonts w:ascii="Arial" w:hAnsi="Arial"/>
          <w:bCs/>
        </w:rPr>
        <w:t>RG</w:t>
      </w:r>
      <w:r w:rsidRPr="00A42322">
        <w:rPr>
          <w:rFonts w:ascii="Arial" w:hAnsi="Arial"/>
          <w:bCs/>
        </w:rPr>
        <w:t>l</w:t>
      </w:r>
      <w:proofErr w:type="spellEnd"/>
      <w:r w:rsidRPr="00A42322">
        <w:rPr>
          <w:rFonts w:ascii="Arial" w:hAnsi="Arial"/>
          <w:bCs/>
        </w:rPr>
        <w:t xml:space="preserve">. An epithelial biomarker signature for idiopathic pulmonary fibrosis: an analysis from the multicentre PROFILE cohort study. Lancet </w:t>
      </w:r>
      <w:r w:rsidR="00F46BAE" w:rsidRPr="00A42322">
        <w:rPr>
          <w:rFonts w:ascii="Arial" w:hAnsi="Arial"/>
          <w:bCs/>
        </w:rPr>
        <w:t>Respir Med</w:t>
      </w:r>
      <w:r w:rsidRPr="00A42322">
        <w:rPr>
          <w:rFonts w:ascii="Arial" w:hAnsi="Arial"/>
          <w:bCs/>
        </w:rPr>
        <w:t>. 2017;</w:t>
      </w:r>
      <w:r w:rsidR="006729BC" w:rsidRPr="00A42322">
        <w:rPr>
          <w:rFonts w:ascii="Arial" w:hAnsi="Arial"/>
          <w:bCs/>
        </w:rPr>
        <w:t xml:space="preserve"> </w:t>
      </w:r>
      <w:r w:rsidRPr="00A42322">
        <w:rPr>
          <w:rFonts w:ascii="Arial" w:hAnsi="Arial"/>
          <w:bCs/>
        </w:rPr>
        <w:t>5:</w:t>
      </w:r>
      <w:r w:rsidR="006729BC" w:rsidRPr="00A42322">
        <w:rPr>
          <w:rFonts w:ascii="Arial" w:hAnsi="Arial"/>
          <w:bCs/>
        </w:rPr>
        <w:t xml:space="preserve"> </w:t>
      </w:r>
      <w:r w:rsidRPr="00A42322">
        <w:rPr>
          <w:rFonts w:ascii="Arial" w:hAnsi="Arial"/>
          <w:bCs/>
        </w:rPr>
        <w:t>946-55.</w:t>
      </w:r>
    </w:p>
    <w:p w14:paraId="4D20219A" w14:textId="7DB17E08" w:rsidR="0086644E" w:rsidRPr="00A42322" w:rsidRDefault="00BA12BB">
      <w:pPr>
        <w:rPr>
          <w:rFonts w:ascii="Arial" w:hAnsi="Arial" w:cs="Arial"/>
          <w:bCs/>
          <w:sz w:val="22"/>
          <w:szCs w:val="22"/>
        </w:rPr>
      </w:pPr>
      <w:r w:rsidRPr="00A42322">
        <w:rPr>
          <w:rFonts w:ascii="Arial" w:hAnsi="Arial" w:cs="Arial"/>
          <w:bCs/>
          <w:sz w:val="22"/>
          <w:szCs w:val="22"/>
        </w:rPr>
        <w:br w:type="page"/>
      </w:r>
    </w:p>
    <w:p w14:paraId="6639EA69" w14:textId="19A9DBFD" w:rsidR="00612EB3" w:rsidRPr="00DD62B0" w:rsidRDefault="000C2679">
      <w:pPr>
        <w:tabs>
          <w:tab w:val="num" w:pos="2160"/>
        </w:tabs>
        <w:spacing w:line="480" w:lineRule="auto"/>
        <w:rPr>
          <w:rFonts w:ascii="Arial" w:hAnsi="Arial" w:cs="Arial"/>
          <w:b/>
        </w:rPr>
      </w:pPr>
      <w:r w:rsidRPr="00DD62B0">
        <w:rPr>
          <w:rFonts w:ascii="Arial" w:hAnsi="Arial" w:cs="Arial"/>
          <w:b/>
        </w:rPr>
        <w:lastRenderedPageBreak/>
        <w:t>FIGURE LEGENDS</w:t>
      </w:r>
    </w:p>
    <w:p w14:paraId="7277D02A" w14:textId="77777777" w:rsidR="00612EB3" w:rsidRPr="00DB11A6" w:rsidRDefault="00612EB3">
      <w:pPr>
        <w:tabs>
          <w:tab w:val="num" w:pos="2160"/>
        </w:tabs>
        <w:spacing w:line="480" w:lineRule="auto"/>
        <w:rPr>
          <w:rFonts w:ascii="Arial" w:hAnsi="Arial" w:cs="Arial"/>
          <w:bCs/>
        </w:rPr>
      </w:pPr>
    </w:p>
    <w:p w14:paraId="354A8E87" w14:textId="77777777" w:rsidR="00A31548" w:rsidRPr="00DB11A6" w:rsidRDefault="0086644E" w:rsidP="00DD62B0">
      <w:pPr>
        <w:tabs>
          <w:tab w:val="num" w:pos="2160"/>
        </w:tabs>
        <w:spacing w:line="480" w:lineRule="auto"/>
        <w:rPr>
          <w:rFonts w:ascii="Arial" w:hAnsi="Arial" w:cs="Arial"/>
          <w:bCs/>
        </w:rPr>
      </w:pPr>
      <w:r w:rsidRPr="00DB11A6">
        <w:rPr>
          <w:rFonts w:ascii="Arial" w:hAnsi="Arial" w:cs="Arial"/>
          <w:b/>
        </w:rPr>
        <w:t>Fig</w:t>
      </w:r>
      <w:r w:rsidR="00741695" w:rsidRPr="00DB11A6">
        <w:rPr>
          <w:rFonts w:ascii="Arial" w:hAnsi="Arial" w:cs="Arial"/>
          <w:b/>
        </w:rPr>
        <w:t>ure</w:t>
      </w:r>
      <w:r w:rsidRPr="00DB11A6">
        <w:rPr>
          <w:rFonts w:ascii="Arial" w:hAnsi="Arial" w:cs="Arial"/>
          <w:b/>
        </w:rPr>
        <w:t xml:space="preserve"> 1. Pulmonary fibrosis clinical syndrome (PFCS) eligibility flow diagram</w:t>
      </w:r>
      <w:r w:rsidR="006729BC" w:rsidRPr="00DB11A6">
        <w:rPr>
          <w:rFonts w:ascii="Arial" w:hAnsi="Arial" w:cs="Arial"/>
          <w:b/>
        </w:rPr>
        <w:t>.</w:t>
      </w:r>
      <w:r w:rsidR="006729BC" w:rsidRPr="00DB11A6">
        <w:rPr>
          <w:rFonts w:ascii="Arial" w:hAnsi="Arial" w:cs="Arial"/>
          <w:bCs/>
        </w:rPr>
        <w:t xml:space="preserve"> </w:t>
      </w:r>
    </w:p>
    <w:p w14:paraId="3BE1EC31" w14:textId="680C273F" w:rsidR="006729BC" w:rsidRPr="00DB11A6" w:rsidRDefault="007B582B" w:rsidP="00DD62B0">
      <w:pPr>
        <w:tabs>
          <w:tab w:val="num" w:pos="2160"/>
        </w:tabs>
        <w:spacing w:line="480" w:lineRule="auto"/>
        <w:rPr>
          <w:rFonts w:ascii="Arial" w:hAnsi="Arial" w:cs="Arial"/>
          <w:bCs/>
        </w:rPr>
      </w:pPr>
      <w:r w:rsidRPr="00DB11A6">
        <w:rPr>
          <w:rFonts w:ascii="Arial" w:hAnsi="Arial" w:cs="Arial"/>
          <w:bCs/>
        </w:rPr>
        <w:t>OPCRD: Optimum Patient Care Research Database; CTD: connective tissue disease; RA: rheumatoid arthritis</w:t>
      </w:r>
    </w:p>
    <w:p w14:paraId="42EFC232" w14:textId="77777777" w:rsidR="006729BC" w:rsidRPr="00DB11A6" w:rsidRDefault="006729BC" w:rsidP="00DD62B0">
      <w:pPr>
        <w:tabs>
          <w:tab w:val="num" w:pos="2160"/>
        </w:tabs>
        <w:spacing w:line="480" w:lineRule="auto"/>
        <w:rPr>
          <w:rFonts w:ascii="Arial" w:hAnsi="Arial" w:cs="Arial"/>
          <w:bCs/>
        </w:rPr>
      </w:pPr>
    </w:p>
    <w:p w14:paraId="5B4F1BEE" w14:textId="77777777" w:rsidR="00A31548" w:rsidRPr="00DB11A6" w:rsidRDefault="0086644E" w:rsidP="00DD62B0">
      <w:pPr>
        <w:spacing w:line="480" w:lineRule="auto"/>
        <w:rPr>
          <w:rFonts w:ascii="Arial" w:hAnsi="Arial" w:cs="Arial"/>
          <w:b/>
        </w:rPr>
      </w:pPr>
      <w:r w:rsidRPr="00DB11A6">
        <w:rPr>
          <w:rFonts w:ascii="Arial" w:hAnsi="Arial" w:cs="Arial"/>
          <w:b/>
        </w:rPr>
        <w:t>Fig</w:t>
      </w:r>
      <w:r w:rsidR="00741695" w:rsidRPr="00DB11A6">
        <w:rPr>
          <w:rFonts w:ascii="Arial" w:hAnsi="Arial" w:cs="Arial"/>
          <w:b/>
        </w:rPr>
        <w:t>ure</w:t>
      </w:r>
      <w:r w:rsidRPr="00DB11A6">
        <w:rPr>
          <w:rFonts w:ascii="Arial" w:hAnsi="Arial" w:cs="Arial"/>
          <w:b/>
        </w:rPr>
        <w:t xml:space="preserve"> 2. </w:t>
      </w:r>
      <w:proofErr w:type="spellStart"/>
      <w:r w:rsidR="007526A3" w:rsidRPr="00DB11A6">
        <w:rPr>
          <w:rFonts w:ascii="Arial" w:hAnsi="Arial" w:cs="Arial"/>
          <w:b/>
        </w:rPr>
        <w:t>Joinpoint</w:t>
      </w:r>
      <w:proofErr w:type="spellEnd"/>
      <w:r w:rsidR="007526A3" w:rsidRPr="00DB11A6">
        <w:rPr>
          <w:rFonts w:ascii="Arial" w:hAnsi="Arial" w:cs="Arial"/>
          <w:b/>
        </w:rPr>
        <w:t xml:space="preserve"> regression analysis of cough-related events over 10 years prior to PFCS diagnosis.</w:t>
      </w:r>
    </w:p>
    <w:p w14:paraId="3EA4A1DA" w14:textId="4B59CCC4" w:rsidR="0086644E" w:rsidRPr="00DB11A6" w:rsidRDefault="00E0239B" w:rsidP="00DD62B0">
      <w:pPr>
        <w:spacing w:line="480" w:lineRule="auto"/>
        <w:rPr>
          <w:rFonts w:ascii="Arial" w:hAnsi="Arial" w:cs="Arial"/>
          <w:bCs/>
        </w:rPr>
      </w:pPr>
      <w:r w:rsidRPr="00DB11A6">
        <w:rPr>
          <w:rFonts w:ascii="Arial" w:hAnsi="Arial" w:cs="Arial"/>
          <w:bCs/>
        </w:rPr>
        <w:t xml:space="preserve">APC: annual percent change; </w:t>
      </w:r>
      <w:proofErr w:type="spellStart"/>
      <w:r w:rsidRPr="00DB11A6">
        <w:rPr>
          <w:rFonts w:ascii="Arial" w:hAnsi="Arial" w:cs="Arial"/>
          <w:bCs/>
        </w:rPr>
        <w:t>Joinpoint</w:t>
      </w:r>
      <w:proofErr w:type="spellEnd"/>
      <w:r w:rsidRPr="00DB11A6">
        <w:rPr>
          <w:rFonts w:ascii="Arial" w:hAnsi="Arial" w:cs="Arial"/>
          <w:bCs/>
        </w:rPr>
        <w:t xml:space="preserve">: point of change in regression trends; </w:t>
      </w:r>
      <w:proofErr w:type="spellStart"/>
      <w:r w:rsidRPr="00DB11A6">
        <w:rPr>
          <w:rFonts w:ascii="Arial" w:hAnsi="Arial" w:cs="Arial"/>
          <w:bCs/>
        </w:rPr>
        <w:t>pppy</w:t>
      </w:r>
      <w:proofErr w:type="spellEnd"/>
      <w:r w:rsidRPr="00DB11A6">
        <w:rPr>
          <w:rFonts w:ascii="Arial" w:hAnsi="Arial" w:cs="Arial"/>
          <w:bCs/>
        </w:rPr>
        <w:t>: per patient per year; PFCS: pulmonary fibrosis clinical syndrome; Number of patients with non-missing data in year 10 to year 1 prior to PFCS diagnosis: 1474, 1533, 1598, 1686, 1772, 1861, 1944, 2019, 2087, 2223; Mean pre-observation period: 8 years.</w:t>
      </w:r>
    </w:p>
    <w:p w14:paraId="4F1153CE" w14:textId="77777777" w:rsidR="00E0239B" w:rsidRPr="00DB11A6" w:rsidRDefault="00E0239B" w:rsidP="00DD62B0">
      <w:pPr>
        <w:spacing w:line="480" w:lineRule="auto"/>
        <w:rPr>
          <w:rFonts w:ascii="Arial" w:hAnsi="Arial" w:cs="Arial"/>
          <w:bCs/>
        </w:rPr>
      </w:pPr>
    </w:p>
    <w:p w14:paraId="03CEA963" w14:textId="77777777" w:rsidR="00367A3D" w:rsidRPr="00DB11A6" w:rsidRDefault="0086644E" w:rsidP="00DD62B0">
      <w:pPr>
        <w:spacing w:line="480" w:lineRule="auto"/>
        <w:rPr>
          <w:rFonts w:ascii="Arial" w:hAnsi="Arial" w:cs="Arial"/>
          <w:b/>
        </w:rPr>
      </w:pPr>
      <w:r w:rsidRPr="00DB11A6">
        <w:rPr>
          <w:rFonts w:ascii="Arial" w:hAnsi="Arial" w:cs="Arial"/>
          <w:b/>
        </w:rPr>
        <w:t>Fig</w:t>
      </w:r>
      <w:r w:rsidR="00741695" w:rsidRPr="00DB11A6">
        <w:rPr>
          <w:rFonts w:ascii="Arial" w:hAnsi="Arial" w:cs="Arial"/>
          <w:b/>
        </w:rPr>
        <w:t>ure</w:t>
      </w:r>
      <w:r w:rsidRPr="00DB11A6">
        <w:rPr>
          <w:rFonts w:ascii="Arial" w:hAnsi="Arial" w:cs="Arial"/>
          <w:b/>
        </w:rPr>
        <w:t xml:space="preserve"> 3. </w:t>
      </w:r>
      <w:proofErr w:type="spellStart"/>
      <w:r w:rsidR="00367A3D" w:rsidRPr="00DB11A6">
        <w:rPr>
          <w:rFonts w:ascii="Arial" w:hAnsi="Arial" w:cs="Arial"/>
          <w:b/>
        </w:rPr>
        <w:t>Joinpoint</w:t>
      </w:r>
      <w:proofErr w:type="spellEnd"/>
      <w:r w:rsidR="00367A3D" w:rsidRPr="00DB11A6">
        <w:rPr>
          <w:rFonts w:ascii="Arial" w:hAnsi="Arial" w:cs="Arial"/>
          <w:b/>
        </w:rPr>
        <w:t xml:space="preserve"> regression analysis of temporal HRU trends over 10 years prior to PFCS diagnosis.</w:t>
      </w:r>
    </w:p>
    <w:p w14:paraId="4FC4FDD1" w14:textId="2DCF577B" w:rsidR="0086644E" w:rsidRPr="00DB11A6" w:rsidRDefault="00DC0484" w:rsidP="00DD62B0">
      <w:pPr>
        <w:spacing w:line="480" w:lineRule="auto"/>
        <w:rPr>
          <w:rFonts w:ascii="Arial" w:hAnsi="Arial" w:cs="Arial"/>
          <w:bCs/>
        </w:rPr>
      </w:pPr>
      <w:r w:rsidRPr="00DB11A6">
        <w:rPr>
          <w:rFonts w:ascii="Arial" w:hAnsi="Arial" w:cs="Arial"/>
          <w:bCs/>
        </w:rPr>
        <w:t xml:space="preserve">Temporal HRU trends in the 10 years prior to PFCS diagnosis for A) lower respiratory (LR) consultations, B) acute antibiotic prescriptions, C), acute steroid prescriptions, D) LR hospital contacts, and E) chest X-rays. APC: annual percent change; </w:t>
      </w:r>
      <w:proofErr w:type="spellStart"/>
      <w:r w:rsidRPr="00DB11A6">
        <w:rPr>
          <w:rFonts w:ascii="Arial" w:hAnsi="Arial" w:cs="Arial"/>
          <w:bCs/>
        </w:rPr>
        <w:t>Joinpoint</w:t>
      </w:r>
      <w:proofErr w:type="spellEnd"/>
      <w:r w:rsidRPr="00DB11A6">
        <w:rPr>
          <w:rFonts w:ascii="Arial" w:hAnsi="Arial" w:cs="Arial"/>
          <w:bCs/>
        </w:rPr>
        <w:t xml:space="preserve">: point of change in regression trends; </w:t>
      </w:r>
      <w:proofErr w:type="spellStart"/>
      <w:r w:rsidRPr="00DB11A6">
        <w:rPr>
          <w:rFonts w:ascii="Arial" w:hAnsi="Arial" w:cs="Arial"/>
          <w:bCs/>
        </w:rPr>
        <w:t>pppy</w:t>
      </w:r>
      <w:proofErr w:type="spellEnd"/>
      <w:r w:rsidRPr="00DB11A6">
        <w:rPr>
          <w:rFonts w:ascii="Arial" w:hAnsi="Arial" w:cs="Arial"/>
          <w:bCs/>
        </w:rPr>
        <w:t>: per patient per year; PFCS: pulmonary fibrosis clinical syndrome; Number of patients with non-missing data in year 10 to year 1 prior to PFCS diagnosis: 1474, 1533, 1598, 1686, 1772, 1861, 1944, 2019, 2087, 2223; mean pre-observation period: 8 years.</w:t>
      </w:r>
    </w:p>
    <w:p w14:paraId="5C97A111" w14:textId="77777777" w:rsidR="006D1FBE" w:rsidRPr="00DB11A6" w:rsidRDefault="0086644E" w:rsidP="00DD62B0">
      <w:pPr>
        <w:spacing w:line="480" w:lineRule="auto"/>
        <w:rPr>
          <w:rFonts w:ascii="Arial" w:hAnsi="Arial" w:cs="Arial"/>
          <w:bCs/>
        </w:rPr>
      </w:pPr>
      <w:r w:rsidRPr="00DB11A6">
        <w:rPr>
          <w:rFonts w:ascii="Arial" w:hAnsi="Arial" w:cs="Arial"/>
          <w:b/>
        </w:rPr>
        <w:lastRenderedPageBreak/>
        <w:t>Fig</w:t>
      </w:r>
      <w:r w:rsidR="00741695" w:rsidRPr="00DB11A6">
        <w:rPr>
          <w:rFonts w:ascii="Arial" w:hAnsi="Arial" w:cs="Arial"/>
          <w:b/>
        </w:rPr>
        <w:t>ure</w:t>
      </w:r>
      <w:r w:rsidRPr="00DB11A6">
        <w:rPr>
          <w:rFonts w:ascii="Arial" w:hAnsi="Arial" w:cs="Arial"/>
          <w:b/>
        </w:rPr>
        <w:t xml:space="preserve"> 4. </w:t>
      </w:r>
      <w:proofErr w:type="spellStart"/>
      <w:r w:rsidR="006D1FBE" w:rsidRPr="00DB11A6">
        <w:rPr>
          <w:rFonts w:ascii="Arial" w:hAnsi="Arial" w:cs="Arial"/>
          <w:b/>
        </w:rPr>
        <w:t>Joinpoint</w:t>
      </w:r>
      <w:proofErr w:type="spellEnd"/>
      <w:r w:rsidR="006D1FBE" w:rsidRPr="00DB11A6">
        <w:rPr>
          <w:rFonts w:ascii="Arial" w:hAnsi="Arial" w:cs="Arial"/>
          <w:b/>
        </w:rPr>
        <w:t xml:space="preserve"> regression analysis of LR healthcare contacts over 10 years prior to PFCS diagnosis</w:t>
      </w:r>
      <w:r w:rsidR="006729BC" w:rsidRPr="00DB11A6">
        <w:rPr>
          <w:rFonts w:ascii="Arial" w:hAnsi="Arial" w:cs="Arial"/>
          <w:b/>
        </w:rPr>
        <w:t>.</w:t>
      </w:r>
      <w:r w:rsidR="006729BC" w:rsidRPr="00DB11A6">
        <w:rPr>
          <w:rFonts w:ascii="Arial" w:hAnsi="Arial" w:cs="Arial"/>
          <w:bCs/>
        </w:rPr>
        <w:t xml:space="preserve"> </w:t>
      </w:r>
    </w:p>
    <w:p w14:paraId="5B2B15B6" w14:textId="17229EFE" w:rsidR="0086644E" w:rsidRPr="00DB11A6" w:rsidRDefault="00DA22F9" w:rsidP="007A02DF">
      <w:pPr>
        <w:tabs>
          <w:tab w:val="left" w:pos="3828"/>
        </w:tabs>
        <w:spacing w:line="480" w:lineRule="auto"/>
        <w:rPr>
          <w:rFonts w:ascii="Arial" w:hAnsi="Arial" w:cs="Arial"/>
          <w:bCs/>
        </w:rPr>
      </w:pPr>
      <w:r w:rsidRPr="00DB11A6">
        <w:rPr>
          <w:rFonts w:ascii="Arial" w:hAnsi="Arial" w:cs="Arial"/>
          <w:bCs/>
        </w:rPr>
        <w:t xml:space="preserve">Temporal HRU trends showing percentage of patients with A) 0, B) 1, C) 2, D) 3, E) 4, and F) ≥5 LR consultations in the 10 years prior to PFCS diagnosis; APC: annual percent change; </w:t>
      </w:r>
      <w:proofErr w:type="spellStart"/>
      <w:r w:rsidRPr="00DB11A6">
        <w:rPr>
          <w:rFonts w:ascii="Arial" w:hAnsi="Arial" w:cs="Arial"/>
          <w:bCs/>
        </w:rPr>
        <w:t>Joinpoint</w:t>
      </w:r>
      <w:proofErr w:type="spellEnd"/>
      <w:r w:rsidRPr="00DB11A6">
        <w:rPr>
          <w:rFonts w:ascii="Arial" w:hAnsi="Arial" w:cs="Arial"/>
          <w:bCs/>
        </w:rPr>
        <w:t xml:space="preserve">: point of change in regression trends; PFCS, pulmonary fibrosis clinical syndrome; Number of patients with non-missing data in year 10 to year 1 prior to PFCS diagnosis: 1474, 1533, 1598, 1686, 1772, 1861, 1944, 2019, 2087, 2223; Mean pre-observation period: 8 years </w:t>
      </w:r>
      <w:r w:rsidR="0086644E" w:rsidRPr="00DB11A6">
        <w:rPr>
          <w:rFonts w:ascii="Arial" w:hAnsi="Arial" w:cs="Arial"/>
          <w:bCs/>
        </w:rPr>
        <w:br w:type="page"/>
      </w:r>
    </w:p>
    <w:p w14:paraId="50972CF1" w14:textId="77777777" w:rsidR="00BA12BB" w:rsidRPr="004E246D" w:rsidRDefault="00BA12BB" w:rsidP="00BA12BB">
      <w:pPr>
        <w:spacing w:line="276" w:lineRule="auto"/>
        <w:rPr>
          <w:rFonts w:ascii="Arial" w:hAnsi="Arial" w:cs="Arial"/>
          <w:b/>
          <w:sz w:val="22"/>
          <w:szCs w:val="22"/>
        </w:rPr>
      </w:pPr>
      <w:r w:rsidRPr="004E246D">
        <w:rPr>
          <w:rFonts w:ascii="Arial" w:hAnsi="Arial" w:cs="Arial"/>
          <w:b/>
          <w:sz w:val="22"/>
          <w:szCs w:val="22"/>
        </w:rPr>
        <w:lastRenderedPageBreak/>
        <w:t>Table 1. Basel</w:t>
      </w:r>
      <w:r w:rsidR="00632548" w:rsidRPr="004E246D">
        <w:rPr>
          <w:rFonts w:ascii="Arial" w:hAnsi="Arial" w:cs="Arial"/>
          <w:b/>
          <w:sz w:val="22"/>
          <w:szCs w:val="22"/>
        </w:rPr>
        <w:t>ine characteristics at time of</w:t>
      </w:r>
      <w:r w:rsidR="00A44C91" w:rsidRPr="004E246D">
        <w:rPr>
          <w:rFonts w:ascii="Arial" w:hAnsi="Arial" w:cs="Arial"/>
          <w:b/>
          <w:sz w:val="22"/>
          <w:szCs w:val="22"/>
        </w:rPr>
        <w:t xml:space="preserve"> PFCS</w:t>
      </w:r>
      <w:r w:rsidR="00726773" w:rsidRPr="004E246D">
        <w:rPr>
          <w:rFonts w:ascii="Arial" w:hAnsi="Arial" w:cs="Arial"/>
          <w:b/>
          <w:sz w:val="22"/>
          <w:szCs w:val="22"/>
        </w:rPr>
        <w:t xml:space="preserve"> diagnosis</w:t>
      </w:r>
      <w:r w:rsidR="003607F1" w:rsidRPr="004E246D">
        <w:rPr>
          <w:rFonts w:ascii="Arial" w:hAnsi="Arial" w:cs="Arial"/>
          <w:b/>
          <w:sz w:val="22"/>
          <w:szCs w:val="22"/>
        </w:rPr>
        <w:t xml:space="preserve"> </w:t>
      </w:r>
    </w:p>
    <w:p w14:paraId="52A3FE54" w14:textId="77777777" w:rsidR="00BA12BB" w:rsidRPr="00A42322" w:rsidRDefault="00BA12BB" w:rsidP="00BA12BB">
      <w:pPr>
        <w:spacing w:line="276" w:lineRule="auto"/>
        <w:rPr>
          <w:rFonts w:ascii="Arial" w:hAnsi="Arial" w:cs="Arial"/>
          <w:bCs/>
          <w:sz w:val="12"/>
        </w:rPr>
      </w:pPr>
    </w:p>
    <w:tbl>
      <w:tblPr>
        <w:tblStyle w:val="TableGrid"/>
        <w:tblW w:w="5000" w:type="pct"/>
        <w:tblBorders>
          <w:top w:val="none" w:sz="0" w:space="0" w:color="auto"/>
          <w:left w:val="none" w:sz="0" w:space="0" w:color="auto"/>
          <w:right w:val="none" w:sz="0" w:space="0" w:color="auto"/>
        </w:tblBorders>
        <w:tblLook w:val="04A0" w:firstRow="1" w:lastRow="0" w:firstColumn="1" w:lastColumn="0" w:noHBand="0" w:noVBand="1"/>
      </w:tblPr>
      <w:tblGrid>
        <w:gridCol w:w="5468"/>
        <w:gridCol w:w="2832"/>
      </w:tblGrid>
      <w:tr w:rsidR="00BA12BB" w:rsidRPr="00A42322" w14:paraId="3678DA3C" w14:textId="77777777" w:rsidTr="00483984">
        <w:tc>
          <w:tcPr>
            <w:tcW w:w="3294" w:type="pct"/>
            <w:tcBorders>
              <w:top w:val="nil"/>
              <w:bottom w:val="single" w:sz="18" w:space="0" w:color="auto"/>
            </w:tcBorders>
          </w:tcPr>
          <w:p w14:paraId="7860C21E" w14:textId="77777777" w:rsidR="00BA12BB" w:rsidRPr="00A42322" w:rsidRDefault="00BA12BB" w:rsidP="00BA12BB">
            <w:pPr>
              <w:spacing w:line="276" w:lineRule="auto"/>
              <w:rPr>
                <w:rFonts w:ascii="Arial" w:hAnsi="Arial" w:cs="Arial"/>
                <w:bCs/>
                <w:sz w:val="20"/>
                <w:szCs w:val="20"/>
              </w:rPr>
            </w:pPr>
            <w:r w:rsidRPr="00A42322">
              <w:rPr>
                <w:rFonts w:ascii="Arial" w:hAnsi="Arial" w:cs="Arial"/>
                <w:bCs/>
                <w:sz w:val="20"/>
                <w:szCs w:val="20"/>
              </w:rPr>
              <w:t>Characteristic</w:t>
            </w:r>
          </w:p>
        </w:tc>
        <w:tc>
          <w:tcPr>
            <w:tcW w:w="1706" w:type="pct"/>
            <w:tcBorders>
              <w:top w:val="nil"/>
              <w:bottom w:val="single" w:sz="18" w:space="0" w:color="auto"/>
            </w:tcBorders>
            <w:vAlign w:val="center"/>
          </w:tcPr>
          <w:p w14:paraId="3303DE6D" w14:textId="77777777" w:rsidR="00BA12BB" w:rsidRPr="00A42322" w:rsidRDefault="00D815FD" w:rsidP="00BA12BB">
            <w:pPr>
              <w:spacing w:line="276" w:lineRule="auto"/>
              <w:jc w:val="center"/>
              <w:rPr>
                <w:rFonts w:ascii="Arial" w:hAnsi="Arial" w:cs="Arial"/>
                <w:bCs/>
                <w:sz w:val="20"/>
                <w:szCs w:val="22"/>
              </w:rPr>
            </w:pPr>
            <w:r w:rsidRPr="00A42322">
              <w:rPr>
                <w:rFonts w:ascii="Arial" w:hAnsi="Arial" w:cs="Arial"/>
                <w:bCs/>
                <w:sz w:val="20"/>
                <w:szCs w:val="22"/>
              </w:rPr>
              <w:t>n</w:t>
            </w:r>
            <w:r w:rsidR="00BA12BB" w:rsidRPr="00A42322">
              <w:rPr>
                <w:rFonts w:ascii="Arial" w:hAnsi="Arial" w:cs="Arial"/>
                <w:bCs/>
                <w:sz w:val="20"/>
                <w:szCs w:val="22"/>
              </w:rPr>
              <w:t xml:space="preserve"> = </w:t>
            </w:r>
            <w:r w:rsidR="00DD208D" w:rsidRPr="00A42322">
              <w:rPr>
                <w:rFonts w:ascii="Arial" w:hAnsi="Arial" w:cs="Arial"/>
                <w:bCs/>
                <w:sz w:val="20"/>
                <w:szCs w:val="22"/>
              </w:rPr>
              <w:t>2</w:t>
            </w:r>
            <w:r w:rsidR="00851D16" w:rsidRPr="00A42322">
              <w:rPr>
                <w:rFonts w:ascii="Arial" w:hAnsi="Arial" w:cs="Arial"/>
                <w:bCs/>
                <w:sz w:val="20"/>
                <w:szCs w:val="22"/>
              </w:rPr>
              <w:t>,</w:t>
            </w:r>
            <w:r w:rsidR="00DD208D" w:rsidRPr="00A42322">
              <w:rPr>
                <w:rFonts w:ascii="Arial" w:hAnsi="Arial" w:cs="Arial"/>
                <w:bCs/>
                <w:sz w:val="20"/>
                <w:szCs w:val="22"/>
              </w:rPr>
              <w:t>223</w:t>
            </w:r>
          </w:p>
        </w:tc>
      </w:tr>
      <w:tr w:rsidR="00BA12BB" w:rsidRPr="00306C71" w14:paraId="4BACF3C4" w14:textId="77777777" w:rsidTr="00483984">
        <w:tc>
          <w:tcPr>
            <w:tcW w:w="3294" w:type="pct"/>
            <w:tcBorders>
              <w:top w:val="single" w:sz="18" w:space="0" w:color="auto"/>
            </w:tcBorders>
          </w:tcPr>
          <w:p w14:paraId="5558F315" w14:textId="77777777" w:rsidR="00BA12BB" w:rsidRPr="004034C1" w:rsidRDefault="00BA12BB" w:rsidP="00BA12BB">
            <w:pPr>
              <w:spacing w:line="276" w:lineRule="auto"/>
              <w:rPr>
                <w:rFonts w:ascii="Arial" w:hAnsi="Arial" w:cs="Arial"/>
                <w:sz w:val="20"/>
              </w:rPr>
            </w:pPr>
            <w:r w:rsidRPr="004034C1">
              <w:rPr>
                <w:rFonts w:ascii="Arial" w:hAnsi="Arial" w:cs="Arial"/>
                <w:b/>
                <w:sz w:val="20"/>
                <w:szCs w:val="22"/>
              </w:rPr>
              <w:t>Male sex, n (%)</w:t>
            </w:r>
          </w:p>
        </w:tc>
        <w:tc>
          <w:tcPr>
            <w:tcW w:w="1706" w:type="pct"/>
            <w:tcBorders>
              <w:top w:val="single" w:sz="18" w:space="0" w:color="auto"/>
            </w:tcBorders>
            <w:vAlign w:val="center"/>
          </w:tcPr>
          <w:p w14:paraId="50724AD0" w14:textId="77777777" w:rsidR="00BA12BB" w:rsidRPr="004034C1" w:rsidRDefault="00DD208D" w:rsidP="00BA12BB">
            <w:pPr>
              <w:spacing w:line="276" w:lineRule="auto"/>
              <w:jc w:val="center"/>
              <w:rPr>
                <w:rFonts w:ascii="Arial" w:hAnsi="Arial" w:cs="Arial"/>
                <w:kern w:val="24"/>
                <w:sz w:val="20"/>
                <w:szCs w:val="22"/>
              </w:rPr>
            </w:pPr>
            <w:r w:rsidRPr="004034C1">
              <w:rPr>
                <w:rFonts w:ascii="Arial" w:hAnsi="Arial" w:cs="Arial"/>
                <w:kern w:val="24"/>
                <w:sz w:val="20"/>
                <w:szCs w:val="22"/>
              </w:rPr>
              <w:t>1</w:t>
            </w:r>
            <w:r w:rsidR="00851D16" w:rsidRPr="004034C1">
              <w:rPr>
                <w:rFonts w:ascii="Arial" w:hAnsi="Arial" w:cs="Arial"/>
                <w:kern w:val="24"/>
                <w:sz w:val="20"/>
                <w:szCs w:val="22"/>
              </w:rPr>
              <w:t>,</w:t>
            </w:r>
            <w:r w:rsidRPr="004034C1">
              <w:rPr>
                <w:rFonts w:ascii="Arial" w:hAnsi="Arial" w:cs="Arial"/>
                <w:kern w:val="24"/>
                <w:sz w:val="20"/>
                <w:szCs w:val="22"/>
              </w:rPr>
              <w:t>399</w:t>
            </w:r>
            <w:r w:rsidR="00DD1B77" w:rsidRPr="004034C1">
              <w:rPr>
                <w:rFonts w:ascii="Arial" w:hAnsi="Arial" w:cs="Arial"/>
                <w:kern w:val="24"/>
                <w:sz w:val="20"/>
                <w:szCs w:val="22"/>
              </w:rPr>
              <w:t xml:space="preserve"> </w:t>
            </w:r>
            <w:r w:rsidRPr="004034C1">
              <w:rPr>
                <w:rFonts w:ascii="Arial" w:hAnsi="Arial" w:cs="Arial"/>
                <w:kern w:val="24"/>
                <w:sz w:val="20"/>
                <w:szCs w:val="22"/>
              </w:rPr>
              <w:t>(62.9)</w:t>
            </w:r>
          </w:p>
        </w:tc>
      </w:tr>
      <w:tr w:rsidR="00BA12BB" w:rsidRPr="00306C71" w14:paraId="136AEA12" w14:textId="77777777" w:rsidTr="00BA12BB">
        <w:tc>
          <w:tcPr>
            <w:tcW w:w="3294" w:type="pct"/>
          </w:tcPr>
          <w:p w14:paraId="451076C0" w14:textId="3F5AAB4B" w:rsidR="00BA12BB" w:rsidRPr="004034C1" w:rsidRDefault="00BA12BB" w:rsidP="00BA12BB">
            <w:pPr>
              <w:spacing w:line="276" w:lineRule="auto"/>
              <w:rPr>
                <w:rFonts w:ascii="Arial" w:hAnsi="Arial" w:cs="Arial"/>
                <w:sz w:val="20"/>
              </w:rPr>
            </w:pPr>
            <w:r w:rsidRPr="004034C1">
              <w:rPr>
                <w:rFonts w:ascii="Arial" w:hAnsi="Arial" w:cs="Arial"/>
                <w:b/>
                <w:sz w:val="20"/>
                <w:szCs w:val="22"/>
              </w:rPr>
              <w:t>Age at index date (y</w:t>
            </w:r>
            <w:r w:rsidR="004810FE">
              <w:rPr>
                <w:rFonts w:ascii="Arial" w:hAnsi="Arial" w:cs="Arial"/>
                <w:b/>
                <w:sz w:val="20"/>
                <w:szCs w:val="22"/>
              </w:rPr>
              <w:t>ears</w:t>
            </w:r>
            <w:r w:rsidRPr="004034C1">
              <w:rPr>
                <w:rFonts w:ascii="Arial" w:hAnsi="Arial" w:cs="Arial"/>
                <w:b/>
                <w:sz w:val="20"/>
                <w:szCs w:val="22"/>
              </w:rPr>
              <w:t>), mean (SD)</w:t>
            </w:r>
          </w:p>
        </w:tc>
        <w:tc>
          <w:tcPr>
            <w:tcW w:w="1706" w:type="pct"/>
            <w:vAlign w:val="center"/>
          </w:tcPr>
          <w:p w14:paraId="23A887B5" w14:textId="77777777" w:rsidR="00BA12BB" w:rsidRPr="004034C1" w:rsidRDefault="00BA12BB" w:rsidP="00BA12BB">
            <w:pPr>
              <w:spacing w:line="276" w:lineRule="auto"/>
              <w:jc w:val="center"/>
              <w:rPr>
                <w:rFonts w:ascii="Arial" w:hAnsi="Arial" w:cs="Arial"/>
                <w:kern w:val="24"/>
                <w:sz w:val="20"/>
                <w:szCs w:val="22"/>
              </w:rPr>
            </w:pPr>
            <w:r w:rsidRPr="004034C1">
              <w:rPr>
                <w:rFonts w:ascii="Arial" w:hAnsi="Arial" w:cs="Arial"/>
                <w:kern w:val="24"/>
                <w:sz w:val="20"/>
                <w:szCs w:val="22"/>
              </w:rPr>
              <w:t>72.</w:t>
            </w:r>
            <w:r w:rsidR="00DD208D" w:rsidRPr="004034C1">
              <w:rPr>
                <w:rFonts w:ascii="Arial" w:hAnsi="Arial" w:cs="Arial"/>
                <w:kern w:val="24"/>
                <w:sz w:val="20"/>
                <w:szCs w:val="22"/>
              </w:rPr>
              <w:t>6</w:t>
            </w:r>
            <w:r w:rsidRPr="004034C1">
              <w:rPr>
                <w:rFonts w:ascii="Arial" w:hAnsi="Arial" w:cs="Arial"/>
                <w:kern w:val="24"/>
                <w:sz w:val="20"/>
                <w:szCs w:val="22"/>
              </w:rPr>
              <w:t xml:space="preserve"> (9.7)</w:t>
            </w:r>
          </w:p>
        </w:tc>
      </w:tr>
      <w:tr w:rsidR="00BA12BB" w:rsidRPr="00306C71" w14:paraId="2C9C2ACB" w14:textId="77777777" w:rsidTr="00BA12BB">
        <w:tc>
          <w:tcPr>
            <w:tcW w:w="3294" w:type="pct"/>
          </w:tcPr>
          <w:p w14:paraId="07A27AAD" w14:textId="77777777" w:rsidR="00BA12BB" w:rsidRPr="004034C1" w:rsidRDefault="00BA12BB" w:rsidP="00BA12BB">
            <w:pPr>
              <w:spacing w:line="276" w:lineRule="auto"/>
              <w:rPr>
                <w:rFonts w:ascii="Arial" w:hAnsi="Arial" w:cs="Arial"/>
                <w:b/>
                <w:sz w:val="20"/>
                <w:szCs w:val="22"/>
              </w:rPr>
            </w:pPr>
            <w:r w:rsidRPr="004034C1">
              <w:rPr>
                <w:rFonts w:ascii="Arial" w:hAnsi="Arial" w:cs="Arial"/>
                <w:b/>
                <w:sz w:val="20"/>
                <w:szCs w:val="22"/>
              </w:rPr>
              <w:t xml:space="preserve">BMI </w:t>
            </w:r>
            <w:r w:rsidRPr="004034C1">
              <w:rPr>
                <w:rFonts w:ascii="Arial" w:hAnsi="Arial" w:cs="Arial"/>
                <w:b/>
                <w:kern w:val="24"/>
                <w:sz w:val="20"/>
              </w:rPr>
              <w:t>(</w:t>
            </w:r>
            <w:r w:rsidRPr="004034C1">
              <w:rPr>
                <w:rFonts w:ascii="Arial" w:hAnsi="Arial" w:cs="Arial"/>
                <w:b/>
                <w:sz w:val="20"/>
                <w:szCs w:val="22"/>
              </w:rPr>
              <w:t>kg/m</w:t>
            </w:r>
            <w:r w:rsidRPr="004810FE">
              <w:rPr>
                <w:rFonts w:ascii="Arial" w:hAnsi="Arial" w:cs="Arial"/>
                <w:b/>
                <w:sz w:val="20"/>
                <w:szCs w:val="22"/>
                <w:vertAlign w:val="superscript"/>
              </w:rPr>
              <w:t>2</w:t>
            </w:r>
            <w:r w:rsidRPr="004034C1">
              <w:rPr>
                <w:rFonts w:ascii="Arial" w:hAnsi="Arial" w:cs="Arial"/>
                <w:b/>
                <w:sz w:val="20"/>
                <w:szCs w:val="22"/>
              </w:rPr>
              <w:t>), mean (SD)</w:t>
            </w:r>
          </w:p>
        </w:tc>
        <w:tc>
          <w:tcPr>
            <w:tcW w:w="1706" w:type="pct"/>
            <w:vAlign w:val="center"/>
          </w:tcPr>
          <w:p w14:paraId="7F48F2EB" w14:textId="77777777" w:rsidR="00BA12BB" w:rsidRPr="004034C1" w:rsidRDefault="00BA12BB" w:rsidP="00BA12BB">
            <w:pPr>
              <w:spacing w:line="276" w:lineRule="auto"/>
              <w:jc w:val="center"/>
              <w:rPr>
                <w:rFonts w:ascii="Arial" w:hAnsi="Arial" w:cs="Arial"/>
                <w:kern w:val="24"/>
                <w:sz w:val="20"/>
                <w:szCs w:val="22"/>
              </w:rPr>
            </w:pPr>
            <w:r w:rsidRPr="004034C1">
              <w:rPr>
                <w:rFonts w:ascii="Arial" w:hAnsi="Arial" w:cs="Arial"/>
                <w:kern w:val="24"/>
                <w:sz w:val="20"/>
                <w:szCs w:val="22"/>
              </w:rPr>
              <w:t>27.</w:t>
            </w:r>
            <w:r w:rsidR="00DD208D" w:rsidRPr="004034C1">
              <w:rPr>
                <w:rFonts w:ascii="Arial" w:hAnsi="Arial" w:cs="Arial"/>
                <w:kern w:val="24"/>
                <w:sz w:val="20"/>
                <w:szCs w:val="22"/>
              </w:rPr>
              <w:t>3</w:t>
            </w:r>
            <w:r w:rsidRPr="004034C1">
              <w:rPr>
                <w:rFonts w:ascii="Arial" w:hAnsi="Arial" w:cs="Arial"/>
                <w:kern w:val="24"/>
                <w:sz w:val="20"/>
                <w:szCs w:val="22"/>
              </w:rPr>
              <w:t xml:space="preserve"> (</w:t>
            </w:r>
            <w:r w:rsidR="00DD208D" w:rsidRPr="004034C1">
              <w:rPr>
                <w:rFonts w:ascii="Arial" w:hAnsi="Arial" w:cs="Arial"/>
                <w:kern w:val="24"/>
                <w:sz w:val="20"/>
                <w:szCs w:val="22"/>
              </w:rPr>
              <w:t>7.0</w:t>
            </w:r>
            <w:r w:rsidRPr="004034C1">
              <w:rPr>
                <w:rFonts w:ascii="Arial" w:hAnsi="Arial" w:cs="Arial"/>
                <w:kern w:val="24"/>
                <w:sz w:val="20"/>
                <w:szCs w:val="22"/>
              </w:rPr>
              <w:t>)</w:t>
            </w:r>
          </w:p>
        </w:tc>
      </w:tr>
      <w:tr w:rsidR="00BA12BB" w:rsidRPr="00306C71" w14:paraId="08BC1097" w14:textId="77777777" w:rsidTr="00BA12BB">
        <w:tc>
          <w:tcPr>
            <w:tcW w:w="5000" w:type="pct"/>
            <w:gridSpan w:val="2"/>
            <w:vAlign w:val="center"/>
          </w:tcPr>
          <w:p w14:paraId="7E226650" w14:textId="77777777" w:rsidR="00BA12BB" w:rsidRPr="004034C1" w:rsidRDefault="00BA12BB" w:rsidP="00BA12BB">
            <w:pPr>
              <w:spacing w:line="276" w:lineRule="auto"/>
              <w:rPr>
                <w:rFonts w:ascii="Arial" w:hAnsi="Arial" w:cs="Arial"/>
                <w:kern w:val="24"/>
                <w:sz w:val="20"/>
                <w:szCs w:val="22"/>
              </w:rPr>
            </w:pPr>
            <w:r w:rsidRPr="004034C1">
              <w:rPr>
                <w:rFonts w:ascii="Arial" w:hAnsi="Arial" w:cs="Arial"/>
                <w:b/>
                <w:sz w:val="20"/>
                <w:szCs w:val="22"/>
              </w:rPr>
              <w:t>Smoking status</w:t>
            </w:r>
          </w:p>
        </w:tc>
      </w:tr>
      <w:tr w:rsidR="00BA12BB" w:rsidRPr="00306C71" w14:paraId="2A69A61C" w14:textId="77777777" w:rsidTr="00BA12BB">
        <w:tc>
          <w:tcPr>
            <w:tcW w:w="3294" w:type="pct"/>
            <w:vAlign w:val="center"/>
          </w:tcPr>
          <w:p w14:paraId="31D51858" w14:textId="77777777" w:rsidR="00BA12BB" w:rsidRPr="004034C1" w:rsidRDefault="00BA12BB" w:rsidP="00BA12BB">
            <w:pPr>
              <w:spacing w:line="276" w:lineRule="auto"/>
              <w:ind w:left="284"/>
              <w:rPr>
                <w:rFonts w:ascii="Arial" w:hAnsi="Arial" w:cs="Arial"/>
                <w:sz w:val="20"/>
                <w:szCs w:val="22"/>
              </w:rPr>
            </w:pPr>
            <w:r w:rsidRPr="004034C1">
              <w:rPr>
                <w:rFonts w:ascii="Arial" w:hAnsi="Arial" w:cs="Arial"/>
                <w:sz w:val="20"/>
                <w:szCs w:val="22"/>
              </w:rPr>
              <w:t>Never</w:t>
            </w:r>
          </w:p>
        </w:tc>
        <w:tc>
          <w:tcPr>
            <w:tcW w:w="1706" w:type="pct"/>
            <w:vAlign w:val="center"/>
          </w:tcPr>
          <w:p w14:paraId="5713B73E" w14:textId="77777777" w:rsidR="00BA12BB" w:rsidRPr="004034C1" w:rsidRDefault="00851D16" w:rsidP="00BA12BB">
            <w:pPr>
              <w:spacing w:line="276" w:lineRule="auto"/>
              <w:jc w:val="center"/>
              <w:rPr>
                <w:rFonts w:ascii="Arial" w:hAnsi="Arial" w:cs="Arial"/>
                <w:kern w:val="24"/>
                <w:sz w:val="20"/>
                <w:szCs w:val="22"/>
              </w:rPr>
            </w:pPr>
            <w:r w:rsidRPr="004034C1">
              <w:rPr>
                <w:rFonts w:ascii="Arial" w:hAnsi="Arial" w:cs="Arial"/>
                <w:kern w:val="24"/>
                <w:sz w:val="20"/>
                <w:szCs w:val="22"/>
              </w:rPr>
              <w:t>688 (32.8)</w:t>
            </w:r>
          </w:p>
        </w:tc>
      </w:tr>
      <w:tr w:rsidR="00BA12BB" w:rsidRPr="00306C71" w14:paraId="0D3932AB" w14:textId="77777777" w:rsidTr="00BA12BB">
        <w:tc>
          <w:tcPr>
            <w:tcW w:w="3294" w:type="pct"/>
            <w:vAlign w:val="center"/>
          </w:tcPr>
          <w:p w14:paraId="321638D2" w14:textId="77777777" w:rsidR="00BA12BB" w:rsidRPr="004034C1" w:rsidRDefault="00BA12BB" w:rsidP="00BA12BB">
            <w:pPr>
              <w:spacing w:line="276" w:lineRule="auto"/>
              <w:ind w:left="284"/>
              <w:rPr>
                <w:rFonts w:ascii="Arial" w:hAnsi="Arial" w:cs="Arial"/>
                <w:sz w:val="20"/>
                <w:szCs w:val="22"/>
              </w:rPr>
            </w:pPr>
            <w:r w:rsidRPr="004034C1">
              <w:rPr>
                <w:rFonts w:ascii="Arial" w:hAnsi="Arial" w:cs="Arial"/>
                <w:sz w:val="20"/>
                <w:szCs w:val="22"/>
              </w:rPr>
              <w:t>Current</w:t>
            </w:r>
          </w:p>
        </w:tc>
        <w:tc>
          <w:tcPr>
            <w:tcW w:w="1706" w:type="pct"/>
            <w:vAlign w:val="center"/>
          </w:tcPr>
          <w:p w14:paraId="198E900E" w14:textId="77777777" w:rsidR="00BA12BB" w:rsidRPr="004034C1" w:rsidRDefault="00851D16" w:rsidP="00BA12BB">
            <w:pPr>
              <w:spacing w:line="276" w:lineRule="auto"/>
              <w:jc w:val="center"/>
              <w:rPr>
                <w:rFonts w:ascii="Arial" w:hAnsi="Arial" w:cs="Arial"/>
                <w:kern w:val="24"/>
                <w:sz w:val="20"/>
                <w:szCs w:val="22"/>
              </w:rPr>
            </w:pPr>
            <w:r w:rsidRPr="004034C1">
              <w:rPr>
                <w:rFonts w:ascii="Arial" w:hAnsi="Arial" w:cs="Arial"/>
                <w:kern w:val="24"/>
                <w:sz w:val="20"/>
                <w:szCs w:val="22"/>
              </w:rPr>
              <w:t>280 (13.4)</w:t>
            </w:r>
          </w:p>
        </w:tc>
      </w:tr>
      <w:tr w:rsidR="00BA12BB" w:rsidRPr="00306C71" w14:paraId="4E3BB63A" w14:textId="77777777" w:rsidTr="00BA12BB">
        <w:tc>
          <w:tcPr>
            <w:tcW w:w="3294" w:type="pct"/>
            <w:vAlign w:val="center"/>
          </w:tcPr>
          <w:p w14:paraId="66598BD5" w14:textId="77777777" w:rsidR="00BA12BB" w:rsidRPr="004034C1" w:rsidRDefault="00BA12BB" w:rsidP="00BA12BB">
            <w:pPr>
              <w:spacing w:line="276" w:lineRule="auto"/>
              <w:ind w:left="284"/>
              <w:rPr>
                <w:rFonts w:ascii="Arial" w:hAnsi="Arial" w:cs="Arial"/>
                <w:sz w:val="20"/>
                <w:szCs w:val="22"/>
              </w:rPr>
            </w:pPr>
            <w:r w:rsidRPr="004034C1">
              <w:rPr>
                <w:rFonts w:ascii="Arial" w:hAnsi="Arial" w:cs="Arial"/>
                <w:sz w:val="20"/>
                <w:szCs w:val="22"/>
              </w:rPr>
              <w:t>Former</w:t>
            </w:r>
          </w:p>
        </w:tc>
        <w:tc>
          <w:tcPr>
            <w:tcW w:w="1706" w:type="pct"/>
            <w:vAlign w:val="center"/>
          </w:tcPr>
          <w:p w14:paraId="14564FAF" w14:textId="77777777" w:rsidR="00BA12BB" w:rsidRPr="004034C1" w:rsidRDefault="00851D16" w:rsidP="00BA12BB">
            <w:pPr>
              <w:spacing w:line="276" w:lineRule="auto"/>
              <w:jc w:val="center"/>
              <w:rPr>
                <w:rFonts w:ascii="Arial" w:hAnsi="Arial" w:cs="Arial"/>
                <w:kern w:val="24"/>
                <w:sz w:val="20"/>
                <w:szCs w:val="22"/>
              </w:rPr>
            </w:pPr>
            <w:r w:rsidRPr="004034C1">
              <w:rPr>
                <w:rFonts w:ascii="Arial" w:hAnsi="Arial" w:cs="Arial"/>
                <w:kern w:val="24"/>
                <w:sz w:val="20"/>
                <w:szCs w:val="22"/>
              </w:rPr>
              <w:t>1,127 (53.8)</w:t>
            </w:r>
          </w:p>
        </w:tc>
      </w:tr>
      <w:tr w:rsidR="00BA12BB" w:rsidRPr="00306C71" w14:paraId="73EC3FB7" w14:textId="77777777" w:rsidTr="00BA12BB">
        <w:tc>
          <w:tcPr>
            <w:tcW w:w="5000" w:type="pct"/>
            <w:gridSpan w:val="2"/>
            <w:vAlign w:val="center"/>
          </w:tcPr>
          <w:p w14:paraId="63CABE1D" w14:textId="77777777" w:rsidR="00BA12BB" w:rsidRPr="004034C1" w:rsidRDefault="00BA12BB" w:rsidP="00BA12BB">
            <w:pPr>
              <w:spacing w:line="276" w:lineRule="auto"/>
              <w:rPr>
                <w:rFonts w:ascii="Arial" w:hAnsi="Arial" w:cs="Arial"/>
                <w:sz w:val="20"/>
                <w:szCs w:val="22"/>
              </w:rPr>
            </w:pPr>
            <w:r w:rsidRPr="004034C1">
              <w:rPr>
                <w:rFonts w:ascii="Arial" w:hAnsi="Arial" w:cs="Arial"/>
                <w:b/>
                <w:sz w:val="20"/>
                <w:szCs w:val="22"/>
              </w:rPr>
              <w:t>Comorbidities, n (%)</w:t>
            </w:r>
          </w:p>
        </w:tc>
      </w:tr>
      <w:tr w:rsidR="00BA12BB" w:rsidRPr="00306C71" w14:paraId="602C0958" w14:textId="77777777" w:rsidTr="00BA12BB">
        <w:tc>
          <w:tcPr>
            <w:tcW w:w="3294" w:type="pct"/>
            <w:vAlign w:val="center"/>
          </w:tcPr>
          <w:p w14:paraId="49553FDF" w14:textId="77777777" w:rsidR="00BA12BB" w:rsidRPr="004034C1" w:rsidRDefault="00BA12BB" w:rsidP="00BA12BB">
            <w:pPr>
              <w:spacing w:line="276" w:lineRule="auto"/>
              <w:ind w:left="284"/>
              <w:rPr>
                <w:rFonts w:ascii="Arial" w:hAnsi="Arial" w:cs="Arial"/>
                <w:sz w:val="20"/>
                <w:szCs w:val="22"/>
              </w:rPr>
            </w:pPr>
            <w:r w:rsidRPr="004034C1">
              <w:rPr>
                <w:rFonts w:ascii="Arial" w:hAnsi="Arial" w:cs="Arial"/>
                <w:sz w:val="20"/>
                <w:szCs w:val="22"/>
              </w:rPr>
              <w:t>COPD</w:t>
            </w:r>
          </w:p>
        </w:tc>
        <w:tc>
          <w:tcPr>
            <w:tcW w:w="1706" w:type="pct"/>
            <w:vAlign w:val="center"/>
          </w:tcPr>
          <w:p w14:paraId="66803988" w14:textId="77777777" w:rsidR="00BA12BB" w:rsidRPr="004034C1" w:rsidRDefault="00851D16" w:rsidP="00BA12BB">
            <w:pPr>
              <w:spacing w:line="276" w:lineRule="auto"/>
              <w:jc w:val="center"/>
              <w:rPr>
                <w:rFonts w:ascii="Arial" w:hAnsi="Arial" w:cs="Arial"/>
                <w:sz w:val="20"/>
                <w:szCs w:val="22"/>
              </w:rPr>
            </w:pPr>
            <w:r w:rsidRPr="004034C1">
              <w:rPr>
                <w:rFonts w:ascii="Arial" w:hAnsi="Arial" w:cs="Arial"/>
                <w:kern w:val="24"/>
                <w:sz w:val="20"/>
                <w:szCs w:val="22"/>
              </w:rPr>
              <w:t>503 (22.6)</w:t>
            </w:r>
          </w:p>
        </w:tc>
      </w:tr>
      <w:tr w:rsidR="00BA12BB" w:rsidRPr="00306C71" w14:paraId="538418C2" w14:textId="77777777" w:rsidTr="00BA12BB">
        <w:tc>
          <w:tcPr>
            <w:tcW w:w="3294" w:type="pct"/>
            <w:vAlign w:val="center"/>
          </w:tcPr>
          <w:p w14:paraId="146F673D" w14:textId="77777777" w:rsidR="00BA12BB" w:rsidRPr="004034C1" w:rsidRDefault="00BA12BB" w:rsidP="00BA12BB">
            <w:pPr>
              <w:spacing w:line="276" w:lineRule="auto"/>
              <w:ind w:left="284"/>
              <w:rPr>
                <w:rFonts w:ascii="Arial" w:hAnsi="Arial" w:cs="Arial"/>
                <w:sz w:val="20"/>
                <w:szCs w:val="22"/>
              </w:rPr>
            </w:pPr>
            <w:r w:rsidRPr="004034C1">
              <w:rPr>
                <w:rFonts w:ascii="Arial" w:hAnsi="Arial" w:cs="Arial"/>
                <w:sz w:val="20"/>
                <w:szCs w:val="22"/>
              </w:rPr>
              <w:t>Asthma</w:t>
            </w:r>
          </w:p>
        </w:tc>
        <w:tc>
          <w:tcPr>
            <w:tcW w:w="1706" w:type="pct"/>
            <w:vAlign w:val="center"/>
          </w:tcPr>
          <w:p w14:paraId="10D842B7" w14:textId="77777777" w:rsidR="00BA12BB" w:rsidRPr="004034C1" w:rsidRDefault="00851D16" w:rsidP="00BA12BB">
            <w:pPr>
              <w:spacing w:line="276" w:lineRule="auto"/>
              <w:jc w:val="center"/>
              <w:rPr>
                <w:rFonts w:ascii="Arial" w:hAnsi="Arial" w:cs="Arial"/>
                <w:sz w:val="20"/>
                <w:szCs w:val="22"/>
              </w:rPr>
            </w:pPr>
            <w:r w:rsidRPr="004034C1">
              <w:rPr>
                <w:rFonts w:ascii="Arial" w:hAnsi="Arial" w:cs="Arial"/>
                <w:kern w:val="24"/>
                <w:sz w:val="20"/>
                <w:szCs w:val="22"/>
              </w:rPr>
              <w:t>309 (13.9)</w:t>
            </w:r>
          </w:p>
        </w:tc>
      </w:tr>
      <w:tr w:rsidR="00BA12BB" w:rsidRPr="00306C71" w14:paraId="58332224" w14:textId="77777777" w:rsidTr="00BA12BB">
        <w:tc>
          <w:tcPr>
            <w:tcW w:w="3294" w:type="pct"/>
            <w:vAlign w:val="center"/>
          </w:tcPr>
          <w:p w14:paraId="0DB69FC0" w14:textId="77777777" w:rsidR="00BA12BB" w:rsidRPr="004034C1" w:rsidRDefault="00BA12BB" w:rsidP="00BA12BB">
            <w:pPr>
              <w:spacing w:line="276" w:lineRule="auto"/>
              <w:ind w:left="284"/>
              <w:rPr>
                <w:rFonts w:ascii="Arial" w:hAnsi="Arial" w:cs="Arial"/>
                <w:sz w:val="20"/>
                <w:szCs w:val="22"/>
              </w:rPr>
            </w:pPr>
            <w:r w:rsidRPr="004034C1">
              <w:rPr>
                <w:rFonts w:ascii="Arial" w:hAnsi="Arial" w:cs="Arial"/>
                <w:sz w:val="20"/>
                <w:szCs w:val="22"/>
              </w:rPr>
              <w:t>Ischaemic heart disease</w:t>
            </w:r>
          </w:p>
        </w:tc>
        <w:tc>
          <w:tcPr>
            <w:tcW w:w="1706" w:type="pct"/>
            <w:vAlign w:val="center"/>
          </w:tcPr>
          <w:p w14:paraId="321B30FD" w14:textId="77777777" w:rsidR="00BA12BB" w:rsidRPr="004034C1" w:rsidRDefault="00851D16" w:rsidP="00BA12BB">
            <w:pPr>
              <w:spacing w:line="276" w:lineRule="auto"/>
              <w:jc w:val="center"/>
              <w:rPr>
                <w:rFonts w:ascii="Arial" w:hAnsi="Arial" w:cs="Arial"/>
                <w:sz w:val="20"/>
                <w:szCs w:val="22"/>
              </w:rPr>
            </w:pPr>
            <w:r w:rsidRPr="004034C1">
              <w:rPr>
                <w:rFonts w:ascii="Arial" w:hAnsi="Arial" w:cs="Arial"/>
                <w:kern w:val="24"/>
                <w:sz w:val="20"/>
                <w:szCs w:val="22"/>
              </w:rPr>
              <w:t>720 (32.4)</w:t>
            </w:r>
          </w:p>
        </w:tc>
      </w:tr>
      <w:tr w:rsidR="00BA12BB" w:rsidRPr="00306C71" w14:paraId="2FCD9EB4" w14:textId="77777777" w:rsidTr="00BA12BB">
        <w:tc>
          <w:tcPr>
            <w:tcW w:w="3294" w:type="pct"/>
            <w:vAlign w:val="center"/>
          </w:tcPr>
          <w:p w14:paraId="3CB19CD0" w14:textId="77777777" w:rsidR="00BA12BB" w:rsidRPr="004034C1" w:rsidRDefault="00BA12BB" w:rsidP="00BA12BB">
            <w:pPr>
              <w:spacing w:line="276" w:lineRule="auto"/>
              <w:ind w:left="284"/>
              <w:rPr>
                <w:rFonts w:ascii="Arial" w:hAnsi="Arial" w:cs="Arial"/>
                <w:sz w:val="20"/>
                <w:szCs w:val="22"/>
              </w:rPr>
            </w:pPr>
            <w:r w:rsidRPr="004034C1">
              <w:rPr>
                <w:rFonts w:ascii="Arial" w:hAnsi="Arial" w:cs="Arial"/>
                <w:sz w:val="20"/>
                <w:szCs w:val="22"/>
              </w:rPr>
              <w:t>Heart failure</w:t>
            </w:r>
          </w:p>
        </w:tc>
        <w:tc>
          <w:tcPr>
            <w:tcW w:w="1706" w:type="pct"/>
            <w:vAlign w:val="center"/>
          </w:tcPr>
          <w:p w14:paraId="04D9BA52" w14:textId="77777777" w:rsidR="00BA12BB" w:rsidRPr="004034C1" w:rsidRDefault="00851D16" w:rsidP="00BA12BB">
            <w:pPr>
              <w:spacing w:line="276" w:lineRule="auto"/>
              <w:jc w:val="center"/>
              <w:rPr>
                <w:rFonts w:ascii="Arial" w:hAnsi="Arial" w:cs="Arial"/>
                <w:sz w:val="20"/>
                <w:szCs w:val="22"/>
              </w:rPr>
            </w:pPr>
            <w:r w:rsidRPr="004034C1">
              <w:rPr>
                <w:rFonts w:ascii="Arial" w:hAnsi="Arial" w:cs="Arial"/>
                <w:kern w:val="24"/>
                <w:sz w:val="20"/>
                <w:szCs w:val="22"/>
              </w:rPr>
              <w:t>249 (11.2)</w:t>
            </w:r>
          </w:p>
        </w:tc>
      </w:tr>
      <w:tr w:rsidR="00BA12BB" w:rsidRPr="00306C71" w14:paraId="4992B1C6" w14:textId="77777777" w:rsidTr="00BA12BB">
        <w:tc>
          <w:tcPr>
            <w:tcW w:w="3294" w:type="pct"/>
            <w:vAlign w:val="center"/>
          </w:tcPr>
          <w:p w14:paraId="7E4E1ABB" w14:textId="77777777" w:rsidR="00BA12BB" w:rsidRPr="004034C1" w:rsidRDefault="00BA12BB" w:rsidP="00BA12BB">
            <w:pPr>
              <w:spacing w:line="276" w:lineRule="auto"/>
              <w:ind w:left="284"/>
              <w:rPr>
                <w:rFonts w:ascii="Arial" w:hAnsi="Arial" w:cs="Arial"/>
                <w:sz w:val="20"/>
                <w:szCs w:val="22"/>
              </w:rPr>
            </w:pPr>
            <w:r w:rsidRPr="004034C1">
              <w:rPr>
                <w:rFonts w:ascii="Arial" w:hAnsi="Arial" w:cs="Arial"/>
                <w:sz w:val="20"/>
                <w:szCs w:val="22"/>
              </w:rPr>
              <w:t>Hypertension</w:t>
            </w:r>
          </w:p>
        </w:tc>
        <w:tc>
          <w:tcPr>
            <w:tcW w:w="1706" w:type="pct"/>
            <w:vAlign w:val="center"/>
          </w:tcPr>
          <w:p w14:paraId="156472BE" w14:textId="77777777" w:rsidR="00BA12BB" w:rsidRPr="004034C1" w:rsidRDefault="00851D16" w:rsidP="00BA12BB">
            <w:pPr>
              <w:spacing w:line="276" w:lineRule="auto"/>
              <w:jc w:val="center"/>
              <w:rPr>
                <w:rFonts w:ascii="Arial" w:hAnsi="Arial" w:cs="Arial"/>
                <w:sz w:val="20"/>
                <w:szCs w:val="22"/>
              </w:rPr>
            </w:pPr>
            <w:r w:rsidRPr="004034C1">
              <w:rPr>
                <w:rFonts w:ascii="Arial" w:hAnsi="Arial" w:cs="Arial"/>
                <w:kern w:val="24"/>
                <w:sz w:val="20"/>
                <w:szCs w:val="22"/>
              </w:rPr>
              <w:t>118 (5.3)</w:t>
            </w:r>
          </w:p>
        </w:tc>
      </w:tr>
      <w:tr w:rsidR="00BA12BB" w:rsidRPr="00306C71" w14:paraId="07A035E9" w14:textId="77777777" w:rsidTr="00BA12BB">
        <w:tc>
          <w:tcPr>
            <w:tcW w:w="3294" w:type="pct"/>
            <w:vAlign w:val="center"/>
          </w:tcPr>
          <w:p w14:paraId="1BBACF1A" w14:textId="77777777" w:rsidR="00BA12BB" w:rsidRPr="004034C1" w:rsidRDefault="00BA12BB" w:rsidP="00BA12BB">
            <w:pPr>
              <w:spacing w:line="276" w:lineRule="auto"/>
              <w:ind w:left="284"/>
              <w:rPr>
                <w:rFonts w:ascii="Arial" w:hAnsi="Arial" w:cs="Arial"/>
                <w:sz w:val="20"/>
                <w:szCs w:val="22"/>
              </w:rPr>
            </w:pPr>
            <w:r w:rsidRPr="004034C1">
              <w:rPr>
                <w:rFonts w:ascii="Arial" w:hAnsi="Arial" w:cs="Arial"/>
                <w:sz w:val="20"/>
                <w:szCs w:val="22"/>
              </w:rPr>
              <w:t>Myocardial infarction</w:t>
            </w:r>
          </w:p>
        </w:tc>
        <w:tc>
          <w:tcPr>
            <w:tcW w:w="1706" w:type="pct"/>
            <w:vAlign w:val="center"/>
          </w:tcPr>
          <w:p w14:paraId="68A7C793" w14:textId="77777777" w:rsidR="00BA12BB" w:rsidRPr="004034C1" w:rsidRDefault="00851D16" w:rsidP="00BA12BB">
            <w:pPr>
              <w:spacing w:line="276" w:lineRule="auto"/>
              <w:jc w:val="center"/>
              <w:rPr>
                <w:rFonts w:ascii="Arial" w:hAnsi="Arial" w:cs="Arial"/>
                <w:sz w:val="20"/>
                <w:szCs w:val="22"/>
              </w:rPr>
            </w:pPr>
            <w:r w:rsidRPr="004034C1">
              <w:rPr>
                <w:rFonts w:ascii="Arial" w:hAnsi="Arial" w:cs="Arial"/>
                <w:kern w:val="24"/>
                <w:sz w:val="20"/>
                <w:szCs w:val="22"/>
              </w:rPr>
              <w:t>258 (11.6)</w:t>
            </w:r>
          </w:p>
        </w:tc>
      </w:tr>
      <w:tr w:rsidR="00BA12BB" w:rsidRPr="00306C71" w14:paraId="276CF2F8" w14:textId="77777777" w:rsidTr="00BA12BB">
        <w:tc>
          <w:tcPr>
            <w:tcW w:w="3294" w:type="pct"/>
            <w:vAlign w:val="center"/>
          </w:tcPr>
          <w:p w14:paraId="2840E784" w14:textId="77777777" w:rsidR="00BA12BB" w:rsidRPr="004034C1" w:rsidRDefault="00BA12BB" w:rsidP="00BA12BB">
            <w:pPr>
              <w:spacing w:line="276" w:lineRule="auto"/>
              <w:ind w:left="284"/>
              <w:rPr>
                <w:rFonts w:ascii="Arial" w:hAnsi="Arial" w:cs="Arial"/>
                <w:sz w:val="20"/>
                <w:szCs w:val="22"/>
              </w:rPr>
            </w:pPr>
            <w:r w:rsidRPr="004034C1">
              <w:rPr>
                <w:rFonts w:ascii="Arial" w:hAnsi="Arial" w:cs="Arial"/>
                <w:sz w:val="20"/>
                <w:szCs w:val="22"/>
              </w:rPr>
              <w:t>Lung Cancer</w:t>
            </w:r>
          </w:p>
        </w:tc>
        <w:tc>
          <w:tcPr>
            <w:tcW w:w="1706" w:type="pct"/>
            <w:vAlign w:val="center"/>
          </w:tcPr>
          <w:p w14:paraId="5CFE6B73" w14:textId="77777777" w:rsidR="00BA12BB" w:rsidRPr="004034C1" w:rsidRDefault="00851D16" w:rsidP="00BA12BB">
            <w:pPr>
              <w:spacing w:line="276" w:lineRule="auto"/>
              <w:jc w:val="center"/>
              <w:rPr>
                <w:rFonts w:ascii="Arial" w:hAnsi="Arial" w:cs="Arial"/>
                <w:strike/>
                <w:kern w:val="24"/>
                <w:sz w:val="20"/>
                <w:szCs w:val="22"/>
              </w:rPr>
            </w:pPr>
            <w:r w:rsidRPr="004034C1">
              <w:rPr>
                <w:rFonts w:ascii="Arial" w:hAnsi="Arial" w:cs="Arial"/>
                <w:kern w:val="24"/>
                <w:sz w:val="20"/>
                <w:szCs w:val="22"/>
              </w:rPr>
              <w:t>401 (18.0)</w:t>
            </w:r>
          </w:p>
        </w:tc>
      </w:tr>
      <w:tr w:rsidR="00BA12BB" w:rsidRPr="00306C71" w14:paraId="78148E39" w14:textId="77777777" w:rsidTr="00BA12BB">
        <w:tc>
          <w:tcPr>
            <w:tcW w:w="3294" w:type="pct"/>
            <w:vAlign w:val="center"/>
          </w:tcPr>
          <w:p w14:paraId="19B1E5EB" w14:textId="77777777" w:rsidR="00BA12BB" w:rsidRPr="004034C1" w:rsidRDefault="00BA12BB" w:rsidP="00BA12BB">
            <w:pPr>
              <w:spacing w:line="276" w:lineRule="auto"/>
              <w:ind w:left="284"/>
              <w:rPr>
                <w:rFonts w:ascii="Arial" w:hAnsi="Arial" w:cs="Arial"/>
                <w:sz w:val="20"/>
                <w:szCs w:val="22"/>
              </w:rPr>
            </w:pPr>
            <w:r w:rsidRPr="004034C1">
              <w:rPr>
                <w:rFonts w:ascii="Arial" w:hAnsi="Arial" w:cs="Arial"/>
                <w:sz w:val="20"/>
                <w:szCs w:val="22"/>
              </w:rPr>
              <w:t>Sleep Apnoea</w:t>
            </w:r>
          </w:p>
        </w:tc>
        <w:tc>
          <w:tcPr>
            <w:tcW w:w="1706" w:type="pct"/>
            <w:vAlign w:val="center"/>
          </w:tcPr>
          <w:p w14:paraId="58CE2955" w14:textId="77777777" w:rsidR="00BA12BB" w:rsidRPr="004034C1" w:rsidRDefault="00BA12BB" w:rsidP="00BA12BB">
            <w:pPr>
              <w:spacing w:line="276" w:lineRule="auto"/>
              <w:jc w:val="center"/>
              <w:rPr>
                <w:rFonts w:ascii="Arial" w:hAnsi="Arial" w:cs="Arial"/>
                <w:strike/>
                <w:kern w:val="24"/>
                <w:sz w:val="20"/>
                <w:szCs w:val="22"/>
              </w:rPr>
            </w:pPr>
            <w:r w:rsidRPr="004034C1">
              <w:rPr>
                <w:rFonts w:ascii="Arial" w:hAnsi="Arial" w:cs="Arial"/>
                <w:kern w:val="24"/>
                <w:sz w:val="20"/>
                <w:szCs w:val="22"/>
              </w:rPr>
              <w:t>1</w:t>
            </w:r>
            <w:r w:rsidR="00851D16" w:rsidRPr="004034C1">
              <w:rPr>
                <w:rFonts w:ascii="Arial" w:hAnsi="Arial" w:cs="Arial"/>
                <w:kern w:val="24"/>
                <w:sz w:val="20"/>
                <w:szCs w:val="22"/>
              </w:rPr>
              <w:t>8</w:t>
            </w:r>
            <w:r w:rsidRPr="004034C1">
              <w:rPr>
                <w:rFonts w:ascii="Arial" w:hAnsi="Arial" w:cs="Arial"/>
                <w:kern w:val="24"/>
                <w:sz w:val="20"/>
                <w:szCs w:val="22"/>
              </w:rPr>
              <w:t xml:space="preserve"> (0.8)</w:t>
            </w:r>
          </w:p>
        </w:tc>
      </w:tr>
      <w:tr w:rsidR="00BA12BB" w:rsidRPr="00306C71" w14:paraId="7687A825" w14:textId="77777777" w:rsidTr="00BA12BB">
        <w:tc>
          <w:tcPr>
            <w:tcW w:w="3294" w:type="pct"/>
            <w:vAlign w:val="center"/>
          </w:tcPr>
          <w:p w14:paraId="47A11392" w14:textId="77777777" w:rsidR="00BA12BB" w:rsidRPr="004034C1" w:rsidRDefault="00BA12BB" w:rsidP="00BA12BB">
            <w:pPr>
              <w:spacing w:line="276" w:lineRule="auto"/>
              <w:ind w:left="284"/>
              <w:rPr>
                <w:rFonts w:ascii="Arial" w:hAnsi="Arial" w:cs="Arial"/>
                <w:sz w:val="20"/>
                <w:szCs w:val="22"/>
              </w:rPr>
            </w:pPr>
            <w:r w:rsidRPr="004034C1">
              <w:rPr>
                <w:rFonts w:ascii="Arial" w:hAnsi="Arial" w:cs="Arial"/>
                <w:sz w:val="20"/>
                <w:szCs w:val="22"/>
              </w:rPr>
              <w:t>GERD*</w:t>
            </w:r>
          </w:p>
        </w:tc>
        <w:tc>
          <w:tcPr>
            <w:tcW w:w="1706" w:type="pct"/>
            <w:vAlign w:val="center"/>
          </w:tcPr>
          <w:p w14:paraId="0978B36A" w14:textId="77777777" w:rsidR="00BA12BB" w:rsidRPr="004034C1" w:rsidRDefault="00851D16" w:rsidP="00BA12BB">
            <w:pPr>
              <w:spacing w:line="276" w:lineRule="auto"/>
              <w:jc w:val="center"/>
              <w:rPr>
                <w:rFonts w:ascii="Arial" w:hAnsi="Arial" w:cs="Arial"/>
                <w:kern w:val="24"/>
                <w:sz w:val="20"/>
                <w:szCs w:val="22"/>
              </w:rPr>
            </w:pPr>
            <w:r w:rsidRPr="004034C1">
              <w:rPr>
                <w:rFonts w:ascii="Arial" w:hAnsi="Arial" w:cs="Arial"/>
                <w:kern w:val="24"/>
                <w:sz w:val="20"/>
                <w:szCs w:val="22"/>
              </w:rPr>
              <w:t>170 (7.7)</w:t>
            </w:r>
          </w:p>
        </w:tc>
      </w:tr>
      <w:tr w:rsidR="00BA12BB" w:rsidRPr="00306C71" w14:paraId="3899BA9B" w14:textId="77777777" w:rsidTr="00BA12BB">
        <w:tc>
          <w:tcPr>
            <w:tcW w:w="3294" w:type="pct"/>
            <w:vAlign w:val="center"/>
          </w:tcPr>
          <w:p w14:paraId="4D4A8DF3" w14:textId="77777777" w:rsidR="00BA12BB" w:rsidRPr="004034C1" w:rsidRDefault="00BA12BB" w:rsidP="00BA12BB">
            <w:pPr>
              <w:spacing w:line="276" w:lineRule="auto"/>
              <w:ind w:left="284"/>
              <w:rPr>
                <w:rFonts w:ascii="Arial" w:hAnsi="Arial" w:cs="Arial"/>
                <w:sz w:val="20"/>
                <w:szCs w:val="22"/>
              </w:rPr>
            </w:pPr>
            <w:r w:rsidRPr="004034C1">
              <w:rPr>
                <w:rFonts w:ascii="Arial" w:hAnsi="Arial" w:cs="Arial"/>
                <w:sz w:val="20"/>
                <w:szCs w:val="22"/>
              </w:rPr>
              <w:t xml:space="preserve">Anxiety and depression </w:t>
            </w:r>
          </w:p>
        </w:tc>
        <w:tc>
          <w:tcPr>
            <w:tcW w:w="1706" w:type="pct"/>
            <w:vAlign w:val="center"/>
          </w:tcPr>
          <w:p w14:paraId="40347C84" w14:textId="77777777" w:rsidR="00BA12BB" w:rsidRPr="004034C1" w:rsidRDefault="00851D16" w:rsidP="00BA12BB">
            <w:pPr>
              <w:spacing w:line="276" w:lineRule="auto"/>
              <w:jc w:val="center"/>
              <w:rPr>
                <w:rFonts w:ascii="Arial" w:hAnsi="Arial" w:cs="Arial"/>
                <w:sz w:val="20"/>
                <w:szCs w:val="22"/>
              </w:rPr>
            </w:pPr>
            <w:r w:rsidRPr="004034C1">
              <w:rPr>
                <w:rFonts w:ascii="Arial" w:hAnsi="Arial" w:cs="Arial"/>
                <w:kern w:val="24"/>
                <w:sz w:val="20"/>
                <w:szCs w:val="22"/>
              </w:rPr>
              <w:t>55 (2.5)</w:t>
            </w:r>
          </w:p>
        </w:tc>
      </w:tr>
      <w:tr w:rsidR="001037F5" w:rsidRPr="00306C71" w14:paraId="064A9B91" w14:textId="77777777" w:rsidTr="001037F5">
        <w:tc>
          <w:tcPr>
            <w:tcW w:w="5000" w:type="pct"/>
            <w:gridSpan w:val="2"/>
          </w:tcPr>
          <w:p w14:paraId="7C98A04D" w14:textId="77777777" w:rsidR="001037F5" w:rsidRPr="004034C1" w:rsidRDefault="001037F5" w:rsidP="0042608D">
            <w:pPr>
              <w:spacing w:line="276" w:lineRule="auto"/>
              <w:rPr>
                <w:rFonts w:ascii="Arial" w:hAnsi="Arial" w:cs="Arial"/>
                <w:sz w:val="20"/>
                <w:szCs w:val="22"/>
                <w:highlight w:val="yellow"/>
              </w:rPr>
            </w:pPr>
            <w:r w:rsidRPr="004034C1">
              <w:rPr>
                <w:rFonts w:ascii="Arial" w:hAnsi="Arial" w:cs="Arial"/>
                <w:b/>
                <w:sz w:val="20"/>
                <w:szCs w:val="22"/>
              </w:rPr>
              <w:t xml:space="preserve">Any prescriptions in year </w:t>
            </w:r>
            <w:r w:rsidR="00E873C9" w:rsidRPr="004034C1">
              <w:rPr>
                <w:rFonts w:ascii="Arial" w:hAnsi="Arial" w:cs="Arial"/>
                <w:b/>
                <w:sz w:val="20"/>
                <w:szCs w:val="22"/>
              </w:rPr>
              <w:t>prior to</w:t>
            </w:r>
            <w:r w:rsidR="00A44C91" w:rsidRPr="004034C1">
              <w:rPr>
                <w:rFonts w:ascii="Arial" w:hAnsi="Arial" w:cs="Arial"/>
                <w:b/>
                <w:sz w:val="20"/>
                <w:szCs w:val="22"/>
              </w:rPr>
              <w:t xml:space="preserve"> PFCS</w:t>
            </w:r>
            <w:r w:rsidR="0042608D" w:rsidRPr="004034C1">
              <w:rPr>
                <w:rFonts w:ascii="Arial" w:hAnsi="Arial" w:cs="Arial"/>
                <w:b/>
                <w:sz w:val="20"/>
                <w:szCs w:val="22"/>
              </w:rPr>
              <w:t xml:space="preserve"> </w:t>
            </w:r>
            <w:r w:rsidRPr="004034C1">
              <w:rPr>
                <w:rFonts w:ascii="Arial" w:hAnsi="Arial" w:cs="Arial"/>
                <w:b/>
                <w:sz w:val="20"/>
                <w:szCs w:val="22"/>
              </w:rPr>
              <w:t>diagnosis</w:t>
            </w:r>
            <w:r w:rsidR="00772407" w:rsidRPr="004034C1">
              <w:rPr>
                <w:rFonts w:ascii="Arial" w:hAnsi="Arial" w:cs="Arial"/>
                <w:b/>
                <w:sz w:val="20"/>
                <w:szCs w:val="22"/>
              </w:rPr>
              <w:t>, n (%)</w:t>
            </w:r>
          </w:p>
        </w:tc>
      </w:tr>
      <w:tr w:rsidR="00BA12BB" w:rsidRPr="00306C71" w14:paraId="268B9F17" w14:textId="77777777" w:rsidTr="00BA12BB">
        <w:tc>
          <w:tcPr>
            <w:tcW w:w="3294" w:type="pct"/>
            <w:vAlign w:val="center"/>
          </w:tcPr>
          <w:p w14:paraId="773ECB3C" w14:textId="77777777" w:rsidR="00BA12BB" w:rsidRPr="004034C1" w:rsidRDefault="00BA12BB" w:rsidP="00BA12BB">
            <w:pPr>
              <w:spacing w:line="276" w:lineRule="auto"/>
              <w:ind w:firstLine="284"/>
              <w:rPr>
                <w:rFonts w:ascii="Arial" w:hAnsi="Arial" w:cs="Arial"/>
                <w:sz w:val="20"/>
                <w:szCs w:val="22"/>
                <w:highlight w:val="yellow"/>
              </w:rPr>
            </w:pPr>
            <w:r w:rsidRPr="004034C1">
              <w:rPr>
                <w:rFonts w:ascii="Arial" w:hAnsi="Arial" w:cs="Arial"/>
                <w:sz w:val="20"/>
                <w:szCs w:val="22"/>
              </w:rPr>
              <w:t>SABA</w:t>
            </w:r>
          </w:p>
        </w:tc>
        <w:tc>
          <w:tcPr>
            <w:tcW w:w="1706" w:type="pct"/>
            <w:vAlign w:val="center"/>
          </w:tcPr>
          <w:p w14:paraId="3F07BA87" w14:textId="77777777" w:rsidR="00BA12BB" w:rsidRPr="004034C1" w:rsidRDefault="00E87D25" w:rsidP="00BA12BB">
            <w:pPr>
              <w:spacing w:line="276" w:lineRule="auto"/>
              <w:jc w:val="center"/>
              <w:rPr>
                <w:rFonts w:ascii="Arial" w:hAnsi="Arial" w:cs="Arial"/>
                <w:sz w:val="20"/>
                <w:szCs w:val="22"/>
                <w:highlight w:val="yellow"/>
              </w:rPr>
            </w:pPr>
            <w:r w:rsidRPr="004034C1">
              <w:rPr>
                <w:rFonts w:ascii="Arial" w:hAnsi="Arial" w:cs="Arial"/>
                <w:kern w:val="24"/>
                <w:sz w:val="20"/>
                <w:szCs w:val="22"/>
              </w:rPr>
              <w:t>514 (</w:t>
            </w:r>
            <w:r w:rsidR="00EA248B" w:rsidRPr="004034C1">
              <w:rPr>
                <w:rFonts w:ascii="Arial" w:hAnsi="Arial" w:cs="Arial"/>
                <w:kern w:val="24"/>
                <w:sz w:val="20"/>
                <w:szCs w:val="22"/>
              </w:rPr>
              <w:t>23</w:t>
            </w:r>
            <w:r w:rsidRPr="004034C1">
              <w:rPr>
                <w:rFonts w:ascii="Arial" w:hAnsi="Arial" w:cs="Arial"/>
                <w:kern w:val="24"/>
                <w:sz w:val="20"/>
                <w:szCs w:val="22"/>
              </w:rPr>
              <w:t>.2)</w:t>
            </w:r>
          </w:p>
        </w:tc>
      </w:tr>
      <w:tr w:rsidR="00BA12BB" w:rsidRPr="00306C71" w14:paraId="7E8D78EC" w14:textId="77777777" w:rsidTr="00BA12BB">
        <w:tc>
          <w:tcPr>
            <w:tcW w:w="3294" w:type="pct"/>
            <w:vAlign w:val="center"/>
          </w:tcPr>
          <w:p w14:paraId="55630B39" w14:textId="77777777" w:rsidR="00BA12BB" w:rsidRPr="004034C1" w:rsidRDefault="00BA12BB" w:rsidP="00BA12BB">
            <w:pPr>
              <w:spacing w:line="276" w:lineRule="auto"/>
              <w:ind w:firstLine="284"/>
              <w:rPr>
                <w:rFonts w:ascii="Arial" w:hAnsi="Arial" w:cs="Arial"/>
                <w:sz w:val="20"/>
                <w:szCs w:val="22"/>
                <w:highlight w:val="yellow"/>
              </w:rPr>
            </w:pPr>
            <w:r w:rsidRPr="004034C1">
              <w:rPr>
                <w:rFonts w:ascii="Arial" w:hAnsi="Arial" w:cs="Arial"/>
                <w:sz w:val="20"/>
                <w:szCs w:val="22"/>
              </w:rPr>
              <w:t>SAMA</w:t>
            </w:r>
          </w:p>
        </w:tc>
        <w:tc>
          <w:tcPr>
            <w:tcW w:w="1706" w:type="pct"/>
            <w:vAlign w:val="center"/>
          </w:tcPr>
          <w:p w14:paraId="53B269B0" w14:textId="77777777" w:rsidR="00BA12BB" w:rsidRPr="004034C1" w:rsidRDefault="0064677B" w:rsidP="00BA12BB">
            <w:pPr>
              <w:spacing w:line="276" w:lineRule="auto"/>
              <w:jc w:val="center"/>
              <w:rPr>
                <w:rFonts w:ascii="Arial" w:hAnsi="Arial" w:cs="Arial"/>
                <w:sz w:val="20"/>
                <w:szCs w:val="22"/>
                <w:highlight w:val="yellow"/>
              </w:rPr>
            </w:pPr>
            <w:r w:rsidRPr="004034C1">
              <w:rPr>
                <w:rFonts w:ascii="Arial" w:hAnsi="Arial" w:cs="Arial"/>
                <w:kern w:val="24"/>
                <w:sz w:val="20"/>
                <w:szCs w:val="22"/>
              </w:rPr>
              <w:t>133 (6.0)</w:t>
            </w:r>
          </w:p>
        </w:tc>
      </w:tr>
      <w:tr w:rsidR="00BA12BB" w:rsidRPr="00306C71" w14:paraId="320CC420" w14:textId="77777777" w:rsidTr="00E87D25">
        <w:trPr>
          <w:trHeight w:val="296"/>
        </w:trPr>
        <w:tc>
          <w:tcPr>
            <w:tcW w:w="3294" w:type="pct"/>
            <w:vAlign w:val="center"/>
          </w:tcPr>
          <w:p w14:paraId="1464FCD5" w14:textId="77777777" w:rsidR="00BA12BB" w:rsidRPr="004034C1" w:rsidRDefault="00BA12BB" w:rsidP="00BA12BB">
            <w:pPr>
              <w:spacing w:line="276" w:lineRule="auto"/>
              <w:ind w:firstLine="284"/>
              <w:rPr>
                <w:rFonts w:ascii="Arial" w:hAnsi="Arial" w:cs="Arial"/>
                <w:sz w:val="20"/>
                <w:szCs w:val="22"/>
                <w:highlight w:val="yellow"/>
              </w:rPr>
            </w:pPr>
            <w:r w:rsidRPr="004034C1">
              <w:rPr>
                <w:rFonts w:ascii="Arial" w:hAnsi="Arial" w:cs="Arial"/>
                <w:sz w:val="20"/>
                <w:szCs w:val="22"/>
              </w:rPr>
              <w:t>ICS</w:t>
            </w:r>
          </w:p>
        </w:tc>
        <w:tc>
          <w:tcPr>
            <w:tcW w:w="1706" w:type="pct"/>
            <w:vAlign w:val="center"/>
          </w:tcPr>
          <w:p w14:paraId="01443E0A" w14:textId="77777777" w:rsidR="00BA12BB" w:rsidRPr="004034C1" w:rsidRDefault="00BA12BB" w:rsidP="00BA12BB">
            <w:pPr>
              <w:spacing w:line="276" w:lineRule="auto"/>
              <w:jc w:val="center"/>
              <w:rPr>
                <w:rFonts w:ascii="Arial" w:hAnsi="Arial" w:cs="Arial"/>
                <w:sz w:val="20"/>
                <w:szCs w:val="22"/>
                <w:highlight w:val="yellow"/>
              </w:rPr>
            </w:pPr>
            <w:r w:rsidRPr="004034C1">
              <w:rPr>
                <w:rFonts w:ascii="Arial" w:hAnsi="Arial" w:cs="Arial"/>
                <w:kern w:val="24"/>
                <w:sz w:val="20"/>
                <w:szCs w:val="22"/>
              </w:rPr>
              <w:t>1</w:t>
            </w:r>
            <w:r w:rsidR="00E87D25" w:rsidRPr="004034C1">
              <w:rPr>
                <w:rFonts w:ascii="Arial" w:hAnsi="Arial" w:cs="Arial"/>
                <w:kern w:val="24"/>
                <w:sz w:val="20"/>
                <w:szCs w:val="22"/>
              </w:rPr>
              <w:t>96 (8.8)</w:t>
            </w:r>
          </w:p>
        </w:tc>
      </w:tr>
      <w:tr w:rsidR="00BA12BB" w:rsidRPr="00306C71" w14:paraId="09AA031B" w14:textId="77777777" w:rsidTr="003B0AB7">
        <w:tc>
          <w:tcPr>
            <w:tcW w:w="3294" w:type="pct"/>
            <w:tcBorders>
              <w:bottom w:val="single" w:sz="18" w:space="0" w:color="auto"/>
            </w:tcBorders>
            <w:vAlign w:val="center"/>
          </w:tcPr>
          <w:p w14:paraId="2ECCC5D6" w14:textId="77777777" w:rsidR="00BA12BB" w:rsidRPr="004034C1" w:rsidRDefault="00BA12BB" w:rsidP="00BA12BB">
            <w:pPr>
              <w:spacing w:line="276" w:lineRule="auto"/>
              <w:ind w:firstLine="284"/>
              <w:rPr>
                <w:rFonts w:ascii="Arial" w:hAnsi="Arial" w:cs="Arial"/>
                <w:sz w:val="20"/>
                <w:szCs w:val="22"/>
                <w:highlight w:val="yellow"/>
              </w:rPr>
            </w:pPr>
            <w:r w:rsidRPr="004034C1">
              <w:rPr>
                <w:rFonts w:ascii="Arial" w:hAnsi="Arial" w:cs="Arial"/>
                <w:sz w:val="20"/>
                <w:szCs w:val="22"/>
              </w:rPr>
              <w:t>ICS/LABA</w:t>
            </w:r>
          </w:p>
        </w:tc>
        <w:tc>
          <w:tcPr>
            <w:tcW w:w="1706" w:type="pct"/>
            <w:tcBorders>
              <w:bottom w:val="single" w:sz="18" w:space="0" w:color="auto"/>
            </w:tcBorders>
            <w:vAlign w:val="center"/>
          </w:tcPr>
          <w:p w14:paraId="00CE694B" w14:textId="77777777" w:rsidR="00BA12BB" w:rsidRPr="004034C1" w:rsidRDefault="00E87D25" w:rsidP="00BA12BB">
            <w:pPr>
              <w:spacing w:line="276" w:lineRule="auto"/>
              <w:jc w:val="center"/>
              <w:rPr>
                <w:rFonts w:ascii="Arial" w:hAnsi="Arial" w:cs="Arial"/>
                <w:sz w:val="20"/>
                <w:szCs w:val="22"/>
                <w:highlight w:val="yellow"/>
              </w:rPr>
            </w:pPr>
            <w:r w:rsidRPr="004034C1">
              <w:rPr>
                <w:rFonts w:ascii="Arial" w:hAnsi="Arial" w:cs="Arial"/>
                <w:kern w:val="24"/>
                <w:sz w:val="20"/>
                <w:szCs w:val="22"/>
              </w:rPr>
              <w:t>210 (9.4)</w:t>
            </w:r>
          </w:p>
        </w:tc>
      </w:tr>
      <w:tr w:rsidR="003A01DE" w:rsidRPr="00306C71" w14:paraId="451671CD" w14:textId="77777777" w:rsidTr="003B0AB7">
        <w:tc>
          <w:tcPr>
            <w:tcW w:w="5000" w:type="pct"/>
            <w:gridSpan w:val="2"/>
            <w:tcBorders>
              <w:top w:val="single" w:sz="18" w:space="0" w:color="auto"/>
              <w:bottom w:val="single" w:sz="18" w:space="0" w:color="auto"/>
            </w:tcBorders>
          </w:tcPr>
          <w:p w14:paraId="5A45DC04" w14:textId="77777777" w:rsidR="003A01DE" w:rsidRPr="004034C1" w:rsidRDefault="003A01DE" w:rsidP="00632548">
            <w:pPr>
              <w:spacing w:line="276" w:lineRule="auto"/>
              <w:rPr>
                <w:rFonts w:ascii="Arial" w:hAnsi="Arial" w:cs="Arial"/>
                <w:b/>
                <w:kern w:val="24"/>
                <w:sz w:val="20"/>
                <w:szCs w:val="22"/>
              </w:rPr>
            </w:pPr>
            <w:r w:rsidRPr="004034C1">
              <w:rPr>
                <w:rFonts w:ascii="Arial" w:hAnsi="Arial" w:cs="Arial"/>
                <w:b/>
                <w:sz w:val="20"/>
                <w:szCs w:val="22"/>
              </w:rPr>
              <w:t xml:space="preserve">Lung Function </w:t>
            </w:r>
          </w:p>
        </w:tc>
      </w:tr>
      <w:tr w:rsidR="00D2798A" w:rsidRPr="00306C71" w14:paraId="67821225" w14:textId="77777777" w:rsidTr="003B0AB7">
        <w:trPr>
          <w:trHeight w:val="296"/>
        </w:trPr>
        <w:tc>
          <w:tcPr>
            <w:tcW w:w="3294" w:type="pct"/>
            <w:tcBorders>
              <w:top w:val="single" w:sz="18" w:space="0" w:color="auto"/>
            </w:tcBorders>
          </w:tcPr>
          <w:p w14:paraId="091891FA" w14:textId="77777777" w:rsidR="00D2798A" w:rsidRPr="004034C1" w:rsidRDefault="0042608D" w:rsidP="00317D42">
            <w:pPr>
              <w:spacing w:line="276" w:lineRule="auto"/>
              <w:rPr>
                <w:rFonts w:ascii="Arial" w:hAnsi="Arial" w:cs="Arial"/>
                <w:b/>
                <w:sz w:val="20"/>
                <w:szCs w:val="22"/>
              </w:rPr>
            </w:pPr>
            <w:r w:rsidRPr="004034C1">
              <w:rPr>
                <w:rFonts w:ascii="Arial" w:hAnsi="Arial" w:cs="Arial"/>
                <w:b/>
                <w:sz w:val="20"/>
                <w:szCs w:val="22"/>
              </w:rPr>
              <w:t>Without comorbid COPD</w:t>
            </w:r>
            <w:r w:rsidR="00D2798A" w:rsidRPr="004034C1">
              <w:rPr>
                <w:rFonts w:ascii="Arial" w:hAnsi="Arial" w:cs="Arial"/>
                <w:b/>
                <w:sz w:val="20"/>
                <w:szCs w:val="22"/>
              </w:rPr>
              <w:t xml:space="preserve"> </w:t>
            </w:r>
          </w:p>
        </w:tc>
        <w:tc>
          <w:tcPr>
            <w:tcW w:w="1706" w:type="pct"/>
            <w:tcBorders>
              <w:top w:val="single" w:sz="18" w:space="0" w:color="auto"/>
            </w:tcBorders>
            <w:vAlign w:val="center"/>
          </w:tcPr>
          <w:p w14:paraId="0EA4E8C2" w14:textId="77777777" w:rsidR="00D2798A" w:rsidRPr="004034C1" w:rsidRDefault="006A7F8F" w:rsidP="00BA12BB">
            <w:pPr>
              <w:spacing w:line="276" w:lineRule="auto"/>
              <w:jc w:val="center"/>
              <w:rPr>
                <w:rFonts w:ascii="Arial" w:hAnsi="Arial" w:cs="Arial"/>
                <w:b/>
                <w:kern w:val="24"/>
                <w:sz w:val="20"/>
                <w:szCs w:val="22"/>
              </w:rPr>
            </w:pPr>
            <w:r w:rsidRPr="004034C1">
              <w:rPr>
                <w:rFonts w:ascii="Arial" w:hAnsi="Arial" w:cs="Arial"/>
                <w:b/>
                <w:kern w:val="24"/>
                <w:sz w:val="20"/>
                <w:szCs w:val="22"/>
              </w:rPr>
              <w:t>n</w:t>
            </w:r>
            <w:r w:rsidR="00FD66A3" w:rsidRPr="004034C1">
              <w:rPr>
                <w:rFonts w:ascii="Arial" w:hAnsi="Arial" w:cs="Arial"/>
                <w:b/>
                <w:kern w:val="24"/>
                <w:sz w:val="20"/>
                <w:szCs w:val="22"/>
              </w:rPr>
              <w:t xml:space="preserve"> = 245</w:t>
            </w:r>
          </w:p>
        </w:tc>
      </w:tr>
      <w:tr w:rsidR="00BA12BB" w:rsidRPr="00306C71" w14:paraId="1F6BACB9" w14:textId="77777777" w:rsidTr="00E87D25">
        <w:trPr>
          <w:trHeight w:val="296"/>
        </w:trPr>
        <w:tc>
          <w:tcPr>
            <w:tcW w:w="3294" w:type="pct"/>
          </w:tcPr>
          <w:p w14:paraId="03FF1413" w14:textId="77777777" w:rsidR="00BA12BB" w:rsidRPr="004034C1" w:rsidRDefault="00BA12BB" w:rsidP="00317D42">
            <w:pPr>
              <w:spacing w:line="276" w:lineRule="auto"/>
              <w:ind w:firstLine="316"/>
              <w:rPr>
                <w:rFonts w:ascii="Arial" w:hAnsi="Arial" w:cs="Arial"/>
                <w:b/>
                <w:sz w:val="20"/>
                <w:szCs w:val="22"/>
              </w:rPr>
            </w:pPr>
            <w:r w:rsidRPr="004034C1">
              <w:rPr>
                <w:rFonts w:ascii="Arial" w:hAnsi="Arial" w:cs="Arial"/>
                <w:sz w:val="20"/>
                <w:szCs w:val="22"/>
              </w:rPr>
              <w:t>FVC (L), mean (SD)</w:t>
            </w:r>
          </w:p>
        </w:tc>
        <w:tc>
          <w:tcPr>
            <w:tcW w:w="1706" w:type="pct"/>
            <w:vAlign w:val="center"/>
          </w:tcPr>
          <w:p w14:paraId="6BB1CF54" w14:textId="77777777" w:rsidR="00BA12BB" w:rsidRPr="004034C1" w:rsidRDefault="00FD66A3" w:rsidP="00BA12BB">
            <w:pPr>
              <w:spacing w:line="276" w:lineRule="auto"/>
              <w:jc w:val="center"/>
              <w:rPr>
                <w:rFonts w:ascii="Arial" w:hAnsi="Arial" w:cs="Arial"/>
                <w:kern w:val="24"/>
                <w:sz w:val="20"/>
                <w:szCs w:val="22"/>
              </w:rPr>
            </w:pPr>
            <w:r w:rsidRPr="004034C1">
              <w:rPr>
                <w:rFonts w:ascii="Arial" w:hAnsi="Arial" w:cs="Arial"/>
                <w:kern w:val="24"/>
                <w:sz w:val="20"/>
                <w:szCs w:val="22"/>
              </w:rPr>
              <w:t>2.9 (5.7)</w:t>
            </w:r>
          </w:p>
        </w:tc>
      </w:tr>
      <w:tr w:rsidR="00BA12BB" w:rsidRPr="00306C71" w14:paraId="0F2AADBA" w14:textId="77777777" w:rsidTr="00BA12BB">
        <w:tc>
          <w:tcPr>
            <w:tcW w:w="3294" w:type="pct"/>
            <w:tcBorders>
              <w:top w:val="single" w:sz="4" w:space="0" w:color="auto"/>
              <w:bottom w:val="nil"/>
            </w:tcBorders>
            <w:vAlign w:val="center"/>
          </w:tcPr>
          <w:p w14:paraId="00CDFB92" w14:textId="77777777" w:rsidR="00BA12BB" w:rsidRPr="004034C1" w:rsidRDefault="00BA12BB" w:rsidP="00317D42">
            <w:pPr>
              <w:spacing w:line="276" w:lineRule="auto"/>
              <w:ind w:firstLine="316"/>
              <w:rPr>
                <w:rFonts w:ascii="Arial" w:hAnsi="Arial" w:cs="Arial"/>
                <w:sz w:val="20"/>
                <w:szCs w:val="22"/>
              </w:rPr>
            </w:pPr>
            <w:r w:rsidRPr="004034C1">
              <w:rPr>
                <w:rFonts w:ascii="Arial" w:hAnsi="Arial" w:cs="Arial"/>
                <w:sz w:val="20"/>
                <w:szCs w:val="22"/>
              </w:rPr>
              <w:t>FEV1/FVC ratio, mean (SD)</w:t>
            </w:r>
          </w:p>
        </w:tc>
        <w:tc>
          <w:tcPr>
            <w:tcW w:w="1706" w:type="pct"/>
            <w:tcBorders>
              <w:top w:val="single" w:sz="4" w:space="0" w:color="auto"/>
              <w:bottom w:val="nil"/>
            </w:tcBorders>
            <w:vAlign w:val="center"/>
          </w:tcPr>
          <w:p w14:paraId="7938B2A7" w14:textId="77777777" w:rsidR="00BA12BB" w:rsidRPr="004034C1" w:rsidRDefault="00BA12BB" w:rsidP="00BA12BB">
            <w:pPr>
              <w:spacing w:line="276" w:lineRule="auto"/>
              <w:jc w:val="center"/>
              <w:rPr>
                <w:rFonts w:ascii="Arial" w:hAnsi="Arial" w:cs="Arial"/>
                <w:kern w:val="24"/>
                <w:sz w:val="20"/>
                <w:szCs w:val="22"/>
              </w:rPr>
            </w:pPr>
            <w:r w:rsidRPr="004034C1">
              <w:rPr>
                <w:rFonts w:ascii="Arial" w:hAnsi="Arial" w:cs="Arial"/>
                <w:kern w:val="24"/>
                <w:sz w:val="20"/>
                <w:szCs w:val="22"/>
              </w:rPr>
              <w:t>0.7</w:t>
            </w:r>
            <w:r w:rsidR="00FD66A3" w:rsidRPr="004034C1">
              <w:rPr>
                <w:rFonts w:ascii="Arial" w:hAnsi="Arial" w:cs="Arial"/>
                <w:kern w:val="24"/>
                <w:sz w:val="20"/>
                <w:szCs w:val="22"/>
              </w:rPr>
              <w:t>8</w:t>
            </w:r>
            <w:r w:rsidRPr="004034C1">
              <w:rPr>
                <w:rFonts w:ascii="Arial" w:hAnsi="Arial" w:cs="Arial"/>
                <w:kern w:val="24"/>
                <w:sz w:val="20"/>
                <w:szCs w:val="22"/>
              </w:rPr>
              <w:t xml:space="preserve"> (0.</w:t>
            </w:r>
            <w:r w:rsidR="00FD66A3" w:rsidRPr="004034C1">
              <w:rPr>
                <w:rFonts w:ascii="Arial" w:hAnsi="Arial" w:cs="Arial"/>
                <w:kern w:val="24"/>
                <w:sz w:val="20"/>
                <w:szCs w:val="22"/>
              </w:rPr>
              <w:t>1</w:t>
            </w:r>
            <w:r w:rsidRPr="004034C1">
              <w:rPr>
                <w:rFonts w:ascii="Arial" w:hAnsi="Arial" w:cs="Arial"/>
                <w:kern w:val="24"/>
                <w:sz w:val="20"/>
                <w:szCs w:val="22"/>
              </w:rPr>
              <w:t>)</w:t>
            </w:r>
          </w:p>
        </w:tc>
      </w:tr>
      <w:tr w:rsidR="003A01DE" w:rsidRPr="00306C71" w14:paraId="721ADCA4" w14:textId="77777777" w:rsidTr="00D55CBE">
        <w:trPr>
          <w:trHeight w:val="296"/>
        </w:trPr>
        <w:tc>
          <w:tcPr>
            <w:tcW w:w="3294" w:type="pct"/>
          </w:tcPr>
          <w:p w14:paraId="73577DBA" w14:textId="77777777" w:rsidR="003A01DE" w:rsidRPr="004034C1" w:rsidRDefault="0042608D" w:rsidP="00317D42">
            <w:pPr>
              <w:spacing w:line="276" w:lineRule="auto"/>
              <w:rPr>
                <w:rFonts w:ascii="Arial" w:hAnsi="Arial" w:cs="Arial"/>
                <w:b/>
                <w:sz w:val="20"/>
                <w:szCs w:val="22"/>
              </w:rPr>
            </w:pPr>
            <w:r w:rsidRPr="004034C1">
              <w:rPr>
                <w:rFonts w:ascii="Arial" w:hAnsi="Arial" w:cs="Arial"/>
                <w:b/>
                <w:sz w:val="20"/>
                <w:szCs w:val="22"/>
              </w:rPr>
              <w:t>With comorbid</w:t>
            </w:r>
            <w:r w:rsidR="003A01DE" w:rsidRPr="004034C1">
              <w:rPr>
                <w:rFonts w:ascii="Arial" w:hAnsi="Arial" w:cs="Arial"/>
                <w:b/>
                <w:sz w:val="20"/>
                <w:szCs w:val="22"/>
              </w:rPr>
              <w:t xml:space="preserve"> COPD</w:t>
            </w:r>
          </w:p>
        </w:tc>
        <w:tc>
          <w:tcPr>
            <w:tcW w:w="1706" w:type="pct"/>
            <w:vAlign w:val="center"/>
          </w:tcPr>
          <w:p w14:paraId="7E7F3B82" w14:textId="77777777" w:rsidR="003A01DE" w:rsidRPr="004034C1" w:rsidRDefault="006A7F8F" w:rsidP="00D55CBE">
            <w:pPr>
              <w:spacing w:line="276" w:lineRule="auto"/>
              <w:jc w:val="center"/>
              <w:rPr>
                <w:rFonts w:ascii="Arial" w:hAnsi="Arial" w:cs="Arial"/>
                <w:b/>
                <w:kern w:val="24"/>
                <w:sz w:val="20"/>
                <w:szCs w:val="22"/>
              </w:rPr>
            </w:pPr>
            <w:r w:rsidRPr="004034C1">
              <w:rPr>
                <w:rFonts w:ascii="Arial" w:hAnsi="Arial" w:cs="Arial"/>
                <w:b/>
                <w:kern w:val="24"/>
                <w:sz w:val="20"/>
                <w:szCs w:val="22"/>
              </w:rPr>
              <w:t>n</w:t>
            </w:r>
            <w:r w:rsidR="003A01DE" w:rsidRPr="004034C1">
              <w:rPr>
                <w:rFonts w:ascii="Arial" w:hAnsi="Arial" w:cs="Arial"/>
                <w:b/>
                <w:kern w:val="24"/>
                <w:sz w:val="20"/>
                <w:szCs w:val="22"/>
              </w:rPr>
              <w:t xml:space="preserve"> = </w:t>
            </w:r>
            <w:r w:rsidR="00FD66A3" w:rsidRPr="004034C1">
              <w:rPr>
                <w:rFonts w:ascii="Arial" w:hAnsi="Arial" w:cs="Arial"/>
                <w:b/>
                <w:kern w:val="24"/>
                <w:sz w:val="20"/>
                <w:szCs w:val="22"/>
              </w:rPr>
              <w:t>74</w:t>
            </w:r>
          </w:p>
        </w:tc>
      </w:tr>
      <w:tr w:rsidR="003A01DE" w:rsidRPr="00306C71" w14:paraId="07F36434" w14:textId="77777777" w:rsidTr="00D55CBE">
        <w:trPr>
          <w:trHeight w:val="296"/>
        </w:trPr>
        <w:tc>
          <w:tcPr>
            <w:tcW w:w="3294" w:type="pct"/>
          </w:tcPr>
          <w:p w14:paraId="0B8F6782" w14:textId="77777777" w:rsidR="003A01DE" w:rsidRPr="004034C1" w:rsidRDefault="003A01DE" w:rsidP="00317D42">
            <w:pPr>
              <w:spacing w:line="276" w:lineRule="auto"/>
              <w:ind w:firstLine="316"/>
              <w:rPr>
                <w:rFonts w:ascii="Arial" w:hAnsi="Arial" w:cs="Arial"/>
                <w:b/>
                <w:sz w:val="20"/>
                <w:szCs w:val="22"/>
              </w:rPr>
            </w:pPr>
            <w:r w:rsidRPr="004034C1">
              <w:rPr>
                <w:rFonts w:ascii="Arial" w:hAnsi="Arial" w:cs="Arial"/>
                <w:sz w:val="20"/>
                <w:szCs w:val="22"/>
              </w:rPr>
              <w:t>FVC (L), mean (SD)</w:t>
            </w:r>
          </w:p>
        </w:tc>
        <w:tc>
          <w:tcPr>
            <w:tcW w:w="1706" w:type="pct"/>
            <w:vAlign w:val="center"/>
          </w:tcPr>
          <w:p w14:paraId="1782974F" w14:textId="77777777" w:rsidR="003A01DE" w:rsidRPr="004034C1" w:rsidRDefault="00FD66A3" w:rsidP="00D55CBE">
            <w:pPr>
              <w:spacing w:line="276" w:lineRule="auto"/>
              <w:jc w:val="center"/>
              <w:rPr>
                <w:rFonts w:ascii="Arial" w:hAnsi="Arial" w:cs="Arial"/>
                <w:kern w:val="24"/>
                <w:sz w:val="20"/>
                <w:szCs w:val="22"/>
              </w:rPr>
            </w:pPr>
            <w:r w:rsidRPr="004034C1">
              <w:rPr>
                <w:rFonts w:ascii="Arial" w:hAnsi="Arial" w:cs="Arial"/>
                <w:kern w:val="24"/>
                <w:sz w:val="20"/>
                <w:szCs w:val="22"/>
              </w:rPr>
              <w:t>2.5</w:t>
            </w:r>
            <w:r w:rsidR="003A01DE" w:rsidRPr="004034C1">
              <w:rPr>
                <w:rFonts w:ascii="Arial" w:hAnsi="Arial" w:cs="Arial"/>
                <w:kern w:val="24"/>
                <w:sz w:val="20"/>
                <w:szCs w:val="22"/>
              </w:rPr>
              <w:t xml:space="preserve"> (0.9)</w:t>
            </w:r>
          </w:p>
        </w:tc>
      </w:tr>
      <w:tr w:rsidR="003A01DE" w:rsidRPr="00306C71" w14:paraId="7A304AD7" w14:textId="77777777" w:rsidTr="00D55CBE">
        <w:tc>
          <w:tcPr>
            <w:tcW w:w="3294" w:type="pct"/>
            <w:tcBorders>
              <w:top w:val="single" w:sz="4" w:space="0" w:color="auto"/>
              <w:bottom w:val="nil"/>
            </w:tcBorders>
            <w:vAlign w:val="center"/>
          </w:tcPr>
          <w:p w14:paraId="1F57E2B4" w14:textId="77777777" w:rsidR="003A01DE" w:rsidRPr="004034C1" w:rsidRDefault="003A01DE" w:rsidP="00317D42">
            <w:pPr>
              <w:spacing w:line="276" w:lineRule="auto"/>
              <w:ind w:firstLine="316"/>
              <w:rPr>
                <w:rFonts w:ascii="Arial" w:hAnsi="Arial" w:cs="Arial"/>
                <w:sz w:val="20"/>
                <w:szCs w:val="22"/>
              </w:rPr>
            </w:pPr>
            <w:r w:rsidRPr="004034C1">
              <w:rPr>
                <w:rFonts w:ascii="Arial" w:hAnsi="Arial" w:cs="Arial"/>
                <w:sz w:val="20"/>
                <w:szCs w:val="22"/>
              </w:rPr>
              <w:t>FEV</w:t>
            </w:r>
            <w:r w:rsidRPr="00AC76C4">
              <w:rPr>
                <w:rFonts w:ascii="Arial" w:hAnsi="Arial" w:cs="Arial"/>
                <w:sz w:val="20"/>
                <w:szCs w:val="22"/>
                <w:vertAlign w:val="subscript"/>
              </w:rPr>
              <w:t>1</w:t>
            </w:r>
            <w:r w:rsidRPr="004034C1">
              <w:rPr>
                <w:rFonts w:ascii="Arial" w:hAnsi="Arial" w:cs="Arial"/>
                <w:sz w:val="20"/>
                <w:szCs w:val="22"/>
              </w:rPr>
              <w:t>/FVC ratio, mean (SD)</w:t>
            </w:r>
          </w:p>
        </w:tc>
        <w:tc>
          <w:tcPr>
            <w:tcW w:w="1706" w:type="pct"/>
            <w:tcBorders>
              <w:top w:val="single" w:sz="4" w:space="0" w:color="auto"/>
              <w:bottom w:val="nil"/>
            </w:tcBorders>
            <w:vAlign w:val="center"/>
          </w:tcPr>
          <w:p w14:paraId="09A0D5A2" w14:textId="77777777" w:rsidR="003A01DE" w:rsidRPr="004034C1" w:rsidRDefault="003A01DE" w:rsidP="00D55CBE">
            <w:pPr>
              <w:spacing w:line="276" w:lineRule="auto"/>
              <w:jc w:val="center"/>
              <w:rPr>
                <w:rFonts w:ascii="Arial" w:hAnsi="Arial" w:cs="Arial"/>
                <w:kern w:val="24"/>
                <w:sz w:val="20"/>
                <w:szCs w:val="22"/>
              </w:rPr>
            </w:pPr>
            <w:r w:rsidRPr="004034C1">
              <w:rPr>
                <w:rFonts w:ascii="Arial" w:hAnsi="Arial" w:cs="Arial"/>
                <w:kern w:val="24"/>
                <w:sz w:val="20"/>
                <w:szCs w:val="22"/>
              </w:rPr>
              <w:t>0.7</w:t>
            </w:r>
            <w:r w:rsidR="00FD66A3" w:rsidRPr="004034C1">
              <w:rPr>
                <w:rFonts w:ascii="Arial" w:hAnsi="Arial" w:cs="Arial"/>
                <w:kern w:val="24"/>
                <w:sz w:val="20"/>
                <w:szCs w:val="22"/>
              </w:rPr>
              <w:t>2 (0.2</w:t>
            </w:r>
            <w:r w:rsidRPr="004034C1">
              <w:rPr>
                <w:rFonts w:ascii="Arial" w:hAnsi="Arial" w:cs="Arial"/>
                <w:kern w:val="24"/>
                <w:sz w:val="20"/>
                <w:szCs w:val="22"/>
              </w:rPr>
              <w:t>)</w:t>
            </w:r>
          </w:p>
        </w:tc>
      </w:tr>
    </w:tbl>
    <w:p w14:paraId="29B413A4" w14:textId="77777777" w:rsidR="00BA12BB" w:rsidRPr="004034C1" w:rsidRDefault="00BA12BB" w:rsidP="00BA12BB">
      <w:pPr>
        <w:spacing w:line="276" w:lineRule="auto"/>
        <w:rPr>
          <w:rFonts w:ascii="Arial" w:hAnsi="Arial" w:cs="Arial"/>
          <w:sz w:val="18"/>
          <w:szCs w:val="20"/>
        </w:rPr>
      </w:pPr>
    </w:p>
    <w:p w14:paraId="7C624607" w14:textId="4CA038A3" w:rsidR="00BA12BB" w:rsidRPr="004034C1" w:rsidRDefault="004810FE" w:rsidP="00BA12BB">
      <w:pPr>
        <w:spacing w:line="276" w:lineRule="auto"/>
        <w:rPr>
          <w:rFonts w:ascii="Arial" w:hAnsi="Arial" w:cs="Arial"/>
          <w:b/>
          <w:sz w:val="18"/>
          <w:szCs w:val="20"/>
        </w:rPr>
      </w:pPr>
      <w:r>
        <w:rPr>
          <w:rFonts w:ascii="Arial" w:hAnsi="Arial" w:cs="Arial"/>
          <w:sz w:val="18"/>
          <w:szCs w:val="20"/>
        </w:rPr>
        <w:t xml:space="preserve">PFCS: pulmonary fibrosis clinical syndrome; </w:t>
      </w:r>
      <w:r w:rsidR="00BA12BB" w:rsidRPr="004034C1">
        <w:rPr>
          <w:rFonts w:ascii="Arial" w:hAnsi="Arial" w:cs="Arial"/>
          <w:sz w:val="18"/>
          <w:szCs w:val="20"/>
        </w:rPr>
        <w:t>*</w:t>
      </w:r>
      <w:r>
        <w:rPr>
          <w:rFonts w:ascii="Arial" w:hAnsi="Arial" w:cs="Arial"/>
          <w:sz w:val="18"/>
          <w:szCs w:val="20"/>
        </w:rPr>
        <w:t xml:space="preserve"> </w:t>
      </w:r>
      <w:r w:rsidR="00BA12BB" w:rsidRPr="004034C1">
        <w:rPr>
          <w:rFonts w:ascii="Arial" w:hAnsi="Arial" w:cs="Arial"/>
          <w:sz w:val="18"/>
          <w:szCs w:val="20"/>
        </w:rPr>
        <w:t xml:space="preserve">Active comorbidities defined as recorded within </w:t>
      </w:r>
      <w:r w:rsidR="00CE12F4" w:rsidRPr="004034C1">
        <w:rPr>
          <w:rFonts w:ascii="Arial" w:hAnsi="Arial" w:cs="Arial"/>
          <w:sz w:val="18"/>
          <w:szCs w:val="20"/>
        </w:rPr>
        <w:t>two years prior to diagnosis</w:t>
      </w:r>
      <w:r w:rsidR="00632548" w:rsidRPr="004034C1">
        <w:rPr>
          <w:rFonts w:ascii="Arial" w:hAnsi="Arial" w:cs="Arial"/>
          <w:sz w:val="18"/>
          <w:szCs w:val="20"/>
        </w:rPr>
        <w:t>; SABA: short-acting beta-agon</w:t>
      </w:r>
      <w:r w:rsidR="00BA12BB" w:rsidRPr="004034C1">
        <w:rPr>
          <w:rFonts w:ascii="Arial" w:hAnsi="Arial" w:cs="Arial"/>
          <w:sz w:val="18"/>
          <w:szCs w:val="20"/>
        </w:rPr>
        <w:t>ist; SAMA: short-acting anti</w:t>
      </w:r>
      <w:r w:rsidR="00632548" w:rsidRPr="004034C1">
        <w:rPr>
          <w:rFonts w:ascii="Arial" w:hAnsi="Arial" w:cs="Arial"/>
          <w:sz w:val="18"/>
          <w:szCs w:val="20"/>
        </w:rPr>
        <w:t>-</w:t>
      </w:r>
      <w:r w:rsidR="00BA12BB" w:rsidRPr="004034C1">
        <w:rPr>
          <w:rFonts w:ascii="Arial" w:hAnsi="Arial" w:cs="Arial"/>
          <w:sz w:val="18"/>
          <w:szCs w:val="20"/>
        </w:rPr>
        <w:t xml:space="preserve">muscarinic; ICS: inhaled corticosteroid; GERD: </w:t>
      </w:r>
      <w:proofErr w:type="spellStart"/>
      <w:r w:rsidR="00BA12BB" w:rsidRPr="004034C1">
        <w:rPr>
          <w:rFonts w:ascii="Arial" w:hAnsi="Arial" w:cs="Arial"/>
          <w:sz w:val="18"/>
          <w:szCs w:val="20"/>
        </w:rPr>
        <w:t>gastroeosopho</w:t>
      </w:r>
      <w:r w:rsidR="00632548" w:rsidRPr="004034C1">
        <w:rPr>
          <w:rFonts w:ascii="Arial" w:hAnsi="Arial" w:cs="Arial"/>
          <w:sz w:val="18"/>
          <w:szCs w:val="20"/>
        </w:rPr>
        <w:t>geal</w:t>
      </w:r>
      <w:proofErr w:type="spellEnd"/>
      <w:r w:rsidR="00632548" w:rsidRPr="004034C1">
        <w:rPr>
          <w:rFonts w:ascii="Arial" w:hAnsi="Arial" w:cs="Arial"/>
          <w:sz w:val="18"/>
          <w:szCs w:val="20"/>
        </w:rPr>
        <w:t xml:space="preserve"> reflux disease</w:t>
      </w:r>
    </w:p>
    <w:p w14:paraId="6125775F" w14:textId="77777777" w:rsidR="00C62A6D" w:rsidRPr="004034C1" w:rsidRDefault="00C62A6D" w:rsidP="00BA12BB">
      <w:pPr>
        <w:spacing w:line="276" w:lineRule="auto"/>
        <w:rPr>
          <w:rFonts w:ascii="Arial" w:hAnsi="Arial" w:cs="Arial"/>
          <w:b/>
          <w:sz w:val="20"/>
          <w:szCs w:val="20"/>
        </w:rPr>
        <w:sectPr w:rsidR="00C62A6D" w:rsidRPr="004034C1" w:rsidSect="00DB11A6">
          <w:footerReference w:type="even" r:id="rId11"/>
          <w:footerReference w:type="default" r:id="rId12"/>
          <w:type w:val="continuous"/>
          <w:pgSz w:w="11900" w:h="16820"/>
          <w:pgMar w:top="1440" w:right="1800" w:bottom="1440" w:left="1800" w:header="708" w:footer="708" w:gutter="0"/>
          <w:cols w:space="708"/>
          <w:docGrid w:linePitch="360"/>
        </w:sectPr>
      </w:pPr>
    </w:p>
    <w:p w14:paraId="75616906" w14:textId="77777777" w:rsidR="00BA12BB" w:rsidRPr="004034C1" w:rsidRDefault="00BA12BB" w:rsidP="00BA12BB">
      <w:pPr>
        <w:spacing w:line="276" w:lineRule="auto"/>
        <w:rPr>
          <w:rFonts w:ascii="Arial" w:hAnsi="Arial" w:cs="Arial"/>
          <w:b/>
          <w:sz w:val="22"/>
          <w:szCs w:val="22"/>
        </w:rPr>
      </w:pPr>
      <w:r w:rsidRPr="004034C1">
        <w:rPr>
          <w:rFonts w:ascii="Arial" w:hAnsi="Arial" w:cs="Arial"/>
          <w:b/>
          <w:sz w:val="22"/>
          <w:szCs w:val="22"/>
        </w:rPr>
        <w:lastRenderedPageBreak/>
        <w:t>T</w:t>
      </w:r>
      <w:r w:rsidR="00C62A6D" w:rsidRPr="004034C1">
        <w:rPr>
          <w:rFonts w:ascii="Arial" w:hAnsi="Arial" w:cs="Arial"/>
          <w:b/>
          <w:sz w:val="22"/>
          <w:szCs w:val="22"/>
        </w:rPr>
        <w:t>able</w:t>
      </w:r>
      <w:r w:rsidRPr="004034C1">
        <w:rPr>
          <w:rFonts w:ascii="Arial" w:hAnsi="Arial" w:cs="Arial"/>
          <w:b/>
          <w:sz w:val="22"/>
          <w:szCs w:val="22"/>
        </w:rPr>
        <w:t xml:space="preserve"> </w:t>
      </w:r>
      <w:r w:rsidR="00D14E74" w:rsidRPr="004034C1">
        <w:rPr>
          <w:rFonts w:ascii="Arial" w:hAnsi="Arial" w:cs="Arial"/>
          <w:b/>
          <w:sz w:val="22"/>
          <w:szCs w:val="22"/>
        </w:rPr>
        <w:t>2</w:t>
      </w:r>
      <w:r w:rsidRPr="004034C1">
        <w:rPr>
          <w:rFonts w:ascii="Arial" w:hAnsi="Arial" w:cs="Arial"/>
          <w:b/>
          <w:sz w:val="22"/>
          <w:szCs w:val="22"/>
        </w:rPr>
        <w:t>. Temporal trends in healthcare resource utilisation in the 10 years pr</w:t>
      </w:r>
      <w:r w:rsidR="001D77B4" w:rsidRPr="004034C1">
        <w:rPr>
          <w:rFonts w:ascii="Arial" w:hAnsi="Arial" w:cs="Arial"/>
          <w:b/>
          <w:sz w:val="22"/>
          <w:szCs w:val="22"/>
        </w:rPr>
        <w:t>ior to</w:t>
      </w:r>
      <w:r w:rsidR="00A44C91" w:rsidRPr="004034C1">
        <w:rPr>
          <w:rFonts w:ascii="Arial" w:hAnsi="Arial" w:cs="Arial"/>
          <w:b/>
          <w:sz w:val="22"/>
          <w:szCs w:val="22"/>
        </w:rPr>
        <w:t xml:space="preserve"> PFCS</w:t>
      </w:r>
      <w:r w:rsidR="001D77B4" w:rsidRPr="004034C1">
        <w:rPr>
          <w:rFonts w:ascii="Arial" w:hAnsi="Arial" w:cs="Arial"/>
          <w:b/>
          <w:sz w:val="22"/>
          <w:szCs w:val="22"/>
        </w:rPr>
        <w:t xml:space="preserve"> diagnosis</w:t>
      </w:r>
      <w:r w:rsidR="00973C97" w:rsidRPr="004034C1">
        <w:rPr>
          <w:rFonts w:ascii="Arial" w:hAnsi="Arial" w:cs="Arial"/>
          <w:b/>
          <w:sz w:val="22"/>
          <w:szCs w:val="22"/>
        </w:rPr>
        <w:t xml:space="preserve"> </w:t>
      </w:r>
    </w:p>
    <w:p w14:paraId="35071280" w14:textId="77777777" w:rsidR="00BA12BB" w:rsidRPr="004034C1" w:rsidRDefault="00BA12BB" w:rsidP="00BA12BB">
      <w:pPr>
        <w:rPr>
          <w:rFonts w:ascii="Arial" w:hAnsi="Arial" w:cs="Arial"/>
          <w:b/>
          <w:sz w:val="18"/>
          <w:szCs w:val="22"/>
        </w:rPr>
      </w:pPr>
    </w:p>
    <w:tbl>
      <w:tblPr>
        <w:tblStyle w:val="TableGrid"/>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91"/>
        <w:gridCol w:w="1074"/>
        <w:gridCol w:w="1074"/>
        <w:gridCol w:w="1073"/>
        <w:gridCol w:w="1073"/>
        <w:gridCol w:w="1073"/>
        <w:gridCol w:w="1073"/>
        <w:gridCol w:w="1073"/>
        <w:gridCol w:w="1073"/>
        <w:gridCol w:w="1082"/>
        <w:gridCol w:w="1581"/>
      </w:tblGrid>
      <w:tr w:rsidR="000552D1" w:rsidRPr="00306C71" w14:paraId="6FD99BB5" w14:textId="77777777" w:rsidTr="00356265">
        <w:tc>
          <w:tcPr>
            <w:tcW w:w="965" w:type="pct"/>
            <w:tcBorders>
              <w:top w:val="single" w:sz="18" w:space="0" w:color="auto"/>
              <w:left w:val="nil"/>
              <w:bottom w:val="nil"/>
              <w:right w:val="nil"/>
            </w:tcBorders>
            <w:vAlign w:val="center"/>
          </w:tcPr>
          <w:p w14:paraId="6B5D9423" w14:textId="77777777" w:rsidR="000552D1" w:rsidRPr="004034C1" w:rsidRDefault="000552D1" w:rsidP="000552D1">
            <w:pPr>
              <w:spacing w:before="60" w:after="60" w:line="276" w:lineRule="auto"/>
              <w:jc w:val="center"/>
              <w:rPr>
                <w:rFonts w:ascii="Arial" w:hAnsi="Arial" w:cs="Arial"/>
                <w:b/>
                <w:sz w:val="22"/>
                <w:szCs w:val="22"/>
              </w:rPr>
            </w:pPr>
          </w:p>
        </w:tc>
        <w:tc>
          <w:tcPr>
            <w:tcW w:w="4035" w:type="pct"/>
            <w:gridSpan w:val="10"/>
            <w:tcBorders>
              <w:top w:val="single" w:sz="18" w:space="0" w:color="auto"/>
              <w:left w:val="nil"/>
              <w:bottom w:val="single" w:sz="4" w:space="0" w:color="auto"/>
              <w:right w:val="nil"/>
            </w:tcBorders>
            <w:vAlign w:val="center"/>
          </w:tcPr>
          <w:p w14:paraId="0008E22D" w14:textId="77777777" w:rsidR="000552D1" w:rsidRPr="004034C1" w:rsidRDefault="000552D1" w:rsidP="00DF1B82">
            <w:pPr>
              <w:spacing w:before="60" w:after="60" w:line="276" w:lineRule="auto"/>
              <w:jc w:val="center"/>
              <w:rPr>
                <w:rFonts w:ascii="Arial" w:hAnsi="Arial" w:cs="Arial"/>
                <w:b/>
                <w:sz w:val="22"/>
                <w:szCs w:val="22"/>
              </w:rPr>
            </w:pPr>
            <w:r w:rsidRPr="004034C1">
              <w:rPr>
                <w:rFonts w:ascii="Arial" w:hAnsi="Arial" w:cs="Arial"/>
                <w:b/>
                <w:sz w:val="22"/>
                <w:szCs w:val="22"/>
              </w:rPr>
              <w:t>Year prior to</w:t>
            </w:r>
            <w:r w:rsidR="00A44C91" w:rsidRPr="004034C1">
              <w:rPr>
                <w:rFonts w:ascii="Arial" w:hAnsi="Arial" w:cs="Arial"/>
                <w:b/>
                <w:sz w:val="22"/>
                <w:szCs w:val="22"/>
              </w:rPr>
              <w:t xml:space="preserve"> PFCS</w:t>
            </w:r>
            <w:r w:rsidRPr="004034C1">
              <w:rPr>
                <w:rFonts w:ascii="Arial" w:hAnsi="Arial" w:cs="Arial"/>
                <w:b/>
                <w:sz w:val="22"/>
                <w:szCs w:val="22"/>
              </w:rPr>
              <w:t xml:space="preserve"> diagnosis</w:t>
            </w:r>
          </w:p>
        </w:tc>
      </w:tr>
      <w:tr w:rsidR="000552D1" w:rsidRPr="00306C71" w14:paraId="1C9DA93B" w14:textId="77777777" w:rsidTr="00356265">
        <w:trPr>
          <w:trHeight w:val="147"/>
        </w:trPr>
        <w:tc>
          <w:tcPr>
            <w:tcW w:w="965" w:type="pct"/>
            <w:tcBorders>
              <w:top w:val="nil"/>
              <w:left w:val="nil"/>
              <w:bottom w:val="single" w:sz="18" w:space="0" w:color="auto"/>
              <w:right w:val="nil"/>
            </w:tcBorders>
            <w:vAlign w:val="center"/>
          </w:tcPr>
          <w:p w14:paraId="0A3753EA" w14:textId="77777777" w:rsidR="000552D1" w:rsidRPr="004034C1" w:rsidRDefault="000552D1" w:rsidP="000552D1">
            <w:pPr>
              <w:spacing w:before="60" w:after="60" w:line="276" w:lineRule="auto"/>
              <w:rPr>
                <w:rFonts w:ascii="Arial" w:hAnsi="Arial" w:cs="Arial"/>
              </w:rPr>
            </w:pPr>
          </w:p>
        </w:tc>
        <w:tc>
          <w:tcPr>
            <w:tcW w:w="385" w:type="pct"/>
            <w:tcBorders>
              <w:top w:val="single" w:sz="4" w:space="0" w:color="auto"/>
              <w:left w:val="nil"/>
              <w:bottom w:val="single" w:sz="18" w:space="0" w:color="auto"/>
              <w:right w:val="nil"/>
            </w:tcBorders>
            <w:vAlign w:val="center"/>
          </w:tcPr>
          <w:p w14:paraId="079ADB27" w14:textId="77777777" w:rsidR="000552D1" w:rsidRPr="004034C1" w:rsidRDefault="000552D1" w:rsidP="0042608D">
            <w:pPr>
              <w:spacing w:before="60" w:after="60" w:line="276" w:lineRule="auto"/>
              <w:jc w:val="center"/>
              <w:rPr>
                <w:rFonts w:ascii="Arial" w:hAnsi="Arial" w:cs="Arial"/>
                <w:b/>
                <w:sz w:val="20"/>
                <w:szCs w:val="22"/>
              </w:rPr>
            </w:pPr>
            <w:r w:rsidRPr="004034C1">
              <w:rPr>
                <w:rFonts w:ascii="Arial" w:hAnsi="Arial" w:cs="Arial"/>
                <w:b/>
                <w:sz w:val="20"/>
                <w:szCs w:val="22"/>
              </w:rPr>
              <w:t>10</w:t>
            </w:r>
          </w:p>
        </w:tc>
        <w:tc>
          <w:tcPr>
            <w:tcW w:w="385" w:type="pct"/>
            <w:tcBorders>
              <w:top w:val="single" w:sz="4" w:space="0" w:color="auto"/>
              <w:left w:val="nil"/>
              <w:bottom w:val="single" w:sz="18" w:space="0" w:color="auto"/>
              <w:right w:val="nil"/>
            </w:tcBorders>
            <w:vAlign w:val="center"/>
          </w:tcPr>
          <w:p w14:paraId="5AD621E9" w14:textId="77777777" w:rsidR="000552D1" w:rsidRPr="004034C1" w:rsidRDefault="000552D1" w:rsidP="0042608D">
            <w:pPr>
              <w:spacing w:before="60" w:after="60" w:line="276" w:lineRule="auto"/>
              <w:jc w:val="center"/>
              <w:rPr>
                <w:rFonts w:ascii="Arial" w:hAnsi="Arial" w:cs="Arial"/>
                <w:b/>
                <w:sz w:val="20"/>
                <w:szCs w:val="22"/>
              </w:rPr>
            </w:pPr>
            <w:r w:rsidRPr="004034C1">
              <w:rPr>
                <w:rFonts w:ascii="Arial" w:hAnsi="Arial" w:cs="Arial"/>
                <w:b/>
                <w:sz w:val="20"/>
                <w:szCs w:val="22"/>
              </w:rPr>
              <w:t>9</w:t>
            </w:r>
          </w:p>
        </w:tc>
        <w:tc>
          <w:tcPr>
            <w:tcW w:w="385" w:type="pct"/>
            <w:tcBorders>
              <w:top w:val="single" w:sz="4" w:space="0" w:color="auto"/>
              <w:left w:val="nil"/>
              <w:bottom w:val="single" w:sz="18" w:space="0" w:color="auto"/>
              <w:right w:val="nil"/>
            </w:tcBorders>
            <w:vAlign w:val="center"/>
          </w:tcPr>
          <w:p w14:paraId="63DFD111" w14:textId="77777777" w:rsidR="000552D1" w:rsidRPr="004034C1" w:rsidRDefault="000552D1" w:rsidP="0042608D">
            <w:pPr>
              <w:spacing w:before="60" w:after="60" w:line="276" w:lineRule="auto"/>
              <w:jc w:val="center"/>
              <w:rPr>
                <w:rFonts w:ascii="Arial" w:hAnsi="Arial" w:cs="Arial"/>
                <w:b/>
                <w:sz w:val="20"/>
                <w:szCs w:val="22"/>
              </w:rPr>
            </w:pPr>
            <w:r w:rsidRPr="004034C1">
              <w:rPr>
                <w:rFonts w:ascii="Arial" w:hAnsi="Arial" w:cs="Arial"/>
                <w:b/>
                <w:sz w:val="20"/>
                <w:szCs w:val="22"/>
              </w:rPr>
              <w:t>8</w:t>
            </w:r>
          </w:p>
        </w:tc>
        <w:tc>
          <w:tcPr>
            <w:tcW w:w="385" w:type="pct"/>
            <w:tcBorders>
              <w:top w:val="single" w:sz="4" w:space="0" w:color="auto"/>
              <w:left w:val="nil"/>
              <w:bottom w:val="single" w:sz="18" w:space="0" w:color="auto"/>
              <w:right w:val="nil"/>
            </w:tcBorders>
            <w:vAlign w:val="center"/>
          </w:tcPr>
          <w:p w14:paraId="1C6468D2" w14:textId="77777777" w:rsidR="000552D1" w:rsidRPr="004034C1" w:rsidRDefault="000552D1" w:rsidP="0042608D">
            <w:pPr>
              <w:spacing w:before="60" w:after="60" w:line="276" w:lineRule="auto"/>
              <w:jc w:val="center"/>
              <w:rPr>
                <w:rFonts w:ascii="Arial" w:hAnsi="Arial" w:cs="Arial"/>
                <w:b/>
                <w:sz w:val="20"/>
                <w:szCs w:val="22"/>
              </w:rPr>
            </w:pPr>
            <w:r w:rsidRPr="004034C1">
              <w:rPr>
                <w:rFonts w:ascii="Arial" w:hAnsi="Arial" w:cs="Arial"/>
                <w:b/>
                <w:sz w:val="20"/>
                <w:szCs w:val="22"/>
              </w:rPr>
              <w:t>7</w:t>
            </w:r>
          </w:p>
        </w:tc>
        <w:tc>
          <w:tcPr>
            <w:tcW w:w="385" w:type="pct"/>
            <w:tcBorders>
              <w:top w:val="single" w:sz="4" w:space="0" w:color="auto"/>
              <w:left w:val="nil"/>
              <w:bottom w:val="single" w:sz="18" w:space="0" w:color="auto"/>
              <w:right w:val="nil"/>
            </w:tcBorders>
            <w:vAlign w:val="center"/>
          </w:tcPr>
          <w:p w14:paraId="53160C7E" w14:textId="77777777" w:rsidR="000552D1" w:rsidRPr="004034C1" w:rsidRDefault="000552D1" w:rsidP="0042608D">
            <w:pPr>
              <w:spacing w:before="60" w:after="60" w:line="276" w:lineRule="auto"/>
              <w:jc w:val="center"/>
              <w:rPr>
                <w:rFonts w:ascii="Arial" w:hAnsi="Arial" w:cs="Arial"/>
                <w:b/>
                <w:sz w:val="20"/>
                <w:szCs w:val="22"/>
              </w:rPr>
            </w:pPr>
            <w:r w:rsidRPr="004034C1">
              <w:rPr>
                <w:rFonts w:ascii="Arial" w:hAnsi="Arial" w:cs="Arial"/>
                <w:b/>
                <w:sz w:val="20"/>
                <w:szCs w:val="22"/>
              </w:rPr>
              <w:t>6</w:t>
            </w:r>
          </w:p>
        </w:tc>
        <w:tc>
          <w:tcPr>
            <w:tcW w:w="385" w:type="pct"/>
            <w:tcBorders>
              <w:top w:val="single" w:sz="4" w:space="0" w:color="auto"/>
              <w:left w:val="nil"/>
              <w:bottom w:val="single" w:sz="18" w:space="0" w:color="auto"/>
              <w:right w:val="nil"/>
            </w:tcBorders>
            <w:vAlign w:val="center"/>
          </w:tcPr>
          <w:p w14:paraId="0FEA0D33" w14:textId="77777777" w:rsidR="000552D1" w:rsidRPr="004034C1" w:rsidRDefault="000552D1" w:rsidP="0042608D">
            <w:pPr>
              <w:spacing w:before="60" w:after="60" w:line="276" w:lineRule="auto"/>
              <w:jc w:val="center"/>
              <w:rPr>
                <w:rFonts w:ascii="Arial" w:hAnsi="Arial" w:cs="Arial"/>
                <w:b/>
                <w:sz w:val="20"/>
                <w:szCs w:val="22"/>
              </w:rPr>
            </w:pPr>
            <w:r w:rsidRPr="004034C1">
              <w:rPr>
                <w:rFonts w:ascii="Arial" w:hAnsi="Arial" w:cs="Arial"/>
                <w:b/>
                <w:sz w:val="20"/>
                <w:szCs w:val="22"/>
              </w:rPr>
              <w:t>5</w:t>
            </w:r>
          </w:p>
        </w:tc>
        <w:tc>
          <w:tcPr>
            <w:tcW w:w="385" w:type="pct"/>
            <w:tcBorders>
              <w:top w:val="single" w:sz="4" w:space="0" w:color="auto"/>
              <w:left w:val="nil"/>
              <w:bottom w:val="single" w:sz="18" w:space="0" w:color="auto"/>
              <w:right w:val="nil"/>
            </w:tcBorders>
            <w:vAlign w:val="center"/>
          </w:tcPr>
          <w:p w14:paraId="210925AF" w14:textId="77777777" w:rsidR="000552D1" w:rsidRPr="004034C1" w:rsidRDefault="000552D1" w:rsidP="0042608D">
            <w:pPr>
              <w:spacing w:before="60" w:after="60" w:line="276" w:lineRule="auto"/>
              <w:jc w:val="center"/>
              <w:rPr>
                <w:rFonts w:ascii="Arial" w:hAnsi="Arial" w:cs="Arial"/>
                <w:b/>
                <w:sz w:val="20"/>
                <w:szCs w:val="22"/>
              </w:rPr>
            </w:pPr>
            <w:r w:rsidRPr="004034C1">
              <w:rPr>
                <w:rFonts w:ascii="Arial" w:hAnsi="Arial" w:cs="Arial"/>
                <w:b/>
                <w:sz w:val="20"/>
                <w:szCs w:val="22"/>
              </w:rPr>
              <w:t>4</w:t>
            </w:r>
          </w:p>
        </w:tc>
        <w:tc>
          <w:tcPr>
            <w:tcW w:w="385" w:type="pct"/>
            <w:tcBorders>
              <w:top w:val="single" w:sz="4" w:space="0" w:color="auto"/>
              <w:left w:val="nil"/>
              <w:bottom w:val="single" w:sz="18" w:space="0" w:color="auto"/>
              <w:right w:val="nil"/>
            </w:tcBorders>
            <w:vAlign w:val="center"/>
          </w:tcPr>
          <w:p w14:paraId="76F78157" w14:textId="77777777" w:rsidR="000552D1" w:rsidRPr="004034C1" w:rsidRDefault="000552D1" w:rsidP="0042608D">
            <w:pPr>
              <w:spacing w:before="60" w:after="60" w:line="276" w:lineRule="auto"/>
              <w:jc w:val="center"/>
              <w:rPr>
                <w:rFonts w:ascii="Arial" w:hAnsi="Arial" w:cs="Arial"/>
                <w:b/>
                <w:sz w:val="20"/>
                <w:szCs w:val="22"/>
              </w:rPr>
            </w:pPr>
            <w:r w:rsidRPr="004034C1">
              <w:rPr>
                <w:rFonts w:ascii="Arial" w:hAnsi="Arial" w:cs="Arial"/>
                <w:b/>
                <w:sz w:val="20"/>
                <w:szCs w:val="22"/>
              </w:rPr>
              <w:t>3</w:t>
            </w:r>
          </w:p>
        </w:tc>
        <w:tc>
          <w:tcPr>
            <w:tcW w:w="385" w:type="pct"/>
            <w:tcBorders>
              <w:top w:val="single" w:sz="4" w:space="0" w:color="auto"/>
              <w:left w:val="nil"/>
              <w:bottom w:val="single" w:sz="18" w:space="0" w:color="auto"/>
              <w:right w:val="nil"/>
            </w:tcBorders>
            <w:vAlign w:val="center"/>
          </w:tcPr>
          <w:p w14:paraId="1029CD7C" w14:textId="77777777" w:rsidR="000552D1" w:rsidRPr="004034C1" w:rsidRDefault="000552D1" w:rsidP="0042608D">
            <w:pPr>
              <w:spacing w:before="60" w:after="60" w:line="276" w:lineRule="auto"/>
              <w:jc w:val="center"/>
              <w:rPr>
                <w:rFonts w:ascii="Arial" w:hAnsi="Arial" w:cs="Arial"/>
                <w:b/>
                <w:sz w:val="20"/>
                <w:szCs w:val="22"/>
              </w:rPr>
            </w:pPr>
            <w:r w:rsidRPr="004034C1">
              <w:rPr>
                <w:rFonts w:ascii="Arial" w:hAnsi="Arial" w:cs="Arial"/>
                <w:b/>
                <w:sz w:val="20"/>
                <w:szCs w:val="22"/>
              </w:rPr>
              <w:t>2</w:t>
            </w:r>
          </w:p>
        </w:tc>
        <w:tc>
          <w:tcPr>
            <w:tcW w:w="567" w:type="pct"/>
            <w:tcBorders>
              <w:top w:val="single" w:sz="4" w:space="0" w:color="auto"/>
              <w:left w:val="nil"/>
              <w:bottom w:val="single" w:sz="18" w:space="0" w:color="auto"/>
              <w:right w:val="nil"/>
            </w:tcBorders>
            <w:vAlign w:val="center"/>
          </w:tcPr>
          <w:p w14:paraId="2EBCD0A9" w14:textId="77777777" w:rsidR="000552D1" w:rsidRPr="004034C1" w:rsidRDefault="000552D1" w:rsidP="0042608D">
            <w:pPr>
              <w:spacing w:before="60" w:after="60" w:line="276" w:lineRule="auto"/>
              <w:jc w:val="center"/>
              <w:rPr>
                <w:rFonts w:ascii="Arial" w:hAnsi="Arial" w:cs="Arial"/>
                <w:b/>
                <w:sz w:val="20"/>
                <w:szCs w:val="22"/>
              </w:rPr>
            </w:pPr>
            <w:r w:rsidRPr="004034C1">
              <w:rPr>
                <w:rFonts w:ascii="Arial" w:hAnsi="Arial" w:cs="Arial"/>
                <w:b/>
                <w:sz w:val="20"/>
                <w:szCs w:val="22"/>
              </w:rPr>
              <w:t>1</w:t>
            </w:r>
          </w:p>
        </w:tc>
      </w:tr>
      <w:tr w:rsidR="000552D1" w:rsidRPr="00306C71" w14:paraId="19F0FE24" w14:textId="77777777" w:rsidTr="00356265">
        <w:tc>
          <w:tcPr>
            <w:tcW w:w="965" w:type="pct"/>
            <w:tcBorders>
              <w:top w:val="single" w:sz="18" w:space="0" w:color="auto"/>
              <w:bottom w:val="single" w:sz="18" w:space="0" w:color="auto"/>
            </w:tcBorders>
            <w:vAlign w:val="center"/>
          </w:tcPr>
          <w:p w14:paraId="6771FAFF" w14:textId="77777777" w:rsidR="000552D1" w:rsidRPr="004034C1" w:rsidRDefault="000552D1" w:rsidP="000552D1">
            <w:pPr>
              <w:spacing w:before="60" w:after="60" w:line="276" w:lineRule="auto"/>
              <w:rPr>
                <w:rFonts w:ascii="Arial" w:hAnsi="Arial" w:cs="Arial"/>
                <w:sz w:val="20"/>
                <w:szCs w:val="20"/>
              </w:rPr>
            </w:pPr>
            <w:r w:rsidRPr="004034C1">
              <w:rPr>
                <w:rFonts w:ascii="Arial" w:hAnsi="Arial" w:cs="Arial"/>
                <w:b/>
                <w:sz w:val="20"/>
                <w:szCs w:val="20"/>
              </w:rPr>
              <w:t>n (non-missing)</w:t>
            </w:r>
          </w:p>
        </w:tc>
        <w:tc>
          <w:tcPr>
            <w:tcW w:w="385" w:type="pct"/>
            <w:tcBorders>
              <w:top w:val="single" w:sz="18" w:space="0" w:color="auto"/>
              <w:bottom w:val="single" w:sz="18" w:space="0" w:color="auto"/>
            </w:tcBorders>
            <w:vAlign w:val="center"/>
          </w:tcPr>
          <w:p w14:paraId="1AB6FC2E" w14:textId="77777777" w:rsidR="000552D1" w:rsidRPr="004034C1" w:rsidRDefault="000552D1" w:rsidP="0042608D">
            <w:pPr>
              <w:spacing w:before="60" w:after="60" w:line="276" w:lineRule="auto"/>
              <w:jc w:val="center"/>
              <w:rPr>
                <w:rFonts w:ascii="Arial" w:hAnsi="Arial" w:cs="Arial"/>
                <w:sz w:val="20"/>
                <w:szCs w:val="20"/>
              </w:rPr>
            </w:pPr>
            <w:r w:rsidRPr="004034C1">
              <w:rPr>
                <w:rFonts w:ascii="Arial" w:hAnsi="Arial" w:cs="Arial"/>
                <w:sz w:val="20"/>
                <w:szCs w:val="20"/>
              </w:rPr>
              <w:t>1474</w:t>
            </w:r>
          </w:p>
        </w:tc>
        <w:tc>
          <w:tcPr>
            <w:tcW w:w="385" w:type="pct"/>
            <w:tcBorders>
              <w:top w:val="single" w:sz="18" w:space="0" w:color="auto"/>
              <w:bottom w:val="single" w:sz="18" w:space="0" w:color="auto"/>
            </w:tcBorders>
            <w:vAlign w:val="center"/>
          </w:tcPr>
          <w:p w14:paraId="78F527A1" w14:textId="77777777" w:rsidR="000552D1" w:rsidRPr="004034C1" w:rsidRDefault="000552D1" w:rsidP="0042608D">
            <w:pPr>
              <w:spacing w:before="60" w:after="60" w:line="276" w:lineRule="auto"/>
              <w:jc w:val="center"/>
              <w:rPr>
                <w:rFonts w:ascii="Arial" w:hAnsi="Arial" w:cs="Arial"/>
                <w:sz w:val="20"/>
                <w:szCs w:val="20"/>
              </w:rPr>
            </w:pPr>
            <w:r w:rsidRPr="004034C1">
              <w:rPr>
                <w:rFonts w:ascii="Arial" w:hAnsi="Arial" w:cs="Arial"/>
                <w:sz w:val="20"/>
                <w:szCs w:val="20"/>
              </w:rPr>
              <w:t>1533</w:t>
            </w:r>
          </w:p>
        </w:tc>
        <w:tc>
          <w:tcPr>
            <w:tcW w:w="385" w:type="pct"/>
            <w:tcBorders>
              <w:top w:val="single" w:sz="18" w:space="0" w:color="auto"/>
              <w:bottom w:val="single" w:sz="18" w:space="0" w:color="auto"/>
            </w:tcBorders>
            <w:vAlign w:val="center"/>
          </w:tcPr>
          <w:p w14:paraId="6FFE5128" w14:textId="77777777" w:rsidR="000552D1" w:rsidRPr="004034C1" w:rsidRDefault="000552D1" w:rsidP="0042608D">
            <w:pPr>
              <w:spacing w:before="60" w:after="60" w:line="276" w:lineRule="auto"/>
              <w:jc w:val="center"/>
              <w:rPr>
                <w:rFonts w:ascii="Arial" w:hAnsi="Arial" w:cs="Arial"/>
                <w:sz w:val="20"/>
                <w:szCs w:val="20"/>
              </w:rPr>
            </w:pPr>
            <w:r w:rsidRPr="004034C1">
              <w:rPr>
                <w:rFonts w:ascii="Arial" w:hAnsi="Arial" w:cs="Arial"/>
                <w:sz w:val="20"/>
                <w:szCs w:val="20"/>
              </w:rPr>
              <w:t>1598</w:t>
            </w:r>
          </w:p>
        </w:tc>
        <w:tc>
          <w:tcPr>
            <w:tcW w:w="385" w:type="pct"/>
            <w:tcBorders>
              <w:top w:val="single" w:sz="18" w:space="0" w:color="auto"/>
              <w:bottom w:val="single" w:sz="18" w:space="0" w:color="auto"/>
            </w:tcBorders>
            <w:vAlign w:val="center"/>
          </w:tcPr>
          <w:p w14:paraId="0A7C6D89" w14:textId="77777777" w:rsidR="000552D1" w:rsidRPr="004034C1" w:rsidRDefault="000552D1" w:rsidP="0042608D">
            <w:pPr>
              <w:spacing w:before="60" w:after="60" w:line="276" w:lineRule="auto"/>
              <w:jc w:val="center"/>
              <w:rPr>
                <w:rFonts w:ascii="Arial" w:hAnsi="Arial" w:cs="Arial"/>
                <w:sz w:val="20"/>
                <w:szCs w:val="20"/>
              </w:rPr>
            </w:pPr>
            <w:r w:rsidRPr="004034C1">
              <w:rPr>
                <w:rFonts w:ascii="Arial" w:hAnsi="Arial" w:cs="Arial"/>
                <w:sz w:val="20"/>
                <w:szCs w:val="20"/>
              </w:rPr>
              <w:t>1686</w:t>
            </w:r>
          </w:p>
        </w:tc>
        <w:tc>
          <w:tcPr>
            <w:tcW w:w="385" w:type="pct"/>
            <w:tcBorders>
              <w:top w:val="single" w:sz="18" w:space="0" w:color="auto"/>
              <w:bottom w:val="single" w:sz="18" w:space="0" w:color="auto"/>
            </w:tcBorders>
            <w:vAlign w:val="center"/>
          </w:tcPr>
          <w:p w14:paraId="6282D9F0" w14:textId="77777777" w:rsidR="000552D1" w:rsidRPr="004034C1" w:rsidRDefault="000552D1" w:rsidP="0042608D">
            <w:pPr>
              <w:spacing w:before="60" w:after="60" w:line="276" w:lineRule="auto"/>
              <w:jc w:val="center"/>
              <w:rPr>
                <w:rFonts w:ascii="Arial" w:hAnsi="Arial" w:cs="Arial"/>
                <w:sz w:val="20"/>
                <w:szCs w:val="20"/>
              </w:rPr>
            </w:pPr>
            <w:r w:rsidRPr="004034C1">
              <w:rPr>
                <w:rFonts w:ascii="Arial" w:hAnsi="Arial" w:cs="Arial"/>
                <w:sz w:val="20"/>
                <w:szCs w:val="20"/>
              </w:rPr>
              <w:t>1772</w:t>
            </w:r>
          </w:p>
        </w:tc>
        <w:tc>
          <w:tcPr>
            <w:tcW w:w="385" w:type="pct"/>
            <w:tcBorders>
              <w:top w:val="single" w:sz="18" w:space="0" w:color="auto"/>
              <w:bottom w:val="single" w:sz="18" w:space="0" w:color="auto"/>
            </w:tcBorders>
            <w:vAlign w:val="center"/>
          </w:tcPr>
          <w:p w14:paraId="50EFBCBB" w14:textId="77777777" w:rsidR="000552D1" w:rsidRPr="004034C1" w:rsidRDefault="000552D1" w:rsidP="0042608D">
            <w:pPr>
              <w:spacing w:before="60" w:after="60" w:line="276" w:lineRule="auto"/>
              <w:jc w:val="center"/>
              <w:rPr>
                <w:rFonts w:ascii="Arial" w:hAnsi="Arial" w:cs="Arial"/>
                <w:sz w:val="20"/>
                <w:szCs w:val="20"/>
              </w:rPr>
            </w:pPr>
            <w:r w:rsidRPr="004034C1">
              <w:rPr>
                <w:rFonts w:ascii="Arial" w:hAnsi="Arial" w:cs="Arial"/>
                <w:sz w:val="20"/>
                <w:szCs w:val="20"/>
              </w:rPr>
              <w:t>1861</w:t>
            </w:r>
          </w:p>
        </w:tc>
        <w:tc>
          <w:tcPr>
            <w:tcW w:w="385" w:type="pct"/>
            <w:tcBorders>
              <w:top w:val="single" w:sz="18" w:space="0" w:color="auto"/>
              <w:bottom w:val="single" w:sz="18" w:space="0" w:color="auto"/>
            </w:tcBorders>
            <w:vAlign w:val="center"/>
          </w:tcPr>
          <w:p w14:paraId="18282508" w14:textId="77777777" w:rsidR="000552D1" w:rsidRPr="004034C1" w:rsidRDefault="000552D1" w:rsidP="0042608D">
            <w:pPr>
              <w:spacing w:before="60" w:after="60" w:line="276" w:lineRule="auto"/>
              <w:jc w:val="center"/>
              <w:rPr>
                <w:rFonts w:ascii="Arial" w:hAnsi="Arial" w:cs="Arial"/>
                <w:sz w:val="20"/>
                <w:szCs w:val="20"/>
              </w:rPr>
            </w:pPr>
            <w:r w:rsidRPr="004034C1">
              <w:rPr>
                <w:rFonts w:ascii="Arial" w:hAnsi="Arial" w:cs="Arial"/>
                <w:sz w:val="20"/>
                <w:szCs w:val="20"/>
              </w:rPr>
              <w:t>1944</w:t>
            </w:r>
          </w:p>
        </w:tc>
        <w:tc>
          <w:tcPr>
            <w:tcW w:w="385" w:type="pct"/>
            <w:tcBorders>
              <w:top w:val="single" w:sz="18" w:space="0" w:color="auto"/>
              <w:bottom w:val="single" w:sz="18" w:space="0" w:color="auto"/>
            </w:tcBorders>
            <w:vAlign w:val="center"/>
          </w:tcPr>
          <w:p w14:paraId="5721683D" w14:textId="77777777" w:rsidR="000552D1" w:rsidRPr="004034C1" w:rsidRDefault="000552D1" w:rsidP="0042608D">
            <w:pPr>
              <w:spacing w:before="60" w:after="60" w:line="276" w:lineRule="auto"/>
              <w:jc w:val="center"/>
              <w:rPr>
                <w:rFonts w:ascii="Arial" w:hAnsi="Arial" w:cs="Arial"/>
                <w:sz w:val="20"/>
                <w:szCs w:val="20"/>
              </w:rPr>
            </w:pPr>
            <w:r w:rsidRPr="004034C1">
              <w:rPr>
                <w:rFonts w:ascii="Arial" w:hAnsi="Arial" w:cs="Arial"/>
                <w:sz w:val="20"/>
                <w:szCs w:val="20"/>
              </w:rPr>
              <w:t>2019</w:t>
            </w:r>
          </w:p>
        </w:tc>
        <w:tc>
          <w:tcPr>
            <w:tcW w:w="385" w:type="pct"/>
            <w:tcBorders>
              <w:top w:val="single" w:sz="18" w:space="0" w:color="auto"/>
              <w:bottom w:val="single" w:sz="18" w:space="0" w:color="auto"/>
            </w:tcBorders>
            <w:vAlign w:val="center"/>
          </w:tcPr>
          <w:p w14:paraId="37A8DF2D" w14:textId="77777777" w:rsidR="000552D1" w:rsidRPr="004034C1" w:rsidRDefault="000552D1" w:rsidP="0042608D">
            <w:pPr>
              <w:spacing w:before="60" w:after="60" w:line="276" w:lineRule="auto"/>
              <w:jc w:val="center"/>
              <w:rPr>
                <w:rFonts w:ascii="Arial" w:hAnsi="Arial" w:cs="Arial"/>
                <w:sz w:val="20"/>
                <w:szCs w:val="20"/>
              </w:rPr>
            </w:pPr>
            <w:r w:rsidRPr="004034C1">
              <w:rPr>
                <w:rFonts w:ascii="Arial" w:hAnsi="Arial" w:cs="Arial"/>
                <w:sz w:val="20"/>
                <w:szCs w:val="20"/>
              </w:rPr>
              <w:t>2087</w:t>
            </w:r>
          </w:p>
        </w:tc>
        <w:tc>
          <w:tcPr>
            <w:tcW w:w="567" w:type="pct"/>
            <w:tcBorders>
              <w:top w:val="single" w:sz="18" w:space="0" w:color="auto"/>
              <w:bottom w:val="single" w:sz="18" w:space="0" w:color="auto"/>
            </w:tcBorders>
            <w:vAlign w:val="center"/>
          </w:tcPr>
          <w:p w14:paraId="64869437" w14:textId="77777777" w:rsidR="000552D1" w:rsidRPr="004034C1" w:rsidRDefault="000552D1" w:rsidP="0042608D">
            <w:pPr>
              <w:spacing w:before="60" w:after="60" w:line="276" w:lineRule="auto"/>
              <w:jc w:val="center"/>
              <w:rPr>
                <w:rFonts w:ascii="Arial" w:hAnsi="Arial" w:cs="Arial"/>
                <w:sz w:val="20"/>
                <w:szCs w:val="20"/>
              </w:rPr>
            </w:pPr>
            <w:r w:rsidRPr="004034C1">
              <w:rPr>
                <w:rFonts w:ascii="Arial" w:hAnsi="Arial" w:cs="Arial"/>
                <w:sz w:val="20"/>
                <w:szCs w:val="20"/>
              </w:rPr>
              <w:t>2223</w:t>
            </w:r>
          </w:p>
        </w:tc>
      </w:tr>
      <w:tr w:rsidR="000552D1" w:rsidRPr="00306C71" w14:paraId="6BE2A0AE" w14:textId="77777777" w:rsidTr="00356265">
        <w:trPr>
          <w:gridAfter w:val="1"/>
          <w:wAfter w:w="567" w:type="pct"/>
        </w:trPr>
        <w:tc>
          <w:tcPr>
            <w:tcW w:w="4433" w:type="pct"/>
            <w:gridSpan w:val="10"/>
            <w:tcBorders>
              <w:top w:val="single" w:sz="18" w:space="0" w:color="auto"/>
            </w:tcBorders>
            <w:vAlign w:val="center"/>
          </w:tcPr>
          <w:p w14:paraId="4D525DBB" w14:textId="77777777" w:rsidR="000552D1" w:rsidRPr="004034C1" w:rsidRDefault="000552D1" w:rsidP="0042608D">
            <w:pPr>
              <w:spacing w:before="60" w:after="60" w:line="276" w:lineRule="auto"/>
              <w:rPr>
                <w:rFonts w:ascii="Arial" w:hAnsi="Arial" w:cs="Arial"/>
                <w:sz w:val="20"/>
              </w:rPr>
            </w:pPr>
            <w:r w:rsidRPr="004034C1">
              <w:rPr>
                <w:rFonts w:ascii="Arial" w:hAnsi="Arial" w:cs="Arial"/>
                <w:b/>
                <w:sz w:val="20"/>
                <w:szCs w:val="20"/>
              </w:rPr>
              <w:t xml:space="preserve">Primary care, mean (SD) </w:t>
            </w:r>
            <w:proofErr w:type="spellStart"/>
            <w:r w:rsidRPr="004034C1">
              <w:rPr>
                <w:rFonts w:ascii="Arial" w:hAnsi="Arial" w:cs="Arial"/>
                <w:b/>
                <w:sz w:val="20"/>
                <w:szCs w:val="20"/>
              </w:rPr>
              <w:t>pppy</w:t>
            </w:r>
            <w:proofErr w:type="spellEnd"/>
          </w:p>
        </w:tc>
      </w:tr>
      <w:tr w:rsidR="000552D1" w:rsidRPr="00306C71" w14:paraId="0BA7A957" w14:textId="77777777" w:rsidTr="00356265">
        <w:tc>
          <w:tcPr>
            <w:tcW w:w="965" w:type="pct"/>
            <w:vAlign w:val="center"/>
          </w:tcPr>
          <w:p w14:paraId="703B1391" w14:textId="77777777" w:rsidR="000552D1" w:rsidRPr="004034C1" w:rsidRDefault="000552D1" w:rsidP="000552D1">
            <w:pPr>
              <w:spacing w:before="60" w:after="60" w:line="276" w:lineRule="auto"/>
              <w:rPr>
                <w:rFonts w:ascii="Arial" w:hAnsi="Arial" w:cs="Arial"/>
                <w:sz w:val="20"/>
                <w:szCs w:val="20"/>
              </w:rPr>
            </w:pPr>
            <w:r w:rsidRPr="004034C1">
              <w:rPr>
                <w:rFonts w:ascii="Arial" w:hAnsi="Arial" w:cs="Arial"/>
                <w:sz w:val="20"/>
                <w:szCs w:val="20"/>
              </w:rPr>
              <w:t>LR consultations</w:t>
            </w:r>
          </w:p>
        </w:tc>
        <w:tc>
          <w:tcPr>
            <w:tcW w:w="385" w:type="pct"/>
            <w:vAlign w:val="center"/>
          </w:tcPr>
          <w:p w14:paraId="256A924C"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0.36 (1.3)</w:t>
            </w:r>
          </w:p>
        </w:tc>
        <w:tc>
          <w:tcPr>
            <w:tcW w:w="385" w:type="pct"/>
            <w:vAlign w:val="center"/>
          </w:tcPr>
          <w:p w14:paraId="047B2164"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0.44 (1.3)</w:t>
            </w:r>
          </w:p>
        </w:tc>
        <w:tc>
          <w:tcPr>
            <w:tcW w:w="385" w:type="pct"/>
            <w:vAlign w:val="center"/>
          </w:tcPr>
          <w:p w14:paraId="02BC9A27"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0.51 (1.4)</w:t>
            </w:r>
          </w:p>
        </w:tc>
        <w:tc>
          <w:tcPr>
            <w:tcW w:w="385" w:type="pct"/>
            <w:vAlign w:val="center"/>
          </w:tcPr>
          <w:p w14:paraId="18726CB6"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0.61 (1.5)</w:t>
            </w:r>
          </w:p>
        </w:tc>
        <w:tc>
          <w:tcPr>
            <w:tcW w:w="385" w:type="pct"/>
            <w:vAlign w:val="center"/>
          </w:tcPr>
          <w:p w14:paraId="78C151D7"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0.68 (1.7)</w:t>
            </w:r>
          </w:p>
        </w:tc>
        <w:tc>
          <w:tcPr>
            <w:tcW w:w="385" w:type="pct"/>
            <w:vAlign w:val="center"/>
          </w:tcPr>
          <w:p w14:paraId="2B6DA024"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0.80 (1.9)</w:t>
            </w:r>
          </w:p>
        </w:tc>
        <w:tc>
          <w:tcPr>
            <w:tcW w:w="385" w:type="pct"/>
            <w:vAlign w:val="center"/>
          </w:tcPr>
          <w:p w14:paraId="27A54272"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0.98 (2.0)</w:t>
            </w:r>
          </w:p>
        </w:tc>
        <w:tc>
          <w:tcPr>
            <w:tcW w:w="385" w:type="pct"/>
            <w:vAlign w:val="center"/>
          </w:tcPr>
          <w:p w14:paraId="09F2E031"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1.23 (2.3)</w:t>
            </w:r>
          </w:p>
        </w:tc>
        <w:tc>
          <w:tcPr>
            <w:tcW w:w="385" w:type="pct"/>
            <w:vAlign w:val="center"/>
          </w:tcPr>
          <w:p w14:paraId="458F63EF"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1.57 (0.9)</w:t>
            </w:r>
          </w:p>
        </w:tc>
        <w:tc>
          <w:tcPr>
            <w:tcW w:w="567" w:type="pct"/>
            <w:vAlign w:val="center"/>
          </w:tcPr>
          <w:p w14:paraId="28F9A124"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4.45 (1.6)</w:t>
            </w:r>
          </w:p>
        </w:tc>
      </w:tr>
      <w:tr w:rsidR="000552D1" w:rsidRPr="00306C71" w14:paraId="49620280" w14:textId="77777777" w:rsidTr="000552D1">
        <w:tc>
          <w:tcPr>
            <w:tcW w:w="5000" w:type="pct"/>
            <w:gridSpan w:val="11"/>
            <w:vAlign w:val="center"/>
          </w:tcPr>
          <w:p w14:paraId="3A18181E" w14:textId="77777777" w:rsidR="000552D1" w:rsidRPr="004034C1" w:rsidRDefault="000552D1" w:rsidP="0042608D">
            <w:pPr>
              <w:spacing w:before="60" w:after="60" w:line="276" w:lineRule="auto"/>
              <w:rPr>
                <w:rFonts w:ascii="Arial" w:hAnsi="Arial" w:cs="Arial"/>
                <w:b/>
                <w:kern w:val="24"/>
                <w:sz w:val="20"/>
                <w:szCs w:val="20"/>
              </w:rPr>
            </w:pPr>
            <w:r w:rsidRPr="004034C1">
              <w:rPr>
                <w:rFonts w:ascii="Arial" w:hAnsi="Arial" w:cs="Arial"/>
                <w:b/>
                <w:sz w:val="20"/>
                <w:szCs w:val="20"/>
              </w:rPr>
              <w:t xml:space="preserve">Prescriptions issued for LR complaints, mean (SD) </w:t>
            </w:r>
            <w:proofErr w:type="spellStart"/>
            <w:r w:rsidRPr="004034C1">
              <w:rPr>
                <w:rFonts w:ascii="Arial" w:hAnsi="Arial" w:cs="Arial"/>
                <w:b/>
                <w:sz w:val="20"/>
                <w:szCs w:val="20"/>
              </w:rPr>
              <w:t>pppy</w:t>
            </w:r>
            <w:proofErr w:type="spellEnd"/>
          </w:p>
        </w:tc>
      </w:tr>
      <w:tr w:rsidR="000552D1" w:rsidRPr="00306C71" w14:paraId="40D6E6DE" w14:textId="77777777" w:rsidTr="00356265">
        <w:tc>
          <w:tcPr>
            <w:tcW w:w="965" w:type="pct"/>
            <w:vAlign w:val="center"/>
          </w:tcPr>
          <w:p w14:paraId="5006CCE7" w14:textId="77777777" w:rsidR="000552D1" w:rsidRPr="004034C1" w:rsidRDefault="000552D1" w:rsidP="000552D1">
            <w:pPr>
              <w:spacing w:before="60" w:after="60" w:line="276" w:lineRule="auto"/>
              <w:rPr>
                <w:rFonts w:ascii="Arial" w:hAnsi="Arial" w:cs="Arial"/>
                <w:sz w:val="20"/>
                <w:szCs w:val="20"/>
              </w:rPr>
            </w:pPr>
            <w:r w:rsidRPr="004034C1">
              <w:rPr>
                <w:rFonts w:ascii="Arial" w:hAnsi="Arial" w:cs="Arial"/>
                <w:sz w:val="20"/>
                <w:szCs w:val="20"/>
              </w:rPr>
              <w:t>Antibiotics</w:t>
            </w:r>
          </w:p>
        </w:tc>
        <w:tc>
          <w:tcPr>
            <w:tcW w:w="385" w:type="pct"/>
            <w:vAlign w:val="center"/>
          </w:tcPr>
          <w:p w14:paraId="2FEFA30B"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0.08 (0.3)</w:t>
            </w:r>
          </w:p>
        </w:tc>
        <w:tc>
          <w:tcPr>
            <w:tcW w:w="385" w:type="pct"/>
            <w:vAlign w:val="center"/>
          </w:tcPr>
          <w:p w14:paraId="174EB0C5"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0.11 (0.5)</w:t>
            </w:r>
          </w:p>
        </w:tc>
        <w:tc>
          <w:tcPr>
            <w:tcW w:w="385" w:type="pct"/>
            <w:vAlign w:val="center"/>
          </w:tcPr>
          <w:p w14:paraId="40E02BE4"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0.12 (0.5)</w:t>
            </w:r>
          </w:p>
        </w:tc>
        <w:tc>
          <w:tcPr>
            <w:tcW w:w="385" w:type="pct"/>
            <w:vAlign w:val="center"/>
          </w:tcPr>
          <w:p w14:paraId="730097C0"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0.14 (0.5)</w:t>
            </w:r>
          </w:p>
        </w:tc>
        <w:tc>
          <w:tcPr>
            <w:tcW w:w="385" w:type="pct"/>
            <w:vAlign w:val="center"/>
          </w:tcPr>
          <w:p w14:paraId="78CA9D5A"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0.17 (0.6)</w:t>
            </w:r>
          </w:p>
        </w:tc>
        <w:tc>
          <w:tcPr>
            <w:tcW w:w="385" w:type="pct"/>
            <w:vAlign w:val="center"/>
          </w:tcPr>
          <w:p w14:paraId="10038899"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0.19 (0.6)</w:t>
            </w:r>
          </w:p>
        </w:tc>
        <w:tc>
          <w:tcPr>
            <w:tcW w:w="385" w:type="pct"/>
            <w:vAlign w:val="center"/>
          </w:tcPr>
          <w:p w14:paraId="729C15A5"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0.27 (0.7)</w:t>
            </w:r>
          </w:p>
        </w:tc>
        <w:tc>
          <w:tcPr>
            <w:tcW w:w="385" w:type="pct"/>
            <w:vAlign w:val="center"/>
          </w:tcPr>
          <w:p w14:paraId="68F74064"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0.31 (0.8)</w:t>
            </w:r>
          </w:p>
        </w:tc>
        <w:tc>
          <w:tcPr>
            <w:tcW w:w="385" w:type="pct"/>
            <w:vAlign w:val="center"/>
          </w:tcPr>
          <w:p w14:paraId="706E3A6E"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0.37 (0.5)</w:t>
            </w:r>
          </w:p>
        </w:tc>
        <w:tc>
          <w:tcPr>
            <w:tcW w:w="567" w:type="pct"/>
            <w:vAlign w:val="center"/>
          </w:tcPr>
          <w:p w14:paraId="4FC482B3"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0.81(0.7)</w:t>
            </w:r>
          </w:p>
        </w:tc>
      </w:tr>
      <w:tr w:rsidR="000552D1" w:rsidRPr="00306C71" w14:paraId="68CEC350" w14:textId="77777777" w:rsidTr="00356265">
        <w:tc>
          <w:tcPr>
            <w:tcW w:w="965" w:type="pct"/>
            <w:vAlign w:val="center"/>
          </w:tcPr>
          <w:p w14:paraId="0F63A453" w14:textId="77777777" w:rsidR="000552D1" w:rsidRPr="004034C1" w:rsidRDefault="000552D1" w:rsidP="000552D1">
            <w:pPr>
              <w:spacing w:before="60" w:after="60" w:line="276" w:lineRule="auto"/>
              <w:rPr>
                <w:rFonts w:ascii="Arial" w:hAnsi="Arial" w:cs="Arial"/>
                <w:sz w:val="20"/>
                <w:szCs w:val="20"/>
              </w:rPr>
            </w:pPr>
            <w:r w:rsidRPr="004034C1">
              <w:rPr>
                <w:rFonts w:ascii="Arial" w:hAnsi="Arial" w:cs="Arial"/>
                <w:sz w:val="20"/>
                <w:szCs w:val="20"/>
              </w:rPr>
              <w:t>Acute oral steroid</w:t>
            </w:r>
          </w:p>
        </w:tc>
        <w:tc>
          <w:tcPr>
            <w:tcW w:w="385" w:type="pct"/>
            <w:vAlign w:val="center"/>
          </w:tcPr>
          <w:p w14:paraId="7CA3B72D"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0.02 (0.2)</w:t>
            </w:r>
          </w:p>
        </w:tc>
        <w:tc>
          <w:tcPr>
            <w:tcW w:w="385" w:type="pct"/>
            <w:vAlign w:val="center"/>
          </w:tcPr>
          <w:p w14:paraId="2FB72DF0"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0.02 (0.2)</w:t>
            </w:r>
          </w:p>
        </w:tc>
        <w:tc>
          <w:tcPr>
            <w:tcW w:w="385" w:type="pct"/>
            <w:vAlign w:val="center"/>
          </w:tcPr>
          <w:p w14:paraId="216A1BF1"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0.05 (0.3)</w:t>
            </w:r>
          </w:p>
        </w:tc>
        <w:tc>
          <w:tcPr>
            <w:tcW w:w="385" w:type="pct"/>
            <w:vAlign w:val="center"/>
          </w:tcPr>
          <w:p w14:paraId="7EBEB886"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0.05 (0.3)</w:t>
            </w:r>
          </w:p>
        </w:tc>
        <w:tc>
          <w:tcPr>
            <w:tcW w:w="385" w:type="pct"/>
            <w:vAlign w:val="center"/>
          </w:tcPr>
          <w:p w14:paraId="75B9F3EC"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0.07 (0.4)</w:t>
            </w:r>
          </w:p>
        </w:tc>
        <w:tc>
          <w:tcPr>
            <w:tcW w:w="385" w:type="pct"/>
            <w:vAlign w:val="center"/>
          </w:tcPr>
          <w:p w14:paraId="79CF9FB0"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0.07 (0.4)</w:t>
            </w:r>
          </w:p>
        </w:tc>
        <w:tc>
          <w:tcPr>
            <w:tcW w:w="385" w:type="pct"/>
            <w:vAlign w:val="center"/>
          </w:tcPr>
          <w:p w14:paraId="2D2E25FD"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0.12 (0.5)</w:t>
            </w:r>
          </w:p>
        </w:tc>
        <w:tc>
          <w:tcPr>
            <w:tcW w:w="385" w:type="pct"/>
            <w:vAlign w:val="center"/>
          </w:tcPr>
          <w:p w14:paraId="5E7428E9"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0.15 (0.7)</w:t>
            </w:r>
          </w:p>
        </w:tc>
        <w:tc>
          <w:tcPr>
            <w:tcW w:w="385" w:type="pct"/>
            <w:vAlign w:val="center"/>
          </w:tcPr>
          <w:p w14:paraId="29524FDB"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0.52 (0.4)</w:t>
            </w:r>
          </w:p>
        </w:tc>
        <w:tc>
          <w:tcPr>
            <w:tcW w:w="567" w:type="pct"/>
            <w:vAlign w:val="center"/>
          </w:tcPr>
          <w:p w14:paraId="55CE5CE6"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1.07 (0.6)</w:t>
            </w:r>
          </w:p>
        </w:tc>
      </w:tr>
      <w:tr w:rsidR="000552D1" w:rsidRPr="00306C71" w14:paraId="11107F8A" w14:textId="77777777" w:rsidTr="000552D1">
        <w:tc>
          <w:tcPr>
            <w:tcW w:w="5000" w:type="pct"/>
            <w:gridSpan w:val="11"/>
            <w:vAlign w:val="center"/>
          </w:tcPr>
          <w:p w14:paraId="5F27B325" w14:textId="77777777" w:rsidR="000552D1" w:rsidRPr="004034C1" w:rsidRDefault="000552D1" w:rsidP="0042608D">
            <w:pPr>
              <w:spacing w:before="60" w:after="60" w:line="276" w:lineRule="auto"/>
              <w:rPr>
                <w:rFonts w:ascii="Arial" w:hAnsi="Arial" w:cs="Arial"/>
                <w:i/>
                <w:sz w:val="20"/>
                <w:szCs w:val="20"/>
              </w:rPr>
            </w:pPr>
            <w:r w:rsidRPr="004034C1">
              <w:rPr>
                <w:rFonts w:ascii="Arial" w:hAnsi="Arial" w:cs="Arial"/>
                <w:b/>
                <w:sz w:val="20"/>
                <w:szCs w:val="20"/>
              </w:rPr>
              <w:t xml:space="preserve">Secondary care, mean (SD) </w:t>
            </w:r>
            <w:proofErr w:type="spellStart"/>
            <w:r w:rsidRPr="004034C1">
              <w:rPr>
                <w:rFonts w:ascii="Arial" w:hAnsi="Arial" w:cs="Arial"/>
                <w:b/>
                <w:sz w:val="20"/>
                <w:szCs w:val="20"/>
              </w:rPr>
              <w:t>pppy</w:t>
            </w:r>
            <w:proofErr w:type="spellEnd"/>
          </w:p>
        </w:tc>
      </w:tr>
      <w:tr w:rsidR="000552D1" w:rsidRPr="00306C71" w14:paraId="3C490E0B" w14:textId="77777777" w:rsidTr="00356265">
        <w:tc>
          <w:tcPr>
            <w:tcW w:w="965" w:type="pct"/>
            <w:vAlign w:val="center"/>
          </w:tcPr>
          <w:p w14:paraId="40F99697" w14:textId="77777777" w:rsidR="000552D1" w:rsidRPr="004034C1" w:rsidRDefault="000552D1" w:rsidP="000552D1">
            <w:pPr>
              <w:spacing w:before="60" w:after="60" w:line="276" w:lineRule="auto"/>
              <w:rPr>
                <w:rFonts w:ascii="Arial" w:hAnsi="Arial" w:cs="Arial"/>
                <w:sz w:val="20"/>
                <w:szCs w:val="20"/>
                <w:highlight w:val="yellow"/>
              </w:rPr>
            </w:pPr>
            <w:r w:rsidRPr="004034C1">
              <w:rPr>
                <w:rFonts w:ascii="Arial" w:hAnsi="Arial" w:cs="Arial"/>
                <w:sz w:val="20"/>
                <w:szCs w:val="20"/>
              </w:rPr>
              <w:t>LR hospital admissions*</w:t>
            </w:r>
          </w:p>
        </w:tc>
        <w:tc>
          <w:tcPr>
            <w:tcW w:w="385" w:type="pct"/>
            <w:vAlign w:val="center"/>
          </w:tcPr>
          <w:p w14:paraId="4213074E"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0.01 (0.1)</w:t>
            </w:r>
          </w:p>
        </w:tc>
        <w:tc>
          <w:tcPr>
            <w:tcW w:w="385" w:type="pct"/>
            <w:vAlign w:val="center"/>
          </w:tcPr>
          <w:p w14:paraId="6F0C1D1D"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0.01 (0.1)</w:t>
            </w:r>
          </w:p>
        </w:tc>
        <w:tc>
          <w:tcPr>
            <w:tcW w:w="385" w:type="pct"/>
            <w:vAlign w:val="center"/>
          </w:tcPr>
          <w:p w14:paraId="3EC5E350"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0.01 (0.1)</w:t>
            </w:r>
          </w:p>
        </w:tc>
        <w:tc>
          <w:tcPr>
            <w:tcW w:w="385" w:type="pct"/>
            <w:vAlign w:val="center"/>
          </w:tcPr>
          <w:p w14:paraId="48AE3E9E"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0.01 (0.1)</w:t>
            </w:r>
          </w:p>
        </w:tc>
        <w:tc>
          <w:tcPr>
            <w:tcW w:w="385" w:type="pct"/>
            <w:vAlign w:val="center"/>
          </w:tcPr>
          <w:p w14:paraId="5FA502F8"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0.01 (0.1)</w:t>
            </w:r>
          </w:p>
        </w:tc>
        <w:tc>
          <w:tcPr>
            <w:tcW w:w="385" w:type="pct"/>
            <w:vAlign w:val="center"/>
          </w:tcPr>
          <w:p w14:paraId="586FE08C" w14:textId="744B8303"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w:t>
            </w:r>
            <w:r w:rsidR="00273400">
              <w:rPr>
                <w:rFonts w:ascii="Arial" w:hAnsi="Arial" w:cs="Arial"/>
                <w:sz w:val="20"/>
                <w:szCs w:val="20"/>
              </w:rPr>
              <w:t>0</w:t>
            </w:r>
            <w:r w:rsidRPr="004034C1">
              <w:rPr>
                <w:rFonts w:ascii="Arial" w:hAnsi="Arial" w:cs="Arial"/>
                <w:sz w:val="20"/>
                <w:szCs w:val="20"/>
              </w:rPr>
              <w:t>1 (0.1)</w:t>
            </w:r>
          </w:p>
        </w:tc>
        <w:tc>
          <w:tcPr>
            <w:tcW w:w="385" w:type="pct"/>
            <w:vAlign w:val="center"/>
          </w:tcPr>
          <w:p w14:paraId="57064FBF" w14:textId="0FEE115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w:t>
            </w:r>
            <w:r w:rsidR="00273400">
              <w:rPr>
                <w:rFonts w:ascii="Arial" w:hAnsi="Arial" w:cs="Arial"/>
                <w:sz w:val="20"/>
                <w:szCs w:val="20"/>
              </w:rPr>
              <w:t>0</w:t>
            </w:r>
            <w:r w:rsidRPr="004034C1">
              <w:rPr>
                <w:rFonts w:ascii="Arial" w:hAnsi="Arial" w:cs="Arial"/>
                <w:sz w:val="20"/>
                <w:szCs w:val="20"/>
              </w:rPr>
              <w:t>1 (0.1)</w:t>
            </w:r>
          </w:p>
        </w:tc>
        <w:tc>
          <w:tcPr>
            <w:tcW w:w="385" w:type="pct"/>
            <w:vAlign w:val="center"/>
          </w:tcPr>
          <w:p w14:paraId="282E3A04" w14:textId="3B1BE4D6"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w:t>
            </w:r>
            <w:r w:rsidR="00273400">
              <w:rPr>
                <w:rFonts w:ascii="Arial" w:hAnsi="Arial" w:cs="Arial"/>
                <w:sz w:val="20"/>
                <w:szCs w:val="20"/>
              </w:rPr>
              <w:t>0</w:t>
            </w:r>
            <w:r w:rsidRPr="004034C1">
              <w:rPr>
                <w:rFonts w:ascii="Arial" w:hAnsi="Arial" w:cs="Arial"/>
                <w:sz w:val="20"/>
                <w:szCs w:val="20"/>
              </w:rPr>
              <w:t>1 (0.1)</w:t>
            </w:r>
          </w:p>
        </w:tc>
        <w:tc>
          <w:tcPr>
            <w:tcW w:w="385" w:type="pct"/>
            <w:vAlign w:val="center"/>
          </w:tcPr>
          <w:p w14:paraId="107466F3" w14:textId="34F854F5"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0.3</w:t>
            </w:r>
            <w:r w:rsidR="00010E16">
              <w:rPr>
                <w:rFonts w:ascii="Arial" w:hAnsi="Arial" w:cs="Arial"/>
                <w:sz w:val="20"/>
                <w:szCs w:val="20"/>
              </w:rPr>
              <w:t xml:space="preserve"> </w:t>
            </w:r>
            <w:r w:rsidRPr="004034C1">
              <w:rPr>
                <w:rFonts w:ascii="Arial" w:hAnsi="Arial" w:cs="Arial"/>
                <w:sz w:val="20"/>
                <w:szCs w:val="20"/>
              </w:rPr>
              <w:t>(0.1)</w:t>
            </w:r>
          </w:p>
        </w:tc>
        <w:tc>
          <w:tcPr>
            <w:tcW w:w="567" w:type="pct"/>
            <w:vAlign w:val="center"/>
          </w:tcPr>
          <w:p w14:paraId="5C9E344B"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0.08 (0.2)</w:t>
            </w:r>
          </w:p>
        </w:tc>
      </w:tr>
      <w:tr w:rsidR="000552D1" w:rsidRPr="00306C71" w14:paraId="125BE6C6" w14:textId="77777777" w:rsidTr="00356265">
        <w:tc>
          <w:tcPr>
            <w:tcW w:w="965" w:type="pct"/>
            <w:tcBorders>
              <w:bottom w:val="single" w:sz="4" w:space="0" w:color="auto"/>
            </w:tcBorders>
            <w:vAlign w:val="center"/>
          </w:tcPr>
          <w:p w14:paraId="59AC8BF1" w14:textId="7290D69B" w:rsidR="000552D1" w:rsidRPr="004034C1" w:rsidRDefault="000552D1" w:rsidP="000552D1">
            <w:pPr>
              <w:spacing w:before="60" w:after="60" w:line="276" w:lineRule="auto"/>
              <w:ind w:right="-305"/>
              <w:rPr>
                <w:rFonts w:ascii="Arial" w:hAnsi="Arial" w:cs="Arial"/>
                <w:sz w:val="20"/>
                <w:szCs w:val="20"/>
                <w:highlight w:val="yellow"/>
              </w:rPr>
            </w:pPr>
            <w:r w:rsidRPr="004034C1">
              <w:rPr>
                <w:rFonts w:ascii="Arial" w:hAnsi="Arial" w:cs="Arial"/>
                <w:sz w:val="20"/>
                <w:szCs w:val="20"/>
              </w:rPr>
              <w:t>LR hospital admissions (</w:t>
            </w:r>
            <w:proofErr w:type="spellStart"/>
            <w:r w:rsidRPr="004034C1">
              <w:rPr>
                <w:rFonts w:ascii="Arial" w:hAnsi="Arial" w:cs="Arial"/>
                <w:sz w:val="20"/>
                <w:szCs w:val="20"/>
              </w:rPr>
              <w:t>sen</w:t>
            </w:r>
            <w:proofErr w:type="spellEnd"/>
            <w:r w:rsidRPr="004034C1">
              <w:rPr>
                <w:rFonts w:ascii="Arial" w:hAnsi="Arial" w:cs="Arial"/>
                <w:sz w:val="20"/>
                <w:szCs w:val="20"/>
              </w:rPr>
              <w:t>)</w:t>
            </w:r>
            <w:r w:rsidRPr="004034C1">
              <w:rPr>
                <w:rFonts w:ascii="Arial" w:hAnsi="Arial" w:cs="Arial"/>
                <w:sz w:val="18"/>
                <w:szCs w:val="20"/>
              </w:rPr>
              <w:t>†</w:t>
            </w:r>
          </w:p>
        </w:tc>
        <w:tc>
          <w:tcPr>
            <w:tcW w:w="385" w:type="pct"/>
            <w:tcBorders>
              <w:bottom w:val="single" w:sz="4" w:space="0" w:color="auto"/>
            </w:tcBorders>
            <w:vAlign w:val="center"/>
          </w:tcPr>
          <w:p w14:paraId="4B81957C"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0.01 (0.1)</w:t>
            </w:r>
          </w:p>
        </w:tc>
        <w:tc>
          <w:tcPr>
            <w:tcW w:w="385" w:type="pct"/>
            <w:tcBorders>
              <w:bottom w:val="single" w:sz="4" w:space="0" w:color="auto"/>
            </w:tcBorders>
            <w:vAlign w:val="center"/>
          </w:tcPr>
          <w:p w14:paraId="45509654"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0.01 (0.1)</w:t>
            </w:r>
          </w:p>
        </w:tc>
        <w:tc>
          <w:tcPr>
            <w:tcW w:w="385" w:type="pct"/>
            <w:tcBorders>
              <w:bottom w:val="single" w:sz="4" w:space="0" w:color="auto"/>
            </w:tcBorders>
            <w:vAlign w:val="center"/>
          </w:tcPr>
          <w:p w14:paraId="3FA3FE04"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0.01 (0.1)</w:t>
            </w:r>
          </w:p>
        </w:tc>
        <w:tc>
          <w:tcPr>
            <w:tcW w:w="385" w:type="pct"/>
            <w:tcBorders>
              <w:bottom w:val="single" w:sz="4" w:space="0" w:color="auto"/>
            </w:tcBorders>
            <w:vAlign w:val="center"/>
          </w:tcPr>
          <w:p w14:paraId="1154AFB4" w14:textId="77777777" w:rsidR="000552D1" w:rsidRPr="004034C1" w:rsidRDefault="000552D1" w:rsidP="008D3383">
            <w:pPr>
              <w:spacing w:before="60" w:after="60" w:line="276" w:lineRule="auto"/>
              <w:jc w:val="center"/>
              <w:rPr>
                <w:rFonts w:ascii="Arial" w:hAnsi="Arial" w:cs="Arial"/>
                <w:kern w:val="24"/>
                <w:sz w:val="20"/>
                <w:szCs w:val="20"/>
              </w:rPr>
            </w:pPr>
            <w:r w:rsidRPr="004034C1">
              <w:rPr>
                <w:rFonts w:ascii="Arial" w:hAnsi="Arial" w:cs="Arial"/>
                <w:sz w:val="20"/>
                <w:szCs w:val="20"/>
              </w:rPr>
              <w:t>0</w:t>
            </w:r>
            <w:r w:rsidR="008D3383" w:rsidRPr="004034C1">
              <w:rPr>
                <w:rFonts w:ascii="Arial" w:hAnsi="Arial" w:cs="Arial"/>
                <w:sz w:val="20"/>
                <w:szCs w:val="20"/>
              </w:rPr>
              <w:t xml:space="preserve"> </w:t>
            </w:r>
            <w:r w:rsidRPr="004034C1">
              <w:rPr>
                <w:rFonts w:ascii="Arial" w:hAnsi="Arial" w:cs="Arial"/>
                <w:sz w:val="20"/>
                <w:szCs w:val="20"/>
              </w:rPr>
              <w:t>(0.1)</w:t>
            </w:r>
          </w:p>
        </w:tc>
        <w:tc>
          <w:tcPr>
            <w:tcW w:w="385" w:type="pct"/>
            <w:tcBorders>
              <w:bottom w:val="single" w:sz="4" w:space="0" w:color="auto"/>
            </w:tcBorders>
            <w:vAlign w:val="center"/>
          </w:tcPr>
          <w:p w14:paraId="78E55478"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0.01 (0.1)</w:t>
            </w:r>
          </w:p>
        </w:tc>
        <w:tc>
          <w:tcPr>
            <w:tcW w:w="385" w:type="pct"/>
            <w:tcBorders>
              <w:bottom w:val="single" w:sz="4" w:space="0" w:color="auto"/>
            </w:tcBorders>
            <w:vAlign w:val="center"/>
          </w:tcPr>
          <w:p w14:paraId="10E675C2"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0.01 (0.1)</w:t>
            </w:r>
          </w:p>
        </w:tc>
        <w:tc>
          <w:tcPr>
            <w:tcW w:w="385" w:type="pct"/>
            <w:tcBorders>
              <w:bottom w:val="single" w:sz="4" w:space="0" w:color="auto"/>
            </w:tcBorders>
            <w:vAlign w:val="center"/>
          </w:tcPr>
          <w:p w14:paraId="7440582F"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0.01 (0.1)</w:t>
            </w:r>
          </w:p>
        </w:tc>
        <w:tc>
          <w:tcPr>
            <w:tcW w:w="385" w:type="pct"/>
            <w:tcBorders>
              <w:bottom w:val="single" w:sz="4" w:space="0" w:color="auto"/>
            </w:tcBorders>
            <w:vAlign w:val="center"/>
          </w:tcPr>
          <w:p w14:paraId="6383F291"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0.01 (0.1)</w:t>
            </w:r>
          </w:p>
        </w:tc>
        <w:tc>
          <w:tcPr>
            <w:tcW w:w="385" w:type="pct"/>
            <w:tcBorders>
              <w:bottom w:val="single" w:sz="4" w:space="0" w:color="auto"/>
            </w:tcBorders>
            <w:vAlign w:val="center"/>
          </w:tcPr>
          <w:p w14:paraId="57FD894E"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0.01 (0.1)</w:t>
            </w:r>
          </w:p>
        </w:tc>
        <w:tc>
          <w:tcPr>
            <w:tcW w:w="567" w:type="pct"/>
            <w:tcBorders>
              <w:bottom w:val="single" w:sz="4" w:space="0" w:color="auto"/>
            </w:tcBorders>
            <w:vAlign w:val="center"/>
          </w:tcPr>
          <w:p w14:paraId="34894D01" w14:textId="77777777" w:rsidR="000552D1" w:rsidRPr="004034C1" w:rsidRDefault="000552D1" w:rsidP="0042608D">
            <w:pPr>
              <w:spacing w:before="60" w:after="60" w:line="276" w:lineRule="auto"/>
              <w:jc w:val="center"/>
              <w:rPr>
                <w:rFonts w:ascii="Arial" w:hAnsi="Arial" w:cs="Arial"/>
                <w:kern w:val="24"/>
                <w:sz w:val="20"/>
                <w:szCs w:val="20"/>
              </w:rPr>
            </w:pPr>
            <w:r w:rsidRPr="004034C1">
              <w:rPr>
                <w:rFonts w:ascii="Arial" w:hAnsi="Arial" w:cs="Arial"/>
                <w:sz w:val="20"/>
                <w:szCs w:val="20"/>
              </w:rPr>
              <w:t>0.05 (0.1)</w:t>
            </w:r>
          </w:p>
        </w:tc>
      </w:tr>
      <w:tr w:rsidR="00DB11A6" w:rsidRPr="00DB11A6" w14:paraId="2128D99A" w14:textId="77777777" w:rsidTr="000552D1">
        <w:tc>
          <w:tcPr>
            <w:tcW w:w="5000" w:type="pct"/>
            <w:gridSpan w:val="11"/>
            <w:tcBorders>
              <w:top w:val="single" w:sz="4" w:space="0" w:color="auto"/>
              <w:bottom w:val="single" w:sz="4" w:space="0" w:color="auto"/>
            </w:tcBorders>
            <w:vAlign w:val="center"/>
          </w:tcPr>
          <w:p w14:paraId="6AB0F160" w14:textId="77777777" w:rsidR="000552D1" w:rsidRPr="00DB11A6" w:rsidRDefault="000552D1" w:rsidP="0042608D">
            <w:pPr>
              <w:spacing w:before="60" w:after="60" w:line="276" w:lineRule="auto"/>
              <w:rPr>
                <w:rFonts w:ascii="Arial" w:hAnsi="Arial" w:cs="Arial"/>
                <w:kern w:val="24"/>
                <w:sz w:val="20"/>
                <w:szCs w:val="20"/>
              </w:rPr>
            </w:pPr>
            <w:r w:rsidRPr="00DB11A6">
              <w:rPr>
                <w:rFonts w:ascii="Arial" w:hAnsi="Arial" w:cs="Arial"/>
                <w:b/>
                <w:sz w:val="20"/>
                <w:szCs w:val="20"/>
              </w:rPr>
              <w:t xml:space="preserve">Diagnostics, mean (SD) </w:t>
            </w:r>
            <w:proofErr w:type="spellStart"/>
            <w:r w:rsidRPr="00DB11A6">
              <w:rPr>
                <w:rFonts w:ascii="Arial" w:hAnsi="Arial" w:cs="Arial"/>
                <w:b/>
                <w:sz w:val="20"/>
                <w:szCs w:val="20"/>
              </w:rPr>
              <w:t>pppy</w:t>
            </w:r>
            <w:proofErr w:type="spellEnd"/>
          </w:p>
        </w:tc>
      </w:tr>
      <w:tr w:rsidR="00DB11A6" w:rsidRPr="00DB11A6" w14:paraId="207179D0" w14:textId="77777777" w:rsidTr="00356265">
        <w:tc>
          <w:tcPr>
            <w:tcW w:w="965" w:type="pct"/>
            <w:tcBorders>
              <w:top w:val="single" w:sz="4" w:space="0" w:color="auto"/>
              <w:bottom w:val="single" w:sz="4" w:space="0" w:color="auto"/>
            </w:tcBorders>
            <w:vAlign w:val="center"/>
          </w:tcPr>
          <w:p w14:paraId="3730A7BC" w14:textId="77777777" w:rsidR="000552D1" w:rsidRPr="00DB11A6" w:rsidRDefault="000552D1" w:rsidP="000552D1">
            <w:pPr>
              <w:spacing w:before="60" w:after="60" w:line="276" w:lineRule="auto"/>
              <w:rPr>
                <w:rFonts w:ascii="Arial" w:hAnsi="Arial" w:cs="Arial"/>
                <w:sz w:val="20"/>
                <w:szCs w:val="20"/>
              </w:rPr>
            </w:pPr>
            <w:r w:rsidRPr="00DB11A6">
              <w:rPr>
                <w:rFonts w:ascii="Arial" w:hAnsi="Arial" w:cs="Arial"/>
                <w:sz w:val="20"/>
                <w:szCs w:val="20"/>
              </w:rPr>
              <w:t>Chest X-Rays</w:t>
            </w:r>
          </w:p>
        </w:tc>
        <w:tc>
          <w:tcPr>
            <w:tcW w:w="385" w:type="pct"/>
            <w:tcBorders>
              <w:top w:val="single" w:sz="4" w:space="0" w:color="auto"/>
              <w:bottom w:val="single" w:sz="4" w:space="0" w:color="auto"/>
            </w:tcBorders>
            <w:vAlign w:val="center"/>
          </w:tcPr>
          <w:p w14:paraId="609FB960" w14:textId="77777777" w:rsidR="000552D1" w:rsidRPr="00DB11A6" w:rsidRDefault="000552D1" w:rsidP="0042608D">
            <w:pPr>
              <w:spacing w:before="60" w:after="60" w:line="276" w:lineRule="auto"/>
              <w:jc w:val="center"/>
              <w:rPr>
                <w:rFonts w:ascii="Arial" w:hAnsi="Arial" w:cs="Arial"/>
                <w:kern w:val="24"/>
                <w:sz w:val="20"/>
                <w:szCs w:val="20"/>
              </w:rPr>
            </w:pPr>
            <w:r w:rsidRPr="00DB11A6">
              <w:rPr>
                <w:rFonts w:ascii="Arial" w:hAnsi="Arial" w:cs="Arial"/>
                <w:sz w:val="20"/>
                <w:szCs w:val="20"/>
              </w:rPr>
              <w:t>0.03</w:t>
            </w:r>
            <w:r w:rsidR="008D3383" w:rsidRPr="00DB11A6">
              <w:rPr>
                <w:rFonts w:ascii="Arial" w:hAnsi="Arial" w:cs="Arial"/>
                <w:sz w:val="20"/>
                <w:szCs w:val="20"/>
              </w:rPr>
              <w:t xml:space="preserve"> </w:t>
            </w:r>
            <w:r w:rsidRPr="00DB11A6">
              <w:rPr>
                <w:rFonts w:ascii="Arial" w:hAnsi="Arial" w:cs="Arial"/>
                <w:sz w:val="20"/>
                <w:szCs w:val="20"/>
              </w:rPr>
              <w:t>(0.2)</w:t>
            </w:r>
          </w:p>
        </w:tc>
        <w:tc>
          <w:tcPr>
            <w:tcW w:w="385" w:type="pct"/>
            <w:tcBorders>
              <w:top w:val="single" w:sz="4" w:space="0" w:color="auto"/>
              <w:bottom w:val="single" w:sz="4" w:space="0" w:color="auto"/>
            </w:tcBorders>
            <w:vAlign w:val="center"/>
          </w:tcPr>
          <w:p w14:paraId="6A978F29" w14:textId="77777777" w:rsidR="000552D1" w:rsidRPr="00DB11A6" w:rsidRDefault="000552D1" w:rsidP="0042608D">
            <w:pPr>
              <w:spacing w:before="60" w:after="60" w:line="276" w:lineRule="auto"/>
              <w:jc w:val="center"/>
              <w:rPr>
                <w:rFonts w:ascii="Arial" w:hAnsi="Arial" w:cs="Arial"/>
                <w:kern w:val="24"/>
                <w:sz w:val="20"/>
                <w:szCs w:val="20"/>
              </w:rPr>
            </w:pPr>
            <w:r w:rsidRPr="00DB11A6">
              <w:rPr>
                <w:rFonts w:ascii="Arial" w:hAnsi="Arial" w:cs="Arial"/>
                <w:sz w:val="20"/>
                <w:szCs w:val="20"/>
              </w:rPr>
              <w:t>0.04</w:t>
            </w:r>
            <w:r w:rsidR="008D3383" w:rsidRPr="00DB11A6">
              <w:rPr>
                <w:rFonts w:ascii="Arial" w:hAnsi="Arial" w:cs="Arial"/>
                <w:sz w:val="20"/>
                <w:szCs w:val="20"/>
              </w:rPr>
              <w:t xml:space="preserve"> </w:t>
            </w:r>
            <w:r w:rsidRPr="00DB11A6">
              <w:rPr>
                <w:rFonts w:ascii="Arial" w:hAnsi="Arial" w:cs="Arial"/>
                <w:sz w:val="20"/>
                <w:szCs w:val="20"/>
              </w:rPr>
              <w:t>(0.2)</w:t>
            </w:r>
          </w:p>
        </w:tc>
        <w:tc>
          <w:tcPr>
            <w:tcW w:w="385" w:type="pct"/>
            <w:tcBorders>
              <w:top w:val="single" w:sz="4" w:space="0" w:color="auto"/>
              <w:bottom w:val="single" w:sz="4" w:space="0" w:color="auto"/>
            </w:tcBorders>
            <w:vAlign w:val="center"/>
          </w:tcPr>
          <w:p w14:paraId="535BF854" w14:textId="77777777" w:rsidR="000552D1" w:rsidRPr="00DB11A6" w:rsidRDefault="000552D1" w:rsidP="0042608D">
            <w:pPr>
              <w:spacing w:before="60" w:after="60" w:line="276" w:lineRule="auto"/>
              <w:jc w:val="center"/>
              <w:rPr>
                <w:rFonts w:ascii="Arial" w:hAnsi="Arial" w:cs="Arial"/>
                <w:kern w:val="24"/>
                <w:sz w:val="20"/>
                <w:szCs w:val="20"/>
              </w:rPr>
            </w:pPr>
            <w:r w:rsidRPr="00DB11A6">
              <w:rPr>
                <w:rFonts w:ascii="Arial" w:hAnsi="Arial" w:cs="Arial"/>
                <w:sz w:val="20"/>
                <w:szCs w:val="20"/>
              </w:rPr>
              <w:t>0.05 (0.3)</w:t>
            </w:r>
          </w:p>
        </w:tc>
        <w:tc>
          <w:tcPr>
            <w:tcW w:w="385" w:type="pct"/>
            <w:tcBorders>
              <w:top w:val="single" w:sz="4" w:space="0" w:color="auto"/>
              <w:bottom w:val="single" w:sz="4" w:space="0" w:color="auto"/>
            </w:tcBorders>
            <w:vAlign w:val="center"/>
          </w:tcPr>
          <w:p w14:paraId="0A527F97" w14:textId="77777777" w:rsidR="000552D1" w:rsidRPr="00DB11A6" w:rsidRDefault="000552D1" w:rsidP="0042608D">
            <w:pPr>
              <w:spacing w:before="60" w:after="60" w:line="276" w:lineRule="auto"/>
              <w:jc w:val="center"/>
              <w:rPr>
                <w:rFonts w:ascii="Arial" w:hAnsi="Arial" w:cs="Arial"/>
                <w:kern w:val="24"/>
                <w:sz w:val="20"/>
                <w:szCs w:val="20"/>
              </w:rPr>
            </w:pPr>
            <w:r w:rsidRPr="00DB11A6">
              <w:rPr>
                <w:rFonts w:ascii="Arial" w:hAnsi="Arial" w:cs="Arial"/>
                <w:sz w:val="20"/>
                <w:szCs w:val="20"/>
              </w:rPr>
              <w:t>0.06</w:t>
            </w:r>
            <w:r w:rsidR="008D3383" w:rsidRPr="00DB11A6">
              <w:rPr>
                <w:rFonts w:ascii="Arial" w:hAnsi="Arial" w:cs="Arial"/>
                <w:sz w:val="20"/>
                <w:szCs w:val="20"/>
              </w:rPr>
              <w:t xml:space="preserve"> </w:t>
            </w:r>
            <w:r w:rsidRPr="00DB11A6">
              <w:rPr>
                <w:rFonts w:ascii="Arial" w:hAnsi="Arial" w:cs="Arial"/>
                <w:sz w:val="20"/>
                <w:szCs w:val="20"/>
              </w:rPr>
              <w:t>(0.3)</w:t>
            </w:r>
          </w:p>
        </w:tc>
        <w:tc>
          <w:tcPr>
            <w:tcW w:w="385" w:type="pct"/>
            <w:tcBorders>
              <w:top w:val="single" w:sz="4" w:space="0" w:color="auto"/>
              <w:bottom w:val="single" w:sz="4" w:space="0" w:color="auto"/>
            </w:tcBorders>
            <w:vAlign w:val="center"/>
          </w:tcPr>
          <w:p w14:paraId="19F58BDD" w14:textId="77777777" w:rsidR="000552D1" w:rsidRPr="00DB11A6" w:rsidRDefault="000552D1" w:rsidP="0042608D">
            <w:pPr>
              <w:spacing w:before="60" w:after="60" w:line="276" w:lineRule="auto"/>
              <w:jc w:val="center"/>
              <w:rPr>
                <w:rFonts w:ascii="Arial" w:hAnsi="Arial" w:cs="Arial"/>
                <w:kern w:val="24"/>
                <w:sz w:val="20"/>
                <w:szCs w:val="20"/>
              </w:rPr>
            </w:pPr>
            <w:r w:rsidRPr="00DB11A6">
              <w:rPr>
                <w:rFonts w:ascii="Arial" w:hAnsi="Arial" w:cs="Arial"/>
                <w:sz w:val="20"/>
                <w:szCs w:val="20"/>
              </w:rPr>
              <w:t>0.06</w:t>
            </w:r>
            <w:r w:rsidR="008D3383" w:rsidRPr="00DB11A6">
              <w:rPr>
                <w:rFonts w:ascii="Arial" w:hAnsi="Arial" w:cs="Arial"/>
                <w:sz w:val="20"/>
                <w:szCs w:val="20"/>
              </w:rPr>
              <w:t xml:space="preserve"> </w:t>
            </w:r>
            <w:r w:rsidRPr="00DB11A6">
              <w:rPr>
                <w:rFonts w:ascii="Arial" w:hAnsi="Arial" w:cs="Arial"/>
                <w:sz w:val="20"/>
                <w:szCs w:val="20"/>
              </w:rPr>
              <w:t>(0.3)</w:t>
            </w:r>
          </w:p>
        </w:tc>
        <w:tc>
          <w:tcPr>
            <w:tcW w:w="385" w:type="pct"/>
            <w:tcBorders>
              <w:top w:val="single" w:sz="4" w:space="0" w:color="auto"/>
              <w:bottom w:val="single" w:sz="4" w:space="0" w:color="auto"/>
            </w:tcBorders>
            <w:vAlign w:val="center"/>
          </w:tcPr>
          <w:p w14:paraId="7C03661D" w14:textId="77777777" w:rsidR="000552D1" w:rsidRPr="00DB11A6" w:rsidRDefault="000552D1" w:rsidP="0042608D">
            <w:pPr>
              <w:spacing w:before="60" w:after="60" w:line="276" w:lineRule="auto"/>
              <w:jc w:val="center"/>
              <w:rPr>
                <w:rFonts w:ascii="Arial" w:hAnsi="Arial" w:cs="Arial"/>
                <w:kern w:val="24"/>
                <w:sz w:val="20"/>
                <w:szCs w:val="20"/>
              </w:rPr>
            </w:pPr>
            <w:r w:rsidRPr="00DB11A6">
              <w:rPr>
                <w:rFonts w:ascii="Arial" w:hAnsi="Arial" w:cs="Arial"/>
                <w:sz w:val="20"/>
                <w:szCs w:val="20"/>
              </w:rPr>
              <w:t>0.07 (0.3)</w:t>
            </w:r>
          </w:p>
        </w:tc>
        <w:tc>
          <w:tcPr>
            <w:tcW w:w="385" w:type="pct"/>
            <w:tcBorders>
              <w:top w:val="single" w:sz="4" w:space="0" w:color="auto"/>
              <w:bottom w:val="single" w:sz="4" w:space="0" w:color="auto"/>
            </w:tcBorders>
            <w:vAlign w:val="center"/>
          </w:tcPr>
          <w:p w14:paraId="297155A8" w14:textId="77777777" w:rsidR="000552D1" w:rsidRPr="00DB11A6" w:rsidRDefault="000552D1" w:rsidP="0042608D">
            <w:pPr>
              <w:spacing w:before="60" w:after="60" w:line="276" w:lineRule="auto"/>
              <w:jc w:val="center"/>
              <w:rPr>
                <w:rFonts w:ascii="Arial" w:hAnsi="Arial" w:cs="Arial"/>
                <w:kern w:val="24"/>
                <w:sz w:val="20"/>
                <w:szCs w:val="20"/>
              </w:rPr>
            </w:pPr>
            <w:r w:rsidRPr="00DB11A6">
              <w:rPr>
                <w:rFonts w:ascii="Arial" w:hAnsi="Arial" w:cs="Arial"/>
                <w:sz w:val="20"/>
                <w:szCs w:val="20"/>
              </w:rPr>
              <w:t>0.08 (0.3)</w:t>
            </w:r>
          </w:p>
        </w:tc>
        <w:tc>
          <w:tcPr>
            <w:tcW w:w="385" w:type="pct"/>
            <w:tcBorders>
              <w:top w:val="single" w:sz="4" w:space="0" w:color="auto"/>
              <w:bottom w:val="single" w:sz="4" w:space="0" w:color="auto"/>
            </w:tcBorders>
            <w:vAlign w:val="center"/>
          </w:tcPr>
          <w:p w14:paraId="7BEFCFE4" w14:textId="77777777" w:rsidR="000552D1" w:rsidRPr="00DB11A6" w:rsidRDefault="000552D1" w:rsidP="0042608D">
            <w:pPr>
              <w:spacing w:before="60" w:after="60" w:line="276" w:lineRule="auto"/>
              <w:jc w:val="center"/>
              <w:rPr>
                <w:rFonts w:ascii="Arial" w:hAnsi="Arial" w:cs="Arial"/>
                <w:kern w:val="24"/>
                <w:sz w:val="20"/>
                <w:szCs w:val="20"/>
              </w:rPr>
            </w:pPr>
            <w:r w:rsidRPr="00DB11A6">
              <w:rPr>
                <w:rFonts w:ascii="Arial" w:hAnsi="Arial" w:cs="Arial"/>
                <w:sz w:val="20"/>
                <w:szCs w:val="20"/>
              </w:rPr>
              <w:t>0.10 (0.4)</w:t>
            </w:r>
          </w:p>
        </w:tc>
        <w:tc>
          <w:tcPr>
            <w:tcW w:w="385" w:type="pct"/>
            <w:tcBorders>
              <w:top w:val="single" w:sz="4" w:space="0" w:color="auto"/>
              <w:bottom w:val="single" w:sz="4" w:space="0" w:color="auto"/>
            </w:tcBorders>
            <w:vAlign w:val="center"/>
          </w:tcPr>
          <w:p w14:paraId="3A075112" w14:textId="77777777" w:rsidR="000552D1" w:rsidRPr="00DB11A6" w:rsidRDefault="000552D1" w:rsidP="0042608D">
            <w:pPr>
              <w:spacing w:before="60" w:after="60" w:line="276" w:lineRule="auto"/>
              <w:jc w:val="center"/>
              <w:rPr>
                <w:rFonts w:ascii="Arial" w:hAnsi="Arial" w:cs="Arial"/>
                <w:kern w:val="24"/>
                <w:sz w:val="20"/>
                <w:szCs w:val="20"/>
              </w:rPr>
            </w:pPr>
            <w:r w:rsidRPr="00DB11A6">
              <w:rPr>
                <w:rFonts w:ascii="Arial" w:hAnsi="Arial" w:cs="Arial"/>
                <w:sz w:val="20"/>
                <w:szCs w:val="20"/>
              </w:rPr>
              <w:t>0.14 (0.2)</w:t>
            </w:r>
          </w:p>
        </w:tc>
        <w:tc>
          <w:tcPr>
            <w:tcW w:w="567" w:type="pct"/>
            <w:tcBorders>
              <w:top w:val="single" w:sz="4" w:space="0" w:color="auto"/>
              <w:bottom w:val="single" w:sz="4" w:space="0" w:color="auto"/>
            </w:tcBorders>
            <w:vAlign w:val="center"/>
          </w:tcPr>
          <w:p w14:paraId="45BDE11A" w14:textId="77777777" w:rsidR="000552D1" w:rsidRPr="00DB11A6" w:rsidRDefault="000552D1" w:rsidP="0042608D">
            <w:pPr>
              <w:spacing w:before="60" w:after="60" w:line="276" w:lineRule="auto"/>
              <w:jc w:val="center"/>
              <w:rPr>
                <w:rFonts w:ascii="Arial" w:hAnsi="Arial" w:cs="Arial"/>
                <w:kern w:val="24"/>
                <w:sz w:val="20"/>
                <w:szCs w:val="20"/>
              </w:rPr>
            </w:pPr>
            <w:r w:rsidRPr="00DB11A6">
              <w:rPr>
                <w:rFonts w:ascii="Arial" w:hAnsi="Arial" w:cs="Arial"/>
                <w:sz w:val="20"/>
                <w:szCs w:val="20"/>
              </w:rPr>
              <w:t>0.40 (0.5)</w:t>
            </w:r>
          </w:p>
        </w:tc>
      </w:tr>
    </w:tbl>
    <w:p w14:paraId="475D9CF4" w14:textId="39EB6BEC" w:rsidR="004E200B" w:rsidRPr="00DB11A6" w:rsidRDefault="009758F1" w:rsidP="006F0ED7">
      <w:pPr>
        <w:rPr>
          <w:rFonts w:ascii="Arial" w:hAnsi="Arial" w:cs="Arial"/>
          <w:sz w:val="22"/>
          <w:szCs w:val="22"/>
        </w:rPr>
      </w:pPr>
      <w:r w:rsidRPr="00DB11A6">
        <w:rPr>
          <w:rFonts w:ascii="Arial" w:hAnsi="Arial" w:cs="Arial"/>
          <w:sz w:val="20"/>
          <w:szCs w:val="22"/>
        </w:rPr>
        <w:t xml:space="preserve">PFCS: pulmonary fibrosis clinical syndrome; </w:t>
      </w:r>
      <w:r w:rsidR="007213D2" w:rsidRPr="00DB11A6">
        <w:rPr>
          <w:rFonts w:ascii="Arial" w:hAnsi="Arial" w:cs="Arial"/>
          <w:sz w:val="20"/>
          <w:szCs w:val="22"/>
        </w:rPr>
        <w:t>SD</w:t>
      </w:r>
      <w:r w:rsidR="00B346D3" w:rsidRPr="00DB11A6">
        <w:rPr>
          <w:rFonts w:ascii="Arial" w:hAnsi="Arial" w:cs="Arial"/>
          <w:sz w:val="20"/>
          <w:szCs w:val="22"/>
        </w:rPr>
        <w:t xml:space="preserve">: standard deviation; </w:t>
      </w:r>
      <w:proofErr w:type="spellStart"/>
      <w:r w:rsidR="00B346D3" w:rsidRPr="00DB11A6">
        <w:rPr>
          <w:rFonts w:ascii="Arial" w:hAnsi="Arial" w:cs="Arial"/>
          <w:sz w:val="20"/>
          <w:szCs w:val="22"/>
        </w:rPr>
        <w:t>pppy</w:t>
      </w:r>
      <w:proofErr w:type="spellEnd"/>
      <w:r w:rsidR="00B346D3" w:rsidRPr="00DB11A6">
        <w:rPr>
          <w:rFonts w:ascii="Arial" w:hAnsi="Arial" w:cs="Arial"/>
          <w:sz w:val="20"/>
          <w:szCs w:val="22"/>
        </w:rPr>
        <w:t xml:space="preserve">: per patient per year; </w:t>
      </w:r>
      <w:r w:rsidR="00E41F38" w:rsidRPr="00DB11A6">
        <w:rPr>
          <w:rFonts w:ascii="Arial" w:hAnsi="Arial" w:cs="Arial"/>
          <w:sz w:val="20"/>
          <w:szCs w:val="22"/>
        </w:rPr>
        <w:t>*</w:t>
      </w:r>
      <w:r w:rsidRPr="00DB11A6">
        <w:rPr>
          <w:rFonts w:ascii="Arial" w:hAnsi="Arial" w:cs="Arial"/>
          <w:sz w:val="20"/>
          <w:szCs w:val="22"/>
        </w:rPr>
        <w:t xml:space="preserve"> Lower respiratory (</w:t>
      </w:r>
      <w:r w:rsidR="00E41F38" w:rsidRPr="00DB11A6">
        <w:rPr>
          <w:rFonts w:ascii="Arial" w:hAnsi="Arial" w:cs="Arial"/>
          <w:sz w:val="20"/>
          <w:szCs w:val="22"/>
        </w:rPr>
        <w:t>LR</w:t>
      </w:r>
      <w:r w:rsidRPr="00DB11A6">
        <w:rPr>
          <w:rFonts w:ascii="Arial" w:hAnsi="Arial" w:cs="Arial"/>
          <w:sz w:val="20"/>
          <w:szCs w:val="22"/>
        </w:rPr>
        <w:t>)</w:t>
      </w:r>
      <w:r w:rsidR="00E41F38" w:rsidRPr="00DB11A6">
        <w:rPr>
          <w:rFonts w:ascii="Arial" w:hAnsi="Arial" w:cs="Arial"/>
          <w:sz w:val="20"/>
          <w:szCs w:val="22"/>
        </w:rPr>
        <w:t xml:space="preserve"> code recorded on same day as inpatient admission; </w:t>
      </w:r>
      <w:r w:rsidR="00E41F38" w:rsidRPr="00DB11A6">
        <w:rPr>
          <w:rFonts w:ascii="Arial" w:hAnsi="Arial" w:cs="Arial"/>
          <w:sz w:val="18"/>
          <w:szCs w:val="20"/>
        </w:rPr>
        <w:t>†</w:t>
      </w:r>
      <w:r w:rsidRPr="00DB11A6">
        <w:rPr>
          <w:rFonts w:ascii="Arial" w:hAnsi="Arial" w:cs="Arial"/>
          <w:sz w:val="18"/>
          <w:szCs w:val="20"/>
        </w:rPr>
        <w:t xml:space="preserve"> </w:t>
      </w:r>
      <w:r w:rsidR="00E41F38" w:rsidRPr="00DB11A6">
        <w:rPr>
          <w:rFonts w:ascii="Arial" w:hAnsi="Arial" w:cs="Arial"/>
          <w:sz w:val="20"/>
          <w:szCs w:val="22"/>
        </w:rPr>
        <w:t>LR code recorded within 14 days of an inpatient admission</w:t>
      </w:r>
      <w:r w:rsidR="00861639" w:rsidRPr="00DB11A6">
        <w:rPr>
          <w:rFonts w:ascii="Arial" w:hAnsi="Arial" w:cs="Arial"/>
          <w:sz w:val="20"/>
          <w:szCs w:val="22"/>
        </w:rPr>
        <w:t>; S</w:t>
      </w:r>
      <w:r w:rsidR="005C4014" w:rsidRPr="00DB11A6">
        <w:rPr>
          <w:rFonts w:ascii="Arial" w:hAnsi="Arial" w:cs="Arial"/>
          <w:sz w:val="20"/>
          <w:szCs w:val="22"/>
        </w:rPr>
        <w:t>en: sensitivity</w:t>
      </w:r>
      <w:r w:rsidR="0054511C" w:rsidRPr="00DB11A6">
        <w:rPr>
          <w:rFonts w:ascii="Arial" w:hAnsi="Arial" w:cs="Arial"/>
          <w:sz w:val="20"/>
          <w:szCs w:val="22"/>
        </w:rPr>
        <w:t>; Number of patients with non-missing data in year 10 to year 1 prior to PFCS diagnosis: 1474, 1533, 1598, 1686, 1772, 1861, 1944, 2019, 2087, 2223</w:t>
      </w:r>
      <w:r w:rsidR="0096436E" w:rsidRPr="00DB11A6">
        <w:rPr>
          <w:rFonts w:ascii="Arial" w:hAnsi="Arial" w:cs="Arial"/>
          <w:sz w:val="20"/>
          <w:szCs w:val="22"/>
        </w:rPr>
        <w:t>;</w:t>
      </w:r>
      <w:r w:rsidR="0054511C" w:rsidRPr="00DB11A6">
        <w:rPr>
          <w:rFonts w:ascii="Arial" w:hAnsi="Arial" w:cs="Arial"/>
          <w:sz w:val="20"/>
          <w:szCs w:val="22"/>
        </w:rPr>
        <w:t xml:space="preserve"> Mean pre-observation period: </w:t>
      </w:r>
      <w:r w:rsidR="004D1574" w:rsidRPr="00DB11A6">
        <w:rPr>
          <w:rFonts w:ascii="Arial" w:hAnsi="Arial" w:cs="Arial"/>
          <w:sz w:val="20"/>
          <w:szCs w:val="22"/>
        </w:rPr>
        <w:t>8</w:t>
      </w:r>
      <w:r w:rsidR="0054511C" w:rsidRPr="00DB11A6">
        <w:rPr>
          <w:rFonts w:ascii="Arial" w:hAnsi="Arial" w:cs="Arial"/>
          <w:sz w:val="20"/>
          <w:szCs w:val="22"/>
        </w:rPr>
        <w:t xml:space="preserve"> years.  </w:t>
      </w:r>
    </w:p>
    <w:sectPr w:rsidR="004E200B" w:rsidRPr="00DB11A6" w:rsidSect="00C62A6D">
      <w:pgSz w:w="16820" w:h="11900" w:orient="landscape"/>
      <w:pgMar w:top="99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00419" w14:textId="77777777" w:rsidR="00385AD4" w:rsidRDefault="00385AD4" w:rsidP="00167176">
      <w:r>
        <w:separator/>
      </w:r>
    </w:p>
  </w:endnote>
  <w:endnote w:type="continuationSeparator" w:id="0">
    <w:p w14:paraId="4B8E557E" w14:textId="77777777" w:rsidR="00385AD4" w:rsidRDefault="00385AD4" w:rsidP="0016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 55 Roman">
    <w:altName w:val="Arial"/>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82E91" w14:textId="77777777" w:rsidR="00A0316F" w:rsidRDefault="00A0316F" w:rsidP="00671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EF730E" w14:textId="77777777" w:rsidR="00A0316F" w:rsidRDefault="00A0316F">
    <w:pPr>
      <w:pStyle w:val="Footer"/>
    </w:pPr>
  </w:p>
  <w:p w14:paraId="27B2FF49" w14:textId="77777777" w:rsidR="00A0316F" w:rsidRDefault="00A031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3495E" w14:textId="178A4E4D" w:rsidR="00A0316F" w:rsidRPr="00942B17" w:rsidRDefault="00A0316F" w:rsidP="00671E11">
    <w:pPr>
      <w:pStyle w:val="Footer"/>
      <w:framePr w:wrap="around" w:vAnchor="text" w:hAnchor="margin" w:xAlign="center" w:y="1"/>
      <w:rPr>
        <w:rStyle w:val="PageNumber"/>
        <w:rFonts w:ascii="Arial" w:hAnsi="Arial" w:cs="Arial"/>
      </w:rPr>
    </w:pPr>
    <w:r w:rsidRPr="00942B17">
      <w:rPr>
        <w:rStyle w:val="PageNumber"/>
        <w:rFonts w:ascii="Arial" w:hAnsi="Arial" w:cs="Arial"/>
      </w:rPr>
      <w:fldChar w:fldCharType="begin"/>
    </w:r>
    <w:r w:rsidRPr="00942B17">
      <w:rPr>
        <w:rStyle w:val="PageNumber"/>
        <w:rFonts w:ascii="Arial" w:hAnsi="Arial" w:cs="Arial"/>
      </w:rPr>
      <w:instrText xml:space="preserve">PAGE  </w:instrText>
    </w:r>
    <w:r w:rsidRPr="00942B17">
      <w:rPr>
        <w:rStyle w:val="PageNumber"/>
        <w:rFonts w:ascii="Arial" w:hAnsi="Arial" w:cs="Arial"/>
      </w:rPr>
      <w:fldChar w:fldCharType="separate"/>
    </w:r>
    <w:r>
      <w:rPr>
        <w:rStyle w:val="PageNumber"/>
        <w:rFonts w:ascii="Arial" w:hAnsi="Arial" w:cs="Arial"/>
        <w:noProof/>
      </w:rPr>
      <w:t>17</w:t>
    </w:r>
    <w:r w:rsidRPr="00942B17">
      <w:rPr>
        <w:rStyle w:val="PageNumber"/>
        <w:rFonts w:ascii="Arial" w:hAnsi="Arial" w:cs="Arial"/>
      </w:rPr>
      <w:fldChar w:fldCharType="end"/>
    </w:r>
  </w:p>
  <w:p w14:paraId="74224E06" w14:textId="77777777" w:rsidR="00A0316F" w:rsidRPr="00942B17" w:rsidRDefault="00A0316F">
    <w:pPr>
      <w:pStyle w:val="Footer"/>
      <w:rPr>
        <w:rFonts w:ascii="Arial" w:hAnsi="Arial" w:cs="Arial"/>
      </w:rPr>
    </w:pPr>
  </w:p>
  <w:p w14:paraId="3686F611" w14:textId="77777777" w:rsidR="00A0316F" w:rsidRDefault="00A031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B2FFE" w14:textId="77777777" w:rsidR="00385AD4" w:rsidRDefault="00385AD4" w:rsidP="00167176">
      <w:r>
        <w:separator/>
      </w:r>
    </w:p>
  </w:footnote>
  <w:footnote w:type="continuationSeparator" w:id="0">
    <w:p w14:paraId="18DF7282" w14:textId="77777777" w:rsidR="00385AD4" w:rsidRDefault="00385AD4" w:rsidP="001671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D10B6"/>
    <w:multiLevelType w:val="hybridMultilevel"/>
    <w:tmpl w:val="A5CAA7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A2D93"/>
    <w:multiLevelType w:val="hybridMultilevel"/>
    <w:tmpl w:val="420A0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6238F6"/>
    <w:multiLevelType w:val="hybridMultilevel"/>
    <w:tmpl w:val="88521512"/>
    <w:lvl w:ilvl="0" w:tplc="5BEE2DF0">
      <w:start w:val="1"/>
      <w:numFmt w:val="bullet"/>
      <w:lvlText w:val=""/>
      <w:lvlJc w:val="left"/>
      <w:pPr>
        <w:ind w:left="683" w:hanging="683"/>
      </w:pPr>
      <w:rPr>
        <w:rFonts w:ascii="Symbol" w:hAnsi="Symbol" w:hint="default"/>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44666"/>
    <w:multiLevelType w:val="hybridMultilevel"/>
    <w:tmpl w:val="D3EA4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2D3D7E"/>
    <w:multiLevelType w:val="hybridMultilevel"/>
    <w:tmpl w:val="8884BBE2"/>
    <w:lvl w:ilvl="0" w:tplc="690C50AC">
      <w:start w:val="1"/>
      <w:numFmt w:val="bullet"/>
      <w:lvlText w:val="o"/>
      <w:lvlJc w:val="left"/>
      <w:pPr>
        <w:tabs>
          <w:tab w:val="num" w:pos="720"/>
        </w:tabs>
        <w:ind w:left="720" w:hanging="360"/>
      </w:pPr>
      <w:rPr>
        <w:rFonts w:ascii="Courier New" w:hAnsi="Courier New" w:hint="default"/>
      </w:rPr>
    </w:lvl>
    <w:lvl w:ilvl="1" w:tplc="6B643FD4">
      <w:start w:val="1"/>
      <w:numFmt w:val="bullet"/>
      <w:lvlText w:val="o"/>
      <w:lvlJc w:val="left"/>
      <w:pPr>
        <w:tabs>
          <w:tab w:val="num" w:pos="1440"/>
        </w:tabs>
        <w:ind w:left="1440" w:hanging="360"/>
      </w:pPr>
      <w:rPr>
        <w:rFonts w:ascii="Courier New" w:hAnsi="Courier New" w:hint="default"/>
      </w:rPr>
    </w:lvl>
    <w:lvl w:ilvl="2" w:tplc="2A22C76C">
      <w:numFmt w:val="bullet"/>
      <w:lvlText w:val="–"/>
      <w:lvlJc w:val="left"/>
      <w:pPr>
        <w:tabs>
          <w:tab w:val="num" w:pos="2160"/>
        </w:tabs>
        <w:ind w:left="2160" w:hanging="360"/>
      </w:pPr>
      <w:rPr>
        <w:rFonts w:ascii="Lucida Grande" w:hAnsi="Lucida Grande" w:hint="default"/>
      </w:rPr>
    </w:lvl>
    <w:lvl w:ilvl="3" w:tplc="28887082" w:tentative="1">
      <w:start w:val="1"/>
      <w:numFmt w:val="bullet"/>
      <w:lvlText w:val="o"/>
      <w:lvlJc w:val="left"/>
      <w:pPr>
        <w:tabs>
          <w:tab w:val="num" w:pos="2880"/>
        </w:tabs>
        <w:ind w:left="2880" w:hanging="360"/>
      </w:pPr>
      <w:rPr>
        <w:rFonts w:ascii="Courier New" w:hAnsi="Courier New" w:hint="default"/>
      </w:rPr>
    </w:lvl>
    <w:lvl w:ilvl="4" w:tplc="BF827DCA" w:tentative="1">
      <w:start w:val="1"/>
      <w:numFmt w:val="bullet"/>
      <w:lvlText w:val="o"/>
      <w:lvlJc w:val="left"/>
      <w:pPr>
        <w:tabs>
          <w:tab w:val="num" w:pos="3600"/>
        </w:tabs>
        <w:ind w:left="3600" w:hanging="360"/>
      </w:pPr>
      <w:rPr>
        <w:rFonts w:ascii="Courier New" w:hAnsi="Courier New" w:hint="default"/>
      </w:rPr>
    </w:lvl>
    <w:lvl w:ilvl="5" w:tplc="3094F5A4" w:tentative="1">
      <w:start w:val="1"/>
      <w:numFmt w:val="bullet"/>
      <w:lvlText w:val="o"/>
      <w:lvlJc w:val="left"/>
      <w:pPr>
        <w:tabs>
          <w:tab w:val="num" w:pos="4320"/>
        </w:tabs>
        <w:ind w:left="4320" w:hanging="360"/>
      </w:pPr>
      <w:rPr>
        <w:rFonts w:ascii="Courier New" w:hAnsi="Courier New" w:hint="default"/>
      </w:rPr>
    </w:lvl>
    <w:lvl w:ilvl="6" w:tplc="19FA033A" w:tentative="1">
      <w:start w:val="1"/>
      <w:numFmt w:val="bullet"/>
      <w:lvlText w:val="o"/>
      <w:lvlJc w:val="left"/>
      <w:pPr>
        <w:tabs>
          <w:tab w:val="num" w:pos="5040"/>
        </w:tabs>
        <w:ind w:left="5040" w:hanging="360"/>
      </w:pPr>
      <w:rPr>
        <w:rFonts w:ascii="Courier New" w:hAnsi="Courier New" w:hint="default"/>
      </w:rPr>
    </w:lvl>
    <w:lvl w:ilvl="7" w:tplc="1E283188" w:tentative="1">
      <w:start w:val="1"/>
      <w:numFmt w:val="bullet"/>
      <w:lvlText w:val="o"/>
      <w:lvlJc w:val="left"/>
      <w:pPr>
        <w:tabs>
          <w:tab w:val="num" w:pos="5760"/>
        </w:tabs>
        <w:ind w:left="5760" w:hanging="360"/>
      </w:pPr>
      <w:rPr>
        <w:rFonts w:ascii="Courier New" w:hAnsi="Courier New" w:hint="default"/>
      </w:rPr>
    </w:lvl>
    <w:lvl w:ilvl="8" w:tplc="8AB483D6"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1B8B6B0E"/>
    <w:multiLevelType w:val="hybridMultilevel"/>
    <w:tmpl w:val="62002486"/>
    <w:lvl w:ilvl="0" w:tplc="A56C93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325F34"/>
    <w:multiLevelType w:val="hybridMultilevel"/>
    <w:tmpl w:val="13BC7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D59D7"/>
    <w:multiLevelType w:val="hybridMultilevel"/>
    <w:tmpl w:val="02FE266E"/>
    <w:lvl w:ilvl="0" w:tplc="C8387F28">
      <w:start w:val="1"/>
      <w:numFmt w:val="decimal"/>
      <w:lvlText w:val="%1."/>
      <w:lvlJc w:val="left"/>
      <w:pPr>
        <w:ind w:left="360" w:hanging="360"/>
      </w:pPr>
      <w:rPr>
        <w:rFonts w:ascii="Arial" w:eastAsiaTheme="minorEastAsia"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D276DF"/>
    <w:multiLevelType w:val="hybridMultilevel"/>
    <w:tmpl w:val="19A63B86"/>
    <w:lvl w:ilvl="0" w:tplc="5BEE2DF0">
      <w:start w:val="1"/>
      <w:numFmt w:val="bullet"/>
      <w:lvlText w:val=""/>
      <w:lvlJc w:val="left"/>
      <w:pPr>
        <w:ind w:left="683" w:hanging="683"/>
      </w:pPr>
      <w:rPr>
        <w:rFonts w:ascii="Symbol" w:hAnsi="Symbol" w:hint="default"/>
        <w:sz w:val="22"/>
      </w:rPr>
    </w:lvl>
    <w:lvl w:ilvl="1" w:tplc="04090003">
      <w:start w:val="1"/>
      <w:numFmt w:val="bullet"/>
      <w:lvlText w:val="o"/>
      <w:lvlJc w:val="left"/>
      <w:pPr>
        <w:ind w:left="1043" w:hanging="360"/>
      </w:pPr>
      <w:rPr>
        <w:rFonts w:ascii="Courier New" w:hAnsi="Courier New" w:hint="default"/>
      </w:rPr>
    </w:lvl>
    <w:lvl w:ilvl="2" w:tplc="04090005">
      <w:start w:val="1"/>
      <w:numFmt w:val="bullet"/>
      <w:lvlText w:val=""/>
      <w:lvlJc w:val="left"/>
      <w:pPr>
        <w:ind w:left="1763" w:hanging="360"/>
      </w:pPr>
      <w:rPr>
        <w:rFonts w:ascii="Wingdings" w:hAnsi="Wingdings" w:hint="default"/>
      </w:rPr>
    </w:lvl>
    <w:lvl w:ilvl="3" w:tplc="04090001" w:tentative="1">
      <w:start w:val="1"/>
      <w:numFmt w:val="bullet"/>
      <w:lvlText w:val=""/>
      <w:lvlJc w:val="left"/>
      <w:pPr>
        <w:ind w:left="2483" w:hanging="360"/>
      </w:pPr>
      <w:rPr>
        <w:rFonts w:ascii="Symbol" w:hAnsi="Symbol" w:hint="default"/>
      </w:rPr>
    </w:lvl>
    <w:lvl w:ilvl="4" w:tplc="04090003" w:tentative="1">
      <w:start w:val="1"/>
      <w:numFmt w:val="bullet"/>
      <w:lvlText w:val="o"/>
      <w:lvlJc w:val="left"/>
      <w:pPr>
        <w:ind w:left="3203" w:hanging="360"/>
      </w:pPr>
      <w:rPr>
        <w:rFonts w:ascii="Courier New" w:hAnsi="Courier New" w:hint="default"/>
      </w:rPr>
    </w:lvl>
    <w:lvl w:ilvl="5" w:tplc="04090005" w:tentative="1">
      <w:start w:val="1"/>
      <w:numFmt w:val="bullet"/>
      <w:lvlText w:val=""/>
      <w:lvlJc w:val="left"/>
      <w:pPr>
        <w:ind w:left="3923" w:hanging="360"/>
      </w:pPr>
      <w:rPr>
        <w:rFonts w:ascii="Wingdings" w:hAnsi="Wingdings" w:hint="default"/>
      </w:rPr>
    </w:lvl>
    <w:lvl w:ilvl="6" w:tplc="04090001" w:tentative="1">
      <w:start w:val="1"/>
      <w:numFmt w:val="bullet"/>
      <w:lvlText w:val=""/>
      <w:lvlJc w:val="left"/>
      <w:pPr>
        <w:ind w:left="4643" w:hanging="360"/>
      </w:pPr>
      <w:rPr>
        <w:rFonts w:ascii="Symbol" w:hAnsi="Symbol" w:hint="default"/>
      </w:rPr>
    </w:lvl>
    <w:lvl w:ilvl="7" w:tplc="04090003" w:tentative="1">
      <w:start w:val="1"/>
      <w:numFmt w:val="bullet"/>
      <w:lvlText w:val="o"/>
      <w:lvlJc w:val="left"/>
      <w:pPr>
        <w:ind w:left="5363" w:hanging="360"/>
      </w:pPr>
      <w:rPr>
        <w:rFonts w:ascii="Courier New" w:hAnsi="Courier New" w:hint="default"/>
      </w:rPr>
    </w:lvl>
    <w:lvl w:ilvl="8" w:tplc="04090005" w:tentative="1">
      <w:start w:val="1"/>
      <w:numFmt w:val="bullet"/>
      <w:lvlText w:val=""/>
      <w:lvlJc w:val="left"/>
      <w:pPr>
        <w:ind w:left="6083" w:hanging="360"/>
      </w:pPr>
      <w:rPr>
        <w:rFonts w:ascii="Wingdings" w:hAnsi="Wingdings" w:hint="default"/>
      </w:rPr>
    </w:lvl>
  </w:abstractNum>
  <w:abstractNum w:abstractNumId="9" w15:restartNumberingAfterBreak="0">
    <w:nsid w:val="31C93BBA"/>
    <w:multiLevelType w:val="hybridMultilevel"/>
    <w:tmpl w:val="2DD48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A73023"/>
    <w:multiLevelType w:val="hybridMultilevel"/>
    <w:tmpl w:val="B204EB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EF66A1"/>
    <w:multiLevelType w:val="hybridMultilevel"/>
    <w:tmpl w:val="ECBCA0E6"/>
    <w:lvl w:ilvl="0" w:tplc="724C49F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024F34"/>
    <w:multiLevelType w:val="hybridMultilevel"/>
    <w:tmpl w:val="03F2AE38"/>
    <w:lvl w:ilvl="0" w:tplc="D0BE9182">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E4BDE"/>
    <w:multiLevelType w:val="hybridMultilevel"/>
    <w:tmpl w:val="8B7448F0"/>
    <w:lvl w:ilvl="0" w:tplc="A89E296A">
      <w:start w:val="1"/>
      <w:numFmt w:val="decimal"/>
      <w:lvlText w:val="%1."/>
      <w:lvlJc w:val="left"/>
      <w:pPr>
        <w:ind w:left="360" w:hanging="360"/>
      </w:pPr>
      <w:rPr>
        <w:b/>
        <w:sz w:val="22"/>
        <w:szCs w:val="22"/>
      </w:rPr>
    </w:lvl>
    <w:lvl w:ilvl="1" w:tplc="04090017">
      <w:start w:val="1"/>
      <w:numFmt w:val="lowerLetter"/>
      <w:lvlText w:val="%2)"/>
      <w:lvlJc w:val="left"/>
      <w:pPr>
        <w:ind w:left="1080" w:hanging="360"/>
      </w:pPr>
      <w:rPr>
        <w:b/>
      </w:rPr>
    </w:lvl>
    <w:lvl w:ilvl="2" w:tplc="04090001">
      <w:start w:val="1"/>
      <w:numFmt w:val="bullet"/>
      <w:lvlText w:val=""/>
      <w:lvlJc w:val="left"/>
      <w:pPr>
        <w:ind w:left="1980" w:hanging="360"/>
      </w:pPr>
      <w:rPr>
        <w:rFonts w:ascii="Symbol" w:hAnsi="Symbol" w:hint="default"/>
        <w:b/>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3C79C4"/>
    <w:multiLevelType w:val="hybridMultilevel"/>
    <w:tmpl w:val="32F44C6E"/>
    <w:lvl w:ilvl="0" w:tplc="8A568D7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524DCE"/>
    <w:multiLevelType w:val="hybridMultilevel"/>
    <w:tmpl w:val="60CCFA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821AB0"/>
    <w:multiLevelType w:val="hybridMultilevel"/>
    <w:tmpl w:val="49D001DC"/>
    <w:lvl w:ilvl="0" w:tplc="46BE37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C1355"/>
    <w:multiLevelType w:val="hybridMultilevel"/>
    <w:tmpl w:val="8D7A1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D472F0"/>
    <w:multiLevelType w:val="hybridMultilevel"/>
    <w:tmpl w:val="870EC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FD17FC"/>
    <w:multiLevelType w:val="hybridMultilevel"/>
    <w:tmpl w:val="92E6FCC2"/>
    <w:lvl w:ilvl="0" w:tplc="2888495E">
      <w:start w:val="1"/>
      <w:numFmt w:val="bullet"/>
      <w:lvlText w:val="•"/>
      <w:lvlJc w:val="left"/>
      <w:pPr>
        <w:tabs>
          <w:tab w:val="num" w:pos="720"/>
        </w:tabs>
        <w:ind w:left="720" w:hanging="360"/>
      </w:pPr>
      <w:rPr>
        <w:rFonts w:ascii="Arial" w:hAnsi="Arial" w:hint="default"/>
      </w:rPr>
    </w:lvl>
    <w:lvl w:ilvl="1" w:tplc="1E006912">
      <w:start w:val="1804"/>
      <w:numFmt w:val="bullet"/>
      <w:lvlText w:val="o"/>
      <w:lvlJc w:val="left"/>
      <w:pPr>
        <w:tabs>
          <w:tab w:val="num" w:pos="1440"/>
        </w:tabs>
        <w:ind w:left="1440" w:hanging="360"/>
      </w:pPr>
      <w:rPr>
        <w:rFonts w:ascii="Courier New" w:hAnsi="Courier New" w:hint="default"/>
      </w:rPr>
    </w:lvl>
    <w:lvl w:ilvl="2" w:tplc="738C2344" w:tentative="1">
      <w:start w:val="1"/>
      <w:numFmt w:val="bullet"/>
      <w:lvlText w:val="•"/>
      <w:lvlJc w:val="left"/>
      <w:pPr>
        <w:tabs>
          <w:tab w:val="num" w:pos="2160"/>
        </w:tabs>
        <w:ind w:left="2160" w:hanging="360"/>
      </w:pPr>
      <w:rPr>
        <w:rFonts w:ascii="Arial" w:hAnsi="Arial" w:hint="default"/>
      </w:rPr>
    </w:lvl>
    <w:lvl w:ilvl="3" w:tplc="748C9F54" w:tentative="1">
      <w:start w:val="1"/>
      <w:numFmt w:val="bullet"/>
      <w:lvlText w:val="•"/>
      <w:lvlJc w:val="left"/>
      <w:pPr>
        <w:tabs>
          <w:tab w:val="num" w:pos="2880"/>
        </w:tabs>
        <w:ind w:left="2880" w:hanging="360"/>
      </w:pPr>
      <w:rPr>
        <w:rFonts w:ascii="Arial" w:hAnsi="Arial" w:hint="default"/>
      </w:rPr>
    </w:lvl>
    <w:lvl w:ilvl="4" w:tplc="F6526836" w:tentative="1">
      <w:start w:val="1"/>
      <w:numFmt w:val="bullet"/>
      <w:lvlText w:val="•"/>
      <w:lvlJc w:val="left"/>
      <w:pPr>
        <w:tabs>
          <w:tab w:val="num" w:pos="3600"/>
        </w:tabs>
        <w:ind w:left="3600" w:hanging="360"/>
      </w:pPr>
      <w:rPr>
        <w:rFonts w:ascii="Arial" w:hAnsi="Arial" w:hint="default"/>
      </w:rPr>
    </w:lvl>
    <w:lvl w:ilvl="5" w:tplc="379CE66E" w:tentative="1">
      <w:start w:val="1"/>
      <w:numFmt w:val="bullet"/>
      <w:lvlText w:val="•"/>
      <w:lvlJc w:val="left"/>
      <w:pPr>
        <w:tabs>
          <w:tab w:val="num" w:pos="4320"/>
        </w:tabs>
        <w:ind w:left="4320" w:hanging="360"/>
      </w:pPr>
      <w:rPr>
        <w:rFonts w:ascii="Arial" w:hAnsi="Arial" w:hint="default"/>
      </w:rPr>
    </w:lvl>
    <w:lvl w:ilvl="6" w:tplc="CD446062" w:tentative="1">
      <w:start w:val="1"/>
      <w:numFmt w:val="bullet"/>
      <w:lvlText w:val="•"/>
      <w:lvlJc w:val="left"/>
      <w:pPr>
        <w:tabs>
          <w:tab w:val="num" w:pos="5040"/>
        </w:tabs>
        <w:ind w:left="5040" w:hanging="360"/>
      </w:pPr>
      <w:rPr>
        <w:rFonts w:ascii="Arial" w:hAnsi="Arial" w:hint="default"/>
      </w:rPr>
    </w:lvl>
    <w:lvl w:ilvl="7" w:tplc="2BD61782" w:tentative="1">
      <w:start w:val="1"/>
      <w:numFmt w:val="bullet"/>
      <w:lvlText w:val="•"/>
      <w:lvlJc w:val="left"/>
      <w:pPr>
        <w:tabs>
          <w:tab w:val="num" w:pos="5760"/>
        </w:tabs>
        <w:ind w:left="5760" w:hanging="360"/>
      </w:pPr>
      <w:rPr>
        <w:rFonts w:ascii="Arial" w:hAnsi="Arial" w:hint="default"/>
      </w:rPr>
    </w:lvl>
    <w:lvl w:ilvl="8" w:tplc="55B0D5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01B6D54"/>
    <w:multiLevelType w:val="hybridMultilevel"/>
    <w:tmpl w:val="22EE7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131D2F"/>
    <w:multiLevelType w:val="hybridMultilevel"/>
    <w:tmpl w:val="7BBAE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9C3730"/>
    <w:multiLevelType w:val="hybridMultilevel"/>
    <w:tmpl w:val="E1ECE0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E53F09"/>
    <w:multiLevelType w:val="multilevel"/>
    <w:tmpl w:val="1FD6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6411FE"/>
    <w:multiLevelType w:val="hybridMultilevel"/>
    <w:tmpl w:val="E3F82A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7F4702"/>
    <w:multiLevelType w:val="hybridMultilevel"/>
    <w:tmpl w:val="32F44C6E"/>
    <w:lvl w:ilvl="0" w:tplc="8A568D7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964F69"/>
    <w:multiLevelType w:val="hybridMultilevel"/>
    <w:tmpl w:val="781EA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BB12F8"/>
    <w:multiLevelType w:val="hybridMultilevel"/>
    <w:tmpl w:val="D2A4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7D47AF"/>
    <w:multiLevelType w:val="hybridMultilevel"/>
    <w:tmpl w:val="3992F652"/>
    <w:lvl w:ilvl="0" w:tplc="8154DB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21C86"/>
    <w:multiLevelType w:val="hybridMultilevel"/>
    <w:tmpl w:val="072C665C"/>
    <w:lvl w:ilvl="0" w:tplc="45D46C68">
      <w:start w:val="1"/>
      <w:numFmt w:val="bullet"/>
      <w:lvlText w:val="•"/>
      <w:lvlJc w:val="left"/>
      <w:pPr>
        <w:tabs>
          <w:tab w:val="num" w:pos="720"/>
        </w:tabs>
        <w:ind w:left="720" w:hanging="360"/>
      </w:pPr>
      <w:rPr>
        <w:rFonts w:ascii="Arial" w:hAnsi="Arial" w:hint="default"/>
      </w:rPr>
    </w:lvl>
    <w:lvl w:ilvl="1" w:tplc="3D788BCC">
      <w:start w:val="1804"/>
      <w:numFmt w:val="bullet"/>
      <w:lvlText w:val="o"/>
      <w:lvlJc w:val="left"/>
      <w:pPr>
        <w:tabs>
          <w:tab w:val="num" w:pos="1440"/>
        </w:tabs>
        <w:ind w:left="1440" w:hanging="360"/>
      </w:pPr>
      <w:rPr>
        <w:rFonts w:ascii="Courier New" w:hAnsi="Courier New" w:hint="default"/>
      </w:rPr>
    </w:lvl>
    <w:lvl w:ilvl="2" w:tplc="9FEA85C2" w:tentative="1">
      <w:start w:val="1"/>
      <w:numFmt w:val="bullet"/>
      <w:lvlText w:val="•"/>
      <w:lvlJc w:val="left"/>
      <w:pPr>
        <w:tabs>
          <w:tab w:val="num" w:pos="2160"/>
        </w:tabs>
        <w:ind w:left="2160" w:hanging="360"/>
      </w:pPr>
      <w:rPr>
        <w:rFonts w:ascii="Arial" w:hAnsi="Arial" w:hint="default"/>
      </w:rPr>
    </w:lvl>
    <w:lvl w:ilvl="3" w:tplc="DD1E68AE" w:tentative="1">
      <w:start w:val="1"/>
      <w:numFmt w:val="bullet"/>
      <w:lvlText w:val="•"/>
      <w:lvlJc w:val="left"/>
      <w:pPr>
        <w:tabs>
          <w:tab w:val="num" w:pos="2880"/>
        </w:tabs>
        <w:ind w:left="2880" w:hanging="360"/>
      </w:pPr>
      <w:rPr>
        <w:rFonts w:ascii="Arial" w:hAnsi="Arial" w:hint="default"/>
      </w:rPr>
    </w:lvl>
    <w:lvl w:ilvl="4" w:tplc="4994493A" w:tentative="1">
      <w:start w:val="1"/>
      <w:numFmt w:val="bullet"/>
      <w:lvlText w:val="•"/>
      <w:lvlJc w:val="left"/>
      <w:pPr>
        <w:tabs>
          <w:tab w:val="num" w:pos="3600"/>
        </w:tabs>
        <w:ind w:left="3600" w:hanging="360"/>
      </w:pPr>
      <w:rPr>
        <w:rFonts w:ascii="Arial" w:hAnsi="Arial" w:hint="default"/>
      </w:rPr>
    </w:lvl>
    <w:lvl w:ilvl="5" w:tplc="854057B0" w:tentative="1">
      <w:start w:val="1"/>
      <w:numFmt w:val="bullet"/>
      <w:lvlText w:val="•"/>
      <w:lvlJc w:val="left"/>
      <w:pPr>
        <w:tabs>
          <w:tab w:val="num" w:pos="4320"/>
        </w:tabs>
        <w:ind w:left="4320" w:hanging="360"/>
      </w:pPr>
      <w:rPr>
        <w:rFonts w:ascii="Arial" w:hAnsi="Arial" w:hint="default"/>
      </w:rPr>
    </w:lvl>
    <w:lvl w:ilvl="6" w:tplc="87929244" w:tentative="1">
      <w:start w:val="1"/>
      <w:numFmt w:val="bullet"/>
      <w:lvlText w:val="•"/>
      <w:lvlJc w:val="left"/>
      <w:pPr>
        <w:tabs>
          <w:tab w:val="num" w:pos="5040"/>
        </w:tabs>
        <w:ind w:left="5040" w:hanging="360"/>
      </w:pPr>
      <w:rPr>
        <w:rFonts w:ascii="Arial" w:hAnsi="Arial" w:hint="default"/>
      </w:rPr>
    </w:lvl>
    <w:lvl w:ilvl="7" w:tplc="BAF0128E" w:tentative="1">
      <w:start w:val="1"/>
      <w:numFmt w:val="bullet"/>
      <w:lvlText w:val="•"/>
      <w:lvlJc w:val="left"/>
      <w:pPr>
        <w:tabs>
          <w:tab w:val="num" w:pos="5760"/>
        </w:tabs>
        <w:ind w:left="5760" w:hanging="360"/>
      </w:pPr>
      <w:rPr>
        <w:rFonts w:ascii="Arial" w:hAnsi="Arial" w:hint="default"/>
      </w:rPr>
    </w:lvl>
    <w:lvl w:ilvl="8" w:tplc="2F98317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A9728D"/>
    <w:multiLevelType w:val="hybridMultilevel"/>
    <w:tmpl w:val="B148B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843CCA"/>
    <w:multiLevelType w:val="multilevel"/>
    <w:tmpl w:val="BF548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5903C2"/>
    <w:multiLevelType w:val="hybridMultilevel"/>
    <w:tmpl w:val="EE361A90"/>
    <w:lvl w:ilvl="0" w:tplc="978ED25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600AFA"/>
    <w:multiLevelType w:val="hybridMultilevel"/>
    <w:tmpl w:val="E43A14C8"/>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7C2F7102"/>
    <w:multiLevelType w:val="multilevel"/>
    <w:tmpl w:val="32DA6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620677"/>
    <w:multiLevelType w:val="hybridMultilevel"/>
    <w:tmpl w:val="85DEF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1"/>
  </w:num>
  <w:num w:numId="3">
    <w:abstractNumId w:val="23"/>
  </w:num>
  <w:num w:numId="4">
    <w:abstractNumId w:val="34"/>
  </w:num>
  <w:num w:numId="5">
    <w:abstractNumId w:val="4"/>
  </w:num>
  <w:num w:numId="6">
    <w:abstractNumId w:val="3"/>
  </w:num>
  <w:num w:numId="7">
    <w:abstractNumId w:val="8"/>
  </w:num>
  <w:num w:numId="8">
    <w:abstractNumId w:val="7"/>
  </w:num>
  <w:num w:numId="9">
    <w:abstractNumId w:val="0"/>
  </w:num>
  <w:num w:numId="10">
    <w:abstractNumId w:val="19"/>
  </w:num>
  <w:num w:numId="11">
    <w:abstractNumId w:val="29"/>
  </w:num>
  <w:num w:numId="12">
    <w:abstractNumId w:val="30"/>
  </w:num>
  <w:num w:numId="13">
    <w:abstractNumId w:val="33"/>
  </w:num>
  <w:num w:numId="14">
    <w:abstractNumId w:val="28"/>
  </w:num>
  <w:num w:numId="15">
    <w:abstractNumId w:val="24"/>
  </w:num>
  <w:num w:numId="16">
    <w:abstractNumId w:val="20"/>
  </w:num>
  <w:num w:numId="17">
    <w:abstractNumId w:val="13"/>
  </w:num>
  <w:num w:numId="18">
    <w:abstractNumId w:val="18"/>
  </w:num>
  <w:num w:numId="19">
    <w:abstractNumId w:val="12"/>
  </w:num>
  <w:num w:numId="20">
    <w:abstractNumId w:val="32"/>
  </w:num>
  <w:num w:numId="21">
    <w:abstractNumId w:val="26"/>
  </w:num>
  <w:num w:numId="22">
    <w:abstractNumId w:val="35"/>
  </w:num>
  <w:num w:numId="23">
    <w:abstractNumId w:val="5"/>
  </w:num>
  <w:num w:numId="24">
    <w:abstractNumId w:val="21"/>
  </w:num>
  <w:num w:numId="25">
    <w:abstractNumId w:val="17"/>
  </w:num>
  <w:num w:numId="26">
    <w:abstractNumId w:val="10"/>
  </w:num>
  <w:num w:numId="27">
    <w:abstractNumId w:val="11"/>
  </w:num>
  <w:num w:numId="28">
    <w:abstractNumId w:val="14"/>
  </w:num>
  <w:num w:numId="29">
    <w:abstractNumId w:val="1"/>
  </w:num>
  <w:num w:numId="30">
    <w:abstractNumId w:val="9"/>
  </w:num>
  <w:num w:numId="31">
    <w:abstractNumId w:val="15"/>
  </w:num>
  <w:num w:numId="32">
    <w:abstractNumId w:val="16"/>
  </w:num>
  <w:num w:numId="33">
    <w:abstractNumId w:val="25"/>
  </w:num>
  <w:num w:numId="34">
    <w:abstractNumId w:val="6"/>
  </w:num>
  <w:num w:numId="35">
    <w:abstractNumId w:val="2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prfpats0des9ef2a8xp909rerwdwewzsra&quot;&gt;IPF&lt;record-ids&gt;&lt;item&gt;2&lt;/item&gt;&lt;item&gt;4&lt;/item&gt;&lt;item&gt;7&lt;/item&gt;&lt;item&gt;8&lt;/item&gt;&lt;item&gt;9&lt;/item&gt;&lt;item&gt;13&lt;/item&gt;&lt;item&gt;14&lt;/item&gt;&lt;item&gt;15&lt;/item&gt;&lt;item&gt;16&lt;/item&gt;&lt;item&gt;17&lt;/item&gt;&lt;item&gt;20&lt;/item&gt;&lt;item&gt;22&lt;/item&gt;&lt;item&gt;23&lt;/item&gt;&lt;item&gt;24&lt;/item&gt;&lt;item&gt;25&lt;/item&gt;&lt;item&gt;28&lt;/item&gt;&lt;item&gt;29&lt;/item&gt;&lt;item&gt;30&lt;/item&gt;&lt;item&gt;31&lt;/item&gt;&lt;item&gt;32&lt;/item&gt;&lt;item&gt;33&lt;/item&gt;&lt;item&gt;34&lt;/item&gt;&lt;/record-ids&gt;&lt;/item&gt;&lt;/Libraries&gt;"/>
  </w:docVars>
  <w:rsids>
    <w:rsidRoot w:val="00A23AC3"/>
    <w:rsid w:val="0000135E"/>
    <w:rsid w:val="00001E4A"/>
    <w:rsid w:val="00002381"/>
    <w:rsid w:val="00002A0C"/>
    <w:rsid w:val="0000374D"/>
    <w:rsid w:val="00004AA0"/>
    <w:rsid w:val="00005C53"/>
    <w:rsid w:val="00005D7E"/>
    <w:rsid w:val="0000614C"/>
    <w:rsid w:val="000062E1"/>
    <w:rsid w:val="00006BC9"/>
    <w:rsid w:val="00010E16"/>
    <w:rsid w:val="00010FAB"/>
    <w:rsid w:val="0001361F"/>
    <w:rsid w:val="00015384"/>
    <w:rsid w:val="00017C14"/>
    <w:rsid w:val="00017EDC"/>
    <w:rsid w:val="00020530"/>
    <w:rsid w:val="000205E9"/>
    <w:rsid w:val="00022ADC"/>
    <w:rsid w:val="00027B96"/>
    <w:rsid w:val="00032BCD"/>
    <w:rsid w:val="00032DFD"/>
    <w:rsid w:val="00033762"/>
    <w:rsid w:val="00034778"/>
    <w:rsid w:val="00034801"/>
    <w:rsid w:val="000414E0"/>
    <w:rsid w:val="00042BD3"/>
    <w:rsid w:val="000443FF"/>
    <w:rsid w:val="00044ADC"/>
    <w:rsid w:val="000455DB"/>
    <w:rsid w:val="00045A62"/>
    <w:rsid w:val="00045FCC"/>
    <w:rsid w:val="00046616"/>
    <w:rsid w:val="00051B54"/>
    <w:rsid w:val="00052513"/>
    <w:rsid w:val="0005258F"/>
    <w:rsid w:val="000527FF"/>
    <w:rsid w:val="0005364C"/>
    <w:rsid w:val="00054891"/>
    <w:rsid w:val="000552D1"/>
    <w:rsid w:val="00056081"/>
    <w:rsid w:val="00057B86"/>
    <w:rsid w:val="00060F0B"/>
    <w:rsid w:val="000612B1"/>
    <w:rsid w:val="000615E3"/>
    <w:rsid w:val="00061A50"/>
    <w:rsid w:val="00061C37"/>
    <w:rsid w:val="00061F86"/>
    <w:rsid w:val="00062E4F"/>
    <w:rsid w:val="000636EC"/>
    <w:rsid w:val="00071C42"/>
    <w:rsid w:val="00072512"/>
    <w:rsid w:val="0007287B"/>
    <w:rsid w:val="000759BC"/>
    <w:rsid w:val="000773CE"/>
    <w:rsid w:val="00077C9D"/>
    <w:rsid w:val="0008030C"/>
    <w:rsid w:val="00080614"/>
    <w:rsid w:val="00081096"/>
    <w:rsid w:val="00081254"/>
    <w:rsid w:val="0008233D"/>
    <w:rsid w:val="0008248A"/>
    <w:rsid w:val="00083DC8"/>
    <w:rsid w:val="0008454D"/>
    <w:rsid w:val="00084B10"/>
    <w:rsid w:val="0008687A"/>
    <w:rsid w:val="00090314"/>
    <w:rsid w:val="0009308D"/>
    <w:rsid w:val="000966C6"/>
    <w:rsid w:val="00096926"/>
    <w:rsid w:val="00097426"/>
    <w:rsid w:val="000979DA"/>
    <w:rsid w:val="000A03B9"/>
    <w:rsid w:val="000A0AAA"/>
    <w:rsid w:val="000A1C25"/>
    <w:rsid w:val="000A2490"/>
    <w:rsid w:val="000A3607"/>
    <w:rsid w:val="000A5A8D"/>
    <w:rsid w:val="000A5B92"/>
    <w:rsid w:val="000A64E3"/>
    <w:rsid w:val="000A72A9"/>
    <w:rsid w:val="000B041A"/>
    <w:rsid w:val="000B195F"/>
    <w:rsid w:val="000B26DA"/>
    <w:rsid w:val="000B2E39"/>
    <w:rsid w:val="000B3C2C"/>
    <w:rsid w:val="000B6C94"/>
    <w:rsid w:val="000B7CA1"/>
    <w:rsid w:val="000C2679"/>
    <w:rsid w:val="000C4692"/>
    <w:rsid w:val="000C5800"/>
    <w:rsid w:val="000C5D5B"/>
    <w:rsid w:val="000C6490"/>
    <w:rsid w:val="000C6497"/>
    <w:rsid w:val="000C6A70"/>
    <w:rsid w:val="000C6ADC"/>
    <w:rsid w:val="000C6BE5"/>
    <w:rsid w:val="000D1159"/>
    <w:rsid w:val="000D1337"/>
    <w:rsid w:val="000D149E"/>
    <w:rsid w:val="000D1ADD"/>
    <w:rsid w:val="000D6369"/>
    <w:rsid w:val="000D6ACC"/>
    <w:rsid w:val="000E10D4"/>
    <w:rsid w:val="000E31C7"/>
    <w:rsid w:val="000E32F0"/>
    <w:rsid w:val="000E427C"/>
    <w:rsid w:val="000E5471"/>
    <w:rsid w:val="000E56E4"/>
    <w:rsid w:val="000E5F3A"/>
    <w:rsid w:val="000E67D3"/>
    <w:rsid w:val="000E6B7E"/>
    <w:rsid w:val="000E7462"/>
    <w:rsid w:val="000F238E"/>
    <w:rsid w:val="000F2841"/>
    <w:rsid w:val="000F2A0B"/>
    <w:rsid w:val="000F4005"/>
    <w:rsid w:val="000F465C"/>
    <w:rsid w:val="000F4D20"/>
    <w:rsid w:val="000F67DB"/>
    <w:rsid w:val="000F6D1F"/>
    <w:rsid w:val="00100A27"/>
    <w:rsid w:val="00100D5E"/>
    <w:rsid w:val="00101435"/>
    <w:rsid w:val="00101D5C"/>
    <w:rsid w:val="00101E38"/>
    <w:rsid w:val="00102433"/>
    <w:rsid w:val="00102DE5"/>
    <w:rsid w:val="001037F5"/>
    <w:rsid w:val="00104E7E"/>
    <w:rsid w:val="00107CBF"/>
    <w:rsid w:val="001107F3"/>
    <w:rsid w:val="00112754"/>
    <w:rsid w:val="00113289"/>
    <w:rsid w:val="00113F8A"/>
    <w:rsid w:val="0011608E"/>
    <w:rsid w:val="00117330"/>
    <w:rsid w:val="0011761C"/>
    <w:rsid w:val="001204CD"/>
    <w:rsid w:val="001205C6"/>
    <w:rsid w:val="0012069B"/>
    <w:rsid w:val="00120938"/>
    <w:rsid w:val="00120BD3"/>
    <w:rsid w:val="00120D47"/>
    <w:rsid w:val="00121BA8"/>
    <w:rsid w:val="00121F5A"/>
    <w:rsid w:val="0012226F"/>
    <w:rsid w:val="00122428"/>
    <w:rsid w:val="00123C3A"/>
    <w:rsid w:val="00124B58"/>
    <w:rsid w:val="001258C0"/>
    <w:rsid w:val="0013008A"/>
    <w:rsid w:val="001337F2"/>
    <w:rsid w:val="00133893"/>
    <w:rsid w:val="00134278"/>
    <w:rsid w:val="00134B7C"/>
    <w:rsid w:val="00136127"/>
    <w:rsid w:val="001361E2"/>
    <w:rsid w:val="00136D00"/>
    <w:rsid w:val="00137622"/>
    <w:rsid w:val="00140714"/>
    <w:rsid w:val="00140C79"/>
    <w:rsid w:val="00140C89"/>
    <w:rsid w:val="001425C1"/>
    <w:rsid w:val="00143C78"/>
    <w:rsid w:val="00143EB9"/>
    <w:rsid w:val="001456D9"/>
    <w:rsid w:val="001458D9"/>
    <w:rsid w:val="00146231"/>
    <w:rsid w:val="001466B2"/>
    <w:rsid w:val="0014731A"/>
    <w:rsid w:val="00151AF5"/>
    <w:rsid w:val="00153E48"/>
    <w:rsid w:val="00153E51"/>
    <w:rsid w:val="0015502D"/>
    <w:rsid w:val="00155C0D"/>
    <w:rsid w:val="00157440"/>
    <w:rsid w:val="0016005B"/>
    <w:rsid w:val="001623EB"/>
    <w:rsid w:val="0016346E"/>
    <w:rsid w:val="00164EDD"/>
    <w:rsid w:val="001652D6"/>
    <w:rsid w:val="00167176"/>
    <w:rsid w:val="00167853"/>
    <w:rsid w:val="00171AC8"/>
    <w:rsid w:val="0017246F"/>
    <w:rsid w:val="00172FAB"/>
    <w:rsid w:val="00173F5B"/>
    <w:rsid w:val="00180043"/>
    <w:rsid w:val="00182E14"/>
    <w:rsid w:val="0018310C"/>
    <w:rsid w:val="0018352D"/>
    <w:rsid w:val="00183FAF"/>
    <w:rsid w:val="001847C4"/>
    <w:rsid w:val="00184ECD"/>
    <w:rsid w:val="00185987"/>
    <w:rsid w:val="00186986"/>
    <w:rsid w:val="0018728D"/>
    <w:rsid w:val="0018797D"/>
    <w:rsid w:val="0019010A"/>
    <w:rsid w:val="00190837"/>
    <w:rsid w:val="00190E6E"/>
    <w:rsid w:val="00191A74"/>
    <w:rsid w:val="00191DC4"/>
    <w:rsid w:val="001922FA"/>
    <w:rsid w:val="001935A4"/>
    <w:rsid w:val="001935DE"/>
    <w:rsid w:val="00196001"/>
    <w:rsid w:val="00196DBA"/>
    <w:rsid w:val="001A00D6"/>
    <w:rsid w:val="001A0E39"/>
    <w:rsid w:val="001A16ED"/>
    <w:rsid w:val="001A1A54"/>
    <w:rsid w:val="001A1D32"/>
    <w:rsid w:val="001A24A1"/>
    <w:rsid w:val="001A2BCF"/>
    <w:rsid w:val="001A301A"/>
    <w:rsid w:val="001A34A0"/>
    <w:rsid w:val="001A40E1"/>
    <w:rsid w:val="001A411A"/>
    <w:rsid w:val="001A59E7"/>
    <w:rsid w:val="001A63C3"/>
    <w:rsid w:val="001A7148"/>
    <w:rsid w:val="001A72F8"/>
    <w:rsid w:val="001B107A"/>
    <w:rsid w:val="001B5D21"/>
    <w:rsid w:val="001B600A"/>
    <w:rsid w:val="001B666E"/>
    <w:rsid w:val="001B6C42"/>
    <w:rsid w:val="001B7A57"/>
    <w:rsid w:val="001B7E6C"/>
    <w:rsid w:val="001B7FA5"/>
    <w:rsid w:val="001C1541"/>
    <w:rsid w:val="001C4769"/>
    <w:rsid w:val="001C6FB0"/>
    <w:rsid w:val="001D050B"/>
    <w:rsid w:val="001D08CC"/>
    <w:rsid w:val="001D2D5C"/>
    <w:rsid w:val="001D42A8"/>
    <w:rsid w:val="001D5165"/>
    <w:rsid w:val="001D5E9F"/>
    <w:rsid w:val="001D70BE"/>
    <w:rsid w:val="001D728E"/>
    <w:rsid w:val="001D77B4"/>
    <w:rsid w:val="001D7867"/>
    <w:rsid w:val="001E0F7F"/>
    <w:rsid w:val="001E1EED"/>
    <w:rsid w:val="001E2DBB"/>
    <w:rsid w:val="001E6D2B"/>
    <w:rsid w:val="001E6D3B"/>
    <w:rsid w:val="001E6DF9"/>
    <w:rsid w:val="001E7818"/>
    <w:rsid w:val="001F1633"/>
    <w:rsid w:val="001F295D"/>
    <w:rsid w:val="001F3B58"/>
    <w:rsid w:val="001F517D"/>
    <w:rsid w:val="001F7AFA"/>
    <w:rsid w:val="00201B03"/>
    <w:rsid w:val="002028B9"/>
    <w:rsid w:val="0020329A"/>
    <w:rsid w:val="002032A9"/>
    <w:rsid w:val="00203E6E"/>
    <w:rsid w:val="00203ED3"/>
    <w:rsid w:val="00204652"/>
    <w:rsid w:val="002051C9"/>
    <w:rsid w:val="0020644A"/>
    <w:rsid w:val="002067DA"/>
    <w:rsid w:val="00207B9B"/>
    <w:rsid w:val="00207C00"/>
    <w:rsid w:val="00210C3E"/>
    <w:rsid w:val="0021199C"/>
    <w:rsid w:val="0021235E"/>
    <w:rsid w:val="002159C6"/>
    <w:rsid w:val="00217CE9"/>
    <w:rsid w:val="002200B2"/>
    <w:rsid w:val="00220655"/>
    <w:rsid w:val="00223851"/>
    <w:rsid w:val="002274AF"/>
    <w:rsid w:val="00230D26"/>
    <w:rsid w:val="002316AD"/>
    <w:rsid w:val="00233806"/>
    <w:rsid w:val="00234911"/>
    <w:rsid w:val="00234ADB"/>
    <w:rsid w:val="00241490"/>
    <w:rsid w:val="00241D0D"/>
    <w:rsid w:val="00242460"/>
    <w:rsid w:val="00244E0A"/>
    <w:rsid w:val="0024549F"/>
    <w:rsid w:val="00246020"/>
    <w:rsid w:val="0024609D"/>
    <w:rsid w:val="00247405"/>
    <w:rsid w:val="002519E3"/>
    <w:rsid w:val="00251C54"/>
    <w:rsid w:val="00252E17"/>
    <w:rsid w:val="002533AD"/>
    <w:rsid w:val="0025577D"/>
    <w:rsid w:val="00255BB6"/>
    <w:rsid w:val="00256E0D"/>
    <w:rsid w:val="00257362"/>
    <w:rsid w:val="00257661"/>
    <w:rsid w:val="00260081"/>
    <w:rsid w:val="00261821"/>
    <w:rsid w:val="0026369C"/>
    <w:rsid w:val="0026434C"/>
    <w:rsid w:val="002650B5"/>
    <w:rsid w:val="00265C04"/>
    <w:rsid w:val="002662EE"/>
    <w:rsid w:val="00266CB9"/>
    <w:rsid w:val="00267543"/>
    <w:rsid w:val="00270FAD"/>
    <w:rsid w:val="002716F9"/>
    <w:rsid w:val="002724F6"/>
    <w:rsid w:val="00273400"/>
    <w:rsid w:val="002765AB"/>
    <w:rsid w:val="002775CC"/>
    <w:rsid w:val="00280C18"/>
    <w:rsid w:val="002833A3"/>
    <w:rsid w:val="00286526"/>
    <w:rsid w:val="00286B0C"/>
    <w:rsid w:val="00286CAE"/>
    <w:rsid w:val="00290AB3"/>
    <w:rsid w:val="00290AD0"/>
    <w:rsid w:val="00291155"/>
    <w:rsid w:val="002923D6"/>
    <w:rsid w:val="00293079"/>
    <w:rsid w:val="00293416"/>
    <w:rsid w:val="0029376A"/>
    <w:rsid w:val="00294CFC"/>
    <w:rsid w:val="00295807"/>
    <w:rsid w:val="00295D77"/>
    <w:rsid w:val="002969A1"/>
    <w:rsid w:val="002A17DB"/>
    <w:rsid w:val="002A1E34"/>
    <w:rsid w:val="002A38DF"/>
    <w:rsid w:val="002A4890"/>
    <w:rsid w:val="002A65BE"/>
    <w:rsid w:val="002A71E9"/>
    <w:rsid w:val="002B03E6"/>
    <w:rsid w:val="002B1FC4"/>
    <w:rsid w:val="002B30C1"/>
    <w:rsid w:val="002B3190"/>
    <w:rsid w:val="002B36F2"/>
    <w:rsid w:val="002B382A"/>
    <w:rsid w:val="002B3983"/>
    <w:rsid w:val="002B6075"/>
    <w:rsid w:val="002C0165"/>
    <w:rsid w:val="002C04AC"/>
    <w:rsid w:val="002C123B"/>
    <w:rsid w:val="002C1814"/>
    <w:rsid w:val="002C3D1B"/>
    <w:rsid w:val="002C4235"/>
    <w:rsid w:val="002C532F"/>
    <w:rsid w:val="002D0852"/>
    <w:rsid w:val="002D16A8"/>
    <w:rsid w:val="002D3DF3"/>
    <w:rsid w:val="002D45F7"/>
    <w:rsid w:val="002D494E"/>
    <w:rsid w:val="002D5489"/>
    <w:rsid w:val="002D7631"/>
    <w:rsid w:val="002E0406"/>
    <w:rsid w:val="002E11E2"/>
    <w:rsid w:val="002E293D"/>
    <w:rsid w:val="002E2A7B"/>
    <w:rsid w:val="002E3AA1"/>
    <w:rsid w:val="002E422E"/>
    <w:rsid w:val="002E4D05"/>
    <w:rsid w:val="002E4D8C"/>
    <w:rsid w:val="002E4EA1"/>
    <w:rsid w:val="002E63A9"/>
    <w:rsid w:val="002E754A"/>
    <w:rsid w:val="002F1AA9"/>
    <w:rsid w:val="002F343B"/>
    <w:rsid w:val="002F3D4A"/>
    <w:rsid w:val="002F3F7F"/>
    <w:rsid w:val="002F56FA"/>
    <w:rsid w:val="002F5D7E"/>
    <w:rsid w:val="002F70BB"/>
    <w:rsid w:val="002F73B6"/>
    <w:rsid w:val="003009AD"/>
    <w:rsid w:val="00302409"/>
    <w:rsid w:val="00303DC9"/>
    <w:rsid w:val="00304BD2"/>
    <w:rsid w:val="00305211"/>
    <w:rsid w:val="00305563"/>
    <w:rsid w:val="00306178"/>
    <w:rsid w:val="00306AD1"/>
    <w:rsid w:val="00306ADB"/>
    <w:rsid w:val="00306C71"/>
    <w:rsid w:val="003073D3"/>
    <w:rsid w:val="003076F1"/>
    <w:rsid w:val="00307870"/>
    <w:rsid w:val="00310429"/>
    <w:rsid w:val="00316D61"/>
    <w:rsid w:val="00317D42"/>
    <w:rsid w:val="003218B9"/>
    <w:rsid w:val="00322BC4"/>
    <w:rsid w:val="00323297"/>
    <w:rsid w:val="00323CD6"/>
    <w:rsid w:val="00323E90"/>
    <w:rsid w:val="00324EE3"/>
    <w:rsid w:val="00324FE7"/>
    <w:rsid w:val="00325414"/>
    <w:rsid w:val="00326D8A"/>
    <w:rsid w:val="003274DC"/>
    <w:rsid w:val="003277FF"/>
    <w:rsid w:val="00330A5F"/>
    <w:rsid w:val="00331E25"/>
    <w:rsid w:val="00332779"/>
    <w:rsid w:val="00333219"/>
    <w:rsid w:val="003339DF"/>
    <w:rsid w:val="00335C74"/>
    <w:rsid w:val="00336532"/>
    <w:rsid w:val="0034187B"/>
    <w:rsid w:val="0034192F"/>
    <w:rsid w:val="003422AC"/>
    <w:rsid w:val="00342EFE"/>
    <w:rsid w:val="00344941"/>
    <w:rsid w:val="0034495C"/>
    <w:rsid w:val="00347FE0"/>
    <w:rsid w:val="0035183F"/>
    <w:rsid w:val="003521BC"/>
    <w:rsid w:val="003545F1"/>
    <w:rsid w:val="003546BA"/>
    <w:rsid w:val="00354DE3"/>
    <w:rsid w:val="00355197"/>
    <w:rsid w:val="0035617A"/>
    <w:rsid w:val="00356265"/>
    <w:rsid w:val="00356C85"/>
    <w:rsid w:val="003575DC"/>
    <w:rsid w:val="00357ACC"/>
    <w:rsid w:val="0036041F"/>
    <w:rsid w:val="00360562"/>
    <w:rsid w:val="003607F1"/>
    <w:rsid w:val="00360F54"/>
    <w:rsid w:val="00363CA3"/>
    <w:rsid w:val="00365447"/>
    <w:rsid w:val="00367A3D"/>
    <w:rsid w:val="0037026B"/>
    <w:rsid w:val="0037213E"/>
    <w:rsid w:val="00372197"/>
    <w:rsid w:val="003732A8"/>
    <w:rsid w:val="00373478"/>
    <w:rsid w:val="00373BF7"/>
    <w:rsid w:val="003743A4"/>
    <w:rsid w:val="00376055"/>
    <w:rsid w:val="0037683A"/>
    <w:rsid w:val="0037686C"/>
    <w:rsid w:val="00383369"/>
    <w:rsid w:val="00383A81"/>
    <w:rsid w:val="00383BC9"/>
    <w:rsid w:val="00383E9F"/>
    <w:rsid w:val="003843B6"/>
    <w:rsid w:val="00385AD4"/>
    <w:rsid w:val="0038701F"/>
    <w:rsid w:val="00390408"/>
    <w:rsid w:val="00391547"/>
    <w:rsid w:val="003917E0"/>
    <w:rsid w:val="003925F5"/>
    <w:rsid w:val="003933A3"/>
    <w:rsid w:val="00393D2D"/>
    <w:rsid w:val="0039476A"/>
    <w:rsid w:val="00395D96"/>
    <w:rsid w:val="00395FED"/>
    <w:rsid w:val="00397060"/>
    <w:rsid w:val="003A01DE"/>
    <w:rsid w:val="003A1EC7"/>
    <w:rsid w:val="003A237B"/>
    <w:rsid w:val="003A3B78"/>
    <w:rsid w:val="003A51B3"/>
    <w:rsid w:val="003A5426"/>
    <w:rsid w:val="003A58A9"/>
    <w:rsid w:val="003A76DA"/>
    <w:rsid w:val="003A7EC7"/>
    <w:rsid w:val="003B034D"/>
    <w:rsid w:val="003B097A"/>
    <w:rsid w:val="003B0AB7"/>
    <w:rsid w:val="003B0B34"/>
    <w:rsid w:val="003B0BC9"/>
    <w:rsid w:val="003B25AF"/>
    <w:rsid w:val="003B26A0"/>
    <w:rsid w:val="003B29D5"/>
    <w:rsid w:val="003B3843"/>
    <w:rsid w:val="003B6631"/>
    <w:rsid w:val="003B7F4B"/>
    <w:rsid w:val="003C0EF9"/>
    <w:rsid w:val="003C0F02"/>
    <w:rsid w:val="003C1126"/>
    <w:rsid w:val="003C1864"/>
    <w:rsid w:val="003C1A2A"/>
    <w:rsid w:val="003C1B5B"/>
    <w:rsid w:val="003C1F35"/>
    <w:rsid w:val="003C2AAE"/>
    <w:rsid w:val="003C2F6C"/>
    <w:rsid w:val="003C432A"/>
    <w:rsid w:val="003D08F1"/>
    <w:rsid w:val="003D5160"/>
    <w:rsid w:val="003D688F"/>
    <w:rsid w:val="003D71C6"/>
    <w:rsid w:val="003D736D"/>
    <w:rsid w:val="003D73A0"/>
    <w:rsid w:val="003E1DD4"/>
    <w:rsid w:val="003E2459"/>
    <w:rsid w:val="003E2571"/>
    <w:rsid w:val="003E25DE"/>
    <w:rsid w:val="003E3081"/>
    <w:rsid w:val="003E37C1"/>
    <w:rsid w:val="003E388D"/>
    <w:rsid w:val="003E5391"/>
    <w:rsid w:val="003E5724"/>
    <w:rsid w:val="003E69A7"/>
    <w:rsid w:val="003E7F19"/>
    <w:rsid w:val="003F0C2E"/>
    <w:rsid w:val="003F1FF8"/>
    <w:rsid w:val="003F207B"/>
    <w:rsid w:val="003F367D"/>
    <w:rsid w:val="003F50A2"/>
    <w:rsid w:val="00400752"/>
    <w:rsid w:val="004030C9"/>
    <w:rsid w:val="004034C1"/>
    <w:rsid w:val="004034D5"/>
    <w:rsid w:val="00403A67"/>
    <w:rsid w:val="004064B1"/>
    <w:rsid w:val="00406A76"/>
    <w:rsid w:val="00407149"/>
    <w:rsid w:val="00411F9E"/>
    <w:rsid w:val="00412098"/>
    <w:rsid w:val="00412450"/>
    <w:rsid w:val="004125A1"/>
    <w:rsid w:val="00416CAB"/>
    <w:rsid w:val="004171CA"/>
    <w:rsid w:val="004229BC"/>
    <w:rsid w:val="00422D64"/>
    <w:rsid w:val="00422DDC"/>
    <w:rsid w:val="0042435E"/>
    <w:rsid w:val="00424992"/>
    <w:rsid w:val="00425569"/>
    <w:rsid w:val="00425B06"/>
    <w:rsid w:val="0042608D"/>
    <w:rsid w:val="00426C18"/>
    <w:rsid w:val="00426E52"/>
    <w:rsid w:val="0042778B"/>
    <w:rsid w:val="00432332"/>
    <w:rsid w:val="0043293F"/>
    <w:rsid w:val="00432968"/>
    <w:rsid w:val="00432F2C"/>
    <w:rsid w:val="004345EA"/>
    <w:rsid w:val="00435FCE"/>
    <w:rsid w:val="0043669C"/>
    <w:rsid w:val="00440044"/>
    <w:rsid w:val="00440F05"/>
    <w:rsid w:val="004430F9"/>
    <w:rsid w:val="00443DC5"/>
    <w:rsid w:val="00445F5F"/>
    <w:rsid w:val="004471F0"/>
    <w:rsid w:val="00451471"/>
    <w:rsid w:val="0045476A"/>
    <w:rsid w:val="00454D93"/>
    <w:rsid w:val="00454E28"/>
    <w:rsid w:val="00455A7C"/>
    <w:rsid w:val="00455A99"/>
    <w:rsid w:val="00456D93"/>
    <w:rsid w:val="00460050"/>
    <w:rsid w:val="00462B52"/>
    <w:rsid w:val="00464588"/>
    <w:rsid w:val="004654B3"/>
    <w:rsid w:val="00470942"/>
    <w:rsid w:val="00473E8D"/>
    <w:rsid w:val="00477A08"/>
    <w:rsid w:val="00480D5A"/>
    <w:rsid w:val="004810FE"/>
    <w:rsid w:val="00481CE5"/>
    <w:rsid w:val="00481D3F"/>
    <w:rsid w:val="00482151"/>
    <w:rsid w:val="00483984"/>
    <w:rsid w:val="004842BC"/>
    <w:rsid w:val="00484F70"/>
    <w:rsid w:val="004878F7"/>
    <w:rsid w:val="00490922"/>
    <w:rsid w:val="004919CD"/>
    <w:rsid w:val="004926D2"/>
    <w:rsid w:val="00492B3E"/>
    <w:rsid w:val="00493D11"/>
    <w:rsid w:val="00494F4F"/>
    <w:rsid w:val="004966FE"/>
    <w:rsid w:val="004A0882"/>
    <w:rsid w:val="004A3097"/>
    <w:rsid w:val="004A3366"/>
    <w:rsid w:val="004A3A42"/>
    <w:rsid w:val="004B01AE"/>
    <w:rsid w:val="004B3F89"/>
    <w:rsid w:val="004B5065"/>
    <w:rsid w:val="004B6521"/>
    <w:rsid w:val="004C164C"/>
    <w:rsid w:val="004C2AED"/>
    <w:rsid w:val="004C2D83"/>
    <w:rsid w:val="004C3258"/>
    <w:rsid w:val="004C359E"/>
    <w:rsid w:val="004C386D"/>
    <w:rsid w:val="004C496C"/>
    <w:rsid w:val="004C6DB6"/>
    <w:rsid w:val="004C779D"/>
    <w:rsid w:val="004D1574"/>
    <w:rsid w:val="004D2787"/>
    <w:rsid w:val="004D2D02"/>
    <w:rsid w:val="004D32FF"/>
    <w:rsid w:val="004D3984"/>
    <w:rsid w:val="004D7D15"/>
    <w:rsid w:val="004E0550"/>
    <w:rsid w:val="004E05C9"/>
    <w:rsid w:val="004E0A97"/>
    <w:rsid w:val="004E200B"/>
    <w:rsid w:val="004E246D"/>
    <w:rsid w:val="004E28E5"/>
    <w:rsid w:val="004E2E43"/>
    <w:rsid w:val="004E36B4"/>
    <w:rsid w:val="004F2689"/>
    <w:rsid w:val="004F26C5"/>
    <w:rsid w:val="004F2E90"/>
    <w:rsid w:val="004F2FAD"/>
    <w:rsid w:val="004F3509"/>
    <w:rsid w:val="004F40AF"/>
    <w:rsid w:val="004F4170"/>
    <w:rsid w:val="004F4850"/>
    <w:rsid w:val="004F4A1C"/>
    <w:rsid w:val="004F4AE4"/>
    <w:rsid w:val="004F537A"/>
    <w:rsid w:val="004F76B5"/>
    <w:rsid w:val="00501142"/>
    <w:rsid w:val="00501782"/>
    <w:rsid w:val="0050251F"/>
    <w:rsid w:val="005027C2"/>
    <w:rsid w:val="0050319A"/>
    <w:rsid w:val="005046D0"/>
    <w:rsid w:val="00505F24"/>
    <w:rsid w:val="00506D07"/>
    <w:rsid w:val="005075B7"/>
    <w:rsid w:val="005079E9"/>
    <w:rsid w:val="00511327"/>
    <w:rsid w:val="00513298"/>
    <w:rsid w:val="00515800"/>
    <w:rsid w:val="0051686A"/>
    <w:rsid w:val="0051778E"/>
    <w:rsid w:val="00521BEB"/>
    <w:rsid w:val="00523618"/>
    <w:rsid w:val="0052435A"/>
    <w:rsid w:val="00524408"/>
    <w:rsid w:val="00524463"/>
    <w:rsid w:val="00526693"/>
    <w:rsid w:val="00527425"/>
    <w:rsid w:val="00530A1F"/>
    <w:rsid w:val="00530B06"/>
    <w:rsid w:val="00531BFE"/>
    <w:rsid w:val="0053305A"/>
    <w:rsid w:val="0053321A"/>
    <w:rsid w:val="00534A13"/>
    <w:rsid w:val="005371D1"/>
    <w:rsid w:val="005373FC"/>
    <w:rsid w:val="00537F4D"/>
    <w:rsid w:val="005407E6"/>
    <w:rsid w:val="0054189E"/>
    <w:rsid w:val="00541C5C"/>
    <w:rsid w:val="00542AE3"/>
    <w:rsid w:val="00542E41"/>
    <w:rsid w:val="0054304F"/>
    <w:rsid w:val="00543406"/>
    <w:rsid w:val="005435A4"/>
    <w:rsid w:val="005438A5"/>
    <w:rsid w:val="005439A3"/>
    <w:rsid w:val="00543AFC"/>
    <w:rsid w:val="005444E6"/>
    <w:rsid w:val="0054511C"/>
    <w:rsid w:val="00545FD4"/>
    <w:rsid w:val="00546518"/>
    <w:rsid w:val="00547854"/>
    <w:rsid w:val="00550E4F"/>
    <w:rsid w:val="005511F5"/>
    <w:rsid w:val="00554ECF"/>
    <w:rsid w:val="005551AE"/>
    <w:rsid w:val="005560E9"/>
    <w:rsid w:val="00556B12"/>
    <w:rsid w:val="00557100"/>
    <w:rsid w:val="0055735F"/>
    <w:rsid w:val="005604E2"/>
    <w:rsid w:val="005615C9"/>
    <w:rsid w:val="00562C16"/>
    <w:rsid w:val="005637E1"/>
    <w:rsid w:val="005658C8"/>
    <w:rsid w:val="00565D62"/>
    <w:rsid w:val="00571E00"/>
    <w:rsid w:val="00572E57"/>
    <w:rsid w:val="0057394D"/>
    <w:rsid w:val="00575733"/>
    <w:rsid w:val="0057761B"/>
    <w:rsid w:val="005776F7"/>
    <w:rsid w:val="0058027B"/>
    <w:rsid w:val="00580512"/>
    <w:rsid w:val="00581998"/>
    <w:rsid w:val="00584046"/>
    <w:rsid w:val="005905D0"/>
    <w:rsid w:val="00590D53"/>
    <w:rsid w:val="0059257C"/>
    <w:rsid w:val="005935C8"/>
    <w:rsid w:val="00593E5D"/>
    <w:rsid w:val="0059468C"/>
    <w:rsid w:val="00594C08"/>
    <w:rsid w:val="0059520C"/>
    <w:rsid w:val="00595818"/>
    <w:rsid w:val="005A1B81"/>
    <w:rsid w:val="005A242F"/>
    <w:rsid w:val="005A3125"/>
    <w:rsid w:val="005A4CC2"/>
    <w:rsid w:val="005A7207"/>
    <w:rsid w:val="005A7417"/>
    <w:rsid w:val="005A793C"/>
    <w:rsid w:val="005A7EC4"/>
    <w:rsid w:val="005B1945"/>
    <w:rsid w:val="005B3364"/>
    <w:rsid w:val="005B33AC"/>
    <w:rsid w:val="005B428F"/>
    <w:rsid w:val="005B534D"/>
    <w:rsid w:val="005B6534"/>
    <w:rsid w:val="005C1208"/>
    <w:rsid w:val="005C1721"/>
    <w:rsid w:val="005C184E"/>
    <w:rsid w:val="005C1CE8"/>
    <w:rsid w:val="005C29D2"/>
    <w:rsid w:val="005C2A10"/>
    <w:rsid w:val="005C2E96"/>
    <w:rsid w:val="005C3A9C"/>
    <w:rsid w:val="005C4014"/>
    <w:rsid w:val="005C593A"/>
    <w:rsid w:val="005C666E"/>
    <w:rsid w:val="005C7C18"/>
    <w:rsid w:val="005D07E2"/>
    <w:rsid w:val="005D0D20"/>
    <w:rsid w:val="005D0DCA"/>
    <w:rsid w:val="005D1023"/>
    <w:rsid w:val="005D1FEA"/>
    <w:rsid w:val="005D23C7"/>
    <w:rsid w:val="005D5F4B"/>
    <w:rsid w:val="005D63BC"/>
    <w:rsid w:val="005D6B15"/>
    <w:rsid w:val="005D7024"/>
    <w:rsid w:val="005D7844"/>
    <w:rsid w:val="005D7B52"/>
    <w:rsid w:val="005E06B0"/>
    <w:rsid w:val="005E143D"/>
    <w:rsid w:val="005E1BDC"/>
    <w:rsid w:val="005E21EB"/>
    <w:rsid w:val="005E25B0"/>
    <w:rsid w:val="005E2748"/>
    <w:rsid w:val="005E2921"/>
    <w:rsid w:val="005E3A11"/>
    <w:rsid w:val="005E42B9"/>
    <w:rsid w:val="005E440A"/>
    <w:rsid w:val="005E5A01"/>
    <w:rsid w:val="005E6FC0"/>
    <w:rsid w:val="005F1CD7"/>
    <w:rsid w:val="005F1DAC"/>
    <w:rsid w:val="005F22DE"/>
    <w:rsid w:val="005F33C6"/>
    <w:rsid w:val="005F6020"/>
    <w:rsid w:val="005F61B5"/>
    <w:rsid w:val="00602941"/>
    <w:rsid w:val="00603B4C"/>
    <w:rsid w:val="00604372"/>
    <w:rsid w:val="00605AE6"/>
    <w:rsid w:val="0060659F"/>
    <w:rsid w:val="00606BDF"/>
    <w:rsid w:val="0060726B"/>
    <w:rsid w:val="006100D9"/>
    <w:rsid w:val="00611AE6"/>
    <w:rsid w:val="006120F5"/>
    <w:rsid w:val="00612EB3"/>
    <w:rsid w:val="00615215"/>
    <w:rsid w:val="00620668"/>
    <w:rsid w:val="006218AB"/>
    <w:rsid w:val="00623B13"/>
    <w:rsid w:val="006244B9"/>
    <w:rsid w:val="006246E7"/>
    <w:rsid w:val="0062589D"/>
    <w:rsid w:val="00632548"/>
    <w:rsid w:val="0063336B"/>
    <w:rsid w:val="0063345C"/>
    <w:rsid w:val="00633E23"/>
    <w:rsid w:val="00634498"/>
    <w:rsid w:val="0063487D"/>
    <w:rsid w:val="00636377"/>
    <w:rsid w:val="0063759F"/>
    <w:rsid w:val="006400E9"/>
    <w:rsid w:val="00640857"/>
    <w:rsid w:val="00641195"/>
    <w:rsid w:val="00642868"/>
    <w:rsid w:val="00645097"/>
    <w:rsid w:val="0064552E"/>
    <w:rsid w:val="0064554B"/>
    <w:rsid w:val="00645571"/>
    <w:rsid w:val="00645A4D"/>
    <w:rsid w:val="0064677B"/>
    <w:rsid w:val="00646B56"/>
    <w:rsid w:val="00651A98"/>
    <w:rsid w:val="00652269"/>
    <w:rsid w:val="00653DB8"/>
    <w:rsid w:val="00654132"/>
    <w:rsid w:val="0066267A"/>
    <w:rsid w:val="006707CF"/>
    <w:rsid w:val="00670B7F"/>
    <w:rsid w:val="00670C35"/>
    <w:rsid w:val="00671E11"/>
    <w:rsid w:val="0067255A"/>
    <w:rsid w:val="0067283D"/>
    <w:rsid w:val="006729BC"/>
    <w:rsid w:val="006740FB"/>
    <w:rsid w:val="0067440B"/>
    <w:rsid w:val="00674582"/>
    <w:rsid w:val="00676F5A"/>
    <w:rsid w:val="00677874"/>
    <w:rsid w:val="00677CC3"/>
    <w:rsid w:val="00677E05"/>
    <w:rsid w:val="00681625"/>
    <w:rsid w:val="006826F8"/>
    <w:rsid w:val="00683920"/>
    <w:rsid w:val="00684507"/>
    <w:rsid w:val="00684B89"/>
    <w:rsid w:val="00686702"/>
    <w:rsid w:val="006875A7"/>
    <w:rsid w:val="00687CAD"/>
    <w:rsid w:val="006905FE"/>
    <w:rsid w:val="00691353"/>
    <w:rsid w:val="00692169"/>
    <w:rsid w:val="00695BBD"/>
    <w:rsid w:val="00695C85"/>
    <w:rsid w:val="00696961"/>
    <w:rsid w:val="006969CC"/>
    <w:rsid w:val="006A0130"/>
    <w:rsid w:val="006A169F"/>
    <w:rsid w:val="006A24AA"/>
    <w:rsid w:val="006A2DAA"/>
    <w:rsid w:val="006A3266"/>
    <w:rsid w:val="006A448D"/>
    <w:rsid w:val="006A4E4C"/>
    <w:rsid w:val="006A572C"/>
    <w:rsid w:val="006A6612"/>
    <w:rsid w:val="006A7F8F"/>
    <w:rsid w:val="006B029D"/>
    <w:rsid w:val="006B0468"/>
    <w:rsid w:val="006B16A0"/>
    <w:rsid w:val="006B28E2"/>
    <w:rsid w:val="006B321B"/>
    <w:rsid w:val="006B49D6"/>
    <w:rsid w:val="006B4B7E"/>
    <w:rsid w:val="006B5C78"/>
    <w:rsid w:val="006B6836"/>
    <w:rsid w:val="006C123D"/>
    <w:rsid w:val="006C15ED"/>
    <w:rsid w:val="006C4880"/>
    <w:rsid w:val="006C536C"/>
    <w:rsid w:val="006C6405"/>
    <w:rsid w:val="006D1FBE"/>
    <w:rsid w:val="006D2C4C"/>
    <w:rsid w:val="006D4472"/>
    <w:rsid w:val="006D68BC"/>
    <w:rsid w:val="006D6CC0"/>
    <w:rsid w:val="006D7AEB"/>
    <w:rsid w:val="006E0242"/>
    <w:rsid w:val="006E1627"/>
    <w:rsid w:val="006E2535"/>
    <w:rsid w:val="006E2EE4"/>
    <w:rsid w:val="006E49F9"/>
    <w:rsid w:val="006E4BCF"/>
    <w:rsid w:val="006E594D"/>
    <w:rsid w:val="006E64CB"/>
    <w:rsid w:val="006E69A4"/>
    <w:rsid w:val="006E79CE"/>
    <w:rsid w:val="006F0762"/>
    <w:rsid w:val="006F0799"/>
    <w:rsid w:val="006F0AD0"/>
    <w:rsid w:val="006F0CA5"/>
    <w:rsid w:val="006F0ED7"/>
    <w:rsid w:val="006F1496"/>
    <w:rsid w:val="006F1F94"/>
    <w:rsid w:val="006F42B4"/>
    <w:rsid w:val="006F4BEF"/>
    <w:rsid w:val="006F5318"/>
    <w:rsid w:val="006F5776"/>
    <w:rsid w:val="006F76AD"/>
    <w:rsid w:val="0070024B"/>
    <w:rsid w:val="007023E9"/>
    <w:rsid w:val="007028DF"/>
    <w:rsid w:val="00711ACF"/>
    <w:rsid w:val="00711C70"/>
    <w:rsid w:val="00711E49"/>
    <w:rsid w:val="00711F8A"/>
    <w:rsid w:val="00713C5D"/>
    <w:rsid w:val="0071534C"/>
    <w:rsid w:val="00715DED"/>
    <w:rsid w:val="00717214"/>
    <w:rsid w:val="007213D2"/>
    <w:rsid w:val="00722639"/>
    <w:rsid w:val="00722B0A"/>
    <w:rsid w:val="0072318E"/>
    <w:rsid w:val="007260AE"/>
    <w:rsid w:val="007262B4"/>
    <w:rsid w:val="00726773"/>
    <w:rsid w:val="00730F8B"/>
    <w:rsid w:val="00732DCA"/>
    <w:rsid w:val="00734071"/>
    <w:rsid w:val="00734CA3"/>
    <w:rsid w:val="00737EB2"/>
    <w:rsid w:val="007411B2"/>
    <w:rsid w:val="00741695"/>
    <w:rsid w:val="00742712"/>
    <w:rsid w:val="0074316A"/>
    <w:rsid w:val="0074369A"/>
    <w:rsid w:val="00745229"/>
    <w:rsid w:val="00745625"/>
    <w:rsid w:val="00745FD0"/>
    <w:rsid w:val="00746E85"/>
    <w:rsid w:val="00747406"/>
    <w:rsid w:val="0074747F"/>
    <w:rsid w:val="00751D9D"/>
    <w:rsid w:val="007526A3"/>
    <w:rsid w:val="0075603C"/>
    <w:rsid w:val="007563EC"/>
    <w:rsid w:val="00756B4F"/>
    <w:rsid w:val="00760DBB"/>
    <w:rsid w:val="00762446"/>
    <w:rsid w:val="00762C22"/>
    <w:rsid w:val="00762CC4"/>
    <w:rsid w:val="0076366D"/>
    <w:rsid w:val="00763E14"/>
    <w:rsid w:val="007649B0"/>
    <w:rsid w:val="00765333"/>
    <w:rsid w:val="0076612A"/>
    <w:rsid w:val="00766D7A"/>
    <w:rsid w:val="00770C27"/>
    <w:rsid w:val="00770F46"/>
    <w:rsid w:val="00772407"/>
    <w:rsid w:val="00772B07"/>
    <w:rsid w:val="00773272"/>
    <w:rsid w:val="007737F2"/>
    <w:rsid w:val="00774350"/>
    <w:rsid w:val="007776D6"/>
    <w:rsid w:val="007776E8"/>
    <w:rsid w:val="00777977"/>
    <w:rsid w:val="007812FE"/>
    <w:rsid w:val="0078198F"/>
    <w:rsid w:val="0078228C"/>
    <w:rsid w:val="00783038"/>
    <w:rsid w:val="0078340E"/>
    <w:rsid w:val="00783766"/>
    <w:rsid w:val="007847B9"/>
    <w:rsid w:val="007915DD"/>
    <w:rsid w:val="00791B31"/>
    <w:rsid w:val="00792594"/>
    <w:rsid w:val="00794BA1"/>
    <w:rsid w:val="00794FD9"/>
    <w:rsid w:val="00795A03"/>
    <w:rsid w:val="00796338"/>
    <w:rsid w:val="007966F6"/>
    <w:rsid w:val="007A02DF"/>
    <w:rsid w:val="007A0852"/>
    <w:rsid w:val="007A0D10"/>
    <w:rsid w:val="007A3468"/>
    <w:rsid w:val="007A3A57"/>
    <w:rsid w:val="007A4EE6"/>
    <w:rsid w:val="007A6137"/>
    <w:rsid w:val="007A68EA"/>
    <w:rsid w:val="007A74E2"/>
    <w:rsid w:val="007B035A"/>
    <w:rsid w:val="007B0F03"/>
    <w:rsid w:val="007B1B23"/>
    <w:rsid w:val="007B4980"/>
    <w:rsid w:val="007B582B"/>
    <w:rsid w:val="007B715F"/>
    <w:rsid w:val="007B75DC"/>
    <w:rsid w:val="007B7A70"/>
    <w:rsid w:val="007C0524"/>
    <w:rsid w:val="007C0C15"/>
    <w:rsid w:val="007C0F34"/>
    <w:rsid w:val="007C1396"/>
    <w:rsid w:val="007C2770"/>
    <w:rsid w:val="007C2A32"/>
    <w:rsid w:val="007C5239"/>
    <w:rsid w:val="007C605A"/>
    <w:rsid w:val="007C61BC"/>
    <w:rsid w:val="007C7E77"/>
    <w:rsid w:val="007D1655"/>
    <w:rsid w:val="007D1687"/>
    <w:rsid w:val="007D22C5"/>
    <w:rsid w:val="007D3627"/>
    <w:rsid w:val="007D4366"/>
    <w:rsid w:val="007D630A"/>
    <w:rsid w:val="007D66AF"/>
    <w:rsid w:val="007E1A42"/>
    <w:rsid w:val="007E287F"/>
    <w:rsid w:val="007E3CBF"/>
    <w:rsid w:val="007E3D91"/>
    <w:rsid w:val="007E5FC5"/>
    <w:rsid w:val="007E6E2A"/>
    <w:rsid w:val="007E71BA"/>
    <w:rsid w:val="007F0DC1"/>
    <w:rsid w:val="007F1673"/>
    <w:rsid w:val="007F1B9E"/>
    <w:rsid w:val="007F2459"/>
    <w:rsid w:val="007F26E5"/>
    <w:rsid w:val="007F2E74"/>
    <w:rsid w:val="007F4C7B"/>
    <w:rsid w:val="007F5185"/>
    <w:rsid w:val="007F71BE"/>
    <w:rsid w:val="00802A11"/>
    <w:rsid w:val="0080390B"/>
    <w:rsid w:val="00804A39"/>
    <w:rsid w:val="0080527E"/>
    <w:rsid w:val="00805CB1"/>
    <w:rsid w:val="00806FD9"/>
    <w:rsid w:val="00806FE1"/>
    <w:rsid w:val="008075B9"/>
    <w:rsid w:val="008100B1"/>
    <w:rsid w:val="00811612"/>
    <w:rsid w:val="0081377C"/>
    <w:rsid w:val="00814FC5"/>
    <w:rsid w:val="0081716B"/>
    <w:rsid w:val="0082027F"/>
    <w:rsid w:val="00821056"/>
    <w:rsid w:val="00823448"/>
    <w:rsid w:val="008236F3"/>
    <w:rsid w:val="00830E90"/>
    <w:rsid w:val="00831258"/>
    <w:rsid w:val="008315B5"/>
    <w:rsid w:val="00831779"/>
    <w:rsid w:val="00831EBE"/>
    <w:rsid w:val="008328CD"/>
    <w:rsid w:val="0083365C"/>
    <w:rsid w:val="0083460B"/>
    <w:rsid w:val="00837C87"/>
    <w:rsid w:val="00840C80"/>
    <w:rsid w:val="00841060"/>
    <w:rsid w:val="00841FE5"/>
    <w:rsid w:val="00842518"/>
    <w:rsid w:val="00843D66"/>
    <w:rsid w:val="00845549"/>
    <w:rsid w:val="00846CE0"/>
    <w:rsid w:val="00846CE1"/>
    <w:rsid w:val="008472E0"/>
    <w:rsid w:val="00850781"/>
    <w:rsid w:val="00851D16"/>
    <w:rsid w:val="00852457"/>
    <w:rsid w:val="0085293F"/>
    <w:rsid w:val="008533DC"/>
    <w:rsid w:val="00855367"/>
    <w:rsid w:val="00856434"/>
    <w:rsid w:val="00856581"/>
    <w:rsid w:val="00856DAE"/>
    <w:rsid w:val="00856DFC"/>
    <w:rsid w:val="00861639"/>
    <w:rsid w:val="0086220D"/>
    <w:rsid w:val="00864FAD"/>
    <w:rsid w:val="0086644E"/>
    <w:rsid w:val="008670B0"/>
    <w:rsid w:val="00867177"/>
    <w:rsid w:val="0087084C"/>
    <w:rsid w:val="00870C04"/>
    <w:rsid w:val="00871458"/>
    <w:rsid w:val="00871BB2"/>
    <w:rsid w:val="008740F6"/>
    <w:rsid w:val="00874698"/>
    <w:rsid w:val="00874C01"/>
    <w:rsid w:val="00876319"/>
    <w:rsid w:val="00876346"/>
    <w:rsid w:val="00877700"/>
    <w:rsid w:val="00880EDC"/>
    <w:rsid w:val="0088175B"/>
    <w:rsid w:val="00883148"/>
    <w:rsid w:val="0088398B"/>
    <w:rsid w:val="00885F3B"/>
    <w:rsid w:val="00885FE6"/>
    <w:rsid w:val="0088685E"/>
    <w:rsid w:val="00886D3B"/>
    <w:rsid w:val="00887AAA"/>
    <w:rsid w:val="00887DA3"/>
    <w:rsid w:val="00890D3E"/>
    <w:rsid w:val="0089172C"/>
    <w:rsid w:val="0089180A"/>
    <w:rsid w:val="008926F3"/>
    <w:rsid w:val="0089601E"/>
    <w:rsid w:val="00896A8D"/>
    <w:rsid w:val="00897FBC"/>
    <w:rsid w:val="008A07EB"/>
    <w:rsid w:val="008A1AC7"/>
    <w:rsid w:val="008A25B3"/>
    <w:rsid w:val="008A5503"/>
    <w:rsid w:val="008A5DB5"/>
    <w:rsid w:val="008B0FF9"/>
    <w:rsid w:val="008B1500"/>
    <w:rsid w:val="008B1E05"/>
    <w:rsid w:val="008B4807"/>
    <w:rsid w:val="008B6CDB"/>
    <w:rsid w:val="008B7244"/>
    <w:rsid w:val="008B7CDF"/>
    <w:rsid w:val="008C0616"/>
    <w:rsid w:val="008C101B"/>
    <w:rsid w:val="008C184D"/>
    <w:rsid w:val="008C190E"/>
    <w:rsid w:val="008C564D"/>
    <w:rsid w:val="008C6B2E"/>
    <w:rsid w:val="008C78AF"/>
    <w:rsid w:val="008D00F0"/>
    <w:rsid w:val="008D1150"/>
    <w:rsid w:val="008D127B"/>
    <w:rsid w:val="008D15E9"/>
    <w:rsid w:val="008D3383"/>
    <w:rsid w:val="008D4B21"/>
    <w:rsid w:val="008D6B9A"/>
    <w:rsid w:val="008D7B97"/>
    <w:rsid w:val="008D7E06"/>
    <w:rsid w:val="008E0893"/>
    <w:rsid w:val="008E2098"/>
    <w:rsid w:val="008E4AC7"/>
    <w:rsid w:val="008E56AF"/>
    <w:rsid w:val="008E70E7"/>
    <w:rsid w:val="008F0417"/>
    <w:rsid w:val="008F059D"/>
    <w:rsid w:val="008F185F"/>
    <w:rsid w:val="008F1AFE"/>
    <w:rsid w:val="008F1C09"/>
    <w:rsid w:val="008F2B5C"/>
    <w:rsid w:val="008F2E46"/>
    <w:rsid w:val="008F2F06"/>
    <w:rsid w:val="008F31EF"/>
    <w:rsid w:val="008F38A2"/>
    <w:rsid w:val="008F4D57"/>
    <w:rsid w:val="008F4E5B"/>
    <w:rsid w:val="008F4F2C"/>
    <w:rsid w:val="008F59D8"/>
    <w:rsid w:val="0090046F"/>
    <w:rsid w:val="00900CC6"/>
    <w:rsid w:val="00902299"/>
    <w:rsid w:val="00904D57"/>
    <w:rsid w:val="00905AE9"/>
    <w:rsid w:val="009062FE"/>
    <w:rsid w:val="009078CC"/>
    <w:rsid w:val="00907D4E"/>
    <w:rsid w:val="00910B24"/>
    <w:rsid w:val="00913E5C"/>
    <w:rsid w:val="00914B98"/>
    <w:rsid w:val="0092088B"/>
    <w:rsid w:val="00920D22"/>
    <w:rsid w:val="00920D74"/>
    <w:rsid w:val="0092130D"/>
    <w:rsid w:val="00921FC0"/>
    <w:rsid w:val="0092291E"/>
    <w:rsid w:val="009232B0"/>
    <w:rsid w:val="00923AFE"/>
    <w:rsid w:val="00924983"/>
    <w:rsid w:val="00925B63"/>
    <w:rsid w:val="009279DF"/>
    <w:rsid w:val="009307CA"/>
    <w:rsid w:val="00931BCC"/>
    <w:rsid w:val="00931FBA"/>
    <w:rsid w:val="009329CD"/>
    <w:rsid w:val="00933693"/>
    <w:rsid w:val="00934C9D"/>
    <w:rsid w:val="00936E22"/>
    <w:rsid w:val="009411FB"/>
    <w:rsid w:val="009416F8"/>
    <w:rsid w:val="009421A3"/>
    <w:rsid w:val="00942B17"/>
    <w:rsid w:val="009445E1"/>
    <w:rsid w:val="0094505A"/>
    <w:rsid w:val="009450DE"/>
    <w:rsid w:val="00945B3F"/>
    <w:rsid w:val="00945B9F"/>
    <w:rsid w:val="0094620D"/>
    <w:rsid w:val="0095149A"/>
    <w:rsid w:val="0095256E"/>
    <w:rsid w:val="00952694"/>
    <w:rsid w:val="009526DA"/>
    <w:rsid w:val="009547C8"/>
    <w:rsid w:val="00955FA9"/>
    <w:rsid w:val="00956F06"/>
    <w:rsid w:val="00957EBE"/>
    <w:rsid w:val="009602B9"/>
    <w:rsid w:val="00961083"/>
    <w:rsid w:val="0096232E"/>
    <w:rsid w:val="00962C48"/>
    <w:rsid w:val="00962F4B"/>
    <w:rsid w:val="00963FE4"/>
    <w:rsid w:val="0096436E"/>
    <w:rsid w:val="0096444A"/>
    <w:rsid w:val="009644BB"/>
    <w:rsid w:val="00964FD5"/>
    <w:rsid w:val="00965C9D"/>
    <w:rsid w:val="009660C1"/>
    <w:rsid w:val="00966751"/>
    <w:rsid w:val="00966861"/>
    <w:rsid w:val="00967537"/>
    <w:rsid w:val="00967D33"/>
    <w:rsid w:val="00971930"/>
    <w:rsid w:val="00972704"/>
    <w:rsid w:val="00973C97"/>
    <w:rsid w:val="0097468E"/>
    <w:rsid w:val="0097534C"/>
    <w:rsid w:val="0097561B"/>
    <w:rsid w:val="009758F1"/>
    <w:rsid w:val="00975D9A"/>
    <w:rsid w:val="00977081"/>
    <w:rsid w:val="00981441"/>
    <w:rsid w:val="0098144C"/>
    <w:rsid w:val="0098262C"/>
    <w:rsid w:val="00982926"/>
    <w:rsid w:val="00985D24"/>
    <w:rsid w:val="00985E35"/>
    <w:rsid w:val="0098689C"/>
    <w:rsid w:val="009902E4"/>
    <w:rsid w:val="00991346"/>
    <w:rsid w:val="009913A2"/>
    <w:rsid w:val="00991850"/>
    <w:rsid w:val="0099245D"/>
    <w:rsid w:val="00993BB6"/>
    <w:rsid w:val="00993E67"/>
    <w:rsid w:val="00994999"/>
    <w:rsid w:val="00995451"/>
    <w:rsid w:val="009972B4"/>
    <w:rsid w:val="00997D4C"/>
    <w:rsid w:val="009A0B57"/>
    <w:rsid w:val="009A10C1"/>
    <w:rsid w:val="009A1264"/>
    <w:rsid w:val="009A30FD"/>
    <w:rsid w:val="009A3B0F"/>
    <w:rsid w:val="009A3FF9"/>
    <w:rsid w:val="009A5843"/>
    <w:rsid w:val="009A5EC9"/>
    <w:rsid w:val="009A738F"/>
    <w:rsid w:val="009A7DCB"/>
    <w:rsid w:val="009B0551"/>
    <w:rsid w:val="009B3BA0"/>
    <w:rsid w:val="009B43F4"/>
    <w:rsid w:val="009B4A23"/>
    <w:rsid w:val="009B5417"/>
    <w:rsid w:val="009B57E4"/>
    <w:rsid w:val="009B598F"/>
    <w:rsid w:val="009B606E"/>
    <w:rsid w:val="009C2844"/>
    <w:rsid w:val="009C2987"/>
    <w:rsid w:val="009C3F77"/>
    <w:rsid w:val="009C3F91"/>
    <w:rsid w:val="009C4122"/>
    <w:rsid w:val="009C4E7E"/>
    <w:rsid w:val="009C5A6F"/>
    <w:rsid w:val="009C5CBE"/>
    <w:rsid w:val="009C6CDD"/>
    <w:rsid w:val="009D1681"/>
    <w:rsid w:val="009D177C"/>
    <w:rsid w:val="009D51D9"/>
    <w:rsid w:val="009D607F"/>
    <w:rsid w:val="009D664B"/>
    <w:rsid w:val="009D77EF"/>
    <w:rsid w:val="009E19C9"/>
    <w:rsid w:val="009E3D86"/>
    <w:rsid w:val="009E415C"/>
    <w:rsid w:val="009E4C26"/>
    <w:rsid w:val="009E655B"/>
    <w:rsid w:val="009F0B63"/>
    <w:rsid w:val="009F128C"/>
    <w:rsid w:val="009F2ACC"/>
    <w:rsid w:val="009F2C81"/>
    <w:rsid w:val="009F31C0"/>
    <w:rsid w:val="009F68AC"/>
    <w:rsid w:val="009F762A"/>
    <w:rsid w:val="00A00743"/>
    <w:rsid w:val="00A00B9A"/>
    <w:rsid w:val="00A013F2"/>
    <w:rsid w:val="00A02D30"/>
    <w:rsid w:val="00A0316F"/>
    <w:rsid w:val="00A04907"/>
    <w:rsid w:val="00A06CF8"/>
    <w:rsid w:val="00A114EC"/>
    <w:rsid w:val="00A11783"/>
    <w:rsid w:val="00A12057"/>
    <w:rsid w:val="00A126E4"/>
    <w:rsid w:val="00A12EFB"/>
    <w:rsid w:val="00A13191"/>
    <w:rsid w:val="00A1599C"/>
    <w:rsid w:val="00A15DE2"/>
    <w:rsid w:val="00A163C3"/>
    <w:rsid w:val="00A1761C"/>
    <w:rsid w:val="00A217AF"/>
    <w:rsid w:val="00A2234E"/>
    <w:rsid w:val="00A22DBC"/>
    <w:rsid w:val="00A23828"/>
    <w:rsid w:val="00A23AC3"/>
    <w:rsid w:val="00A240A1"/>
    <w:rsid w:val="00A24224"/>
    <w:rsid w:val="00A242CA"/>
    <w:rsid w:val="00A24782"/>
    <w:rsid w:val="00A249D8"/>
    <w:rsid w:val="00A25404"/>
    <w:rsid w:val="00A30062"/>
    <w:rsid w:val="00A30C0F"/>
    <w:rsid w:val="00A30D4A"/>
    <w:rsid w:val="00A30EC3"/>
    <w:rsid w:val="00A31005"/>
    <w:rsid w:val="00A31372"/>
    <w:rsid w:val="00A314F8"/>
    <w:rsid w:val="00A31548"/>
    <w:rsid w:val="00A3170E"/>
    <w:rsid w:val="00A31AC1"/>
    <w:rsid w:val="00A31E9E"/>
    <w:rsid w:val="00A323D1"/>
    <w:rsid w:val="00A32E32"/>
    <w:rsid w:val="00A343B6"/>
    <w:rsid w:val="00A34569"/>
    <w:rsid w:val="00A345E0"/>
    <w:rsid w:val="00A34974"/>
    <w:rsid w:val="00A36786"/>
    <w:rsid w:val="00A36D44"/>
    <w:rsid w:val="00A37EF0"/>
    <w:rsid w:val="00A40F46"/>
    <w:rsid w:val="00A40FC7"/>
    <w:rsid w:val="00A4187D"/>
    <w:rsid w:val="00A41BD7"/>
    <w:rsid w:val="00A41EC3"/>
    <w:rsid w:val="00A42322"/>
    <w:rsid w:val="00A42981"/>
    <w:rsid w:val="00A4437D"/>
    <w:rsid w:val="00A44C91"/>
    <w:rsid w:val="00A44D54"/>
    <w:rsid w:val="00A46DDC"/>
    <w:rsid w:val="00A51819"/>
    <w:rsid w:val="00A525A6"/>
    <w:rsid w:val="00A543E1"/>
    <w:rsid w:val="00A57838"/>
    <w:rsid w:val="00A578A2"/>
    <w:rsid w:val="00A60AF6"/>
    <w:rsid w:val="00A60E3D"/>
    <w:rsid w:val="00A6359F"/>
    <w:rsid w:val="00A635D9"/>
    <w:rsid w:val="00A64613"/>
    <w:rsid w:val="00A6539E"/>
    <w:rsid w:val="00A668AB"/>
    <w:rsid w:val="00A71134"/>
    <w:rsid w:val="00A71E0F"/>
    <w:rsid w:val="00A71F2C"/>
    <w:rsid w:val="00A724C8"/>
    <w:rsid w:val="00A72523"/>
    <w:rsid w:val="00A72BCE"/>
    <w:rsid w:val="00A730DF"/>
    <w:rsid w:val="00A76A26"/>
    <w:rsid w:val="00A76F54"/>
    <w:rsid w:val="00A774ED"/>
    <w:rsid w:val="00A80C42"/>
    <w:rsid w:val="00A80E5E"/>
    <w:rsid w:val="00A815A0"/>
    <w:rsid w:val="00A81DEB"/>
    <w:rsid w:val="00A82189"/>
    <w:rsid w:val="00A8789F"/>
    <w:rsid w:val="00A90368"/>
    <w:rsid w:val="00A90473"/>
    <w:rsid w:val="00A907E2"/>
    <w:rsid w:val="00A932F1"/>
    <w:rsid w:val="00A9374C"/>
    <w:rsid w:val="00A93F19"/>
    <w:rsid w:val="00A94397"/>
    <w:rsid w:val="00A9550C"/>
    <w:rsid w:val="00A96335"/>
    <w:rsid w:val="00A97767"/>
    <w:rsid w:val="00A97E15"/>
    <w:rsid w:val="00AA09B4"/>
    <w:rsid w:val="00AA0D37"/>
    <w:rsid w:val="00AA13C9"/>
    <w:rsid w:val="00AA1C55"/>
    <w:rsid w:val="00AA2DD0"/>
    <w:rsid w:val="00AA33C8"/>
    <w:rsid w:val="00AA4042"/>
    <w:rsid w:val="00AA4AAE"/>
    <w:rsid w:val="00AA55CC"/>
    <w:rsid w:val="00AA6634"/>
    <w:rsid w:val="00AB0109"/>
    <w:rsid w:val="00AB0E0A"/>
    <w:rsid w:val="00AB21C8"/>
    <w:rsid w:val="00AB3539"/>
    <w:rsid w:val="00AB4BB9"/>
    <w:rsid w:val="00AB5544"/>
    <w:rsid w:val="00AB5CC4"/>
    <w:rsid w:val="00AB651C"/>
    <w:rsid w:val="00AC018C"/>
    <w:rsid w:val="00AC1AD1"/>
    <w:rsid w:val="00AC21EA"/>
    <w:rsid w:val="00AC2B59"/>
    <w:rsid w:val="00AC3ECC"/>
    <w:rsid w:val="00AC4DEC"/>
    <w:rsid w:val="00AC52AD"/>
    <w:rsid w:val="00AC56BA"/>
    <w:rsid w:val="00AC622C"/>
    <w:rsid w:val="00AC757C"/>
    <w:rsid w:val="00AC76C4"/>
    <w:rsid w:val="00AC7F49"/>
    <w:rsid w:val="00AD02CB"/>
    <w:rsid w:val="00AD0B46"/>
    <w:rsid w:val="00AD23C2"/>
    <w:rsid w:val="00AD2A87"/>
    <w:rsid w:val="00AD54CF"/>
    <w:rsid w:val="00AD6319"/>
    <w:rsid w:val="00AD6FF7"/>
    <w:rsid w:val="00AE0859"/>
    <w:rsid w:val="00AE1822"/>
    <w:rsid w:val="00AE1A4F"/>
    <w:rsid w:val="00AE1E29"/>
    <w:rsid w:val="00AE3809"/>
    <w:rsid w:val="00AE6273"/>
    <w:rsid w:val="00AE63AA"/>
    <w:rsid w:val="00AE63AC"/>
    <w:rsid w:val="00AE6716"/>
    <w:rsid w:val="00AF0E18"/>
    <w:rsid w:val="00AF0E27"/>
    <w:rsid w:val="00AF27EF"/>
    <w:rsid w:val="00AF2EB3"/>
    <w:rsid w:val="00AF3015"/>
    <w:rsid w:val="00AF5A59"/>
    <w:rsid w:val="00AF6598"/>
    <w:rsid w:val="00B00282"/>
    <w:rsid w:val="00B01164"/>
    <w:rsid w:val="00B0178B"/>
    <w:rsid w:val="00B04457"/>
    <w:rsid w:val="00B05423"/>
    <w:rsid w:val="00B064F8"/>
    <w:rsid w:val="00B07243"/>
    <w:rsid w:val="00B07E79"/>
    <w:rsid w:val="00B11DA8"/>
    <w:rsid w:val="00B11F4B"/>
    <w:rsid w:val="00B12977"/>
    <w:rsid w:val="00B156D3"/>
    <w:rsid w:val="00B15999"/>
    <w:rsid w:val="00B15CF1"/>
    <w:rsid w:val="00B2065C"/>
    <w:rsid w:val="00B223FC"/>
    <w:rsid w:val="00B231ED"/>
    <w:rsid w:val="00B24DFA"/>
    <w:rsid w:val="00B27911"/>
    <w:rsid w:val="00B3118F"/>
    <w:rsid w:val="00B317F3"/>
    <w:rsid w:val="00B321B2"/>
    <w:rsid w:val="00B32E2A"/>
    <w:rsid w:val="00B33278"/>
    <w:rsid w:val="00B346D3"/>
    <w:rsid w:val="00B36188"/>
    <w:rsid w:val="00B36D67"/>
    <w:rsid w:val="00B372B1"/>
    <w:rsid w:val="00B3747D"/>
    <w:rsid w:val="00B37931"/>
    <w:rsid w:val="00B379F1"/>
    <w:rsid w:val="00B415D2"/>
    <w:rsid w:val="00B41A08"/>
    <w:rsid w:val="00B42A52"/>
    <w:rsid w:val="00B42ED9"/>
    <w:rsid w:val="00B43D39"/>
    <w:rsid w:val="00B44898"/>
    <w:rsid w:val="00B44C85"/>
    <w:rsid w:val="00B461F9"/>
    <w:rsid w:val="00B47DD4"/>
    <w:rsid w:val="00B50863"/>
    <w:rsid w:val="00B50A59"/>
    <w:rsid w:val="00B50DE7"/>
    <w:rsid w:val="00B511C0"/>
    <w:rsid w:val="00B5226D"/>
    <w:rsid w:val="00B544FA"/>
    <w:rsid w:val="00B54613"/>
    <w:rsid w:val="00B56AC2"/>
    <w:rsid w:val="00B574AD"/>
    <w:rsid w:val="00B60A04"/>
    <w:rsid w:val="00B61E65"/>
    <w:rsid w:val="00B65D0E"/>
    <w:rsid w:val="00B66EB1"/>
    <w:rsid w:val="00B67AA7"/>
    <w:rsid w:val="00B704A1"/>
    <w:rsid w:val="00B71F1E"/>
    <w:rsid w:val="00B7365C"/>
    <w:rsid w:val="00B73F72"/>
    <w:rsid w:val="00B740C3"/>
    <w:rsid w:val="00B81EF1"/>
    <w:rsid w:val="00B82479"/>
    <w:rsid w:val="00B84FA5"/>
    <w:rsid w:val="00B854E1"/>
    <w:rsid w:val="00B872DC"/>
    <w:rsid w:val="00B876BE"/>
    <w:rsid w:val="00B87F27"/>
    <w:rsid w:val="00B9061B"/>
    <w:rsid w:val="00B911D3"/>
    <w:rsid w:val="00B92BC9"/>
    <w:rsid w:val="00B9406B"/>
    <w:rsid w:val="00B95421"/>
    <w:rsid w:val="00B95D1C"/>
    <w:rsid w:val="00B965CC"/>
    <w:rsid w:val="00B968ED"/>
    <w:rsid w:val="00B9775C"/>
    <w:rsid w:val="00BA12BB"/>
    <w:rsid w:val="00BA1F84"/>
    <w:rsid w:val="00BA1FF0"/>
    <w:rsid w:val="00BA35A8"/>
    <w:rsid w:val="00BA39E7"/>
    <w:rsid w:val="00BA42F1"/>
    <w:rsid w:val="00BA500C"/>
    <w:rsid w:val="00BA5068"/>
    <w:rsid w:val="00BA5CA7"/>
    <w:rsid w:val="00BA6CC9"/>
    <w:rsid w:val="00BA6E68"/>
    <w:rsid w:val="00BA7808"/>
    <w:rsid w:val="00BA7A63"/>
    <w:rsid w:val="00BA7BC2"/>
    <w:rsid w:val="00BB0159"/>
    <w:rsid w:val="00BB1265"/>
    <w:rsid w:val="00BB13F3"/>
    <w:rsid w:val="00BB185B"/>
    <w:rsid w:val="00BB31AC"/>
    <w:rsid w:val="00BB35D8"/>
    <w:rsid w:val="00BB66E8"/>
    <w:rsid w:val="00BC0924"/>
    <w:rsid w:val="00BC18B1"/>
    <w:rsid w:val="00BC2425"/>
    <w:rsid w:val="00BC32E9"/>
    <w:rsid w:val="00BC4F84"/>
    <w:rsid w:val="00BC505F"/>
    <w:rsid w:val="00BC59DF"/>
    <w:rsid w:val="00BC6231"/>
    <w:rsid w:val="00BD11C4"/>
    <w:rsid w:val="00BD1C7F"/>
    <w:rsid w:val="00BD2BCB"/>
    <w:rsid w:val="00BD3662"/>
    <w:rsid w:val="00BD3B7D"/>
    <w:rsid w:val="00BD3C9B"/>
    <w:rsid w:val="00BD4017"/>
    <w:rsid w:val="00BD4306"/>
    <w:rsid w:val="00BD67BA"/>
    <w:rsid w:val="00BD6D43"/>
    <w:rsid w:val="00BE00D3"/>
    <w:rsid w:val="00BE0577"/>
    <w:rsid w:val="00BE0F87"/>
    <w:rsid w:val="00BE19EA"/>
    <w:rsid w:val="00BE1AEC"/>
    <w:rsid w:val="00BE1C78"/>
    <w:rsid w:val="00BE3AE5"/>
    <w:rsid w:val="00BE3C8D"/>
    <w:rsid w:val="00BE4787"/>
    <w:rsid w:val="00BF0FAA"/>
    <w:rsid w:val="00BF16B8"/>
    <w:rsid w:val="00BF3FBD"/>
    <w:rsid w:val="00BF425D"/>
    <w:rsid w:val="00BF6ADC"/>
    <w:rsid w:val="00BF74FB"/>
    <w:rsid w:val="00BF77D2"/>
    <w:rsid w:val="00C02141"/>
    <w:rsid w:val="00C024CD"/>
    <w:rsid w:val="00C02A08"/>
    <w:rsid w:val="00C04759"/>
    <w:rsid w:val="00C10B09"/>
    <w:rsid w:val="00C11983"/>
    <w:rsid w:val="00C11A3E"/>
    <w:rsid w:val="00C12754"/>
    <w:rsid w:val="00C1471E"/>
    <w:rsid w:val="00C15A94"/>
    <w:rsid w:val="00C169CF"/>
    <w:rsid w:val="00C209FF"/>
    <w:rsid w:val="00C2116E"/>
    <w:rsid w:val="00C21F50"/>
    <w:rsid w:val="00C232FE"/>
    <w:rsid w:val="00C2451C"/>
    <w:rsid w:val="00C252F8"/>
    <w:rsid w:val="00C2551C"/>
    <w:rsid w:val="00C259AB"/>
    <w:rsid w:val="00C25BA2"/>
    <w:rsid w:val="00C3039E"/>
    <w:rsid w:val="00C31D73"/>
    <w:rsid w:val="00C3210C"/>
    <w:rsid w:val="00C32B3F"/>
    <w:rsid w:val="00C33374"/>
    <w:rsid w:val="00C3349B"/>
    <w:rsid w:val="00C34F40"/>
    <w:rsid w:val="00C35B79"/>
    <w:rsid w:val="00C360F2"/>
    <w:rsid w:val="00C36143"/>
    <w:rsid w:val="00C40E4B"/>
    <w:rsid w:val="00C41AEE"/>
    <w:rsid w:val="00C41E66"/>
    <w:rsid w:val="00C45FCA"/>
    <w:rsid w:val="00C46375"/>
    <w:rsid w:val="00C47A82"/>
    <w:rsid w:val="00C51596"/>
    <w:rsid w:val="00C55239"/>
    <w:rsid w:val="00C559A1"/>
    <w:rsid w:val="00C56F5A"/>
    <w:rsid w:val="00C603C3"/>
    <w:rsid w:val="00C62A6D"/>
    <w:rsid w:val="00C64973"/>
    <w:rsid w:val="00C659C4"/>
    <w:rsid w:val="00C660D8"/>
    <w:rsid w:val="00C662FC"/>
    <w:rsid w:val="00C66FBF"/>
    <w:rsid w:val="00C67804"/>
    <w:rsid w:val="00C6782A"/>
    <w:rsid w:val="00C727B1"/>
    <w:rsid w:val="00C73ABD"/>
    <w:rsid w:val="00C747EE"/>
    <w:rsid w:val="00C751B6"/>
    <w:rsid w:val="00C76E86"/>
    <w:rsid w:val="00C77BF8"/>
    <w:rsid w:val="00C82821"/>
    <w:rsid w:val="00C82888"/>
    <w:rsid w:val="00C834E8"/>
    <w:rsid w:val="00C8470B"/>
    <w:rsid w:val="00C84E39"/>
    <w:rsid w:val="00C851A2"/>
    <w:rsid w:val="00C85344"/>
    <w:rsid w:val="00C85A5F"/>
    <w:rsid w:val="00C87C42"/>
    <w:rsid w:val="00C87EA7"/>
    <w:rsid w:val="00C91082"/>
    <w:rsid w:val="00C91C56"/>
    <w:rsid w:val="00C9300F"/>
    <w:rsid w:val="00C94F64"/>
    <w:rsid w:val="00C95241"/>
    <w:rsid w:val="00C95CA7"/>
    <w:rsid w:val="00C961B3"/>
    <w:rsid w:val="00C9712C"/>
    <w:rsid w:val="00CA0C77"/>
    <w:rsid w:val="00CA14D7"/>
    <w:rsid w:val="00CA2229"/>
    <w:rsid w:val="00CA2BFC"/>
    <w:rsid w:val="00CA2FAE"/>
    <w:rsid w:val="00CA30A6"/>
    <w:rsid w:val="00CA3107"/>
    <w:rsid w:val="00CA5104"/>
    <w:rsid w:val="00CA6400"/>
    <w:rsid w:val="00CA6F3D"/>
    <w:rsid w:val="00CB1444"/>
    <w:rsid w:val="00CB4109"/>
    <w:rsid w:val="00CB4E96"/>
    <w:rsid w:val="00CB529D"/>
    <w:rsid w:val="00CB54B0"/>
    <w:rsid w:val="00CC0685"/>
    <w:rsid w:val="00CC14F5"/>
    <w:rsid w:val="00CC2326"/>
    <w:rsid w:val="00CC2C48"/>
    <w:rsid w:val="00CC355A"/>
    <w:rsid w:val="00CC3B42"/>
    <w:rsid w:val="00CC6F4E"/>
    <w:rsid w:val="00CC71B1"/>
    <w:rsid w:val="00CC753F"/>
    <w:rsid w:val="00CD0E8B"/>
    <w:rsid w:val="00CD1956"/>
    <w:rsid w:val="00CD24DD"/>
    <w:rsid w:val="00CD330E"/>
    <w:rsid w:val="00CD3E2B"/>
    <w:rsid w:val="00CD53EA"/>
    <w:rsid w:val="00CD5EAE"/>
    <w:rsid w:val="00CD6154"/>
    <w:rsid w:val="00CD64C2"/>
    <w:rsid w:val="00CD7DBB"/>
    <w:rsid w:val="00CE12F4"/>
    <w:rsid w:val="00CE1553"/>
    <w:rsid w:val="00CE5A71"/>
    <w:rsid w:val="00CE60FC"/>
    <w:rsid w:val="00CE639D"/>
    <w:rsid w:val="00CE6BF4"/>
    <w:rsid w:val="00CE76D6"/>
    <w:rsid w:val="00CF05C3"/>
    <w:rsid w:val="00CF1242"/>
    <w:rsid w:val="00CF1ADA"/>
    <w:rsid w:val="00CF3637"/>
    <w:rsid w:val="00CF4265"/>
    <w:rsid w:val="00CF470F"/>
    <w:rsid w:val="00CF5080"/>
    <w:rsid w:val="00CF583A"/>
    <w:rsid w:val="00CF64D2"/>
    <w:rsid w:val="00CF7CFC"/>
    <w:rsid w:val="00D00364"/>
    <w:rsid w:val="00D009CB"/>
    <w:rsid w:val="00D02F54"/>
    <w:rsid w:val="00D0366E"/>
    <w:rsid w:val="00D03D17"/>
    <w:rsid w:val="00D03DBA"/>
    <w:rsid w:val="00D0485C"/>
    <w:rsid w:val="00D05D32"/>
    <w:rsid w:val="00D065D5"/>
    <w:rsid w:val="00D12047"/>
    <w:rsid w:val="00D120EC"/>
    <w:rsid w:val="00D13858"/>
    <w:rsid w:val="00D13F1F"/>
    <w:rsid w:val="00D145FE"/>
    <w:rsid w:val="00D14E74"/>
    <w:rsid w:val="00D15400"/>
    <w:rsid w:val="00D155CF"/>
    <w:rsid w:val="00D16DCE"/>
    <w:rsid w:val="00D216E5"/>
    <w:rsid w:val="00D21918"/>
    <w:rsid w:val="00D21E35"/>
    <w:rsid w:val="00D2332D"/>
    <w:rsid w:val="00D24308"/>
    <w:rsid w:val="00D25380"/>
    <w:rsid w:val="00D25472"/>
    <w:rsid w:val="00D262AD"/>
    <w:rsid w:val="00D26DD7"/>
    <w:rsid w:val="00D2798A"/>
    <w:rsid w:val="00D305CC"/>
    <w:rsid w:val="00D336E3"/>
    <w:rsid w:val="00D34945"/>
    <w:rsid w:val="00D35AC0"/>
    <w:rsid w:val="00D35D5C"/>
    <w:rsid w:val="00D36FBE"/>
    <w:rsid w:val="00D37F5F"/>
    <w:rsid w:val="00D41ACA"/>
    <w:rsid w:val="00D42431"/>
    <w:rsid w:val="00D4316B"/>
    <w:rsid w:val="00D44641"/>
    <w:rsid w:val="00D44D7F"/>
    <w:rsid w:val="00D465A6"/>
    <w:rsid w:val="00D4697A"/>
    <w:rsid w:val="00D502DD"/>
    <w:rsid w:val="00D5046E"/>
    <w:rsid w:val="00D50DA1"/>
    <w:rsid w:val="00D521EE"/>
    <w:rsid w:val="00D523BA"/>
    <w:rsid w:val="00D52748"/>
    <w:rsid w:val="00D537F5"/>
    <w:rsid w:val="00D54401"/>
    <w:rsid w:val="00D54F3C"/>
    <w:rsid w:val="00D54F60"/>
    <w:rsid w:val="00D55CBE"/>
    <w:rsid w:val="00D56752"/>
    <w:rsid w:val="00D573E0"/>
    <w:rsid w:val="00D57938"/>
    <w:rsid w:val="00D603B5"/>
    <w:rsid w:val="00D60744"/>
    <w:rsid w:val="00D60D48"/>
    <w:rsid w:val="00D61F91"/>
    <w:rsid w:val="00D6213B"/>
    <w:rsid w:val="00D629E9"/>
    <w:rsid w:val="00D64F82"/>
    <w:rsid w:val="00D66C91"/>
    <w:rsid w:val="00D671C2"/>
    <w:rsid w:val="00D707CA"/>
    <w:rsid w:val="00D71492"/>
    <w:rsid w:val="00D716AE"/>
    <w:rsid w:val="00D716DF"/>
    <w:rsid w:val="00D717C4"/>
    <w:rsid w:val="00D71906"/>
    <w:rsid w:val="00D72697"/>
    <w:rsid w:val="00D72867"/>
    <w:rsid w:val="00D72B47"/>
    <w:rsid w:val="00D7383D"/>
    <w:rsid w:val="00D73E87"/>
    <w:rsid w:val="00D740DC"/>
    <w:rsid w:val="00D7514A"/>
    <w:rsid w:val="00D75DF6"/>
    <w:rsid w:val="00D76C39"/>
    <w:rsid w:val="00D77675"/>
    <w:rsid w:val="00D779CB"/>
    <w:rsid w:val="00D815FD"/>
    <w:rsid w:val="00D824A3"/>
    <w:rsid w:val="00D831C3"/>
    <w:rsid w:val="00D8346C"/>
    <w:rsid w:val="00D83D2F"/>
    <w:rsid w:val="00D83E9E"/>
    <w:rsid w:val="00D86C9B"/>
    <w:rsid w:val="00D87899"/>
    <w:rsid w:val="00D90537"/>
    <w:rsid w:val="00D91F4C"/>
    <w:rsid w:val="00D93D2F"/>
    <w:rsid w:val="00D93E60"/>
    <w:rsid w:val="00D951DE"/>
    <w:rsid w:val="00D96D45"/>
    <w:rsid w:val="00D97467"/>
    <w:rsid w:val="00D979E4"/>
    <w:rsid w:val="00D97F0F"/>
    <w:rsid w:val="00DA1006"/>
    <w:rsid w:val="00DA22F9"/>
    <w:rsid w:val="00DA3FD6"/>
    <w:rsid w:val="00DA41FC"/>
    <w:rsid w:val="00DA467B"/>
    <w:rsid w:val="00DA46A5"/>
    <w:rsid w:val="00DA48DC"/>
    <w:rsid w:val="00DA5445"/>
    <w:rsid w:val="00DA6011"/>
    <w:rsid w:val="00DA7DEA"/>
    <w:rsid w:val="00DB05B4"/>
    <w:rsid w:val="00DB11A6"/>
    <w:rsid w:val="00DB3679"/>
    <w:rsid w:val="00DB36A2"/>
    <w:rsid w:val="00DB3739"/>
    <w:rsid w:val="00DB3CEE"/>
    <w:rsid w:val="00DB3E5B"/>
    <w:rsid w:val="00DB4631"/>
    <w:rsid w:val="00DB4F2D"/>
    <w:rsid w:val="00DB522C"/>
    <w:rsid w:val="00DB5735"/>
    <w:rsid w:val="00DB677A"/>
    <w:rsid w:val="00DB6A26"/>
    <w:rsid w:val="00DC0484"/>
    <w:rsid w:val="00DC04B3"/>
    <w:rsid w:val="00DC2C69"/>
    <w:rsid w:val="00DC3219"/>
    <w:rsid w:val="00DC357E"/>
    <w:rsid w:val="00DC3C3F"/>
    <w:rsid w:val="00DC4FBD"/>
    <w:rsid w:val="00DC5F05"/>
    <w:rsid w:val="00DC6AE3"/>
    <w:rsid w:val="00DC7608"/>
    <w:rsid w:val="00DC782A"/>
    <w:rsid w:val="00DD1B77"/>
    <w:rsid w:val="00DD1CE9"/>
    <w:rsid w:val="00DD1D76"/>
    <w:rsid w:val="00DD208D"/>
    <w:rsid w:val="00DD2627"/>
    <w:rsid w:val="00DD2EB6"/>
    <w:rsid w:val="00DD2F04"/>
    <w:rsid w:val="00DD3AEE"/>
    <w:rsid w:val="00DD47B9"/>
    <w:rsid w:val="00DD4EF9"/>
    <w:rsid w:val="00DD5DFF"/>
    <w:rsid w:val="00DD62B0"/>
    <w:rsid w:val="00DD62B6"/>
    <w:rsid w:val="00DD6323"/>
    <w:rsid w:val="00DD6B17"/>
    <w:rsid w:val="00DE10EB"/>
    <w:rsid w:val="00DE1C38"/>
    <w:rsid w:val="00DE26E4"/>
    <w:rsid w:val="00DE3C9B"/>
    <w:rsid w:val="00DE4BE4"/>
    <w:rsid w:val="00DE593A"/>
    <w:rsid w:val="00DE5AA6"/>
    <w:rsid w:val="00DE5FAC"/>
    <w:rsid w:val="00DE7657"/>
    <w:rsid w:val="00DF1B82"/>
    <w:rsid w:val="00DF42E9"/>
    <w:rsid w:val="00DF79C6"/>
    <w:rsid w:val="00E00CC3"/>
    <w:rsid w:val="00E01F8A"/>
    <w:rsid w:val="00E0239B"/>
    <w:rsid w:val="00E02AD9"/>
    <w:rsid w:val="00E02BC0"/>
    <w:rsid w:val="00E036B1"/>
    <w:rsid w:val="00E03A2B"/>
    <w:rsid w:val="00E05E5A"/>
    <w:rsid w:val="00E05F88"/>
    <w:rsid w:val="00E065E9"/>
    <w:rsid w:val="00E06804"/>
    <w:rsid w:val="00E06D91"/>
    <w:rsid w:val="00E07694"/>
    <w:rsid w:val="00E07A96"/>
    <w:rsid w:val="00E1037B"/>
    <w:rsid w:val="00E1087A"/>
    <w:rsid w:val="00E11719"/>
    <w:rsid w:val="00E129AF"/>
    <w:rsid w:val="00E1342E"/>
    <w:rsid w:val="00E152BB"/>
    <w:rsid w:val="00E153CC"/>
    <w:rsid w:val="00E17C44"/>
    <w:rsid w:val="00E20AA1"/>
    <w:rsid w:val="00E22D8E"/>
    <w:rsid w:val="00E23F6C"/>
    <w:rsid w:val="00E24261"/>
    <w:rsid w:val="00E243DC"/>
    <w:rsid w:val="00E2448A"/>
    <w:rsid w:val="00E246F0"/>
    <w:rsid w:val="00E255D7"/>
    <w:rsid w:val="00E25679"/>
    <w:rsid w:val="00E25D08"/>
    <w:rsid w:val="00E26473"/>
    <w:rsid w:val="00E267DA"/>
    <w:rsid w:val="00E26991"/>
    <w:rsid w:val="00E26EFC"/>
    <w:rsid w:val="00E270FD"/>
    <w:rsid w:val="00E27733"/>
    <w:rsid w:val="00E30D8B"/>
    <w:rsid w:val="00E315D5"/>
    <w:rsid w:val="00E332C7"/>
    <w:rsid w:val="00E33538"/>
    <w:rsid w:val="00E337C2"/>
    <w:rsid w:val="00E33FD4"/>
    <w:rsid w:val="00E36D45"/>
    <w:rsid w:val="00E37886"/>
    <w:rsid w:val="00E378BB"/>
    <w:rsid w:val="00E4035B"/>
    <w:rsid w:val="00E412C4"/>
    <w:rsid w:val="00E41580"/>
    <w:rsid w:val="00E419A0"/>
    <w:rsid w:val="00E41F38"/>
    <w:rsid w:val="00E429E7"/>
    <w:rsid w:val="00E42F73"/>
    <w:rsid w:val="00E4305A"/>
    <w:rsid w:val="00E430D8"/>
    <w:rsid w:val="00E432FF"/>
    <w:rsid w:val="00E437F4"/>
    <w:rsid w:val="00E43B90"/>
    <w:rsid w:val="00E44426"/>
    <w:rsid w:val="00E4475F"/>
    <w:rsid w:val="00E44813"/>
    <w:rsid w:val="00E4557A"/>
    <w:rsid w:val="00E458B8"/>
    <w:rsid w:val="00E4698A"/>
    <w:rsid w:val="00E476D5"/>
    <w:rsid w:val="00E500D2"/>
    <w:rsid w:val="00E50CFB"/>
    <w:rsid w:val="00E511C5"/>
    <w:rsid w:val="00E51845"/>
    <w:rsid w:val="00E51F0A"/>
    <w:rsid w:val="00E534A4"/>
    <w:rsid w:val="00E53591"/>
    <w:rsid w:val="00E53F22"/>
    <w:rsid w:val="00E5740A"/>
    <w:rsid w:val="00E600BA"/>
    <w:rsid w:val="00E621BD"/>
    <w:rsid w:val="00E6274D"/>
    <w:rsid w:val="00E62A48"/>
    <w:rsid w:val="00E63E29"/>
    <w:rsid w:val="00E6554D"/>
    <w:rsid w:val="00E65603"/>
    <w:rsid w:val="00E6654D"/>
    <w:rsid w:val="00E674D0"/>
    <w:rsid w:val="00E70EA9"/>
    <w:rsid w:val="00E723A1"/>
    <w:rsid w:val="00E72F20"/>
    <w:rsid w:val="00E73EC3"/>
    <w:rsid w:val="00E740FD"/>
    <w:rsid w:val="00E752BA"/>
    <w:rsid w:val="00E75E72"/>
    <w:rsid w:val="00E761E4"/>
    <w:rsid w:val="00E77EB9"/>
    <w:rsid w:val="00E8142C"/>
    <w:rsid w:val="00E8177F"/>
    <w:rsid w:val="00E819AA"/>
    <w:rsid w:val="00E8262A"/>
    <w:rsid w:val="00E83863"/>
    <w:rsid w:val="00E84A62"/>
    <w:rsid w:val="00E8514D"/>
    <w:rsid w:val="00E873C9"/>
    <w:rsid w:val="00E87D25"/>
    <w:rsid w:val="00E916DA"/>
    <w:rsid w:val="00E92A7F"/>
    <w:rsid w:val="00E95946"/>
    <w:rsid w:val="00E95B25"/>
    <w:rsid w:val="00E96C27"/>
    <w:rsid w:val="00E9773A"/>
    <w:rsid w:val="00EA1B91"/>
    <w:rsid w:val="00EA248B"/>
    <w:rsid w:val="00EA27E3"/>
    <w:rsid w:val="00EA2958"/>
    <w:rsid w:val="00EA3551"/>
    <w:rsid w:val="00EA3770"/>
    <w:rsid w:val="00EA5642"/>
    <w:rsid w:val="00EA596F"/>
    <w:rsid w:val="00EA5BB6"/>
    <w:rsid w:val="00EA5F70"/>
    <w:rsid w:val="00EB0770"/>
    <w:rsid w:val="00EB1CD1"/>
    <w:rsid w:val="00EB1FCF"/>
    <w:rsid w:val="00EB23B6"/>
    <w:rsid w:val="00EB3097"/>
    <w:rsid w:val="00EB402A"/>
    <w:rsid w:val="00EB423F"/>
    <w:rsid w:val="00EB5433"/>
    <w:rsid w:val="00EB54C1"/>
    <w:rsid w:val="00EB74FD"/>
    <w:rsid w:val="00EC02B9"/>
    <w:rsid w:val="00EC148B"/>
    <w:rsid w:val="00EC5304"/>
    <w:rsid w:val="00EC5C36"/>
    <w:rsid w:val="00EC5FBC"/>
    <w:rsid w:val="00EC6B25"/>
    <w:rsid w:val="00EC75A6"/>
    <w:rsid w:val="00EC7B55"/>
    <w:rsid w:val="00ED02C9"/>
    <w:rsid w:val="00ED13E7"/>
    <w:rsid w:val="00ED1E01"/>
    <w:rsid w:val="00ED323B"/>
    <w:rsid w:val="00ED34F2"/>
    <w:rsid w:val="00ED4F43"/>
    <w:rsid w:val="00ED5CF8"/>
    <w:rsid w:val="00ED6B23"/>
    <w:rsid w:val="00EE0BE9"/>
    <w:rsid w:val="00EE1E22"/>
    <w:rsid w:val="00EE3C04"/>
    <w:rsid w:val="00EE4AD5"/>
    <w:rsid w:val="00EE4B42"/>
    <w:rsid w:val="00EE528D"/>
    <w:rsid w:val="00EE5804"/>
    <w:rsid w:val="00EE795A"/>
    <w:rsid w:val="00EF1B7B"/>
    <w:rsid w:val="00EF2889"/>
    <w:rsid w:val="00EF2957"/>
    <w:rsid w:val="00EF37EF"/>
    <w:rsid w:val="00EF4667"/>
    <w:rsid w:val="00EF750A"/>
    <w:rsid w:val="00F00D5C"/>
    <w:rsid w:val="00F0140B"/>
    <w:rsid w:val="00F01546"/>
    <w:rsid w:val="00F016E1"/>
    <w:rsid w:val="00F034F8"/>
    <w:rsid w:val="00F04C4D"/>
    <w:rsid w:val="00F05546"/>
    <w:rsid w:val="00F05547"/>
    <w:rsid w:val="00F05FEC"/>
    <w:rsid w:val="00F0600F"/>
    <w:rsid w:val="00F06323"/>
    <w:rsid w:val="00F06769"/>
    <w:rsid w:val="00F06D6D"/>
    <w:rsid w:val="00F100DC"/>
    <w:rsid w:val="00F107A0"/>
    <w:rsid w:val="00F1171D"/>
    <w:rsid w:val="00F11DAA"/>
    <w:rsid w:val="00F121DF"/>
    <w:rsid w:val="00F140F8"/>
    <w:rsid w:val="00F14A5D"/>
    <w:rsid w:val="00F17433"/>
    <w:rsid w:val="00F21823"/>
    <w:rsid w:val="00F21A14"/>
    <w:rsid w:val="00F21FC0"/>
    <w:rsid w:val="00F21FC2"/>
    <w:rsid w:val="00F22A72"/>
    <w:rsid w:val="00F22E04"/>
    <w:rsid w:val="00F23375"/>
    <w:rsid w:val="00F236D7"/>
    <w:rsid w:val="00F23FFE"/>
    <w:rsid w:val="00F24E0C"/>
    <w:rsid w:val="00F27A25"/>
    <w:rsid w:val="00F27E00"/>
    <w:rsid w:val="00F3109F"/>
    <w:rsid w:val="00F3297C"/>
    <w:rsid w:val="00F33BE5"/>
    <w:rsid w:val="00F3583B"/>
    <w:rsid w:val="00F37210"/>
    <w:rsid w:val="00F413FF"/>
    <w:rsid w:val="00F41571"/>
    <w:rsid w:val="00F41BD3"/>
    <w:rsid w:val="00F41D53"/>
    <w:rsid w:val="00F425A3"/>
    <w:rsid w:val="00F4283C"/>
    <w:rsid w:val="00F42ACA"/>
    <w:rsid w:val="00F436A5"/>
    <w:rsid w:val="00F44150"/>
    <w:rsid w:val="00F456E4"/>
    <w:rsid w:val="00F459EF"/>
    <w:rsid w:val="00F46BAE"/>
    <w:rsid w:val="00F477D1"/>
    <w:rsid w:val="00F47EBA"/>
    <w:rsid w:val="00F50C3F"/>
    <w:rsid w:val="00F50D09"/>
    <w:rsid w:val="00F514A4"/>
    <w:rsid w:val="00F5265A"/>
    <w:rsid w:val="00F530DD"/>
    <w:rsid w:val="00F54490"/>
    <w:rsid w:val="00F5658B"/>
    <w:rsid w:val="00F56B42"/>
    <w:rsid w:val="00F57972"/>
    <w:rsid w:val="00F57AD4"/>
    <w:rsid w:val="00F57CC5"/>
    <w:rsid w:val="00F612AF"/>
    <w:rsid w:val="00F61392"/>
    <w:rsid w:val="00F63119"/>
    <w:rsid w:val="00F6324B"/>
    <w:rsid w:val="00F63BFC"/>
    <w:rsid w:val="00F64698"/>
    <w:rsid w:val="00F65E80"/>
    <w:rsid w:val="00F67E35"/>
    <w:rsid w:val="00F703A8"/>
    <w:rsid w:val="00F731D8"/>
    <w:rsid w:val="00F73CB8"/>
    <w:rsid w:val="00F74E4D"/>
    <w:rsid w:val="00F7500A"/>
    <w:rsid w:val="00F76F17"/>
    <w:rsid w:val="00F80172"/>
    <w:rsid w:val="00F81673"/>
    <w:rsid w:val="00F81F75"/>
    <w:rsid w:val="00F83445"/>
    <w:rsid w:val="00F84E32"/>
    <w:rsid w:val="00F864E6"/>
    <w:rsid w:val="00F91066"/>
    <w:rsid w:val="00F9225A"/>
    <w:rsid w:val="00F929C3"/>
    <w:rsid w:val="00F932EC"/>
    <w:rsid w:val="00F93369"/>
    <w:rsid w:val="00F93632"/>
    <w:rsid w:val="00F93AAB"/>
    <w:rsid w:val="00F94FAF"/>
    <w:rsid w:val="00F954B4"/>
    <w:rsid w:val="00F95883"/>
    <w:rsid w:val="00F96C7D"/>
    <w:rsid w:val="00F97A70"/>
    <w:rsid w:val="00FA0077"/>
    <w:rsid w:val="00FA0958"/>
    <w:rsid w:val="00FA222F"/>
    <w:rsid w:val="00FA2408"/>
    <w:rsid w:val="00FA3D84"/>
    <w:rsid w:val="00FA50AB"/>
    <w:rsid w:val="00FA5517"/>
    <w:rsid w:val="00FA68C1"/>
    <w:rsid w:val="00FB0B7B"/>
    <w:rsid w:val="00FB1226"/>
    <w:rsid w:val="00FB1254"/>
    <w:rsid w:val="00FB1394"/>
    <w:rsid w:val="00FB3070"/>
    <w:rsid w:val="00FB312B"/>
    <w:rsid w:val="00FB3E2A"/>
    <w:rsid w:val="00FB55ED"/>
    <w:rsid w:val="00FB7593"/>
    <w:rsid w:val="00FC19CC"/>
    <w:rsid w:val="00FC2D32"/>
    <w:rsid w:val="00FC3D99"/>
    <w:rsid w:val="00FC6D02"/>
    <w:rsid w:val="00FC6D62"/>
    <w:rsid w:val="00FC7B0C"/>
    <w:rsid w:val="00FD0409"/>
    <w:rsid w:val="00FD4182"/>
    <w:rsid w:val="00FD522A"/>
    <w:rsid w:val="00FD5F7C"/>
    <w:rsid w:val="00FD66A3"/>
    <w:rsid w:val="00FD74C7"/>
    <w:rsid w:val="00FE1175"/>
    <w:rsid w:val="00FE3619"/>
    <w:rsid w:val="00FE36EF"/>
    <w:rsid w:val="00FE4472"/>
    <w:rsid w:val="00FE4EEC"/>
    <w:rsid w:val="00FE51D8"/>
    <w:rsid w:val="00FE6452"/>
    <w:rsid w:val="00FE6A57"/>
    <w:rsid w:val="00FE70D1"/>
    <w:rsid w:val="00FF0F01"/>
    <w:rsid w:val="00FF12DD"/>
    <w:rsid w:val="00FF2ED1"/>
    <w:rsid w:val="00FF3772"/>
    <w:rsid w:val="00FF44DA"/>
    <w:rsid w:val="00FF47A5"/>
    <w:rsid w:val="00FF4B59"/>
    <w:rsid w:val="00FF547E"/>
    <w:rsid w:val="00FF591D"/>
    <w:rsid w:val="00FF5997"/>
    <w:rsid w:val="00FF5CF3"/>
    <w:rsid w:val="00FF6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D78920"/>
  <w14:defaultImageDpi w14:val="300"/>
  <w15:docId w15:val="{FDC5CFFE-9D57-B445-A099-9C845493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E90"/>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AC3"/>
    <w:pPr>
      <w:spacing w:after="200"/>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A23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3AC3"/>
    <w:pPr>
      <w:spacing w:before="100" w:beforeAutospacing="1" w:after="100" w:afterAutospacing="1"/>
    </w:pPr>
    <w:rPr>
      <w:rFonts w:eastAsiaTheme="minorEastAsia"/>
      <w:sz w:val="20"/>
      <w:szCs w:val="20"/>
      <w:lang w:eastAsia="en-US"/>
    </w:rPr>
  </w:style>
  <w:style w:type="character" w:styleId="Emphasis">
    <w:name w:val="Emphasis"/>
    <w:basedOn w:val="DefaultParagraphFont"/>
    <w:uiPriority w:val="20"/>
    <w:qFormat/>
    <w:rsid w:val="00D0366E"/>
    <w:rPr>
      <w:i/>
      <w:iCs/>
    </w:rPr>
  </w:style>
  <w:style w:type="character" w:customStyle="1" w:styleId="apple-converted-space">
    <w:name w:val="apple-converted-space"/>
    <w:basedOn w:val="DefaultParagraphFont"/>
    <w:rsid w:val="00D0366E"/>
  </w:style>
  <w:style w:type="paragraph" w:styleId="FootnoteText">
    <w:name w:val="footnote text"/>
    <w:basedOn w:val="Normal"/>
    <w:link w:val="FootnoteTextChar"/>
    <w:uiPriority w:val="99"/>
    <w:unhideWhenUsed/>
    <w:rsid w:val="00167176"/>
    <w:rPr>
      <w:rFonts w:asciiTheme="minorHAnsi" w:eastAsiaTheme="minorEastAsia" w:hAnsiTheme="minorHAnsi" w:cstheme="minorBidi"/>
      <w:lang w:val="en-US" w:eastAsia="en-US"/>
    </w:rPr>
  </w:style>
  <w:style w:type="character" w:customStyle="1" w:styleId="FootnoteTextChar">
    <w:name w:val="Footnote Text Char"/>
    <w:basedOn w:val="DefaultParagraphFont"/>
    <w:link w:val="FootnoteText"/>
    <w:uiPriority w:val="99"/>
    <w:rsid w:val="00167176"/>
  </w:style>
  <w:style w:type="character" w:styleId="FootnoteReference">
    <w:name w:val="footnote reference"/>
    <w:basedOn w:val="DefaultParagraphFont"/>
    <w:unhideWhenUsed/>
    <w:rsid w:val="00167176"/>
    <w:rPr>
      <w:vertAlign w:val="superscript"/>
    </w:rPr>
  </w:style>
  <w:style w:type="paragraph" w:customStyle="1" w:styleId="Default">
    <w:name w:val="Default"/>
    <w:rsid w:val="009A0B57"/>
    <w:pPr>
      <w:widowControl w:val="0"/>
      <w:autoSpaceDE w:val="0"/>
      <w:autoSpaceDN w:val="0"/>
      <w:adjustRightInd w:val="0"/>
    </w:pPr>
    <w:rPr>
      <w:rFonts w:ascii="Times New Roman" w:hAnsi="Times New Roman" w:cs="Times New Roman"/>
      <w:color w:val="000000"/>
    </w:rPr>
  </w:style>
  <w:style w:type="paragraph" w:customStyle="1" w:styleId="EndNoteBibliographyTitle">
    <w:name w:val="EndNote Bibliography Title"/>
    <w:basedOn w:val="Normal"/>
    <w:rsid w:val="00BB35D8"/>
    <w:pPr>
      <w:jc w:val="center"/>
    </w:pPr>
    <w:rPr>
      <w:rFonts w:eastAsiaTheme="minorEastAsia"/>
      <w:lang w:val="en-US" w:eastAsia="en-US"/>
    </w:rPr>
  </w:style>
  <w:style w:type="paragraph" w:customStyle="1" w:styleId="EndNoteBibliography">
    <w:name w:val="EndNote Bibliography"/>
    <w:basedOn w:val="Normal"/>
    <w:rsid w:val="00BB35D8"/>
    <w:rPr>
      <w:rFonts w:eastAsiaTheme="minorEastAsia"/>
      <w:lang w:val="en-US" w:eastAsia="en-US"/>
    </w:rPr>
  </w:style>
  <w:style w:type="character" w:styleId="Hyperlink">
    <w:name w:val="Hyperlink"/>
    <w:basedOn w:val="DefaultParagraphFont"/>
    <w:uiPriority w:val="99"/>
    <w:unhideWhenUsed/>
    <w:rsid w:val="00CD64C2"/>
    <w:rPr>
      <w:color w:val="0000FF" w:themeColor="hyperlink"/>
      <w:u w:val="single"/>
    </w:rPr>
  </w:style>
  <w:style w:type="paragraph" w:styleId="BalloonText">
    <w:name w:val="Balloon Text"/>
    <w:basedOn w:val="Normal"/>
    <w:link w:val="BalloonTextChar"/>
    <w:uiPriority w:val="99"/>
    <w:semiHidden/>
    <w:unhideWhenUsed/>
    <w:rsid w:val="002C04AC"/>
    <w:rPr>
      <w:rFonts w:ascii="Lucida Grande" w:eastAsiaTheme="minorEastAsia" w:hAnsi="Lucida Grande" w:cs="Lucida Grande"/>
      <w:sz w:val="18"/>
      <w:szCs w:val="18"/>
      <w:lang w:val="en-US" w:eastAsia="en-US"/>
    </w:rPr>
  </w:style>
  <w:style w:type="character" w:customStyle="1" w:styleId="BalloonTextChar">
    <w:name w:val="Balloon Text Char"/>
    <w:basedOn w:val="DefaultParagraphFont"/>
    <w:link w:val="BalloonText"/>
    <w:uiPriority w:val="99"/>
    <w:semiHidden/>
    <w:rsid w:val="002C04AC"/>
    <w:rPr>
      <w:rFonts w:ascii="Lucida Grande" w:hAnsi="Lucida Grande" w:cs="Lucida Grande"/>
      <w:sz w:val="18"/>
      <w:szCs w:val="18"/>
    </w:rPr>
  </w:style>
  <w:style w:type="character" w:styleId="CommentReference">
    <w:name w:val="annotation reference"/>
    <w:basedOn w:val="DefaultParagraphFont"/>
    <w:uiPriority w:val="99"/>
    <w:semiHidden/>
    <w:unhideWhenUsed/>
    <w:rsid w:val="002C04AC"/>
    <w:rPr>
      <w:sz w:val="18"/>
      <w:szCs w:val="18"/>
    </w:rPr>
  </w:style>
  <w:style w:type="paragraph" w:styleId="CommentText">
    <w:name w:val="annotation text"/>
    <w:basedOn w:val="Normal"/>
    <w:link w:val="CommentTextChar"/>
    <w:uiPriority w:val="99"/>
    <w:unhideWhenUsed/>
    <w:rsid w:val="002C04AC"/>
    <w:rPr>
      <w:rFonts w:asciiTheme="minorHAnsi" w:eastAsiaTheme="minorEastAsia" w:hAnsiTheme="minorHAnsi" w:cstheme="minorBidi"/>
      <w:lang w:val="en-US" w:eastAsia="en-US"/>
    </w:rPr>
  </w:style>
  <w:style w:type="character" w:customStyle="1" w:styleId="CommentTextChar">
    <w:name w:val="Comment Text Char"/>
    <w:basedOn w:val="DefaultParagraphFont"/>
    <w:link w:val="CommentText"/>
    <w:uiPriority w:val="99"/>
    <w:rsid w:val="002C04AC"/>
  </w:style>
  <w:style w:type="paragraph" w:styleId="CommentSubject">
    <w:name w:val="annotation subject"/>
    <w:basedOn w:val="CommentText"/>
    <w:next w:val="CommentText"/>
    <w:link w:val="CommentSubjectChar"/>
    <w:uiPriority w:val="99"/>
    <w:semiHidden/>
    <w:unhideWhenUsed/>
    <w:rsid w:val="002C04AC"/>
    <w:rPr>
      <w:b/>
      <w:bCs/>
      <w:sz w:val="20"/>
      <w:szCs w:val="20"/>
    </w:rPr>
  </w:style>
  <w:style w:type="character" w:customStyle="1" w:styleId="CommentSubjectChar">
    <w:name w:val="Comment Subject Char"/>
    <w:basedOn w:val="CommentTextChar"/>
    <w:link w:val="CommentSubject"/>
    <w:uiPriority w:val="99"/>
    <w:semiHidden/>
    <w:rsid w:val="002C04AC"/>
    <w:rPr>
      <w:b/>
      <w:bCs/>
      <w:sz w:val="20"/>
      <w:szCs w:val="20"/>
    </w:rPr>
  </w:style>
  <w:style w:type="paragraph" w:styleId="EndnoteText">
    <w:name w:val="endnote text"/>
    <w:aliases w:val="Char, Char"/>
    <w:basedOn w:val="Normal"/>
    <w:link w:val="EndnoteTextChar1"/>
    <w:uiPriority w:val="99"/>
    <w:rsid w:val="002C04AC"/>
    <w:pPr>
      <w:spacing w:line="252" w:lineRule="auto"/>
    </w:pPr>
    <w:rPr>
      <w:rFonts w:ascii="Arial" w:eastAsia="Cambria" w:hAnsi="Arial"/>
      <w:sz w:val="20"/>
      <w:szCs w:val="22"/>
      <w:lang w:val="en-US"/>
    </w:rPr>
  </w:style>
  <w:style w:type="character" w:customStyle="1" w:styleId="EndnoteTextChar">
    <w:name w:val="Endnote Text Char"/>
    <w:basedOn w:val="DefaultParagraphFont"/>
    <w:uiPriority w:val="99"/>
    <w:semiHidden/>
    <w:rsid w:val="002C04AC"/>
  </w:style>
  <w:style w:type="character" w:customStyle="1" w:styleId="EndnoteTextChar1">
    <w:name w:val="Endnote Text Char1"/>
    <w:aliases w:val="Char Char, Char Char"/>
    <w:basedOn w:val="DefaultParagraphFont"/>
    <w:link w:val="EndnoteText"/>
    <w:uiPriority w:val="99"/>
    <w:locked/>
    <w:rsid w:val="002C04AC"/>
    <w:rPr>
      <w:rFonts w:ascii="Arial" w:eastAsia="Cambria" w:hAnsi="Arial" w:cs="Times New Roman"/>
      <w:sz w:val="20"/>
      <w:szCs w:val="22"/>
      <w:lang w:eastAsia="en-GB"/>
    </w:rPr>
  </w:style>
  <w:style w:type="character" w:customStyle="1" w:styleId="A314">
    <w:name w:val="A3++14"/>
    <w:uiPriority w:val="99"/>
    <w:rsid w:val="00770F46"/>
    <w:rPr>
      <w:rFonts w:cs="Helvetica 55 Roman"/>
      <w:color w:val="000000"/>
      <w:sz w:val="19"/>
      <w:szCs w:val="19"/>
    </w:rPr>
  </w:style>
  <w:style w:type="paragraph" w:styleId="Header">
    <w:name w:val="header"/>
    <w:basedOn w:val="Normal"/>
    <w:link w:val="HeaderChar"/>
    <w:uiPriority w:val="99"/>
    <w:unhideWhenUsed/>
    <w:rsid w:val="00F6324B"/>
    <w:pPr>
      <w:tabs>
        <w:tab w:val="center" w:pos="4513"/>
        <w:tab w:val="right" w:pos="9026"/>
      </w:tabs>
      <w:spacing w:before="100"/>
    </w:pPr>
    <w:rPr>
      <w:rFonts w:asciiTheme="minorHAnsi" w:eastAsiaTheme="minorEastAsia" w:hAnsiTheme="minorHAnsi" w:cstheme="minorBidi"/>
      <w:sz w:val="22"/>
      <w:szCs w:val="20"/>
      <w:lang w:eastAsia="en-US"/>
    </w:rPr>
  </w:style>
  <w:style w:type="character" w:customStyle="1" w:styleId="HeaderChar">
    <w:name w:val="Header Char"/>
    <w:basedOn w:val="DefaultParagraphFont"/>
    <w:link w:val="Header"/>
    <w:uiPriority w:val="99"/>
    <w:rsid w:val="00F6324B"/>
    <w:rPr>
      <w:sz w:val="22"/>
      <w:szCs w:val="20"/>
      <w:lang w:val="en-GB"/>
    </w:rPr>
  </w:style>
  <w:style w:type="paragraph" w:styleId="Footer">
    <w:name w:val="footer"/>
    <w:basedOn w:val="Normal"/>
    <w:link w:val="FooterChar"/>
    <w:uiPriority w:val="99"/>
    <w:unhideWhenUsed/>
    <w:rsid w:val="00671E11"/>
    <w:pPr>
      <w:tabs>
        <w:tab w:val="center" w:pos="4320"/>
        <w:tab w:val="right" w:pos="8640"/>
      </w:tabs>
    </w:pPr>
    <w:rPr>
      <w:rFonts w:asciiTheme="minorHAnsi" w:eastAsiaTheme="minorEastAsia" w:hAnsiTheme="minorHAnsi" w:cstheme="minorBidi"/>
      <w:lang w:val="en-US" w:eastAsia="en-US"/>
    </w:rPr>
  </w:style>
  <w:style w:type="character" w:customStyle="1" w:styleId="FooterChar">
    <w:name w:val="Footer Char"/>
    <w:basedOn w:val="DefaultParagraphFont"/>
    <w:link w:val="Footer"/>
    <w:uiPriority w:val="99"/>
    <w:rsid w:val="00671E11"/>
  </w:style>
  <w:style w:type="character" w:styleId="PageNumber">
    <w:name w:val="page number"/>
    <w:basedOn w:val="DefaultParagraphFont"/>
    <w:uiPriority w:val="99"/>
    <w:semiHidden/>
    <w:unhideWhenUsed/>
    <w:rsid w:val="00671E11"/>
  </w:style>
  <w:style w:type="paragraph" w:styleId="Revision">
    <w:name w:val="Revision"/>
    <w:hidden/>
    <w:uiPriority w:val="99"/>
    <w:semiHidden/>
    <w:rsid w:val="00E43B90"/>
  </w:style>
  <w:style w:type="paragraph" w:customStyle="1" w:styleId="Body">
    <w:name w:val="Body"/>
    <w:rsid w:val="00B36188"/>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m8261647620884550400gmail-msocommenttext">
    <w:name w:val="m_8261647620884550400gmail-msocommenttext"/>
    <w:basedOn w:val="Normal"/>
    <w:rsid w:val="00153E51"/>
    <w:pPr>
      <w:spacing w:before="100" w:beforeAutospacing="1" w:after="100" w:afterAutospacing="1"/>
    </w:pPr>
    <w:rPr>
      <w:rFonts w:eastAsiaTheme="minorEastAsia"/>
      <w:sz w:val="20"/>
      <w:szCs w:val="20"/>
      <w:lang w:eastAsia="en-US"/>
    </w:rPr>
  </w:style>
  <w:style w:type="character" w:styleId="UnresolvedMention">
    <w:name w:val="Unresolved Mention"/>
    <w:basedOn w:val="DefaultParagraphFont"/>
    <w:uiPriority w:val="99"/>
    <w:semiHidden/>
    <w:unhideWhenUsed/>
    <w:rsid w:val="00BB13F3"/>
    <w:rPr>
      <w:color w:val="605E5C"/>
      <w:shd w:val="clear" w:color="auto" w:fill="E1DFDD"/>
    </w:rPr>
  </w:style>
  <w:style w:type="character" w:styleId="LineNumber">
    <w:name w:val="line number"/>
    <w:basedOn w:val="DefaultParagraphFont"/>
    <w:uiPriority w:val="99"/>
    <w:semiHidden/>
    <w:unhideWhenUsed/>
    <w:rsid w:val="00963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79865">
      <w:bodyDiv w:val="1"/>
      <w:marLeft w:val="0"/>
      <w:marRight w:val="0"/>
      <w:marTop w:val="0"/>
      <w:marBottom w:val="0"/>
      <w:divBdr>
        <w:top w:val="none" w:sz="0" w:space="0" w:color="auto"/>
        <w:left w:val="none" w:sz="0" w:space="0" w:color="auto"/>
        <w:bottom w:val="none" w:sz="0" w:space="0" w:color="auto"/>
        <w:right w:val="none" w:sz="0" w:space="0" w:color="auto"/>
      </w:divBdr>
    </w:div>
    <w:div w:id="221599137">
      <w:bodyDiv w:val="1"/>
      <w:marLeft w:val="0"/>
      <w:marRight w:val="0"/>
      <w:marTop w:val="0"/>
      <w:marBottom w:val="0"/>
      <w:divBdr>
        <w:top w:val="none" w:sz="0" w:space="0" w:color="auto"/>
        <w:left w:val="none" w:sz="0" w:space="0" w:color="auto"/>
        <w:bottom w:val="none" w:sz="0" w:space="0" w:color="auto"/>
        <w:right w:val="none" w:sz="0" w:space="0" w:color="auto"/>
      </w:divBdr>
    </w:div>
    <w:div w:id="281233967">
      <w:bodyDiv w:val="1"/>
      <w:marLeft w:val="0"/>
      <w:marRight w:val="0"/>
      <w:marTop w:val="0"/>
      <w:marBottom w:val="0"/>
      <w:divBdr>
        <w:top w:val="none" w:sz="0" w:space="0" w:color="auto"/>
        <w:left w:val="none" w:sz="0" w:space="0" w:color="auto"/>
        <w:bottom w:val="none" w:sz="0" w:space="0" w:color="auto"/>
        <w:right w:val="none" w:sz="0" w:space="0" w:color="auto"/>
      </w:divBdr>
    </w:div>
    <w:div w:id="298609455">
      <w:bodyDiv w:val="1"/>
      <w:marLeft w:val="0"/>
      <w:marRight w:val="0"/>
      <w:marTop w:val="0"/>
      <w:marBottom w:val="0"/>
      <w:divBdr>
        <w:top w:val="none" w:sz="0" w:space="0" w:color="auto"/>
        <w:left w:val="none" w:sz="0" w:space="0" w:color="auto"/>
        <w:bottom w:val="none" w:sz="0" w:space="0" w:color="auto"/>
        <w:right w:val="none" w:sz="0" w:space="0" w:color="auto"/>
      </w:divBdr>
      <w:divsChild>
        <w:div w:id="716318433">
          <w:marLeft w:val="0"/>
          <w:marRight w:val="0"/>
          <w:marTop w:val="0"/>
          <w:marBottom w:val="0"/>
          <w:divBdr>
            <w:top w:val="none" w:sz="0" w:space="0" w:color="auto"/>
            <w:left w:val="none" w:sz="0" w:space="0" w:color="auto"/>
            <w:bottom w:val="none" w:sz="0" w:space="0" w:color="auto"/>
            <w:right w:val="none" w:sz="0" w:space="0" w:color="auto"/>
          </w:divBdr>
          <w:divsChild>
            <w:div w:id="14814957">
              <w:marLeft w:val="0"/>
              <w:marRight w:val="0"/>
              <w:marTop w:val="0"/>
              <w:marBottom w:val="0"/>
              <w:divBdr>
                <w:top w:val="none" w:sz="0" w:space="0" w:color="auto"/>
                <w:left w:val="none" w:sz="0" w:space="0" w:color="auto"/>
                <w:bottom w:val="none" w:sz="0" w:space="0" w:color="auto"/>
                <w:right w:val="none" w:sz="0" w:space="0" w:color="auto"/>
              </w:divBdr>
              <w:divsChild>
                <w:div w:id="786778177">
                  <w:marLeft w:val="0"/>
                  <w:marRight w:val="0"/>
                  <w:marTop w:val="0"/>
                  <w:marBottom w:val="0"/>
                  <w:divBdr>
                    <w:top w:val="none" w:sz="0" w:space="0" w:color="auto"/>
                    <w:left w:val="none" w:sz="0" w:space="0" w:color="auto"/>
                    <w:bottom w:val="none" w:sz="0" w:space="0" w:color="auto"/>
                    <w:right w:val="none" w:sz="0" w:space="0" w:color="auto"/>
                  </w:divBdr>
                  <w:divsChild>
                    <w:div w:id="302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356333">
      <w:bodyDiv w:val="1"/>
      <w:marLeft w:val="0"/>
      <w:marRight w:val="0"/>
      <w:marTop w:val="0"/>
      <w:marBottom w:val="0"/>
      <w:divBdr>
        <w:top w:val="none" w:sz="0" w:space="0" w:color="auto"/>
        <w:left w:val="none" w:sz="0" w:space="0" w:color="auto"/>
        <w:bottom w:val="none" w:sz="0" w:space="0" w:color="auto"/>
        <w:right w:val="none" w:sz="0" w:space="0" w:color="auto"/>
      </w:divBdr>
      <w:divsChild>
        <w:div w:id="200946762">
          <w:marLeft w:val="0"/>
          <w:marRight w:val="0"/>
          <w:marTop w:val="0"/>
          <w:marBottom w:val="0"/>
          <w:divBdr>
            <w:top w:val="none" w:sz="0" w:space="0" w:color="auto"/>
            <w:left w:val="none" w:sz="0" w:space="0" w:color="auto"/>
            <w:bottom w:val="none" w:sz="0" w:space="0" w:color="auto"/>
            <w:right w:val="none" w:sz="0" w:space="0" w:color="auto"/>
          </w:divBdr>
          <w:divsChild>
            <w:div w:id="1126660201">
              <w:marLeft w:val="0"/>
              <w:marRight w:val="0"/>
              <w:marTop w:val="0"/>
              <w:marBottom w:val="0"/>
              <w:divBdr>
                <w:top w:val="none" w:sz="0" w:space="0" w:color="auto"/>
                <w:left w:val="none" w:sz="0" w:space="0" w:color="auto"/>
                <w:bottom w:val="none" w:sz="0" w:space="0" w:color="auto"/>
                <w:right w:val="none" w:sz="0" w:space="0" w:color="auto"/>
              </w:divBdr>
              <w:divsChild>
                <w:div w:id="2124381224">
                  <w:marLeft w:val="0"/>
                  <w:marRight w:val="0"/>
                  <w:marTop w:val="0"/>
                  <w:marBottom w:val="0"/>
                  <w:divBdr>
                    <w:top w:val="none" w:sz="0" w:space="0" w:color="auto"/>
                    <w:left w:val="none" w:sz="0" w:space="0" w:color="auto"/>
                    <w:bottom w:val="none" w:sz="0" w:space="0" w:color="auto"/>
                    <w:right w:val="none" w:sz="0" w:space="0" w:color="auto"/>
                  </w:divBdr>
                  <w:divsChild>
                    <w:div w:id="7901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196900">
      <w:bodyDiv w:val="1"/>
      <w:marLeft w:val="0"/>
      <w:marRight w:val="0"/>
      <w:marTop w:val="0"/>
      <w:marBottom w:val="0"/>
      <w:divBdr>
        <w:top w:val="none" w:sz="0" w:space="0" w:color="auto"/>
        <w:left w:val="none" w:sz="0" w:space="0" w:color="auto"/>
        <w:bottom w:val="none" w:sz="0" w:space="0" w:color="auto"/>
        <w:right w:val="none" w:sz="0" w:space="0" w:color="auto"/>
      </w:divBdr>
      <w:divsChild>
        <w:div w:id="2119059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414652">
              <w:marLeft w:val="0"/>
              <w:marRight w:val="0"/>
              <w:marTop w:val="0"/>
              <w:marBottom w:val="0"/>
              <w:divBdr>
                <w:top w:val="none" w:sz="0" w:space="0" w:color="auto"/>
                <w:left w:val="none" w:sz="0" w:space="0" w:color="auto"/>
                <w:bottom w:val="none" w:sz="0" w:space="0" w:color="auto"/>
                <w:right w:val="none" w:sz="0" w:space="0" w:color="auto"/>
              </w:divBdr>
              <w:divsChild>
                <w:div w:id="882061002">
                  <w:marLeft w:val="0"/>
                  <w:marRight w:val="0"/>
                  <w:marTop w:val="0"/>
                  <w:marBottom w:val="0"/>
                  <w:divBdr>
                    <w:top w:val="none" w:sz="0" w:space="0" w:color="auto"/>
                    <w:left w:val="none" w:sz="0" w:space="0" w:color="auto"/>
                    <w:bottom w:val="none" w:sz="0" w:space="0" w:color="auto"/>
                    <w:right w:val="none" w:sz="0" w:space="0" w:color="auto"/>
                  </w:divBdr>
                  <w:divsChild>
                    <w:div w:id="18075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01075">
      <w:bodyDiv w:val="1"/>
      <w:marLeft w:val="0"/>
      <w:marRight w:val="0"/>
      <w:marTop w:val="0"/>
      <w:marBottom w:val="0"/>
      <w:divBdr>
        <w:top w:val="none" w:sz="0" w:space="0" w:color="auto"/>
        <w:left w:val="none" w:sz="0" w:space="0" w:color="auto"/>
        <w:bottom w:val="none" w:sz="0" w:space="0" w:color="auto"/>
        <w:right w:val="none" w:sz="0" w:space="0" w:color="auto"/>
      </w:divBdr>
    </w:div>
    <w:div w:id="550116568">
      <w:bodyDiv w:val="1"/>
      <w:marLeft w:val="0"/>
      <w:marRight w:val="0"/>
      <w:marTop w:val="0"/>
      <w:marBottom w:val="0"/>
      <w:divBdr>
        <w:top w:val="none" w:sz="0" w:space="0" w:color="auto"/>
        <w:left w:val="none" w:sz="0" w:space="0" w:color="auto"/>
        <w:bottom w:val="none" w:sz="0" w:space="0" w:color="auto"/>
        <w:right w:val="none" w:sz="0" w:space="0" w:color="auto"/>
      </w:divBdr>
    </w:div>
    <w:div w:id="694041674">
      <w:bodyDiv w:val="1"/>
      <w:marLeft w:val="0"/>
      <w:marRight w:val="0"/>
      <w:marTop w:val="0"/>
      <w:marBottom w:val="0"/>
      <w:divBdr>
        <w:top w:val="none" w:sz="0" w:space="0" w:color="auto"/>
        <w:left w:val="none" w:sz="0" w:space="0" w:color="auto"/>
        <w:bottom w:val="none" w:sz="0" w:space="0" w:color="auto"/>
        <w:right w:val="none" w:sz="0" w:space="0" w:color="auto"/>
      </w:divBdr>
      <w:divsChild>
        <w:div w:id="904295533">
          <w:marLeft w:val="0"/>
          <w:marRight w:val="0"/>
          <w:marTop w:val="0"/>
          <w:marBottom w:val="0"/>
          <w:divBdr>
            <w:top w:val="none" w:sz="0" w:space="0" w:color="auto"/>
            <w:left w:val="none" w:sz="0" w:space="0" w:color="auto"/>
            <w:bottom w:val="none" w:sz="0" w:space="0" w:color="auto"/>
            <w:right w:val="none" w:sz="0" w:space="0" w:color="auto"/>
          </w:divBdr>
          <w:divsChild>
            <w:div w:id="1651330155">
              <w:marLeft w:val="0"/>
              <w:marRight w:val="0"/>
              <w:marTop w:val="0"/>
              <w:marBottom w:val="0"/>
              <w:divBdr>
                <w:top w:val="none" w:sz="0" w:space="0" w:color="auto"/>
                <w:left w:val="none" w:sz="0" w:space="0" w:color="auto"/>
                <w:bottom w:val="none" w:sz="0" w:space="0" w:color="auto"/>
                <w:right w:val="none" w:sz="0" w:space="0" w:color="auto"/>
              </w:divBdr>
              <w:divsChild>
                <w:div w:id="559556039">
                  <w:marLeft w:val="0"/>
                  <w:marRight w:val="0"/>
                  <w:marTop w:val="0"/>
                  <w:marBottom w:val="0"/>
                  <w:divBdr>
                    <w:top w:val="none" w:sz="0" w:space="0" w:color="auto"/>
                    <w:left w:val="none" w:sz="0" w:space="0" w:color="auto"/>
                    <w:bottom w:val="none" w:sz="0" w:space="0" w:color="auto"/>
                    <w:right w:val="none" w:sz="0" w:space="0" w:color="auto"/>
                  </w:divBdr>
                  <w:divsChild>
                    <w:div w:id="1388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3263">
      <w:bodyDiv w:val="1"/>
      <w:marLeft w:val="0"/>
      <w:marRight w:val="0"/>
      <w:marTop w:val="0"/>
      <w:marBottom w:val="0"/>
      <w:divBdr>
        <w:top w:val="none" w:sz="0" w:space="0" w:color="auto"/>
        <w:left w:val="none" w:sz="0" w:space="0" w:color="auto"/>
        <w:bottom w:val="none" w:sz="0" w:space="0" w:color="auto"/>
        <w:right w:val="none" w:sz="0" w:space="0" w:color="auto"/>
      </w:divBdr>
    </w:div>
    <w:div w:id="899483805">
      <w:bodyDiv w:val="1"/>
      <w:marLeft w:val="0"/>
      <w:marRight w:val="0"/>
      <w:marTop w:val="0"/>
      <w:marBottom w:val="0"/>
      <w:divBdr>
        <w:top w:val="none" w:sz="0" w:space="0" w:color="auto"/>
        <w:left w:val="none" w:sz="0" w:space="0" w:color="auto"/>
        <w:bottom w:val="none" w:sz="0" w:space="0" w:color="auto"/>
        <w:right w:val="none" w:sz="0" w:space="0" w:color="auto"/>
      </w:divBdr>
    </w:div>
    <w:div w:id="987637747">
      <w:bodyDiv w:val="1"/>
      <w:marLeft w:val="0"/>
      <w:marRight w:val="0"/>
      <w:marTop w:val="0"/>
      <w:marBottom w:val="0"/>
      <w:divBdr>
        <w:top w:val="none" w:sz="0" w:space="0" w:color="auto"/>
        <w:left w:val="none" w:sz="0" w:space="0" w:color="auto"/>
        <w:bottom w:val="none" w:sz="0" w:space="0" w:color="auto"/>
        <w:right w:val="none" w:sz="0" w:space="0" w:color="auto"/>
      </w:divBdr>
      <w:divsChild>
        <w:div w:id="1992783548">
          <w:marLeft w:val="0"/>
          <w:marRight w:val="0"/>
          <w:marTop w:val="0"/>
          <w:marBottom w:val="0"/>
          <w:divBdr>
            <w:top w:val="none" w:sz="0" w:space="0" w:color="auto"/>
            <w:left w:val="none" w:sz="0" w:space="0" w:color="auto"/>
            <w:bottom w:val="none" w:sz="0" w:space="0" w:color="auto"/>
            <w:right w:val="none" w:sz="0" w:space="0" w:color="auto"/>
          </w:divBdr>
          <w:divsChild>
            <w:div w:id="867916132">
              <w:marLeft w:val="0"/>
              <w:marRight w:val="0"/>
              <w:marTop w:val="0"/>
              <w:marBottom w:val="0"/>
              <w:divBdr>
                <w:top w:val="none" w:sz="0" w:space="0" w:color="auto"/>
                <w:left w:val="none" w:sz="0" w:space="0" w:color="auto"/>
                <w:bottom w:val="none" w:sz="0" w:space="0" w:color="auto"/>
                <w:right w:val="none" w:sz="0" w:space="0" w:color="auto"/>
              </w:divBdr>
              <w:divsChild>
                <w:div w:id="14898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721727">
      <w:bodyDiv w:val="1"/>
      <w:marLeft w:val="0"/>
      <w:marRight w:val="0"/>
      <w:marTop w:val="0"/>
      <w:marBottom w:val="0"/>
      <w:divBdr>
        <w:top w:val="none" w:sz="0" w:space="0" w:color="auto"/>
        <w:left w:val="none" w:sz="0" w:space="0" w:color="auto"/>
        <w:bottom w:val="none" w:sz="0" w:space="0" w:color="auto"/>
        <w:right w:val="none" w:sz="0" w:space="0" w:color="auto"/>
      </w:divBdr>
    </w:div>
    <w:div w:id="1063913881">
      <w:bodyDiv w:val="1"/>
      <w:marLeft w:val="0"/>
      <w:marRight w:val="0"/>
      <w:marTop w:val="0"/>
      <w:marBottom w:val="0"/>
      <w:divBdr>
        <w:top w:val="none" w:sz="0" w:space="0" w:color="auto"/>
        <w:left w:val="none" w:sz="0" w:space="0" w:color="auto"/>
        <w:bottom w:val="none" w:sz="0" w:space="0" w:color="auto"/>
        <w:right w:val="none" w:sz="0" w:space="0" w:color="auto"/>
      </w:divBdr>
    </w:div>
    <w:div w:id="1116489981">
      <w:bodyDiv w:val="1"/>
      <w:marLeft w:val="0"/>
      <w:marRight w:val="0"/>
      <w:marTop w:val="0"/>
      <w:marBottom w:val="0"/>
      <w:divBdr>
        <w:top w:val="none" w:sz="0" w:space="0" w:color="auto"/>
        <w:left w:val="none" w:sz="0" w:space="0" w:color="auto"/>
        <w:bottom w:val="none" w:sz="0" w:space="0" w:color="auto"/>
        <w:right w:val="none" w:sz="0" w:space="0" w:color="auto"/>
      </w:divBdr>
    </w:div>
    <w:div w:id="1116631308">
      <w:bodyDiv w:val="1"/>
      <w:marLeft w:val="0"/>
      <w:marRight w:val="0"/>
      <w:marTop w:val="0"/>
      <w:marBottom w:val="0"/>
      <w:divBdr>
        <w:top w:val="none" w:sz="0" w:space="0" w:color="auto"/>
        <w:left w:val="none" w:sz="0" w:space="0" w:color="auto"/>
        <w:bottom w:val="none" w:sz="0" w:space="0" w:color="auto"/>
        <w:right w:val="none" w:sz="0" w:space="0" w:color="auto"/>
      </w:divBdr>
    </w:div>
    <w:div w:id="1126703421">
      <w:bodyDiv w:val="1"/>
      <w:marLeft w:val="0"/>
      <w:marRight w:val="0"/>
      <w:marTop w:val="0"/>
      <w:marBottom w:val="0"/>
      <w:divBdr>
        <w:top w:val="none" w:sz="0" w:space="0" w:color="auto"/>
        <w:left w:val="none" w:sz="0" w:space="0" w:color="auto"/>
        <w:bottom w:val="none" w:sz="0" w:space="0" w:color="auto"/>
        <w:right w:val="none" w:sz="0" w:space="0" w:color="auto"/>
      </w:divBdr>
    </w:div>
    <w:div w:id="1224175729">
      <w:bodyDiv w:val="1"/>
      <w:marLeft w:val="0"/>
      <w:marRight w:val="0"/>
      <w:marTop w:val="0"/>
      <w:marBottom w:val="0"/>
      <w:divBdr>
        <w:top w:val="none" w:sz="0" w:space="0" w:color="auto"/>
        <w:left w:val="none" w:sz="0" w:space="0" w:color="auto"/>
        <w:bottom w:val="none" w:sz="0" w:space="0" w:color="auto"/>
        <w:right w:val="none" w:sz="0" w:space="0" w:color="auto"/>
      </w:divBdr>
      <w:divsChild>
        <w:div w:id="1413770613">
          <w:marLeft w:val="0"/>
          <w:marRight w:val="0"/>
          <w:marTop w:val="0"/>
          <w:marBottom w:val="0"/>
          <w:divBdr>
            <w:top w:val="none" w:sz="0" w:space="0" w:color="auto"/>
            <w:left w:val="none" w:sz="0" w:space="0" w:color="auto"/>
            <w:bottom w:val="none" w:sz="0" w:space="0" w:color="auto"/>
            <w:right w:val="none" w:sz="0" w:space="0" w:color="auto"/>
          </w:divBdr>
          <w:divsChild>
            <w:div w:id="1197700113">
              <w:marLeft w:val="0"/>
              <w:marRight w:val="0"/>
              <w:marTop w:val="0"/>
              <w:marBottom w:val="0"/>
              <w:divBdr>
                <w:top w:val="none" w:sz="0" w:space="0" w:color="auto"/>
                <w:left w:val="none" w:sz="0" w:space="0" w:color="auto"/>
                <w:bottom w:val="none" w:sz="0" w:space="0" w:color="auto"/>
                <w:right w:val="none" w:sz="0" w:space="0" w:color="auto"/>
              </w:divBdr>
              <w:divsChild>
                <w:div w:id="2124302853">
                  <w:marLeft w:val="0"/>
                  <w:marRight w:val="0"/>
                  <w:marTop w:val="0"/>
                  <w:marBottom w:val="0"/>
                  <w:divBdr>
                    <w:top w:val="none" w:sz="0" w:space="0" w:color="auto"/>
                    <w:left w:val="none" w:sz="0" w:space="0" w:color="auto"/>
                    <w:bottom w:val="none" w:sz="0" w:space="0" w:color="auto"/>
                    <w:right w:val="none" w:sz="0" w:space="0" w:color="auto"/>
                  </w:divBdr>
                  <w:divsChild>
                    <w:div w:id="15287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057712">
      <w:bodyDiv w:val="1"/>
      <w:marLeft w:val="0"/>
      <w:marRight w:val="0"/>
      <w:marTop w:val="0"/>
      <w:marBottom w:val="0"/>
      <w:divBdr>
        <w:top w:val="none" w:sz="0" w:space="0" w:color="auto"/>
        <w:left w:val="none" w:sz="0" w:space="0" w:color="auto"/>
        <w:bottom w:val="none" w:sz="0" w:space="0" w:color="auto"/>
        <w:right w:val="none" w:sz="0" w:space="0" w:color="auto"/>
      </w:divBdr>
    </w:div>
    <w:div w:id="1271429996">
      <w:bodyDiv w:val="1"/>
      <w:marLeft w:val="0"/>
      <w:marRight w:val="0"/>
      <w:marTop w:val="0"/>
      <w:marBottom w:val="0"/>
      <w:divBdr>
        <w:top w:val="none" w:sz="0" w:space="0" w:color="auto"/>
        <w:left w:val="none" w:sz="0" w:space="0" w:color="auto"/>
        <w:bottom w:val="none" w:sz="0" w:space="0" w:color="auto"/>
        <w:right w:val="none" w:sz="0" w:space="0" w:color="auto"/>
      </w:divBdr>
    </w:div>
    <w:div w:id="1298798856">
      <w:bodyDiv w:val="1"/>
      <w:marLeft w:val="0"/>
      <w:marRight w:val="0"/>
      <w:marTop w:val="0"/>
      <w:marBottom w:val="0"/>
      <w:divBdr>
        <w:top w:val="none" w:sz="0" w:space="0" w:color="auto"/>
        <w:left w:val="none" w:sz="0" w:space="0" w:color="auto"/>
        <w:bottom w:val="none" w:sz="0" w:space="0" w:color="auto"/>
        <w:right w:val="none" w:sz="0" w:space="0" w:color="auto"/>
      </w:divBdr>
    </w:div>
    <w:div w:id="1318076392">
      <w:bodyDiv w:val="1"/>
      <w:marLeft w:val="0"/>
      <w:marRight w:val="0"/>
      <w:marTop w:val="0"/>
      <w:marBottom w:val="0"/>
      <w:divBdr>
        <w:top w:val="none" w:sz="0" w:space="0" w:color="auto"/>
        <w:left w:val="none" w:sz="0" w:space="0" w:color="auto"/>
        <w:bottom w:val="none" w:sz="0" w:space="0" w:color="auto"/>
        <w:right w:val="none" w:sz="0" w:space="0" w:color="auto"/>
      </w:divBdr>
    </w:div>
    <w:div w:id="1352147787">
      <w:bodyDiv w:val="1"/>
      <w:marLeft w:val="0"/>
      <w:marRight w:val="0"/>
      <w:marTop w:val="0"/>
      <w:marBottom w:val="0"/>
      <w:divBdr>
        <w:top w:val="none" w:sz="0" w:space="0" w:color="auto"/>
        <w:left w:val="none" w:sz="0" w:space="0" w:color="auto"/>
        <w:bottom w:val="none" w:sz="0" w:space="0" w:color="auto"/>
        <w:right w:val="none" w:sz="0" w:space="0" w:color="auto"/>
      </w:divBdr>
      <w:divsChild>
        <w:div w:id="1635066568">
          <w:marLeft w:val="547"/>
          <w:marRight w:val="0"/>
          <w:marTop w:val="77"/>
          <w:marBottom w:val="0"/>
          <w:divBdr>
            <w:top w:val="none" w:sz="0" w:space="0" w:color="auto"/>
            <w:left w:val="none" w:sz="0" w:space="0" w:color="auto"/>
            <w:bottom w:val="none" w:sz="0" w:space="0" w:color="auto"/>
            <w:right w:val="none" w:sz="0" w:space="0" w:color="auto"/>
          </w:divBdr>
        </w:div>
        <w:div w:id="1394426385">
          <w:marLeft w:val="1166"/>
          <w:marRight w:val="0"/>
          <w:marTop w:val="77"/>
          <w:marBottom w:val="0"/>
          <w:divBdr>
            <w:top w:val="none" w:sz="0" w:space="0" w:color="auto"/>
            <w:left w:val="none" w:sz="0" w:space="0" w:color="auto"/>
            <w:bottom w:val="none" w:sz="0" w:space="0" w:color="auto"/>
            <w:right w:val="none" w:sz="0" w:space="0" w:color="auto"/>
          </w:divBdr>
        </w:div>
        <w:div w:id="309672288">
          <w:marLeft w:val="547"/>
          <w:marRight w:val="0"/>
          <w:marTop w:val="77"/>
          <w:marBottom w:val="0"/>
          <w:divBdr>
            <w:top w:val="none" w:sz="0" w:space="0" w:color="auto"/>
            <w:left w:val="none" w:sz="0" w:space="0" w:color="auto"/>
            <w:bottom w:val="none" w:sz="0" w:space="0" w:color="auto"/>
            <w:right w:val="none" w:sz="0" w:space="0" w:color="auto"/>
          </w:divBdr>
        </w:div>
        <w:div w:id="1692991686">
          <w:marLeft w:val="547"/>
          <w:marRight w:val="0"/>
          <w:marTop w:val="77"/>
          <w:marBottom w:val="0"/>
          <w:divBdr>
            <w:top w:val="none" w:sz="0" w:space="0" w:color="auto"/>
            <w:left w:val="none" w:sz="0" w:space="0" w:color="auto"/>
            <w:bottom w:val="none" w:sz="0" w:space="0" w:color="auto"/>
            <w:right w:val="none" w:sz="0" w:space="0" w:color="auto"/>
          </w:divBdr>
        </w:div>
        <w:div w:id="2010984921">
          <w:marLeft w:val="547"/>
          <w:marRight w:val="0"/>
          <w:marTop w:val="77"/>
          <w:marBottom w:val="0"/>
          <w:divBdr>
            <w:top w:val="none" w:sz="0" w:space="0" w:color="auto"/>
            <w:left w:val="none" w:sz="0" w:space="0" w:color="auto"/>
            <w:bottom w:val="none" w:sz="0" w:space="0" w:color="auto"/>
            <w:right w:val="none" w:sz="0" w:space="0" w:color="auto"/>
          </w:divBdr>
        </w:div>
        <w:div w:id="1651134881">
          <w:marLeft w:val="547"/>
          <w:marRight w:val="0"/>
          <w:marTop w:val="77"/>
          <w:marBottom w:val="0"/>
          <w:divBdr>
            <w:top w:val="none" w:sz="0" w:space="0" w:color="auto"/>
            <w:left w:val="none" w:sz="0" w:space="0" w:color="auto"/>
            <w:bottom w:val="none" w:sz="0" w:space="0" w:color="auto"/>
            <w:right w:val="none" w:sz="0" w:space="0" w:color="auto"/>
          </w:divBdr>
        </w:div>
        <w:div w:id="1633755717">
          <w:marLeft w:val="1166"/>
          <w:marRight w:val="0"/>
          <w:marTop w:val="77"/>
          <w:marBottom w:val="0"/>
          <w:divBdr>
            <w:top w:val="none" w:sz="0" w:space="0" w:color="auto"/>
            <w:left w:val="none" w:sz="0" w:space="0" w:color="auto"/>
            <w:bottom w:val="none" w:sz="0" w:space="0" w:color="auto"/>
            <w:right w:val="none" w:sz="0" w:space="0" w:color="auto"/>
          </w:divBdr>
        </w:div>
        <w:div w:id="2076314924">
          <w:marLeft w:val="547"/>
          <w:marRight w:val="0"/>
          <w:marTop w:val="77"/>
          <w:marBottom w:val="0"/>
          <w:divBdr>
            <w:top w:val="none" w:sz="0" w:space="0" w:color="auto"/>
            <w:left w:val="none" w:sz="0" w:space="0" w:color="auto"/>
            <w:bottom w:val="none" w:sz="0" w:space="0" w:color="auto"/>
            <w:right w:val="none" w:sz="0" w:space="0" w:color="auto"/>
          </w:divBdr>
        </w:div>
      </w:divsChild>
    </w:div>
    <w:div w:id="1352805389">
      <w:bodyDiv w:val="1"/>
      <w:marLeft w:val="0"/>
      <w:marRight w:val="0"/>
      <w:marTop w:val="0"/>
      <w:marBottom w:val="0"/>
      <w:divBdr>
        <w:top w:val="none" w:sz="0" w:space="0" w:color="auto"/>
        <w:left w:val="none" w:sz="0" w:space="0" w:color="auto"/>
        <w:bottom w:val="none" w:sz="0" w:space="0" w:color="auto"/>
        <w:right w:val="none" w:sz="0" w:space="0" w:color="auto"/>
      </w:divBdr>
    </w:div>
    <w:div w:id="1379478550">
      <w:bodyDiv w:val="1"/>
      <w:marLeft w:val="0"/>
      <w:marRight w:val="0"/>
      <w:marTop w:val="0"/>
      <w:marBottom w:val="0"/>
      <w:divBdr>
        <w:top w:val="none" w:sz="0" w:space="0" w:color="auto"/>
        <w:left w:val="none" w:sz="0" w:space="0" w:color="auto"/>
        <w:bottom w:val="none" w:sz="0" w:space="0" w:color="auto"/>
        <w:right w:val="none" w:sz="0" w:space="0" w:color="auto"/>
      </w:divBdr>
      <w:divsChild>
        <w:div w:id="412362360">
          <w:marLeft w:val="0"/>
          <w:marRight w:val="0"/>
          <w:marTop w:val="0"/>
          <w:marBottom w:val="0"/>
          <w:divBdr>
            <w:top w:val="none" w:sz="0" w:space="0" w:color="auto"/>
            <w:left w:val="none" w:sz="0" w:space="0" w:color="auto"/>
            <w:bottom w:val="none" w:sz="0" w:space="0" w:color="auto"/>
            <w:right w:val="none" w:sz="0" w:space="0" w:color="auto"/>
          </w:divBdr>
          <w:divsChild>
            <w:div w:id="1086002762">
              <w:marLeft w:val="0"/>
              <w:marRight w:val="0"/>
              <w:marTop w:val="0"/>
              <w:marBottom w:val="0"/>
              <w:divBdr>
                <w:top w:val="none" w:sz="0" w:space="0" w:color="auto"/>
                <w:left w:val="none" w:sz="0" w:space="0" w:color="auto"/>
                <w:bottom w:val="none" w:sz="0" w:space="0" w:color="auto"/>
                <w:right w:val="none" w:sz="0" w:space="0" w:color="auto"/>
              </w:divBdr>
              <w:divsChild>
                <w:div w:id="1640452343">
                  <w:marLeft w:val="0"/>
                  <w:marRight w:val="0"/>
                  <w:marTop w:val="0"/>
                  <w:marBottom w:val="0"/>
                  <w:divBdr>
                    <w:top w:val="none" w:sz="0" w:space="0" w:color="auto"/>
                    <w:left w:val="none" w:sz="0" w:space="0" w:color="auto"/>
                    <w:bottom w:val="none" w:sz="0" w:space="0" w:color="auto"/>
                    <w:right w:val="none" w:sz="0" w:space="0" w:color="auto"/>
                  </w:divBdr>
                  <w:divsChild>
                    <w:div w:id="1300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567738">
      <w:bodyDiv w:val="1"/>
      <w:marLeft w:val="0"/>
      <w:marRight w:val="0"/>
      <w:marTop w:val="0"/>
      <w:marBottom w:val="0"/>
      <w:divBdr>
        <w:top w:val="none" w:sz="0" w:space="0" w:color="auto"/>
        <w:left w:val="none" w:sz="0" w:space="0" w:color="auto"/>
        <w:bottom w:val="none" w:sz="0" w:space="0" w:color="auto"/>
        <w:right w:val="none" w:sz="0" w:space="0" w:color="auto"/>
      </w:divBdr>
      <w:divsChild>
        <w:div w:id="1266691407">
          <w:marLeft w:val="0"/>
          <w:marRight w:val="0"/>
          <w:marTop w:val="0"/>
          <w:marBottom w:val="0"/>
          <w:divBdr>
            <w:top w:val="none" w:sz="0" w:space="0" w:color="auto"/>
            <w:left w:val="none" w:sz="0" w:space="0" w:color="auto"/>
            <w:bottom w:val="none" w:sz="0" w:space="0" w:color="auto"/>
            <w:right w:val="none" w:sz="0" w:space="0" w:color="auto"/>
          </w:divBdr>
          <w:divsChild>
            <w:div w:id="515385539">
              <w:marLeft w:val="0"/>
              <w:marRight w:val="0"/>
              <w:marTop w:val="0"/>
              <w:marBottom w:val="0"/>
              <w:divBdr>
                <w:top w:val="none" w:sz="0" w:space="0" w:color="auto"/>
                <w:left w:val="none" w:sz="0" w:space="0" w:color="auto"/>
                <w:bottom w:val="none" w:sz="0" w:space="0" w:color="auto"/>
                <w:right w:val="none" w:sz="0" w:space="0" w:color="auto"/>
              </w:divBdr>
              <w:divsChild>
                <w:div w:id="257712976">
                  <w:marLeft w:val="0"/>
                  <w:marRight w:val="0"/>
                  <w:marTop w:val="0"/>
                  <w:marBottom w:val="0"/>
                  <w:divBdr>
                    <w:top w:val="none" w:sz="0" w:space="0" w:color="auto"/>
                    <w:left w:val="none" w:sz="0" w:space="0" w:color="auto"/>
                    <w:bottom w:val="none" w:sz="0" w:space="0" w:color="auto"/>
                    <w:right w:val="none" w:sz="0" w:space="0" w:color="auto"/>
                  </w:divBdr>
                  <w:divsChild>
                    <w:div w:id="2331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1052">
      <w:bodyDiv w:val="1"/>
      <w:marLeft w:val="0"/>
      <w:marRight w:val="0"/>
      <w:marTop w:val="0"/>
      <w:marBottom w:val="0"/>
      <w:divBdr>
        <w:top w:val="none" w:sz="0" w:space="0" w:color="auto"/>
        <w:left w:val="none" w:sz="0" w:space="0" w:color="auto"/>
        <w:bottom w:val="none" w:sz="0" w:space="0" w:color="auto"/>
        <w:right w:val="none" w:sz="0" w:space="0" w:color="auto"/>
      </w:divBdr>
    </w:div>
    <w:div w:id="1446538500">
      <w:bodyDiv w:val="1"/>
      <w:marLeft w:val="0"/>
      <w:marRight w:val="0"/>
      <w:marTop w:val="0"/>
      <w:marBottom w:val="0"/>
      <w:divBdr>
        <w:top w:val="none" w:sz="0" w:space="0" w:color="auto"/>
        <w:left w:val="none" w:sz="0" w:space="0" w:color="auto"/>
        <w:bottom w:val="none" w:sz="0" w:space="0" w:color="auto"/>
        <w:right w:val="none" w:sz="0" w:space="0" w:color="auto"/>
      </w:divBdr>
      <w:divsChild>
        <w:div w:id="37514108">
          <w:marLeft w:val="1166"/>
          <w:marRight w:val="0"/>
          <w:marTop w:val="96"/>
          <w:marBottom w:val="0"/>
          <w:divBdr>
            <w:top w:val="none" w:sz="0" w:space="0" w:color="auto"/>
            <w:left w:val="none" w:sz="0" w:space="0" w:color="auto"/>
            <w:bottom w:val="none" w:sz="0" w:space="0" w:color="auto"/>
            <w:right w:val="none" w:sz="0" w:space="0" w:color="auto"/>
          </w:divBdr>
        </w:div>
        <w:div w:id="1708722447">
          <w:marLeft w:val="1166"/>
          <w:marRight w:val="0"/>
          <w:marTop w:val="96"/>
          <w:marBottom w:val="0"/>
          <w:divBdr>
            <w:top w:val="none" w:sz="0" w:space="0" w:color="auto"/>
            <w:left w:val="none" w:sz="0" w:space="0" w:color="auto"/>
            <w:bottom w:val="none" w:sz="0" w:space="0" w:color="auto"/>
            <w:right w:val="none" w:sz="0" w:space="0" w:color="auto"/>
          </w:divBdr>
        </w:div>
        <w:div w:id="1692998288">
          <w:marLeft w:val="1166"/>
          <w:marRight w:val="0"/>
          <w:marTop w:val="96"/>
          <w:marBottom w:val="0"/>
          <w:divBdr>
            <w:top w:val="none" w:sz="0" w:space="0" w:color="auto"/>
            <w:left w:val="none" w:sz="0" w:space="0" w:color="auto"/>
            <w:bottom w:val="none" w:sz="0" w:space="0" w:color="auto"/>
            <w:right w:val="none" w:sz="0" w:space="0" w:color="auto"/>
          </w:divBdr>
        </w:div>
        <w:div w:id="523984298">
          <w:marLeft w:val="1166"/>
          <w:marRight w:val="0"/>
          <w:marTop w:val="96"/>
          <w:marBottom w:val="0"/>
          <w:divBdr>
            <w:top w:val="none" w:sz="0" w:space="0" w:color="auto"/>
            <w:left w:val="none" w:sz="0" w:space="0" w:color="auto"/>
            <w:bottom w:val="none" w:sz="0" w:space="0" w:color="auto"/>
            <w:right w:val="none" w:sz="0" w:space="0" w:color="auto"/>
          </w:divBdr>
        </w:div>
      </w:divsChild>
    </w:div>
    <w:div w:id="1477529892">
      <w:bodyDiv w:val="1"/>
      <w:marLeft w:val="0"/>
      <w:marRight w:val="0"/>
      <w:marTop w:val="0"/>
      <w:marBottom w:val="0"/>
      <w:divBdr>
        <w:top w:val="none" w:sz="0" w:space="0" w:color="auto"/>
        <w:left w:val="none" w:sz="0" w:space="0" w:color="auto"/>
        <w:bottom w:val="none" w:sz="0" w:space="0" w:color="auto"/>
        <w:right w:val="none" w:sz="0" w:space="0" w:color="auto"/>
      </w:divBdr>
      <w:divsChild>
        <w:div w:id="1187134147">
          <w:marLeft w:val="0"/>
          <w:marRight w:val="0"/>
          <w:marTop w:val="0"/>
          <w:marBottom w:val="0"/>
          <w:divBdr>
            <w:top w:val="none" w:sz="0" w:space="0" w:color="auto"/>
            <w:left w:val="none" w:sz="0" w:space="0" w:color="auto"/>
            <w:bottom w:val="none" w:sz="0" w:space="0" w:color="auto"/>
            <w:right w:val="none" w:sz="0" w:space="0" w:color="auto"/>
          </w:divBdr>
          <w:divsChild>
            <w:div w:id="2010255426">
              <w:marLeft w:val="0"/>
              <w:marRight w:val="0"/>
              <w:marTop w:val="0"/>
              <w:marBottom w:val="0"/>
              <w:divBdr>
                <w:top w:val="none" w:sz="0" w:space="0" w:color="auto"/>
                <w:left w:val="none" w:sz="0" w:space="0" w:color="auto"/>
                <w:bottom w:val="none" w:sz="0" w:space="0" w:color="auto"/>
                <w:right w:val="none" w:sz="0" w:space="0" w:color="auto"/>
              </w:divBdr>
              <w:divsChild>
                <w:div w:id="387262860">
                  <w:marLeft w:val="0"/>
                  <w:marRight w:val="0"/>
                  <w:marTop w:val="0"/>
                  <w:marBottom w:val="0"/>
                  <w:divBdr>
                    <w:top w:val="none" w:sz="0" w:space="0" w:color="auto"/>
                    <w:left w:val="none" w:sz="0" w:space="0" w:color="auto"/>
                    <w:bottom w:val="none" w:sz="0" w:space="0" w:color="auto"/>
                    <w:right w:val="none" w:sz="0" w:space="0" w:color="auto"/>
                  </w:divBdr>
                  <w:divsChild>
                    <w:div w:id="10113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54073">
      <w:bodyDiv w:val="1"/>
      <w:marLeft w:val="0"/>
      <w:marRight w:val="0"/>
      <w:marTop w:val="0"/>
      <w:marBottom w:val="0"/>
      <w:divBdr>
        <w:top w:val="none" w:sz="0" w:space="0" w:color="auto"/>
        <w:left w:val="none" w:sz="0" w:space="0" w:color="auto"/>
        <w:bottom w:val="none" w:sz="0" w:space="0" w:color="auto"/>
        <w:right w:val="none" w:sz="0" w:space="0" w:color="auto"/>
      </w:divBdr>
    </w:div>
    <w:div w:id="1517503375">
      <w:bodyDiv w:val="1"/>
      <w:marLeft w:val="0"/>
      <w:marRight w:val="0"/>
      <w:marTop w:val="0"/>
      <w:marBottom w:val="0"/>
      <w:divBdr>
        <w:top w:val="none" w:sz="0" w:space="0" w:color="auto"/>
        <w:left w:val="none" w:sz="0" w:space="0" w:color="auto"/>
        <w:bottom w:val="none" w:sz="0" w:space="0" w:color="auto"/>
        <w:right w:val="none" w:sz="0" w:space="0" w:color="auto"/>
      </w:divBdr>
    </w:div>
    <w:div w:id="1519585995">
      <w:bodyDiv w:val="1"/>
      <w:marLeft w:val="0"/>
      <w:marRight w:val="0"/>
      <w:marTop w:val="0"/>
      <w:marBottom w:val="0"/>
      <w:divBdr>
        <w:top w:val="none" w:sz="0" w:space="0" w:color="auto"/>
        <w:left w:val="none" w:sz="0" w:space="0" w:color="auto"/>
        <w:bottom w:val="none" w:sz="0" w:space="0" w:color="auto"/>
        <w:right w:val="none" w:sz="0" w:space="0" w:color="auto"/>
      </w:divBdr>
      <w:divsChild>
        <w:div w:id="1065951340">
          <w:marLeft w:val="0"/>
          <w:marRight w:val="0"/>
          <w:marTop w:val="0"/>
          <w:marBottom w:val="0"/>
          <w:divBdr>
            <w:top w:val="none" w:sz="0" w:space="0" w:color="auto"/>
            <w:left w:val="none" w:sz="0" w:space="0" w:color="auto"/>
            <w:bottom w:val="none" w:sz="0" w:space="0" w:color="auto"/>
            <w:right w:val="none" w:sz="0" w:space="0" w:color="auto"/>
          </w:divBdr>
          <w:divsChild>
            <w:div w:id="247152142">
              <w:marLeft w:val="0"/>
              <w:marRight w:val="0"/>
              <w:marTop w:val="0"/>
              <w:marBottom w:val="0"/>
              <w:divBdr>
                <w:top w:val="none" w:sz="0" w:space="0" w:color="auto"/>
                <w:left w:val="none" w:sz="0" w:space="0" w:color="auto"/>
                <w:bottom w:val="none" w:sz="0" w:space="0" w:color="auto"/>
                <w:right w:val="none" w:sz="0" w:space="0" w:color="auto"/>
              </w:divBdr>
              <w:divsChild>
                <w:div w:id="1156259896">
                  <w:marLeft w:val="0"/>
                  <w:marRight w:val="0"/>
                  <w:marTop w:val="0"/>
                  <w:marBottom w:val="0"/>
                  <w:divBdr>
                    <w:top w:val="none" w:sz="0" w:space="0" w:color="auto"/>
                    <w:left w:val="none" w:sz="0" w:space="0" w:color="auto"/>
                    <w:bottom w:val="none" w:sz="0" w:space="0" w:color="auto"/>
                    <w:right w:val="none" w:sz="0" w:space="0" w:color="auto"/>
                  </w:divBdr>
                  <w:divsChild>
                    <w:div w:id="3587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864080">
      <w:bodyDiv w:val="1"/>
      <w:marLeft w:val="0"/>
      <w:marRight w:val="0"/>
      <w:marTop w:val="0"/>
      <w:marBottom w:val="0"/>
      <w:divBdr>
        <w:top w:val="none" w:sz="0" w:space="0" w:color="auto"/>
        <w:left w:val="none" w:sz="0" w:space="0" w:color="auto"/>
        <w:bottom w:val="none" w:sz="0" w:space="0" w:color="auto"/>
        <w:right w:val="none" w:sz="0" w:space="0" w:color="auto"/>
      </w:divBdr>
    </w:div>
    <w:div w:id="1617982607">
      <w:bodyDiv w:val="1"/>
      <w:marLeft w:val="0"/>
      <w:marRight w:val="0"/>
      <w:marTop w:val="0"/>
      <w:marBottom w:val="0"/>
      <w:divBdr>
        <w:top w:val="none" w:sz="0" w:space="0" w:color="auto"/>
        <w:left w:val="none" w:sz="0" w:space="0" w:color="auto"/>
        <w:bottom w:val="none" w:sz="0" w:space="0" w:color="auto"/>
        <w:right w:val="none" w:sz="0" w:space="0" w:color="auto"/>
      </w:divBdr>
    </w:div>
    <w:div w:id="1695812082">
      <w:bodyDiv w:val="1"/>
      <w:marLeft w:val="0"/>
      <w:marRight w:val="0"/>
      <w:marTop w:val="0"/>
      <w:marBottom w:val="0"/>
      <w:divBdr>
        <w:top w:val="none" w:sz="0" w:space="0" w:color="auto"/>
        <w:left w:val="none" w:sz="0" w:space="0" w:color="auto"/>
        <w:bottom w:val="none" w:sz="0" w:space="0" w:color="auto"/>
        <w:right w:val="none" w:sz="0" w:space="0" w:color="auto"/>
      </w:divBdr>
    </w:div>
    <w:div w:id="1825657289">
      <w:bodyDiv w:val="1"/>
      <w:marLeft w:val="0"/>
      <w:marRight w:val="0"/>
      <w:marTop w:val="0"/>
      <w:marBottom w:val="0"/>
      <w:divBdr>
        <w:top w:val="none" w:sz="0" w:space="0" w:color="auto"/>
        <w:left w:val="none" w:sz="0" w:space="0" w:color="auto"/>
        <w:bottom w:val="none" w:sz="0" w:space="0" w:color="auto"/>
        <w:right w:val="none" w:sz="0" w:space="0" w:color="auto"/>
      </w:divBdr>
    </w:div>
    <w:div w:id="1906330630">
      <w:bodyDiv w:val="1"/>
      <w:marLeft w:val="0"/>
      <w:marRight w:val="0"/>
      <w:marTop w:val="0"/>
      <w:marBottom w:val="0"/>
      <w:divBdr>
        <w:top w:val="none" w:sz="0" w:space="0" w:color="auto"/>
        <w:left w:val="none" w:sz="0" w:space="0" w:color="auto"/>
        <w:bottom w:val="none" w:sz="0" w:space="0" w:color="auto"/>
        <w:right w:val="none" w:sz="0" w:space="0" w:color="auto"/>
      </w:divBdr>
    </w:div>
    <w:div w:id="1936548453">
      <w:bodyDiv w:val="1"/>
      <w:marLeft w:val="0"/>
      <w:marRight w:val="0"/>
      <w:marTop w:val="0"/>
      <w:marBottom w:val="0"/>
      <w:divBdr>
        <w:top w:val="none" w:sz="0" w:space="0" w:color="auto"/>
        <w:left w:val="none" w:sz="0" w:space="0" w:color="auto"/>
        <w:bottom w:val="none" w:sz="0" w:space="0" w:color="auto"/>
        <w:right w:val="none" w:sz="0" w:space="0" w:color="auto"/>
      </w:divBdr>
      <w:divsChild>
        <w:div w:id="32192549">
          <w:marLeft w:val="0"/>
          <w:marRight w:val="0"/>
          <w:marTop w:val="240"/>
          <w:marBottom w:val="100"/>
          <w:divBdr>
            <w:top w:val="none" w:sz="0" w:space="0" w:color="auto"/>
            <w:left w:val="none" w:sz="0" w:space="0" w:color="auto"/>
            <w:bottom w:val="none" w:sz="0" w:space="0" w:color="auto"/>
            <w:right w:val="none" w:sz="0" w:space="0" w:color="auto"/>
          </w:divBdr>
          <w:divsChild>
            <w:div w:id="1140000602">
              <w:marLeft w:val="0"/>
              <w:marRight w:val="0"/>
              <w:marTop w:val="0"/>
              <w:marBottom w:val="0"/>
              <w:divBdr>
                <w:top w:val="none" w:sz="0" w:space="0" w:color="auto"/>
                <w:left w:val="none" w:sz="0" w:space="0" w:color="auto"/>
                <w:bottom w:val="none" w:sz="0" w:space="0" w:color="auto"/>
                <w:right w:val="none" w:sz="0" w:space="0" w:color="auto"/>
              </w:divBdr>
            </w:div>
          </w:divsChild>
        </w:div>
        <w:div w:id="206381415">
          <w:marLeft w:val="0"/>
          <w:marRight w:val="0"/>
          <w:marTop w:val="288"/>
          <w:marBottom w:val="100"/>
          <w:divBdr>
            <w:top w:val="none" w:sz="0" w:space="0" w:color="auto"/>
            <w:left w:val="none" w:sz="0" w:space="0" w:color="auto"/>
            <w:bottom w:val="none" w:sz="0" w:space="0" w:color="auto"/>
            <w:right w:val="none" w:sz="0" w:space="0" w:color="auto"/>
          </w:divBdr>
        </w:div>
      </w:divsChild>
    </w:div>
    <w:div w:id="1947224666">
      <w:bodyDiv w:val="1"/>
      <w:marLeft w:val="0"/>
      <w:marRight w:val="0"/>
      <w:marTop w:val="0"/>
      <w:marBottom w:val="0"/>
      <w:divBdr>
        <w:top w:val="none" w:sz="0" w:space="0" w:color="auto"/>
        <w:left w:val="none" w:sz="0" w:space="0" w:color="auto"/>
        <w:bottom w:val="none" w:sz="0" w:space="0" w:color="auto"/>
        <w:right w:val="none" w:sz="0" w:space="0" w:color="auto"/>
      </w:divBdr>
      <w:divsChild>
        <w:div w:id="1672096590">
          <w:marLeft w:val="0"/>
          <w:marRight w:val="0"/>
          <w:marTop w:val="0"/>
          <w:marBottom w:val="0"/>
          <w:divBdr>
            <w:top w:val="none" w:sz="0" w:space="0" w:color="auto"/>
            <w:left w:val="none" w:sz="0" w:space="0" w:color="auto"/>
            <w:bottom w:val="none" w:sz="0" w:space="0" w:color="auto"/>
            <w:right w:val="none" w:sz="0" w:space="0" w:color="auto"/>
          </w:divBdr>
          <w:divsChild>
            <w:div w:id="752512070">
              <w:marLeft w:val="0"/>
              <w:marRight w:val="0"/>
              <w:marTop w:val="0"/>
              <w:marBottom w:val="0"/>
              <w:divBdr>
                <w:top w:val="none" w:sz="0" w:space="0" w:color="auto"/>
                <w:left w:val="none" w:sz="0" w:space="0" w:color="auto"/>
                <w:bottom w:val="none" w:sz="0" w:space="0" w:color="auto"/>
                <w:right w:val="none" w:sz="0" w:space="0" w:color="auto"/>
              </w:divBdr>
              <w:divsChild>
                <w:div w:id="1282494761">
                  <w:marLeft w:val="0"/>
                  <w:marRight w:val="0"/>
                  <w:marTop w:val="0"/>
                  <w:marBottom w:val="0"/>
                  <w:divBdr>
                    <w:top w:val="none" w:sz="0" w:space="0" w:color="auto"/>
                    <w:left w:val="none" w:sz="0" w:space="0" w:color="auto"/>
                    <w:bottom w:val="none" w:sz="0" w:space="0" w:color="auto"/>
                    <w:right w:val="none" w:sz="0" w:space="0" w:color="auto"/>
                  </w:divBdr>
                  <w:divsChild>
                    <w:div w:id="144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194">
      <w:bodyDiv w:val="1"/>
      <w:marLeft w:val="0"/>
      <w:marRight w:val="0"/>
      <w:marTop w:val="0"/>
      <w:marBottom w:val="0"/>
      <w:divBdr>
        <w:top w:val="none" w:sz="0" w:space="0" w:color="auto"/>
        <w:left w:val="none" w:sz="0" w:space="0" w:color="auto"/>
        <w:bottom w:val="none" w:sz="0" w:space="0" w:color="auto"/>
        <w:right w:val="none" w:sz="0" w:space="0" w:color="auto"/>
      </w:divBdr>
      <w:divsChild>
        <w:div w:id="1049501877">
          <w:marLeft w:val="0"/>
          <w:marRight w:val="0"/>
          <w:marTop w:val="0"/>
          <w:marBottom w:val="0"/>
          <w:divBdr>
            <w:top w:val="single" w:sz="6" w:space="0" w:color="E6E6E6"/>
            <w:left w:val="single" w:sz="6" w:space="0" w:color="E6E6E6"/>
            <w:bottom w:val="single" w:sz="6" w:space="0" w:color="E6E6E6"/>
            <w:right w:val="single" w:sz="6" w:space="0" w:color="E6E6E6"/>
          </w:divBdr>
        </w:div>
        <w:div w:id="1360665848">
          <w:marLeft w:val="0"/>
          <w:marRight w:val="0"/>
          <w:marTop w:val="0"/>
          <w:marBottom w:val="0"/>
          <w:divBdr>
            <w:top w:val="none" w:sz="0" w:space="0" w:color="auto"/>
            <w:left w:val="single" w:sz="6" w:space="0" w:color="E6E6E6"/>
            <w:bottom w:val="single" w:sz="6" w:space="0" w:color="E6E6E6"/>
            <w:right w:val="single" w:sz="6" w:space="0" w:color="E6E6E6"/>
          </w:divBdr>
        </w:div>
      </w:divsChild>
    </w:div>
    <w:div w:id="2000040197">
      <w:bodyDiv w:val="1"/>
      <w:marLeft w:val="0"/>
      <w:marRight w:val="0"/>
      <w:marTop w:val="0"/>
      <w:marBottom w:val="0"/>
      <w:divBdr>
        <w:top w:val="none" w:sz="0" w:space="0" w:color="auto"/>
        <w:left w:val="none" w:sz="0" w:space="0" w:color="auto"/>
        <w:bottom w:val="none" w:sz="0" w:space="0" w:color="auto"/>
        <w:right w:val="none" w:sz="0" w:space="0" w:color="auto"/>
      </w:divBdr>
      <w:divsChild>
        <w:div w:id="340477191">
          <w:marLeft w:val="1166"/>
          <w:marRight w:val="0"/>
          <w:marTop w:val="115"/>
          <w:marBottom w:val="0"/>
          <w:divBdr>
            <w:top w:val="none" w:sz="0" w:space="0" w:color="auto"/>
            <w:left w:val="none" w:sz="0" w:space="0" w:color="auto"/>
            <w:bottom w:val="none" w:sz="0" w:space="0" w:color="auto"/>
            <w:right w:val="none" w:sz="0" w:space="0" w:color="auto"/>
          </w:divBdr>
        </w:div>
        <w:div w:id="883522799">
          <w:marLeft w:val="1800"/>
          <w:marRight w:val="0"/>
          <w:marTop w:val="96"/>
          <w:marBottom w:val="0"/>
          <w:divBdr>
            <w:top w:val="none" w:sz="0" w:space="0" w:color="auto"/>
            <w:left w:val="none" w:sz="0" w:space="0" w:color="auto"/>
            <w:bottom w:val="none" w:sz="0" w:space="0" w:color="auto"/>
            <w:right w:val="none" w:sz="0" w:space="0" w:color="auto"/>
          </w:divBdr>
        </w:div>
        <w:div w:id="1444305298">
          <w:marLeft w:val="1166"/>
          <w:marRight w:val="0"/>
          <w:marTop w:val="115"/>
          <w:marBottom w:val="0"/>
          <w:divBdr>
            <w:top w:val="none" w:sz="0" w:space="0" w:color="auto"/>
            <w:left w:val="none" w:sz="0" w:space="0" w:color="auto"/>
            <w:bottom w:val="none" w:sz="0" w:space="0" w:color="auto"/>
            <w:right w:val="none" w:sz="0" w:space="0" w:color="auto"/>
          </w:divBdr>
        </w:div>
        <w:div w:id="1565214214">
          <w:marLeft w:val="1800"/>
          <w:marRight w:val="0"/>
          <w:marTop w:val="96"/>
          <w:marBottom w:val="0"/>
          <w:divBdr>
            <w:top w:val="none" w:sz="0" w:space="0" w:color="auto"/>
            <w:left w:val="none" w:sz="0" w:space="0" w:color="auto"/>
            <w:bottom w:val="none" w:sz="0" w:space="0" w:color="auto"/>
            <w:right w:val="none" w:sz="0" w:space="0" w:color="auto"/>
          </w:divBdr>
        </w:div>
        <w:div w:id="2071422706">
          <w:marLeft w:val="1166"/>
          <w:marRight w:val="0"/>
          <w:marTop w:val="115"/>
          <w:marBottom w:val="0"/>
          <w:divBdr>
            <w:top w:val="none" w:sz="0" w:space="0" w:color="auto"/>
            <w:left w:val="none" w:sz="0" w:space="0" w:color="auto"/>
            <w:bottom w:val="none" w:sz="0" w:space="0" w:color="auto"/>
            <w:right w:val="none" w:sz="0" w:space="0" w:color="auto"/>
          </w:divBdr>
        </w:div>
        <w:div w:id="718015045">
          <w:marLeft w:val="1800"/>
          <w:marRight w:val="0"/>
          <w:marTop w:val="96"/>
          <w:marBottom w:val="0"/>
          <w:divBdr>
            <w:top w:val="none" w:sz="0" w:space="0" w:color="auto"/>
            <w:left w:val="none" w:sz="0" w:space="0" w:color="auto"/>
            <w:bottom w:val="none" w:sz="0" w:space="0" w:color="auto"/>
            <w:right w:val="none" w:sz="0" w:space="0" w:color="auto"/>
          </w:divBdr>
        </w:div>
      </w:divsChild>
    </w:div>
    <w:div w:id="2056463158">
      <w:bodyDiv w:val="1"/>
      <w:marLeft w:val="0"/>
      <w:marRight w:val="0"/>
      <w:marTop w:val="0"/>
      <w:marBottom w:val="0"/>
      <w:divBdr>
        <w:top w:val="none" w:sz="0" w:space="0" w:color="auto"/>
        <w:left w:val="none" w:sz="0" w:space="0" w:color="auto"/>
        <w:bottom w:val="none" w:sz="0" w:space="0" w:color="auto"/>
        <w:right w:val="none" w:sz="0" w:space="0" w:color="auto"/>
      </w:divBdr>
    </w:div>
    <w:div w:id="2117602129">
      <w:bodyDiv w:val="1"/>
      <w:marLeft w:val="0"/>
      <w:marRight w:val="0"/>
      <w:marTop w:val="0"/>
      <w:marBottom w:val="0"/>
      <w:divBdr>
        <w:top w:val="none" w:sz="0" w:space="0" w:color="auto"/>
        <w:left w:val="none" w:sz="0" w:space="0" w:color="auto"/>
        <w:bottom w:val="none" w:sz="0" w:space="0" w:color="auto"/>
        <w:right w:val="none" w:sz="0" w:space="0" w:color="auto"/>
      </w:divBdr>
    </w:div>
    <w:div w:id="21286202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a.richeldi@policlinicogemell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ncepp.eu/encepp/studiesDatabase.jsp" TargetMode="External"/><Relationship Id="rId4" Type="http://schemas.openxmlformats.org/officeDocument/2006/relationships/settings" Target="settings.xml"/><Relationship Id="rId9" Type="http://schemas.openxmlformats.org/officeDocument/2006/relationships/hyperlink" Target="http://optimumpatientcare.org/database-overvie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200F5-96CB-1944-B6C4-FE61750C4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4962</Words>
  <Characters>28289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inVentiv Health</Company>
  <LinksUpToDate>false</LinksUpToDate>
  <CharactersWithSpaces>33185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Mark Jones</cp:lastModifiedBy>
  <cp:revision>2</cp:revision>
  <cp:lastPrinted>2020-03-15T10:18:00Z</cp:lastPrinted>
  <dcterms:created xsi:type="dcterms:W3CDTF">2020-04-17T16:18:00Z</dcterms:created>
  <dcterms:modified xsi:type="dcterms:W3CDTF">2020-04-17T16:18:00Z</dcterms:modified>
</cp:coreProperties>
</file>