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A1" w:rsidRPr="00FF59B0" w:rsidRDefault="00B331A1" w:rsidP="00B331A1">
      <w:pPr>
        <w:spacing w:line="480" w:lineRule="auto"/>
        <w:rPr>
          <w:rFonts w:asciiTheme="majorBidi" w:hAnsiTheme="majorBidi" w:cstheme="majorBidi"/>
          <w:b/>
          <w:sz w:val="24"/>
          <w:szCs w:val="24"/>
        </w:rPr>
      </w:pPr>
      <w:bookmarkStart w:id="0" w:name="_Hlk28604215"/>
      <w:r>
        <w:rPr>
          <w:rFonts w:asciiTheme="majorBidi" w:hAnsiTheme="majorBidi" w:cstheme="majorBidi"/>
          <w:b/>
          <w:sz w:val="24"/>
          <w:szCs w:val="24"/>
        </w:rPr>
        <w:t>Real-world tyrosine kinase inhibitor treatment pathways, monitoring patterns and responses in patients with chronic myeloid leukaemia in the United Kingdom: the UK TARGET CML study</w:t>
      </w:r>
      <w:bookmarkStart w:id="1" w:name="_GoBack"/>
      <w:bookmarkEnd w:id="1"/>
    </w:p>
    <w:p w:rsidR="00B331A1" w:rsidRPr="0045655A" w:rsidRDefault="00B331A1" w:rsidP="00B331A1">
      <w:pPr>
        <w:spacing w:line="480" w:lineRule="auto"/>
        <w:rPr>
          <w:rFonts w:asciiTheme="majorBidi" w:hAnsiTheme="majorBidi" w:cstheme="majorBidi"/>
          <w:sz w:val="24"/>
          <w:szCs w:val="24"/>
        </w:rPr>
      </w:pPr>
    </w:p>
    <w:p w:rsidR="00B331A1" w:rsidRDefault="00B331A1" w:rsidP="00B331A1">
      <w:pPr>
        <w:spacing w:line="480" w:lineRule="auto"/>
        <w:rPr>
          <w:rFonts w:asciiTheme="majorBidi" w:hAnsiTheme="majorBidi" w:cstheme="majorBidi"/>
          <w:b/>
          <w:sz w:val="24"/>
          <w:szCs w:val="24"/>
        </w:rPr>
      </w:pPr>
      <w:r>
        <w:rPr>
          <w:rFonts w:asciiTheme="majorBidi" w:hAnsiTheme="majorBidi" w:cstheme="majorBidi"/>
          <w:b/>
          <w:sz w:val="24"/>
          <w:szCs w:val="24"/>
        </w:rPr>
        <w:t>Running title:</w:t>
      </w:r>
      <w:r w:rsidRPr="0045655A">
        <w:rPr>
          <w:rFonts w:asciiTheme="majorBidi" w:hAnsiTheme="majorBidi" w:cstheme="majorBidi"/>
          <w:sz w:val="24"/>
          <w:szCs w:val="24"/>
        </w:rPr>
        <w:t xml:space="preserve"> </w:t>
      </w:r>
      <w:r>
        <w:rPr>
          <w:rFonts w:asciiTheme="majorBidi" w:hAnsiTheme="majorBidi" w:cstheme="majorBidi"/>
          <w:sz w:val="24"/>
          <w:szCs w:val="24"/>
        </w:rPr>
        <w:t xml:space="preserve">Tyrosine kinase inhibitor use in the real world </w:t>
      </w:r>
    </w:p>
    <w:p w:rsidR="00B331A1" w:rsidRPr="0045655A" w:rsidRDefault="00B331A1" w:rsidP="00B331A1">
      <w:pPr>
        <w:spacing w:line="480" w:lineRule="auto"/>
        <w:rPr>
          <w:rFonts w:asciiTheme="majorBidi" w:hAnsiTheme="majorBidi" w:cstheme="majorBidi"/>
          <w:sz w:val="24"/>
          <w:szCs w:val="24"/>
        </w:rPr>
      </w:pPr>
    </w:p>
    <w:p w:rsidR="00B331A1" w:rsidRDefault="00B331A1" w:rsidP="00B331A1">
      <w:pPr>
        <w:spacing w:line="480" w:lineRule="auto"/>
        <w:rPr>
          <w:rFonts w:asciiTheme="majorBidi" w:hAnsiTheme="majorBidi" w:cstheme="majorBidi"/>
          <w:sz w:val="24"/>
          <w:szCs w:val="24"/>
          <w:vertAlign w:val="superscript"/>
        </w:rPr>
      </w:pPr>
      <w:r w:rsidRPr="008C594C">
        <w:rPr>
          <w:rFonts w:asciiTheme="majorBidi" w:hAnsiTheme="majorBidi" w:cstheme="majorBidi"/>
          <w:b/>
          <w:sz w:val="24"/>
          <w:szCs w:val="24"/>
        </w:rPr>
        <w:t>Authors:</w:t>
      </w:r>
      <w:r w:rsidRPr="00FF5BBD">
        <w:rPr>
          <w:rFonts w:asciiTheme="majorBidi" w:hAnsiTheme="majorBidi" w:cstheme="majorBidi"/>
          <w:sz w:val="24"/>
          <w:szCs w:val="24"/>
        </w:rPr>
        <w:t xml:space="preserve"> </w:t>
      </w:r>
      <w:proofErr w:type="spellStart"/>
      <w:r w:rsidRPr="00FF5BBD">
        <w:rPr>
          <w:rFonts w:asciiTheme="majorBidi" w:hAnsiTheme="majorBidi" w:cstheme="majorBidi"/>
          <w:sz w:val="24"/>
          <w:szCs w:val="24"/>
        </w:rPr>
        <w:t>Dragana</w:t>
      </w:r>
      <w:proofErr w:type="spellEnd"/>
      <w:r w:rsidRPr="00FF5BBD">
        <w:rPr>
          <w:rFonts w:asciiTheme="majorBidi" w:hAnsiTheme="majorBidi" w:cstheme="majorBidi"/>
          <w:sz w:val="24"/>
          <w:szCs w:val="24"/>
        </w:rPr>
        <w:t xml:space="preserve"> Milojkovic</w:t>
      </w:r>
      <w:r>
        <w:rPr>
          <w:rFonts w:asciiTheme="majorBidi" w:hAnsiTheme="majorBidi" w:cstheme="majorBidi"/>
          <w:sz w:val="24"/>
          <w:szCs w:val="24"/>
        </w:rPr>
        <w:t>,</w:t>
      </w:r>
      <w:r w:rsidRPr="0017529D">
        <w:rPr>
          <w:rFonts w:asciiTheme="majorBidi" w:hAnsiTheme="majorBidi" w:cstheme="majorBidi"/>
          <w:sz w:val="24"/>
          <w:szCs w:val="24"/>
          <w:vertAlign w:val="superscript"/>
        </w:rPr>
        <w:t>1</w:t>
      </w:r>
      <w:r>
        <w:rPr>
          <w:rFonts w:asciiTheme="majorBidi" w:hAnsiTheme="majorBidi" w:cstheme="majorBidi"/>
          <w:sz w:val="24"/>
          <w:szCs w:val="24"/>
        </w:rPr>
        <w:t xml:space="preserve"> Nicholas C. P. Cross,</w:t>
      </w:r>
      <w:r>
        <w:rPr>
          <w:rFonts w:asciiTheme="majorBidi" w:hAnsiTheme="majorBidi" w:cstheme="majorBidi"/>
          <w:sz w:val="24"/>
          <w:szCs w:val="24"/>
          <w:vertAlign w:val="superscript"/>
        </w:rPr>
        <w:t>2</w:t>
      </w:r>
      <w:r>
        <w:rPr>
          <w:rFonts w:asciiTheme="majorBidi" w:hAnsiTheme="majorBidi" w:cstheme="majorBidi"/>
          <w:sz w:val="24"/>
          <w:szCs w:val="24"/>
        </w:rPr>
        <w:t xml:space="preserve"> </w:t>
      </w:r>
      <w:proofErr w:type="spellStart"/>
      <w:r>
        <w:rPr>
          <w:rFonts w:asciiTheme="majorBidi" w:hAnsiTheme="majorBidi" w:cstheme="majorBidi"/>
          <w:sz w:val="24"/>
          <w:szCs w:val="24"/>
        </w:rPr>
        <w:t>Sahra</w:t>
      </w:r>
      <w:proofErr w:type="spellEnd"/>
      <w:r>
        <w:rPr>
          <w:rFonts w:asciiTheme="majorBidi" w:hAnsiTheme="majorBidi" w:cstheme="majorBidi"/>
          <w:sz w:val="24"/>
          <w:szCs w:val="24"/>
        </w:rPr>
        <w:t xml:space="preserve"> Ali,</w:t>
      </w:r>
      <w:r>
        <w:rPr>
          <w:rFonts w:asciiTheme="majorBidi" w:hAnsiTheme="majorBidi" w:cstheme="majorBidi"/>
          <w:sz w:val="24"/>
          <w:szCs w:val="24"/>
          <w:vertAlign w:val="superscript"/>
        </w:rPr>
        <w:t>3</w:t>
      </w:r>
      <w:r>
        <w:rPr>
          <w:rFonts w:asciiTheme="majorBidi" w:hAnsiTheme="majorBidi" w:cstheme="majorBidi"/>
          <w:sz w:val="24"/>
          <w:szCs w:val="24"/>
        </w:rPr>
        <w:t xml:space="preserve"> Jenny Byrne,</w:t>
      </w:r>
      <w:r>
        <w:rPr>
          <w:rFonts w:asciiTheme="majorBidi" w:hAnsiTheme="majorBidi" w:cstheme="majorBidi"/>
          <w:sz w:val="24"/>
          <w:szCs w:val="24"/>
          <w:vertAlign w:val="superscript"/>
        </w:rPr>
        <w:t>4</w:t>
      </w:r>
      <w:r>
        <w:rPr>
          <w:rFonts w:asciiTheme="majorBidi" w:hAnsiTheme="majorBidi" w:cstheme="majorBidi"/>
          <w:sz w:val="24"/>
          <w:szCs w:val="24"/>
        </w:rPr>
        <w:t xml:space="preserve"> Gavin Campbell,</w:t>
      </w:r>
      <w:r>
        <w:rPr>
          <w:rFonts w:asciiTheme="majorBidi" w:hAnsiTheme="majorBidi" w:cstheme="majorBidi"/>
          <w:sz w:val="24"/>
          <w:szCs w:val="24"/>
          <w:vertAlign w:val="superscript"/>
        </w:rPr>
        <w:t>5</w:t>
      </w:r>
      <w:r>
        <w:rPr>
          <w:rFonts w:asciiTheme="majorBidi" w:hAnsiTheme="majorBidi" w:cstheme="majorBidi"/>
          <w:sz w:val="24"/>
          <w:szCs w:val="24"/>
        </w:rPr>
        <w:t xml:space="preserve"> Fiona L. Dignan,</w:t>
      </w:r>
      <w:r>
        <w:rPr>
          <w:rFonts w:asciiTheme="majorBidi" w:hAnsiTheme="majorBidi" w:cstheme="majorBidi"/>
          <w:sz w:val="24"/>
          <w:szCs w:val="24"/>
          <w:vertAlign w:val="superscript"/>
        </w:rPr>
        <w:t>6</w:t>
      </w:r>
      <w:r>
        <w:rPr>
          <w:rFonts w:asciiTheme="majorBidi" w:hAnsiTheme="majorBidi" w:cstheme="majorBidi"/>
          <w:sz w:val="24"/>
          <w:szCs w:val="24"/>
        </w:rPr>
        <w:t xml:space="preserve"> Mark Drummond,</w:t>
      </w:r>
      <w:r>
        <w:rPr>
          <w:rFonts w:asciiTheme="majorBidi" w:hAnsiTheme="majorBidi" w:cstheme="majorBidi"/>
          <w:sz w:val="24"/>
          <w:szCs w:val="24"/>
          <w:vertAlign w:val="superscript"/>
        </w:rPr>
        <w:t>7</w:t>
      </w:r>
      <w:r>
        <w:rPr>
          <w:rFonts w:asciiTheme="majorBidi" w:hAnsiTheme="majorBidi" w:cstheme="majorBidi"/>
          <w:sz w:val="24"/>
          <w:szCs w:val="24"/>
        </w:rPr>
        <w:t xml:space="preserve"> Brian Huntly,</w:t>
      </w:r>
      <w:r>
        <w:rPr>
          <w:rFonts w:asciiTheme="majorBidi" w:hAnsiTheme="majorBidi" w:cstheme="majorBidi"/>
          <w:sz w:val="24"/>
          <w:szCs w:val="24"/>
          <w:vertAlign w:val="superscript"/>
        </w:rPr>
        <w:t>8</w:t>
      </w:r>
      <w:r>
        <w:rPr>
          <w:rFonts w:asciiTheme="majorBidi" w:hAnsiTheme="majorBidi" w:cstheme="majorBidi"/>
          <w:sz w:val="24"/>
          <w:szCs w:val="24"/>
        </w:rPr>
        <w:t xml:space="preserve"> Scott Marshall,</w:t>
      </w:r>
      <w:r>
        <w:rPr>
          <w:rFonts w:asciiTheme="majorBidi" w:hAnsiTheme="majorBidi" w:cstheme="majorBidi"/>
          <w:sz w:val="24"/>
          <w:szCs w:val="24"/>
          <w:vertAlign w:val="superscript"/>
        </w:rPr>
        <w:t>9</w:t>
      </w:r>
      <w:r>
        <w:rPr>
          <w:rFonts w:asciiTheme="majorBidi" w:hAnsiTheme="majorBidi" w:cstheme="majorBidi"/>
          <w:sz w:val="24"/>
          <w:szCs w:val="24"/>
        </w:rPr>
        <w:t xml:space="preserve"> Mary Frances McMullin,</w:t>
      </w:r>
      <w:r>
        <w:rPr>
          <w:rFonts w:asciiTheme="majorBidi" w:hAnsiTheme="majorBidi" w:cstheme="majorBidi"/>
          <w:sz w:val="24"/>
          <w:szCs w:val="24"/>
          <w:vertAlign w:val="superscript"/>
        </w:rPr>
        <w:t>10</w:t>
      </w:r>
      <w:r>
        <w:rPr>
          <w:rFonts w:asciiTheme="majorBidi" w:hAnsiTheme="majorBidi" w:cstheme="majorBidi"/>
          <w:sz w:val="24"/>
          <w:szCs w:val="24"/>
        </w:rPr>
        <w:t xml:space="preserve"> Pratap Neelakantan,</w:t>
      </w:r>
      <w:r>
        <w:rPr>
          <w:rFonts w:asciiTheme="majorBidi" w:hAnsiTheme="majorBidi" w:cstheme="majorBidi"/>
          <w:sz w:val="24"/>
          <w:szCs w:val="24"/>
          <w:vertAlign w:val="superscript"/>
        </w:rPr>
        <w:t>11</w:t>
      </w:r>
      <w:r w:rsidRPr="007205AB">
        <w:rPr>
          <w:rFonts w:asciiTheme="majorBidi" w:hAnsiTheme="majorBidi" w:cstheme="majorBidi"/>
          <w:sz w:val="24"/>
          <w:szCs w:val="24"/>
        </w:rPr>
        <w:t xml:space="preserve"> Manoj</w:t>
      </w:r>
      <w:r>
        <w:rPr>
          <w:rFonts w:asciiTheme="majorBidi" w:hAnsiTheme="majorBidi" w:cstheme="majorBidi"/>
          <w:sz w:val="24"/>
          <w:szCs w:val="24"/>
        </w:rPr>
        <w:t xml:space="preserve"> Raghavan,</w:t>
      </w:r>
      <w:r>
        <w:rPr>
          <w:rFonts w:asciiTheme="majorBidi" w:hAnsiTheme="majorBidi" w:cstheme="majorBidi"/>
          <w:sz w:val="24"/>
          <w:szCs w:val="24"/>
          <w:vertAlign w:val="superscript"/>
        </w:rPr>
        <w:t>12</w:t>
      </w:r>
      <w:r>
        <w:rPr>
          <w:rFonts w:asciiTheme="majorBidi" w:hAnsiTheme="majorBidi" w:cstheme="majorBidi"/>
          <w:sz w:val="24"/>
          <w:szCs w:val="24"/>
        </w:rPr>
        <w:t xml:space="preserve"> </w:t>
      </w:r>
      <w:proofErr w:type="spellStart"/>
      <w:r w:rsidRPr="00254BBC">
        <w:rPr>
          <w:rFonts w:asciiTheme="majorBidi" w:hAnsiTheme="majorBidi" w:cstheme="majorBidi"/>
          <w:sz w:val="24"/>
          <w:szCs w:val="24"/>
        </w:rPr>
        <w:t>Muttuswamy</w:t>
      </w:r>
      <w:proofErr w:type="spellEnd"/>
      <w:r>
        <w:rPr>
          <w:rFonts w:asciiTheme="majorBidi" w:hAnsiTheme="majorBidi" w:cstheme="majorBidi"/>
          <w:sz w:val="24"/>
          <w:szCs w:val="24"/>
        </w:rPr>
        <w:t xml:space="preserve"> Sivakumaran,</w:t>
      </w:r>
      <w:r>
        <w:rPr>
          <w:rFonts w:asciiTheme="majorBidi" w:hAnsiTheme="majorBidi" w:cstheme="majorBidi"/>
          <w:sz w:val="24"/>
          <w:szCs w:val="24"/>
          <w:vertAlign w:val="superscript"/>
        </w:rPr>
        <w:t>13</w:t>
      </w:r>
      <w:r>
        <w:rPr>
          <w:rFonts w:asciiTheme="majorBidi" w:hAnsiTheme="majorBidi" w:cstheme="majorBidi"/>
          <w:sz w:val="24"/>
          <w:szCs w:val="24"/>
        </w:rPr>
        <w:t xml:space="preserve"> Jane Tighe,</w:t>
      </w:r>
      <w:r>
        <w:rPr>
          <w:rFonts w:asciiTheme="majorBidi" w:hAnsiTheme="majorBidi" w:cstheme="majorBidi"/>
          <w:sz w:val="24"/>
          <w:szCs w:val="24"/>
          <w:vertAlign w:val="superscript"/>
        </w:rPr>
        <w:t>14</w:t>
      </w:r>
      <w:r>
        <w:rPr>
          <w:rFonts w:asciiTheme="majorBidi" w:hAnsiTheme="majorBidi" w:cstheme="majorBidi"/>
          <w:sz w:val="24"/>
          <w:szCs w:val="24"/>
        </w:rPr>
        <w:t xml:space="preserve"> Farooq Wandroo,</w:t>
      </w:r>
      <w:r>
        <w:rPr>
          <w:rFonts w:asciiTheme="majorBidi" w:hAnsiTheme="majorBidi" w:cstheme="majorBidi"/>
          <w:sz w:val="24"/>
          <w:szCs w:val="24"/>
          <w:vertAlign w:val="superscript"/>
        </w:rPr>
        <w:t>15</w:t>
      </w:r>
      <w:r>
        <w:rPr>
          <w:rFonts w:asciiTheme="majorBidi" w:hAnsiTheme="majorBidi" w:cstheme="majorBidi"/>
          <w:sz w:val="24"/>
          <w:szCs w:val="24"/>
        </w:rPr>
        <w:t xml:space="preserve"> Fenella Willis,</w:t>
      </w:r>
      <w:r>
        <w:rPr>
          <w:rFonts w:asciiTheme="majorBidi" w:hAnsiTheme="majorBidi" w:cstheme="majorBidi"/>
          <w:sz w:val="24"/>
          <w:szCs w:val="24"/>
          <w:vertAlign w:val="superscript"/>
        </w:rPr>
        <w:t>16</w:t>
      </w:r>
      <w:r>
        <w:rPr>
          <w:rFonts w:asciiTheme="majorBidi" w:hAnsiTheme="majorBidi" w:cstheme="majorBidi"/>
          <w:sz w:val="24"/>
          <w:szCs w:val="24"/>
        </w:rPr>
        <w:t xml:space="preserve"> Fiona Glen,</w:t>
      </w:r>
      <w:r>
        <w:rPr>
          <w:rFonts w:asciiTheme="majorBidi" w:hAnsiTheme="majorBidi" w:cstheme="majorBidi"/>
          <w:sz w:val="24"/>
          <w:szCs w:val="24"/>
          <w:vertAlign w:val="superscript"/>
        </w:rPr>
        <w:t>17</w:t>
      </w:r>
      <w:r>
        <w:rPr>
          <w:rFonts w:asciiTheme="majorBidi" w:hAnsiTheme="majorBidi" w:cstheme="majorBidi"/>
          <w:sz w:val="24"/>
          <w:szCs w:val="24"/>
        </w:rPr>
        <w:t xml:space="preserve"> Louise Fildes,</w:t>
      </w:r>
      <w:r>
        <w:rPr>
          <w:rFonts w:asciiTheme="majorBidi" w:hAnsiTheme="majorBidi" w:cstheme="majorBidi"/>
          <w:sz w:val="24"/>
          <w:szCs w:val="24"/>
          <w:vertAlign w:val="superscript"/>
        </w:rPr>
        <w:t>18</w:t>
      </w:r>
      <w:r>
        <w:rPr>
          <w:rFonts w:asciiTheme="majorBidi" w:hAnsiTheme="majorBidi" w:cstheme="majorBidi"/>
          <w:sz w:val="24"/>
          <w:szCs w:val="24"/>
        </w:rPr>
        <w:t xml:space="preserve"> Sarah J. </w:t>
      </w:r>
      <w:r w:rsidRPr="00254BBC">
        <w:rPr>
          <w:rFonts w:asciiTheme="majorBidi" w:hAnsiTheme="majorBidi" w:cstheme="majorBidi"/>
          <w:sz w:val="24"/>
          <w:szCs w:val="24"/>
        </w:rPr>
        <w:t>Collington</w:t>
      </w:r>
      <w:r>
        <w:rPr>
          <w:rFonts w:asciiTheme="majorBidi" w:hAnsiTheme="majorBidi" w:cstheme="majorBidi"/>
          <w:sz w:val="24"/>
          <w:szCs w:val="24"/>
        </w:rPr>
        <w:t>,</w:t>
      </w:r>
      <w:r>
        <w:rPr>
          <w:rFonts w:asciiTheme="majorBidi" w:hAnsiTheme="majorBidi" w:cstheme="majorBidi"/>
          <w:sz w:val="24"/>
          <w:szCs w:val="24"/>
          <w:vertAlign w:val="superscript"/>
        </w:rPr>
        <w:t>18</w:t>
      </w:r>
      <w:r>
        <w:rPr>
          <w:rFonts w:asciiTheme="majorBidi" w:hAnsiTheme="majorBidi" w:cstheme="majorBidi"/>
          <w:sz w:val="24"/>
          <w:szCs w:val="24"/>
        </w:rPr>
        <w:t xml:space="preserve"> Jacqueline Ryan,</w:t>
      </w:r>
      <w:r>
        <w:rPr>
          <w:rFonts w:asciiTheme="majorBidi" w:hAnsiTheme="majorBidi" w:cstheme="majorBidi"/>
          <w:sz w:val="24"/>
          <w:szCs w:val="24"/>
          <w:vertAlign w:val="superscript"/>
        </w:rPr>
        <w:t>18</w:t>
      </w:r>
      <w:r>
        <w:rPr>
          <w:rFonts w:asciiTheme="majorBidi" w:hAnsiTheme="majorBidi" w:cstheme="majorBidi"/>
          <w:sz w:val="24"/>
          <w:szCs w:val="24"/>
        </w:rPr>
        <w:t xml:space="preserve"> Richard E. Clark,</w:t>
      </w:r>
      <w:r>
        <w:rPr>
          <w:rFonts w:asciiTheme="majorBidi" w:hAnsiTheme="majorBidi" w:cstheme="majorBidi"/>
          <w:sz w:val="24"/>
          <w:szCs w:val="24"/>
          <w:vertAlign w:val="superscript"/>
        </w:rPr>
        <w:t>19</w:t>
      </w:r>
      <w:r>
        <w:rPr>
          <w:rFonts w:asciiTheme="majorBidi" w:hAnsiTheme="majorBidi" w:cstheme="majorBidi"/>
          <w:sz w:val="24"/>
          <w:szCs w:val="24"/>
        </w:rPr>
        <w:t xml:space="preserve"> Adam J. Mead</w:t>
      </w:r>
      <w:r w:rsidRPr="0017529D">
        <w:rPr>
          <w:rFonts w:asciiTheme="majorBidi" w:hAnsiTheme="majorBidi" w:cstheme="majorBidi"/>
          <w:sz w:val="24"/>
          <w:szCs w:val="24"/>
          <w:vertAlign w:val="superscript"/>
        </w:rPr>
        <w:t>2</w:t>
      </w:r>
      <w:r>
        <w:rPr>
          <w:rFonts w:asciiTheme="majorBidi" w:hAnsiTheme="majorBidi" w:cstheme="majorBidi"/>
          <w:sz w:val="24"/>
          <w:szCs w:val="24"/>
          <w:vertAlign w:val="superscript"/>
        </w:rPr>
        <w:t>0, 21</w:t>
      </w:r>
    </w:p>
    <w:p w:rsidR="00B331A1" w:rsidRPr="00FF59B0" w:rsidRDefault="00B331A1" w:rsidP="00B331A1">
      <w:pPr>
        <w:spacing w:line="480" w:lineRule="auto"/>
        <w:rPr>
          <w:rFonts w:asciiTheme="majorBidi" w:hAnsiTheme="majorBidi" w:cstheme="majorBidi"/>
          <w:sz w:val="24"/>
          <w:szCs w:val="24"/>
        </w:rPr>
      </w:pPr>
    </w:p>
    <w:p w:rsidR="00B331A1" w:rsidRPr="009E4ED7" w:rsidRDefault="00B331A1" w:rsidP="00B331A1">
      <w:pPr>
        <w:spacing w:line="480" w:lineRule="auto"/>
        <w:rPr>
          <w:rFonts w:asciiTheme="majorBidi" w:hAnsiTheme="majorBidi" w:cstheme="majorBidi"/>
          <w:sz w:val="24"/>
          <w:szCs w:val="24"/>
        </w:rPr>
      </w:pPr>
      <w:r w:rsidRPr="00384FA9">
        <w:rPr>
          <w:rFonts w:asciiTheme="majorBidi" w:hAnsiTheme="majorBidi" w:cstheme="majorBidi"/>
          <w:b/>
          <w:sz w:val="24"/>
          <w:szCs w:val="24"/>
        </w:rPr>
        <w:t>Author affiliations:</w:t>
      </w:r>
      <w:r w:rsidRPr="00FF5BBD">
        <w:rPr>
          <w:rFonts w:asciiTheme="majorBidi" w:hAnsiTheme="majorBidi" w:cstheme="majorBidi"/>
          <w:sz w:val="24"/>
          <w:szCs w:val="24"/>
        </w:rPr>
        <w:t xml:space="preserve"> </w:t>
      </w:r>
      <w:r w:rsidRPr="0017529D">
        <w:rPr>
          <w:rFonts w:asciiTheme="majorBidi" w:hAnsiTheme="majorBidi" w:cstheme="majorBidi"/>
          <w:sz w:val="24"/>
          <w:szCs w:val="24"/>
          <w:vertAlign w:val="superscript"/>
        </w:rPr>
        <w:t>1</w:t>
      </w:r>
      <w:r w:rsidRPr="0017529D">
        <w:rPr>
          <w:rFonts w:asciiTheme="majorBidi" w:hAnsiTheme="majorBidi" w:cstheme="majorBidi"/>
          <w:sz w:val="24"/>
          <w:szCs w:val="24"/>
        </w:rPr>
        <w:t>Hammersmith Hospital, Imperial College Healthcare NHS Trust</w:t>
      </w:r>
      <w:r>
        <w:rPr>
          <w:rFonts w:asciiTheme="majorBidi" w:hAnsiTheme="majorBidi" w:cstheme="majorBidi"/>
          <w:sz w:val="24"/>
          <w:szCs w:val="24"/>
        </w:rPr>
        <w:t xml:space="preserve">, London, UK; </w:t>
      </w:r>
      <w:r w:rsidRPr="0017529D">
        <w:rPr>
          <w:rFonts w:asciiTheme="majorBidi" w:hAnsiTheme="majorBidi" w:cstheme="majorBidi"/>
          <w:sz w:val="24"/>
          <w:szCs w:val="24"/>
          <w:vertAlign w:val="superscript"/>
        </w:rPr>
        <w:t>2</w:t>
      </w:r>
      <w:r w:rsidRPr="0017529D">
        <w:rPr>
          <w:rFonts w:asciiTheme="majorBidi" w:hAnsiTheme="majorBidi" w:cstheme="majorBidi"/>
          <w:sz w:val="24"/>
          <w:szCs w:val="24"/>
        </w:rPr>
        <w:t>University</w:t>
      </w:r>
      <w:r>
        <w:rPr>
          <w:rFonts w:asciiTheme="majorBidi" w:hAnsiTheme="majorBidi" w:cstheme="majorBidi"/>
          <w:sz w:val="24"/>
          <w:szCs w:val="24"/>
        </w:rPr>
        <w:t xml:space="preserve"> of Southampton, Southampton, UK; </w:t>
      </w:r>
      <w:r w:rsidRPr="0017529D">
        <w:rPr>
          <w:rFonts w:asciiTheme="majorBidi" w:hAnsiTheme="majorBidi" w:cstheme="majorBidi"/>
          <w:sz w:val="24"/>
          <w:szCs w:val="24"/>
          <w:vertAlign w:val="superscript"/>
        </w:rPr>
        <w:t>3</w:t>
      </w:r>
      <w:r w:rsidRPr="0017529D">
        <w:rPr>
          <w:rFonts w:asciiTheme="majorBidi" w:hAnsiTheme="majorBidi" w:cstheme="majorBidi"/>
          <w:sz w:val="24"/>
          <w:szCs w:val="24"/>
        </w:rPr>
        <w:t>Castle Hill Hospital, Hull and East Yorkshire Hospitals NHS Trust</w:t>
      </w:r>
      <w:r>
        <w:rPr>
          <w:rFonts w:asciiTheme="majorBidi" w:hAnsiTheme="majorBidi" w:cstheme="majorBidi"/>
          <w:sz w:val="24"/>
          <w:szCs w:val="24"/>
        </w:rPr>
        <w:t xml:space="preserve">, Cottingham, UK; </w:t>
      </w:r>
      <w:r w:rsidRPr="0017529D">
        <w:rPr>
          <w:rFonts w:asciiTheme="majorBidi" w:hAnsiTheme="majorBidi" w:cstheme="majorBidi"/>
          <w:sz w:val="24"/>
          <w:szCs w:val="24"/>
          <w:vertAlign w:val="superscript"/>
        </w:rPr>
        <w:t>4</w:t>
      </w:r>
      <w:r w:rsidRPr="0017529D">
        <w:rPr>
          <w:rFonts w:asciiTheme="majorBidi" w:hAnsiTheme="majorBidi" w:cstheme="majorBidi"/>
          <w:sz w:val="24"/>
          <w:szCs w:val="24"/>
        </w:rPr>
        <w:t>Nottingham City Hospital, Nottingham University Hospitals NHS Trust</w:t>
      </w:r>
      <w:r>
        <w:rPr>
          <w:rFonts w:asciiTheme="majorBidi" w:hAnsiTheme="majorBidi" w:cstheme="majorBidi"/>
          <w:sz w:val="24"/>
          <w:szCs w:val="24"/>
        </w:rPr>
        <w:t xml:space="preserve">, Nottingham, UK; </w:t>
      </w:r>
      <w:r w:rsidRPr="0017529D">
        <w:rPr>
          <w:rFonts w:asciiTheme="majorBidi" w:hAnsiTheme="majorBidi" w:cstheme="majorBidi"/>
          <w:sz w:val="24"/>
          <w:szCs w:val="24"/>
          <w:vertAlign w:val="superscript"/>
        </w:rPr>
        <w:t>5</w:t>
      </w:r>
      <w:r w:rsidRPr="0017529D">
        <w:rPr>
          <w:rFonts w:asciiTheme="majorBidi" w:hAnsiTheme="majorBidi" w:cstheme="majorBidi"/>
          <w:sz w:val="24"/>
          <w:szCs w:val="24"/>
        </w:rPr>
        <w:t>Colchester Hospital University NHS Foundation Trust</w:t>
      </w:r>
      <w:r>
        <w:rPr>
          <w:rFonts w:asciiTheme="majorBidi" w:hAnsiTheme="majorBidi" w:cstheme="majorBidi"/>
          <w:sz w:val="24"/>
          <w:szCs w:val="24"/>
        </w:rPr>
        <w:t xml:space="preserve">, Colchester, UK; </w:t>
      </w:r>
      <w:r w:rsidRPr="0017529D">
        <w:rPr>
          <w:rFonts w:asciiTheme="majorBidi" w:hAnsiTheme="majorBidi" w:cstheme="majorBidi"/>
          <w:sz w:val="24"/>
          <w:szCs w:val="24"/>
          <w:vertAlign w:val="superscript"/>
        </w:rPr>
        <w:t>6</w:t>
      </w:r>
      <w:r w:rsidRPr="0017529D">
        <w:rPr>
          <w:rFonts w:asciiTheme="majorBidi" w:hAnsiTheme="majorBidi" w:cstheme="majorBidi"/>
          <w:sz w:val="24"/>
          <w:szCs w:val="24"/>
        </w:rPr>
        <w:t>Manchester Royal Infirmary, Manchester University Hospitals Foundation Trust</w:t>
      </w:r>
      <w:r>
        <w:rPr>
          <w:rFonts w:asciiTheme="majorBidi" w:hAnsiTheme="majorBidi" w:cstheme="majorBidi"/>
          <w:sz w:val="24"/>
          <w:szCs w:val="24"/>
        </w:rPr>
        <w:t xml:space="preserve">, Manchester, UK; </w:t>
      </w:r>
      <w:r w:rsidRPr="0017529D">
        <w:rPr>
          <w:rFonts w:asciiTheme="majorBidi" w:hAnsiTheme="majorBidi" w:cstheme="majorBidi"/>
          <w:sz w:val="24"/>
          <w:szCs w:val="24"/>
          <w:vertAlign w:val="superscript"/>
        </w:rPr>
        <w:t>7</w:t>
      </w:r>
      <w:r>
        <w:rPr>
          <w:rFonts w:asciiTheme="majorBidi" w:hAnsiTheme="majorBidi" w:cstheme="majorBidi"/>
          <w:sz w:val="24"/>
          <w:szCs w:val="24"/>
        </w:rPr>
        <w:t>Beatson Cancer Centre, Glasgow, UK</w:t>
      </w:r>
      <w:r w:rsidRPr="007035FA">
        <w:rPr>
          <w:rFonts w:asciiTheme="majorBidi" w:hAnsiTheme="majorBidi" w:cstheme="majorBidi"/>
          <w:sz w:val="24"/>
          <w:szCs w:val="24"/>
        </w:rPr>
        <w:t xml:space="preserve">; </w:t>
      </w:r>
      <w:r>
        <w:rPr>
          <w:rFonts w:asciiTheme="majorBidi" w:hAnsiTheme="majorBidi" w:cstheme="majorBidi"/>
          <w:sz w:val="24"/>
          <w:szCs w:val="24"/>
          <w:vertAlign w:val="superscript"/>
        </w:rPr>
        <w:t>8</w:t>
      </w:r>
      <w:r w:rsidRPr="007035FA">
        <w:rPr>
          <w:rFonts w:asciiTheme="majorBidi" w:hAnsiTheme="majorBidi" w:cstheme="majorBidi"/>
          <w:sz w:val="24"/>
          <w:szCs w:val="24"/>
        </w:rPr>
        <w:t>Addenbrookes, Cambridge University Hospitals NHS Foundation Trust</w:t>
      </w:r>
      <w:r>
        <w:rPr>
          <w:rFonts w:asciiTheme="majorBidi" w:hAnsiTheme="majorBidi" w:cstheme="majorBidi"/>
          <w:sz w:val="24"/>
          <w:szCs w:val="24"/>
        </w:rPr>
        <w:t>, Cambridge, UK</w:t>
      </w:r>
      <w:r w:rsidRPr="007035FA">
        <w:rPr>
          <w:rFonts w:asciiTheme="majorBidi" w:hAnsiTheme="majorBidi" w:cstheme="majorBidi"/>
          <w:sz w:val="24"/>
          <w:szCs w:val="24"/>
        </w:rPr>
        <w:t xml:space="preserve">; </w:t>
      </w:r>
      <w:r>
        <w:rPr>
          <w:rFonts w:asciiTheme="majorBidi" w:hAnsiTheme="majorBidi" w:cstheme="majorBidi"/>
          <w:sz w:val="24"/>
          <w:szCs w:val="24"/>
          <w:vertAlign w:val="superscript"/>
        </w:rPr>
        <w:t>9</w:t>
      </w:r>
      <w:r w:rsidRPr="007035FA">
        <w:rPr>
          <w:rFonts w:asciiTheme="majorBidi" w:hAnsiTheme="majorBidi" w:cstheme="majorBidi"/>
          <w:sz w:val="24"/>
          <w:szCs w:val="24"/>
        </w:rPr>
        <w:t>Sunderland Royal Hospital, City Hospitals Sunderland NHS Foundation Trust</w:t>
      </w:r>
      <w:r>
        <w:rPr>
          <w:rFonts w:asciiTheme="majorBidi" w:hAnsiTheme="majorBidi" w:cstheme="majorBidi"/>
          <w:sz w:val="24"/>
          <w:szCs w:val="24"/>
        </w:rPr>
        <w:t>, Sunderland, UK</w:t>
      </w:r>
      <w:r w:rsidRPr="007035FA">
        <w:rPr>
          <w:rFonts w:asciiTheme="majorBidi" w:hAnsiTheme="majorBidi" w:cstheme="majorBidi"/>
          <w:sz w:val="24"/>
          <w:szCs w:val="24"/>
        </w:rPr>
        <w:t xml:space="preserve">; </w:t>
      </w:r>
      <w:r w:rsidRPr="007035FA">
        <w:rPr>
          <w:rFonts w:asciiTheme="majorBidi" w:hAnsiTheme="majorBidi" w:cstheme="majorBidi"/>
          <w:sz w:val="24"/>
          <w:szCs w:val="24"/>
          <w:vertAlign w:val="superscript"/>
        </w:rPr>
        <w:t>1</w:t>
      </w:r>
      <w:r>
        <w:rPr>
          <w:rFonts w:asciiTheme="majorBidi" w:hAnsiTheme="majorBidi" w:cstheme="majorBidi"/>
          <w:sz w:val="24"/>
          <w:szCs w:val="24"/>
          <w:vertAlign w:val="superscript"/>
        </w:rPr>
        <w:t>0</w:t>
      </w:r>
      <w:r w:rsidRPr="007035FA">
        <w:rPr>
          <w:rFonts w:asciiTheme="majorBidi" w:hAnsiTheme="majorBidi" w:cstheme="majorBidi"/>
          <w:sz w:val="24"/>
          <w:szCs w:val="24"/>
        </w:rPr>
        <w:t>Belfast City Hospital, Belfast Health and Social Care Trust</w:t>
      </w:r>
      <w:r>
        <w:rPr>
          <w:rFonts w:asciiTheme="majorBidi" w:hAnsiTheme="majorBidi" w:cstheme="majorBidi"/>
          <w:sz w:val="24"/>
          <w:szCs w:val="24"/>
        </w:rPr>
        <w:t>, Belfast, UK;</w:t>
      </w:r>
      <w:r w:rsidRPr="007035FA">
        <w:rPr>
          <w:rFonts w:asciiTheme="majorBidi" w:hAnsiTheme="majorBidi" w:cstheme="majorBidi"/>
          <w:sz w:val="24"/>
          <w:szCs w:val="24"/>
        </w:rPr>
        <w:t xml:space="preserve"> </w:t>
      </w:r>
      <w:r w:rsidRPr="007035FA">
        <w:rPr>
          <w:rFonts w:asciiTheme="majorBidi" w:hAnsiTheme="majorBidi" w:cstheme="majorBidi"/>
          <w:sz w:val="24"/>
          <w:szCs w:val="24"/>
          <w:vertAlign w:val="superscript"/>
        </w:rPr>
        <w:t>1</w:t>
      </w:r>
      <w:r>
        <w:rPr>
          <w:rFonts w:asciiTheme="majorBidi" w:hAnsiTheme="majorBidi" w:cstheme="majorBidi"/>
          <w:sz w:val="24"/>
          <w:szCs w:val="24"/>
          <w:vertAlign w:val="superscript"/>
        </w:rPr>
        <w:t>1</w:t>
      </w:r>
      <w:r w:rsidRPr="007035FA">
        <w:rPr>
          <w:rFonts w:asciiTheme="majorBidi" w:hAnsiTheme="majorBidi" w:cstheme="majorBidi"/>
          <w:sz w:val="24"/>
          <w:szCs w:val="24"/>
        </w:rPr>
        <w:t>Royal Berkshire, Royal Berkshire NHS Foundation Trust</w:t>
      </w:r>
      <w:r>
        <w:rPr>
          <w:rFonts w:asciiTheme="majorBidi" w:hAnsiTheme="majorBidi" w:cstheme="majorBidi"/>
          <w:sz w:val="24"/>
          <w:szCs w:val="24"/>
        </w:rPr>
        <w:t>, Belfast, UK</w:t>
      </w:r>
      <w:r w:rsidRPr="007035FA">
        <w:rPr>
          <w:rFonts w:asciiTheme="majorBidi" w:hAnsiTheme="majorBidi" w:cstheme="majorBidi"/>
          <w:sz w:val="24"/>
          <w:szCs w:val="24"/>
        </w:rPr>
        <w:t xml:space="preserve">; </w:t>
      </w:r>
      <w:r w:rsidRPr="007035FA">
        <w:rPr>
          <w:rFonts w:asciiTheme="majorBidi" w:hAnsiTheme="majorBidi" w:cstheme="majorBidi"/>
          <w:sz w:val="24"/>
          <w:szCs w:val="24"/>
          <w:vertAlign w:val="superscript"/>
        </w:rPr>
        <w:t>1</w:t>
      </w:r>
      <w:r>
        <w:rPr>
          <w:rFonts w:asciiTheme="majorBidi" w:hAnsiTheme="majorBidi" w:cstheme="majorBidi"/>
          <w:sz w:val="24"/>
          <w:szCs w:val="24"/>
          <w:vertAlign w:val="superscript"/>
        </w:rPr>
        <w:t>2</w:t>
      </w:r>
      <w:r>
        <w:rPr>
          <w:rFonts w:asciiTheme="majorBidi" w:hAnsiTheme="majorBidi" w:cstheme="majorBidi"/>
          <w:sz w:val="24"/>
          <w:szCs w:val="24"/>
        </w:rPr>
        <w:t>Queen Elizabeth</w:t>
      </w:r>
      <w:r w:rsidRPr="007035FA">
        <w:rPr>
          <w:rFonts w:asciiTheme="majorBidi" w:hAnsiTheme="majorBidi" w:cstheme="majorBidi"/>
          <w:sz w:val="24"/>
          <w:szCs w:val="24"/>
        </w:rPr>
        <w:t xml:space="preserve"> Hospital Birmingham, University Hospitals Birmingham NHS Foundation Trust</w:t>
      </w:r>
      <w:r>
        <w:rPr>
          <w:rFonts w:asciiTheme="majorBidi" w:hAnsiTheme="majorBidi" w:cstheme="majorBidi"/>
          <w:sz w:val="24"/>
          <w:szCs w:val="24"/>
        </w:rPr>
        <w:t>, Birmingham, UK</w:t>
      </w:r>
      <w:r w:rsidRPr="007035FA">
        <w:rPr>
          <w:rFonts w:asciiTheme="majorBidi" w:hAnsiTheme="majorBidi" w:cstheme="majorBidi"/>
          <w:sz w:val="24"/>
          <w:szCs w:val="24"/>
        </w:rPr>
        <w:t xml:space="preserve">; </w:t>
      </w:r>
      <w:r w:rsidRPr="007035FA">
        <w:rPr>
          <w:rFonts w:asciiTheme="majorBidi" w:hAnsiTheme="majorBidi" w:cstheme="majorBidi"/>
          <w:sz w:val="24"/>
          <w:szCs w:val="24"/>
          <w:vertAlign w:val="superscript"/>
        </w:rPr>
        <w:t>1</w:t>
      </w:r>
      <w:r>
        <w:rPr>
          <w:rFonts w:asciiTheme="majorBidi" w:hAnsiTheme="majorBidi" w:cstheme="majorBidi"/>
          <w:sz w:val="24"/>
          <w:szCs w:val="24"/>
          <w:vertAlign w:val="superscript"/>
        </w:rPr>
        <w:t>3</w:t>
      </w:r>
      <w:r w:rsidRPr="007035FA">
        <w:rPr>
          <w:rFonts w:asciiTheme="majorBidi" w:hAnsiTheme="majorBidi" w:cstheme="majorBidi"/>
          <w:sz w:val="24"/>
          <w:szCs w:val="24"/>
        </w:rPr>
        <w:t>Peterbor</w:t>
      </w:r>
      <w:r w:rsidRPr="0017529D">
        <w:rPr>
          <w:rFonts w:asciiTheme="majorBidi" w:hAnsiTheme="majorBidi" w:cstheme="majorBidi"/>
          <w:sz w:val="24"/>
          <w:szCs w:val="24"/>
        </w:rPr>
        <w:t xml:space="preserve">ough City Hospital, </w:t>
      </w:r>
      <w:r w:rsidRPr="00254933">
        <w:rPr>
          <w:rFonts w:asciiTheme="majorBidi" w:hAnsiTheme="majorBidi" w:cstheme="majorBidi"/>
          <w:sz w:val="24"/>
          <w:szCs w:val="24"/>
        </w:rPr>
        <w:t>Northwest Anglia NHS Foundation Trust</w:t>
      </w:r>
      <w:r>
        <w:rPr>
          <w:rFonts w:asciiTheme="majorBidi" w:hAnsiTheme="majorBidi" w:cstheme="majorBidi"/>
          <w:sz w:val="24"/>
          <w:szCs w:val="24"/>
        </w:rPr>
        <w:t xml:space="preserve">, Peterborough, UK; </w:t>
      </w:r>
      <w:r w:rsidRPr="0017529D">
        <w:rPr>
          <w:rFonts w:asciiTheme="majorBidi" w:hAnsiTheme="majorBidi" w:cstheme="majorBidi"/>
          <w:sz w:val="24"/>
          <w:szCs w:val="24"/>
          <w:vertAlign w:val="superscript"/>
        </w:rPr>
        <w:t>1</w:t>
      </w:r>
      <w:r>
        <w:rPr>
          <w:rFonts w:asciiTheme="majorBidi" w:hAnsiTheme="majorBidi" w:cstheme="majorBidi"/>
          <w:sz w:val="24"/>
          <w:szCs w:val="24"/>
          <w:vertAlign w:val="superscript"/>
        </w:rPr>
        <w:t>4</w:t>
      </w:r>
      <w:r w:rsidRPr="0017529D">
        <w:rPr>
          <w:rFonts w:asciiTheme="majorBidi" w:hAnsiTheme="majorBidi" w:cstheme="majorBidi"/>
          <w:sz w:val="24"/>
          <w:szCs w:val="24"/>
        </w:rPr>
        <w:t>Aberdeen Royal Infirmary, NHS Grampian</w:t>
      </w:r>
      <w:r>
        <w:rPr>
          <w:rFonts w:asciiTheme="majorBidi" w:hAnsiTheme="majorBidi" w:cstheme="majorBidi"/>
          <w:sz w:val="24"/>
          <w:szCs w:val="24"/>
        </w:rPr>
        <w:t xml:space="preserve">, Aberdeen, UK; </w:t>
      </w:r>
      <w:r w:rsidRPr="0017529D">
        <w:rPr>
          <w:rFonts w:asciiTheme="majorBidi" w:hAnsiTheme="majorBidi" w:cstheme="majorBidi"/>
          <w:sz w:val="24"/>
          <w:szCs w:val="24"/>
          <w:vertAlign w:val="superscript"/>
        </w:rPr>
        <w:t>1</w:t>
      </w:r>
      <w:r>
        <w:rPr>
          <w:rFonts w:asciiTheme="majorBidi" w:hAnsiTheme="majorBidi" w:cstheme="majorBidi"/>
          <w:sz w:val="24"/>
          <w:szCs w:val="24"/>
          <w:vertAlign w:val="superscript"/>
        </w:rPr>
        <w:t>5</w:t>
      </w:r>
      <w:r w:rsidRPr="0017529D">
        <w:rPr>
          <w:rFonts w:asciiTheme="majorBidi" w:hAnsiTheme="majorBidi" w:cstheme="majorBidi"/>
          <w:sz w:val="24"/>
          <w:szCs w:val="24"/>
        </w:rPr>
        <w:t xml:space="preserve">Sandwells District General Hospital, </w:t>
      </w:r>
      <w:proofErr w:type="spellStart"/>
      <w:r w:rsidRPr="0017529D">
        <w:rPr>
          <w:rFonts w:asciiTheme="majorBidi" w:hAnsiTheme="majorBidi" w:cstheme="majorBidi"/>
          <w:sz w:val="24"/>
          <w:szCs w:val="24"/>
        </w:rPr>
        <w:t>Sandwells</w:t>
      </w:r>
      <w:proofErr w:type="spellEnd"/>
      <w:r w:rsidRPr="0017529D">
        <w:rPr>
          <w:rFonts w:asciiTheme="majorBidi" w:hAnsiTheme="majorBidi" w:cstheme="majorBidi"/>
          <w:sz w:val="24"/>
          <w:szCs w:val="24"/>
        </w:rPr>
        <w:t xml:space="preserve"> and West Birmingham Hospitals NHS Trust</w:t>
      </w:r>
      <w:r>
        <w:rPr>
          <w:rFonts w:asciiTheme="majorBidi" w:hAnsiTheme="majorBidi" w:cstheme="majorBidi"/>
          <w:sz w:val="24"/>
          <w:szCs w:val="24"/>
        </w:rPr>
        <w:t xml:space="preserve">, West Bromwich, UK; </w:t>
      </w:r>
      <w:r w:rsidRPr="0017529D">
        <w:rPr>
          <w:rFonts w:asciiTheme="majorBidi" w:hAnsiTheme="majorBidi" w:cstheme="majorBidi"/>
          <w:sz w:val="24"/>
          <w:szCs w:val="24"/>
          <w:vertAlign w:val="superscript"/>
        </w:rPr>
        <w:t>1</w:t>
      </w:r>
      <w:r>
        <w:rPr>
          <w:rFonts w:asciiTheme="majorBidi" w:hAnsiTheme="majorBidi" w:cstheme="majorBidi"/>
          <w:sz w:val="24"/>
          <w:szCs w:val="24"/>
          <w:vertAlign w:val="superscript"/>
        </w:rPr>
        <w:t>6</w:t>
      </w:r>
      <w:r w:rsidRPr="0017529D">
        <w:rPr>
          <w:rFonts w:asciiTheme="majorBidi" w:hAnsiTheme="majorBidi" w:cstheme="majorBidi"/>
          <w:sz w:val="24"/>
          <w:szCs w:val="24"/>
        </w:rPr>
        <w:t>St George's University Hospitals NHS Foundation Trust</w:t>
      </w:r>
      <w:r>
        <w:rPr>
          <w:rFonts w:asciiTheme="majorBidi" w:hAnsiTheme="majorBidi" w:cstheme="majorBidi"/>
          <w:sz w:val="24"/>
          <w:szCs w:val="24"/>
        </w:rPr>
        <w:t>, London, UK;</w:t>
      </w:r>
      <w:r w:rsidRPr="00727CA7">
        <w:rPr>
          <w:rFonts w:asciiTheme="majorBidi" w:hAnsiTheme="majorBidi" w:cstheme="majorBidi"/>
          <w:sz w:val="24"/>
          <w:szCs w:val="24"/>
          <w:vertAlign w:val="superscript"/>
        </w:rPr>
        <w:t xml:space="preserve"> </w:t>
      </w:r>
      <w:r>
        <w:rPr>
          <w:rFonts w:asciiTheme="majorBidi" w:hAnsiTheme="majorBidi" w:cstheme="majorBidi"/>
          <w:sz w:val="24"/>
          <w:szCs w:val="24"/>
          <w:vertAlign w:val="superscript"/>
        </w:rPr>
        <w:t>17</w:t>
      </w:r>
      <w:r>
        <w:rPr>
          <w:rFonts w:asciiTheme="majorBidi" w:hAnsiTheme="majorBidi" w:cstheme="majorBidi"/>
          <w:sz w:val="24"/>
          <w:szCs w:val="24"/>
        </w:rPr>
        <w:t>OPEN VIE, Marlow, UK</w:t>
      </w:r>
      <w:r w:rsidRPr="007035FA">
        <w:rPr>
          <w:rFonts w:asciiTheme="majorBidi" w:hAnsiTheme="majorBidi" w:cstheme="majorBidi"/>
          <w:sz w:val="24"/>
          <w:szCs w:val="24"/>
        </w:rPr>
        <w:t xml:space="preserve">; </w:t>
      </w:r>
      <w:r>
        <w:rPr>
          <w:rFonts w:asciiTheme="majorBidi" w:hAnsiTheme="majorBidi" w:cstheme="majorBidi"/>
          <w:sz w:val="24"/>
          <w:szCs w:val="24"/>
          <w:vertAlign w:val="superscript"/>
        </w:rPr>
        <w:t>18</w:t>
      </w:r>
      <w:r w:rsidRPr="007035FA">
        <w:rPr>
          <w:rFonts w:asciiTheme="majorBidi" w:hAnsiTheme="majorBidi" w:cstheme="majorBidi"/>
          <w:sz w:val="24"/>
          <w:szCs w:val="24"/>
        </w:rPr>
        <w:t>Novartis Pharmaceuticals UK Limited</w:t>
      </w:r>
      <w:r>
        <w:rPr>
          <w:rFonts w:asciiTheme="majorBidi" w:hAnsiTheme="majorBidi" w:cstheme="majorBidi"/>
          <w:sz w:val="24"/>
          <w:szCs w:val="24"/>
        </w:rPr>
        <w:t>, Camberley, UK</w:t>
      </w:r>
      <w:r w:rsidRPr="007035FA">
        <w:rPr>
          <w:rFonts w:asciiTheme="majorBidi" w:hAnsiTheme="majorBidi" w:cstheme="majorBidi"/>
          <w:sz w:val="24"/>
          <w:szCs w:val="24"/>
        </w:rPr>
        <w:t xml:space="preserve">; </w:t>
      </w:r>
      <w:r>
        <w:rPr>
          <w:rFonts w:asciiTheme="majorBidi" w:hAnsiTheme="majorBidi" w:cstheme="majorBidi"/>
          <w:sz w:val="24"/>
          <w:szCs w:val="24"/>
          <w:vertAlign w:val="superscript"/>
        </w:rPr>
        <w:t>19</w:t>
      </w:r>
      <w:r w:rsidRPr="0017529D">
        <w:rPr>
          <w:rFonts w:asciiTheme="majorBidi" w:hAnsiTheme="majorBidi" w:cstheme="majorBidi"/>
          <w:sz w:val="24"/>
          <w:szCs w:val="24"/>
        </w:rPr>
        <w:t>Royal Liverpool</w:t>
      </w:r>
      <w:r>
        <w:rPr>
          <w:rFonts w:asciiTheme="majorBidi" w:hAnsiTheme="majorBidi" w:cstheme="majorBidi"/>
          <w:sz w:val="24"/>
          <w:szCs w:val="24"/>
        </w:rPr>
        <w:t xml:space="preserve"> University Hospital</w:t>
      </w:r>
      <w:r w:rsidRPr="0017529D">
        <w:rPr>
          <w:rFonts w:asciiTheme="majorBidi" w:hAnsiTheme="majorBidi" w:cstheme="majorBidi"/>
          <w:sz w:val="24"/>
          <w:szCs w:val="24"/>
        </w:rPr>
        <w:t xml:space="preserve">, </w:t>
      </w:r>
      <w:r>
        <w:rPr>
          <w:rFonts w:asciiTheme="majorBidi" w:hAnsiTheme="majorBidi" w:cstheme="majorBidi"/>
          <w:sz w:val="24"/>
          <w:szCs w:val="24"/>
        </w:rPr>
        <w:t xml:space="preserve">Liverpool, UK; </w:t>
      </w:r>
      <w:r w:rsidRPr="0017529D">
        <w:rPr>
          <w:rFonts w:asciiTheme="majorBidi" w:hAnsiTheme="majorBidi" w:cstheme="majorBidi"/>
          <w:sz w:val="24"/>
          <w:szCs w:val="24"/>
          <w:vertAlign w:val="superscript"/>
        </w:rPr>
        <w:t>2</w:t>
      </w:r>
      <w:r>
        <w:rPr>
          <w:rFonts w:asciiTheme="majorBidi" w:hAnsiTheme="majorBidi" w:cstheme="majorBidi"/>
          <w:sz w:val="24"/>
          <w:szCs w:val="24"/>
          <w:vertAlign w:val="superscript"/>
        </w:rPr>
        <w:t>0</w:t>
      </w:r>
      <w:r w:rsidRPr="009E4ED7">
        <w:rPr>
          <w:rFonts w:asciiTheme="majorBidi" w:hAnsiTheme="majorBidi" w:cstheme="majorBidi"/>
          <w:sz w:val="24"/>
          <w:szCs w:val="24"/>
        </w:rPr>
        <w:t>NIHR Oxford Biomedical Research Centre, John Radcliffe Hospital OX3 9DU</w:t>
      </w:r>
      <w:r>
        <w:rPr>
          <w:rFonts w:asciiTheme="majorBidi" w:hAnsiTheme="majorBidi" w:cstheme="majorBidi"/>
          <w:sz w:val="24"/>
          <w:szCs w:val="24"/>
        </w:rPr>
        <w:t xml:space="preserve">; </w:t>
      </w:r>
      <w:r w:rsidRPr="0017529D">
        <w:rPr>
          <w:rFonts w:asciiTheme="majorBidi" w:hAnsiTheme="majorBidi" w:cstheme="majorBidi"/>
          <w:sz w:val="24"/>
          <w:szCs w:val="24"/>
          <w:vertAlign w:val="superscript"/>
        </w:rPr>
        <w:t>2</w:t>
      </w:r>
      <w:r>
        <w:rPr>
          <w:rFonts w:asciiTheme="majorBidi" w:hAnsiTheme="majorBidi" w:cstheme="majorBidi"/>
          <w:sz w:val="24"/>
          <w:szCs w:val="24"/>
          <w:vertAlign w:val="superscript"/>
        </w:rPr>
        <w:t>1</w:t>
      </w:r>
      <w:r>
        <w:rPr>
          <w:rFonts w:asciiTheme="majorBidi" w:hAnsiTheme="majorBidi" w:cstheme="majorBidi"/>
          <w:sz w:val="24"/>
          <w:szCs w:val="24"/>
        </w:rPr>
        <w:t xml:space="preserve">MRC Molecular Haematology Unit, MRC Weatherall Institute of Molecular Medicine, </w:t>
      </w:r>
      <w:r w:rsidRPr="009E4ED7">
        <w:rPr>
          <w:rFonts w:asciiTheme="majorBidi" w:hAnsiTheme="majorBidi" w:cstheme="majorBidi"/>
          <w:sz w:val="24"/>
          <w:szCs w:val="24"/>
        </w:rPr>
        <w:t>John Radcliffe Hospital</w:t>
      </w:r>
      <w:r>
        <w:rPr>
          <w:rFonts w:asciiTheme="majorBidi" w:hAnsiTheme="majorBidi" w:cstheme="majorBidi"/>
          <w:sz w:val="24"/>
          <w:szCs w:val="24"/>
        </w:rPr>
        <w:t>, Oxford, UK</w:t>
      </w:r>
    </w:p>
    <w:p w:rsidR="00B331A1" w:rsidRPr="00FF59B0" w:rsidRDefault="00B331A1" w:rsidP="00B331A1">
      <w:pPr>
        <w:spacing w:line="480" w:lineRule="auto"/>
        <w:rPr>
          <w:rFonts w:asciiTheme="majorBidi" w:hAnsiTheme="majorBidi" w:cstheme="majorBidi"/>
          <w:sz w:val="24"/>
          <w:szCs w:val="24"/>
        </w:rPr>
      </w:pPr>
    </w:p>
    <w:p w:rsidR="00B331A1" w:rsidRPr="00FF59B0" w:rsidRDefault="00B331A1" w:rsidP="00B331A1">
      <w:pPr>
        <w:spacing w:line="480" w:lineRule="auto"/>
        <w:rPr>
          <w:rFonts w:asciiTheme="majorBidi" w:hAnsiTheme="majorBidi" w:cstheme="majorBidi"/>
          <w:sz w:val="24"/>
          <w:szCs w:val="24"/>
        </w:rPr>
      </w:pPr>
    </w:p>
    <w:p w:rsidR="00B331A1" w:rsidRPr="00FF59B0" w:rsidRDefault="00B331A1" w:rsidP="00B331A1">
      <w:pPr>
        <w:spacing w:line="480" w:lineRule="auto"/>
        <w:rPr>
          <w:rFonts w:asciiTheme="majorBidi" w:hAnsiTheme="majorBidi" w:cstheme="majorBidi"/>
          <w:sz w:val="24"/>
          <w:szCs w:val="24"/>
        </w:rPr>
      </w:pPr>
      <w:r w:rsidRPr="00FF59B0">
        <w:rPr>
          <w:rFonts w:asciiTheme="majorBidi" w:hAnsiTheme="majorBidi" w:cstheme="majorBidi"/>
          <w:b/>
          <w:sz w:val="24"/>
          <w:szCs w:val="24"/>
        </w:rPr>
        <w:t>Corresponding author:</w:t>
      </w:r>
      <w:r>
        <w:rPr>
          <w:rFonts w:asciiTheme="majorBidi" w:hAnsiTheme="majorBidi" w:cstheme="majorBidi"/>
          <w:b/>
          <w:sz w:val="24"/>
          <w:szCs w:val="24"/>
        </w:rPr>
        <w:t xml:space="preserve"> Adam J. Mead</w:t>
      </w:r>
    </w:p>
    <w:p w:rsidR="00B331A1" w:rsidRPr="009E4ED7"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Postal address: MRC Molecular Haematology Unit, MRC Weatherall Institute of Molecular Medicine, </w:t>
      </w:r>
      <w:r w:rsidRPr="009E4ED7">
        <w:rPr>
          <w:rFonts w:asciiTheme="majorBidi" w:hAnsiTheme="majorBidi" w:cstheme="majorBidi"/>
          <w:sz w:val="24"/>
          <w:szCs w:val="24"/>
        </w:rPr>
        <w:t>John Radcliffe Hospital OX3 9D</w:t>
      </w:r>
      <w:r>
        <w:rPr>
          <w:rFonts w:asciiTheme="majorBidi" w:hAnsiTheme="majorBidi" w:cstheme="majorBidi"/>
          <w:sz w:val="24"/>
          <w:szCs w:val="24"/>
        </w:rPr>
        <w:t>S</w:t>
      </w:r>
    </w:p>
    <w:p w:rsidR="00B331A1" w:rsidRPr="00FF59B0" w:rsidRDefault="00B331A1" w:rsidP="00B331A1">
      <w:pPr>
        <w:spacing w:line="480" w:lineRule="auto"/>
        <w:rPr>
          <w:rFonts w:asciiTheme="majorBidi" w:hAnsiTheme="majorBidi" w:cstheme="majorBidi"/>
          <w:sz w:val="24"/>
          <w:szCs w:val="24"/>
        </w:rPr>
      </w:pPr>
      <w:r w:rsidRPr="00FF59B0">
        <w:rPr>
          <w:rFonts w:asciiTheme="majorBidi" w:hAnsiTheme="majorBidi" w:cstheme="majorBidi"/>
          <w:sz w:val="24"/>
          <w:szCs w:val="24"/>
        </w:rPr>
        <w:t>Email</w:t>
      </w:r>
      <w:r>
        <w:rPr>
          <w:rFonts w:asciiTheme="majorBidi" w:hAnsiTheme="majorBidi" w:cstheme="majorBidi"/>
          <w:sz w:val="24"/>
          <w:szCs w:val="24"/>
        </w:rPr>
        <w:t xml:space="preserve">: </w:t>
      </w:r>
      <w:r w:rsidRPr="00BA6762">
        <w:rPr>
          <w:rFonts w:asciiTheme="majorBidi" w:hAnsiTheme="majorBidi" w:cstheme="majorBidi"/>
          <w:sz w:val="24"/>
          <w:szCs w:val="24"/>
        </w:rPr>
        <w:t>adam.mead@imm.ox.ac.uk</w:t>
      </w:r>
    </w:p>
    <w:p w:rsidR="00B331A1" w:rsidRPr="00FF59B0" w:rsidRDefault="00B331A1" w:rsidP="00B331A1">
      <w:pPr>
        <w:spacing w:line="480" w:lineRule="auto"/>
        <w:rPr>
          <w:rFonts w:asciiTheme="majorBidi" w:hAnsiTheme="majorBidi" w:cstheme="majorBidi"/>
          <w:sz w:val="24"/>
          <w:szCs w:val="24"/>
        </w:rPr>
      </w:pPr>
    </w:p>
    <w:p w:rsidR="00B331A1" w:rsidRPr="00194952" w:rsidRDefault="00B331A1" w:rsidP="00B331A1">
      <w:pPr>
        <w:spacing w:line="480" w:lineRule="auto"/>
        <w:rPr>
          <w:rFonts w:asciiTheme="majorBidi" w:hAnsiTheme="majorBidi" w:cstheme="majorBidi"/>
          <w:sz w:val="24"/>
          <w:szCs w:val="24"/>
        </w:rPr>
      </w:pPr>
      <w:r w:rsidRPr="00FF59B0">
        <w:rPr>
          <w:rFonts w:asciiTheme="majorBidi" w:hAnsiTheme="majorBidi" w:cstheme="majorBidi"/>
          <w:sz w:val="24"/>
          <w:szCs w:val="24"/>
        </w:rPr>
        <w:t xml:space="preserve">Abstract: </w:t>
      </w:r>
      <w:r w:rsidRPr="00E71165">
        <w:rPr>
          <w:rFonts w:asciiTheme="majorBidi" w:hAnsiTheme="majorBidi" w:cstheme="majorBidi"/>
          <w:sz w:val="24"/>
          <w:szCs w:val="24"/>
        </w:rPr>
        <w:t>200</w:t>
      </w:r>
      <w:r w:rsidRPr="00194952">
        <w:rPr>
          <w:rFonts w:asciiTheme="majorBidi" w:hAnsiTheme="majorBidi" w:cstheme="majorBidi"/>
          <w:sz w:val="24"/>
          <w:szCs w:val="24"/>
        </w:rPr>
        <w:t xml:space="preserve"> (</w:t>
      </w:r>
      <w:r>
        <w:rPr>
          <w:rFonts w:asciiTheme="majorBidi" w:hAnsiTheme="majorBidi" w:cstheme="majorBidi"/>
          <w:sz w:val="24"/>
          <w:szCs w:val="24"/>
        </w:rPr>
        <w:t>unstructured; word limit: 200</w:t>
      </w:r>
      <w:r w:rsidRPr="00194952">
        <w:rPr>
          <w:rFonts w:asciiTheme="majorBidi" w:hAnsiTheme="majorBidi" w:cstheme="majorBidi"/>
          <w:sz w:val="24"/>
          <w:szCs w:val="24"/>
        </w:rPr>
        <w:t>)</w:t>
      </w:r>
    </w:p>
    <w:p w:rsidR="00B331A1" w:rsidRPr="00DB2208" w:rsidRDefault="00B331A1" w:rsidP="00B331A1">
      <w:pPr>
        <w:spacing w:line="480" w:lineRule="auto"/>
        <w:rPr>
          <w:rFonts w:asciiTheme="majorBidi" w:hAnsiTheme="majorBidi" w:cstheme="majorBidi"/>
          <w:b/>
          <w:sz w:val="24"/>
          <w:szCs w:val="24"/>
          <w:u w:val="single"/>
        </w:rPr>
      </w:pPr>
      <w:r w:rsidRPr="009D3C08">
        <w:rPr>
          <w:rFonts w:asciiTheme="majorBidi" w:hAnsiTheme="majorBidi" w:cstheme="majorBidi"/>
          <w:b/>
          <w:color w:val="C00000"/>
          <w:sz w:val="24"/>
          <w:szCs w:val="24"/>
          <w:u w:val="single"/>
        </w:rPr>
        <w:t xml:space="preserve">Current Word count: </w:t>
      </w:r>
      <w:r>
        <w:rPr>
          <w:rFonts w:asciiTheme="majorBidi" w:hAnsiTheme="majorBidi" w:cstheme="majorBidi"/>
          <w:b/>
          <w:color w:val="C00000"/>
          <w:sz w:val="24"/>
          <w:szCs w:val="24"/>
          <w:u w:val="single"/>
        </w:rPr>
        <w:t>2995</w:t>
      </w:r>
      <w:r w:rsidRPr="009D3C08">
        <w:rPr>
          <w:rFonts w:asciiTheme="majorBidi" w:hAnsiTheme="majorBidi" w:cstheme="majorBidi"/>
          <w:b/>
          <w:color w:val="C00000"/>
          <w:sz w:val="24"/>
          <w:szCs w:val="24"/>
          <w:u w:val="single"/>
        </w:rPr>
        <w:t xml:space="preserve"> </w:t>
      </w:r>
      <w:r w:rsidRPr="00DB2208">
        <w:rPr>
          <w:rFonts w:asciiTheme="majorBidi" w:hAnsiTheme="majorBidi" w:cstheme="majorBidi"/>
          <w:b/>
          <w:sz w:val="24"/>
          <w:szCs w:val="24"/>
          <w:u w:val="single"/>
        </w:rPr>
        <w:t>(limit excluding abstract, t</w:t>
      </w:r>
      <w:r>
        <w:rPr>
          <w:rFonts w:asciiTheme="majorBidi" w:hAnsiTheme="majorBidi" w:cstheme="majorBidi"/>
          <w:b/>
          <w:sz w:val="24"/>
          <w:szCs w:val="24"/>
          <w:u w:val="single"/>
        </w:rPr>
        <w:t>ables/figures and references: 3</w:t>
      </w:r>
      <w:r w:rsidRPr="00DB2208">
        <w:rPr>
          <w:rFonts w:asciiTheme="majorBidi" w:hAnsiTheme="majorBidi" w:cstheme="majorBidi"/>
          <w:b/>
          <w:sz w:val="24"/>
          <w:szCs w:val="24"/>
          <w:u w:val="single"/>
        </w:rPr>
        <w:t xml:space="preserve">,000) </w:t>
      </w:r>
    </w:p>
    <w:p w:rsidR="00B331A1" w:rsidRPr="00FF59B0" w:rsidRDefault="00B331A1" w:rsidP="00B331A1">
      <w:pPr>
        <w:spacing w:line="480" w:lineRule="auto"/>
        <w:rPr>
          <w:rFonts w:asciiTheme="majorBidi" w:hAnsiTheme="majorBidi" w:cstheme="majorBidi"/>
          <w:sz w:val="24"/>
          <w:szCs w:val="24"/>
        </w:rPr>
      </w:pPr>
      <w:r w:rsidRPr="00FF59B0">
        <w:rPr>
          <w:rFonts w:asciiTheme="majorBidi" w:hAnsiTheme="majorBidi" w:cstheme="majorBidi"/>
          <w:sz w:val="24"/>
          <w:szCs w:val="24"/>
        </w:rPr>
        <w:t xml:space="preserve">Tables/figures: </w:t>
      </w:r>
      <w:r>
        <w:rPr>
          <w:rFonts w:asciiTheme="majorBidi" w:hAnsiTheme="majorBidi" w:cstheme="majorBidi"/>
          <w:sz w:val="24"/>
          <w:szCs w:val="24"/>
        </w:rPr>
        <w:t>8</w:t>
      </w:r>
      <w:r w:rsidRPr="00FF59B0">
        <w:rPr>
          <w:rFonts w:asciiTheme="majorBidi" w:hAnsiTheme="majorBidi" w:cstheme="majorBidi"/>
          <w:sz w:val="24"/>
          <w:szCs w:val="24"/>
        </w:rPr>
        <w:t xml:space="preserve"> (limit: 8 total)</w:t>
      </w:r>
    </w:p>
    <w:p w:rsidR="00B331A1" w:rsidRDefault="00B331A1" w:rsidP="00B331A1">
      <w:pPr>
        <w:spacing w:line="480" w:lineRule="auto"/>
        <w:rPr>
          <w:rFonts w:asciiTheme="majorBidi" w:hAnsiTheme="majorBidi" w:cstheme="majorBidi"/>
          <w:sz w:val="24"/>
          <w:szCs w:val="24"/>
        </w:rPr>
      </w:pPr>
      <w:r w:rsidRPr="00FF59B0">
        <w:rPr>
          <w:rFonts w:asciiTheme="majorBidi" w:hAnsiTheme="majorBidi" w:cstheme="majorBidi"/>
          <w:sz w:val="24"/>
          <w:szCs w:val="24"/>
        </w:rPr>
        <w:t xml:space="preserve">References: </w:t>
      </w:r>
      <w:r>
        <w:rPr>
          <w:rFonts w:asciiTheme="majorBidi" w:hAnsiTheme="majorBidi" w:cstheme="majorBidi"/>
          <w:sz w:val="24"/>
          <w:szCs w:val="24"/>
        </w:rPr>
        <w:t>30</w:t>
      </w:r>
      <w:r w:rsidRPr="00FF59B0">
        <w:rPr>
          <w:rFonts w:asciiTheme="majorBidi" w:hAnsiTheme="majorBidi" w:cstheme="majorBidi"/>
          <w:sz w:val="24"/>
          <w:szCs w:val="24"/>
        </w:rPr>
        <w:t xml:space="preserve"> (limit: </w:t>
      </w:r>
      <w:r>
        <w:rPr>
          <w:rFonts w:asciiTheme="majorBidi" w:hAnsiTheme="majorBidi" w:cstheme="majorBidi"/>
          <w:sz w:val="24"/>
          <w:szCs w:val="24"/>
        </w:rPr>
        <w:t>60</w:t>
      </w:r>
      <w:r w:rsidRPr="00FF59B0">
        <w:rPr>
          <w:rFonts w:asciiTheme="majorBidi" w:hAnsiTheme="majorBidi" w:cstheme="majorBidi"/>
          <w:sz w:val="24"/>
          <w:szCs w:val="24"/>
        </w:rPr>
        <w:t>)</w:t>
      </w:r>
    </w:p>
    <w:p w:rsidR="00B331A1" w:rsidRDefault="00B331A1" w:rsidP="00B331A1">
      <w:pPr>
        <w:rPr>
          <w:rFonts w:asciiTheme="majorBidi" w:hAnsiTheme="majorBidi" w:cstheme="majorBidi"/>
          <w:b/>
          <w:sz w:val="24"/>
          <w:szCs w:val="24"/>
        </w:rPr>
      </w:pPr>
      <w:r>
        <w:rPr>
          <w:rFonts w:asciiTheme="majorBidi" w:hAnsiTheme="majorBidi" w:cstheme="majorBidi"/>
          <w:b/>
          <w:sz w:val="24"/>
          <w:szCs w:val="24"/>
        </w:rPr>
        <w:br w:type="page"/>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b/>
          <w:sz w:val="24"/>
          <w:szCs w:val="24"/>
        </w:rPr>
        <w:lastRenderedPageBreak/>
        <w:t>Abstract</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Management of chronic myeloid leukaemia (CML) has recently undergone dramatic changes, prompting the European </w:t>
      </w:r>
      <w:proofErr w:type="spellStart"/>
      <w:r>
        <w:rPr>
          <w:rFonts w:asciiTheme="majorBidi" w:hAnsiTheme="majorBidi" w:cstheme="majorBidi"/>
          <w:sz w:val="24"/>
          <w:szCs w:val="24"/>
        </w:rPr>
        <w:t>LeukemiaNet</w:t>
      </w:r>
      <w:proofErr w:type="spellEnd"/>
      <w:r>
        <w:rPr>
          <w:rFonts w:asciiTheme="majorBidi" w:hAnsiTheme="majorBidi" w:cstheme="majorBidi"/>
          <w:sz w:val="24"/>
          <w:szCs w:val="24"/>
        </w:rPr>
        <w:t xml:space="preserve"> (ELN) to issue recommendations in 2013; however, it remains unclear whether real-world CML management is consistent with these goals. We report results of UK TARGET CML, a retrospective observational study of 257 patients with chronic-phase CML prescribed a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TKI between 2013 and 2017, most of whom received first-line imatinib (n=203). Although 44% of patients required ≥1 change of TKI, these real-world data reveal that molecular assessments were frequently missed, 23% of patients with ELN-defined treatment failure did not switch TKI and kinase domain mutation analysis was performed in only 49% of patients who switched TKI for resistance. Major molecular response (MMR; </w:t>
      </w:r>
      <w:r w:rsidRPr="004B7D2E">
        <w:rPr>
          <w:rFonts w:asciiTheme="majorBidi" w:hAnsiTheme="majorBidi"/>
          <w:i/>
          <w:sz w:val="24"/>
        </w:rPr>
        <w:t>BCR-ABL1</w:t>
      </w:r>
      <w:r w:rsidRPr="004B7D2E">
        <w:rPr>
          <w:rFonts w:asciiTheme="majorBidi" w:hAnsiTheme="majorBidi" w:cstheme="majorBidi"/>
          <w:sz w:val="24"/>
          <w:szCs w:val="24"/>
          <w:vertAlign w:val="superscript"/>
        </w:rPr>
        <w:t>IS</w:t>
      </w:r>
      <w:r>
        <w:rPr>
          <w:rFonts w:asciiTheme="majorBidi" w:hAnsiTheme="majorBidi" w:cstheme="majorBidi"/>
          <w:sz w:val="24"/>
          <w:szCs w:val="24"/>
        </w:rPr>
        <w:t xml:space="preserve"> ≤0.1%) and deep molecular response (DMR; </w:t>
      </w:r>
      <w:r w:rsidRPr="004B7D2E">
        <w:rPr>
          <w:rFonts w:asciiTheme="majorBidi" w:hAnsiTheme="majorBidi"/>
          <w:i/>
          <w:sz w:val="24"/>
        </w:rPr>
        <w:t>BCR-</w:t>
      </w:r>
      <w:r w:rsidRPr="004B7D2E">
        <w:rPr>
          <w:rFonts w:asciiTheme="majorBidi" w:hAnsiTheme="majorBidi" w:cstheme="majorBidi"/>
          <w:i/>
          <w:iCs/>
          <w:sz w:val="24"/>
          <w:szCs w:val="24"/>
        </w:rPr>
        <w:t>ABL1</w:t>
      </w:r>
      <w:r w:rsidRPr="004B7D2E">
        <w:rPr>
          <w:rFonts w:asciiTheme="majorBidi" w:hAnsiTheme="majorBidi" w:cstheme="majorBidi"/>
          <w:sz w:val="24"/>
          <w:szCs w:val="24"/>
          <w:vertAlign w:val="superscript"/>
        </w:rPr>
        <w:t>IS</w:t>
      </w:r>
      <w:r>
        <w:rPr>
          <w:rFonts w:asciiTheme="majorBidi" w:hAnsiTheme="majorBidi" w:cstheme="majorBidi"/>
          <w:sz w:val="24"/>
          <w:szCs w:val="24"/>
        </w:rPr>
        <w:t xml:space="preserve"> ≤0.01%) </w:t>
      </w:r>
      <w:r w:rsidRPr="002D04C5">
        <w:rPr>
          <w:rFonts w:asciiTheme="majorBidi" w:hAnsiTheme="majorBidi" w:cstheme="majorBidi"/>
          <w:sz w:val="24"/>
          <w:szCs w:val="24"/>
        </w:rPr>
        <w:t>were observed in 50% and 29%</w:t>
      </w:r>
      <w:r>
        <w:rPr>
          <w:rFonts w:asciiTheme="majorBidi" w:hAnsiTheme="majorBidi" w:cstheme="majorBidi"/>
          <w:sz w:val="24"/>
          <w:szCs w:val="24"/>
        </w:rPr>
        <w:t>,</w:t>
      </w:r>
      <w:r w:rsidRPr="002D04C5">
        <w:rPr>
          <w:rFonts w:asciiTheme="majorBidi" w:hAnsiTheme="majorBidi" w:cstheme="majorBidi"/>
          <w:sz w:val="24"/>
          <w:szCs w:val="24"/>
        </w:rPr>
        <w:t xml:space="preserve"> respectively</w:t>
      </w:r>
      <w:r>
        <w:rPr>
          <w:rFonts w:asciiTheme="majorBidi" w:hAnsiTheme="majorBidi" w:cstheme="majorBidi"/>
          <w:sz w:val="24"/>
          <w:szCs w:val="24"/>
        </w:rPr>
        <w:t>,</w:t>
      </w:r>
      <w:r w:rsidRPr="002D04C5">
        <w:rPr>
          <w:rFonts w:asciiTheme="majorBidi" w:hAnsiTheme="majorBidi" w:cstheme="majorBidi"/>
          <w:sz w:val="24"/>
          <w:szCs w:val="24"/>
        </w:rPr>
        <w:t xml:space="preserve"> of patients treated </w:t>
      </w:r>
      <w:r>
        <w:rPr>
          <w:rFonts w:asciiTheme="majorBidi" w:hAnsiTheme="majorBidi" w:cstheme="majorBidi"/>
          <w:sz w:val="24"/>
          <w:szCs w:val="24"/>
        </w:rPr>
        <w:t xml:space="preserve">with </w:t>
      </w:r>
      <w:proofErr w:type="gramStart"/>
      <w:r w:rsidRPr="002D04C5">
        <w:rPr>
          <w:rFonts w:asciiTheme="majorBidi" w:hAnsiTheme="majorBidi" w:cstheme="majorBidi"/>
          <w:sz w:val="24"/>
          <w:szCs w:val="24"/>
        </w:rPr>
        <w:t>first</w:t>
      </w:r>
      <w:r>
        <w:rPr>
          <w:rFonts w:asciiTheme="majorBidi" w:hAnsiTheme="majorBidi" w:cstheme="majorBidi"/>
          <w:sz w:val="24"/>
          <w:szCs w:val="24"/>
        </w:rPr>
        <w:t>-</w:t>
      </w:r>
      <w:r w:rsidRPr="002D04C5">
        <w:rPr>
          <w:rFonts w:asciiTheme="majorBidi" w:hAnsiTheme="majorBidi" w:cstheme="majorBidi"/>
          <w:sz w:val="24"/>
          <w:szCs w:val="24"/>
        </w:rPr>
        <w:t>line</w:t>
      </w:r>
      <w:proofErr w:type="gramEnd"/>
      <w:r w:rsidRPr="002D04C5">
        <w:rPr>
          <w:rFonts w:asciiTheme="majorBidi" w:hAnsiTheme="majorBidi" w:cstheme="majorBidi"/>
          <w:sz w:val="24"/>
          <w:szCs w:val="24"/>
        </w:rPr>
        <w:t xml:space="preserve"> imatinib and 63% and 54% receiving a </w:t>
      </w:r>
      <w:r>
        <w:rPr>
          <w:rFonts w:asciiTheme="majorBidi" w:hAnsiTheme="majorBidi" w:cstheme="majorBidi"/>
          <w:sz w:val="24"/>
          <w:szCs w:val="24"/>
        </w:rPr>
        <w:t>second</w:t>
      </w:r>
      <w:r w:rsidRPr="002D04C5">
        <w:rPr>
          <w:rFonts w:asciiTheme="majorBidi" w:hAnsiTheme="majorBidi" w:cstheme="majorBidi"/>
          <w:sz w:val="24"/>
          <w:szCs w:val="24"/>
        </w:rPr>
        <w:t>-generation TKI first</w:t>
      </w:r>
      <w:r>
        <w:rPr>
          <w:rFonts w:asciiTheme="majorBidi" w:hAnsiTheme="majorBidi" w:cstheme="majorBidi"/>
          <w:sz w:val="24"/>
          <w:szCs w:val="24"/>
        </w:rPr>
        <w:t xml:space="preserve"> </w:t>
      </w:r>
      <w:r w:rsidRPr="002D04C5">
        <w:rPr>
          <w:rFonts w:asciiTheme="majorBidi" w:hAnsiTheme="majorBidi" w:cstheme="majorBidi"/>
          <w:sz w:val="24"/>
          <w:szCs w:val="24"/>
        </w:rPr>
        <w:t xml:space="preserve">line. MMR and DMR were also </w:t>
      </w:r>
      <w:r w:rsidRPr="00821C3A">
        <w:rPr>
          <w:rFonts w:asciiTheme="majorBidi" w:hAnsiTheme="majorBidi" w:cstheme="majorBidi"/>
          <w:sz w:val="24"/>
          <w:szCs w:val="24"/>
        </w:rPr>
        <w:t>observed in 77% and 44% of</w:t>
      </w:r>
      <w:r w:rsidRPr="002D04C5">
        <w:rPr>
          <w:rFonts w:asciiTheme="majorBidi" w:hAnsiTheme="majorBidi" w:cstheme="majorBidi"/>
          <w:sz w:val="24"/>
          <w:szCs w:val="24"/>
        </w:rPr>
        <w:t xml:space="preserve"> evaluable patients </w:t>
      </w:r>
      <w:r>
        <w:rPr>
          <w:rFonts w:asciiTheme="majorBidi" w:hAnsiTheme="majorBidi" w:cstheme="majorBidi"/>
          <w:sz w:val="24"/>
          <w:szCs w:val="24"/>
        </w:rPr>
        <w:t>with ≥13 months’ follow-up</w:t>
      </w:r>
      <w:r w:rsidRPr="002D04C5">
        <w:rPr>
          <w:rFonts w:asciiTheme="majorBidi" w:hAnsiTheme="majorBidi" w:cstheme="majorBidi"/>
          <w:sz w:val="24"/>
          <w:szCs w:val="24"/>
        </w:rPr>
        <w:t xml:space="preserve"> receiving a </w:t>
      </w:r>
      <w:r>
        <w:rPr>
          <w:rFonts w:asciiTheme="majorBidi" w:hAnsiTheme="majorBidi" w:cstheme="majorBidi"/>
          <w:sz w:val="24"/>
          <w:szCs w:val="24"/>
        </w:rPr>
        <w:t>second-generation</w:t>
      </w:r>
      <w:r w:rsidRPr="002D04C5">
        <w:rPr>
          <w:rFonts w:asciiTheme="majorBidi" w:hAnsiTheme="majorBidi" w:cstheme="majorBidi"/>
          <w:sz w:val="24"/>
          <w:szCs w:val="24"/>
        </w:rPr>
        <w:t xml:space="preserve"> TKI second</w:t>
      </w:r>
      <w:r>
        <w:rPr>
          <w:rFonts w:asciiTheme="majorBidi" w:hAnsiTheme="majorBidi" w:cstheme="majorBidi"/>
          <w:sz w:val="24"/>
          <w:szCs w:val="24"/>
        </w:rPr>
        <w:t xml:space="preserve"> </w:t>
      </w:r>
      <w:r w:rsidRPr="002D04C5">
        <w:rPr>
          <w:rFonts w:asciiTheme="majorBidi" w:hAnsiTheme="majorBidi" w:cstheme="majorBidi"/>
          <w:sz w:val="24"/>
          <w:szCs w:val="24"/>
        </w:rPr>
        <w:t>line.</w:t>
      </w:r>
      <w:r>
        <w:rPr>
          <w:rFonts w:asciiTheme="majorBidi" w:hAnsiTheme="majorBidi" w:cstheme="majorBidi"/>
          <w:sz w:val="24"/>
          <w:szCs w:val="24"/>
        </w:rPr>
        <w:t xml:space="preserve"> We found little evidence that cardiovascular risk factors were considered during </w:t>
      </w:r>
      <w:r w:rsidRPr="00E71165">
        <w:rPr>
          <w:rFonts w:asciiTheme="majorBidi" w:hAnsiTheme="majorBidi" w:cstheme="majorBidi"/>
          <w:sz w:val="24"/>
          <w:szCs w:val="24"/>
          <w:lang w:val="en-US"/>
        </w:rPr>
        <w:t>TKI</w:t>
      </w:r>
      <w:r>
        <w:rPr>
          <w:rFonts w:asciiTheme="majorBidi" w:hAnsiTheme="majorBidi" w:cstheme="majorBidi"/>
          <w:sz w:val="24"/>
          <w:szCs w:val="24"/>
        </w:rPr>
        <w:t xml:space="preserve"> management. These findings highlight key areas for improvement in providing optimal care to patients with CML.</w:t>
      </w:r>
    </w:p>
    <w:p w:rsidR="00B331A1" w:rsidRDefault="00B331A1" w:rsidP="00B331A1">
      <w:pPr>
        <w:spacing w:line="480" w:lineRule="auto"/>
        <w:rPr>
          <w:rFonts w:asciiTheme="majorBidi" w:hAnsiTheme="majorBidi" w:cstheme="majorBidi"/>
          <w:sz w:val="24"/>
          <w:szCs w:val="24"/>
        </w:rPr>
      </w:pPr>
    </w:p>
    <w:p w:rsidR="00B331A1" w:rsidRPr="00BA6AE5" w:rsidRDefault="00B331A1" w:rsidP="00B331A1">
      <w:pPr>
        <w:spacing w:line="480" w:lineRule="auto"/>
        <w:rPr>
          <w:rFonts w:asciiTheme="majorBidi" w:hAnsiTheme="majorBidi" w:cstheme="majorBidi"/>
          <w:b/>
          <w:bCs/>
          <w:sz w:val="24"/>
          <w:szCs w:val="24"/>
        </w:rPr>
      </w:pPr>
      <w:r w:rsidRPr="00BA6AE5">
        <w:rPr>
          <w:rFonts w:asciiTheme="majorBidi" w:hAnsiTheme="majorBidi" w:cstheme="majorBidi"/>
          <w:b/>
          <w:bCs/>
          <w:sz w:val="24"/>
          <w:szCs w:val="24"/>
        </w:rPr>
        <w:t xml:space="preserve">Keywords: </w:t>
      </w:r>
      <w:r>
        <w:rPr>
          <w:rFonts w:asciiTheme="majorBidi" w:hAnsiTheme="majorBidi" w:cstheme="majorBidi"/>
          <w:sz w:val="24"/>
          <w:szCs w:val="24"/>
        </w:rPr>
        <w:t>tyrosine kinase inhibitor, chronic myeloid leukaemia, real-world study, molecular response, management</w:t>
      </w:r>
      <w:r w:rsidRPr="00D43EE8">
        <w:rPr>
          <w:rFonts w:asciiTheme="majorBidi" w:hAnsiTheme="majorBidi" w:cstheme="majorBidi"/>
          <w:b/>
          <w:bCs/>
          <w:sz w:val="24"/>
          <w:szCs w:val="24"/>
        </w:rPr>
        <w:t xml:space="preserve"> </w:t>
      </w:r>
      <w:r w:rsidRPr="00BA6AE5">
        <w:rPr>
          <w:rFonts w:asciiTheme="majorBidi" w:hAnsiTheme="majorBidi" w:cstheme="majorBidi"/>
          <w:b/>
          <w:bCs/>
          <w:sz w:val="24"/>
          <w:szCs w:val="24"/>
        </w:rPr>
        <w:br w:type="page"/>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b/>
          <w:sz w:val="24"/>
          <w:szCs w:val="24"/>
        </w:rPr>
        <w:lastRenderedPageBreak/>
        <w:t>Introduction</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T</w:t>
      </w:r>
      <w:r w:rsidRPr="00DE5419">
        <w:rPr>
          <w:rFonts w:asciiTheme="majorBidi" w:hAnsiTheme="majorBidi" w:cstheme="majorBidi"/>
          <w:sz w:val="24"/>
          <w:szCs w:val="24"/>
        </w:rPr>
        <w:t>yrosine kinase inhibitor</w:t>
      </w:r>
      <w:r>
        <w:rPr>
          <w:rFonts w:asciiTheme="majorBidi" w:hAnsiTheme="majorBidi" w:cstheme="majorBidi"/>
          <w:sz w:val="24"/>
          <w:szCs w:val="24"/>
        </w:rPr>
        <w:t xml:space="preserve">s </w:t>
      </w:r>
      <w:r w:rsidRPr="00DE5419">
        <w:rPr>
          <w:rFonts w:asciiTheme="majorBidi" w:hAnsiTheme="majorBidi" w:cstheme="majorBidi"/>
          <w:sz w:val="24"/>
          <w:szCs w:val="24"/>
        </w:rPr>
        <w:t>(TKI</w:t>
      </w:r>
      <w:r>
        <w:rPr>
          <w:rFonts w:asciiTheme="majorBidi" w:hAnsiTheme="majorBidi" w:cstheme="majorBidi"/>
          <w:sz w:val="24"/>
          <w:szCs w:val="24"/>
        </w:rPr>
        <w:t>s</w:t>
      </w:r>
      <w:r w:rsidRPr="00DE5419">
        <w:rPr>
          <w:rFonts w:asciiTheme="majorBidi" w:hAnsiTheme="majorBidi" w:cstheme="majorBidi"/>
          <w:sz w:val="24"/>
          <w:szCs w:val="24"/>
        </w:rPr>
        <w:t xml:space="preserve">) </w:t>
      </w:r>
      <w:r>
        <w:rPr>
          <w:rFonts w:asciiTheme="majorBidi" w:hAnsiTheme="majorBidi" w:cstheme="majorBidi"/>
          <w:sz w:val="24"/>
          <w:szCs w:val="24"/>
        </w:rPr>
        <w:t xml:space="preserve">have </w:t>
      </w:r>
      <w:r w:rsidRPr="007205AB">
        <w:rPr>
          <w:rFonts w:asciiTheme="majorBidi" w:hAnsiTheme="majorBidi" w:cstheme="majorBidi"/>
          <w:sz w:val="24"/>
          <w:szCs w:val="24"/>
        </w:rPr>
        <w:t>revolutioni</w:t>
      </w:r>
      <w:r>
        <w:rPr>
          <w:rFonts w:asciiTheme="majorBidi" w:hAnsiTheme="majorBidi" w:cstheme="majorBidi"/>
          <w:sz w:val="24"/>
          <w:szCs w:val="24"/>
        </w:rPr>
        <w:t>s</w:t>
      </w:r>
      <w:r w:rsidRPr="007205AB">
        <w:rPr>
          <w:rFonts w:asciiTheme="majorBidi" w:hAnsiTheme="majorBidi" w:cstheme="majorBidi"/>
          <w:sz w:val="24"/>
          <w:szCs w:val="24"/>
        </w:rPr>
        <w:t>ed</w:t>
      </w:r>
      <w:r>
        <w:rPr>
          <w:rFonts w:asciiTheme="majorBidi" w:hAnsiTheme="majorBidi" w:cstheme="majorBidi"/>
          <w:sz w:val="24"/>
          <w:szCs w:val="24"/>
        </w:rPr>
        <w:t xml:space="preserve"> outcomes for patients with </w:t>
      </w:r>
      <w:r w:rsidRPr="00DE5419">
        <w:rPr>
          <w:rFonts w:asciiTheme="majorBidi" w:hAnsiTheme="majorBidi" w:cstheme="majorBidi"/>
          <w:sz w:val="24"/>
          <w:szCs w:val="24"/>
        </w:rPr>
        <w:t>chronic myeloid leuk</w:t>
      </w:r>
      <w:r>
        <w:rPr>
          <w:rFonts w:asciiTheme="majorBidi" w:hAnsiTheme="majorBidi" w:cstheme="majorBidi"/>
          <w:sz w:val="24"/>
          <w:szCs w:val="24"/>
        </w:rPr>
        <w:t>a</w:t>
      </w:r>
      <w:r w:rsidRPr="00DE5419">
        <w:rPr>
          <w:rFonts w:asciiTheme="majorBidi" w:hAnsiTheme="majorBidi" w:cstheme="majorBidi"/>
          <w:sz w:val="24"/>
          <w:szCs w:val="24"/>
        </w:rPr>
        <w:t>emia in chronic phase (CML-CP)</w:t>
      </w:r>
      <w:r>
        <w:rPr>
          <w:rFonts w:asciiTheme="majorBidi" w:hAnsiTheme="majorBidi" w:cstheme="majorBidi"/>
          <w:sz w:val="24"/>
          <w:szCs w:val="24"/>
        </w:rPr>
        <w:t xml:space="preserve">, with survival rates approaching those of the general population </w:t>
      </w:r>
      <w:r>
        <w:rPr>
          <w:rFonts w:asciiTheme="majorBidi" w:hAnsiTheme="majorBidi" w:cstheme="majorBidi"/>
          <w:sz w:val="24"/>
          <w:szCs w:val="24"/>
        </w:rPr>
        <w:fldChar w:fldCharType="begin">
          <w:fldData xml:space="preserve">PEVuZE5vdGU+PENpdGU+PEF1dGhvcj5Cb3dlcjwvQXV0aG9yPjxZZWFyPjIwMTY8L1llYXI+PFJl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PEVuZE5vdGU+PENpdGU+PEF1dGhvcj5Cb3dlcjwvQXV0aG9yPjxZZWFyPjIwMTY8L1llYXI+PFJl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(Bower</w:t>
      </w:r>
      <w:r w:rsidRPr="00AF6D2E">
        <w:rPr>
          <w:rFonts w:asciiTheme="majorBidi" w:hAnsiTheme="majorBidi" w:cstheme="majorBidi"/>
          <w:i/>
          <w:noProof/>
          <w:sz w:val="24"/>
          <w:szCs w:val="24"/>
        </w:rPr>
        <w:t>, et al</w:t>
      </w:r>
      <w:r>
        <w:rPr>
          <w:rFonts w:asciiTheme="majorBidi" w:hAnsiTheme="majorBidi" w:cstheme="majorBidi"/>
          <w:noProof/>
          <w:sz w:val="24"/>
          <w:szCs w:val="24"/>
        </w:rPr>
        <w:t xml:space="preserve"> 2016, Hoglund</w:t>
      </w:r>
      <w:r w:rsidRPr="00AF6D2E">
        <w:rPr>
          <w:rFonts w:asciiTheme="majorBidi" w:hAnsiTheme="majorBidi" w:cstheme="majorBidi"/>
          <w:i/>
          <w:noProof/>
          <w:sz w:val="24"/>
          <w:szCs w:val="24"/>
        </w:rPr>
        <w:t>, et al</w:t>
      </w:r>
      <w:r>
        <w:rPr>
          <w:rFonts w:asciiTheme="majorBidi" w:hAnsiTheme="majorBidi" w:cstheme="majorBidi"/>
          <w:noProof/>
          <w:sz w:val="24"/>
          <w:szCs w:val="24"/>
        </w:rPr>
        <w:t xml:space="preserve"> 2013, Sasaki</w:t>
      </w:r>
      <w:r w:rsidRPr="00AF6D2E">
        <w:rPr>
          <w:rFonts w:asciiTheme="majorBidi" w:hAnsiTheme="majorBidi" w:cstheme="majorBidi"/>
          <w:i/>
          <w:noProof/>
          <w:sz w:val="24"/>
          <w:szCs w:val="24"/>
        </w:rPr>
        <w:t>, et al</w:t>
      </w:r>
      <w:r>
        <w:rPr>
          <w:rFonts w:asciiTheme="majorBidi" w:hAnsiTheme="majorBidi" w:cstheme="majorBidi"/>
          <w:noProof/>
          <w:sz w:val="24"/>
          <w:szCs w:val="24"/>
        </w:rPr>
        <w:t xml:space="preserve"> 2015)</w:t>
      </w:r>
      <w:r>
        <w:rPr>
          <w:rFonts w:asciiTheme="majorBidi" w:hAnsiTheme="majorBidi" w:cstheme="majorBidi"/>
          <w:sz w:val="24"/>
          <w:szCs w:val="24"/>
        </w:rPr>
        <w:fldChar w:fldCharType="end"/>
      </w:r>
      <w:r>
        <w:rPr>
          <w:rFonts w:asciiTheme="majorBidi" w:hAnsiTheme="majorBidi" w:cstheme="majorBidi"/>
          <w:sz w:val="24"/>
          <w:szCs w:val="24"/>
        </w:rPr>
        <w:t>. Consequently, key considerations for optimal patient care have evolved considerably.</w:t>
      </w:r>
      <w:r w:rsidRPr="00DE5419">
        <w:rPr>
          <w:rFonts w:asciiTheme="majorBidi" w:hAnsiTheme="majorBidi" w:cstheme="majorBidi"/>
          <w:sz w:val="24"/>
          <w:szCs w:val="24"/>
        </w:rPr>
        <w:t xml:space="preserve"> </w:t>
      </w:r>
      <w:r>
        <w:rPr>
          <w:rFonts w:asciiTheme="majorBidi" w:hAnsiTheme="majorBidi" w:cstheme="majorBidi"/>
          <w:sz w:val="24"/>
          <w:szCs w:val="24"/>
        </w:rPr>
        <w:t xml:space="preserve">While the primary aim remains achievement of molecular response that minimises the risk of disease progression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&lt;EndNote&gt;&lt;Cite&gt;&lt;Author&gt;Baccarani&lt;/Author&gt;&lt;Year&gt;2013&lt;/Year&gt;&lt;RecNum&gt;395&lt;/RecNum&gt;&lt;DisplayText&gt;(Baccarani&lt;style face="italic"&gt;, et al&lt;/style&gt; 2013)&lt;/DisplayText&gt;&lt;record&gt;&lt;rec-number&gt;395&lt;/rec-number&gt;&lt;foreign-keys&gt;&lt;key app="EN" db-id="sxxfsvre49szroewve75ep9j0v99v9vffext" timestamp="1567720897"&gt;395&lt;/key&gt;&lt;/foreign-keys&gt;&lt;ref-type name="Journal Article"&gt;17&lt;/ref-type&gt;&lt;contributors&gt;&lt;authors&gt;&lt;author&gt;Baccarani, M.&lt;/author&gt;&lt;author&gt;Deininger, M. W.&lt;/author&gt;&lt;author&gt;Rosti, G.&lt;/author&gt;&lt;author&gt;Hochhaus, A.&lt;/author&gt;&lt;author&gt;Soverini, S.&lt;/author&gt;&lt;author&gt;Apperley, J. F.&lt;/author&gt;&lt;author&gt;Cervantes, F.&lt;/author&gt;&lt;author&gt;Clark, R. E.&lt;/author&gt;&lt;author&gt;Cortes, J. E.&lt;/author&gt;&lt;author&gt;Guilhot, F.&lt;/author&gt;&lt;author&gt;Hjorth-Hansen, H.&lt;/author&gt;&lt;author&gt;Hughes, T. P.&lt;/author&gt;&lt;author&gt;Kantarjian, H. M.&lt;/author&gt;&lt;author&gt;Kim, D. W.&lt;/author&gt;&lt;author&gt;Larson, R. A.&lt;/author&gt;&lt;author&gt;Lipton, J. H.&lt;/author&gt;&lt;author&gt;Mahon, F. X.&lt;/author&gt;&lt;author&gt;Martinelli, G.&lt;/author&gt;&lt;author&gt;Mayer, J.&lt;/author&gt;&lt;author&gt;Muller, M. C.&lt;/author&gt;&lt;author&gt;Niederwieser, D.&lt;/author&gt;&lt;author&gt;Pane, F.&lt;/author&gt;&lt;author&gt;Radich, J. P.&lt;/author&gt;&lt;author&gt;Rousselot, P.&lt;/author&gt;&lt;author&gt;Saglio, G.&lt;/author&gt;&lt;author&gt;Saussele, S.&lt;/author&gt;&lt;author&gt;Schiffer, C.&lt;/author&gt;&lt;author&gt;Silver, R.&lt;/author&gt;&lt;author&gt;Simonsson, B.&lt;/author&gt;&lt;author&gt;Steegmann, J. L.&lt;/author&gt;&lt;author&gt;Goldman, J. M.&lt;/author&gt;&lt;author&gt;Hehlmann, R.&lt;/author&gt;&lt;/authors&gt;&lt;/contributors&gt;&lt;auth-address&gt;Department of Hematology &amp;quot;L. and A. Seragnoli&amp;quot;, S.Orsola-Malpighi Hospital, University of Bologna, Bologna, Italy;&lt;/auth-address&gt;&lt;titles&gt;&lt;title&gt;European LeukemiaNet recommendations for the management of chronic myeloid leukemia: 2013&lt;/title&gt;&lt;secondary-title&gt;Blood&lt;/secondary-title&gt;&lt;/titles&gt;&lt;periodical&gt;&lt;full-title&gt;Blood&lt;/full-title&gt;&lt;/periodical&gt;&lt;pages&gt;872-884&lt;/pages&gt;&lt;volume&gt;122&lt;/volume&gt;&lt;number&gt;6&lt;/number&gt;&lt;dates&gt;&lt;year&gt;2013&lt;/year&gt;&lt;/dates&gt;&lt;isbn&gt;1528-0020; 0006-4971&lt;/isbn&gt;&lt;urls&gt;&lt;/urls&gt;&lt;electronic-resource-num&gt;10.1182/blood-2013-05-501569&lt;/electronic-resource-num&gt;&lt;access-date&gt;Jun 26&lt;/access-date&gt;&lt;/record&gt;&lt;/Cite&gt;&lt;/EndNote&gt;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(Baccarani</w:t>
      </w:r>
      <w:r w:rsidRPr="00AF6D2E">
        <w:rPr>
          <w:rFonts w:asciiTheme="majorBidi" w:hAnsiTheme="majorBidi" w:cstheme="majorBidi"/>
          <w:i/>
          <w:noProof/>
          <w:sz w:val="24"/>
          <w:szCs w:val="24"/>
        </w:rPr>
        <w:t>, et al</w:t>
      </w:r>
      <w:r>
        <w:rPr>
          <w:rFonts w:asciiTheme="majorBidi" w:hAnsiTheme="majorBidi" w:cstheme="majorBidi"/>
          <w:noProof/>
          <w:sz w:val="24"/>
          <w:szCs w:val="24"/>
        </w:rPr>
        <w:t xml:space="preserve"> 2013)</w:t>
      </w:r>
      <w:r>
        <w:rPr>
          <w:rFonts w:asciiTheme="majorBidi" w:hAnsiTheme="majorBidi" w:cstheme="majorBidi"/>
          <w:sz w:val="24"/>
          <w:szCs w:val="24"/>
        </w:rPr>
        <w:fldChar w:fldCharType="end"/>
      </w:r>
      <w:r>
        <w:rPr>
          <w:rFonts w:asciiTheme="majorBidi" w:hAnsiTheme="majorBidi" w:cstheme="majorBidi"/>
          <w:sz w:val="24"/>
          <w:szCs w:val="24"/>
        </w:rPr>
        <w:t xml:space="preserve">, increasingly, complications of the treatment need to be considered. It is therefore essential for physicians to understand the best use of the available </w:t>
      </w:r>
      <w:r w:rsidRPr="00DE5419">
        <w:rPr>
          <w:rFonts w:asciiTheme="majorBidi" w:hAnsiTheme="majorBidi" w:cstheme="majorBidi"/>
          <w:sz w:val="24"/>
          <w:szCs w:val="24"/>
        </w:rPr>
        <w:t>ABL1</w:t>
      </w:r>
      <w:r>
        <w:rPr>
          <w:rFonts w:asciiTheme="majorBidi" w:hAnsiTheme="majorBidi" w:cstheme="majorBidi"/>
          <w:sz w:val="24"/>
          <w:szCs w:val="24"/>
        </w:rPr>
        <w:t>-targeting</w:t>
      </w:r>
      <w:r w:rsidRPr="00DE5419">
        <w:rPr>
          <w:rFonts w:asciiTheme="majorBidi" w:hAnsiTheme="majorBidi" w:cstheme="majorBidi"/>
          <w:sz w:val="24"/>
          <w:szCs w:val="24"/>
        </w:rPr>
        <w:t xml:space="preserve"> TKIs</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&lt;EndNote&gt;&lt;Cite&gt;&lt;Author&gt;Baccarani&lt;/Author&gt;&lt;Year&gt;2013&lt;/Year&gt;&lt;RecNum&gt;395&lt;/RecNum&gt;&lt;DisplayText&gt;(Baccarani&lt;style face="italic"&gt;, et al&lt;/style&gt; 2013)&lt;/DisplayText&gt;&lt;record&gt;&lt;rec-number&gt;395&lt;/rec-number&gt;&lt;foreign-keys&gt;&lt;key app="EN" db-id="sxxfsvre49szroewve75ep9j0v99v9vffext" timestamp="1567720897"&gt;395&lt;/key&gt;&lt;/foreign-keys&gt;&lt;ref-type name="Journal Article"&gt;17&lt;/ref-type&gt;&lt;contributors&gt;&lt;authors&gt;&lt;author&gt;Baccarani, M.&lt;/author&gt;&lt;author&gt;Deininger, M. W.&lt;/author&gt;&lt;author&gt;Rosti, G.&lt;/author&gt;&lt;author&gt;Hochhaus, A.&lt;/author&gt;&lt;author&gt;Soverini, S.&lt;/author&gt;&lt;author&gt;Apperley, J. F.&lt;/author&gt;&lt;author&gt;Cervantes, F.&lt;/author&gt;&lt;author&gt;Clark, R. E.&lt;/author&gt;&lt;author&gt;Cortes, J. E.&lt;/author&gt;&lt;author&gt;Guilhot, F.&lt;/author&gt;&lt;author&gt;Hjorth-Hansen, H.&lt;/author&gt;&lt;author&gt;Hughes, T. P.&lt;/author&gt;&lt;author&gt;Kantarjian, H. M.&lt;/author&gt;&lt;author&gt;Kim, D. W.&lt;/author&gt;&lt;author&gt;Larson, R. A.&lt;/author&gt;&lt;author&gt;Lipton, J. H.&lt;/author&gt;&lt;author&gt;Mahon, F. X.&lt;/author&gt;&lt;author&gt;Martinelli, G.&lt;/author&gt;&lt;author&gt;Mayer, J.&lt;/author&gt;&lt;author&gt;Muller, M. C.&lt;/author&gt;&lt;author&gt;Niederwieser, D.&lt;/author&gt;&lt;author&gt;Pane, F.&lt;/author&gt;&lt;author&gt;Radich, J. P.&lt;/author&gt;&lt;author&gt;Rousselot, P.&lt;/author&gt;&lt;author&gt;Saglio, G.&lt;/author&gt;&lt;author&gt;Saussele, S.&lt;/author&gt;&lt;author&gt;Schiffer, C.&lt;/author&gt;&lt;author&gt;Silver, R.&lt;/author&gt;&lt;author&gt;Simonsson, B.&lt;/author&gt;&lt;author&gt;Steegmann, J. L.&lt;/author&gt;&lt;author&gt;Goldman, J. M.&lt;/author&gt;&lt;author&gt;Hehlmann, R.&lt;/author&gt;&lt;/authors&gt;&lt;/contributors&gt;&lt;auth-address&gt;Department of Hematology &amp;quot;L. and A. Seragnoli&amp;quot;, S.Orsola-Malpighi Hospital, University of Bologna, Bologna, Italy;&lt;/auth-address&gt;&lt;titles&gt;&lt;title&gt;European LeukemiaNet recommendations for the management of chronic myeloid leukemia: 2013&lt;/title&gt;&lt;secondary-title&gt;Blood&lt;/secondary-title&gt;&lt;/titles&gt;&lt;periodical&gt;&lt;full-title&gt;Blood&lt;/full-title&gt;&lt;/periodical&gt;&lt;pages&gt;872-884&lt;/pages&gt;&lt;volume&gt;122&lt;/volume&gt;&lt;number&gt;6&lt;/number&gt;&lt;dates&gt;&lt;year&gt;2013&lt;/year&gt;&lt;/dates&gt;&lt;isbn&gt;1528-0020; 0006-4971&lt;/isbn&gt;&lt;urls&gt;&lt;/urls&gt;&lt;electronic-resource-num&gt;10.1182/blood-2013-05-501569&lt;/electronic-resource-num&gt;&lt;access-date&gt;Jun 26&lt;/access-date&gt;&lt;/record&gt;&lt;/Cite&gt;&lt;/EndNote&gt;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(Baccarani</w:t>
      </w:r>
      <w:r w:rsidRPr="00AF6D2E">
        <w:rPr>
          <w:rFonts w:asciiTheme="majorBidi" w:hAnsiTheme="majorBidi" w:cstheme="majorBidi"/>
          <w:i/>
          <w:noProof/>
          <w:sz w:val="24"/>
          <w:szCs w:val="24"/>
        </w:rPr>
        <w:t>, et al</w:t>
      </w:r>
      <w:r>
        <w:rPr>
          <w:rFonts w:asciiTheme="majorBidi" w:hAnsiTheme="majorBidi" w:cstheme="majorBidi"/>
          <w:noProof/>
          <w:sz w:val="24"/>
          <w:szCs w:val="24"/>
        </w:rPr>
        <w:t xml:space="preserve"> 2013)</w:t>
      </w:r>
      <w:r>
        <w:rPr>
          <w:rFonts w:asciiTheme="majorBidi" w:hAnsiTheme="majorBidi" w:cstheme="majorBidi"/>
          <w:sz w:val="24"/>
          <w:szCs w:val="24"/>
        </w:rPr>
        <w:fldChar w:fldCharType="end"/>
      </w:r>
      <w:r>
        <w:rPr>
          <w:rFonts w:asciiTheme="majorBidi" w:hAnsiTheme="majorBidi" w:cstheme="majorBidi"/>
          <w:sz w:val="24"/>
          <w:szCs w:val="24"/>
        </w:rPr>
        <w:t>. This is the principal purpose of t</w:t>
      </w:r>
      <w:r w:rsidRPr="00DE5419">
        <w:rPr>
          <w:rFonts w:asciiTheme="majorBidi" w:hAnsiTheme="majorBidi" w:cstheme="majorBidi"/>
          <w:sz w:val="24"/>
          <w:szCs w:val="24"/>
        </w:rPr>
        <w:t xml:space="preserve">he </w:t>
      </w:r>
      <w:r>
        <w:rPr>
          <w:rFonts w:asciiTheme="majorBidi" w:hAnsiTheme="majorBidi" w:cstheme="majorBidi"/>
          <w:sz w:val="24"/>
          <w:szCs w:val="24"/>
        </w:rPr>
        <w:t xml:space="preserve">most recent </w:t>
      </w:r>
      <w:r w:rsidRPr="00DE5419">
        <w:rPr>
          <w:rFonts w:asciiTheme="majorBidi" w:hAnsiTheme="majorBidi" w:cstheme="majorBidi"/>
          <w:sz w:val="24"/>
          <w:szCs w:val="24"/>
        </w:rPr>
        <w:t xml:space="preserve">European </w:t>
      </w:r>
      <w:proofErr w:type="spellStart"/>
      <w:r w:rsidRPr="00DE5419">
        <w:rPr>
          <w:rFonts w:asciiTheme="majorBidi" w:hAnsiTheme="majorBidi" w:cstheme="majorBidi"/>
          <w:sz w:val="24"/>
          <w:szCs w:val="24"/>
        </w:rPr>
        <w:t>LeukemiaNet</w:t>
      </w:r>
      <w:proofErr w:type="spellEnd"/>
      <w:r w:rsidRPr="00DE5419">
        <w:rPr>
          <w:rFonts w:asciiTheme="majorBidi" w:hAnsiTheme="majorBidi" w:cstheme="majorBidi"/>
          <w:sz w:val="24"/>
          <w:szCs w:val="24"/>
        </w:rPr>
        <w:t xml:space="preserve"> (ELN) </w:t>
      </w:r>
      <w:r>
        <w:rPr>
          <w:rFonts w:asciiTheme="majorBidi" w:hAnsiTheme="majorBidi" w:cstheme="majorBidi"/>
          <w:sz w:val="24"/>
          <w:szCs w:val="24"/>
        </w:rPr>
        <w:t>recommendations,</w:t>
      </w:r>
      <w:r w:rsidRPr="00DE5419">
        <w:rPr>
          <w:rFonts w:asciiTheme="majorBidi" w:hAnsiTheme="majorBidi" w:cstheme="majorBidi"/>
          <w:sz w:val="24"/>
          <w:szCs w:val="24"/>
        </w:rPr>
        <w:t xml:space="preserve"> </w:t>
      </w:r>
      <w:r>
        <w:rPr>
          <w:rFonts w:asciiTheme="majorBidi" w:hAnsiTheme="majorBidi" w:cstheme="majorBidi"/>
          <w:sz w:val="24"/>
          <w:szCs w:val="24"/>
        </w:rPr>
        <w:t xml:space="preserve">which increased focus on molecular responses </w:t>
      </w:r>
      <w:r w:rsidRPr="00DE5419">
        <w:rPr>
          <w:rFonts w:asciiTheme="majorBidi" w:hAnsiTheme="majorBidi" w:cstheme="majorBidi"/>
          <w:sz w:val="24"/>
          <w:szCs w:val="24"/>
        </w:rPr>
        <w:t xml:space="preserve">at 3, 6 and 12 months, </w:t>
      </w:r>
      <w:r>
        <w:rPr>
          <w:rFonts w:asciiTheme="majorBidi" w:hAnsiTheme="majorBidi" w:cstheme="majorBidi"/>
          <w:sz w:val="24"/>
          <w:szCs w:val="24"/>
        </w:rPr>
        <w:t xml:space="preserve">with </w:t>
      </w:r>
      <w:r w:rsidRPr="00DE5419">
        <w:rPr>
          <w:rFonts w:asciiTheme="majorBidi" w:hAnsiTheme="majorBidi" w:cstheme="majorBidi"/>
          <w:sz w:val="24"/>
          <w:szCs w:val="24"/>
        </w:rPr>
        <w:t>patients’ responses categorized as optimal, warning or failure</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&lt;EndNote&gt;&lt;Cite&gt;&lt;Author&gt;Baccarani&lt;/Author&gt;&lt;Year&gt;2013&lt;/Year&gt;&lt;RecNum&gt;395&lt;/RecNum&gt;&lt;DisplayText&gt;(Baccarani&lt;style face="italic"&gt;, et al&lt;/style&gt; 2013)&lt;/DisplayText&gt;&lt;record&gt;&lt;rec-number&gt;395&lt;/rec-number&gt;&lt;foreign-keys&gt;&lt;key app="EN" db-id="sxxfsvre49szroewve75ep9j0v99v9vffext" timestamp="1567720897"&gt;395&lt;/key&gt;&lt;/foreign-keys&gt;&lt;ref-type name="Journal Article"&gt;17&lt;/ref-type&gt;&lt;contributors&gt;&lt;authors&gt;&lt;author&gt;Baccarani, M.&lt;/author&gt;&lt;author&gt;Deininger, M. W.&lt;/author&gt;&lt;author&gt;Rosti, G.&lt;/author&gt;&lt;author&gt;Hochhaus, A.&lt;/author&gt;&lt;author&gt;Soverini, S.&lt;/author&gt;&lt;author&gt;Apperley, J. F.&lt;/author&gt;&lt;author&gt;Cervantes, F.&lt;/author&gt;&lt;author&gt;Clark, R. E.&lt;/author&gt;&lt;author&gt;Cortes, J. E.&lt;/author&gt;&lt;author&gt;Guilhot, F.&lt;/author&gt;&lt;author&gt;Hjorth-Hansen, H.&lt;/author&gt;&lt;author&gt;Hughes, T. P.&lt;/author&gt;&lt;author&gt;Kantarjian, H. M.&lt;/author&gt;&lt;author&gt;Kim, D. W.&lt;/author&gt;&lt;author&gt;Larson, R. A.&lt;/author&gt;&lt;author&gt;Lipton, J. H.&lt;/author&gt;&lt;author&gt;Mahon, F. X.&lt;/author&gt;&lt;author&gt;Martinelli, G.&lt;/author&gt;&lt;author&gt;Mayer, J.&lt;/author&gt;&lt;author&gt;Muller, M. C.&lt;/author&gt;&lt;author&gt;Niederwieser, D.&lt;/author&gt;&lt;author&gt;Pane, F.&lt;/author&gt;&lt;author&gt;Radich, J. P.&lt;/author&gt;&lt;author&gt;Rousselot, P.&lt;/author&gt;&lt;author&gt;Saglio, G.&lt;/author&gt;&lt;author&gt;Saussele, S.&lt;/author&gt;&lt;author&gt;Schiffer, C.&lt;/author&gt;&lt;author&gt;Silver, R.&lt;/author&gt;&lt;author&gt;Simonsson, B.&lt;/author&gt;&lt;author&gt;Steegmann, J. L.&lt;/author&gt;&lt;author&gt;Goldman, J. M.&lt;/author&gt;&lt;author&gt;Hehlmann, R.&lt;/author&gt;&lt;/authors&gt;&lt;/contributors&gt;&lt;auth-address&gt;Department of Hematology &amp;quot;L. and A. Seragnoli&amp;quot;, S.Orsola-Malpighi Hospital, University of Bologna, Bologna, Italy;&lt;/auth-address&gt;&lt;titles&gt;&lt;title&gt;European LeukemiaNet recommendations for the management of chronic myeloid leukemia: 2013&lt;/title&gt;&lt;secondary-title&gt;Blood&lt;/secondary-title&gt;&lt;/titles&gt;&lt;periodical&gt;&lt;full-title&gt;Blood&lt;/full-title&gt;&lt;/periodical&gt;&lt;pages&gt;872-884&lt;/pages&gt;&lt;volume&gt;122&lt;/volume&gt;&lt;number&gt;6&lt;/number&gt;&lt;dates&gt;&lt;year&gt;2013&lt;/year&gt;&lt;/dates&gt;&lt;isbn&gt;1528-0020; 0006-4971&lt;/isbn&gt;&lt;urls&gt;&lt;/urls&gt;&lt;electronic-resource-num&gt;10.1182/blood-2013-05-501569&lt;/electronic-resource-num&gt;&lt;access-date&gt;Jun 26&lt;/access-date&gt;&lt;/record&gt;&lt;/Cite&gt;&lt;/EndNote&gt;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(Baccarani</w:t>
      </w:r>
      <w:r w:rsidRPr="00AF6D2E">
        <w:rPr>
          <w:rFonts w:asciiTheme="majorBidi" w:hAnsiTheme="majorBidi" w:cstheme="majorBidi"/>
          <w:i/>
          <w:noProof/>
          <w:sz w:val="24"/>
          <w:szCs w:val="24"/>
        </w:rPr>
        <w:t>, et al</w:t>
      </w:r>
      <w:r>
        <w:rPr>
          <w:rFonts w:asciiTheme="majorBidi" w:hAnsiTheme="majorBidi" w:cstheme="majorBidi"/>
          <w:noProof/>
          <w:sz w:val="24"/>
          <w:szCs w:val="24"/>
        </w:rPr>
        <w:t xml:space="preserve"> 2013)</w:t>
      </w:r>
      <w:r>
        <w:rPr>
          <w:rFonts w:asciiTheme="majorBidi" w:hAnsiTheme="majorBidi" w:cstheme="majorBidi"/>
          <w:sz w:val="24"/>
          <w:szCs w:val="24"/>
        </w:rPr>
        <w:fldChar w:fldCharType="end"/>
      </w:r>
      <w:r>
        <w:rPr>
          <w:rFonts w:asciiTheme="majorBidi" w:hAnsiTheme="majorBidi" w:cstheme="majorBidi"/>
          <w:sz w:val="24"/>
          <w:szCs w:val="24"/>
        </w:rPr>
        <w:t xml:space="preserve">. Patients experiencing failure are at particular risk of disease progression, and the guidelines recommend that such patients switch treatment and undergo assessment for </w:t>
      </w:r>
      <w:r w:rsidRPr="0044744F">
        <w:rPr>
          <w:rFonts w:asciiTheme="majorBidi" w:hAnsiTheme="majorBidi"/>
          <w:i/>
          <w:sz w:val="24"/>
        </w:rPr>
        <w:t>BCR-ABL1</w:t>
      </w:r>
      <w:r>
        <w:rPr>
          <w:rFonts w:asciiTheme="majorBidi" w:hAnsiTheme="majorBidi" w:cstheme="majorBidi"/>
          <w:sz w:val="24"/>
          <w:szCs w:val="24"/>
        </w:rPr>
        <w:t xml:space="preserve"> kinase domain mutations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&lt;EndNote&gt;&lt;Cite&gt;&lt;Author&gt;Baccarani&lt;/Author&gt;&lt;Year&gt;2013&lt;/Year&gt;&lt;RecNum&gt;395&lt;/RecNum&gt;&lt;DisplayText&gt;(Baccarani&lt;style face="italic"&gt;, et al&lt;/style&gt; 2013)&lt;/DisplayText&gt;&lt;record&gt;&lt;rec-number&gt;395&lt;/rec-number&gt;&lt;foreign-keys&gt;&lt;key app="EN" db-id="sxxfsvre49szroewve75ep9j0v99v9vffext" timestamp="1567720897"&gt;395&lt;/key&gt;&lt;/foreign-keys&gt;&lt;ref-type name="Journal Article"&gt;17&lt;/ref-type&gt;&lt;contributors&gt;&lt;authors&gt;&lt;author&gt;Baccarani, M.&lt;/author&gt;&lt;author&gt;Deininger, M. W.&lt;/author&gt;&lt;author&gt;Rosti, G.&lt;/author&gt;&lt;author&gt;Hochhaus, A.&lt;/author&gt;&lt;author&gt;Soverini, S.&lt;/author&gt;&lt;author&gt;Apperley, J. F.&lt;/author&gt;&lt;author&gt;Cervantes, F.&lt;/author&gt;&lt;author&gt;Clark, R. E.&lt;/author&gt;&lt;author&gt;Cortes, J. E.&lt;/author&gt;&lt;author&gt;Guilhot, F.&lt;/author&gt;&lt;author&gt;Hjorth-Hansen, H.&lt;/author&gt;&lt;author&gt;Hughes, T. P.&lt;/author&gt;&lt;author&gt;Kantarjian, H. M.&lt;/author&gt;&lt;author&gt;Kim, D. W.&lt;/author&gt;&lt;author&gt;Larson, R. A.&lt;/author&gt;&lt;author&gt;Lipton, J. H.&lt;/author&gt;&lt;author&gt;Mahon, F. X.&lt;/author&gt;&lt;author&gt;Martinelli, G.&lt;/author&gt;&lt;author&gt;Mayer, J.&lt;/author&gt;&lt;author&gt;Muller, M. C.&lt;/author&gt;&lt;author&gt;Niederwieser, D.&lt;/author&gt;&lt;author&gt;Pane, F.&lt;/author&gt;&lt;author&gt;Radich, J. P.&lt;/author&gt;&lt;author&gt;Rousselot, P.&lt;/author&gt;&lt;author&gt;Saglio, G.&lt;/author&gt;&lt;author&gt;Saussele, S.&lt;/author&gt;&lt;author&gt;Schiffer, C.&lt;/author&gt;&lt;author&gt;Silver, R.&lt;/author&gt;&lt;author&gt;Simonsson, B.&lt;/author&gt;&lt;author&gt;Steegmann, J. L.&lt;/author&gt;&lt;author&gt;Goldman, J. M.&lt;/author&gt;&lt;author&gt;Hehlmann, R.&lt;/author&gt;&lt;/authors&gt;&lt;/contributors&gt;&lt;auth-address&gt;Department of Hematology &amp;quot;L. and A. Seragnoli&amp;quot;, S.Orsola-Malpighi Hospital, University of Bologna, Bologna, Italy;&lt;/auth-address&gt;&lt;titles&gt;&lt;title&gt;European LeukemiaNet recommendations for the management of chronic myeloid leukemia: 2013&lt;/title&gt;&lt;secondary-title&gt;Blood&lt;/secondary-title&gt;&lt;/titles&gt;&lt;periodical&gt;&lt;full-title&gt;Blood&lt;/full-title&gt;&lt;/periodical&gt;&lt;pages&gt;872-884&lt;/pages&gt;&lt;volume&gt;122&lt;/volume&gt;&lt;number&gt;6&lt;/number&gt;&lt;dates&gt;&lt;year&gt;2013&lt;/year&gt;&lt;/dates&gt;&lt;isbn&gt;1528-0020; 0006-4971&lt;/isbn&gt;&lt;urls&gt;&lt;/urls&gt;&lt;electronic-resource-num&gt;10.1182/blood-2013-05-501569&lt;/electronic-resource-num&gt;&lt;access-date&gt;Jun 26&lt;/access-date&gt;&lt;/record&gt;&lt;/Cite&gt;&lt;/EndNote&gt;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(Baccarani</w:t>
      </w:r>
      <w:r w:rsidRPr="00AF6D2E">
        <w:rPr>
          <w:rFonts w:asciiTheme="majorBidi" w:hAnsiTheme="majorBidi" w:cstheme="majorBidi"/>
          <w:i/>
          <w:noProof/>
          <w:sz w:val="24"/>
          <w:szCs w:val="24"/>
        </w:rPr>
        <w:t>, et al</w:t>
      </w:r>
      <w:r>
        <w:rPr>
          <w:rFonts w:asciiTheme="majorBidi" w:hAnsiTheme="majorBidi" w:cstheme="majorBidi"/>
          <w:noProof/>
          <w:sz w:val="24"/>
          <w:szCs w:val="24"/>
        </w:rPr>
        <w:t xml:space="preserve"> 2013)</w:t>
      </w:r>
      <w:r>
        <w:rPr>
          <w:rFonts w:asciiTheme="majorBidi" w:hAnsiTheme="majorBidi" w:cstheme="majorBidi"/>
          <w:sz w:val="24"/>
          <w:szCs w:val="24"/>
        </w:rPr>
        <w:fldChar w:fldCharType="end"/>
      </w:r>
      <w:r>
        <w:rPr>
          <w:rFonts w:asciiTheme="majorBidi" w:hAnsiTheme="majorBidi" w:cstheme="majorBidi"/>
          <w:sz w:val="24"/>
          <w:szCs w:val="24"/>
        </w:rPr>
        <w:t xml:space="preserve">. </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While the current ELN guidelines state that p</w:t>
      </w:r>
      <w:r w:rsidRPr="00192B90">
        <w:rPr>
          <w:rFonts w:asciiTheme="majorBidi" w:hAnsiTheme="majorBidi" w:cstheme="majorBidi"/>
          <w:sz w:val="24"/>
          <w:szCs w:val="24"/>
        </w:rPr>
        <w:t xml:space="preserve">atients must achieve a major molecular response (MMR; </w:t>
      </w:r>
      <w:r w:rsidRPr="00192B90">
        <w:rPr>
          <w:rFonts w:asciiTheme="majorBidi" w:hAnsiTheme="majorBidi" w:cstheme="majorBidi"/>
          <w:i/>
          <w:sz w:val="24"/>
          <w:szCs w:val="24"/>
        </w:rPr>
        <w:t>BCR-ABL1</w:t>
      </w:r>
      <w:r w:rsidRPr="00192B90">
        <w:rPr>
          <w:rFonts w:asciiTheme="majorBidi" w:hAnsiTheme="majorBidi" w:cstheme="majorBidi"/>
          <w:sz w:val="24"/>
          <w:szCs w:val="24"/>
        </w:rPr>
        <w:t xml:space="preserve"> ≤0.1% on the International Scale [IS]) by 12 months for their response to be considered optimal</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&lt;EndNote&gt;&lt;Cite&gt;&lt;Author&gt;Baccarani&lt;/Author&gt;&lt;Year&gt;2013&lt;/Year&gt;&lt;RecNum&gt;395&lt;/RecNum&gt;&lt;DisplayText&gt;(Baccarani&lt;style face="italic"&gt;, et al&lt;/style&gt; 2013)&lt;/DisplayText&gt;&lt;record&gt;&lt;rec-number&gt;395&lt;/rec-number&gt;&lt;foreign-keys&gt;&lt;key app="EN" db-id="sxxfsvre49szroewve75ep9j0v99v9vffext" timestamp="1567720897"&gt;395&lt;/key&gt;&lt;/foreign-keys&gt;&lt;ref-type name="Journal Article"&gt;17&lt;/ref-type&gt;&lt;contributors&gt;&lt;authors&gt;&lt;author&gt;Baccarani, M.&lt;/author&gt;&lt;author&gt;Deininger, M. W.&lt;/author&gt;&lt;author&gt;Rosti, G.&lt;/author&gt;&lt;author&gt;Hochhaus, A.&lt;/author&gt;&lt;author&gt;Soverini, S.&lt;/author&gt;&lt;author&gt;Apperley, J. F.&lt;/author&gt;&lt;author&gt;Cervantes, F.&lt;/author&gt;&lt;author&gt;Clark, R. E.&lt;/author&gt;&lt;author&gt;Cortes, J. E.&lt;/author&gt;&lt;author&gt;Guilhot, F.&lt;/author&gt;&lt;author&gt;Hjorth-Hansen, H.&lt;/author&gt;&lt;author&gt;Hughes, T. P.&lt;/author&gt;&lt;author&gt;Kantarjian, H. M.&lt;/author&gt;&lt;author&gt;Kim, D. W.&lt;/author&gt;&lt;author&gt;Larson, R. A.&lt;/author&gt;&lt;author&gt;Lipton, J. H.&lt;/author&gt;&lt;author&gt;Mahon, F. X.&lt;/author&gt;&lt;author&gt;Martinelli, G.&lt;/author&gt;&lt;author&gt;Mayer, J.&lt;/author&gt;&lt;author&gt;Muller, M. C.&lt;/author&gt;&lt;author&gt;Niederwieser, D.&lt;/author&gt;&lt;author&gt;Pane, F.&lt;/author&gt;&lt;author&gt;Radich, J. P.&lt;/author&gt;&lt;author&gt;Rousselot, P.&lt;/author&gt;&lt;author&gt;Saglio, G.&lt;/author&gt;&lt;author&gt;Saussele, S.&lt;/author&gt;&lt;author&gt;Schiffer, C.&lt;/author&gt;&lt;author&gt;Silver, R.&lt;/author&gt;&lt;author&gt;Simonsson, B.&lt;/author&gt;&lt;author&gt;Steegmann, J. L.&lt;/author&gt;&lt;author&gt;Goldman, J. M.&lt;/author&gt;&lt;author&gt;Hehlmann, R.&lt;/author&gt;&lt;/authors&gt;&lt;/contributors&gt;&lt;auth-address&gt;Department of Hematology &amp;quot;L. and A. Seragnoli&amp;quot;, S.Orsola-Malpighi Hospital, University of Bologna, Bologna, Italy;&lt;/auth-address&gt;&lt;titles&gt;&lt;title&gt;European LeukemiaNet recommendations for the management of chronic myeloid leukemia: 2013&lt;/title&gt;&lt;secondary-title&gt;Blood&lt;/secondary-title&gt;&lt;/titles&gt;&lt;periodical&gt;&lt;full-title&gt;Blood&lt;/full-title&gt;&lt;/periodical&gt;&lt;pages&gt;872-884&lt;/pages&gt;&lt;volume&gt;122&lt;/volume&gt;&lt;number&gt;6&lt;/number&gt;&lt;dates&gt;&lt;year&gt;2013&lt;/year&gt;&lt;/dates&gt;&lt;isbn&gt;1528-0020; 0006-4971&lt;/isbn&gt;&lt;urls&gt;&lt;/urls&gt;&lt;electronic-resource-num&gt;10.1182/blood-2013-05-501569&lt;/electronic-resource-num&gt;&lt;access-date&gt;Jun 26&lt;/access-date&gt;&lt;/record&gt;&lt;/Cite&gt;&lt;/EndNote&gt;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(Baccarani</w:t>
      </w:r>
      <w:r w:rsidRPr="00AF6D2E">
        <w:rPr>
          <w:rFonts w:asciiTheme="majorBidi" w:hAnsiTheme="majorBidi" w:cstheme="majorBidi"/>
          <w:i/>
          <w:noProof/>
          <w:sz w:val="24"/>
          <w:szCs w:val="24"/>
        </w:rPr>
        <w:t>, et al</w:t>
      </w:r>
      <w:r>
        <w:rPr>
          <w:rFonts w:asciiTheme="majorBidi" w:hAnsiTheme="majorBidi" w:cstheme="majorBidi"/>
          <w:noProof/>
          <w:sz w:val="24"/>
          <w:szCs w:val="24"/>
        </w:rPr>
        <w:t xml:space="preserve"> 2013)</w:t>
      </w:r>
      <w:r>
        <w:rPr>
          <w:rFonts w:asciiTheme="majorBidi" w:hAnsiTheme="majorBidi" w:cstheme="majorBidi"/>
          <w:sz w:val="24"/>
          <w:szCs w:val="24"/>
        </w:rPr>
        <w:fldChar w:fldCharType="end"/>
      </w:r>
      <w:r w:rsidRPr="00192B90">
        <w:rPr>
          <w:rFonts w:asciiTheme="majorBidi" w:hAnsiTheme="majorBidi" w:cstheme="majorBidi"/>
          <w:sz w:val="24"/>
          <w:szCs w:val="24"/>
        </w:rPr>
        <w:t>, deeper levels of response</w:t>
      </w:r>
      <w:r>
        <w:rPr>
          <w:rFonts w:asciiTheme="majorBidi" w:hAnsiTheme="majorBidi" w:cstheme="majorBidi"/>
          <w:sz w:val="24"/>
          <w:szCs w:val="24"/>
        </w:rPr>
        <w:t>,</w:t>
      </w:r>
      <w:r w:rsidRPr="00192B90">
        <w:rPr>
          <w:rFonts w:asciiTheme="majorBidi" w:hAnsiTheme="majorBidi" w:cstheme="majorBidi"/>
          <w:sz w:val="24"/>
          <w:szCs w:val="24"/>
        </w:rPr>
        <w:t xml:space="preserve"> including MR</w:t>
      </w:r>
      <w:r w:rsidRPr="00192B90">
        <w:rPr>
          <w:rFonts w:asciiTheme="majorBidi" w:hAnsiTheme="majorBidi" w:cstheme="majorBidi"/>
          <w:sz w:val="24"/>
          <w:szCs w:val="24"/>
          <w:vertAlign w:val="superscript"/>
        </w:rPr>
        <w:t>4</w:t>
      </w:r>
      <w:r w:rsidRPr="00192B90">
        <w:rPr>
          <w:rFonts w:asciiTheme="majorBidi" w:hAnsiTheme="majorBidi" w:cstheme="majorBidi"/>
          <w:sz w:val="24"/>
          <w:szCs w:val="24"/>
        </w:rPr>
        <w:t xml:space="preserve"> (</w:t>
      </w:r>
      <w:r w:rsidRPr="00192B90">
        <w:rPr>
          <w:rFonts w:asciiTheme="majorBidi" w:hAnsiTheme="majorBidi" w:cstheme="majorBidi"/>
          <w:i/>
          <w:sz w:val="24"/>
          <w:szCs w:val="24"/>
        </w:rPr>
        <w:t>BCR-</w:t>
      </w:r>
      <w:r w:rsidRPr="0044744F">
        <w:rPr>
          <w:rFonts w:ascii="Times New Roman" w:hAnsi="Times New Roman" w:cs="Times New Roman"/>
          <w:i/>
          <w:sz w:val="24"/>
          <w:szCs w:val="24"/>
        </w:rPr>
        <w:t>ABL1</w:t>
      </w:r>
      <w:r w:rsidRPr="0044744F">
        <w:rPr>
          <w:rFonts w:ascii="Times New Roman" w:hAnsi="Times New Roman" w:cs="Times New Roman"/>
          <w:sz w:val="24"/>
          <w:szCs w:val="24"/>
          <w:vertAlign w:val="superscript"/>
        </w:rPr>
        <w:t>IS</w:t>
      </w:r>
      <w:r w:rsidRPr="0044744F">
        <w:rPr>
          <w:rFonts w:ascii="Times New Roman" w:hAnsi="Times New Roman" w:cs="Times New Roman"/>
          <w:sz w:val="24"/>
          <w:szCs w:val="24"/>
        </w:rPr>
        <w:t xml:space="preserve"> ≤0.01%) and MR</w:t>
      </w:r>
      <w:r w:rsidRPr="0044744F">
        <w:rPr>
          <w:rFonts w:ascii="Times New Roman" w:hAnsi="Times New Roman" w:cs="Times New Roman"/>
          <w:sz w:val="24"/>
          <w:szCs w:val="24"/>
          <w:vertAlign w:val="superscript"/>
        </w:rPr>
        <w:t>4.5</w:t>
      </w:r>
      <w:r w:rsidRPr="0044744F">
        <w:rPr>
          <w:rFonts w:ascii="Times New Roman" w:hAnsi="Times New Roman" w:cs="Times New Roman"/>
          <w:sz w:val="24"/>
          <w:szCs w:val="24"/>
        </w:rPr>
        <w:t xml:space="preserve"> (</w:t>
      </w:r>
      <w:r w:rsidRPr="0044744F">
        <w:rPr>
          <w:rFonts w:ascii="Times New Roman" w:hAnsi="Times New Roman" w:cs="Times New Roman"/>
          <w:i/>
          <w:sz w:val="24"/>
          <w:szCs w:val="24"/>
        </w:rPr>
        <w:t>BCR-ABL1</w:t>
      </w:r>
      <w:r w:rsidRPr="0044744F">
        <w:rPr>
          <w:rFonts w:ascii="Times New Roman" w:hAnsi="Times New Roman" w:cs="Times New Roman"/>
          <w:sz w:val="24"/>
          <w:szCs w:val="24"/>
          <w:vertAlign w:val="superscript"/>
        </w:rPr>
        <w:t>IS</w:t>
      </w:r>
      <w:r w:rsidRPr="0044744F">
        <w:rPr>
          <w:rFonts w:ascii="Times New Roman" w:hAnsi="Times New Roman" w:cs="Times New Roman"/>
          <w:sz w:val="24"/>
          <w:szCs w:val="24"/>
        </w:rPr>
        <w:t xml:space="preserve"> ≤0.0032%) are also recognized as important milestones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PEVuZE5vdGU+PENpdGU+PEF1dGhvcj5Dcm9zczwvQXV0aG9yPjxZZWFyPjIwMTI8L1llYXI+PFJl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PEVuZE5vdGU+PENpdGU+PEF1dGhvcj5Dcm9zczwvQXV0aG9yPjxZZWFyPjIwMTI8L1llYXI+PFJl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(Cross</w:t>
      </w:r>
      <w:r w:rsidRPr="003E3294">
        <w:rPr>
          <w:rFonts w:ascii="Times New Roman" w:hAnsi="Times New Roman" w:cs="Times New Roman"/>
          <w:i/>
          <w:noProof/>
          <w:sz w:val="24"/>
          <w:szCs w:val="24"/>
        </w:rPr>
        <w:t>, et al</w:t>
      </w:r>
      <w:r>
        <w:rPr>
          <w:rFonts w:ascii="Times New Roman" w:hAnsi="Times New Roman" w:cs="Times New Roman"/>
          <w:noProof/>
          <w:sz w:val="24"/>
          <w:szCs w:val="24"/>
        </w:rPr>
        <w:t xml:space="preserve"> 2012, Etienne</w:t>
      </w:r>
      <w:r w:rsidRPr="003E3294">
        <w:rPr>
          <w:rFonts w:ascii="Times New Roman" w:hAnsi="Times New Roman" w:cs="Times New Roman"/>
          <w:i/>
          <w:noProof/>
          <w:sz w:val="24"/>
          <w:szCs w:val="24"/>
        </w:rPr>
        <w:t>, et al</w:t>
      </w:r>
      <w:r>
        <w:rPr>
          <w:rFonts w:ascii="Times New Roman" w:hAnsi="Times New Roman" w:cs="Times New Roman"/>
          <w:noProof/>
          <w:sz w:val="24"/>
          <w:szCs w:val="24"/>
        </w:rPr>
        <w:t xml:space="preserve"> 2014, Hehlmann</w:t>
      </w:r>
      <w:r w:rsidRPr="003E3294">
        <w:rPr>
          <w:rFonts w:ascii="Times New Roman" w:hAnsi="Times New Roman" w:cs="Times New Roman"/>
          <w:i/>
          <w:noProof/>
          <w:sz w:val="24"/>
          <w:szCs w:val="24"/>
        </w:rPr>
        <w:t>, et al</w:t>
      </w:r>
      <w:r>
        <w:rPr>
          <w:rFonts w:ascii="Times New Roman" w:hAnsi="Times New Roman" w:cs="Times New Roman"/>
          <w:noProof/>
          <w:sz w:val="24"/>
          <w:szCs w:val="24"/>
        </w:rPr>
        <w:t xml:space="preserve"> 2014)</w:t>
      </w:r>
      <w:r>
        <w:rPr>
          <w:rFonts w:ascii="Times New Roman" w:hAnsi="Times New Roman" w:cs="Times New Roman"/>
          <w:sz w:val="24"/>
          <w:szCs w:val="24"/>
        </w:rPr>
        <w:fldChar w:fldCharType="end"/>
      </w:r>
      <w:r>
        <w:rPr>
          <w:rFonts w:ascii="Times New Roman" w:hAnsi="Times New Roman" w:cs="Times New Roman"/>
          <w:sz w:val="24"/>
          <w:szCs w:val="24"/>
        </w:rPr>
        <w:t>.</w:t>
      </w:r>
      <w:r w:rsidRPr="0044744F">
        <w:rPr>
          <w:rFonts w:ascii="Times New Roman" w:hAnsi="Times New Roman" w:cs="Times New Roman"/>
          <w:sz w:val="40"/>
          <w:szCs w:val="24"/>
        </w:rPr>
        <w:t xml:space="preserve"> </w:t>
      </w:r>
      <w:r>
        <w:rPr>
          <w:rFonts w:asciiTheme="majorBidi" w:hAnsiTheme="majorBidi" w:cstheme="majorBidi"/>
          <w:sz w:val="24"/>
          <w:szCs w:val="24"/>
        </w:rPr>
        <w:t>Some p</w:t>
      </w:r>
      <w:r w:rsidRPr="00192B90">
        <w:rPr>
          <w:rFonts w:asciiTheme="majorBidi" w:hAnsiTheme="majorBidi" w:cstheme="majorBidi"/>
          <w:sz w:val="24"/>
          <w:szCs w:val="24"/>
        </w:rPr>
        <w:t xml:space="preserve">atients </w:t>
      </w:r>
      <w:r>
        <w:rPr>
          <w:rFonts w:asciiTheme="majorBidi" w:hAnsiTheme="majorBidi" w:cstheme="majorBidi"/>
          <w:sz w:val="24"/>
          <w:szCs w:val="24"/>
        </w:rPr>
        <w:t xml:space="preserve">with </w:t>
      </w:r>
      <w:r w:rsidRPr="00192B90">
        <w:rPr>
          <w:rFonts w:asciiTheme="majorBidi" w:hAnsiTheme="majorBidi" w:cstheme="majorBidi"/>
          <w:sz w:val="24"/>
          <w:szCs w:val="24"/>
        </w:rPr>
        <w:t>a sustained deep molecular response (DMR; MR</w:t>
      </w:r>
      <w:r w:rsidRPr="00192B90">
        <w:rPr>
          <w:rFonts w:asciiTheme="majorBidi" w:hAnsiTheme="majorBidi" w:cstheme="majorBidi"/>
          <w:sz w:val="24"/>
          <w:szCs w:val="24"/>
          <w:vertAlign w:val="superscript"/>
        </w:rPr>
        <w:t>4</w:t>
      </w:r>
      <w:r w:rsidRPr="00192B90">
        <w:rPr>
          <w:rFonts w:asciiTheme="majorBidi" w:hAnsiTheme="majorBidi" w:cstheme="majorBidi"/>
          <w:sz w:val="24"/>
          <w:szCs w:val="24"/>
        </w:rPr>
        <w:t xml:space="preserve"> or better) </w:t>
      </w:r>
      <w:r>
        <w:rPr>
          <w:rFonts w:asciiTheme="majorBidi" w:hAnsiTheme="majorBidi" w:cstheme="majorBidi"/>
          <w:sz w:val="24"/>
          <w:szCs w:val="24"/>
        </w:rPr>
        <w:t>may be eligible to attempt</w:t>
      </w:r>
      <w:r w:rsidRPr="00192B90">
        <w:rPr>
          <w:rFonts w:asciiTheme="majorBidi" w:hAnsiTheme="majorBidi" w:cstheme="majorBidi"/>
          <w:sz w:val="24"/>
          <w:szCs w:val="24"/>
        </w:rPr>
        <w:t xml:space="preserve"> treatment-free remission</w:t>
      </w:r>
      <w:r>
        <w:rPr>
          <w:rFonts w:asciiTheme="majorBidi" w:hAnsiTheme="majorBidi" w:cstheme="majorBidi"/>
          <w:sz w:val="24"/>
          <w:szCs w:val="24"/>
        </w:rPr>
        <w:t xml:space="preserve"> (TFR) </w:t>
      </w:r>
      <w:r>
        <w:rPr>
          <w:rFonts w:asciiTheme="majorBidi" w:hAnsiTheme="majorBidi" w:cstheme="majorBidi"/>
          <w:sz w:val="24"/>
          <w:szCs w:val="24"/>
        </w:rPr>
        <w:fldChar w:fldCharType="begin">
          <w:fldData xml:space="preserve">PEVuZE5vdGU+PENpdGU+PEF1dGhvcj5Ib2NoaGF1czwvQXV0aG9yPjxZZWFyPjIwMTc8L1llYXI+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PEVuZE5vdGU+PENpdGU+PEF1dGhvcj5Ib2NoaGF1czwvQXV0aG9yPjxZZWFyPjIwMTc8L1llYXI+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(Hochhaus</w:t>
      </w:r>
      <w:r w:rsidRPr="00196C9D">
        <w:rPr>
          <w:rFonts w:asciiTheme="majorBidi" w:hAnsiTheme="majorBidi" w:cstheme="majorBidi"/>
          <w:i/>
          <w:noProof/>
          <w:sz w:val="24"/>
          <w:szCs w:val="24"/>
        </w:rPr>
        <w:t>, et al</w:t>
      </w:r>
      <w:r>
        <w:rPr>
          <w:rFonts w:asciiTheme="majorBidi" w:hAnsiTheme="majorBidi" w:cstheme="majorBidi"/>
          <w:noProof/>
          <w:sz w:val="24"/>
          <w:szCs w:val="24"/>
        </w:rPr>
        <w:t xml:space="preserve"> 2017b, Mahon 2017, NCCN 2019, Rea</w:t>
      </w:r>
      <w:r w:rsidRPr="00196C9D">
        <w:rPr>
          <w:rFonts w:asciiTheme="majorBidi" w:hAnsiTheme="majorBidi" w:cstheme="majorBidi"/>
          <w:i/>
          <w:noProof/>
          <w:sz w:val="24"/>
          <w:szCs w:val="24"/>
        </w:rPr>
        <w:t>, et al</w:t>
      </w:r>
      <w:r>
        <w:rPr>
          <w:rFonts w:asciiTheme="majorBidi" w:hAnsiTheme="majorBidi" w:cstheme="majorBidi"/>
          <w:noProof/>
          <w:sz w:val="24"/>
          <w:szCs w:val="24"/>
        </w:rPr>
        <w:t xml:space="preserve"> 2018)</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192B90">
        <w:rPr>
          <w:rFonts w:asciiTheme="majorBidi" w:hAnsiTheme="majorBidi" w:cstheme="majorBidi"/>
          <w:sz w:val="24"/>
          <w:szCs w:val="24"/>
        </w:rPr>
        <w:t xml:space="preserve">Clinical trials have </w:t>
      </w:r>
      <w:r>
        <w:rPr>
          <w:rFonts w:asciiTheme="majorBidi" w:hAnsiTheme="majorBidi" w:cstheme="majorBidi"/>
          <w:sz w:val="24"/>
          <w:szCs w:val="24"/>
        </w:rPr>
        <w:t>demonstrated</w:t>
      </w:r>
      <w:r w:rsidRPr="00192B90">
        <w:rPr>
          <w:rFonts w:asciiTheme="majorBidi" w:hAnsiTheme="majorBidi" w:cstheme="majorBidi"/>
          <w:sz w:val="24"/>
          <w:szCs w:val="24"/>
        </w:rPr>
        <w:t xml:space="preserve"> that patients are more likely to achieve </w:t>
      </w:r>
      <w:r>
        <w:rPr>
          <w:rFonts w:asciiTheme="majorBidi" w:hAnsiTheme="majorBidi" w:cstheme="majorBidi"/>
          <w:sz w:val="24"/>
          <w:szCs w:val="24"/>
        </w:rPr>
        <w:t>optimal and deeper responses to first-line therapy at key ELN milestones</w:t>
      </w:r>
      <w:r w:rsidRPr="00192B90">
        <w:rPr>
          <w:rFonts w:asciiTheme="majorBidi" w:hAnsiTheme="majorBidi" w:cstheme="majorBidi"/>
          <w:sz w:val="24"/>
          <w:szCs w:val="24"/>
        </w:rPr>
        <w:t xml:space="preserve"> </w:t>
      </w:r>
      <w:r>
        <w:rPr>
          <w:rFonts w:asciiTheme="majorBidi" w:hAnsiTheme="majorBidi" w:cstheme="majorBidi"/>
          <w:sz w:val="24"/>
          <w:szCs w:val="24"/>
        </w:rPr>
        <w:t>when</w:t>
      </w:r>
      <w:r w:rsidRPr="00192B90">
        <w:rPr>
          <w:rFonts w:asciiTheme="majorBidi" w:hAnsiTheme="majorBidi" w:cstheme="majorBidi"/>
          <w:sz w:val="24"/>
          <w:szCs w:val="24"/>
        </w:rPr>
        <w:t xml:space="preserve"> </w:t>
      </w:r>
      <w:r>
        <w:rPr>
          <w:rFonts w:asciiTheme="majorBidi" w:hAnsiTheme="majorBidi" w:cstheme="majorBidi"/>
          <w:sz w:val="24"/>
          <w:szCs w:val="24"/>
        </w:rPr>
        <w:t>second-generation (</w:t>
      </w:r>
      <w:r w:rsidRPr="00192B90">
        <w:rPr>
          <w:rFonts w:asciiTheme="majorBidi" w:hAnsiTheme="majorBidi" w:cstheme="majorBidi"/>
          <w:sz w:val="24"/>
          <w:szCs w:val="24"/>
        </w:rPr>
        <w:t>2G</w:t>
      </w:r>
      <w:r>
        <w:rPr>
          <w:rFonts w:asciiTheme="majorBidi" w:hAnsiTheme="majorBidi" w:cstheme="majorBidi"/>
          <w:sz w:val="24"/>
          <w:szCs w:val="24"/>
        </w:rPr>
        <w:t xml:space="preserve">) </w:t>
      </w:r>
      <w:r w:rsidRPr="00192B90">
        <w:rPr>
          <w:rFonts w:asciiTheme="majorBidi" w:hAnsiTheme="majorBidi" w:cstheme="majorBidi"/>
          <w:sz w:val="24"/>
          <w:szCs w:val="24"/>
        </w:rPr>
        <w:t xml:space="preserve">TKIs </w:t>
      </w:r>
      <w:r>
        <w:rPr>
          <w:rFonts w:asciiTheme="majorBidi" w:hAnsiTheme="majorBidi" w:cstheme="majorBidi"/>
          <w:sz w:val="24"/>
          <w:szCs w:val="24"/>
        </w:rPr>
        <w:t xml:space="preserve">are </w:t>
      </w:r>
      <w:r>
        <w:rPr>
          <w:rFonts w:asciiTheme="majorBidi" w:hAnsiTheme="majorBidi" w:cstheme="majorBidi"/>
          <w:sz w:val="24"/>
          <w:szCs w:val="24"/>
        </w:rPr>
        <w:lastRenderedPageBreak/>
        <w:t xml:space="preserve">used rather </w:t>
      </w:r>
      <w:r w:rsidRPr="00192B90">
        <w:rPr>
          <w:rFonts w:asciiTheme="majorBidi" w:hAnsiTheme="majorBidi" w:cstheme="majorBidi"/>
          <w:sz w:val="24"/>
          <w:szCs w:val="24"/>
        </w:rPr>
        <w:t>than imatinib</w:t>
      </w:r>
      <w:r>
        <w:rPr>
          <w:rFonts w:asciiTheme="majorBidi" w:hAnsiTheme="majorBidi" w:cstheme="majorBidi"/>
          <w:sz w:val="24"/>
          <w:szCs w:val="24"/>
        </w:rPr>
        <w:t xml:space="preserve">; however, achievement of responses in real-world practice is less well explored, particularly in the second-line setting </w:t>
      </w:r>
      <w:r>
        <w:rPr>
          <w:rFonts w:asciiTheme="majorBidi" w:hAnsiTheme="majorBidi" w:cstheme="majorBidi"/>
          <w:sz w:val="24"/>
          <w:szCs w:val="24"/>
        </w:rPr>
        <w:fldChar w:fldCharType="begin">
          <w:fldData xml:space="preserve">PEVuZE5vdGU+PENpdGU+PEF1dGhvcj5Ib2NoaGF1czwvQXV0aG9yPjxZZWFyPjIwMTY8L1llYXI+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PEVuZE5vdGU+PENpdGU+PEF1dGhvcj5Ib2NoaGF1czwvQXV0aG9yPjxZZWFyPjIwMTY8L1llYXI+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(Cortes</w:t>
      </w:r>
      <w:r w:rsidRPr="00712CCF">
        <w:rPr>
          <w:rFonts w:asciiTheme="majorBidi" w:hAnsiTheme="majorBidi" w:cstheme="majorBidi"/>
          <w:i/>
          <w:noProof/>
          <w:sz w:val="24"/>
          <w:szCs w:val="24"/>
        </w:rPr>
        <w:t>, et al</w:t>
      </w:r>
      <w:r>
        <w:rPr>
          <w:rFonts w:asciiTheme="majorBidi" w:hAnsiTheme="majorBidi" w:cstheme="majorBidi"/>
          <w:noProof/>
          <w:sz w:val="24"/>
          <w:szCs w:val="24"/>
        </w:rPr>
        <w:t xml:space="preserve"> 2018a, Cortes</w:t>
      </w:r>
      <w:r w:rsidRPr="00712CCF">
        <w:rPr>
          <w:rFonts w:asciiTheme="majorBidi" w:hAnsiTheme="majorBidi" w:cstheme="majorBidi"/>
          <w:i/>
          <w:noProof/>
          <w:sz w:val="24"/>
          <w:szCs w:val="24"/>
        </w:rPr>
        <w:t>, et al</w:t>
      </w:r>
      <w:r>
        <w:rPr>
          <w:rFonts w:asciiTheme="majorBidi" w:hAnsiTheme="majorBidi" w:cstheme="majorBidi"/>
          <w:noProof/>
          <w:sz w:val="24"/>
          <w:szCs w:val="24"/>
        </w:rPr>
        <w:t xml:space="preserve"> 2016, Hochhaus</w:t>
      </w:r>
      <w:r w:rsidRPr="00712CCF">
        <w:rPr>
          <w:rFonts w:asciiTheme="majorBidi" w:hAnsiTheme="majorBidi" w:cstheme="majorBidi"/>
          <w:i/>
          <w:noProof/>
          <w:sz w:val="24"/>
          <w:szCs w:val="24"/>
        </w:rPr>
        <w:t>, et al</w:t>
      </w:r>
      <w:r>
        <w:rPr>
          <w:rFonts w:asciiTheme="majorBidi" w:hAnsiTheme="majorBidi" w:cstheme="majorBidi"/>
          <w:noProof/>
          <w:sz w:val="24"/>
          <w:szCs w:val="24"/>
        </w:rPr>
        <w:t xml:space="preserve"> 2016)</w:t>
      </w:r>
      <w:r>
        <w:rPr>
          <w:rFonts w:asciiTheme="majorBidi" w:hAnsiTheme="majorBidi" w:cstheme="majorBidi"/>
          <w:sz w:val="24"/>
          <w:szCs w:val="24"/>
        </w:rPr>
        <w:fldChar w:fldCharType="end"/>
      </w:r>
      <w:r>
        <w:rPr>
          <w:rFonts w:asciiTheme="majorBidi" w:hAnsiTheme="majorBidi" w:cstheme="majorBidi"/>
          <w:sz w:val="24"/>
          <w:szCs w:val="24"/>
        </w:rPr>
        <w:t>.</w:t>
      </w:r>
      <w:r w:rsidRPr="00192B90">
        <w:rPr>
          <w:rFonts w:asciiTheme="majorBidi" w:hAnsiTheme="majorBidi" w:cstheme="majorBidi"/>
          <w:sz w:val="24"/>
          <w:szCs w:val="24"/>
        </w:rPr>
        <w:t xml:space="preserve"> </w:t>
      </w:r>
      <w:r>
        <w:rPr>
          <w:rFonts w:asciiTheme="majorBidi" w:hAnsiTheme="majorBidi" w:cstheme="majorBidi"/>
          <w:sz w:val="24"/>
          <w:szCs w:val="24"/>
        </w:rPr>
        <w:t>A</w:t>
      </w:r>
      <w:r w:rsidRPr="00192B90">
        <w:rPr>
          <w:rFonts w:asciiTheme="majorBidi" w:hAnsiTheme="majorBidi" w:cstheme="majorBidi"/>
          <w:sz w:val="24"/>
          <w:szCs w:val="24"/>
        </w:rPr>
        <w:t>chievement of</w:t>
      </w:r>
      <w:r>
        <w:rPr>
          <w:rFonts w:asciiTheme="majorBidi" w:hAnsiTheme="majorBidi" w:cstheme="majorBidi"/>
          <w:sz w:val="24"/>
          <w:szCs w:val="24"/>
        </w:rPr>
        <w:t xml:space="preserve"> ELN-defined </w:t>
      </w:r>
      <w:r w:rsidRPr="00192B90">
        <w:rPr>
          <w:rFonts w:asciiTheme="majorBidi" w:hAnsiTheme="majorBidi" w:cstheme="majorBidi"/>
          <w:sz w:val="24"/>
          <w:szCs w:val="24"/>
        </w:rPr>
        <w:t xml:space="preserve">responses and how ELN guidelines are implemented in real-world settings are </w:t>
      </w:r>
      <w:r>
        <w:rPr>
          <w:rFonts w:asciiTheme="majorBidi" w:hAnsiTheme="majorBidi" w:cstheme="majorBidi"/>
          <w:sz w:val="24"/>
          <w:szCs w:val="24"/>
        </w:rPr>
        <w:t>infrequently explored.</w:t>
      </w:r>
    </w:p>
    <w:p w:rsidR="00B331A1" w:rsidRPr="00D64C81" w:rsidRDefault="00B331A1" w:rsidP="00B331A1">
      <w:pPr>
        <w:autoSpaceDE w:val="0"/>
        <w:autoSpaceDN w:val="0"/>
        <w:adjustRightInd w:val="0"/>
        <w:spacing w:after="0" w:line="480" w:lineRule="auto"/>
        <w:rPr>
          <w:rFonts w:ascii="Times New Roman" w:hAnsi="Times New Roman" w:cs="Times New Roman"/>
          <w:sz w:val="24"/>
          <w:szCs w:val="24"/>
        </w:rPr>
      </w:pPr>
      <w:r w:rsidRPr="000209BA">
        <w:rPr>
          <w:rFonts w:ascii="Times New Roman" w:hAnsi="Times New Roman" w:cs="Times New Roman"/>
          <w:sz w:val="24"/>
          <w:szCs w:val="24"/>
        </w:rPr>
        <w:t>An increased risk of cardiovascular (CV) adverse events</w:t>
      </w:r>
      <w:r>
        <w:rPr>
          <w:rFonts w:ascii="Times New Roman" w:hAnsi="Times New Roman" w:cs="Times New Roman"/>
          <w:sz w:val="24"/>
          <w:szCs w:val="24"/>
        </w:rPr>
        <w:t xml:space="preserve"> (AEs)</w:t>
      </w:r>
      <w:r w:rsidRPr="000209BA">
        <w:rPr>
          <w:rFonts w:ascii="Times New Roman" w:hAnsi="Times New Roman" w:cs="Times New Roman"/>
          <w:sz w:val="24"/>
          <w:szCs w:val="24"/>
        </w:rPr>
        <w:t xml:space="preserve"> has been described in patients taking 2G</w:t>
      </w:r>
      <w:r>
        <w:rPr>
          <w:rFonts w:ascii="Times New Roman" w:hAnsi="Times New Roman" w:cs="Times New Roman"/>
          <w:sz w:val="24"/>
          <w:szCs w:val="24"/>
        </w:rPr>
        <w:t>- or 3G-</w:t>
      </w:r>
      <w:r w:rsidRPr="000209BA">
        <w:rPr>
          <w:rFonts w:ascii="Times New Roman" w:hAnsi="Times New Roman" w:cs="Times New Roman"/>
          <w:sz w:val="24"/>
          <w:szCs w:val="24"/>
        </w:rPr>
        <w:t>TKIs compar</w:t>
      </w:r>
      <w:r>
        <w:rPr>
          <w:rFonts w:ascii="Times New Roman" w:hAnsi="Times New Roman" w:cs="Times New Roman"/>
          <w:sz w:val="24"/>
          <w:szCs w:val="24"/>
        </w:rPr>
        <w:t>ed</w:t>
      </w:r>
      <w:r w:rsidRPr="000209BA">
        <w:rPr>
          <w:rFonts w:ascii="Times New Roman" w:hAnsi="Times New Roman" w:cs="Times New Roman"/>
          <w:sz w:val="24"/>
          <w:szCs w:val="24"/>
        </w:rPr>
        <w:t xml:space="preserve"> with imatinib, especially </w:t>
      </w:r>
      <w:r>
        <w:rPr>
          <w:rFonts w:ascii="Times New Roman" w:hAnsi="Times New Roman" w:cs="Times New Roman"/>
          <w:sz w:val="24"/>
          <w:szCs w:val="24"/>
        </w:rPr>
        <w:t>in patients</w:t>
      </w:r>
      <w:r w:rsidRPr="000209BA">
        <w:rPr>
          <w:rFonts w:ascii="Times New Roman" w:hAnsi="Times New Roman" w:cs="Times New Roman"/>
          <w:sz w:val="24"/>
          <w:szCs w:val="24"/>
        </w:rPr>
        <w:t xml:space="preserve"> with </w:t>
      </w:r>
      <w:proofErr w:type="spellStart"/>
      <w:r w:rsidRPr="000209BA">
        <w:rPr>
          <w:rFonts w:ascii="Times New Roman" w:hAnsi="Times New Roman" w:cs="Times New Roman"/>
          <w:sz w:val="24"/>
          <w:szCs w:val="24"/>
        </w:rPr>
        <w:t>preexisting</w:t>
      </w:r>
      <w:proofErr w:type="spellEnd"/>
      <w:r w:rsidRPr="000209BA">
        <w:rPr>
          <w:rFonts w:ascii="Times New Roman" w:hAnsi="Times New Roman" w:cs="Times New Roman"/>
          <w:sz w:val="24"/>
          <w:szCs w:val="24"/>
        </w:rPr>
        <w:t xml:space="preserve"> CV risk factors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PEVuZE5vdGU+PENpdGU+PEF1dGhvcj5Ib2NoaGF1czwvQXV0aG9yPjxZZWFyPjIwMTY8L1llYXI+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PEVuZE5vdGU+PENpdGU+PEF1dGhvcj5Ib2NoaGF1czwvQXV0aG9yPjxZZWFyPjIwMTY8L1llYXI+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(Chai-Adisaksopha</w:t>
      </w:r>
      <w:r w:rsidRPr="00712CCF">
        <w:rPr>
          <w:rFonts w:ascii="Times New Roman" w:hAnsi="Times New Roman" w:cs="Times New Roman"/>
          <w:i/>
          <w:noProof/>
          <w:sz w:val="24"/>
          <w:szCs w:val="24"/>
        </w:rPr>
        <w:t>, et al</w:t>
      </w:r>
      <w:r>
        <w:rPr>
          <w:rFonts w:ascii="Times New Roman" w:hAnsi="Times New Roman" w:cs="Times New Roman"/>
          <w:noProof/>
          <w:sz w:val="24"/>
          <w:szCs w:val="24"/>
        </w:rPr>
        <w:t xml:space="preserve"> 2016, Cortes</w:t>
      </w:r>
      <w:r w:rsidRPr="00712CCF">
        <w:rPr>
          <w:rFonts w:ascii="Times New Roman" w:hAnsi="Times New Roman" w:cs="Times New Roman"/>
          <w:i/>
          <w:noProof/>
          <w:sz w:val="24"/>
          <w:szCs w:val="24"/>
        </w:rPr>
        <w:t>, et al</w:t>
      </w:r>
      <w:r>
        <w:rPr>
          <w:rFonts w:ascii="Times New Roman" w:hAnsi="Times New Roman" w:cs="Times New Roman"/>
          <w:noProof/>
          <w:sz w:val="24"/>
          <w:szCs w:val="24"/>
        </w:rPr>
        <w:t xml:space="preserve"> 2018b, Cortes</w:t>
      </w:r>
      <w:r w:rsidRPr="00712CCF">
        <w:rPr>
          <w:rFonts w:ascii="Times New Roman" w:hAnsi="Times New Roman" w:cs="Times New Roman"/>
          <w:i/>
          <w:noProof/>
          <w:sz w:val="24"/>
          <w:szCs w:val="24"/>
        </w:rPr>
        <w:t>, et al</w:t>
      </w:r>
      <w:r>
        <w:rPr>
          <w:rFonts w:ascii="Times New Roman" w:hAnsi="Times New Roman" w:cs="Times New Roman"/>
          <w:noProof/>
          <w:sz w:val="24"/>
          <w:szCs w:val="24"/>
        </w:rPr>
        <w:t xml:space="preserve"> 2016, Hochhaus</w:t>
      </w:r>
      <w:r w:rsidRPr="00712CCF">
        <w:rPr>
          <w:rFonts w:ascii="Times New Roman" w:hAnsi="Times New Roman" w:cs="Times New Roman"/>
          <w:i/>
          <w:noProof/>
          <w:sz w:val="24"/>
          <w:szCs w:val="24"/>
        </w:rPr>
        <w:t>, et al</w:t>
      </w:r>
      <w:r>
        <w:rPr>
          <w:rFonts w:ascii="Times New Roman" w:hAnsi="Times New Roman" w:cs="Times New Roman"/>
          <w:noProof/>
          <w:sz w:val="24"/>
          <w:szCs w:val="24"/>
        </w:rPr>
        <w:t xml:space="preserve"> 2016, Lipton</w:t>
      </w:r>
      <w:r w:rsidRPr="00712CCF">
        <w:rPr>
          <w:rFonts w:ascii="Times New Roman" w:hAnsi="Times New Roman" w:cs="Times New Roman"/>
          <w:i/>
          <w:noProof/>
          <w:sz w:val="24"/>
          <w:szCs w:val="24"/>
        </w:rPr>
        <w:t>, et al</w:t>
      </w:r>
      <w:r>
        <w:rPr>
          <w:rFonts w:ascii="Times New Roman" w:hAnsi="Times New Roman" w:cs="Times New Roman"/>
          <w:noProof/>
          <w:sz w:val="24"/>
          <w:szCs w:val="24"/>
        </w:rPr>
        <w:t xml:space="preserve"> 2016)</w:t>
      </w:r>
      <w:r>
        <w:rPr>
          <w:rFonts w:ascii="Times New Roman" w:hAnsi="Times New Roman" w:cs="Times New Roman"/>
          <w:sz w:val="24"/>
          <w:szCs w:val="24"/>
        </w:rPr>
        <w:fldChar w:fldCharType="end"/>
      </w:r>
      <w:r w:rsidRPr="000209BA">
        <w:rPr>
          <w:rFonts w:ascii="Times New Roman" w:hAnsi="Times New Roman" w:cs="Times New Roman"/>
          <w:sz w:val="24"/>
          <w:szCs w:val="24"/>
        </w:rPr>
        <w:t xml:space="preserve">. </w:t>
      </w:r>
      <w:r>
        <w:rPr>
          <w:rFonts w:asciiTheme="majorBidi" w:hAnsiTheme="majorBidi" w:cstheme="majorBidi"/>
          <w:sz w:val="24"/>
          <w:szCs w:val="24"/>
        </w:rPr>
        <w:t xml:space="preserve">Given the excellent long-term outcomes in CML, comorbidities are now a major consideration </w:t>
      </w:r>
      <w:r>
        <w:rPr>
          <w:rFonts w:asciiTheme="majorBidi" w:hAnsiTheme="majorBidi" w:cstheme="majorBidi"/>
          <w:sz w:val="24"/>
          <w:szCs w:val="24"/>
        </w:rPr>
        <w:fldChar w:fldCharType="begin">
          <w:fldData xml:space="preserve">PEVuZE5vdGU+PENpdGU+PEF1dGhvcj5KYWJib3VyPC9BdXRob3I+PFllYXI+MjAxNDwvWWVhcj48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PEVuZE5vdGU+PENpdGU+PEF1dGhvcj5KYWJib3VyPC9BdXRob3I+PFllYXI+MjAxNDwvWWVhcj48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(Jabbour</w:t>
      </w:r>
      <w:r w:rsidRPr="00712CCF">
        <w:rPr>
          <w:rFonts w:asciiTheme="majorBidi" w:hAnsiTheme="majorBidi" w:cstheme="majorBidi"/>
          <w:i/>
          <w:noProof/>
          <w:sz w:val="24"/>
          <w:szCs w:val="24"/>
        </w:rPr>
        <w:t>, et al</w:t>
      </w:r>
      <w:r>
        <w:rPr>
          <w:rFonts w:asciiTheme="majorBidi" w:hAnsiTheme="majorBidi" w:cstheme="majorBidi"/>
          <w:noProof/>
          <w:sz w:val="24"/>
          <w:szCs w:val="24"/>
        </w:rPr>
        <w:t xml:space="preserve"> 2014, Saussele</w:t>
      </w:r>
      <w:r w:rsidRPr="00712CCF">
        <w:rPr>
          <w:rFonts w:asciiTheme="majorBidi" w:hAnsiTheme="majorBidi" w:cstheme="majorBidi"/>
          <w:i/>
          <w:noProof/>
          <w:sz w:val="24"/>
          <w:szCs w:val="24"/>
        </w:rPr>
        <w:t>, et al</w:t>
      </w:r>
      <w:r>
        <w:rPr>
          <w:rFonts w:asciiTheme="majorBidi" w:hAnsiTheme="majorBidi" w:cstheme="majorBidi"/>
          <w:noProof/>
          <w:sz w:val="24"/>
          <w:szCs w:val="24"/>
        </w:rPr>
        <w:t xml:space="preserve"> 2015)</w:t>
      </w:r>
      <w:r>
        <w:rPr>
          <w:rFonts w:asciiTheme="majorBidi" w:hAnsiTheme="majorBidi" w:cstheme="majorBidi"/>
          <w:sz w:val="24"/>
          <w:szCs w:val="24"/>
        </w:rPr>
        <w:fldChar w:fldCharType="end"/>
      </w:r>
      <w:r>
        <w:rPr>
          <w:rFonts w:asciiTheme="majorBidi" w:hAnsiTheme="majorBidi" w:cstheme="majorBidi"/>
          <w:sz w:val="24"/>
          <w:szCs w:val="24"/>
        </w:rPr>
        <w:t>. However, in UK routine clinical practice, it is unclear how physicians assess and manage CV risk factors or how CV risk factors affect TKI management.</w:t>
      </w:r>
    </w:p>
    <w:p w:rsidR="00B331A1" w:rsidRPr="000B02F7" w:rsidRDefault="00B331A1" w:rsidP="00B331A1">
      <w:pPr>
        <w:spacing w:line="480" w:lineRule="auto"/>
        <w:rPr>
          <w:rFonts w:asciiTheme="majorBidi" w:hAnsiTheme="majorBidi" w:cstheme="majorBidi"/>
          <w:sz w:val="24"/>
          <w:szCs w:val="24"/>
        </w:rPr>
      </w:pPr>
      <w:r w:rsidRPr="00192B90">
        <w:rPr>
          <w:rFonts w:asciiTheme="majorBidi" w:hAnsiTheme="majorBidi" w:cstheme="majorBidi"/>
          <w:sz w:val="24"/>
          <w:szCs w:val="24"/>
        </w:rPr>
        <w:t>UK TARGET CML</w:t>
      </w:r>
      <w:r>
        <w:rPr>
          <w:rFonts w:asciiTheme="majorBidi" w:hAnsiTheme="majorBidi" w:cstheme="majorBidi"/>
          <w:sz w:val="24"/>
          <w:szCs w:val="24"/>
        </w:rPr>
        <w:t xml:space="preserve"> (</w:t>
      </w:r>
      <w:r w:rsidRPr="009005AC">
        <w:rPr>
          <w:rFonts w:asciiTheme="majorBidi" w:hAnsiTheme="majorBidi" w:cstheme="majorBidi"/>
          <w:sz w:val="24"/>
          <w:szCs w:val="24"/>
        </w:rPr>
        <w:t>CAMN107CGB12</w:t>
      </w:r>
      <w:r>
        <w:rPr>
          <w:rFonts w:asciiTheme="majorBidi" w:hAnsiTheme="majorBidi" w:cstheme="majorBidi"/>
          <w:sz w:val="24"/>
          <w:szCs w:val="24"/>
        </w:rPr>
        <w:t xml:space="preserve">) </w:t>
      </w:r>
      <w:r w:rsidRPr="00192B90">
        <w:rPr>
          <w:rFonts w:asciiTheme="majorBidi" w:hAnsiTheme="majorBidi" w:cstheme="majorBidi"/>
          <w:sz w:val="24"/>
          <w:szCs w:val="24"/>
        </w:rPr>
        <w:t xml:space="preserve">is </w:t>
      </w:r>
      <w:r>
        <w:rPr>
          <w:rFonts w:asciiTheme="majorBidi" w:hAnsiTheme="majorBidi" w:cstheme="majorBidi"/>
          <w:sz w:val="24"/>
          <w:szCs w:val="24"/>
        </w:rPr>
        <w:t>a retrospective</w:t>
      </w:r>
      <w:r w:rsidRPr="00192B90">
        <w:rPr>
          <w:rFonts w:asciiTheme="majorBidi" w:hAnsiTheme="majorBidi" w:cstheme="majorBidi"/>
          <w:sz w:val="24"/>
          <w:szCs w:val="24"/>
        </w:rPr>
        <w:t xml:space="preserve"> observational study </w:t>
      </w:r>
      <w:r>
        <w:rPr>
          <w:rFonts w:asciiTheme="majorBidi" w:hAnsiTheme="majorBidi" w:cstheme="majorBidi"/>
          <w:sz w:val="24"/>
          <w:szCs w:val="24"/>
        </w:rPr>
        <w:t>of</w:t>
      </w:r>
      <w:r w:rsidRPr="00192B90">
        <w:rPr>
          <w:rFonts w:asciiTheme="majorBidi" w:hAnsiTheme="majorBidi" w:cstheme="majorBidi"/>
          <w:sz w:val="24"/>
          <w:szCs w:val="24"/>
        </w:rPr>
        <w:t xml:space="preserve"> </w:t>
      </w:r>
      <w:r>
        <w:rPr>
          <w:rFonts w:asciiTheme="majorBidi" w:hAnsiTheme="majorBidi" w:cstheme="majorBidi"/>
          <w:sz w:val="24"/>
          <w:szCs w:val="24"/>
        </w:rPr>
        <w:t xml:space="preserve">baseline assessment of patients with CML-CP, </w:t>
      </w:r>
      <w:r w:rsidRPr="00192B90">
        <w:rPr>
          <w:rFonts w:asciiTheme="majorBidi" w:hAnsiTheme="majorBidi" w:cstheme="majorBidi"/>
          <w:sz w:val="24"/>
          <w:szCs w:val="24"/>
        </w:rPr>
        <w:t>TKI treatment pathways, response monitoring patterns and response rates in routine UK National Health Service (NHS) clinical practice</w:t>
      </w:r>
      <w:r>
        <w:rPr>
          <w:rFonts w:asciiTheme="majorBidi" w:hAnsiTheme="majorBidi" w:cstheme="majorBidi"/>
          <w:sz w:val="24"/>
          <w:szCs w:val="24"/>
        </w:rPr>
        <w:t>; we compared findings with</w:t>
      </w:r>
      <w:r w:rsidRPr="00192B90">
        <w:rPr>
          <w:rFonts w:asciiTheme="majorBidi" w:hAnsiTheme="majorBidi" w:cstheme="majorBidi"/>
          <w:sz w:val="24"/>
          <w:szCs w:val="24"/>
        </w:rPr>
        <w:t xml:space="preserve"> </w:t>
      </w:r>
      <w:r>
        <w:rPr>
          <w:rFonts w:asciiTheme="majorBidi" w:hAnsiTheme="majorBidi" w:cstheme="majorBidi"/>
          <w:sz w:val="24"/>
          <w:szCs w:val="24"/>
        </w:rPr>
        <w:t xml:space="preserve">ELN 2013 </w:t>
      </w:r>
      <w:r w:rsidRPr="00192B90">
        <w:rPr>
          <w:rFonts w:asciiTheme="majorBidi" w:hAnsiTheme="majorBidi" w:cstheme="majorBidi"/>
          <w:sz w:val="24"/>
          <w:szCs w:val="24"/>
        </w:rPr>
        <w:t>recommendations</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&lt;EndNote&gt;&lt;Cite&gt;&lt;Author&gt;Baccarani&lt;/Author&gt;&lt;Year&gt;2013&lt;/Year&gt;&lt;RecNum&gt;395&lt;/RecNum&gt;&lt;DisplayText&gt;(Baccarani&lt;style face="italic"&gt;, et al&lt;/style&gt; 2013)&lt;/DisplayText&gt;&lt;record&gt;&lt;rec-number&gt;395&lt;/rec-number&gt;&lt;foreign-keys&gt;&lt;key app="EN" db-id="sxxfsvre49szroewve75ep9j0v99v9vffext" timestamp="1567720897"&gt;395&lt;/key&gt;&lt;/foreign-keys&gt;&lt;ref-type name="Journal Article"&gt;17&lt;/ref-type&gt;&lt;contributors&gt;&lt;authors&gt;&lt;author&gt;Baccarani, M.&lt;/author&gt;&lt;author&gt;Deininger, M. W.&lt;/author&gt;&lt;author&gt;Rosti, G.&lt;/author&gt;&lt;author&gt;Hochhaus, A.&lt;/author&gt;&lt;author&gt;Soverini, S.&lt;/author&gt;&lt;author&gt;Apperley, J. F.&lt;/author&gt;&lt;author&gt;Cervantes, F.&lt;/author&gt;&lt;author&gt;Clark, R. E.&lt;/author&gt;&lt;author&gt;Cortes, J. E.&lt;/author&gt;&lt;author&gt;Guilhot, F.&lt;/author&gt;&lt;author&gt;Hjorth-Hansen, H.&lt;/author&gt;&lt;author&gt;Hughes, T. P.&lt;/author&gt;&lt;author&gt;Kantarjian, H. M.&lt;/author&gt;&lt;author&gt;Kim, D. W.&lt;/author&gt;&lt;author&gt;Larson, R. A.&lt;/author&gt;&lt;author&gt;Lipton, J. H.&lt;/author&gt;&lt;author&gt;Mahon, F. X.&lt;/author&gt;&lt;author&gt;Martinelli, G.&lt;/author&gt;&lt;author&gt;Mayer, J.&lt;/author&gt;&lt;author&gt;Muller, M. C.&lt;/author&gt;&lt;author&gt;Niederwieser, D.&lt;/author&gt;&lt;author&gt;Pane, F.&lt;/author&gt;&lt;author&gt;Radich, J. P.&lt;/author&gt;&lt;author&gt;Rousselot, P.&lt;/author&gt;&lt;author&gt;Saglio, G.&lt;/author&gt;&lt;author&gt;Saussele, S.&lt;/author&gt;&lt;author&gt;Schiffer, C.&lt;/author&gt;&lt;author&gt;Silver, R.&lt;/author&gt;&lt;author&gt;Simonsson, B.&lt;/author&gt;&lt;author&gt;Steegmann, J. L.&lt;/author&gt;&lt;author&gt;Goldman, J. M.&lt;/author&gt;&lt;author&gt;Hehlmann, R.&lt;/author&gt;&lt;/authors&gt;&lt;/contributors&gt;&lt;auth-address&gt;Department of Hematology &amp;quot;L. and A. Seragnoli&amp;quot;, S.Orsola-Malpighi Hospital, University of Bologna, Bologna, Italy;&lt;/auth-address&gt;&lt;titles&gt;&lt;title&gt;European LeukemiaNet recommendations for the management of chronic myeloid leukemia: 2013&lt;/title&gt;&lt;secondary-title&gt;Blood&lt;/secondary-title&gt;&lt;/titles&gt;&lt;periodical&gt;&lt;full-title&gt;Blood&lt;/full-title&gt;&lt;/periodical&gt;&lt;pages&gt;872-884&lt;/pages&gt;&lt;volume&gt;122&lt;/volume&gt;&lt;number&gt;6&lt;/number&gt;&lt;dates&gt;&lt;year&gt;2013&lt;/year&gt;&lt;/dates&gt;&lt;isbn&gt;1528-0020; 0006-4971&lt;/isbn&gt;&lt;urls&gt;&lt;/urls&gt;&lt;electronic-resource-num&gt;10.1182/blood-2013-05-501569&lt;/electronic-resource-num&gt;&lt;access-date&gt;Jun 26&lt;/access-date&gt;&lt;/record&gt;&lt;/Cite&gt;&lt;/EndNote&gt;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(Baccarani</w:t>
      </w:r>
      <w:r w:rsidRPr="00712CCF">
        <w:rPr>
          <w:rFonts w:asciiTheme="majorBidi" w:hAnsiTheme="majorBidi" w:cstheme="majorBidi"/>
          <w:i/>
          <w:noProof/>
          <w:sz w:val="24"/>
          <w:szCs w:val="24"/>
        </w:rPr>
        <w:t>, et al</w:t>
      </w:r>
      <w:r>
        <w:rPr>
          <w:rFonts w:asciiTheme="majorBidi" w:hAnsiTheme="majorBidi" w:cstheme="majorBidi"/>
          <w:noProof/>
          <w:sz w:val="24"/>
          <w:szCs w:val="24"/>
        </w:rPr>
        <w:t xml:space="preserve"> 2013)</w:t>
      </w:r>
      <w:r>
        <w:rPr>
          <w:rFonts w:asciiTheme="majorBidi" w:hAnsiTheme="majorBidi" w:cstheme="majorBidi"/>
          <w:sz w:val="24"/>
          <w:szCs w:val="24"/>
        </w:rPr>
        <w:fldChar w:fldCharType="end"/>
      </w:r>
      <w:r>
        <w:rPr>
          <w:rFonts w:asciiTheme="majorBidi" w:hAnsiTheme="majorBidi" w:cstheme="majorBidi"/>
          <w:sz w:val="24"/>
          <w:szCs w:val="24"/>
        </w:rPr>
        <w:t xml:space="preserve">. </w:t>
      </w:r>
    </w:p>
    <w:p w:rsidR="00B331A1" w:rsidRDefault="00B331A1" w:rsidP="00B331A1">
      <w:pPr>
        <w:spacing w:line="480" w:lineRule="auto"/>
        <w:rPr>
          <w:rFonts w:asciiTheme="majorBidi" w:hAnsiTheme="majorBidi" w:cstheme="majorBidi"/>
          <w:sz w:val="24"/>
          <w:szCs w:val="24"/>
        </w:rPr>
      </w:pPr>
    </w:p>
    <w:p w:rsidR="00B331A1" w:rsidRPr="00BA6AE5" w:rsidRDefault="00B331A1" w:rsidP="00B331A1">
      <w:pPr>
        <w:spacing w:line="480" w:lineRule="auto"/>
        <w:rPr>
          <w:rFonts w:ascii="Times New Roman" w:hAnsi="Times New Roman" w:cs="Times New Roman"/>
          <w:b/>
          <w:sz w:val="24"/>
          <w:szCs w:val="24"/>
        </w:rPr>
      </w:pPr>
      <w:r w:rsidRPr="00BA6AE5">
        <w:rPr>
          <w:rFonts w:ascii="Times New Roman" w:hAnsi="Times New Roman" w:cs="Times New Roman"/>
          <w:b/>
          <w:sz w:val="24"/>
          <w:szCs w:val="24"/>
        </w:rPr>
        <w:t>Methods</w:t>
      </w:r>
    </w:p>
    <w:p w:rsidR="00B331A1" w:rsidRPr="00026DC2" w:rsidRDefault="00B331A1" w:rsidP="00B331A1">
      <w:pPr>
        <w:spacing w:line="480" w:lineRule="auto"/>
        <w:rPr>
          <w:rFonts w:asciiTheme="majorBidi" w:hAnsiTheme="majorBidi" w:cstheme="majorBidi"/>
          <w:i/>
          <w:sz w:val="24"/>
          <w:szCs w:val="24"/>
        </w:rPr>
      </w:pPr>
      <w:r w:rsidRPr="00026DC2">
        <w:rPr>
          <w:rFonts w:asciiTheme="majorBidi" w:hAnsiTheme="majorBidi" w:cstheme="majorBidi"/>
          <w:i/>
          <w:sz w:val="24"/>
          <w:szCs w:val="24"/>
        </w:rPr>
        <w:t xml:space="preserve">Study </w:t>
      </w:r>
      <w:r>
        <w:rPr>
          <w:rFonts w:asciiTheme="majorBidi" w:hAnsiTheme="majorBidi" w:cstheme="majorBidi"/>
          <w:i/>
          <w:sz w:val="24"/>
          <w:szCs w:val="24"/>
        </w:rPr>
        <w:t>d</w:t>
      </w:r>
      <w:r w:rsidRPr="00026DC2">
        <w:rPr>
          <w:rFonts w:asciiTheme="majorBidi" w:hAnsiTheme="majorBidi" w:cstheme="majorBidi"/>
          <w:i/>
          <w:sz w:val="24"/>
          <w:szCs w:val="24"/>
        </w:rPr>
        <w:t>esign</w:t>
      </w:r>
    </w:p>
    <w:p w:rsidR="00B331A1" w:rsidRDefault="00B331A1" w:rsidP="00B331A1">
      <w:pPr>
        <w:spacing w:line="480" w:lineRule="auto"/>
        <w:rPr>
          <w:rFonts w:asciiTheme="majorBidi" w:hAnsiTheme="majorBidi" w:cstheme="majorBidi"/>
          <w:sz w:val="24"/>
          <w:szCs w:val="24"/>
        </w:rPr>
      </w:pPr>
      <w:r w:rsidRPr="00A61029">
        <w:rPr>
          <w:rFonts w:asciiTheme="majorBidi" w:hAnsiTheme="majorBidi" w:cstheme="majorBidi"/>
          <w:sz w:val="24"/>
          <w:szCs w:val="24"/>
        </w:rPr>
        <w:t>This retrospective</w:t>
      </w:r>
      <w:r>
        <w:rPr>
          <w:rFonts w:asciiTheme="majorBidi" w:hAnsiTheme="majorBidi" w:cstheme="majorBidi"/>
          <w:sz w:val="24"/>
          <w:szCs w:val="24"/>
        </w:rPr>
        <w:t xml:space="preserve"> </w:t>
      </w:r>
      <w:r w:rsidRPr="00A61029">
        <w:rPr>
          <w:rFonts w:asciiTheme="majorBidi" w:hAnsiTheme="majorBidi" w:cstheme="majorBidi"/>
          <w:sz w:val="24"/>
          <w:szCs w:val="24"/>
        </w:rPr>
        <w:t>noninterventional</w:t>
      </w:r>
      <w:r>
        <w:rPr>
          <w:rFonts w:asciiTheme="majorBidi" w:hAnsiTheme="majorBidi" w:cstheme="majorBidi"/>
          <w:sz w:val="24"/>
          <w:szCs w:val="24"/>
        </w:rPr>
        <w:t xml:space="preserve"> study was conducted at</w:t>
      </w:r>
      <w:r w:rsidRPr="00A61029">
        <w:rPr>
          <w:rFonts w:asciiTheme="majorBidi" w:hAnsiTheme="majorBidi" w:cstheme="majorBidi"/>
          <w:sz w:val="24"/>
          <w:szCs w:val="24"/>
        </w:rPr>
        <w:t xml:space="preserve"> </w:t>
      </w:r>
      <w:r>
        <w:rPr>
          <w:rFonts w:asciiTheme="majorBidi" w:hAnsiTheme="majorBidi" w:cstheme="majorBidi"/>
          <w:sz w:val="24"/>
          <w:szCs w:val="24"/>
        </w:rPr>
        <w:t>21 UK NHS secondary and tertiary care centres.</w:t>
      </w:r>
      <w:r w:rsidRPr="00A61029">
        <w:rPr>
          <w:rFonts w:asciiTheme="majorBidi" w:hAnsiTheme="majorBidi" w:cstheme="majorBidi"/>
          <w:sz w:val="24"/>
          <w:szCs w:val="24"/>
        </w:rPr>
        <w:t xml:space="preserve"> </w:t>
      </w:r>
      <w:r>
        <w:rPr>
          <w:rFonts w:asciiTheme="majorBidi" w:hAnsiTheme="majorBidi" w:cstheme="majorBidi"/>
          <w:sz w:val="24"/>
          <w:szCs w:val="24"/>
        </w:rPr>
        <w:t xml:space="preserve">Data </w:t>
      </w:r>
      <w:r w:rsidRPr="00365295">
        <w:rPr>
          <w:rFonts w:ascii="Times New Roman" w:hAnsi="Times New Roman" w:cs="Times New Roman"/>
          <w:sz w:val="24"/>
          <w:szCs w:val="24"/>
        </w:rPr>
        <w:t>were</w:t>
      </w:r>
      <w:r>
        <w:rPr>
          <w:rFonts w:ascii="Times New Roman" w:hAnsi="Times New Roman" w:cs="Times New Roman"/>
          <w:sz w:val="24"/>
          <w:szCs w:val="24"/>
        </w:rPr>
        <w:t xml:space="preserve"> </w:t>
      </w:r>
      <w:r w:rsidRPr="00365295">
        <w:rPr>
          <w:rFonts w:ascii="Times New Roman" w:hAnsi="Times New Roman" w:cs="Times New Roman"/>
          <w:sz w:val="24"/>
          <w:szCs w:val="24"/>
        </w:rPr>
        <w:t>collected</w:t>
      </w:r>
      <w:r>
        <w:rPr>
          <w:rFonts w:ascii="Times New Roman" w:hAnsi="Times New Roman" w:cs="Times New Roman"/>
          <w:sz w:val="24"/>
          <w:szCs w:val="24"/>
        </w:rPr>
        <w:t xml:space="preserve"> from </w:t>
      </w:r>
      <w:r w:rsidRPr="00A61029">
        <w:rPr>
          <w:rFonts w:asciiTheme="majorBidi" w:hAnsiTheme="majorBidi" w:cstheme="majorBidi"/>
          <w:sz w:val="24"/>
          <w:szCs w:val="24"/>
        </w:rPr>
        <w:t xml:space="preserve">paper </w:t>
      </w:r>
      <w:r>
        <w:rPr>
          <w:rFonts w:asciiTheme="majorBidi" w:hAnsiTheme="majorBidi" w:cstheme="majorBidi"/>
          <w:sz w:val="24"/>
          <w:szCs w:val="24"/>
        </w:rPr>
        <w:t>and</w:t>
      </w:r>
      <w:r w:rsidRPr="00A61029">
        <w:rPr>
          <w:rFonts w:asciiTheme="majorBidi" w:hAnsiTheme="majorBidi" w:cstheme="majorBidi"/>
          <w:sz w:val="24"/>
          <w:szCs w:val="24"/>
        </w:rPr>
        <w:t xml:space="preserve"> electronic records</w:t>
      </w:r>
      <w:r>
        <w:rPr>
          <w:rFonts w:ascii="Times New Roman" w:hAnsi="Times New Roman" w:cs="Times New Roman"/>
          <w:sz w:val="24"/>
          <w:szCs w:val="24"/>
        </w:rPr>
        <w:t xml:space="preserve">. </w:t>
      </w:r>
      <w:r w:rsidRPr="00C006AF">
        <w:rPr>
          <w:rFonts w:asciiTheme="majorBidi" w:hAnsiTheme="majorBidi" w:cstheme="majorBidi"/>
          <w:sz w:val="24"/>
          <w:szCs w:val="24"/>
        </w:rPr>
        <w:t xml:space="preserve">Inclusion criteria included CML-CP </w:t>
      </w:r>
      <w:r>
        <w:rPr>
          <w:rFonts w:asciiTheme="majorBidi" w:hAnsiTheme="majorBidi" w:cstheme="majorBidi"/>
          <w:sz w:val="24"/>
          <w:szCs w:val="24"/>
        </w:rPr>
        <w:t xml:space="preserve">diagnosis </w:t>
      </w:r>
      <w:r w:rsidRPr="00C006AF">
        <w:rPr>
          <w:rFonts w:asciiTheme="majorBidi" w:hAnsiTheme="majorBidi" w:cstheme="majorBidi"/>
          <w:sz w:val="24"/>
          <w:szCs w:val="24"/>
        </w:rPr>
        <w:t xml:space="preserve">at start of </w:t>
      </w:r>
      <w:proofErr w:type="gramStart"/>
      <w:r w:rsidRPr="00C006AF">
        <w:rPr>
          <w:rFonts w:asciiTheme="majorBidi" w:hAnsiTheme="majorBidi" w:cstheme="majorBidi"/>
          <w:sz w:val="24"/>
          <w:szCs w:val="24"/>
        </w:rPr>
        <w:t>first-line</w:t>
      </w:r>
      <w:proofErr w:type="gramEnd"/>
      <w:r w:rsidRPr="00C006AF">
        <w:rPr>
          <w:rFonts w:asciiTheme="majorBidi" w:hAnsiTheme="majorBidi" w:cstheme="majorBidi"/>
          <w:sz w:val="24"/>
          <w:szCs w:val="24"/>
        </w:rPr>
        <w:t xml:space="preserve"> TKI, age ≥18 years and</w:t>
      </w:r>
      <w:r>
        <w:rPr>
          <w:rFonts w:asciiTheme="majorBidi" w:hAnsiTheme="majorBidi" w:cstheme="majorBidi"/>
          <w:sz w:val="24"/>
          <w:szCs w:val="24"/>
        </w:rPr>
        <w:t xml:space="preserve"> </w:t>
      </w:r>
      <w:r w:rsidRPr="00C006AF">
        <w:rPr>
          <w:rFonts w:asciiTheme="majorBidi" w:hAnsiTheme="majorBidi" w:cstheme="majorBidi"/>
          <w:sz w:val="24"/>
          <w:szCs w:val="24"/>
        </w:rPr>
        <w:t>≥6 months of follow-up from date of first TKI</w:t>
      </w:r>
      <w:r>
        <w:rPr>
          <w:rFonts w:asciiTheme="majorBidi" w:hAnsiTheme="majorBidi" w:cstheme="majorBidi"/>
          <w:sz w:val="24"/>
          <w:szCs w:val="24"/>
        </w:rPr>
        <w:t xml:space="preserve"> (</w:t>
      </w:r>
      <w:r w:rsidRPr="00C006AF">
        <w:rPr>
          <w:rFonts w:asciiTheme="majorBidi" w:hAnsiTheme="majorBidi" w:cstheme="majorBidi"/>
          <w:sz w:val="24"/>
          <w:szCs w:val="24"/>
        </w:rPr>
        <w:t>between January 2013 and April 2017</w:t>
      </w:r>
      <w:r>
        <w:rPr>
          <w:rFonts w:asciiTheme="majorBidi" w:hAnsiTheme="majorBidi" w:cstheme="majorBidi"/>
          <w:sz w:val="24"/>
          <w:szCs w:val="24"/>
        </w:rPr>
        <w:t xml:space="preserve">). Patients prescribed first TKI in a </w:t>
      </w:r>
      <w:r>
        <w:rPr>
          <w:rFonts w:asciiTheme="majorBidi" w:hAnsiTheme="majorBidi" w:cstheme="majorBidi"/>
          <w:sz w:val="24"/>
          <w:szCs w:val="24"/>
        </w:rPr>
        <w:lastRenderedPageBreak/>
        <w:t>clinical trial and patients in accelerated phase (AP) or blast phase (BP) before initiation of first TKI were excluded.</w:t>
      </w:r>
    </w:p>
    <w:p w:rsidR="00B331A1" w:rsidRPr="00EE75B6"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Objectives were</w:t>
      </w:r>
      <w:r w:rsidRPr="00C006AF">
        <w:rPr>
          <w:rFonts w:asciiTheme="majorBidi" w:hAnsiTheme="majorBidi" w:cstheme="majorBidi"/>
          <w:sz w:val="24"/>
          <w:szCs w:val="24"/>
        </w:rPr>
        <w:t xml:space="preserve"> to describe</w:t>
      </w:r>
      <w:r>
        <w:rPr>
          <w:rFonts w:asciiTheme="majorBidi" w:hAnsiTheme="majorBidi" w:cstheme="majorBidi"/>
          <w:sz w:val="24"/>
          <w:szCs w:val="24"/>
        </w:rPr>
        <w:t xml:space="preserve"> TKI</w:t>
      </w:r>
      <w:r w:rsidRPr="00C006AF">
        <w:rPr>
          <w:rFonts w:asciiTheme="majorBidi" w:hAnsiTheme="majorBidi" w:cstheme="majorBidi"/>
          <w:sz w:val="24"/>
          <w:szCs w:val="24"/>
        </w:rPr>
        <w:t xml:space="preserve"> treatment pathways in the </w:t>
      </w:r>
      <w:r>
        <w:rPr>
          <w:rFonts w:asciiTheme="majorBidi" w:hAnsiTheme="majorBidi" w:cstheme="majorBidi"/>
          <w:sz w:val="24"/>
          <w:szCs w:val="24"/>
        </w:rPr>
        <w:t>UK, patient characteristics, practices for assessing and managing CV risk factors before TKI treatment,</w:t>
      </w:r>
      <w:r w:rsidDel="00014671">
        <w:rPr>
          <w:rFonts w:asciiTheme="majorBidi" w:hAnsiTheme="majorBidi" w:cstheme="majorBidi"/>
          <w:sz w:val="24"/>
          <w:szCs w:val="24"/>
        </w:rPr>
        <w:t xml:space="preserve"> </w:t>
      </w:r>
      <w:r>
        <w:rPr>
          <w:rFonts w:asciiTheme="majorBidi" w:hAnsiTheme="majorBidi" w:cstheme="majorBidi"/>
          <w:sz w:val="24"/>
          <w:szCs w:val="24"/>
        </w:rPr>
        <w:t xml:space="preserve">responses to first- and </w:t>
      </w:r>
      <w:proofErr w:type="gramStart"/>
      <w:r>
        <w:rPr>
          <w:rFonts w:asciiTheme="majorBidi" w:hAnsiTheme="majorBidi" w:cstheme="majorBidi"/>
          <w:sz w:val="24"/>
          <w:szCs w:val="24"/>
        </w:rPr>
        <w:t>second-line</w:t>
      </w:r>
      <w:proofErr w:type="gramEnd"/>
      <w:r>
        <w:rPr>
          <w:rFonts w:asciiTheme="majorBidi" w:hAnsiTheme="majorBidi" w:cstheme="majorBidi"/>
          <w:sz w:val="24"/>
          <w:szCs w:val="24"/>
        </w:rPr>
        <w:t xml:space="preserve"> TKI therapy at ELN time points, adherence to ELN 2013 recommendations and disease progression frequency and management. AE data were not collected.</w:t>
      </w:r>
    </w:p>
    <w:p w:rsidR="00B331A1" w:rsidRDefault="00B331A1" w:rsidP="00B331A1">
      <w:pPr>
        <w:spacing w:line="480" w:lineRule="auto"/>
        <w:rPr>
          <w:rFonts w:asciiTheme="majorBidi" w:hAnsiTheme="majorBidi" w:cstheme="majorBidi"/>
          <w:sz w:val="24"/>
          <w:szCs w:val="24"/>
        </w:rPr>
      </w:pPr>
      <w:r w:rsidRPr="00C006AF">
        <w:rPr>
          <w:rFonts w:asciiTheme="majorBidi" w:hAnsiTheme="majorBidi" w:cstheme="majorBidi"/>
          <w:sz w:val="24"/>
          <w:szCs w:val="24"/>
        </w:rPr>
        <w:t>Data were analysed using descriptive statistics</w:t>
      </w:r>
      <w:r>
        <w:rPr>
          <w:rFonts w:asciiTheme="majorBidi" w:hAnsiTheme="majorBidi" w:cstheme="majorBidi"/>
          <w:sz w:val="24"/>
          <w:szCs w:val="24"/>
        </w:rPr>
        <w:t>,</w:t>
      </w:r>
      <w:r w:rsidRPr="00C006AF">
        <w:rPr>
          <w:rFonts w:asciiTheme="majorBidi" w:hAnsiTheme="majorBidi" w:cstheme="majorBidi"/>
          <w:sz w:val="24"/>
          <w:szCs w:val="24"/>
        </w:rPr>
        <w:t xml:space="preserve"> with a </w:t>
      </w:r>
      <w:proofErr w:type="spellStart"/>
      <w:r w:rsidRPr="00C006AF">
        <w:rPr>
          <w:rFonts w:asciiTheme="majorBidi" w:hAnsiTheme="majorBidi" w:cstheme="majorBidi"/>
          <w:sz w:val="24"/>
          <w:szCs w:val="24"/>
        </w:rPr>
        <w:t>cutoff</w:t>
      </w:r>
      <w:proofErr w:type="spellEnd"/>
      <w:r w:rsidRPr="00C006AF">
        <w:rPr>
          <w:rFonts w:asciiTheme="majorBidi" w:hAnsiTheme="majorBidi" w:cstheme="majorBidi"/>
          <w:sz w:val="24"/>
          <w:szCs w:val="24"/>
        </w:rPr>
        <w:t xml:space="preserve"> date of June 6, 2018, </w:t>
      </w:r>
      <w:r>
        <w:rPr>
          <w:rFonts w:asciiTheme="majorBidi" w:hAnsiTheme="majorBidi" w:cstheme="majorBidi"/>
          <w:sz w:val="24"/>
          <w:szCs w:val="24"/>
        </w:rPr>
        <w:t xml:space="preserve">using Microsoft Excel and STATA (version 13; </w:t>
      </w:r>
      <w:proofErr w:type="spellStart"/>
      <w:r>
        <w:rPr>
          <w:rFonts w:asciiTheme="majorBidi" w:hAnsiTheme="majorBidi" w:cstheme="majorBidi"/>
          <w:sz w:val="24"/>
          <w:szCs w:val="24"/>
        </w:rPr>
        <w:t>StataCorp</w:t>
      </w:r>
      <w:proofErr w:type="spellEnd"/>
      <w:r>
        <w:rPr>
          <w:rFonts w:asciiTheme="majorBidi" w:hAnsiTheme="majorBidi" w:cstheme="majorBidi"/>
          <w:sz w:val="24"/>
          <w:szCs w:val="24"/>
        </w:rPr>
        <w:t xml:space="preserve"> LLC, College Station, TX). A study size of 200-250 patients in approximately 20 centres (maximum of 40 patients/centre) was expected to give a representative sample of patients in the UK and provide reliable quantitative and qualitative variables. </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Responses were categorized as optimal, warning or failure according to ELN 2013 recommendations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&lt;EndNote&gt;&lt;Cite&gt;&lt;Author&gt;Baccarani&lt;/Author&gt;&lt;Year&gt;2013&lt;/Year&gt;&lt;RecNum&gt;395&lt;/RecNum&gt;&lt;DisplayText&gt;(Baccarani&lt;style face="italic"&gt;, et al&lt;/style&gt; 2013)&lt;/DisplayText&gt;&lt;record&gt;&lt;rec-number&gt;395&lt;/rec-number&gt;&lt;foreign-keys&gt;&lt;key app="EN" db-id="sxxfsvre49szroewve75ep9j0v99v9vffext" timestamp="1567720897"&gt;395&lt;/key&gt;&lt;/foreign-keys&gt;&lt;ref-type name="Journal Article"&gt;17&lt;/ref-type&gt;&lt;contributors&gt;&lt;authors&gt;&lt;author&gt;Baccarani, M.&lt;/author&gt;&lt;author&gt;Deininger, M. W.&lt;/author&gt;&lt;author&gt;Rosti, G.&lt;/author&gt;&lt;author&gt;Hochhaus, A.&lt;/author&gt;&lt;author&gt;Soverini, S.&lt;/author&gt;&lt;author&gt;Apperley, J. F.&lt;/author&gt;&lt;author&gt;Cervantes, F.&lt;/author&gt;&lt;author&gt;Clark, R. E.&lt;/author&gt;&lt;author&gt;Cortes, J. E.&lt;/author&gt;&lt;author&gt;Guilhot, F.&lt;/author&gt;&lt;author&gt;Hjorth-Hansen, H.&lt;/author&gt;&lt;author&gt;Hughes, T. P.&lt;/author&gt;&lt;author&gt;Kantarjian, H. M.&lt;/author&gt;&lt;author&gt;Kim, D. W.&lt;/author&gt;&lt;author&gt;Larson, R. A.&lt;/author&gt;&lt;author&gt;Lipton, J. H.&lt;/author&gt;&lt;author&gt;Mahon, F. X.&lt;/author&gt;&lt;author&gt;Martinelli, G.&lt;/author&gt;&lt;author&gt;Mayer, J.&lt;/author&gt;&lt;author&gt;Muller, M. C.&lt;/author&gt;&lt;author&gt;Niederwieser, D.&lt;/author&gt;&lt;author&gt;Pane, F.&lt;/author&gt;&lt;author&gt;Radich, J. P.&lt;/author&gt;&lt;author&gt;Rousselot, P.&lt;/author&gt;&lt;author&gt;Saglio, G.&lt;/author&gt;&lt;author&gt;Saussele, S.&lt;/author&gt;&lt;author&gt;Schiffer, C.&lt;/author&gt;&lt;author&gt;Silver, R.&lt;/author&gt;&lt;author&gt;Simonsson, B.&lt;/author&gt;&lt;author&gt;Steegmann, J. L.&lt;/author&gt;&lt;author&gt;Goldman, J. M.&lt;/author&gt;&lt;author&gt;Hehlmann, R.&lt;/author&gt;&lt;/authors&gt;&lt;/contributors&gt;&lt;auth-address&gt;Department of Hematology &amp;quot;L. and A. Seragnoli&amp;quot;, S.Orsola-Malpighi Hospital, University of Bologna, Bologna, Italy;&lt;/auth-address&gt;&lt;titles&gt;&lt;title&gt;European LeukemiaNet recommendations for the management of chronic myeloid leukemia: 2013&lt;/title&gt;&lt;secondary-title&gt;Blood&lt;/secondary-title&gt;&lt;/titles&gt;&lt;periodical&gt;&lt;full-title&gt;Blood&lt;/full-title&gt;&lt;/periodical&gt;&lt;pages&gt;872-884&lt;/pages&gt;&lt;volume&gt;122&lt;/volume&gt;&lt;number&gt;6&lt;/number&gt;&lt;dates&gt;&lt;year&gt;2013&lt;/year&gt;&lt;/dates&gt;&lt;isbn&gt;1528-0020; 0006-4971&lt;/isbn&gt;&lt;urls&gt;&lt;/urls&gt;&lt;electronic-resource-num&gt;10.1182/blood-2013-05-501569&lt;/electronic-resource-num&gt;&lt;access-date&gt;Jun 26&lt;/access-date&gt;&lt;/record&gt;&lt;/Cite&gt;&lt;/EndNote&gt;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(Baccarani</w:t>
      </w:r>
      <w:r w:rsidRPr="00106030">
        <w:rPr>
          <w:rFonts w:asciiTheme="majorBidi" w:hAnsiTheme="majorBidi" w:cstheme="majorBidi"/>
          <w:i/>
          <w:noProof/>
          <w:sz w:val="24"/>
          <w:szCs w:val="24"/>
        </w:rPr>
        <w:t>, et al</w:t>
      </w:r>
      <w:r>
        <w:rPr>
          <w:rFonts w:asciiTheme="majorBidi" w:hAnsiTheme="majorBidi" w:cstheme="majorBidi"/>
          <w:noProof/>
          <w:sz w:val="24"/>
          <w:szCs w:val="24"/>
        </w:rPr>
        <w:t xml:space="preserve"> 2013)</w:t>
      </w:r>
      <w:r>
        <w:rPr>
          <w:rFonts w:asciiTheme="majorBidi" w:hAnsiTheme="majorBidi" w:cstheme="majorBidi"/>
          <w:sz w:val="24"/>
          <w:szCs w:val="24"/>
        </w:rPr>
        <w:fldChar w:fldCharType="end"/>
      </w:r>
      <w:r>
        <w:rPr>
          <w:rFonts w:asciiTheme="majorBidi" w:hAnsiTheme="majorBidi" w:cstheme="majorBidi"/>
          <w:sz w:val="24"/>
          <w:szCs w:val="24"/>
        </w:rPr>
        <w:t xml:space="preserve">. If </w:t>
      </w:r>
      <w:r>
        <w:rPr>
          <w:rFonts w:asciiTheme="majorBidi" w:hAnsiTheme="majorBidi" w:cstheme="majorBidi"/>
          <w:i/>
          <w:sz w:val="24"/>
          <w:szCs w:val="24"/>
        </w:rPr>
        <w:t>BCR-ABL1</w:t>
      </w:r>
      <w:r>
        <w:rPr>
          <w:rFonts w:asciiTheme="majorBidi" w:hAnsiTheme="majorBidi" w:cstheme="majorBidi"/>
          <w:sz w:val="24"/>
          <w:szCs w:val="24"/>
        </w:rPr>
        <w:t xml:space="preserve"> transcript levels were not available on the IS, unconverted </w:t>
      </w:r>
      <w:r>
        <w:rPr>
          <w:rFonts w:asciiTheme="majorBidi" w:hAnsiTheme="majorBidi" w:cstheme="majorBidi"/>
          <w:i/>
          <w:sz w:val="24"/>
          <w:szCs w:val="24"/>
        </w:rPr>
        <w:t>BCR-ABL1</w:t>
      </w:r>
      <w:r>
        <w:rPr>
          <w:rFonts w:asciiTheme="majorBidi" w:hAnsiTheme="majorBidi" w:cstheme="majorBidi"/>
          <w:sz w:val="24"/>
          <w:szCs w:val="24"/>
        </w:rPr>
        <w:t>/</w:t>
      </w:r>
      <w:r>
        <w:rPr>
          <w:rFonts w:asciiTheme="majorBidi" w:hAnsiTheme="majorBidi" w:cstheme="majorBidi"/>
          <w:i/>
          <w:sz w:val="24"/>
          <w:szCs w:val="24"/>
        </w:rPr>
        <w:t>ABL1</w:t>
      </w:r>
      <w:r>
        <w:rPr>
          <w:rFonts w:asciiTheme="majorBidi" w:hAnsiTheme="majorBidi" w:cstheme="majorBidi"/>
          <w:sz w:val="24"/>
          <w:szCs w:val="24"/>
        </w:rPr>
        <w:t xml:space="preserve"> percentages were used to reflect real-world practices at that centre (all centres used </w:t>
      </w:r>
      <w:r w:rsidRPr="0044744F">
        <w:rPr>
          <w:rFonts w:asciiTheme="majorBidi" w:hAnsiTheme="majorBidi" w:cstheme="majorBidi"/>
          <w:i/>
          <w:iCs/>
          <w:sz w:val="24"/>
          <w:szCs w:val="24"/>
        </w:rPr>
        <w:t>ABL1</w:t>
      </w:r>
      <w:r>
        <w:rPr>
          <w:rFonts w:asciiTheme="majorBidi" w:hAnsiTheme="majorBidi" w:cstheme="majorBidi"/>
          <w:sz w:val="24"/>
          <w:szCs w:val="24"/>
        </w:rPr>
        <w:t xml:space="preserve"> as a reference gene). Two of 14 centres (14%) reported on the IS in 2013; increasing to 17/21 (81%) in 2017. </w:t>
      </w:r>
    </w:p>
    <w:p w:rsidR="00B331A1" w:rsidRDefault="00B331A1" w:rsidP="00B331A1">
      <w:pPr>
        <w:spacing w:line="480" w:lineRule="auto"/>
        <w:rPr>
          <w:rFonts w:asciiTheme="majorBidi" w:hAnsiTheme="majorBidi" w:cstheme="majorBidi"/>
          <w:sz w:val="24"/>
          <w:szCs w:val="24"/>
        </w:rPr>
      </w:pPr>
    </w:p>
    <w:p w:rsidR="00B331A1" w:rsidRDefault="00B331A1" w:rsidP="00B331A1">
      <w:pPr>
        <w:spacing w:line="480" w:lineRule="auto"/>
        <w:rPr>
          <w:rFonts w:asciiTheme="majorBidi" w:hAnsiTheme="majorBidi" w:cstheme="majorBidi"/>
          <w:sz w:val="24"/>
          <w:szCs w:val="24"/>
        </w:rPr>
      </w:pPr>
    </w:p>
    <w:p w:rsidR="00B331A1" w:rsidRDefault="00B331A1" w:rsidP="00B331A1">
      <w:pPr>
        <w:spacing w:line="480" w:lineRule="auto"/>
        <w:rPr>
          <w:rFonts w:asciiTheme="majorBidi" w:hAnsiTheme="majorBidi" w:cstheme="majorBidi"/>
          <w:b/>
          <w:sz w:val="24"/>
          <w:szCs w:val="24"/>
        </w:rPr>
      </w:pPr>
      <w:r>
        <w:rPr>
          <w:rFonts w:asciiTheme="majorBidi" w:hAnsiTheme="majorBidi" w:cstheme="majorBidi"/>
          <w:b/>
          <w:sz w:val="24"/>
          <w:szCs w:val="24"/>
        </w:rPr>
        <w:t>Results</w:t>
      </w:r>
    </w:p>
    <w:p w:rsidR="00B331A1" w:rsidRPr="004D7C6B" w:rsidRDefault="00B331A1" w:rsidP="00B331A1">
      <w:pPr>
        <w:spacing w:line="480" w:lineRule="auto"/>
        <w:rPr>
          <w:rFonts w:asciiTheme="majorBidi" w:hAnsiTheme="majorBidi" w:cstheme="majorBidi"/>
          <w:i/>
          <w:sz w:val="24"/>
          <w:szCs w:val="24"/>
        </w:rPr>
      </w:pPr>
      <w:r>
        <w:rPr>
          <w:rFonts w:asciiTheme="majorBidi" w:hAnsiTheme="majorBidi" w:cstheme="majorBidi"/>
          <w:i/>
          <w:sz w:val="24"/>
          <w:szCs w:val="24"/>
        </w:rPr>
        <w:t>Patient demographics and baseline characteristics</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lastRenderedPageBreak/>
        <w:t>Two-hundred-fifty-seven</w:t>
      </w:r>
      <w:r w:rsidRPr="00146BD8">
        <w:rPr>
          <w:rFonts w:asciiTheme="majorBidi" w:hAnsiTheme="majorBidi" w:cstheme="majorBidi"/>
          <w:sz w:val="24"/>
          <w:szCs w:val="24"/>
        </w:rPr>
        <w:t xml:space="preserve"> patients </w:t>
      </w:r>
      <w:r>
        <w:rPr>
          <w:rFonts w:asciiTheme="majorBidi" w:hAnsiTheme="majorBidi" w:cstheme="majorBidi"/>
          <w:sz w:val="24"/>
          <w:szCs w:val="24"/>
        </w:rPr>
        <w:t xml:space="preserve">(186 from 14 tertiary centres and 71 from 7 general hospitals) </w:t>
      </w:r>
      <w:r w:rsidRPr="00146BD8">
        <w:rPr>
          <w:rFonts w:asciiTheme="majorBidi" w:hAnsiTheme="majorBidi" w:cstheme="majorBidi"/>
          <w:sz w:val="24"/>
          <w:szCs w:val="24"/>
        </w:rPr>
        <w:t>were enrolled between November 2015 and September 2017</w:t>
      </w:r>
      <w:r>
        <w:rPr>
          <w:rFonts w:asciiTheme="majorBidi" w:hAnsiTheme="majorBidi" w:cstheme="majorBidi"/>
          <w:sz w:val="24"/>
          <w:szCs w:val="24"/>
        </w:rPr>
        <w:t xml:space="preserve">. Median follow-up by the data </w:t>
      </w:r>
      <w:proofErr w:type="spellStart"/>
      <w:r>
        <w:rPr>
          <w:rFonts w:asciiTheme="majorBidi" w:hAnsiTheme="majorBidi" w:cstheme="majorBidi"/>
          <w:sz w:val="24"/>
          <w:szCs w:val="24"/>
        </w:rPr>
        <w:t>cutoff</w:t>
      </w:r>
      <w:proofErr w:type="spellEnd"/>
      <w:r>
        <w:rPr>
          <w:rFonts w:asciiTheme="majorBidi" w:hAnsiTheme="majorBidi" w:cstheme="majorBidi"/>
          <w:sz w:val="24"/>
          <w:szCs w:val="24"/>
        </w:rPr>
        <w:t xml:space="preserve"> was 32.9 months (range, 12.6-58.6). Baseline characteristics are shown in </w:t>
      </w:r>
      <w:r w:rsidRPr="00AE0591">
        <w:rPr>
          <w:rFonts w:asciiTheme="majorBidi" w:hAnsiTheme="majorBidi" w:cstheme="majorBidi"/>
          <w:b/>
          <w:sz w:val="24"/>
          <w:szCs w:val="24"/>
        </w:rPr>
        <w:t xml:space="preserve">Table </w:t>
      </w:r>
      <w:r>
        <w:rPr>
          <w:rFonts w:asciiTheme="majorBidi" w:hAnsiTheme="majorBidi" w:cstheme="majorBidi"/>
          <w:b/>
          <w:sz w:val="24"/>
          <w:szCs w:val="24"/>
        </w:rPr>
        <w:t>I</w:t>
      </w:r>
      <w:r w:rsidRPr="00AE0591">
        <w:rPr>
          <w:rFonts w:asciiTheme="majorBidi" w:hAnsiTheme="majorBidi" w:cstheme="majorBidi"/>
          <w:sz w:val="24"/>
          <w:szCs w:val="24"/>
        </w:rPr>
        <w:t>.</w:t>
      </w:r>
      <w:r>
        <w:rPr>
          <w:rFonts w:asciiTheme="majorBidi" w:hAnsiTheme="majorBidi" w:cstheme="majorBidi"/>
          <w:sz w:val="24"/>
          <w:szCs w:val="24"/>
        </w:rPr>
        <w:t xml:space="preserve"> Clinical characteristics (other than white blood cell [WBC] counts) and risk scores at diagnosis were not well documented</w:t>
      </w:r>
      <w:r w:rsidRPr="00EB506A">
        <w:rPr>
          <w:rFonts w:asciiTheme="majorBidi" w:hAnsiTheme="majorBidi" w:cstheme="majorBidi"/>
          <w:sz w:val="24"/>
          <w:szCs w:val="24"/>
        </w:rPr>
        <w:t xml:space="preserve">. </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The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TKI was imatinib in the majority of patients (79%); reasons for first-line TKI choice were recorded for &lt;50% of patients: clinician preference, “standard first-line choice” and “good results expected” were the most frequently cited reasons (</w:t>
      </w:r>
      <w:r w:rsidRPr="004F604A">
        <w:rPr>
          <w:rFonts w:asciiTheme="majorBidi" w:hAnsiTheme="majorBidi" w:cstheme="majorBidi"/>
          <w:b/>
          <w:bCs/>
          <w:sz w:val="24"/>
          <w:szCs w:val="24"/>
        </w:rPr>
        <w:t xml:space="preserve">Supplementary Table </w:t>
      </w:r>
      <w:r>
        <w:rPr>
          <w:rFonts w:asciiTheme="majorBidi" w:hAnsiTheme="majorBidi" w:cstheme="majorBidi"/>
          <w:b/>
          <w:bCs/>
          <w:sz w:val="24"/>
          <w:szCs w:val="24"/>
        </w:rPr>
        <w:t>I</w:t>
      </w:r>
      <w:r>
        <w:rPr>
          <w:rFonts w:asciiTheme="majorBidi" w:hAnsiTheme="majorBidi" w:cstheme="majorBidi"/>
          <w:sz w:val="24"/>
          <w:szCs w:val="24"/>
        </w:rPr>
        <w:t>).</w:t>
      </w:r>
      <w:r w:rsidRPr="003D6DE4">
        <w:rPr>
          <w:rFonts w:asciiTheme="majorBidi" w:hAnsiTheme="majorBidi" w:cstheme="majorBidi"/>
          <w:sz w:val="24"/>
          <w:szCs w:val="24"/>
        </w:rPr>
        <w:t xml:space="preserve"> </w:t>
      </w:r>
      <w:r>
        <w:rPr>
          <w:rFonts w:asciiTheme="majorBidi" w:hAnsiTheme="majorBidi" w:cstheme="majorBidi"/>
          <w:sz w:val="24"/>
          <w:szCs w:val="24"/>
        </w:rPr>
        <w:t xml:space="preserve">First-line imatinib and 2G-TKIs were prescribed to 31/42 (74%) and 11/42 (26%) patients with high </w:t>
      </w:r>
      <w:proofErr w:type="spellStart"/>
      <w:r>
        <w:rPr>
          <w:rFonts w:asciiTheme="majorBidi" w:hAnsiTheme="majorBidi" w:cstheme="majorBidi"/>
          <w:sz w:val="24"/>
          <w:szCs w:val="24"/>
        </w:rPr>
        <w:t>Sokal</w:t>
      </w:r>
      <w:proofErr w:type="spellEnd"/>
      <w:r>
        <w:rPr>
          <w:rFonts w:asciiTheme="majorBidi" w:hAnsiTheme="majorBidi" w:cstheme="majorBidi"/>
          <w:sz w:val="24"/>
          <w:szCs w:val="24"/>
        </w:rPr>
        <w:t xml:space="preserve"> scores, respectively, and 23/34 (68%) and 11/34 (32%) with high European Treatment and Outcomes Study</w:t>
      </w:r>
      <w:r w:rsidRPr="00AE0591">
        <w:rPr>
          <w:rFonts w:asciiTheme="majorBidi" w:hAnsiTheme="majorBidi" w:cstheme="majorBidi"/>
          <w:sz w:val="24"/>
          <w:szCs w:val="24"/>
        </w:rPr>
        <w:t xml:space="preserve"> </w:t>
      </w:r>
      <w:r>
        <w:rPr>
          <w:rFonts w:asciiTheme="majorBidi" w:hAnsiTheme="majorBidi" w:cstheme="majorBidi"/>
          <w:sz w:val="24"/>
          <w:szCs w:val="24"/>
        </w:rPr>
        <w:t>(EUTOS) scores</w:t>
      </w:r>
      <w:r w:rsidRPr="00B26238">
        <w:rPr>
          <w:rFonts w:asciiTheme="majorBidi" w:hAnsiTheme="majorBidi" w:cstheme="majorBidi"/>
          <w:sz w:val="24"/>
          <w:szCs w:val="24"/>
        </w:rPr>
        <w:t xml:space="preserve">. Patients receiving </w:t>
      </w:r>
      <w:r>
        <w:rPr>
          <w:rFonts w:asciiTheme="majorBidi" w:hAnsiTheme="majorBidi" w:cstheme="majorBidi"/>
          <w:sz w:val="24"/>
          <w:szCs w:val="24"/>
        </w:rPr>
        <w:t xml:space="preserve">a </w:t>
      </w:r>
      <w:proofErr w:type="gramStart"/>
      <w:r>
        <w:rPr>
          <w:rFonts w:asciiTheme="majorBidi" w:hAnsiTheme="majorBidi" w:cstheme="majorBidi"/>
          <w:sz w:val="24"/>
          <w:szCs w:val="24"/>
        </w:rPr>
        <w:t>first-line</w:t>
      </w:r>
      <w:proofErr w:type="gramEnd"/>
      <w:r w:rsidRPr="00B26238">
        <w:rPr>
          <w:rFonts w:asciiTheme="majorBidi" w:hAnsiTheme="majorBidi" w:cstheme="majorBidi"/>
          <w:sz w:val="24"/>
          <w:szCs w:val="24"/>
        </w:rPr>
        <w:t xml:space="preserve"> 2G</w:t>
      </w:r>
      <w:r>
        <w:rPr>
          <w:rFonts w:asciiTheme="majorBidi" w:hAnsiTheme="majorBidi" w:cstheme="majorBidi"/>
          <w:sz w:val="24"/>
          <w:szCs w:val="24"/>
        </w:rPr>
        <w:t>-</w:t>
      </w:r>
      <w:r w:rsidRPr="00B26238">
        <w:rPr>
          <w:rFonts w:asciiTheme="majorBidi" w:hAnsiTheme="majorBidi" w:cstheme="majorBidi"/>
          <w:sz w:val="24"/>
          <w:szCs w:val="24"/>
        </w:rPr>
        <w:t>TKI were younger</w:t>
      </w:r>
      <w:r>
        <w:rPr>
          <w:rFonts w:asciiTheme="majorBidi" w:hAnsiTheme="majorBidi" w:cstheme="majorBidi"/>
          <w:sz w:val="24"/>
          <w:szCs w:val="24"/>
        </w:rPr>
        <w:t xml:space="preserve"> than those receiving first-line imatinib</w:t>
      </w:r>
      <w:r w:rsidRPr="00B26238">
        <w:rPr>
          <w:rFonts w:asciiTheme="majorBidi" w:hAnsiTheme="majorBidi" w:cstheme="majorBidi"/>
          <w:sz w:val="24"/>
          <w:szCs w:val="24"/>
        </w:rPr>
        <w:t>.</w:t>
      </w:r>
    </w:p>
    <w:p w:rsidR="00B331A1" w:rsidRDefault="00B331A1" w:rsidP="00B331A1">
      <w:pPr>
        <w:spacing w:line="480" w:lineRule="auto"/>
        <w:rPr>
          <w:rFonts w:asciiTheme="majorBidi" w:hAnsiTheme="majorBidi" w:cstheme="majorBidi"/>
          <w:sz w:val="24"/>
          <w:szCs w:val="24"/>
        </w:rPr>
      </w:pP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i/>
          <w:sz w:val="24"/>
          <w:szCs w:val="24"/>
        </w:rPr>
        <w:t>CV risk factors and other documented comorbidities at baseline</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Among all patients, 149 (58%) had ≥1 recorded comorbidity at baseline </w:t>
      </w:r>
      <w:r w:rsidRPr="00070E77">
        <w:rPr>
          <w:rFonts w:asciiTheme="majorBidi" w:hAnsiTheme="majorBidi" w:cstheme="majorBidi"/>
          <w:sz w:val="24"/>
          <w:szCs w:val="24"/>
        </w:rPr>
        <w:t>(</w:t>
      </w:r>
      <w:r w:rsidRPr="005B3FB2">
        <w:rPr>
          <w:rFonts w:asciiTheme="majorBidi" w:hAnsiTheme="majorBidi" w:cstheme="majorBidi"/>
          <w:b/>
          <w:sz w:val="24"/>
          <w:szCs w:val="24"/>
        </w:rPr>
        <w:t xml:space="preserve">Table </w:t>
      </w:r>
      <w:r>
        <w:rPr>
          <w:rFonts w:asciiTheme="majorBidi" w:hAnsiTheme="majorBidi" w:cstheme="majorBidi"/>
          <w:b/>
          <w:sz w:val="24"/>
          <w:szCs w:val="24"/>
        </w:rPr>
        <w:t>I</w:t>
      </w:r>
      <w:r w:rsidRPr="00070E77">
        <w:rPr>
          <w:rFonts w:asciiTheme="majorBidi" w:hAnsiTheme="majorBidi" w:cstheme="majorBidi"/>
          <w:sz w:val="24"/>
          <w:szCs w:val="24"/>
        </w:rPr>
        <w:t>)</w:t>
      </w:r>
      <w:r>
        <w:rPr>
          <w:rFonts w:asciiTheme="majorBidi" w:hAnsiTheme="majorBidi" w:cstheme="majorBidi"/>
          <w:sz w:val="24"/>
          <w:szCs w:val="24"/>
        </w:rPr>
        <w:t>. Seventy-four</w:t>
      </w:r>
      <w:r w:rsidRPr="00637CE7">
        <w:rPr>
          <w:rFonts w:asciiTheme="majorBidi" w:hAnsiTheme="majorBidi" w:cstheme="majorBidi"/>
          <w:sz w:val="24"/>
          <w:szCs w:val="24"/>
        </w:rPr>
        <w:t xml:space="preserve"> </w:t>
      </w:r>
      <w:r>
        <w:rPr>
          <w:rFonts w:asciiTheme="majorBidi" w:hAnsiTheme="majorBidi" w:cstheme="majorBidi"/>
          <w:sz w:val="24"/>
          <w:szCs w:val="24"/>
        </w:rPr>
        <w:t xml:space="preserve">patients </w:t>
      </w:r>
      <w:r w:rsidRPr="00D64C81">
        <w:rPr>
          <w:rFonts w:asciiTheme="majorBidi" w:hAnsiTheme="majorBidi" w:cstheme="majorBidi"/>
          <w:sz w:val="24"/>
          <w:szCs w:val="24"/>
        </w:rPr>
        <w:t>(</w:t>
      </w:r>
      <w:r w:rsidRPr="00637CE7">
        <w:rPr>
          <w:rFonts w:asciiTheme="majorBidi" w:hAnsiTheme="majorBidi" w:cstheme="majorBidi"/>
          <w:sz w:val="24"/>
          <w:szCs w:val="24"/>
        </w:rPr>
        <w:t xml:space="preserve">36%) </w:t>
      </w:r>
      <w:r>
        <w:rPr>
          <w:rFonts w:asciiTheme="majorBidi" w:hAnsiTheme="majorBidi" w:cstheme="majorBidi"/>
          <w:sz w:val="24"/>
          <w:szCs w:val="24"/>
        </w:rPr>
        <w:t xml:space="preserve">receiving imatinib </w:t>
      </w:r>
      <w:r w:rsidRPr="00D64C81">
        <w:rPr>
          <w:rFonts w:asciiTheme="majorBidi" w:hAnsiTheme="majorBidi" w:cstheme="majorBidi"/>
          <w:sz w:val="24"/>
          <w:szCs w:val="24"/>
        </w:rPr>
        <w:t xml:space="preserve">had CV comorbidities at baseline </w:t>
      </w:r>
      <w:r>
        <w:rPr>
          <w:rFonts w:asciiTheme="majorBidi" w:hAnsiTheme="majorBidi" w:cstheme="majorBidi"/>
          <w:sz w:val="24"/>
          <w:szCs w:val="24"/>
        </w:rPr>
        <w:t>vs</w:t>
      </w:r>
      <w:r w:rsidRPr="00D64C81">
        <w:rPr>
          <w:rFonts w:asciiTheme="majorBidi" w:hAnsiTheme="majorBidi" w:cstheme="majorBidi"/>
          <w:sz w:val="24"/>
          <w:szCs w:val="24"/>
        </w:rPr>
        <w:t xml:space="preserve"> </w:t>
      </w:r>
      <w:r w:rsidRPr="00637CE7">
        <w:rPr>
          <w:rFonts w:asciiTheme="majorBidi" w:hAnsiTheme="majorBidi" w:cstheme="majorBidi"/>
          <w:sz w:val="24"/>
          <w:szCs w:val="24"/>
        </w:rPr>
        <w:t xml:space="preserve">7 </w:t>
      </w:r>
      <w:r w:rsidRPr="00D64C81">
        <w:rPr>
          <w:rFonts w:asciiTheme="majorBidi" w:hAnsiTheme="majorBidi" w:cstheme="majorBidi"/>
          <w:sz w:val="24"/>
          <w:szCs w:val="24"/>
        </w:rPr>
        <w:t>(</w:t>
      </w:r>
      <w:r w:rsidRPr="00637CE7">
        <w:rPr>
          <w:rFonts w:asciiTheme="majorBidi" w:hAnsiTheme="majorBidi" w:cstheme="majorBidi"/>
          <w:sz w:val="24"/>
          <w:szCs w:val="24"/>
        </w:rPr>
        <w:t>13%</w:t>
      </w:r>
      <w:r w:rsidRPr="00D64C81">
        <w:rPr>
          <w:rFonts w:asciiTheme="majorBidi" w:hAnsiTheme="majorBidi" w:cstheme="majorBidi"/>
          <w:sz w:val="24"/>
          <w:szCs w:val="24"/>
        </w:rPr>
        <w:t>)</w:t>
      </w:r>
      <w:r>
        <w:rPr>
          <w:rFonts w:asciiTheme="majorBidi" w:hAnsiTheme="majorBidi" w:cstheme="majorBidi"/>
          <w:sz w:val="24"/>
          <w:szCs w:val="24"/>
        </w:rPr>
        <w:t xml:space="preserve"> receiving</w:t>
      </w:r>
      <w:r w:rsidRPr="00D64C81">
        <w:rPr>
          <w:rFonts w:asciiTheme="majorBidi" w:hAnsiTheme="majorBidi" w:cstheme="majorBidi"/>
          <w:sz w:val="24"/>
          <w:szCs w:val="24"/>
        </w:rPr>
        <w:t xml:space="preserve"> a 2G</w:t>
      </w:r>
      <w:r>
        <w:rPr>
          <w:rFonts w:asciiTheme="majorBidi" w:hAnsiTheme="majorBidi" w:cstheme="majorBidi"/>
          <w:sz w:val="24"/>
          <w:szCs w:val="24"/>
        </w:rPr>
        <w:t>-</w:t>
      </w:r>
      <w:r w:rsidRPr="00D64C81">
        <w:rPr>
          <w:rFonts w:asciiTheme="majorBidi" w:hAnsiTheme="majorBidi" w:cstheme="majorBidi"/>
          <w:sz w:val="24"/>
          <w:szCs w:val="24"/>
        </w:rPr>
        <w:t>TKI</w:t>
      </w:r>
      <w:r>
        <w:rPr>
          <w:rFonts w:asciiTheme="majorBidi" w:hAnsiTheme="majorBidi" w:cstheme="majorBidi"/>
          <w:sz w:val="24"/>
          <w:szCs w:val="24"/>
        </w:rPr>
        <w:t xml:space="preserve"> </w:t>
      </w:r>
      <w:r w:rsidRPr="00070E77">
        <w:rPr>
          <w:rFonts w:asciiTheme="majorBidi" w:hAnsiTheme="majorBidi" w:cstheme="majorBidi"/>
          <w:sz w:val="24"/>
          <w:szCs w:val="24"/>
        </w:rPr>
        <w:t>(</w:t>
      </w:r>
      <w:r w:rsidRPr="005B3FB2">
        <w:rPr>
          <w:rFonts w:asciiTheme="majorBidi" w:hAnsiTheme="majorBidi" w:cstheme="majorBidi"/>
          <w:b/>
          <w:sz w:val="24"/>
          <w:szCs w:val="24"/>
        </w:rPr>
        <w:t xml:space="preserve">Table </w:t>
      </w:r>
      <w:r>
        <w:rPr>
          <w:rFonts w:asciiTheme="majorBidi" w:hAnsiTheme="majorBidi" w:cstheme="majorBidi"/>
          <w:b/>
          <w:sz w:val="24"/>
          <w:szCs w:val="24"/>
        </w:rPr>
        <w:t>II</w:t>
      </w:r>
      <w:r w:rsidRPr="00070E77">
        <w:rPr>
          <w:rFonts w:asciiTheme="majorBidi" w:hAnsiTheme="majorBidi" w:cstheme="majorBidi"/>
          <w:sz w:val="24"/>
          <w:szCs w:val="24"/>
        </w:rPr>
        <w:t>)</w:t>
      </w:r>
      <w:r>
        <w:rPr>
          <w:rFonts w:asciiTheme="majorBidi" w:hAnsiTheme="majorBidi" w:cstheme="majorBidi"/>
          <w:sz w:val="24"/>
          <w:szCs w:val="24"/>
        </w:rPr>
        <w:t xml:space="preserve">. Only 74 patients (29%) had baseline </w:t>
      </w:r>
      <w:r w:rsidRPr="00146BD8">
        <w:rPr>
          <w:rFonts w:asciiTheme="majorBidi" w:hAnsiTheme="majorBidi" w:cstheme="majorBidi"/>
          <w:sz w:val="24"/>
          <w:szCs w:val="24"/>
        </w:rPr>
        <w:t>blood pressure documented</w:t>
      </w:r>
      <w:r>
        <w:rPr>
          <w:rFonts w:asciiTheme="majorBidi" w:hAnsiTheme="majorBidi" w:cstheme="majorBidi"/>
          <w:sz w:val="24"/>
          <w:szCs w:val="24"/>
        </w:rPr>
        <w:t>; 33 (45%) had stage ≥2 hypertensio</w:t>
      </w:r>
      <w:r w:rsidRPr="00B334D9">
        <w:rPr>
          <w:rFonts w:asciiTheme="majorBidi" w:hAnsiTheme="majorBidi" w:cstheme="majorBidi"/>
          <w:sz w:val="24"/>
          <w:szCs w:val="24"/>
        </w:rPr>
        <w:t>n</w:t>
      </w:r>
      <w:r>
        <w:rPr>
          <w:rFonts w:asciiTheme="majorBidi" w:hAnsiTheme="majorBidi" w:cstheme="majorBidi"/>
          <w:sz w:val="24"/>
          <w:szCs w:val="24"/>
        </w:rPr>
        <w:t xml:space="preserve"> </w:t>
      </w:r>
      <w:r w:rsidRPr="00146BD8">
        <w:rPr>
          <w:rFonts w:asciiTheme="majorBidi" w:hAnsiTheme="majorBidi" w:cstheme="majorBidi"/>
          <w:sz w:val="24"/>
          <w:szCs w:val="24"/>
        </w:rPr>
        <w:t>(</w:t>
      </w:r>
      <w:r w:rsidRPr="002D04C5">
        <w:rPr>
          <w:rFonts w:asciiTheme="majorBidi" w:hAnsiTheme="majorBidi" w:cstheme="majorBidi"/>
          <w:b/>
          <w:sz w:val="24"/>
          <w:szCs w:val="24"/>
        </w:rPr>
        <w:t xml:space="preserve">Supplementary Table </w:t>
      </w:r>
      <w:r>
        <w:rPr>
          <w:rFonts w:asciiTheme="majorBidi" w:hAnsiTheme="majorBidi" w:cstheme="majorBidi"/>
          <w:b/>
          <w:sz w:val="24"/>
          <w:szCs w:val="24"/>
        </w:rPr>
        <w:t>II</w:t>
      </w:r>
      <w:r w:rsidRPr="00146BD8">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&lt;EndNote&gt;&lt;Cite&gt;&lt;Author&gt;Whelton&lt;/Author&gt;&lt;Year&gt;2018&lt;/Year&gt;&lt;RecNum&gt;6291&lt;/RecNum&gt;&lt;DisplayText&gt;(Whelton&lt;style face="italic"&gt;, et al&lt;/style&gt; 2018)&lt;/DisplayText&gt;&lt;record&gt;&lt;rec-number&gt;6291&lt;/rec-number&gt;&lt;foreign-keys&gt;&lt;key app="EN" db-id="sxxfsvre49szroewve75ep9j0v99v9vffext" timestamp="1567720901"&gt;6291&lt;/key&gt;&lt;/foreign-keys&gt;&lt;ref-type name="Journal Article"&gt;17&lt;/ref-type&gt;&lt;contributors&gt;&lt;authors&gt;&lt;author&gt;Whelton, P. K.&lt;/author&gt;&lt;author&gt;Carey, R. M.&lt;/author&gt;&lt;author&gt;Aronow, W. S.&lt;/author&gt;&lt;author&gt;Casey, D. E., Jr.&lt;/author&gt;&lt;author&gt;Collins, K. J.&lt;/author&gt;&lt;author&gt;Dennison Himmelfarb, C.&lt;/author&gt;&lt;author&gt;DePalma, S. M.&lt;/author&gt;&lt;author&gt;Gidding, S.&lt;/author&gt;&lt;author&gt;Jamerson, K. A.&lt;/author&gt;&lt;author&gt;Jones, D. W.&lt;/author&gt;&lt;author&gt;MacLaughlin, E. J.&lt;/author&gt;&lt;author&gt;Muntner, P.&lt;/author&gt;&lt;author&gt;Ovbiagele, B.&lt;/author&gt;&lt;author&gt;Smith, S. C., Jr.&lt;/author&gt;&lt;author&gt;Spencer, C. C.&lt;/author&gt;&lt;author&gt;Stafford, R. S.&lt;/author&gt;&lt;author&gt;Taler, S. J.&lt;/author&gt;&lt;author&gt;Thomas, R. J.&lt;/author&gt;&lt;author&gt;Williams, K. A., Sr.&lt;/author&gt;&lt;author&gt;Williamson, J. D.&lt;/author&gt;&lt;author&gt;Wright, J. T., Jr.&lt;/author&gt;&lt;/authors&gt;&lt;/contributors&gt;&lt;titles&gt;&lt;title&gt;2017 ACC/AHA/AAPA/ABC/ACPM/AGS/APhA/ASH/ASPC/NMA/PCNA Guideline for the Prevention, Detection, Evaluation, and Management of High Blood Pressure in Adults: A Report of the American College of Cardiology/American Heart Association Task Force on Clinical Practice Guidelines&lt;/title&gt;&lt;secondary-title&gt;J Am Coll Cardiol&lt;/secondary-title&gt;&lt;/titles&gt;&lt;periodical&gt;&lt;full-title&gt;J Am Coll Cardiol&lt;/full-title&gt;&lt;/periodical&gt;&lt;pages&gt;e127-e248&lt;/pages&gt;&lt;volume&gt;71&lt;/volume&gt;&lt;number&gt;19&lt;/number&gt;&lt;dates&gt;&lt;year&gt;2018&lt;/year&gt;&lt;/dates&gt;&lt;urls&gt;&lt;/urls&gt;&lt;electronic-resource-num&gt;10.1016/j.jacc.2017.11.006&lt;/electronic-resource-num&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(Whelton</w:t>
      </w:r>
      <w:r w:rsidRPr="00106030">
        <w:rPr>
          <w:rFonts w:asciiTheme="majorBidi" w:hAnsiTheme="majorBidi" w:cstheme="majorBidi"/>
          <w:i/>
          <w:noProof/>
          <w:sz w:val="24"/>
          <w:szCs w:val="24"/>
        </w:rPr>
        <w:t>, et al</w:t>
      </w:r>
      <w:r>
        <w:rPr>
          <w:rFonts w:asciiTheme="majorBidi" w:hAnsiTheme="majorBidi" w:cstheme="majorBidi"/>
          <w:noProof/>
          <w:sz w:val="24"/>
          <w:szCs w:val="24"/>
        </w:rPr>
        <w:t xml:space="preserve"> 2018)</w:t>
      </w:r>
      <w:r>
        <w:rPr>
          <w:rFonts w:asciiTheme="majorBidi" w:hAnsiTheme="majorBidi" w:cstheme="majorBidi"/>
          <w:sz w:val="24"/>
          <w:szCs w:val="24"/>
        </w:rPr>
        <w:fldChar w:fldCharType="end"/>
      </w:r>
      <w:r w:rsidRPr="00AE0591">
        <w:rPr>
          <w:rFonts w:asciiTheme="majorBidi" w:hAnsiTheme="majorBidi" w:cstheme="majorBidi"/>
          <w:sz w:val="24"/>
          <w:szCs w:val="24"/>
        </w:rPr>
        <w:t>.</w:t>
      </w:r>
      <w:r>
        <w:rPr>
          <w:rFonts w:asciiTheme="majorBidi" w:hAnsiTheme="majorBidi" w:cstheme="majorBidi"/>
          <w:sz w:val="24"/>
          <w:szCs w:val="24"/>
        </w:rPr>
        <w:t xml:space="preserve"> </w:t>
      </w:r>
    </w:p>
    <w:p w:rsidR="00B331A1" w:rsidRPr="00CD29E1" w:rsidRDefault="00B331A1" w:rsidP="00B331A1">
      <w:pPr>
        <w:spacing w:line="480" w:lineRule="auto"/>
        <w:rPr>
          <w:rFonts w:asciiTheme="majorBidi" w:hAnsiTheme="majorBidi" w:cstheme="majorBidi"/>
          <w:sz w:val="24"/>
          <w:szCs w:val="24"/>
        </w:rPr>
      </w:pPr>
      <w:r w:rsidRPr="00070E77">
        <w:rPr>
          <w:rFonts w:asciiTheme="majorBidi" w:hAnsiTheme="majorBidi" w:cstheme="majorBidi"/>
          <w:sz w:val="24"/>
          <w:szCs w:val="24"/>
        </w:rPr>
        <w:t>Exact levels of baseline blood glucose were documented in 58 patients (23%)</w:t>
      </w:r>
      <w:r>
        <w:rPr>
          <w:rFonts w:asciiTheme="majorBidi" w:hAnsiTheme="majorBidi" w:cstheme="majorBidi"/>
          <w:sz w:val="24"/>
          <w:szCs w:val="24"/>
        </w:rPr>
        <w:t>; documentation occurred more often</w:t>
      </w:r>
      <w:r w:rsidRPr="00070E77">
        <w:rPr>
          <w:rFonts w:asciiTheme="majorBidi" w:hAnsiTheme="majorBidi" w:cstheme="majorBidi"/>
          <w:sz w:val="24"/>
          <w:szCs w:val="24"/>
        </w:rPr>
        <w:t xml:space="preserve"> in patients </w:t>
      </w:r>
      <w:r>
        <w:rPr>
          <w:rFonts w:asciiTheme="majorBidi" w:hAnsiTheme="majorBidi" w:cstheme="majorBidi"/>
          <w:sz w:val="24"/>
          <w:szCs w:val="24"/>
        </w:rPr>
        <w:t>treated with</w:t>
      </w:r>
      <w:r w:rsidRPr="00070E77">
        <w:rPr>
          <w:rFonts w:asciiTheme="majorBidi" w:hAnsiTheme="majorBidi" w:cstheme="majorBidi"/>
          <w:sz w:val="24"/>
          <w:szCs w:val="24"/>
        </w:rPr>
        <w:t xml:space="preserve"> </w:t>
      </w:r>
      <w:proofErr w:type="gramStart"/>
      <w:r w:rsidRPr="00070E77">
        <w:rPr>
          <w:rFonts w:asciiTheme="majorBidi" w:hAnsiTheme="majorBidi" w:cstheme="majorBidi"/>
          <w:sz w:val="24"/>
          <w:szCs w:val="24"/>
        </w:rPr>
        <w:t>first-line</w:t>
      </w:r>
      <w:proofErr w:type="gramEnd"/>
      <w:r w:rsidRPr="00070E77">
        <w:rPr>
          <w:rFonts w:asciiTheme="majorBidi" w:hAnsiTheme="majorBidi" w:cstheme="majorBidi"/>
          <w:sz w:val="24"/>
          <w:szCs w:val="24"/>
        </w:rPr>
        <w:t xml:space="preserve"> 2G</w:t>
      </w:r>
      <w:r>
        <w:rPr>
          <w:rFonts w:asciiTheme="majorBidi" w:hAnsiTheme="majorBidi" w:cstheme="majorBidi"/>
          <w:sz w:val="24"/>
          <w:szCs w:val="24"/>
        </w:rPr>
        <w:t>-</w:t>
      </w:r>
      <w:r w:rsidRPr="00070E77">
        <w:rPr>
          <w:rFonts w:asciiTheme="majorBidi" w:hAnsiTheme="majorBidi" w:cstheme="majorBidi"/>
          <w:sz w:val="24"/>
          <w:szCs w:val="24"/>
        </w:rPr>
        <w:t>TKI (20</w:t>
      </w:r>
      <w:r>
        <w:rPr>
          <w:rFonts w:asciiTheme="majorBidi" w:hAnsiTheme="majorBidi" w:cstheme="majorBidi"/>
          <w:sz w:val="24"/>
          <w:szCs w:val="24"/>
        </w:rPr>
        <w:t>/</w:t>
      </w:r>
      <w:r w:rsidRPr="00070E77">
        <w:rPr>
          <w:rFonts w:asciiTheme="majorBidi" w:hAnsiTheme="majorBidi" w:cstheme="majorBidi"/>
          <w:sz w:val="24"/>
          <w:szCs w:val="24"/>
        </w:rPr>
        <w:t xml:space="preserve">54 [37%]) </w:t>
      </w:r>
      <w:r>
        <w:rPr>
          <w:rFonts w:asciiTheme="majorBidi" w:hAnsiTheme="majorBidi" w:cstheme="majorBidi"/>
          <w:sz w:val="24"/>
          <w:szCs w:val="24"/>
        </w:rPr>
        <w:t xml:space="preserve">vs </w:t>
      </w:r>
      <w:r w:rsidRPr="00070E77">
        <w:rPr>
          <w:rFonts w:asciiTheme="majorBidi" w:hAnsiTheme="majorBidi" w:cstheme="majorBidi"/>
          <w:sz w:val="24"/>
          <w:szCs w:val="24"/>
        </w:rPr>
        <w:t>imatinib (38</w:t>
      </w:r>
      <w:r>
        <w:rPr>
          <w:rFonts w:asciiTheme="majorBidi" w:hAnsiTheme="majorBidi" w:cstheme="majorBidi"/>
          <w:sz w:val="24"/>
          <w:szCs w:val="24"/>
        </w:rPr>
        <w:t>/</w:t>
      </w:r>
      <w:r w:rsidRPr="00070E77">
        <w:rPr>
          <w:rFonts w:asciiTheme="majorBidi" w:hAnsiTheme="majorBidi" w:cstheme="majorBidi"/>
          <w:sz w:val="24"/>
          <w:szCs w:val="24"/>
        </w:rPr>
        <w:t>203 [19%])</w:t>
      </w:r>
      <w:r>
        <w:rPr>
          <w:rFonts w:asciiTheme="majorBidi" w:hAnsiTheme="majorBidi" w:cstheme="majorBidi"/>
          <w:sz w:val="24"/>
          <w:szCs w:val="24"/>
        </w:rPr>
        <w:t xml:space="preserve">. Baseline low-density lipoprotein and total cholesterol levels were recorded in 23 (9%) </w:t>
      </w:r>
      <w:r>
        <w:rPr>
          <w:rFonts w:asciiTheme="majorBidi" w:hAnsiTheme="majorBidi" w:cstheme="majorBidi"/>
          <w:sz w:val="24"/>
          <w:szCs w:val="24"/>
        </w:rPr>
        <w:lastRenderedPageBreak/>
        <w:t xml:space="preserve">and 40 (16%) patients. CV risk assessment tool use was documented for 10 patients (4%), with the </w:t>
      </w:r>
      <w:r w:rsidRPr="00EC1127">
        <w:rPr>
          <w:rFonts w:asciiTheme="majorBidi" w:hAnsiTheme="majorBidi" w:cstheme="majorBidi"/>
          <w:sz w:val="24"/>
          <w:szCs w:val="24"/>
        </w:rPr>
        <w:t xml:space="preserve">validated </w:t>
      </w:r>
      <w:r>
        <w:rPr>
          <w:rFonts w:asciiTheme="majorBidi" w:hAnsiTheme="majorBidi" w:cstheme="majorBidi"/>
          <w:sz w:val="24"/>
          <w:szCs w:val="24"/>
        </w:rPr>
        <w:t xml:space="preserve">QRISK2 </w:t>
      </w:r>
      <w:r w:rsidRPr="00EC1127">
        <w:rPr>
          <w:rFonts w:asciiTheme="majorBidi" w:hAnsiTheme="majorBidi" w:cstheme="majorBidi"/>
          <w:sz w:val="24"/>
          <w:szCs w:val="24"/>
        </w:rPr>
        <w:t>tool</w:t>
      </w:r>
      <w:r>
        <w:rPr>
          <w:rFonts w:asciiTheme="majorBidi" w:hAnsiTheme="majorBidi" w:cstheme="majorBidi"/>
          <w:sz w:val="24"/>
          <w:szCs w:val="24"/>
        </w:rPr>
        <w:t xml:space="preserve"> used in 3 (1%).</w:t>
      </w:r>
    </w:p>
    <w:p w:rsidR="00B331A1" w:rsidRPr="00347971" w:rsidRDefault="00B331A1" w:rsidP="00B331A1">
      <w:pPr>
        <w:spacing w:line="480" w:lineRule="auto"/>
        <w:rPr>
          <w:rFonts w:asciiTheme="majorBidi" w:hAnsiTheme="majorBidi" w:cstheme="majorBidi"/>
          <w:sz w:val="24"/>
          <w:szCs w:val="24"/>
        </w:rPr>
      </w:pPr>
    </w:p>
    <w:p w:rsidR="00B331A1" w:rsidRPr="002A1DB8" w:rsidRDefault="00B331A1" w:rsidP="00B331A1">
      <w:pPr>
        <w:keepNext/>
        <w:spacing w:line="480" w:lineRule="auto"/>
        <w:rPr>
          <w:rFonts w:asciiTheme="majorBidi" w:hAnsiTheme="majorBidi" w:cstheme="majorBidi"/>
          <w:sz w:val="24"/>
          <w:szCs w:val="24"/>
        </w:rPr>
      </w:pPr>
      <w:r>
        <w:rPr>
          <w:rFonts w:asciiTheme="majorBidi" w:hAnsiTheme="majorBidi" w:cstheme="majorBidi"/>
          <w:i/>
          <w:sz w:val="24"/>
          <w:szCs w:val="24"/>
        </w:rPr>
        <w:t>Response monitoring practices</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Within 12 months of starting first-line TKI, </w:t>
      </w:r>
      <w:r w:rsidRPr="001D57B0">
        <w:rPr>
          <w:rFonts w:asciiTheme="majorBidi" w:hAnsiTheme="majorBidi" w:cstheme="majorBidi"/>
          <w:sz w:val="24"/>
          <w:szCs w:val="24"/>
        </w:rPr>
        <w:t xml:space="preserve">250 </w:t>
      </w:r>
      <w:r>
        <w:rPr>
          <w:rFonts w:asciiTheme="majorBidi" w:hAnsiTheme="majorBidi" w:cstheme="majorBidi"/>
          <w:sz w:val="24"/>
          <w:szCs w:val="24"/>
        </w:rPr>
        <w:t>patients</w:t>
      </w:r>
      <w:r w:rsidRPr="001D57B0">
        <w:rPr>
          <w:rFonts w:asciiTheme="majorBidi" w:hAnsiTheme="majorBidi" w:cstheme="majorBidi"/>
          <w:sz w:val="24"/>
          <w:szCs w:val="24"/>
        </w:rPr>
        <w:t xml:space="preserve"> (97%)</w:t>
      </w:r>
      <w:r>
        <w:rPr>
          <w:rFonts w:asciiTheme="majorBidi" w:hAnsiTheme="majorBidi" w:cstheme="majorBidi"/>
          <w:sz w:val="24"/>
          <w:szCs w:val="24"/>
        </w:rPr>
        <w:t xml:space="preserve"> had ≥1 real-time quantitative polymerase chain reaction (</w:t>
      </w:r>
      <w:r w:rsidRPr="001D57B0">
        <w:rPr>
          <w:rFonts w:asciiTheme="majorBidi" w:hAnsiTheme="majorBidi" w:cstheme="majorBidi"/>
          <w:sz w:val="24"/>
          <w:szCs w:val="24"/>
        </w:rPr>
        <w:t>RQ-PCR</w:t>
      </w:r>
      <w:r>
        <w:rPr>
          <w:rFonts w:asciiTheme="majorBidi" w:hAnsiTheme="majorBidi" w:cstheme="majorBidi"/>
          <w:sz w:val="24"/>
          <w:szCs w:val="24"/>
        </w:rPr>
        <w:t>) assessments</w:t>
      </w:r>
      <w:r w:rsidRPr="001D57B0">
        <w:rPr>
          <w:rFonts w:asciiTheme="majorBidi" w:hAnsiTheme="majorBidi" w:cstheme="majorBidi"/>
          <w:sz w:val="24"/>
          <w:szCs w:val="24"/>
        </w:rPr>
        <w:t xml:space="preserve"> </w:t>
      </w:r>
      <w:r>
        <w:rPr>
          <w:rFonts w:asciiTheme="majorBidi" w:hAnsiTheme="majorBidi" w:cstheme="majorBidi"/>
          <w:sz w:val="24"/>
          <w:szCs w:val="24"/>
        </w:rPr>
        <w:t>and</w:t>
      </w:r>
      <w:r w:rsidRPr="001D57B0">
        <w:rPr>
          <w:rFonts w:asciiTheme="majorBidi" w:hAnsiTheme="majorBidi" w:cstheme="majorBidi"/>
          <w:sz w:val="24"/>
          <w:szCs w:val="24"/>
        </w:rPr>
        <w:t xml:space="preserve"> 221 </w:t>
      </w:r>
      <w:r>
        <w:rPr>
          <w:rFonts w:asciiTheme="majorBidi" w:hAnsiTheme="majorBidi" w:cstheme="majorBidi"/>
          <w:sz w:val="24"/>
          <w:szCs w:val="24"/>
        </w:rPr>
        <w:t xml:space="preserve">patients </w:t>
      </w:r>
      <w:r w:rsidRPr="001D57B0">
        <w:rPr>
          <w:rFonts w:asciiTheme="majorBidi" w:hAnsiTheme="majorBidi" w:cstheme="majorBidi"/>
          <w:sz w:val="24"/>
          <w:szCs w:val="24"/>
        </w:rPr>
        <w:t>(86%) had ≥3 RQ-PCR</w:t>
      </w:r>
      <w:r>
        <w:rPr>
          <w:rFonts w:asciiTheme="majorBidi" w:hAnsiTheme="majorBidi" w:cstheme="majorBidi"/>
          <w:sz w:val="24"/>
          <w:szCs w:val="24"/>
        </w:rPr>
        <w:t xml:space="preserve"> assessments. Two-hundred-four (79%), 177 (69%), and 162 (63%) patients had assessments at the 3-, 6-, or 12-month ELN milestones (regardless of TKI line), respectively. Cytogenetic testing (chromosome banding analysis </w:t>
      </w:r>
      <w:r w:rsidRPr="00342A2F">
        <w:rPr>
          <w:rFonts w:asciiTheme="majorBidi" w:hAnsiTheme="majorBidi" w:cstheme="majorBidi"/>
          <w:sz w:val="24"/>
          <w:szCs w:val="24"/>
        </w:rPr>
        <w:t xml:space="preserve">or </w:t>
      </w:r>
      <w:r>
        <w:rPr>
          <w:rFonts w:asciiTheme="majorBidi" w:hAnsiTheme="majorBidi" w:cstheme="majorBidi"/>
          <w:sz w:val="24"/>
          <w:szCs w:val="24"/>
        </w:rPr>
        <w:t>fluorescence in situ hybridization</w:t>
      </w:r>
      <w:r w:rsidRPr="00342A2F">
        <w:rPr>
          <w:rFonts w:asciiTheme="majorBidi" w:hAnsiTheme="majorBidi" w:cstheme="majorBidi"/>
          <w:sz w:val="24"/>
          <w:szCs w:val="24"/>
        </w:rPr>
        <w:t xml:space="preserve">) was conducted less frequently. </w:t>
      </w:r>
      <w:r w:rsidRPr="00342A2F">
        <w:rPr>
          <w:rFonts w:asciiTheme="majorBidi" w:eastAsiaTheme="minorEastAsia" w:hAnsiTheme="majorBidi" w:cstheme="majorBidi"/>
          <w:sz w:val="24"/>
          <w:szCs w:val="24"/>
        </w:rPr>
        <w:t>Frequency of assessments at ELN milestones on first and second TKI</w:t>
      </w:r>
      <w:r w:rsidRPr="00342A2F">
        <w:rPr>
          <w:rFonts w:asciiTheme="majorBidi" w:hAnsiTheme="majorBidi" w:cstheme="majorBidi"/>
          <w:bCs/>
          <w:sz w:val="24"/>
          <w:szCs w:val="24"/>
        </w:rPr>
        <w:t xml:space="preserve"> are described in</w:t>
      </w:r>
      <w:r w:rsidRPr="00342A2F">
        <w:rPr>
          <w:rFonts w:asciiTheme="majorBidi" w:hAnsiTheme="majorBidi" w:cstheme="majorBidi"/>
          <w:b/>
          <w:bCs/>
          <w:sz w:val="24"/>
          <w:szCs w:val="24"/>
        </w:rPr>
        <w:t xml:space="preserve"> Table </w:t>
      </w:r>
      <w:r>
        <w:rPr>
          <w:rFonts w:asciiTheme="majorBidi" w:hAnsiTheme="majorBidi" w:cstheme="majorBidi"/>
          <w:b/>
          <w:bCs/>
          <w:sz w:val="24"/>
          <w:szCs w:val="24"/>
        </w:rPr>
        <w:t>III</w:t>
      </w:r>
      <w:r w:rsidRPr="00342A2F">
        <w:rPr>
          <w:rFonts w:asciiTheme="majorBidi" w:hAnsiTheme="majorBidi" w:cstheme="majorBidi"/>
          <w:sz w:val="24"/>
          <w:szCs w:val="24"/>
        </w:rPr>
        <w:t>.</w:t>
      </w:r>
      <w:r>
        <w:rPr>
          <w:rFonts w:asciiTheme="majorBidi" w:hAnsiTheme="majorBidi" w:cstheme="majorBidi"/>
          <w:sz w:val="24"/>
          <w:szCs w:val="24"/>
        </w:rPr>
        <w:t xml:space="preserve"> </w:t>
      </w:r>
    </w:p>
    <w:p w:rsidR="00B331A1" w:rsidRDefault="00B331A1" w:rsidP="00B331A1">
      <w:pPr>
        <w:spacing w:line="480" w:lineRule="auto"/>
        <w:rPr>
          <w:rFonts w:asciiTheme="majorBidi" w:hAnsiTheme="majorBidi" w:cstheme="majorBidi"/>
          <w:i/>
          <w:sz w:val="24"/>
          <w:szCs w:val="24"/>
        </w:rPr>
      </w:pPr>
    </w:p>
    <w:p w:rsidR="00B331A1" w:rsidRPr="00A01F6C" w:rsidRDefault="00B331A1" w:rsidP="00B331A1">
      <w:pPr>
        <w:spacing w:line="480" w:lineRule="auto"/>
        <w:rPr>
          <w:rFonts w:asciiTheme="majorBidi" w:hAnsiTheme="majorBidi" w:cstheme="majorBidi"/>
          <w:sz w:val="24"/>
          <w:szCs w:val="24"/>
        </w:rPr>
      </w:pPr>
      <w:r>
        <w:rPr>
          <w:rFonts w:asciiTheme="majorBidi" w:hAnsiTheme="majorBidi" w:cstheme="majorBidi"/>
          <w:i/>
          <w:sz w:val="24"/>
          <w:szCs w:val="24"/>
        </w:rPr>
        <w:t>First-line TKI therapy</w:t>
      </w:r>
    </w:p>
    <w:p w:rsidR="00B331A1" w:rsidRDefault="00B331A1" w:rsidP="00B331A1">
      <w:pPr>
        <w:spacing w:line="480" w:lineRule="auto"/>
        <w:rPr>
          <w:rFonts w:asciiTheme="majorBidi" w:hAnsiTheme="majorBidi" w:cstheme="majorBidi"/>
          <w:sz w:val="24"/>
          <w:szCs w:val="24"/>
        </w:rPr>
      </w:pPr>
      <w:r w:rsidRPr="005D127E">
        <w:rPr>
          <w:rFonts w:asciiTheme="majorBidi" w:hAnsiTheme="majorBidi" w:cstheme="majorBidi"/>
          <w:sz w:val="24"/>
          <w:szCs w:val="24"/>
        </w:rPr>
        <w:t xml:space="preserve">Median follow-up </w:t>
      </w:r>
      <w:r>
        <w:rPr>
          <w:rFonts w:asciiTheme="majorBidi" w:hAnsiTheme="majorBidi" w:cstheme="majorBidi"/>
          <w:sz w:val="24"/>
          <w:szCs w:val="24"/>
        </w:rPr>
        <w:t xml:space="preserve">duration </w:t>
      </w:r>
      <w:r w:rsidRPr="005D127E">
        <w:rPr>
          <w:rFonts w:asciiTheme="majorBidi" w:hAnsiTheme="majorBidi" w:cstheme="majorBidi"/>
          <w:sz w:val="24"/>
          <w:szCs w:val="24"/>
        </w:rPr>
        <w:t xml:space="preserve">on </w:t>
      </w:r>
      <w:proofErr w:type="gramStart"/>
      <w:r>
        <w:rPr>
          <w:rFonts w:asciiTheme="majorBidi" w:hAnsiTheme="majorBidi" w:cstheme="majorBidi"/>
          <w:sz w:val="24"/>
          <w:szCs w:val="24"/>
        </w:rPr>
        <w:t>first</w:t>
      </w:r>
      <w:r w:rsidRPr="005D127E">
        <w:rPr>
          <w:rFonts w:asciiTheme="majorBidi" w:hAnsiTheme="majorBidi" w:cstheme="majorBidi"/>
          <w:sz w:val="24"/>
          <w:szCs w:val="24"/>
        </w:rPr>
        <w:t>-line</w:t>
      </w:r>
      <w:proofErr w:type="gramEnd"/>
      <w:r w:rsidRPr="005D127E">
        <w:rPr>
          <w:rFonts w:asciiTheme="majorBidi" w:hAnsiTheme="majorBidi" w:cstheme="majorBidi"/>
          <w:sz w:val="24"/>
          <w:szCs w:val="24"/>
        </w:rPr>
        <w:t xml:space="preserve"> TKI </w:t>
      </w:r>
      <w:r>
        <w:rPr>
          <w:rFonts w:asciiTheme="majorBidi" w:hAnsiTheme="majorBidi" w:cstheme="majorBidi"/>
          <w:sz w:val="24"/>
          <w:szCs w:val="24"/>
        </w:rPr>
        <w:t xml:space="preserve">and molecular responses to first-line TKI therapy are shown in </w:t>
      </w:r>
      <w:r w:rsidRPr="00D51FA5">
        <w:rPr>
          <w:rFonts w:asciiTheme="majorBidi" w:hAnsiTheme="majorBidi" w:cstheme="majorBidi"/>
          <w:b/>
          <w:sz w:val="24"/>
          <w:szCs w:val="24"/>
        </w:rPr>
        <w:t xml:space="preserve">Table </w:t>
      </w:r>
      <w:r>
        <w:rPr>
          <w:rFonts w:asciiTheme="majorBidi" w:hAnsiTheme="majorBidi" w:cstheme="majorBidi"/>
          <w:b/>
          <w:sz w:val="24"/>
          <w:szCs w:val="24"/>
        </w:rPr>
        <w:t>IV</w:t>
      </w:r>
      <w:r>
        <w:rPr>
          <w:rFonts w:asciiTheme="majorBidi" w:hAnsiTheme="majorBidi" w:cstheme="majorBidi"/>
          <w:sz w:val="24"/>
          <w:szCs w:val="24"/>
        </w:rPr>
        <w:t>. T</w:t>
      </w:r>
      <w:r w:rsidRPr="005B56A4">
        <w:rPr>
          <w:rFonts w:asciiTheme="majorBidi" w:hAnsiTheme="majorBidi" w:cstheme="majorBidi"/>
          <w:sz w:val="24"/>
          <w:szCs w:val="24"/>
        </w:rPr>
        <w:t xml:space="preserve">ime to discontinuation of first TKI for patients on imatinib </w:t>
      </w:r>
      <w:r>
        <w:rPr>
          <w:rFonts w:asciiTheme="majorBidi" w:hAnsiTheme="majorBidi" w:cstheme="majorBidi"/>
          <w:sz w:val="24"/>
          <w:szCs w:val="24"/>
        </w:rPr>
        <w:t>vs</w:t>
      </w:r>
      <w:r w:rsidRPr="005B56A4">
        <w:rPr>
          <w:rFonts w:asciiTheme="majorBidi" w:hAnsiTheme="majorBidi" w:cstheme="majorBidi"/>
          <w:sz w:val="24"/>
          <w:szCs w:val="24"/>
        </w:rPr>
        <w:t xml:space="preserve"> 2G</w:t>
      </w:r>
      <w:r>
        <w:rPr>
          <w:rFonts w:asciiTheme="majorBidi" w:hAnsiTheme="majorBidi" w:cstheme="majorBidi"/>
          <w:sz w:val="24"/>
          <w:szCs w:val="24"/>
        </w:rPr>
        <w:t>-</w:t>
      </w:r>
      <w:r w:rsidRPr="005B56A4">
        <w:rPr>
          <w:rFonts w:asciiTheme="majorBidi" w:hAnsiTheme="majorBidi" w:cstheme="majorBidi"/>
          <w:sz w:val="24"/>
          <w:szCs w:val="24"/>
        </w:rPr>
        <w:t>TKI</w:t>
      </w:r>
      <w:r>
        <w:rPr>
          <w:rFonts w:asciiTheme="majorBidi" w:hAnsiTheme="majorBidi" w:cstheme="majorBidi"/>
          <w:sz w:val="24"/>
          <w:szCs w:val="24"/>
        </w:rPr>
        <w:t xml:space="preserve"> is shown in </w:t>
      </w:r>
      <w:r w:rsidRPr="004F604A">
        <w:rPr>
          <w:rFonts w:asciiTheme="majorBidi" w:hAnsiTheme="majorBidi" w:cstheme="majorBidi"/>
          <w:b/>
          <w:bCs/>
          <w:sz w:val="24"/>
          <w:szCs w:val="24"/>
        </w:rPr>
        <w:t>Fig 1</w:t>
      </w:r>
      <w:r>
        <w:rPr>
          <w:rFonts w:asciiTheme="majorBidi" w:hAnsiTheme="majorBidi" w:cstheme="majorBidi"/>
          <w:sz w:val="24"/>
          <w:szCs w:val="24"/>
        </w:rPr>
        <w:t>. For patients receiving imatinib or nilotinib, respective median starting doses were 400 or 600 mg/day; 24/203 (12%) and 8/50 (16%) had dose reductions, while 14% and 12% had dose interruptions.</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Q</w:t>
      </w:r>
      <w:r w:rsidRPr="00221123">
        <w:rPr>
          <w:rFonts w:asciiTheme="majorBidi" w:hAnsiTheme="majorBidi" w:cstheme="majorBidi"/>
          <w:sz w:val="24"/>
          <w:szCs w:val="24"/>
        </w:rPr>
        <w:t xml:space="preserve">uantifiable molecular or cytogenetic assessments </w:t>
      </w:r>
      <w:r>
        <w:rPr>
          <w:rFonts w:asciiTheme="majorBidi" w:hAnsiTheme="majorBidi" w:cstheme="majorBidi"/>
          <w:sz w:val="24"/>
          <w:szCs w:val="24"/>
        </w:rPr>
        <w:t xml:space="preserve">were performed </w:t>
      </w:r>
      <w:r w:rsidRPr="00221123">
        <w:rPr>
          <w:rFonts w:asciiTheme="majorBidi" w:hAnsiTheme="majorBidi" w:cstheme="majorBidi"/>
          <w:sz w:val="24"/>
          <w:szCs w:val="24"/>
        </w:rPr>
        <w:t xml:space="preserve">at ≥1 ELN milestone during </w:t>
      </w:r>
      <w:proofErr w:type="gramStart"/>
      <w:r w:rsidRPr="00221123">
        <w:rPr>
          <w:rFonts w:asciiTheme="majorBidi" w:hAnsiTheme="majorBidi" w:cstheme="majorBidi"/>
          <w:sz w:val="24"/>
          <w:szCs w:val="24"/>
        </w:rPr>
        <w:t>first-line</w:t>
      </w:r>
      <w:proofErr w:type="gramEnd"/>
      <w:r w:rsidRPr="00221123">
        <w:rPr>
          <w:rFonts w:asciiTheme="majorBidi" w:hAnsiTheme="majorBidi" w:cstheme="majorBidi"/>
          <w:sz w:val="24"/>
          <w:szCs w:val="24"/>
        </w:rPr>
        <w:t xml:space="preserve"> TKI </w:t>
      </w:r>
      <w:r>
        <w:rPr>
          <w:rFonts w:asciiTheme="majorBidi" w:hAnsiTheme="majorBidi" w:cstheme="majorBidi"/>
          <w:sz w:val="24"/>
          <w:szCs w:val="24"/>
        </w:rPr>
        <w:t>in 223 patients</w:t>
      </w:r>
      <w:r w:rsidRPr="00221123">
        <w:rPr>
          <w:rFonts w:asciiTheme="majorBidi" w:hAnsiTheme="majorBidi" w:cstheme="majorBidi"/>
          <w:sz w:val="24"/>
          <w:szCs w:val="24"/>
        </w:rPr>
        <w:t xml:space="preserve"> </w:t>
      </w:r>
      <w:r>
        <w:rPr>
          <w:rFonts w:asciiTheme="majorBidi" w:hAnsiTheme="majorBidi" w:cstheme="majorBidi"/>
          <w:sz w:val="24"/>
          <w:szCs w:val="24"/>
        </w:rPr>
        <w:t xml:space="preserve">(87%) </w:t>
      </w:r>
      <w:r w:rsidRPr="00221123">
        <w:rPr>
          <w:rFonts w:asciiTheme="majorBidi" w:hAnsiTheme="majorBidi" w:cstheme="majorBidi"/>
          <w:sz w:val="24"/>
          <w:szCs w:val="24"/>
        </w:rPr>
        <w:t>(</w:t>
      </w:r>
      <w:r w:rsidRPr="00221123">
        <w:rPr>
          <w:rFonts w:asciiTheme="majorBidi" w:hAnsiTheme="majorBidi" w:cstheme="majorBidi"/>
          <w:b/>
          <w:sz w:val="24"/>
          <w:szCs w:val="24"/>
        </w:rPr>
        <w:t xml:space="preserve">Fig </w:t>
      </w:r>
      <w:r>
        <w:rPr>
          <w:rFonts w:asciiTheme="majorBidi" w:hAnsiTheme="majorBidi" w:cstheme="majorBidi"/>
          <w:b/>
          <w:sz w:val="24"/>
          <w:szCs w:val="24"/>
        </w:rPr>
        <w:t>2</w:t>
      </w:r>
      <w:r w:rsidRPr="00221123">
        <w:rPr>
          <w:rFonts w:asciiTheme="majorBidi" w:hAnsiTheme="majorBidi" w:cstheme="majorBidi"/>
          <w:sz w:val="24"/>
          <w:szCs w:val="24"/>
        </w:rPr>
        <w:t>)</w:t>
      </w:r>
      <w:r>
        <w:rPr>
          <w:rFonts w:asciiTheme="majorBidi" w:hAnsiTheme="majorBidi" w:cstheme="majorBidi"/>
          <w:sz w:val="24"/>
          <w:szCs w:val="24"/>
        </w:rPr>
        <w:t xml:space="preserve">. Forty-eight patients had ≥1 failure; 11 (23%) </w:t>
      </w:r>
      <w:r>
        <w:rPr>
          <w:rFonts w:asciiTheme="majorBidi" w:hAnsiTheme="majorBidi" w:cstheme="majorBidi"/>
          <w:sz w:val="24"/>
          <w:szCs w:val="24"/>
        </w:rPr>
        <w:lastRenderedPageBreak/>
        <w:t xml:space="preserve">remained on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TKI (median follow-up,</w:t>
      </w:r>
      <w:r w:rsidRPr="00F117A7">
        <w:rPr>
          <w:rFonts w:asciiTheme="majorBidi" w:hAnsiTheme="majorBidi" w:cstheme="majorBidi"/>
          <w:sz w:val="24"/>
          <w:szCs w:val="24"/>
        </w:rPr>
        <w:t xml:space="preserve"> 13.8 months [</w:t>
      </w:r>
      <w:r>
        <w:rPr>
          <w:rFonts w:asciiTheme="majorBidi" w:hAnsiTheme="majorBidi" w:cstheme="majorBidi"/>
          <w:sz w:val="24"/>
          <w:szCs w:val="24"/>
        </w:rPr>
        <w:t xml:space="preserve">IQR, </w:t>
      </w:r>
      <w:r w:rsidRPr="00F117A7">
        <w:rPr>
          <w:rFonts w:asciiTheme="majorBidi" w:hAnsiTheme="majorBidi" w:cstheme="majorBidi"/>
          <w:sz w:val="24"/>
          <w:szCs w:val="24"/>
        </w:rPr>
        <w:t>12.8-25.9])</w:t>
      </w:r>
      <w:r>
        <w:rPr>
          <w:rFonts w:asciiTheme="majorBidi" w:hAnsiTheme="majorBidi" w:cstheme="majorBidi"/>
          <w:sz w:val="24"/>
          <w:szCs w:val="24"/>
        </w:rPr>
        <w:t xml:space="preserve">, and 37 (77%) switched TKIs (median follow-up, </w:t>
      </w:r>
      <w:r w:rsidRPr="00F117A7">
        <w:rPr>
          <w:rFonts w:asciiTheme="majorBidi" w:hAnsiTheme="majorBidi" w:cstheme="majorBidi"/>
          <w:sz w:val="24"/>
          <w:szCs w:val="24"/>
        </w:rPr>
        <w:t>25.1 months [</w:t>
      </w:r>
      <w:r>
        <w:rPr>
          <w:rFonts w:asciiTheme="majorBidi" w:hAnsiTheme="majorBidi" w:cstheme="majorBidi"/>
          <w:sz w:val="24"/>
          <w:szCs w:val="24"/>
        </w:rPr>
        <w:t xml:space="preserve">IQR, </w:t>
      </w:r>
      <w:r w:rsidRPr="00F117A7">
        <w:rPr>
          <w:rFonts w:asciiTheme="majorBidi" w:hAnsiTheme="majorBidi" w:cstheme="majorBidi"/>
          <w:sz w:val="24"/>
          <w:szCs w:val="24"/>
        </w:rPr>
        <w:t>14.3-32.6])</w:t>
      </w:r>
      <w:r>
        <w:rPr>
          <w:rFonts w:asciiTheme="majorBidi" w:hAnsiTheme="majorBidi" w:cstheme="majorBidi"/>
          <w:sz w:val="24"/>
          <w:szCs w:val="24"/>
        </w:rPr>
        <w:t xml:space="preserve">. </w:t>
      </w:r>
    </w:p>
    <w:p w:rsidR="00B331A1" w:rsidRDefault="00B331A1" w:rsidP="00B331A1">
      <w:pPr>
        <w:spacing w:line="480" w:lineRule="auto"/>
        <w:rPr>
          <w:rFonts w:asciiTheme="majorBidi" w:hAnsiTheme="majorBidi" w:cstheme="majorBidi"/>
          <w:i/>
          <w:sz w:val="24"/>
          <w:szCs w:val="24"/>
        </w:rPr>
      </w:pPr>
    </w:p>
    <w:p w:rsidR="00B331A1" w:rsidRDefault="00B331A1" w:rsidP="00B331A1">
      <w:pPr>
        <w:spacing w:line="480" w:lineRule="auto"/>
        <w:rPr>
          <w:rFonts w:asciiTheme="majorBidi" w:hAnsiTheme="majorBidi" w:cstheme="majorBidi"/>
          <w:sz w:val="24"/>
          <w:szCs w:val="24"/>
        </w:rPr>
      </w:pPr>
      <w:proofErr w:type="gramStart"/>
      <w:r>
        <w:rPr>
          <w:rFonts w:asciiTheme="majorBidi" w:hAnsiTheme="majorBidi" w:cstheme="majorBidi"/>
          <w:i/>
          <w:sz w:val="24"/>
          <w:szCs w:val="24"/>
        </w:rPr>
        <w:t>Second-line</w:t>
      </w:r>
      <w:proofErr w:type="gramEnd"/>
      <w:r>
        <w:rPr>
          <w:rFonts w:asciiTheme="majorBidi" w:hAnsiTheme="majorBidi" w:cstheme="majorBidi"/>
          <w:i/>
          <w:sz w:val="24"/>
          <w:szCs w:val="24"/>
        </w:rPr>
        <w:t xml:space="preserve"> TKI therapy</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At least one TKI switch occurred in 113 patients (44%); </w:t>
      </w:r>
      <w:r w:rsidRPr="000510F9">
        <w:rPr>
          <w:rFonts w:asciiTheme="majorBidi" w:hAnsiTheme="majorBidi" w:cstheme="majorBidi"/>
          <w:sz w:val="24"/>
          <w:szCs w:val="24"/>
        </w:rPr>
        <w:t>54 (21%) switch</w:t>
      </w:r>
      <w:r>
        <w:rPr>
          <w:rFonts w:asciiTheme="majorBidi" w:hAnsiTheme="majorBidi" w:cstheme="majorBidi"/>
          <w:sz w:val="24"/>
          <w:szCs w:val="24"/>
        </w:rPr>
        <w:t>ed</w:t>
      </w:r>
      <w:r w:rsidRPr="000510F9">
        <w:rPr>
          <w:rFonts w:asciiTheme="majorBidi" w:hAnsiTheme="majorBidi" w:cstheme="majorBidi"/>
          <w:sz w:val="24"/>
          <w:szCs w:val="24"/>
        </w:rPr>
        <w:t xml:space="preserve"> more than once. </w:t>
      </w:r>
      <w:r>
        <w:rPr>
          <w:rFonts w:asciiTheme="majorBidi" w:hAnsiTheme="majorBidi" w:cstheme="majorBidi"/>
          <w:sz w:val="24"/>
          <w:szCs w:val="24"/>
        </w:rPr>
        <w:t>R</w:t>
      </w:r>
      <w:r w:rsidRPr="000510F9">
        <w:rPr>
          <w:rFonts w:asciiTheme="majorBidi" w:hAnsiTheme="majorBidi" w:cstheme="majorBidi"/>
          <w:sz w:val="24"/>
          <w:szCs w:val="24"/>
        </w:rPr>
        <w:t xml:space="preserve">easons for the first switch were resistance in 73 (65%), intolerance in </w:t>
      </w:r>
      <w:r>
        <w:rPr>
          <w:rFonts w:asciiTheme="majorBidi" w:hAnsiTheme="majorBidi" w:cstheme="majorBidi"/>
          <w:sz w:val="24"/>
          <w:szCs w:val="24"/>
        </w:rPr>
        <w:t>38</w:t>
      </w:r>
      <w:r w:rsidRPr="000510F9">
        <w:rPr>
          <w:rFonts w:asciiTheme="majorBidi" w:hAnsiTheme="majorBidi" w:cstheme="majorBidi"/>
          <w:sz w:val="24"/>
          <w:szCs w:val="24"/>
        </w:rPr>
        <w:t xml:space="preserve"> (3</w:t>
      </w:r>
      <w:r>
        <w:rPr>
          <w:rFonts w:asciiTheme="majorBidi" w:hAnsiTheme="majorBidi" w:cstheme="majorBidi"/>
          <w:sz w:val="24"/>
          <w:szCs w:val="24"/>
        </w:rPr>
        <w:t>4</w:t>
      </w:r>
      <w:r w:rsidRPr="000510F9">
        <w:rPr>
          <w:rFonts w:asciiTheme="majorBidi" w:hAnsiTheme="majorBidi" w:cstheme="majorBidi"/>
          <w:sz w:val="24"/>
          <w:szCs w:val="24"/>
        </w:rPr>
        <w:t xml:space="preserve">%) and other reasons in 2 (2%) </w:t>
      </w:r>
      <w:r w:rsidRPr="008A61E1">
        <w:rPr>
          <w:rFonts w:asciiTheme="majorBidi" w:hAnsiTheme="majorBidi" w:cstheme="majorBidi"/>
          <w:sz w:val="24"/>
          <w:szCs w:val="24"/>
        </w:rPr>
        <w:t>(</w:t>
      </w:r>
      <w:r w:rsidRPr="002D04C5">
        <w:rPr>
          <w:rFonts w:asciiTheme="majorBidi" w:hAnsiTheme="majorBidi" w:cstheme="majorBidi"/>
          <w:b/>
          <w:sz w:val="24"/>
          <w:szCs w:val="24"/>
        </w:rPr>
        <w:t xml:space="preserve">Supplementary </w:t>
      </w:r>
      <w:r w:rsidRPr="008A61E1">
        <w:rPr>
          <w:rFonts w:asciiTheme="majorBidi" w:hAnsiTheme="majorBidi" w:cstheme="majorBidi"/>
          <w:b/>
          <w:sz w:val="24"/>
          <w:szCs w:val="24"/>
        </w:rPr>
        <w:t>Table</w:t>
      </w:r>
      <w:r>
        <w:rPr>
          <w:rFonts w:asciiTheme="majorBidi" w:hAnsiTheme="majorBidi" w:cstheme="majorBidi"/>
          <w:b/>
          <w:sz w:val="24"/>
          <w:szCs w:val="24"/>
        </w:rPr>
        <w:t xml:space="preserve"> III</w:t>
      </w:r>
      <w:r w:rsidRPr="008A61E1">
        <w:rPr>
          <w:rFonts w:asciiTheme="majorBidi" w:hAnsiTheme="majorBidi" w:cstheme="majorBidi"/>
          <w:sz w:val="24"/>
          <w:szCs w:val="24"/>
        </w:rPr>
        <w:t>).</w:t>
      </w:r>
      <w:r>
        <w:rPr>
          <w:rFonts w:asciiTheme="majorBidi" w:hAnsiTheme="majorBidi" w:cstheme="majorBidi"/>
          <w:sz w:val="24"/>
          <w:szCs w:val="24"/>
        </w:rPr>
        <w:t xml:space="preserve"> </w:t>
      </w:r>
      <w:r w:rsidRPr="003D1709">
        <w:rPr>
          <w:rFonts w:asciiTheme="majorBidi" w:hAnsiTheme="majorBidi" w:cstheme="majorBidi"/>
          <w:i/>
          <w:iCs/>
          <w:sz w:val="24"/>
          <w:szCs w:val="24"/>
        </w:rPr>
        <w:t>BCR-ABL1</w:t>
      </w:r>
      <w:r>
        <w:rPr>
          <w:rFonts w:asciiTheme="majorBidi" w:hAnsiTheme="majorBidi" w:cstheme="majorBidi"/>
          <w:sz w:val="24"/>
          <w:szCs w:val="24"/>
        </w:rPr>
        <w:t xml:space="preserve"> kinase domain m</w:t>
      </w:r>
      <w:r w:rsidRPr="008E618E">
        <w:rPr>
          <w:rFonts w:asciiTheme="majorBidi" w:hAnsiTheme="majorBidi" w:cstheme="majorBidi"/>
          <w:sz w:val="24"/>
          <w:szCs w:val="24"/>
        </w:rPr>
        <w:t xml:space="preserve">utational analysis was performed prior to the first switch in 24 </w:t>
      </w:r>
      <w:r>
        <w:rPr>
          <w:rFonts w:asciiTheme="majorBidi" w:hAnsiTheme="majorBidi" w:cstheme="majorBidi"/>
          <w:sz w:val="24"/>
          <w:szCs w:val="24"/>
        </w:rPr>
        <w:t xml:space="preserve">patients </w:t>
      </w:r>
      <w:r w:rsidRPr="008E618E">
        <w:rPr>
          <w:rFonts w:asciiTheme="majorBidi" w:hAnsiTheme="majorBidi" w:cstheme="majorBidi"/>
          <w:sz w:val="24"/>
          <w:szCs w:val="24"/>
        </w:rPr>
        <w:t>(21%), including 20 (27%) who switched due to resistance and 4 (10%) who switched due to intolerance or other reasons</w:t>
      </w:r>
      <w:r w:rsidRPr="001B749D">
        <w:rPr>
          <w:rFonts w:asciiTheme="majorBidi" w:hAnsiTheme="majorBidi" w:cstheme="majorBidi"/>
          <w:sz w:val="24"/>
          <w:szCs w:val="24"/>
        </w:rPr>
        <w:t>.</w:t>
      </w:r>
      <w:r>
        <w:rPr>
          <w:rFonts w:asciiTheme="majorBidi" w:hAnsiTheme="majorBidi" w:cstheme="majorBidi"/>
          <w:sz w:val="24"/>
          <w:szCs w:val="24"/>
        </w:rPr>
        <w:t xml:space="preserve"> Thirteen patients (12%) switched to imatinib, 68 (60%) to nilotinib, 20 (18%) to </w:t>
      </w:r>
      <w:proofErr w:type="spellStart"/>
      <w:r>
        <w:rPr>
          <w:rFonts w:asciiTheme="majorBidi" w:hAnsiTheme="majorBidi" w:cstheme="majorBidi"/>
          <w:sz w:val="24"/>
          <w:szCs w:val="24"/>
        </w:rPr>
        <w:t>dasatinib</w:t>
      </w:r>
      <w:proofErr w:type="spellEnd"/>
      <w:r>
        <w:rPr>
          <w:rFonts w:asciiTheme="majorBidi" w:hAnsiTheme="majorBidi" w:cstheme="majorBidi"/>
          <w:sz w:val="24"/>
          <w:szCs w:val="24"/>
        </w:rPr>
        <w:t>, 11 (10%) to bosutinib and one (1%) to ponatinib (</w:t>
      </w:r>
      <w:r w:rsidRPr="006210EA">
        <w:rPr>
          <w:rFonts w:asciiTheme="majorBidi" w:hAnsiTheme="majorBidi" w:cstheme="majorBidi"/>
          <w:b/>
          <w:sz w:val="24"/>
          <w:szCs w:val="24"/>
        </w:rPr>
        <w:t xml:space="preserve">Supplementary Table </w:t>
      </w:r>
      <w:r>
        <w:rPr>
          <w:rFonts w:asciiTheme="majorBidi" w:hAnsiTheme="majorBidi" w:cstheme="majorBidi"/>
          <w:b/>
          <w:sz w:val="24"/>
          <w:szCs w:val="24"/>
        </w:rPr>
        <w:t>IV)</w:t>
      </w:r>
      <w:r>
        <w:rPr>
          <w:rFonts w:asciiTheme="majorBidi" w:hAnsiTheme="majorBidi" w:cstheme="majorBidi"/>
          <w:sz w:val="24"/>
          <w:szCs w:val="24"/>
        </w:rPr>
        <w:t xml:space="preserve">. For patients receiving second-line imatinib, nilotinib, </w:t>
      </w:r>
      <w:proofErr w:type="spellStart"/>
      <w:r>
        <w:rPr>
          <w:rFonts w:asciiTheme="majorBidi" w:hAnsiTheme="majorBidi" w:cstheme="majorBidi"/>
          <w:sz w:val="24"/>
          <w:szCs w:val="24"/>
        </w:rPr>
        <w:t>dasatinib</w:t>
      </w:r>
      <w:proofErr w:type="spellEnd"/>
      <w:r>
        <w:rPr>
          <w:rFonts w:asciiTheme="majorBidi" w:hAnsiTheme="majorBidi" w:cstheme="majorBidi"/>
          <w:sz w:val="24"/>
          <w:szCs w:val="24"/>
        </w:rPr>
        <w:t xml:space="preserve"> and bosutinib, median starting doses (range) were 400 (200-400), 600 (200-800), 100 (50-100) and 300 (100-500) mg/day, respectively.</w:t>
      </w:r>
    </w:p>
    <w:p w:rsidR="00B331A1" w:rsidRDefault="00B331A1" w:rsidP="00B331A1">
      <w:pPr>
        <w:spacing w:after="0" w:line="480" w:lineRule="auto"/>
        <w:rPr>
          <w:rFonts w:asciiTheme="majorBidi" w:hAnsiTheme="majorBidi" w:cstheme="majorBidi"/>
          <w:sz w:val="24"/>
          <w:szCs w:val="24"/>
        </w:rPr>
      </w:pPr>
      <w:r>
        <w:rPr>
          <w:rFonts w:asciiTheme="majorBidi" w:hAnsiTheme="majorBidi" w:cstheme="majorBidi"/>
          <w:sz w:val="24"/>
          <w:szCs w:val="24"/>
        </w:rPr>
        <w:t xml:space="preserve">Median follow-up duration after switching to second TKI was 23.7 months (range, 1.2-54.1) </w:t>
      </w:r>
      <w:r w:rsidRPr="008A61E1">
        <w:rPr>
          <w:rFonts w:asciiTheme="majorBidi" w:hAnsiTheme="majorBidi" w:cstheme="majorBidi"/>
          <w:sz w:val="24"/>
          <w:szCs w:val="24"/>
        </w:rPr>
        <w:t>(</w:t>
      </w:r>
      <w:r w:rsidRPr="008A61E1">
        <w:rPr>
          <w:rFonts w:asciiTheme="majorBidi" w:hAnsiTheme="majorBidi" w:cstheme="majorBidi"/>
          <w:b/>
          <w:sz w:val="24"/>
          <w:szCs w:val="24"/>
        </w:rPr>
        <w:t xml:space="preserve">Table </w:t>
      </w:r>
      <w:r>
        <w:rPr>
          <w:rFonts w:asciiTheme="majorBidi" w:hAnsiTheme="majorBidi" w:cstheme="majorBidi"/>
          <w:b/>
          <w:sz w:val="24"/>
          <w:szCs w:val="24"/>
        </w:rPr>
        <w:t>V</w:t>
      </w:r>
      <w:r w:rsidRPr="008A61E1">
        <w:rPr>
          <w:rFonts w:asciiTheme="majorBidi" w:hAnsiTheme="majorBidi" w:cstheme="majorBidi"/>
          <w:sz w:val="24"/>
          <w:szCs w:val="24"/>
        </w:rPr>
        <w:t>).</w:t>
      </w:r>
      <w:r>
        <w:rPr>
          <w:rFonts w:asciiTheme="majorBidi" w:hAnsiTheme="majorBidi" w:cstheme="majorBidi"/>
          <w:sz w:val="24"/>
          <w:szCs w:val="24"/>
        </w:rPr>
        <w:t xml:space="preserve"> </w:t>
      </w:r>
      <w:r w:rsidRPr="00D64C81">
        <w:rPr>
          <w:rFonts w:asciiTheme="majorBidi" w:hAnsiTheme="majorBidi" w:cstheme="majorBidi"/>
          <w:sz w:val="24"/>
          <w:szCs w:val="24"/>
        </w:rPr>
        <w:t>MMR at any time and DMR at any time w</w:t>
      </w:r>
      <w:r>
        <w:rPr>
          <w:rFonts w:asciiTheme="majorBidi" w:hAnsiTheme="majorBidi" w:cstheme="majorBidi"/>
          <w:sz w:val="24"/>
          <w:szCs w:val="24"/>
        </w:rPr>
        <w:t>ere</w:t>
      </w:r>
      <w:r w:rsidRPr="00D64C81">
        <w:rPr>
          <w:rFonts w:asciiTheme="majorBidi" w:hAnsiTheme="majorBidi" w:cstheme="majorBidi"/>
          <w:sz w:val="24"/>
          <w:szCs w:val="24"/>
        </w:rPr>
        <w:t xml:space="preserve"> observed</w:t>
      </w:r>
      <w:r>
        <w:rPr>
          <w:rFonts w:asciiTheme="majorBidi" w:hAnsiTheme="majorBidi" w:cstheme="majorBidi"/>
          <w:sz w:val="24"/>
          <w:szCs w:val="24"/>
        </w:rPr>
        <w:t xml:space="preserve"> </w:t>
      </w:r>
      <w:r w:rsidRPr="00D64C81">
        <w:rPr>
          <w:rFonts w:asciiTheme="majorBidi" w:hAnsiTheme="majorBidi" w:cstheme="majorBidi"/>
          <w:sz w:val="24"/>
          <w:szCs w:val="24"/>
        </w:rPr>
        <w:t xml:space="preserve">in </w:t>
      </w:r>
      <w:r>
        <w:rPr>
          <w:rFonts w:asciiTheme="majorBidi" w:hAnsiTheme="majorBidi" w:cstheme="majorBidi"/>
          <w:sz w:val="24"/>
          <w:szCs w:val="24"/>
        </w:rPr>
        <w:t>37/51 (73%)</w:t>
      </w:r>
      <w:r w:rsidRPr="00D64C81">
        <w:rPr>
          <w:rFonts w:asciiTheme="majorBidi" w:hAnsiTheme="majorBidi" w:cstheme="majorBidi"/>
          <w:sz w:val="24"/>
          <w:szCs w:val="24"/>
        </w:rPr>
        <w:t xml:space="preserve"> and </w:t>
      </w:r>
      <w:r>
        <w:rPr>
          <w:rFonts w:asciiTheme="majorBidi" w:hAnsiTheme="majorBidi" w:cstheme="majorBidi"/>
          <w:sz w:val="24"/>
          <w:szCs w:val="24"/>
        </w:rPr>
        <w:t>21/51 (41%)</w:t>
      </w:r>
      <w:r w:rsidRPr="00D64C81">
        <w:rPr>
          <w:rFonts w:asciiTheme="majorBidi" w:hAnsiTheme="majorBidi" w:cstheme="majorBidi"/>
          <w:sz w:val="24"/>
          <w:szCs w:val="24"/>
        </w:rPr>
        <w:t xml:space="preserve"> patients</w:t>
      </w:r>
      <w:r>
        <w:rPr>
          <w:rFonts w:asciiTheme="majorBidi" w:hAnsiTheme="majorBidi" w:cstheme="majorBidi"/>
          <w:sz w:val="24"/>
          <w:szCs w:val="24"/>
        </w:rPr>
        <w:t xml:space="preserve"> with ≥13 months’ follow-up on second line</w:t>
      </w:r>
      <w:r w:rsidRPr="00FA457C">
        <w:rPr>
          <w:rFonts w:asciiTheme="majorBidi" w:hAnsiTheme="majorBidi" w:cstheme="majorBidi"/>
          <w:sz w:val="24"/>
          <w:szCs w:val="24"/>
        </w:rPr>
        <w:t xml:space="preserve">. </w:t>
      </w:r>
      <w:r>
        <w:rPr>
          <w:rFonts w:asciiTheme="majorBidi" w:hAnsiTheme="majorBidi" w:cstheme="majorBidi"/>
          <w:sz w:val="24"/>
          <w:szCs w:val="24"/>
        </w:rPr>
        <w:t xml:space="preserve">Molecular responses to </w:t>
      </w:r>
      <w:proofErr w:type="gramStart"/>
      <w:r>
        <w:rPr>
          <w:rFonts w:asciiTheme="majorBidi" w:hAnsiTheme="majorBidi" w:cstheme="majorBidi"/>
          <w:sz w:val="24"/>
          <w:szCs w:val="24"/>
        </w:rPr>
        <w:t>second-line</w:t>
      </w:r>
      <w:proofErr w:type="gramEnd"/>
      <w:r>
        <w:rPr>
          <w:rFonts w:asciiTheme="majorBidi" w:hAnsiTheme="majorBidi" w:cstheme="majorBidi"/>
          <w:sz w:val="24"/>
          <w:szCs w:val="24"/>
        </w:rPr>
        <w:t xml:space="preserve"> TKI for all patients regardless of follow-up</w:t>
      </w:r>
      <w:r w:rsidRPr="004B0D43">
        <w:rPr>
          <w:rFonts w:asciiTheme="majorBidi" w:hAnsiTheme="majorBidi" w:cstheme="majorBidi"/>
          <w:sz w:val="24"/>
          <w:szCs w:val="24"/>
        </w:rPr>
        <w:t xml:space="preserve"> </w:t>
      </w:r>
      <w:r>
        <w:rPr>
          <w:rFonts w:asciiTheme="majorBidi" w:hAnsiTheme="majorBidi" w:cstheme="majorBidi"/>
          <w:sz w:val="24"/>
          <w:szCs w:val="24"/>
        </w:rPr>
        <w:t xml:space="preserve">duration are shown in </w:t>
      </w:r>
      <w:r w:rsidRPr="004F604A">
        <w:rPr>
          <w:rFonts w:asciiTheme="majorBidi" w:hAnsiTheme="majorBidi" w:cstheme="majorBidi"/>
          <w:b/>
          <w:bCs/>
          <w:sz w:val="24"/>
          <w:szCs w:val="24"/>
        </w:rPr>
        <w:t xml:space="preserve">Supplementary Table </w:t>
      </w:r>
      <w:r>
        <w:rPr>
          <w:rFonts w:asciiTheme="majorBidi" w:hAnsiTheme="majorBidi" w:cstheme="majorBidi"/>
          <w:b/>
          <w:bCs/>
          <w:sz w:val="24"/>
          <w:szCs w:val="24"/>
        </w:rPr>
        <w:t>V</w:t>
      </w:r>
      <w:r w:rsidRPr="004B0D43">
        <w:rPr>
          <w:rFonts w:asciiTheme="majorBidi" w:hAnsiTheme="majorBidi" w:cstheme="majorBidi"/>
          <w:sz w:val="24"/>
          <w:szCs w:val="24"/>
        </w:rPr>
        <w:t>.</w:t>
      </w:r>
      <w:r>
        <w:rPr>
          <w:rFonts w:asciiTheme="majorBidi" w:hAnsiTheme="majorBidi" w:cstheme="majorBidi"/>
          <w:sz w:val="24"/>
          <w:szCs w:val="24"/>
        </w:rPr>
        <w:t xml:space="preserve"> </w:t>
      </w:r>
    </w:p>
    <w:p w:rsidR="00B331A1" w:rsidRDefault="00B331A1" w:rsidP="00B331A1">
      <w:pPr>
        <w:spacing w:line="480" w:lineRule="auto"/>
        <w:rPr>
          <w:rFonts w:asciiTheme="majorBidi" w:hAnsiTheme="majorBidi" w:cstheme="majorBidi"/>
          <w:sz w:val="24"/>
          <w:szCs w:val="24"/>
        </w:rPr>
      </w:pPr>
      <w:r w:rsidRPr="005D127E">
        <w:rPr>
          <w:rFonts w:asciiTheme="majorBidi" w:hAnsiTheme="majorBidi" w:cstheme="majorBidi"/>
          <w:sz w:val="24"/>
          <w:szCs w:val="24"/>
        </w:rPr>
        <w:t>Of 113 patients</w:t>
      </w:r>
      <w:r>
        <w:rPr>
          <w:rFonts w:asciiTheme="majorBidi" w:hAnsiTheme="majorBidi" w:cstheme="majorBidi"/>
          <w:sz w:val="24"/>
          <w:szCs w:val="24"/>
        </w:rPr>
        <w:t xml:space="preserve"> who switched TKI at least once, 18 (16%) had failure on second-line TKI (</w:t>
      </w:r>
      <w:r w:rsidRPr="004F604A">
        <w:rPr>
          <w:rFonts w:asciiTheme="majorBidi" w:hAnsiTheme="majorBidi" w:cstheme="majorBidi"/>
          <w:b/>
          <w:bCs/>
          <w:sz w:val="24"/>
          <w:szCs w:val="24"/>
        </w:rPr>
        <w:t>Supplementary Fig 1</w:t>
      </w:r>
      <w:r>
        <w:rPr>
          <w:rFonts w:asciiTheme="majorBidi" w:hAnsiTheme="majorBidi" w:cstheme="majorBidi"/>
          <w:sz w:val="24"/>
          <w:szCs w:val="24"/>
        </w:rPr>
        <w:t>); 7 (39%) remained on that TKI (median follow-up, 24.3 months [IQR, 11.6-31.0]), while 11 (61%) switched again (median follow-up, 27.5 months [IQR, 16.4-33.8]).</w:t>
      </w:r>
    </w:p>
    <w:p w:rsidR="00B331A1" w:rsidRPr="00D303FB" w:rsidRDefault="00B331A1" w:rsidP="00B331A1">
      <w:pPr>
        <w:spacing w:line="480" w:lineRule="auto"/>
        <w:rPr>
          <w:rFonts w:asciiTheme="majorBidi" w:hAnsiTheme="majorBidi" w:cstheme="majorBidi"/>
          <w:sz w:val="24"/>
          <w:szCs w:val="24"/>
        </w:rPr>
      </w:pPr>
    </w:p>
    <w:p w:rsidR="00B331A1" w:rsidRPr="00E62B40" w:rsidRDefault="00B331A1" w:rsidP="00B331A1">
      <w:pPr>
        <w:keepNext/>
        <w:spacing w:line="480" w:lineRule="auto"/>
        <w:rPr>
          <w:rFonts w:asciiTheme="majorBidi" w:hAnsiTheme="majorBidi" w:cstheme="majorBidi"/>
          <w:i/>
          <w:sz w:val="24"/>
          <w:szCs w:val="24"/>
        </w:rPr>
      </w:pPr>
      <w:r w:rsidRPr="00E62B40">
        <w:rPr>
          <w:rFonts w:asciiTheme="majorBidi" w:hAnsiTheme="majorBidi" w:cstheme="majorBidi"/>
          <w:i/>
          <w:sz w:val="24"/>
          <w:szCs w:val="24"/>
        </w:rPr>
        <w:lastRenderedPageBreak/>
        <w:t>Overall TKI pathways</w:t>
      </w:r>
    </w:p>
    <w:p w:rsidR="00B331A1" w:rsidRPr="007B08AF"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Among all patients, </w:t>
      </w:r>
      <w:r w:rsidRPr="00DB4D7D">
        <w:rPr>
          <w:rFonts w:asciiTheme="majorBidi" w:hAnsiTheme="majorBidi" w:cstheme="majorBidi"/>
          <w:sz w:val="24"/>
          <w:szCs w:val="24"/>
        </w:rPr>
        <w:t>144 (56%)</w:t>
      </w:r>
      <w:r>
        <w:rPr>
          <w:rFonts w:asciiTheme="majorBidi" w:hAnsiTheme="majorBidi" w:cstheme="majorBidi"/>
          <w:sz w:val="24"/>
          <w:szCs w:val="24"/>
        </w:rPr>
        <w:t xml:space="preserve"> received only a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TKI, and </w:t>
      </w:r>
      <w:r w:rsidRPr="00760472">
        <w:rPr>
          <w:rFonts w:asciiTheme="majorBidi" w:hAnsiTheme="majorBidi" w:cstheme="majorBidi"/>
          <w:sz w:val="24"/>
          <w:szCs w:val="24"/>
        </w:rPr>
        <w:t xml:space="preserve">59 (23%), 35 (14%), 16 (6%) and 3 (1%) received </w:t>
      </w:r>
      <w:r>
        <w:rPr>
          <w:rFonts w:asciiTheme="majorBidi" w:hAnsiTheme="majorBidi" w:cstheme="majorBidi"/>
          <w:sz w:val="24"/>
          <w:szCs w:val="24"/>
        </w:rPr>
        <w:t xml:space="preserve">2, 3, 4 and </w:t>
      </w:r>
      <w:r w:rsidRPr="00760472">
        <w:rPr>
          <w:rFonts w:asciiTheme="majorBidi" w:hAnsiTheme="majorBidi" w:cstheme="majorBidi"/>
          <w:sz w:val="24"/>
          <w:szCs w:val="24"/>
        </w:rPr>
        <w:t>5 TKIs</w:t>
      </w:r>
      <w:r>
        <w:rPr>
          <w:rFonts w:asciiTheme="majorBidi" w:hAnsiTheme="majorBidi" w:cstheme="majorBidi"/>
          <w:sz w:val="24"/>
          <w:szCs w:val="24"/>
        </w:rPr>
        <w:t xml:space="preserve">, respectively; sequences of TKI received are described in </w:t>
      </w:r>
      <w:r w:rsidRPr="006210EA">
        <w:rPr>
          <w:rFonts w:asciiTheme="majorBidi" w:hAnsiTheme="majorBidi" w:cstheme="majorBidi"/>
          <w:b/>
          <w:sz w:val="24"/>
          <w:szCs w:val="24"/>
        </w:rPr>
        <w:t xml:space="preserve">Supplementary Table </w:t>
      </w:r>
      <w:r>
        <w:rPr>
          <w:rFonts w:asciiTheme="majorBidi" w:hAnsiTheme="majorBidi" w:cstheme="majorBidi"/>
          <w:b/>
          <w:sz w:val="24"/>
          <w:szCs w:val="24"/>
        </w:rPr>
        <w:t>IV</w:t>
      </w:r>
      <w:r w:rsidRPr="00760472">
        <w:rPr>
          <w:rFonts w:asciiTheme="majorBidi" w:hAnsiTheme="majorBidi" w:cstheme="majorBidi"/>
          <w:sz w:val="24"/>
          <w:szCs w:val="24"/>
        </w:rPr>
        <w:t>.</w:t>
      </w:r>
      <w:r>
        <w:rPr>
          <w:rFonts w:asciiTheme="majorBidi" w:hAnsiTheme="majorBidi" w:cstheme="majorBidi"/>
          <w:sz w:val="24"/>
          <w:szCs w:val="24"/>
        </w:rPr>
        <w:t xml:space="preserve"> Eleven patients</w:t>
      </w:r>
      <w:r w:rsidRPr="00DB4D7D">
        <w:rPr>
          <w:rFonts w:asciiTheme="majorBidi" w:hAnsiTheme="majorBidi" w:cstheme="majorBidi"/>
          <w:sz w:val="24"/>
          <w:szCs w:val="24"/>
        </w:rPr>
        <w:t xml:space="preserve"> received the same TKI </w:t>
      </w:r>
      <w:r>
        <w:rPr>
          <w:rFonts w:asciiTheme="majorBidi" w:hAnsiTheme="majorBidi" w:cstheme="majorBidi"/>
          <w:sz w:val="24"/>
          <w:szCs w:val="24"/>
        </w:rPr>
        <w:t>in</w:t>
      </w:r>
      <w:r w:rsidRPr="00DB4D7D">
        <w:rPr>
          <w:rFonts w:asciiTheme="majorBidi" w:hAnsiTheme="majorBidi" w:cstheme="majorBidi"/>
          <w:sz w:val="24"/>
          <w:szCs w:val="24"/>
        </w:rPr>
        <w:t xml:space="preserve"> multiple lines of therapy.</w:t>
      </w:r>
    </w:p>
    <w:p w:rsidR="00B331A1" w:rsidRDefault="00B331A1" w:rsidP="00B331A1">
      <w:pPr>
        <w:spacing w:line="480" w:lineRule="auto"/>
        <w:rPr>
          <w:rFonts w:asciiTheme="majorBidi" w:hAnsiTheme="majorBidi" w:cstheme="majorBidi"/>
          <w:sz w:val="24"/>
          <w:szCs w:val="24"/>
        </w:rPr>
      </w:pP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i/>
          <w:sz w:val="24"/>
          <w:szCs w:val="24"/>
        </w:rPr>
        <w:t>Disease progression</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Ten patients progressed to </w:t>
      </w:r>
      <w:r w:rsidRPr="00EB7769">
        <w:rPr>
          <w:rFonts w:asciiTheme="majorBidi" w:hAnsiTheme="majorBidi" w:cstheme="majorBidi"/>
          <w:sz w:val="24"/>
          <w:szCs w:val="24"/>
        </w:rPr>
        <w:t xml:space="preserve">AP </w:t>
      </w:r>
      <w:r>
        <w:rPr>
          <w:rFonts w:asciiTheme="majorBidi" w:hAnsiTheme="majorBidi" w:cstheme="majorBidi"/>
          <w:sz w:val="24"/>
          <w:szCs w:val="24"/>
        </w:rPr>
        <w:t xml:space="preserve">and/or </w:t>
      </w:r>
      <w:r w:rsidRPr="00EB7769">
        <w:rPr>
          <w:rFonts w:asciiTheme="majorBidi" w:hAnsiTheme="majorBidi" w:cstheme="majorBidi"/>
          <w:sz w:val="24"/>
          <w:szCs w:val="24"/>
        </w:rPr>
        <w:t>BP</w:t>
      </w:r>
      <w:r>
        <w:rPr>
          <w:rFonts w:asciiTheme="majorBidi" w:hAnsiTheme="majorBidi" w:cstheme="majorBidi"/>
          <w:sz w:val="24"/>
          <w:szCs w:val="24"/>
        </w:rPr>
        <w:t xml:space="preserve">, and 15 patients died (10 in CP and 5 after progression). Survival outcomes and treatments to manage progression are summarized in </w:t>
      </w:r>
      <w:r w:rsidRPr="006210EA">
        <w:rPr>
          <w:rFonts w:asciiTheme="majorBidi" w:hAnsiTheme="majorBidi" w:cstheme="majorBidi"/>
          <w:b/>
          <w:sz w:val="24"/>
          <w:szCs w:val="24"/>
        </w:rPr>
        <w:t>Fig</w:t>
      </w:r>
      <w:r>
        <w:rPr>
          <w:rFonts w:asciiTheme="majorBidi" w:hAnsiTheme="majorBidi" w:cstheme="majorBidi"/>
          <w:b/>
          <w:sz w:val="24"/>
          <w:szCs w:val="24"/>
        </w:rPr>
        <w:t xml:space="preserve"> 3</w:t>
      </w:r>
      <w:r>
        <w:rPr>
          <w:rFonts w:asciiTheme="majorBidi" w:hAnsiTheme="majorBidi" w:cstheme="majorBidi"/>
          <w:sz w:val="24"/>
          <w:szCs w:val="24"/>
        </w:rPr>
        <w:t xml:space="preserve">. </w:t>
      </w:r>
    </w:p>
    <w:p w:rsidR="00B331A1" w:rsidRDefault="00B331A1" w:rsidP="00B331A1">
      <w:pPr>
        <w:spacing w:line="480" w:lineRule="auto"/>
        <w:rPr>
          <w:rFonts w:asciiTheme="majorBidi" w:hAnsiTheme="majorBidi" w:cstheme="majorBidi"/>
          <w:sz w:val="24"/>
          <w:szCs w:val="24"/>
        </w:rPr>
      </w:pPr>
    </w:p>
    <w:p w:rsidR="00B331A1" w:rsidRDefault="00B331A1" w:rsidP="00B331A1">
      <w:pPr>
        <w:keepNext/>
        <w:spacing w:line="480" w:lineRule="auto"/>
        <w:rPr>
          <w:rFonts w:asciiTheme="majorBidi" w:hAnsiTheme="majorBidi" w:cstheme="majorBidi"/>
          <w:sz w:val="24"/>
          <w:szCs w:val="24"/>
        </w:rPr>
      </w:pPr>
      <w:r>
        <w:rPr>
          <w:rFonts w:asciiTheme="majorBidi" w:hAnsiTheme="majorBidi" w:cstheme="majorBidi"/>
          <w:b/>
          <w:sz w:val="24"/>
          <w:szCs w:val="24"/>
        </w:rPr>
        <w:t>Discussion</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The management of CML has undergone dramatic changes; however, it remains unclear whether real-world practice in the UK has evolved with these developments. We conducted the UK TARGET CML study to assess this question, with a particular focus on (1) TKI treatment pathways, (2) implementation of ELN recommendations for molecular-based patient management, (3) attainment of DMR with first- and second-line TKI in real-world practice and (4) assessment of baseline CV risk factors. </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Despite relatively short median follow-up (&lt;33 months), almost half of patients switched from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TKI, most often due to resistance (65%). In addition, 21% of patients received ≥3 lines of TKIs. This frequency of TKI switching was somewhat higher than that observed in prospective clinical trials, such as the pivotal trial of frontline imatinib (International Randomized Study of Interferon and STI571 [IRIS]), </w:t>
      </w:r>
      <w:r w:rsidRPr="00667D2B">
        <w:rPr>
          <w:rFonts w:ascii="Times New Roman" w:hAnsi="Times New Roman" w:cs="Times New Roman"/>
          <w:sz w:val="24"/>
        </w:rPr>
        <w:t xml:space="preserve">which reported that </w:t>
      </w:r>
      <w:r w:rsidRPr="00667D2B">
        <w:rPr>
          <w:rFonts w:ascii="Times New Roman" w:hAnsi="Times New Roman" w:cs="Times New Roman"/>
          <w:color w:val="000000"/>
          <w:sz w:val="24"/>
          <w:lang w:eastAsia="es-ES"/>
        </w:rPr>
        <w:t>34%</w:t>
      </w:r>
      <w:r>
        <w:rPr>
          <w:rFonts w:ascii="Times New Roman" w:hAnsi="Times New Roman" w:cs="Times New Roman"/>
          <w:color w:val="000000"/>
          <w:sz w:val="24"/>
          <w:lang w:eastAsia="es-ES"/>
        </w:rPr>
        <w:t xml:space="preserve"> of</w:t>
      </w:r>
      <w:r w:rsidRPr="00667D2B">
        <w:rPr>
          <w:rFonts w:ascii="Times New Roman" w:hAnsi="Times New Roman" w:cs="Times New Roman"/>
          <w:color w:val="000000"/>
          <w:sz w:val="24"/>
          <w:lang w:eastAsia="es-ES"/>
        </w:rPr>
        <w:t xml:space="preserve"> patients </w:t>
      </w:r>
      <w:r w:rsidRPr="00667D2B">
        <w:rPr>
          <w:rFonts w:ascii="Times New Roman" w:hAnsi="Times New Roman" w:cs="Times New Roman"/>
          <w:color w:val="000000"/>
          <w:sz w:val="24"/>
          <w:lang w:eastAsia="es-ES"/>
        </w:rPr>
        <w:lastRenderedPageBreak/>
        <w:t>discontinued treatment after 6 years follow-up,</w:t>
      </w:r>
      <w:r w:rsidRPr="00667D2B">
        <w:rPr>
          <w:color w:val="000000"/>
          <w:sz w:val="24"/>
          <w:lang w:eastAsia="es-ES"/>
        </w:rPr>
        <w:t xml:space="preserve"> </w:t>
      </w:r>
      <w:r>
        <w:rPr>
          <w:rFonts w:asciiTheme="majorBidi" w:hAnsiTheme="majorBidi" w:cstheme="majorBidi"/>
          <w:sz w:val="24"/>
          <w:szCs w:val="24"/>
        </w:rPr>
        <w:t xml:space="preserve">although no other alternative TKI was available at the time of IRIS recruitment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&lt;EndNote&gt;&lt;Cite&gt;&lt;Author&gt;Hochhaus&lt;/Author&gt;&lt;Year&gt;2009&lt;/Year&gt;&lt;RecNum&gt;2517&lt;/RecNum&gt;&lt;DisplayText&gt;(Hochhaus&lt;style face="italic"&gt;, et al&lt;/style&gt; 2009)&lt;/DisplayText&gt;&lt;record&gt;&lt;rec-number&gt;2517&lt;/rec-number&gt;&lt;foreign-keys&gt;&lt;key app="EN" db-id="sxxfsvre49szroewve75ep9j0v99v9vffext" timestamp="1567720898"&gt;2517&lt;/key&gt;&lt;/foreign-keys&gt;&lt;ref-type name="Journal Article"&gt;17&lt;/ref-type&gt;&lt;contributors&gt;&lt;authors&gt;&lt;author&gt;Hochhaus, A.&lt;/author&gt;&lt;author&gt;O&amp;apos;Brien, S. G.&lt;/author&gt;&lt;author&gt;Guilhot, F.&lt;/author&gt;&lt;author&gt;Druker, B. J.&lt;/author&gt;&lt;author&gt;Branford, S.&lt;/author&gt;&lt;author&gt;Foroni, L.&lt;/author&gt;&lt;author&gt;Goldman, J. M.&lt;/author&gt;&lt;author&gt;Muller, M. C.&lt;/author&gt;&lt;author&gt;Radich, J. P.&lt;/author&gt;&lt;author&gt;Rudoltz, M.&lt;/author&gt;&lt;author&gt;Mone, M.&lt;/author&gt;&lt;author&gt;Gathmann, I.&lt;/author&gt;&lt;author&gt;Hughes, T. P.&lt;/author&gt;&lt;author&gt;Larson, R. A.&lt;/author&gt;&lt;/authors&gt;&lt;/contributors&gt;&lt;auth-address&gt;1Universitatsmedizin Mannheim, Heidelberg University, Mannheim, Germany.&lt;/auth-address&gt;&lt;titles&gt;&lt;title&gt;Six-year follow-up of patients receiving imatinib for the first-line treatment of chronic myeloid leukemia&lt;/title&gt;&lt;secondary-title&gt;Leukemia : official journal of the Leukemia Society of America, Leukemia Research Fund, U.K&lt;/secondary-title&gt;&lt;/titles&gt;&lt;periodical&gt;&lt;full-title&gt;Leukemia : official journal of the Leukemia Society of America, Leukemia Research Fund, U.K&lt;/full-title&gt;&lt;/periodical&gt;&lt;pages&gt;1054-1061&lt;/pages&gt;&lt;volume&gt;23&lt;/volume&gt;&lt;number&gt;6&lt;/number&gt;&lt;dates&gt;&lt;year&gt;2009&lt;/year&gt;&lt;/dates&gt;&lt;isbn&gt;1476-5551&lt;/isbn&gt;&lt;urls&gt;&lt;/urls&gt;&lt;electronic-resource-num&gt;10.1038/leu.2009.38&lt;/electronic-resource-num&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(Hochhaus</w:t>
      </w:r>
      <w:r w:rsidRPr="006A1C91">
        <w:rPr>
          <w:rFonts w:asciiTheme="majorBidi" w:hAnsiTheme="majorBidi" w:cstheme="majorBidi"/>
          <w:i/>
          <w:noProof/>
          <w:sz w:val="24"/>
          <w:szCs w:val="24"/>
        </w:rPr>
        <w:t>, et al</w:t>
      </w:r>
      <w:r>
        <w:rPr>
          <w:rFonts w:asciiTheme="majorBidi" w:hAnsiTheme="majorBidi" w:cstheme="majorBidi"/>
          <w:noProof/>
          <w:sz w:val="24"/>
          <w:szCs w:val="24"/>
        </w:rPr>
        <w:t xml:space="preserve"> 2009)</w:t>
      </w:r>
      <w:r>
        <w:rPr>
          <w:rFonts w:asciiTheme="majorBidi" w:hAnsiTheme="majorBidi" w:cstheme="majorBidi"/>
          <w:sz w:val="24"/>
          <w:szCs w:val="24"/>
        </w:rPr>
        <w:fldChar w:fldCharType="end"/>
      </w:r>
      <w:r>
        <w:rPr>
          <w:rFonts w:ascii="Times New Roman" w:hAnsi="Times New Roman" w:cs="Times New Roman"/>
          <w:sz w:val="24"/>
          <w:szCs w:val="24"/>
        </w:rPr>
        <w:t>.</w:t>
      </w:r>
      <w:r>
        <w:t xml:space="preserve"> </w:t>
      </w:r>
      <w:r>
        <w:rPr>
          <w:rFonts w:asciiTheme="majorBidi" w:hAnsiTheme="majorBidi" w:cstheme="majorBidi"/>
          <w:sz w:val="24"/>
          <w:szCs w:val="24"/>
        </w:rPr>
        <w:t xml:space="preserve">In IRIS long-term follow-up (median, 10.9 years), imatinib discontinuation was most frequently attributed to unsatisfactory therapeutic effect (15.9%), withdrawal of consent (10.3%), or AEs (6.9%)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&lt;EndNote&gt;&lt;Cite&gt;&lt;Author&gt;Hochhaus&lt;/Author&gt;&lt;Year&gt;2017&lt;/Year&gt;&lt;RecNum&gt;2481&lt;/RecNum&gt;&lt;DisplayText&gt;(Hochhaus&lt;style face="italic"&gt;, et al&lt;/style&gt; 2017a)&lt;/DisplayText&gt;&lt;record&gt;&lt;rec-number&gt;2481&lt;/rec-number&gt;&lt;foreign-keys&gt;&lt;key app="EN" db-id="sxxfsvre49szroewve75ep9j0v99v9vffext" timestamp="1567720898"&gt;2481&lt;/key&gt;&lt;/foreign-keys&gt;&lt;ref-type name="Journal Article"&gt;17&lt;/ref-type&gt;&lt;contributors&gt;&lt;authors&gt;&lt;author&gt;Hochhaus, A.&lt;/author&gt;&lt;author&gt;Larson, R. A.&lt;/author&gt;&lt;author&gt;Guilhot, F.&lt;/author&gt;&lt;author&gt;Radich, J. P.&lt;/author&gt;&lt;author&gt;Branford, S.&lt;/author&gt;&lt;author&gt;Hughes, T. P.&lt;/author&gt;&lt;author&gt;Baccarani, M.&lt;/author&gt;&lt;author&gt;Deininger, M. W.&lt;/author&gt;&lt;author&gt;Cervantes, F.&lt;/author&gt;&lt;author&gt;Fujihara, S.&lt;/author&gt;&lt;author&gt;Ortmann, C. E.&lt;/author&gt;&lt;author&gt;Menssen, H. D.&lt;/author&gt;&lt;author&gt;Kantarjian, H.&lt;/author&gt;&lt;author&gt;O’Brien, S. G.&lt;/author&gt;&lt;author&gt;Druker, B. J.&lt;/author&gt;&lt;/authors&gt;&lt;/contributors&gt;&lt;titles&gt;&lt;title&gt;Long-term outcomes of imatinib treatment for chronic myeloid leukemia&lt;/title&gt;&lt;secondary-title&gt;New Engl J Med&lt;/secondary-title&gt;&lt;/titles&gt;&lt;periodical&gt;&lt;full-title&gt;New Engl J Med&lt;/full-title&gt;&lt;/periodical&gt;&lt;pages&gt;917-927&lt;/pages&gt;&lt;volume&gt;376&lt;/volume&gt;&lt;number&gt;10&lt;/number&gt;&lt;dates&gt;&lt;year&gt;2017&lt;/year&gt;&lt;/dates&gt;&lt;urls&gt;&lt;/urls&gt;&lt;/record&gt;&lt;/Cite&gt;&lt;/EndNote&gt;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(Hochhaus</w:t>
      </w:r>
      <w:r w:rsidRPr="006A1C91">
        <w:rPr>
          <w:rFonts w:asciiTheme="majorBidi" w:hAnsiTheme="majorBidi" w:cstheme="majorBidi"/>
          <w:i/>
          <w:noProof/>
          <w:sz w:val="24"/>
          <w:szCs w:val="24"/>
        </w:rPr>
        <w:t>, et al</w:t>
      </w:r>
      <w:r>
        <w:rPr>
          <w:rFonts w:asciiTheme="majorBidi" w:hAnsiTheme="majorBidi" w:cstheme="majorBidi"/>
          <w:noProof/>
          <w:sz w:val="24"/>
          <w:szCs w:val="24"/>
        </w:rPr>
        <w:t xml:space="preserve"> 2017a)</w:t>
      </w:r>
      <w:r>
        <w:rPr>
          <w:rFonts w:asciiTheme="majorBidi" w:hAnsiTheme="majorBidi" w:cstheme="majorBidi"/>
          <w:sz w:val="24"/>
          <w:szCs w:val="24"/>
        </w:rPr>
        <w:fldChar w:fldCharType="end"/>
      </w:r>
      <w:r>
        <w:rPr>
          <w:rFonts w:asciiTheme="majorBidi" w:hAnsiTheme="majorBidi" w:cstheme="majorBidi"/>
          <w:sz w:val="24"/>
          <w:szCs w:val="24"/>
        </w:rPr>
        <w:t>. Similarly, i</w:t>
      </w:r>
      <w:r w:rsidRPr="00546838">
        <w:rPr>
          <w:rFonts w:asciiTheme="majorBidi" w:hAnsiTheme="majorBidi" w:cstheme="majorBidi"/>
          <w:sz w:val="24"/>
          <w:szCs w:val="24"/>
        </w:rPr>
        <w:t xml:space="preserve">n </w:t>
      </w:r>
      <w:r>
        <w:rPr>
          <w:rFonts w:asciiTheme="majorBidi" w:hAnsiTheme="majorBidi" w:cstheme="majorBidi"/>
          <w:sz w:val="24"/>
          <w:szCs w:val="24"/>
        </w:rPr>
        <w:t>the frontline trial of nilotinib (Evaluating Nilotinib Efficacy and Safety in Clinical Trials</w:t>
      </w:r>
      <w:r>
        <w:rPr>
          <w:rFonts w:ascii="Arial" w:hAnsi="Arial" w:cs="Arial"/>
          <w:sz w:val="24"/>
          <w:szCs w:val="24"/>
        </w:rPr>
        <w:t>–</w:t>
      </w:r>
      <w:r>
        <w:rPr>
          <w:rFonts w:asciiTheme="majorBidi" w:hAnsiTheme="majorBidi" w:cstheme="majorBidi"/>
          <w:sz w:val="24"/>
          <w:szCs w:val="24"/>
        </w:rPr>
        <w:t>Newly Diagnosed Patients [</w:t>
      </w:r>
      <w:proofErr w:type="spellStart"/>
      <w:r>
        <w:rPr>
          <w:rFonts w:asciiTheme="majorBidi" w:hAnsiTheme="majorBidi" w:cstheme="majorBidi"/>
          <w:sz w:val="24"/>
          <w:szCs w:val="24"/>
        </w:rPr>
        <w:t>ENESTnd</w:t>
      </w:r>
      <w:proofErr w:type="spellEnd"/>
      <w:r>
        <w:rPr>
          <w:rFonts w:asciiTheme="majorBidi" w:hAnsiTheme="majorBidi" w:cstheme="majorBidi"/>
          <w:sz w:val="24"/>
          <w:szCs w:val="24"/>
        </w:rPr>
        <w:t xml:space="preserve">]), treatment discontinuations were most frequently due to suboptimal response/treatment failure or AEs/abnormal laboratory values (12% each </w:t>
      </w:r>
      <w:r w:rsidRPr="00895EE9">
        <w:rPr>
          <w:rFonts w:asciiTheme="majorBidi" w:hAnsiTheme="majorBidi" w:cstheme="majorBidi"/>
          <w:sz w:val="24"/>
          <w:szCs w:val="24"/>
        </w:rPr>
        <w:t xml:space="preserve">by the 5-year data </w:t>
      </w:r>
      <w:proofErr w:type="spellStart"/>
      <w:r w:rsidRPr="00895EE9">
        <w:rPr>
          <w:rFonts w:asciiTheme="majorBidi" w:hAnsiTheme="majorBidi" w:cstheme="majorBidi"/>
          <w:sz w:val="24"/>
          <w:szCs w:val="24"/>
        </w:rPr>
        <w:t>cutoff</w:t>
      </w:r>
      <w:proofErr w:type="spellEnd"/>
      <w:r>
        <w:rPr>
          <w:rFonts w:asciiTheme="majorBidi" w:hAnsiTheme="majorBidi" w:cstheme="majorBidi"/>
          <w:sz w:val="24"/>
          <w:szCs w:val="24"/>
        </w:rPr>
        <w:t xml:space="preserve"> among patients allocated to</w:t>
      </w:r>
      <w:r w:rsidRPr="00895EE9">
        <w:rPr>
          <w:rFonts w:asciiTheme="majorBidi" w:hAnsiTheme="majorBidi" w:cstheme="majorBidi"/>
          <w:sz w:val="24"/>
          <w:szCs w:val="24"/>
        </w:rPr>
        <w:t xml:space="preserve"> nilotinib 300 mg twice daily</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&lt;EndNote&gt;&lt;Cite&gt;&lt;Author&gt;Hochhaus&lt;/Author&gt;&lt;Year&gt;2016&lt;/Year&gt;&lt;RecNum&gt;2524&lt;/RecNum&gt;&lt;DisplayText&gt;(Hochhaus&lt;style face="italic"&gt;, et al&lt;/style&gt; 2016)&lt;/DisplayText&gt;&lt;record&gt;&lt;rec-number&gt;2524&lt;/rec-number&gt;&lt;foreign-keys&gt;&lt;key app="EN" db-id="sxxfsvre49szroewve75ep9j0v99v9vffext" timestamp="1567720898"&gt;2524&lt;/key&gt;&lt;/foreign-keys&gt;&lt;ref-type name="Journal Article"&gt;17&lt;/ref-type&gt;&lt;contributors&gt;&lt;authors&gt;&lt;author&gt;Hochhaus, A.&lt;/author&gt;&lt;author&gt;Saglio, G.&lt;/author&gt;&lt;author&gt;Hughes, T. P.&lt;/author&gt;&lt;author&gt;Larson, R. A.&lt;/author&gt;&lt;author&gt;Kim, D. W.&lt;/author&gt;&lt;author&gt;Issaragrisil, S.&lt;/author&gt;&lt;author&gt;Le Coutre, P. D.&lt;/author&gt;&lt;author&gt;Etienne, G.&lt;/author&gt;&lt;author&gt;Dorlhiac-Llacer, P. E.&lt;/author&gt;&lt;author&gt;Clark, R. E.&lt;/author&gt;&lt;author&gt;Flinn, I.&lt;/author&gt;&lt;author&gt;Nakamae, H.&lt;/author&gt;&lt;author&gt;Donohue, B.&lt;/author&gt;&lt;author&gt;Deng, W.&lt;/author&gt;&lt;author&gt;Dalal, D.&lt;/author&gt;&lt;author&gt;Menssen, H. D.&lt;/author&gt;&lt;author&gt;Kantarjian, H. M.&lt;/author&gt;&lt;/authors&gt;&lt;/contributors&gt;&lt;titles&gt;&lt;title&gt;Long-term benefits and risks of frontline nilotinib vs imatinib for chronic myeloid leukemia in chronic phase: 5-year update of the randomized ENESTnd trial&lt;/title&gt;&lt;secondary-title&gt;Leukemia&lt;/secondary-title&gt;&lt;/titles&gt;&lt;periodical&gt;&lt;full-title&gt;Leukemia&lt;/full-title&gt;&lt;/periodical&gt;&lt;pages&gt;1044-1054&lt;/pages&gt;&lt;volume&gt;30&lt;/volume&gt;&lt;number&gt;5&lt;/number&gt;&lt;dates&gt;&lt;year&gt;2016&lt;/year&gt;&lt;/dates&gt;&lt;urls&gt;&lt;related-urls&gt;&lt;url&gt;http://www.ncbi.nlm.nih.gov/pubmed/26837842&lt;/url&gt;&lt;/related-urls&gt;&lt;/urls&gt;&lt;electronic-resource-num&gt;10.1038/leu.2016.5&lt;/electronic-resource-num&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(Hochhaus</w:t>
      </w:r>
      <w:r w:rsidRPr="006A1C91">
        <w:rPr>
          <w:rFonts w:asciiTheme="majorBidi" w:hAnsiTheme="majorBidi" w:cstheme="majorBidi"/>
          <w:i/>
          <w:noProof/>
          <w:sz w:val="24"/>
          <w:szCs w:val="24"/>
        </w:rPr>
        <w:t>, et al</w:t>
      </w:r>
      <w:r>
        <w:rPr>
          <w:rFonts w:asciiTheme="majorBidi" w:hAnsiTheme="majorBidi" w:cstheme="majorBidi"/>
          <w:noProof/>
          <w:sz w:val="24"/>
          <w:szCs w:val="24"/>
        </w:rPr>
        <w:t xml:space="preserve"> 2016)</w:t>
      </w:r>
      <w:r>
        <w:rPr>
          <w:rFonts w:asciiTheme="majorBidi" w:hAnsiTheme="majorBidi" w:cstheme="majorBidi"/>
          <w:sz w:val="24"/>
          <w:szCs w:val="24"/>
        </w:rPr>
        <w:fldChar w:fldCharType="end"/>
      </w:r>
      <w:r>
        <w:rPr>
          <w:rFonts w:asciiTheme="majorBidi" w:hAnsiTheme="majorBidi" w:cstheme="majorBidi"/>
          <w:sz w:val="24"/>
          <w:szCs w:val="24"/>
        </w:rPr>
        <w:t>. We found that in real-world practice, approximately half of patients required a change of TKI, highlighting the importance of optimal monitoring of molecular responses and treatment-related side effects to ensure proper use of TKIs and timely switching. These data also demonstrated the ongoing challenge of establishing a satisfactory, long-term treatment, with multiple TKI switches being common.</w:t>
      </w:r>
      <w:r w:rsidRPr="0081249A">
        <w:rPr>
          <w:rFonts w:asciiTheme="majorBidi" w:hAnsiTheme="majorBidi" w:cstheme="majorBidi"/>
          <w:sz w:val="24"/>
          <w:szCs w:val="24"/>
        </w:rPr>
        <w:t xml:space="preserve"> </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Although 58% of patients had a recorded comorbidity, patients generally had poorly documented baseline clinical characteristics and prognostic scores. Demographic and baseline characteristics were not dissimilar from those of other real-world cohorts </w:t>
      </w:r>
      <w:r>
        <w:rPr>
          <w:rFonts w:asciiTheme="majorBidi" w:hAnsiTheme="majorBidi" w:cstheme="majorBidi"/>
          <w:sz w:val="24"/>
          <w:szCs w:val="24"/>
        </w:rPr>
        <w:fldChar w:fldCharType="begin">
          <w:fldData xml:space="preserve">PEVuZE5vdGU+PENpdGU+PEF1dGhvcj5Ib2dsdW5kPC9BdXRob3I+PFllYXI+MjAxMzwvWWVhcj48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PEVuZE5vdGU+PENpdGU+PEF1dGhvcj5Ib2dsdW5kPC9BdXRob3I+PFllYXI+MjAxMzwvWWVhcj48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(Goldberg</w:t>
      </w:r>
      <w:r w:rsidRPr="006A1C91">
        <w:rPr>
          <w:rFonts w:asciiTheme="majorBidi" w:hAnsiTheme="majorBidi" w:cstheme="majorBidi"/>
          <w:i/>
          <w:noProof/>
          <w:sz w:val="24"/>
          <w:szCs w:val="24"/>
        </w:rPr>
        <w:t>, et al</w:t>
      </w:r>
      <w:r>
        <w:rPr>
          <w:rFonts w:asciiTheme="majorBidi" w:hAnsiTheme="majorBidi" w:cstheme="majorBidi"/>
          <w:noProof/>
          <w:sz w:val="24"/>
          <w:szCs w:val="24"/>
        </w:rPr>
        <w:t xml:space="preserve"> 2017, Hoglund</w:t>
      </w:r>
      <w:r w:rsidRPr="006A1C91">
        <w:rPr>
          <w:rFonts w:asciiTheme="majorBidi" w:hAnsiTheme="majorBidi" w:cstheme="majorBidi"/>
          <w:i/>
          <w:noProof/>
          <w:sz w:val="24"/>
          <w:szCs w:val="24"/>
        </w:rPr>
        <w:t>, et al</w:t>
      </w:r>
      <w:r>
        <w:rPr>
          <w:rFonts w:asciiTheme="majorBidi" w:hAnsiTheme="majorBidi" w:cstheme="majorBidi"/>
          <w:noProof/>
          <w:sz w:val="24"/>
          <w:szCs w:val="24"/>
        </w:rPr>
        <w:t xml:space="preserve"> 2013, Nesr</w:t>
      </w:r>
      <w:r w:rsidRPr="006A1C91">
        <w:rPr>
          <w:rFonts w:asciiTheme="majorBidi" w:hAnsiTheme="majorBidi" w:cstheme="majorBidi"/>
          <w:i/>
          <w:noProof/>
          <w:sz w:val="24"/>
          <w:szCs w:val="24"/>
        </w:rPr>
        <w:t>, et al</w:t>
      </w:r>
      <w:r>
        <w:rPr>
          <w:rFonts w:asciiTheme="majorBidi" w:hAnsiTheme="majorBidi" w:cstheme="majorBidi"/>
          <w:noProof/>
          <w:sz w:val="24"/>
          <w:szCs w:val="24"/>
        </w:rPr>
        <w:t xml:space="preserve"> 2018)</w:t>
      </w:r>
      <w:r>
        <w:rPr>
          <w:rFonts w:asciiTheme="majorBidi" w:hAnsiTheme="majorBidi" w:cstheme="majorBidi"/>
          <w:sz w:val="24"/>
          <w:szCs w:val="24"/>
        </w:rPr>
        <w:fldChar w:fldCharType="end"/>
      </w:r>
      <w:r>
        <w:rPr>
          <w:rFonts w:asciiTheme="majorBidi" w:hAnsiTheme="majorBidi" w:cstheme="majorBidi"/>
          <w:sz w:val="24"/>
          <w:szCs w:val="24"/>
        </w:rPr>
        <w:t xml:space="preserve">, although prognostic scores were better documented (98%) in the Swedish CML registry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&lt;EndNote&gt;&lt;Cite&gt;&lt;Author&gt;Hoglund&lt;/Author&gt;&lt;Year&gt;2013&lt;/Year&gt;&lt;RecNum&gt;2553&lt;/RecNum&gt;&lt;DisplayText&gt;(Hoglund&lt;style face="italic"&gt;, et al&lt;/style&gt; 2013)&lt;/DisplayText&gt;&lt;record&gt;&lt;rec-number&gt;2553&lt;/rec-number&gt;&lt;foreign-keys&gt;&lt;key app="EN" db-id="sxxfsvre49szroewve75ep9j0v99v9vffext" timestamp="1567720898"&gt;2553&lt;/key&gt;&lt;/foreign-keys&gt;&lt;ref-type name="Journal Article"&gt;17&lt;/ref-type&gt;&lt;contributors&gt;&lt;authors&gt;&lt;author&gt;Hoglund, M.&lt;/author&gt;&lt;author&gt;Sandin, F.&lt;/author&gt;&lt;author&gt;Hellstrom, K.&lt;/author&gt;&lt;author&gt;Bjoreman, M.&lt;/author&gt;&lt;author&gt;Bjorkholm, M.&lt;/author&gt;&lt;author&gt;Brune, M.&lt;/author&gt;&lt;author&gt;Dreimane, A.&lt;/author&gt;&lt;author&gt;Ekblom, M.&lt;/author&gt;&lt;author&gt;Lehmann, S.&lt;/author&gt;&lt;author&gt;Ljungman, P.&lt;/author&gt;&lt;author&gt;Malm, C.&lt;/author&gt;&lt;author&gt;Markevarn, B.&lt;/author&gt;&lt;author&gt;Myhr-Eriksson, K.&lt;/author&gt;&lt;author&gt;Ohm, L.&lt;/author&gt;&lt;author&gt;Olsson-Stromberg, U.&lt;/author&gt;&lt;author&gt;Sjalander, A.&lt;/author&gt;&lt;author&gt;Wadenvik, H.&lt;/author&gt;&lt;author&gt;Simonsson, B.&lt;/author&gt;&lt;author&gt;Stenke, L.&lt;/author&gt;&lt;author&gt;Richter, J.&lt;/author&gt;&lt;/authors&gt;&lt;/contributors&gt;&lt;auth-address&gt;Department of Medical Science and Division of Hematology, University Hospital, Uppsala, Sweden;&lt;/auth-address&gt;&lt;titles&gt;&lt;title&gt;Tyrosine kinase inhibitor usage, treatment outcome and prognostic scores in CML: report from the population-based Swedish CML registry&lt;/title&gt;&lt;secondary-title&gt;Blood&lt;/secondary-title&gt;&lt;/titles&gt;&lt;periodical&gt;&lt;full-title&gt;Blood&lt;/full-title&gt;&lt;/periodical&gt;&lt;pages&gt;1284-1292&lt;/pages&gt;&lt;volume&gt;122&lt;/volume&gt;&lt;number&gt;7&lt;/number&gt;&lt;dates&gt;&lt;year&gt;2013&lt;/year&gt;&lt;/dates&gt;&lt;isbn&gt;1528-0020; 0006-4971&lt;/isbn&gt;&lt;urls&gt;&lt;/urls&gt;&lt;electronic-resource-num&gt;10.1182/blood-2013-04-495598&lt;/electronic-resource-num&gt;&lt;access-date&gt;Jul 10&lt;/access-date&gt;&lt;/record&gt;&lt;/Cite&gt;&lt;/EndNote&gt;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(Hoglund</w:t>
      </w:r>
      <w:r w:rsidRPr="006A1C91">
        <w:rPr>
          <w:rFonts w:asciiTheme="majorBidi" w:hAnsiTheme="majorBidi" w:cstheme="majorBidi"/>
          <w:i/>
          <w:noProof/>
          <w:sz w:val="24"/>
          <w:szCs w:val="24"/>
        </w:rPr>
        <w:t>, et al</w:t>
      </w:r>
      <w:r>
        <w:rPr>
          <w:rFonts w:asciiTheme="majorBidi" w:hAnsiTheme="majorBidi" w:cstheme="majorBidi"/>
          <w:noProof/>
          <w:sz w:val="24"/>
          <w:szCs w:val="24"/>
        </w:rPr>
        <w:t xml:space="preserve"> 2013)</w:t>
      </w:r>
      <w:r>
        <w:rPr>
          <w:rFonts w:asciiTheme="majorBidi" w:hAnsiTheme="majorBidi" w:cstheme="majorBidi"/>
          <w:sz w:val="24"/>
          <w:szCs w:val="24"/>
        </w:rPr>
        <w:fldChar w:fldCharType="end"/>
      </w:r>
      <w:r>
        <w:rPr>
          <w:rFonts w:asciiTheme="majorBidi" w:hAnsiTheme="majorBidi" w:cstheme="majorBidi"/>
          <w:sz w:val="24"/>
          <w:szCs w:val="24"/>
        </w:rPr>
        <w:t xml:space="preserve">. CV events have been reported to be increased with 2G-TKIs </w:t>
      </w:r>
      <w:r>
        <w:rPr>
          <w:rFonts w:asciiTheme="majorBidi" w:hAnsiTheme="majorBidi" w:cstheme="majorBidi"/>
          <w:sz w:val="24"/>
          <w:szCs w:val="24"/>
        </w:rPr>
        <w:fldChar w:fldCharType="begin">
          <w:fldData xml:space="preserve">PEVuZE5vdGU+PENpdGU+PEF1dGhvcj5Ib2NoaGF1czwvQXV0aG9yPjxZZWFyPjIwMTY8L1llYXI+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PEVuZE5vdGU+PENpdGU+PEF1dGhvcj5Ib2NoaGF1czwvQXV0aG9yPjxZZWFyPjIwMTY8L1llYXI+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(Chai-Adisaksopha</w:t>
      </w:r>
      <w:r w:rsidRPr="006A1C91">
        <w:rPr>
          <w:rFonts w:asciiTheme="majorBidi" w:hAnsiTheme="majorBidi" w:cstheme="majorBidi"/>
          <w:i/>
          <w:noProof/>
          <w:sz w:val="24"/>
          <w:szCs w:val="24"/>
        </w:rPr>
        <w:t>, et al</w:t>
      </w:r>
      <w:r>
        <w:rPr>
          <w:rFonts w:asciiTheme="majorBidi" w:hAnsiTheme="majorBidi" w:cstheme="majorBidi"/>
          <w:noProof/>
          <w:sz w:val="24"/>
          <w:szCs w:val="24"/>
        </w:rPr>
        <w:t xml:space="preserve"> 2016, Cortes</w:t>
      </w:r>
      <w:r w:rsidRPr="006A1C91">
        <w:rPr>
          <w:rFonts w:asciiTheme="majorBidi" w:hAnsiTheme="majorBidi" w:cstheme="majorBidi"/>
          <w:i/>
          <w:noProof/>
          <w:sz w:val="24"/>
          <w:szCs w:val="24"/>
        </w:rPr>
        <w:t>, et al</w:t>
      </w:r>
      <w:r>
        <w:rPr>
          <w:rFonts w:asciiTheme="majorBidi" w:hAnsiTheme="majorBidi" w:cstheme="majorBidi"/>
          <w:noProof/>
          <w:sz w:val="24"/>
          <w:szCs w:val="24"/>
        </w:rPr>
        <w:t xml:space="preserve"> 2016, Hochhaus</w:t>
      </w:r>
      <w:r w:rsidRPr="006A1C91">
        <w:rPr>
          <w:rFonts w:asciiTheme="majorBidi" w:hAnsiTheme="majorBidi" w:cstheme="majorBidi"/>
          <w:i/>
          <w:noProof/>
          <w:sz w:val="24"/>
          <w:szCs w:val="24"/>
        </w:rPr>
        <w:t>, et al</w:t>
      </w:r>
      <w:r>
        <w:rPr>
          <w:rFonts w:asciiTheme="majorBidi" w:hAnsiTheme="majorBidi" w:cstheme="majorBidi"/>
          <w:noProof/>
          <w:sz w:val="24"/>
          <w:szCs w:val="24"/>
        </w:rPr>
        <w:t xml:space="preserve"> 2016)</w:t>
      </w:r>
      <w:r>
        <w:rPr>
          <w:rFonts w:asciiTheme="majorBidi" w:hAnsiTheme="majorBidi" w:cstheme="majorBidi"/>
          <w:sz w:val="24"/>
          <w:szCs w:val="24"/>
        </w:rPr>
        <w:fldChar w:fldCharType="end"/>
      </w:r>
      <w:r>
        <w:rPr>
          <w:rFonts w:asciiTheme="majorBidi" w:hAnsiTheme="majorBidi" w:cstheme="majorBidi"/>
          <w:sz w:val="24"/>
          <w:szCs w:val="24"/>
        </w:rPr>
        <w:t xml:space="preserve">, and CV risk factors should therefore be carefully considered when choosing a TKI. Even with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imatinib, it is important to assess CV risk given that approximately half of patients will require a switch to a 2G-TKI at some point. </w:t>
      </w:r>
      <w:r>
        <w:rPr>
          <w:rFonts w:ascii="Times New Roman" w:hAnsi="Times New Roman" w:cs="Times New Roman"/>
          <w:sz w:val="24"/>
          <w:szCs w:val="24"/>
        </w:rPr>
        <w:t>A</w:t>
      </w:r>
      <w:r w:rsidRPr="000209BA">
        <w:rPr>
          <w:rFonts w:ascii="Times New Roman" w:hAnsi="Times New Roman" w:cs="Times New Roman"/>
          <w:sz w:val="24"/>
          <w:szCs w:val="24"/>
        </w:rPr>
        <w:t xml:space="preserve">lthough </w:t>
      </w:r>
      <w:r>
        <w:rPr>
          <w:rFonts w:ascii="Times New Roman" w:hAnsi="Times New Roman" w:cs="Times New Roman"/>
          <w:sz w:val="24"/>
          <w:szCs w:val="24"/>
        </w:rPr>
        <w:t xml:space="preserve">late complications with 2G-TKIs were </w:t>
      </w:r>
      <w:r w:rsidRPr="000209BA">
        <w:rPr>
          <w:rFonts w:ascii="Times New Roman" w:hAnsi="Times New Roman" w:cs="Times New Roman"/>
          <w:sz w:val="24"/>
          <w:szCs w:val="24"/>
        </w:rPr>
        <w:t>not</w:t>
      </w:r>
      <w:r>
        <w:rPr>
          <w:rFonts w:ascii="Times New Roman" w:hAnsi="Times New Roman" w:cs="Times New Roman"/>
          <w:sz w:val="24"/>
          <w:szCs w:val="24"/>
        </w:rPr>
        <w:t xml:space="preserve"> fully understood or </w:t>
      </w:r>
      <w:r w:rsidRPr="000209BA">
        <w:rPr>
          <w:rFonts w:ascii="Times New Roman" w:hAnsi="Times New Roman" w:cs="Times New Roman"/>
          <w:sz w:val="24"/>
          <w:szCs w:val="24"/>
        </w:rPr>
        <w:t xml:space="preserve">evaluable at </w:t>
      </w:r>
      <w:r>
        <w:rPr>
          <w:rFonts w:ascii="Times New Roman" w:hAnsi="Times New Roman" w:cs="Times New Roman"/>
          <w:sz w:val="24"/>
          <w:szCs w:val="24"/>
        </w:rPr>
        <w:t>the</w:t>
      </w:r>
      <w:r w:rsidRPr="000209BA">
        <w:rPr>
          <w:rFonts w:ascii="Times New Roman" w:hAnsi="Times New Roman" w:cs="Times New Roman"/>
          <w:sz w:val="24"/>
          <w:szCs w:val="24"/>
        </w:rPr>
        <w:t xml:space="preserve"> time</w:t>
      </w:r>
      <w:r>
        <w:rPr>
          <w:rFonts w:ascii="Times New Roman" w:hAnsi="Times New Roman" w:cs="Times New Roman"/>
          <w:sz w:val="24"/>
          <w:szCs w:val="24"/>
        </w:rPr>
        <w:t xml:space="preserve"> of</w:t>
      </w:r>
      <w:r w:rsidRPr="000209BA">
        <w:rPr>
          <w:rFonts w:ascii="Times New Roman" w:hAnsi="Times New Roman" w:cs="Times New Roman"/>
          <w:sz w:val="24"/>
          <w:szCs w:val="24"/>
        </w:rPr>
        <w:t xml:space="preserve"> ELN 2013</w:t>
      </w:r>
      <w:r>
        <w:rPr>
          <w:rFonts w:ascii="Times New Roman" w:hAnsi="Times New Roman" w:cs="Times New Roman"/>
          <w:sz w:val="24"/>
          <w:szCs w:val="24"/>
        </w:rPr>
        <w:t>, the guidelines</w:t>
      </w:r>
      <w:r w:rsidRPr="000209BA">
        <w:rPr>
          <w:rFonts w:ascii="Times New Roman" w:hAnsi="Times New Roman" w:cs="Times New Roman"/>
          <w:sz w:val="24"/>
          <w:szCs w:val="24"/>
        </w:rPr>
        <w:t xml:space="preserve"> </w:t>
      </w:r>
      <w:r>
        <w:rPr>
          <w:rFonts w:ascii="Times New Roman" w:hAnsi="Times New Roman" w:cs="Times New Roman"/>
          <w:sz w:val="24"/>
          <w:szCs w:val="24"/>
        </w:rPr>
        <w:t>nevertheless recommended</w:t>
      </w:r>
      <w:r w:rsidRPr="000209BA">
        <w:rPr>
          <w:rFonts w:ascii="Times New Roman" w:hAnsi="Times New Roman" w:cs="Times New Roman"/>
          <w:sz w:val="24"/>
          <w:szCs w:val="24"/>
        </w:rPr>
        <w:t xml:space="preserve"> </w:t>
      </w:r>
      <w:r w:rsidRPr="000209BA">
        <w:rPr>
          <w:rFonts w:ascii="Times New Roman" w:hAnsi="Times New Roman" w:cs="Times New Roman"/>
          <w:sz w:val="24"/>
          <w:szCs w:val="24"/>
        </w:rPr>
        <w:lastRenderedPageBreak/>
        <w:t>continued clinical monitoring of all patients.</w:t>
      </w:r>
      <w:r>
        <w:rPr>
          <w:rFonts w:ascii="Times New Roman" w:hAnsi="Times New Roman" w:cs="Times New Roman"/>
          <w:sz w:val="24"/>
          <w:szCs w:val="24"/>
        </w:rPr>
        <w:t xml:space="preserve"> </w:t>
      </w:r>
      <w:r>
        <w:rPr>
          <w:rFonts w:asciiTheme="majorBidi" w:hAnsiTheme="majorBidi" w:cstheme="majorBidi"/>
          <w:sz w:val="24"/>
          <w:szCs w:val="24"/>
        </w:rPr>
        <w:t>Several CV risk factors were very poorly documented in our cohort, and any use of validated CV risk tools, such as QRISK2, was rarely documented. Baseline blood pressure was documented in less than one-third of patients; when baseline blood pressure was recorded, it was often elevated, with 3 patients in hypertensive crisis, illustrating the importance of documenting this parameter so that hypertension can be managed appropriately.</w:t>
      </w:r>
      <w:r w:rsidRPr="00191FC2">
        <w:rPr>
          <w:rFonts w:asciiTheme="majorBidi" w:hAnsiTheme="majorBidi" w:cstheme="majorBidi"/>
          <w:sz w:val="24"/>
          <w:szCs w:val="24"/>
        </w:rPr>
        <w:t xml:space="preserve"> </w:t>
      </w:r>
      <w:r>
        <w:rPr>
          <w:rFonts w:asciiTheme="majorBidi" w:hAnsiTheme="majorBidi" w:cstheme="majorBidi"/>
          <w:sz w:val="24"/>
          <w:szCs w:val="24"/>
        </w:rPr>
        <w:t xml:space="preserve">However, some evidence was observed that CV comorbidities at baseline played a role in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TKI choice, with patients appearing more likely to receive first-line imatinib if a CV comorbidity was documented.</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t xml:space="preserve">Currently the UK National Institute for Health and Care Excellence (NICE) recommends NHS funding in England of imatinib, nilotinib or </w:t>
      </w:r>
      <w:proofErr w:type="spellStart"/>
      <w:r>
        <w:rPr>
          <w:rFonts w:asciiTheme="majorBidi" w:hAnsiTheme="majorBidi" w:cstheme="majorBidi"/>
          <w:sz w:val="24"/>
          <w:szCs w:val="24"/>
        </w:rPr>
        <w:t>dasatinib</w:t>
      </w:r>
      <w:proofErr w:type="spellEnd"/>
      <w:r>
        <w:rPr>
          <w:rFonts w:asciiTheme="majorBidi" w:hAnsiTheme="majorBidi" w:cstheme="majorBidi"/>
          <w:sz w:val="24"/>
          <w:szCs w:val="24"/>
        </w:rPr>
        <w:t xml:space="preserve"> in the first line, and nilotinib, </w:t>
      </w:r>
      <w:proofErr w:type="spellStart"/>
      <w:r>
        <w:rPr>
          <w:rFonts w:asciiTheme="majorBidi" w:hAnsiTheme="majorBidi" w:cstheme="majorBidi"/>
          <w:sz w:val="24"/>
          <w:szCs w:val="24"/>
        </w:rPr>
        <w:t>dasatinib</w:t>
      </w:r>
      <w:proofErr w:type="spellEnd"/>
      <w:r>
        <w:rPr>
          <w:rFonts w:asciiTheme="majorBidi" w:hAnsiTheme="majorBidi" w:cstheme="majorBidi"/>
          <w:sz w:val="24"/>
          <w:szCs w:val="24"/>
        </w:rPr>
        <w:t xml:space="preserve">, bosutinib or ponatinib in later lines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&lt;EndNote&gt;&lt;Cite&gt;&lt;Author&gt;Health&lt;/Author&gt;&lt;Year&gt;2018&lt;/Year&gt;&lt;RecNum&gt;4228&lt;/RecNum&gt;&lt;DisplayText&gt;(Health and Care 2018)&lt;/DisplayText&gt;&lt;record&gt;&lt;rec-number&gt;4228&lt;/rec-number&gt;&lt;foreign-keys&gt;&lt;key app="EN" db-id="sxxfsvre49szroewve75ep9j0v99v9vffext" timestamp="1567720900"&gt;4228&lt;/key&gt;&lt;/foreign-keys&gt;&lt;ref-type name="Personal Communication"&gt;26&lt;/ref-type&gt;&lt;contributors&gt;&lt;authors&gt;&lt;author&gt;Nice National Institute for Health&lt;/author&gt;&lt;author&gt;Care, Excellence&lt;/author&gt;&lt;/authors&gt;&lt;/contributors&gt;&lt;titles&gt;&lt;title&gt;Myeloid Leukaemia&lt;/title&gt;&lt;/titles&gt;&lt;volume&gt;2018&lt;/volume&gt;&lt;number&gt;Web Page&lt;/number&gt;&lt;dates&gt;&lt;year&gt;2018&lt;/year&gt;&lt;/dates&gt;&lt;urls&gt;&lt;related-urls&gt;&lt;url&gt;https://pathways.nice.org.uk/pathways/blood-and-bone-marrow-cancers#path=view%3A/pathways/blood-and-bone-marrow-cancers/myeloid-leukaemia.xml&amp;amp;content=view-node%3Anodes-ponatinib&lt;/url&gt;&lt;/related-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(Health and Care 2018)</w:t>
      </w:r>
      <w:r>
        <w:rPr>
          <w:rFonts w:asciiTheme="majorBidi" w:hAnsiTheme="majorBidi" w:cstheme="majorBidi"/>
          <w:sz w:val="24"/>
          <w:szCs w:val="24"/>
        </w:rPr>
        <w:fldChar w:fldCharType="end"/>
      </w:r>
      <w:r>
        <w:rPr>
          <w:rFonts w:asciiTheme="majorBidi" w:hAnsiTheme="majorBidi" w:cstheme="majorBidi"/>
          <w:sz w:val="24"/>
          <w:szCs w:val="24"/>
        </w:rPr>
        <w:t xml:space="preserve">. In this cohort, first-line treatment was mostly imatinib or nilotinib (&lt;2% received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dasatinib</w:t>
      </w:r>
      <w:proofErr w:type="spellEnd"/>
      <w:r>
        <w:rPr>
          <w:rFonts w:asciiTheme="majorBidi" w:hAnsiTheme="majorBidi" w:cstheme="majorBidi"/>
          <w:sz w:val="24"/>
          <w:szCs w:val="24"/>
        </w:rPr>
        <w:t>), and second-line treatment was mostly nilotinib, reflecting NICE recommendations at the start of treatment for these patients (</w:t>
      </w:r>
      <w:proofErr w:type="spellStart"/>
      <w:r>
        <w:rPr>
          <w:rFonts w:asciiTheme="majorBidi" w:hAnsiTheme="majorBidi" w:cstheme="majorBidi"/>
          <w:sz w:val="24"/>
          <w:szCs w:val="24"/>
        </w:rPr>
        <w:t>dasatinib</w:t>
      </w:r>
      <w:proofErr w:type="spellEnd"/>
      <w:r>
        <w:rPr>
          <w:rFonts w:asciiTheme="majorBidi" w:hAnsiTheme="majorBidi" w:cstheme="majorBidi"/>
          <w:sz w:val="24"/>
          <w:szCs w:val="24"/>
        </w:rPr>
        <w:t xml:space="preserve"> was not routinely available). Patients were more likely to receive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2G-TKIs than imatinib if they were younger and had no documented comorbidities. Overall, prognostic scores were poorly documented despite strong evidence that these risk scores remain highly predictive of disease response in the TKI era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&lt;EndNote&gt;&lt;Cite&gt;&lt;Author&gt;Hochhaus&lt;/Author&gt;&lt;Year&gt;2016&lt;/Year&gt;&lt;RecNum&gt;2524&lt;/RecNum&gt;&lt;DisplayText&gt;(Hochhaus&lt;style face="italic"&gt;, et al&lt;/style&gt; 2016)&lt;/DisplayText&gt;&lt;record&gt;&lt;rec-number&gt;2524&lt;/rec-number&gt;&lt;foreign-keys&gt;&lt;key app="EN" db-id="sxxfsvre49szroewve75ep9j0v99v9vffext" timestamp="1567720898"&gt;2524&lt;/key&gt;&lt;/foreign-keys&gt;&lt;ref-type name="Journal Article"&gt;17&lt;/ref-type&gt;&lt;contributors&gt;&lt;authors&gt;&lt;author&gt;Hochhaus, A.&lt;/author&gt;&lt;author&gt;Saglio, G.&lt;/author&gt;&lt;author&gt;Hughes, T. P.&lt;/author&gt;&lt;author&gt;Larson, R. A.&lt;/author&gt;&lt;author&gt;Kim, D. W.&lt;/author&gt;&lt;author&gt;Issaragrisil, S.&lt;/author&gt;&lt;author&gt;Le Coutre, P. D.&lt;/author&gt;&lt;author&gt;Etienne, G.&lt;/author&gt;&lt;author&gt;Dorlhiac-Llacer, P. E.&lt;/author&gt;&lt;author&gt;Clark, R. E.&lt;/author&gt;&lt;author&gt;Flinn, I.&lt;/author&gt;&lt;author&gt;Nakamae, H.&lt;/author&gt;&lt;author&gt;Donohue, B.&lt;/author&gt;&lt;author&gt;Deng, W.&lt;/author&gt;&lt;author&gt;Dalal, D.&lt;/author&gt;&lt;author&gt;Menssen, H. D.&lt;/author&gt;&lt;author&gt;Kantarjian, H. M.&lt;/author&gt;&lt;/authors&gt;&lt;/contributors&gt;&lt;titles&gt;&lt;title&gt;Long-term benefits and risks of frontline nilotinib vs imatinib for chronic myeloid leukemia in chronic phase: 5-year update of the randomized ENESTnd trial&lt;/title&gt;&lt;secondary-title&gt;Leukemia&lt;/secondary-title&gt;&lt;/titles&gt;&lt;periodical&gt;&lt;full-title&gt;Leukemia&lt;/full-title&gt;&lt;/periodical&gt;&lt;pages&gt;1044-1054&lt;/pages&gt;&lt;volume&gt;30&lt;/volume&gt;&lt;number&gt;5&lt;/number&gt;&lt;dates&gt;&lt;year&gt;2016&lt;/year&gt;&lt;/dates&gt;&lt;urls&gt;&lt;related-urls&gt;&lt;url&gt;http://www.ncbi.nlm.nih.gov/pubmed/26837842&lt;/url&gt;&lt;/related-urls&gt;&lt;/urls&gt;&lt;electronic-resource-num&gt;10.1038/leu.2016.5&lt;/electronic-resource-num&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(Hochhaus</w:t>
      </w:r>
      <w:r w:rsidRPr="00F74C1F">
        <w:rPr>
          <w:rFonts w:asciiTheme="majorBidi" w:hAnsiTheme="majorBidi" w:cstheme="majorBidi"/>
          <w:i/>
          <w:noProof/>
          <w:sz w:val="24"/>
          <w:szCs w:val="24"/>
        </w:rPr>
        <w:t>, et al</w:t>
      </w:r>
      <w:r>
        <w:rPr>
          <w:rFonts w:asciiTheme="majorBidi" w:hAnsiTheme="majorBidi" w:cstheme="majorBidi"/>
          <w:noProof/>
          <w:sz w:val="24"/>
          <w:szCs w:val="24"/>
        </w:rPr>
        <w:t xml:space="preserve"> 2016)</w:t>
      </w:r>
      <w:r>
        <w:rPr>
          <w:rFonts w:asciiTheme="majorBidi" w:hAnsiTheme="majorBidi" w:cstheme="majorBidi"/>
          <w:sz w:val="24"/>
          <w:szCs w:val="24"/>
        </w:rPr>
        <w:fldChar w:fldCharType="end"/>
      </w:r>
      <w:r w:rsidRPr="009E6144">
        <w:rPr>
          <w:rFonts w:asciiTheme="majorBidi" w:hAnsiTheme="majorBidi" w:cstheme="majorBidi"/>
          <w:sz w:val="24"/>
          <w:szCs w:val="24"/>
        </w:rPr>
        <w:t>.</w:t>
      </w:r>
      <w:r>
        <w:rPr>
          <w:rFonts w:asciiTheme="majorBidi" w:hAnsiTheme="majorBidi" w:cstheme="majorBidi"/>
          <w:sz w:val="24"/>
          <w:szCs w:val="24"/>
        </w:rPr>
        <w:t xml:space="preserve"> We did not find evidence that prognostic scores played a major role in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TKI choice, with a majority of patients identified as high risk by </w:t>
      </w:r>
      <w:proofErr w:type="spellStart"/>
      <w:r>
        <w:rPr>
          <w:rFonts w:asciiTheme="majorBidi" w:hAnsiTheme="majorBidi" w:cstheme="majorBidi"/>
          <w:sz w:val="24"/>
          <w:szCs w:val="24"/>
        </w:rPr>
        <w:t>Sokal</w:t>
      </w:r>
      <w:proofErr w:type="spellEnd"/>
      <w:r>
        <w:rPr>
          <w:rFonts w:asciiTheme="majorBidi" w:hAnsiTheme="majorBidi" w:cstheme="majorBidi"/>
          <w:sz w:val="24"/>
          <w:szCs w:val="24"/>
        </w:rPr>
        <w:t xml:space="preserve">, EUTOS or </w:t>
      </w:r>
      <w:proofErr w:type="spellStart"/>
      <w:r>
        <w:rPr>
          <w:rFonts w:asciiTheme="majorBidi" w:hAnsiTheme="majorBidi" w:cstheme="majorBidi"/>
          <w:sz w:val="24"/>
          <w:szCs w:val="24"/>
        </w:rPr>
        <w:t>Hasford</w:t>
      </w:r>
      <w:proofErr w:type="spellEnd"/>
      <w:r>
        <w:rPr>
          <w:rFonts w:asciiTheme="majorBidi" w:hAnsiTheme="majorBidi" w:cstheme="majorBidi"/>
          <w:sz w:val="24"/>
          <w:szCs w:val="24"/>
        </w:rPr>
        <w:t xml:space="preserve"> criteria being treated with imatinib. Overall, </w:t>
      </w:r>
      <w:r w:rsidRPr="00CA62F8">
        <w:rPr>
          <w:rFonts w:ascii="Times New Roman" w:hAnsi="Times New Roman" w:cs="Times New Roman"/>
          <w:sz w:val="24"/>
          <w:szCs w:val="24"/>
        </w:rPr>
        <w:t>4% of patients progressed to AP and/or BP</w:t>
      </w:r>
      <w:r>
        <w:rPr>
          <w:rFonts w:ascii="Times New Roman" w:hAnsi="Times New Roman" w:cs="Times New Roman"/>
          <w:sz w:val="24"/>
          <w:szCs w:val="24"/>
        </w:rPr>
        <w:t xml:space="preserve">, </w:t>
      </w:r>
      <w:r w:rsidRPr="00CA62F8">
        <w:rPr>
          <w:rFonts w:ascii="Times New Roman" w:hAnsi="Times New Roman" w:cs="Times New Roman"/>
          <w:sz w:val="24"/>
          <w:szCs w:val="24"/>
        </w:rPr>
        <w:t>correspond</w:t>
      </w:r>
      <w:r>
        <w:rPr>
          <w:rFonts w:ascii="Times New Roman" w:hAnsi="Times New Roman" w:cs="Times New Roman"/>
          <w:sz w:val="24"/>
          <w:szCs w:val="24"/>
        </w:rPr>
        <w:t>ing</w:t>
      </w:r>
      <w:r w:rsidRPr="00CA62F8">
        <w:rPr>
          <w:rFonts w:ascii="Times New Roman" w:hAnsi="Times New Roman" w:cs="Times New Roman"/>
          <w:sz w:val="24"/>
          <w:szCs w:val="24"/>
        </w:rPr>
        <w:t xml:space="preserve"> </w:t>
      </w:r>
      <w:r>
        <w:rPr>
          <w:rFonts w:ascii="Times New Roman" w:hAnsi="Times New Roman" w:cs="Times New Roman"/>
          <w:sz w:val="24"/>
          <w:szCs w:val="24"/>
        </w:rPr>
        <w:t xml:space="preserve">well </w:t>
      </w:r>
      <w:r w:rsidRPr="00CA62F8">
        <w:rPr>
          <w:rFonts w:ascii="Times New Roman" w:hAnsi="Times New Roman" w:cs="Times New Roman"/>
          <w:sz w:val="24"/>
          <w:szCs w:val="24"/>
        </w:rPr>
        <w:t xml:space="preserve">with the results of the Swedish </w:t>
      </w:r>
      <w:r>
        <w:rPr>
          <w:rFonts w:ascii="Times New Roman" w:hAnsi="Times New Roman" w:cs="Times New Roman"/>
          <w:sz w:val="24"/>
          <w:szCs w:val="24"/>
        </w:rPr>
        <w:t xml:space="preserve">CML </w:t>
      </w:r>
      <w:r w:rsidRPr="00CA62F8">
        <w:rPr>
          <w:rFonts w:ascii="Times New Roman" w:hAnsi="Times New Roman" w:cs="Times New Roman"/>
          <w:sz w:val="24"/>
          <w:szCs w:val="24"/>
        </w:rPr>
        <w:t>registry (3% by 12 months)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&lt;EndNote&gt;&lt;Cite&gt;&lt;Author&gt;Hoglund&lt;/Author&gt;&lt;Year&gt;2013&lt;/Year&gt;&lt;RecNum&gt;2553&lt;/RecNum&gt;&lt;DisplayText&gt;(Hoglund&lt;style face="italic"&gt;, et al&lt;/style&gt; 2013)&lt;/DisplayText&gt;&lt;record&gt;&lt;rec-number&gt;2553&lt;/rec-number&gt;&lt;foreign-keys&gt;&lt;key app="EN" db-id="sxxfsvre49szroewve75ep9j0v99v9vffext" timestamp="1567720898"&gt;2553&lt;/key&gt;&lt;/foreign-keys&gt;&lt;ref-type name="Journal Article"&gt;17&lt;/ref-type&gt;&lt;contributors&gt;&lt;authors&gt;&lt;author&gt;Hoglund, M.&lt;/author&gt;&lt;author&gt;Sandin, F.&lt;/author&gt;&lt;author&gt;Hellstrom, K.&lt;/author&gt;&lt;author&gt;Bjoreman, M.&lt;/author&gt;&lt;author&gt;Bjorkholm, M.&lt;/author&gt;&lt;author&gt;Brune, M.&lt;/author&gt;&lt;author&gt;Dreimane, A.&lt;/author&gt;&lt;author&gt;Ekblom, M.&lt;/author&gt;&lt;author&gt;Lehmann, S.&lt;/author&gt;&lt;author&gt;Ljungman, P.&lt;/author&gt;&lt;author&gt;Malm, C.&lt;/author&gt;&lt;author&gt;Markevarn, B.&lt;/author&gt;&lt;author&gt;Myhr-Eriksson, K.&lt;/author&gt;&lt;author&gt;Ohm, L.&lt;/author&gt;&lt;author&gt;Olsson-Stromberg, U.&lt;/author&gt;&lt;author&gt;Sjalander, A.&lt;/author&gt;&lt;author&gt;Wadenvik, H.&lt;/author&gt;&lt;author&gt;Simonsson, B.&lt;/author&gt;&lt;author&gt;Stenke, L.&lt;/author&gt;&lt;author&gt;Richter, J.&lt;/author&gt;&lt;/authors&gt;&lt;/contributors&gt;&lt;auth-address&gt;Department of Medical Science and Division of Hematology, University Hospital, Uppsala, Sweden;&lt;/auth-address&gt;&lt;titles&gt;&lt;title&gt;Tyrosine kinase inhibitor usage, treatment outcome and prognostic scores in CML: report from the population-based Swedish CML registry&lt;/title&gt;&lt;secondary-title&gt;Blood&lt;/secondary-title&gt;&lt;/titles&gt;&lt;periodical&gt;&lt;full-title&gt;Blood&lt;/full-title&gt;&lt;/periodical&gt;&lt;pages&gt;1284-1292&lt;/pages&gt;&lt;volume&gt;122&lt;/volume&gt;&lt;number&gt;7&lt;/number&gt;&lt;dates&gt;&lt;year&gt;2013&lt;/year&gt;&lt;/dates&gt;&lt;isbn&gt;1528-0020; 0006-4971&lt;/isbn&gt;&lt;urls&gt;&lt;/urls&gt;&lt;electronic-resource-num&gt;10.1182/blood-2013-04-495598&lt;/electronic-resource-num&gt;&lt;access-date&gt;Jul 10&lt;/access-date&gt;&lt;/record&gt;&lt;/Cite&gt;&lt;/EndNote&gt;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(Hoglund</w:t>
      </w:r>
      <w:r w:rsidRPr="00F74C1F">
        <w:rPr>
          <w:rFonts w:ascii="Times New Roman" w:hAnsi="Times New Roman" w:cs="Times New Roman"/>
          <w:i/>
          <w:noProof/>
          <w:sz w:val="24"/>
          <w:szCs w:val="24"/>
        </w:rPr>
        <w:t>, et al</w:t>
      </w:r>
      <w:r>
        <w:rPr>
          <w:rFonts w:ascii="Times New Roman" w:hAnsi="Times New Roman" w:cs="Times New Roman"/>
          <w:noProof/>
          <w:sz w:val="24"/>
          <w:szCs w:val="24"/>
        </w:rPr>
        <w:t xml:space="preserve"> 2013)</w:t>
      </w:r>
      <w:r>
        <w:rPr>
          <w:rFonts w:ascii="Times New Roman" w:hAnsi="Times New Roman" w:cs="Times New Roman"/>
          <w:sz w:val="24"/>
          <w:szCs w:val="24"/>
        </w:rPr>
        <w:fldChar w:fldCharType="end"/>
      </w:r>
      <w:r w:rsidRPr="00CA62F8">
        <w:rPr>
          <w:rFonts w:ascii="Times New Roman" w:hAnsi="Times New Roman" w:cs="Times New Roman"/>
          <w:sz w:val="24"/>
          <w:szCs w:val="24"/>
        </w:rPr>
        <w:t>.</w:t>
      </w:r>
    </w:p>
    <w:p w:rsidR="00B331A1" w:rsidRPr="000F0013" w:rsidRDefault="00B331A1" w:rsidP="00B331A1">
      <w:pPr>
        <w:autoSpaceDE w:val="0"/>
        <w:autoSpaceDN w:val="0"/>
        <w:adjustRightInd w:val="0"/>
        <w:spacing w:after="0" w:line="480" w:lineRule="auto"/>
        <w:rPr>
          <w:rFonts w:ascii="Times New Roman" w:hAnsi="Times New Roman" w:cs="Times New Roman"/>
          <w:sz w:val="24"/>
          <w:szCs w:val="24"/>
        </w:rPr>
      </w:pPr>
      <w:r w:rsidRPr="000F0013">
        <w:rPr>
          <w:rFonts w:ascii="Times New Roman" w:hAnsi="Times New Roman" w:cs="Times New Roman"/>
          <w:sz w:val="24"/>
          <w:szCs w:val="24"/>
        </w:rPr>
        <w:t xml:space="preserve">One key finding of this study is that ELN 2013 monitoring recommendations </w:t>
      </w:r>
      <w:r>
        <w:rPr>
          <w:rFonts w:ascii="Times New Roman" w:hAnsi="Times New Roman" w:cs="Times New Roman"/>
          <w:sz w:val="24"/>
          <w:szCs w:val="24"/>
        </w:rPr>
        <w:t>were</w:t>
      </w:r>
      <w:r w:rsidRPr="000F0013">
        <w:rPr>
          <w:rFonts w:ascii="Times New Roman" w:hAnsi="Times New Roman" w:cs="Times New Roman"/>
          <w:sz w:val="24"/>
          <w:szCs w:val="24"/>
        </w:rPr>
        <w:t xml:space="preserve"> not consistently implemented. Patients frequently did not have assessments at recommended time </w:t>
      </w:r>
      <w:r w:rsidRPr="000F0013">
        <w:rPr>
          <w:rFonts w:ascii="Times New Roman" w:hAnsi="Times New Roman" w:cs="Times New Roman"/>
          <w:sz w:val="24"/>
          <w:szCs w:val="24"/>
        </w:rPr>
        <w:lastRenderedPageBreak/>
        <w:t xml:space="preserve">points. This </w:t>
      </w:r>
      <w:r>
        <w:rPr>
          <w:rFonts w:ascii="Times New Roman" w:hAnsi="Times New Roman" w:cs="Times New Roman"/>
          <w:sz w:val="24"/>
          <w:szCs w:val="24"/>
        </w:rPr>
        <w:t xml:space="preserve">finding </w:t>
      </w:r>
      <w:r w:rsidRPr="000F0013">
        <w:rPr>
          <w:rFonts w:ascii="Times New Roman" w:hAnsi="Times New Roman" w:cs="Times New Roman"/>
          <w:sz w:val="24"/>
          <w:szCs w:val="24"/>
        </w:rPr>
        <w:t xml:space="preserve">is consistent with </w:t>
      </w:r>
      <w:r>
        <w:rPr>
          <w:rFonts w:ascii="Times New Roman" w:hAnsi="Times New Roman" w:cs="Times New Roman"/>
          <w:sz w:val="24"/>
          <w:szCs w:val="24"/>
        </w:rPr>
        <w:t>those</w:t>
      </w:r>
      <w:r w:rsidRPr="000F0013">
        <w:rPr>
          <w:rFonts w:ascii="Times New Roman" w:hAnsi="Times New Roman" w:cs="Times New Roman"/>
          <w:sz w:val="24"/>
          <w:szCs w:val="24"/>
        </w:rPr>
        <w:t xml:space="preserve"> from the SIMPLICITY study, which reported </w:t>
      </w:r>
      <w:r>
        <w:rPr>
          <w:rFonts w:ascii="Times New Roman" w:hAnsi="Times New Roman" w:cs="Times New Roman"/>
          <w:sz w:val="24"/>
          <w:szCs w:val="24"/>
        </w:rPr>
        <w:t>that</w:t>
      </w:r>
      <w:r w:rsidRPr="000F0013">
        <w:rPr>
          <w:rFonts w:ascii="Times New Roman" w:hAnsi="Times New Roman" w:cs="Times New Roman"/>
          <w:sz w:val="24"/>
          <w:szCs w:val="24"/>
        </w:rPr>
        <w:t xml:space="preserve"> monitoring </w:t>
      </w:r>
      <w:r>
        <w:rPr>
          <w:rFonts w:ascii="Times New Roman" w:hAnsi="Times New Roman" w:cs="Times New Roman"/>
          <w:sz w:val="24"/>
          <w:szCs w:val="24"/>
        </w:rPr>
        <w:t>was</w:t>
      </w:r>
      <w:r w:rsidRPr="000F0013">
        <w:rPr>
          <w:rFonts w:ascii="Times New Roman" w:hAnsi="Times New Roman" w:cs="Times New Roman"/>
          <w:sz w:val="24"/>
          <w:szCs w:val="24"/>
        </w:rPr>
        <w:t xml:space="preserve"> conducted less frequently than recommended, though with higher frequency in Europe than the United States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&lt;EndNote&gt;&lt;Cite&gt;&lt;Author&gt;Goldberg&lt;/Author&gt;&lt;Year&gt;2017&lt;/Year&gt;&lt;RecNum&gt;2077&lt;/RecNum&gt;&lt;DisplayText&gt;(Goldberg&lt;style face="italic"&gt;, et al&lt;/style&gt; 2017)&lt;/DisplayText&gt;&lt;record&gt;&lt;rec-number&gt;2077&lt;/rec-number&gt;&lt;foreign-keys&gt;&lt;key app="EN" db-id="sxxfsvre49szroewve75ep9j0v99v9vffext" timestamp="1567720898"&gt;2077&lt;/key&gt;&lt;/foreign-keys&gt;&lt;ref-type name="Journal Article"&gt;17&lt;/ref-type&gt;&lt;contributors&gt;&lt;authors&gt;&lt;author&gt;Goldberg, S. L.&lt;/author&gt;&lt;author&gt;Cortes, J. E.&lt;/author&gt;&lt;author&gt;Gambacorti-Passerini, C.&lt;/author&gt;&lt;author&gt;Hehlmann, R.&lt;/author&gt;&lt;author&gt;Khoury, H. J.&lt;/author&gt;&lt;author&gt;Michallet, M.&lt;/author&gt;&lt;author&gt;Paquette, R. L.&lt;/author&gt;&lt;author&gt;Simonsson, B.&lt;/author&gt;&lt;author&gt;Zyczynski, T.&lt;/author&gt;&lt;author&gt;Foreman, A.&lt;/author&gt;&lt;author&gt;Abruzzese, E.&lt;/author&gt;&lt;author&gt;Andorsky, D.&lt;/author&gt;&lt;author&gt;Beeker, A.&lt;/author&gt;&lt;author&gt;Cony-Makhoul, P.&lt;/author&gt;&lt;author&gt;Hansen, R.&lt;/author&gt;&lt;author&gt;Lomaia, E.&lt;/author&gt;&lt;author&gt;Olavarria, E.&lt;/author&gt;&lt;author&gt;Mauro, M. J.&lt;/author&gt;&lt;/authors&gt;&lt;/contributors&gt;&lt;titles&gt;&lt;title&gt;First-line treatment selection and early monitoring patterns in chronic phase-chronic myeloid leukemia in routine clinical practice: SIMPLICITY&lt;/title&gt;&lt;secondary-title&gt;Am J Hematol&lt;/secondary-title&gt;&lt;/titles&gt;&lt;periodical&gt;&lt;full-title&gt;Am J Hematol&lt;/full-title&gt;&lt;/periodical&gt;&lt;pages&gt;1214-1223&lt;/pages&gt;&lt;volume&gt;92&lt;/volume&gt;&lt;number&gt;11&lt;/number&gt;&lt;dates&gt;&lt;year&gt;2017&lt;/year&gt;&lt;/dates&gt;&lt;urls&gt;&lt;/urls&gt;&lt;electronic-resource-num&gt;10.1002/ajh.24887&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(Goldberg</w:t>
      </w:r>
      <w:r w:rsidRPr="006B72EC">
        <w:rPr>
          <w:rFonts w:ascii="Times New Roman" w:hAnsi="Times New Roman" w:cs="Times New Roman"/>
          <w:i/>
          <w:noProof/>
          <w:sz w:val="24"/>
          <w:szCs w:val="24"/>
        </w:rPr>
        <w:t>, et al</w:t>
      </w:r>
      <w:r>
        <w:rPr>
          <w:rFonts w:ascii="Times New Roman" w:hAnsi="Times New Roman" w:cs="Times New Roman"/>
          <w:noProof/>
          <w:sz w:val="24"/>
          <w:szCs w:val="24"/>
        </w:rPr>
        <w:t xml:space="preserve"> 2017)</w:t>
      </w:r>
      <w:r>
        <w:rPr>
          <w:rFonts w:ascii="Times New Roman" w:hAnsi="Times New Roman" w:cs="Times New Roman"/>
          <w:sz w:val="24"/>
          <w:szCs w:val="24"/>
        </w:rPr>
        <w:fldChar w:fldCharType="end"/>
      </w:r>
      <w:r w:rsidRPr="000F0013">
        <w:rPr>
          <w:rFonts w:ascii="Times New Roman" w:hAnsi="Times New Roman" w:cs="Times New Roman"/>
          <w:sz w:val="24"/>
          <w:szCs w:val="24"/>
        </w:rPr>
        <w:t xml:space="preserve">. This </w:t>
      </w:r>
      <w:r>
        <w:rPr>
          <w:rFonts w:ascii="Times New Roman" w:hAnsi="Times New Roman" w:cs="Times New Roman"/>
          <w:sz w:val="24"/>
          <w:szCs w:val="24"/>
        </w:rPr>
        <w:t xml:space="preserve">finding </w:t>
      </w:r>
      <w:r w:rsidRPr="000F0013">
        <w:rPr>
          <w:rFonts w:ascii="Times New Roman" w:hAnsi="Times New Roman" w:cs="Times New Roman"/>
          <w:sz w:val="24"/>
          <w:szCs w:val="24"/>
        </w:rPr>
        <w:t xml:space="preserve">is important </w:t>
      </w:r>
      <w:r>
        <w:rPr>
          <w:rFonts w:ascii="Times New Roman" w:hAnsi="Times New Roman" w:cs="Times New Roman"/>
          <w:sz w:val="24"/>
          <w:szCs w:val="24"/>
        </w:rPr>
        <w:t>because</w:t>
      </w:r>
      <w:r w:rsidRPr="000F0013">
        <w:rPr>
          <w:rFonts w:ascii="Times New Roman" w:hAnsi="Times New Roman" w:cs="Times New Roman"/>
          <w:sz w:val="24"/>
          <w:szCs w:val="24"/>
        </w:rPr>
        <w:t xml:space="preserve"> a previous study show</w:t>
      </w:r>
      <w:r>
        <w:rPr>
          <w:rFonts w:ascii="Times New Roman" w:hAnsi="Times New Roman" w:cs="Times New Roman"/>
          <w:sz w:val="24"/>
          <w:szCs w:val="24"/>
        </w:rPr>
        <w:t>ed</w:t>
      </w:r>
      <w:r w:rsidRPr="000F0013">
        <w:rPr>
          <w:rFonts w:ascii="Times New Roman" w:hAnsi="Times New Roman" w:cs="Times New Roman"/>
          <w:sz w:val="24"/>
          <w:szCs w:val="24"/>
        </w:rPr>
        <w:t xml:space="preserve"> that patients </w:t>
      </w:r>
      <w:r>
        <w:rPr>
          <w:rFonts w:ascii="Times New Roman" w:hAnsi="Times New Roman" w:cs="Times New Roman"/>
          <w:sz w:val="24"/>
          <w:szCs w:val="24"/>
        </w:rPr>
        <w:t>without</w:t>
      </w:r>
      <w:r w:rsidRPr="000F0013">
        <w:rPr>
          <w:rFonts w:ascii="Times New Roman" w:hAnsi="Times New Roman" w:cs="Times New Roman"/>
          <w:sz w:val="24"/>
          <w:szCs w:val="24"/>
        </w:rPr>
        <w:t xml:space="preserve"> frequent molecular monitoring were at higher risk of disease progression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&lt;EndNote&gt;&lt;Cite&gt;&lt;Author&gt;Goldberg&lt;/Author&gt;&lt;Year&gt;2013&lt;/Year&gt;&lt;RecNum&gt;2084&lt;/RecNum&gt;&lt;DisplayText&gt;(Goldberg&lt;style face="italic"&gt;, et al&lt;/style&gt; 2013)&lt;/DisplayText&gt;&lt;record&gt;&lt;rec-number&gt;2084&lt;/rec-number&gt;&lt;foreign-keys&gt;&lt;key app="EN" db-id="sxxfsvre49szroewve75ep9j0v99v9vffext" timestamp="1567720898"&gt;2084&lt;/key&gt;&lt;/foreign-keys&gt;&lt;ref-type name="Journal Article"&gt;17&lt;/ref-type&gt;&lt;contributors&gt;&lt;authors&gt;&lt;author&gt;Goldberg, S. L.&lt;/author&gt;&lt;author&gt;Chen, L.&lt;/author&gt;&lt;author&gt;Guerin, A.&lt;/author&gt;&lt;author&gt;Macalalad, A. R.&lt;/author&gt;&lt;author&gt;Liu, N.&lt;/author&gt;&lt;author&gt;Kaminsky, M.&lt;/author&gt;&lt;author&gt;Ericson, S. G.&lt;/author&gt;&lt;author&gt;Wu, E. Q.&lt;/author&gt;&lt;/authors&gt;&lt;/contributors&gt;&lt;auth-address&gt;John Theurer Cancer Center at Hackensack University Medical Center, Hackensack, NJ USA.&lt;/auth-address&gt;&lt;titles&gt;&lt;title&gt;Association between molecular monitoring and long-term outcomes in chronic myelogenous leukemia patients treated with first line imatinib&lt;/title&gt;&lt;secondary-title&gt;Current medical research and opinion&lt;/secondary-title&gt;&lt;/titles&gt;&lt;periodical&gt;&lt;full-title&gt;Current medical research and opinion&lt;/full-title&gt;&lt;/periodical&gt;&lt;pages&gt;1075-1082&lt;/pages&gt;&lt;volume&gt;29&lt;/volume&gt;&lt;number&gt;9&lt;/number&gt;&lt;dates&gt;&lt;year&gt;2013&lt;/year&gt;&lt;/dates&gt;&lt;isbn&gt;1473-4877; 0300-7995&lt;/isbn&gt;&lt;urls&gt;&lt;/urls&gt;&lt;electronic-resource-num&gt;10.1185/03007995.2013.812034&lt;/electronic-resource-num&gt;&lt;access-date&gt;Jun 5&lt;/access-date&gt;&lt;/record&gt;&lt;/Cite&gt;&lt;/EndNote&gt;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(Goldberg</w:t>
      </w:r>
      <w:r w:rsidRPr="006B72EC">
        <w:rPr>
          <w:rFonts w:ascii="Times New Roman" w:hAnsi="Times New Roman" w:cs="Times New Roman"/>
          <w:i/>
          <w:noProof/>
          <w:sz w:val="24"/>
          <w:szCs w:val="24"/>
        </w:rPr>
        <w:t>, et al</w:t>
      </w:r>
      <w:r>
        <w:rPr>
          <w:rFonts w:ascii="Times New Roman" w:hAnsi="Times New Roman" w:cs="Times New Roman"/>
          <w:noProof/>
          <w:sz w:val="24"/>
          <w:szCs w:val="24"/>
        </w:rPr>
        <w:t xml:space="preserve"> 2013)</w:t>
      </w:r>
      <w:r>
        <w:rPr>
          <w:rFonts w:ascii="Times New Roman" w:hAnsi="Times New Roman" w:cs="Times New Roman"/>
          <w:sz w:val="24"/>
          <w:szCs w:val="24"/>
        </w:rPr>
        <w:fldChar w:fldCharType="end"/>
      </w:r>
      <w:r>
        <w:rPr>
          <w:rFonts w:ascii="Times New Roman" w:hAnsi="Times New Roman" w:cs="Times New Roman"/>
          <w:sz w:val="24"/>
          <w:szCs w:val="24"/>
        </w:rPr>
        <w:t>.</w:t>
      </w:r>
      <w:r w:rsidRPr="000F0013">
        <w:rPr>
          <w:rFonts w:ascii="Times New Roman" w:hAnsi="Times New Roman" w:cs="Times New Roman"/>
          <w:sz w:val="24"/>
          <w:szCs w:val="24"/>
        </w:rPr>
        <w:t xml:space="preserve"> In addition, frequent molecular monitoring (3</w:t>
      </w:r>
      <w:r>
        <w:rPr>
          <w:rFonts w:ascii="Times New Roman" w:hAnsi="Times New Roman" w:cs="Times New Roman"/>
          <w:sz w:val="24"/>
          <w:szCs w:val="24"/>
        </w:rPr>
        <w:t>-</w:t>
      </w:r>
      <w:r w:rsidRPr="000F0013">
        <w:rPr>
          <w:rFonts w:ascii="Times New Roman" w:hAnsi="Times New Roman" w:cs="Times New Roman"/>
          <w:sz w:val="24"/>
          <w:szCs w:val="24"/>
        </w:rPr>
        <w:t xml:space="preserve">4 times per year) </w:t>
      </w:r>
      <w:r>
        <w:rPr>
          <w:rFonts w:ascii="Times New Roman" w:hAnsi="Times New Roman" w:cs="Times New Roman"/>
          <w:sz w:val="24"/>
          <w:szCs w:val="24"/>
        </w:rPr>
        <w:t>was</w:t>
      </w:r>
      <w:r w:rsidRPr="000F0013">
        <w:rPr>
          <w:rFonts w:ascii="Times New Roman" w:hAnsi="Times New Roman" w:cs="Times New Roman"/>
          <w:sz w:val="24"/>
          <w:szCs w:val="24"/>
        </w:rPr>
        <w:t xml:space="preserve"> associated with greater TKI treatment adherence </w:t>
      </w:r>
      <w:r>
        <w:rPr>
          <w:rFonts w:ascii="Times New Roman" w:hAnsi="Times New Roman" w:cs="Times New Roman"/>
          <w:sz w:val="24"/>
          <w:szCs w:val="24"/>
        </w:rPr>
        <w:t>in</w:t>
      </w:r>
      <w:r w:rsidRPr="000F0013">
        <w:rPr>
          <w:rFonts w:ascii="Times New Roman" w:hAnsi="Times New Roman" w:cs="Times New Roman"/>
          <w:sz w:val="24"/>
          <w:szCs w:val="24"/>
        </w:rPr>
        <w:t xml:space="preserve"> patients with CML</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&lt;EndNote&gt;&lt;Cite&gt;&lt;Author&gt;Guerin&lt;/Author&gt;&lt;Year&gt;2014&lt;/Year&gt;&lt;RecNum&gt;2209&lt;/RecNum&gt;&lt;DisplayText&gt;(Guerin&lt;style face="italic"&gt;, et al&lt;/style&gt; 2014)&lt;/DisplayText&gt;&lt;record&gt;&lt;rec-number&gt;2209&lt;/rec-number&gt;&lt;foreign-keys&gt;&lt;key app="EN" db-id="sxxfsvre49szroewve75ep9j0v99v9vffext" timestamp="1567720898"&gt;2209&lt;/key&gt;&lt;/foreign-keys&gt;&lt;ref-type name="Journal Article"&gt;17&lt;/ref-type&gt;&lt;contributors&gt;&lt;authors&gt;&lt;author&gt;Guerin, A.&lt;/author&gt;&lt;author&gt;Chen, L.&lt;/author&gt;&lt;author&gt;Dea, K.&lt;/author&gt;&lt;author&gt;Wu, E. Q.&lt;/author&gt;&lt;author&gt;Goldberg, S. L.&lt;/author&gt;&lt;/authors&gt;&lt;/contributors&gt;&lt;auth-address&gt;John Theurer Cancer Center at Hackensack University Medical Center, Hackensack, NJ USA.&lt;/auth-address&gt;&lt;titles&gt;&lt;title&gt;Association between regular molecular monitoring and tyrosine kinase inhibitor therapy adherence in chronic myelogenous leukemia in the chronic phase&lt;/title&gt;&lt;secondary-title&gt;Current medical research and opinion&lt;/secondary-title&gt;&lt;/titles&gt;&lt;periodical&gt;&lt;full-title&gt;Current medical research and opinion&lt;/full-title&gt;&lt;/periodical&gt;&lt;pages&gt;1345-1352&lt;/pages&gt;&lt;volume&gt;30&lt;/volume&gt;&lt;number&gt;7&lt;/number&gt;&lt;dates&gt;&lt;year&gt;2014&lt;/year&gt;&lt;/dates&gt;&lt;isbn&gt;1473-4877; 0300-7995&lt;/isbn&gt;&lt;urls&gt;&lt;/urls&gt;&lt;electronic-resource-num&gt;10.1185/03007995.2014.904281&lt;/electronic-resource-num&gt;&lt;access-date&gt;Mar 18&lt;/access-date&gt;&lt;/record&gt;&lt;/Cite&gt;&lt;/EndNote&gt;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(Guerin</w:t>
      </w:r>
      <w:r w:rsidRPr="006B72EC">
        <w:rPr>
          <w:rFonts w:ascii="Times New Roman" w:hAnsi="Times New Roman" w:cs="Times New Roman"/>
          <w:i/>
          <w:noProof/>
          <w:sz w:val="24"/>
          <w:szCs w:val="24"/>
        </w:rPr>
        <w:t>, et al</w:t>
      </w:r>
      <w:r>
        <w:rPr>
          <w:rFonts w:ascii="Times New Roman" w:hAnsi="Times New Roman" w:cs="Times New Roman"/>
          <w:noProof/>
          <w:sz w:val="24"/>
          <w:szCs w:val="24"/>
        </w:rPr>
        <w:t xml:space="preserve"> 2014)</w:t>
      </w:r>
      <w:r>
        <w:rPr>
          <w:rFonts w:ascii="Times New Roman" w:hAnsi="Times New Roman" w:cs="Times New Roman"/>
          <w:sz w:val="24"/>
          <w:szCs w:val="24"/>
        </w:rPr>
        <w:fldChar w:fldCharType="end"/>
      </w:r>
      <w:r>
        <w:rPr>
          <w:rFonts w:ascii="Times New Roman" w:hAnsi="Times New Roman" w:cs="Times New Roman"/>
          <w:sz w:val="24"/>
          <w:szCs w:val="24"/>
        </w:rPr>
        <w:t>.</w:t>
      </w:r>
      <w:r w:rsidRPr="000F0013">
        <w:rPr>
          <w:rFonts w:ascii="Times New Roman" w:hAnsi="Times New Roman" w:cs="Times New Roman"/>
          <w:sz w:val="24"/>
          <w:szCs w:val="24"/>
        </w:rPr>
        <w:t xml:space="preserve"> </w:t>
      </w:r>
    </w:p>
    <w:p w:rsidR="00B331A1" w:rsidRPr="00821C3A" w:rsidRDefault="00B331A1" w:rsidP="00B331A1">
      <w:pPr>
        <w:autoSpaceDE w:val="0"/>
        <w:autoSpaceDN w:val="0"/>
        <w:adjustRightInd w:val="0"/>
        <w:spacing w:after="0" w:line="480" w:lineRule="auto"/>
        <w:rPr>
          <w:rFonts w:ascii="Times New Roman" w:hAnsi="Times New Roman" w:cs="Times New Roman"/>
          <w:color w:val="231F20"/>
          <w:sz w:val="24"/>
          <w:szCs w:val="24"/>
        </w:rPr>
      </w:pPr>
      <w:r w:rsidRPr="000F0013">
        <w:rPr>
          <w:rFonts w:ascii="Times New Roman" w:hAnsi="Times New Roman" w:cs="Times New Roman"/>
          <w:color w:val="231F20"/>
          <w:sz w:val="24"/>
          <w:szCs w:val="24"/>
        </w:rPr>
        <w:t>Overall</w:t>
      </w:r>
      <w:r>
        <w:rPr>
          <w:rFonts w:ascii="Times New Roman" w:hAnsi="Times New Roman" w:cs="Times New Roman"/>
          <w:color w:val="231F20"/>
          <w:sz w:val="24"/>
          <w:szCs w:val="24"/>
        </w:rPr>
        <w:t>,</w:t>
      </w:r>
      <w:r w:rsidRPr="000F0013">
        <w:rPr>
          <w:rFonts w:ascii="Times New Roman" w:hAnsi="Times New Roman" w:cs="Times New Roman"/>
          <w:color w:val="231F20"/>
          <w:sz w:val="24"/>
          <w:szCs w:val="24"/>
        </w:rPr>
        <w:t xml:space="preserve"> in </w:t>
      </w:r>
      <w:r>
        <w:rPr>
          <w:rFonts w:ascii="Times New Roman" w:hAnsi="Times New Roman" w:cs="Times New Roman"/>
          <w:color w:val="231F20"/>
          <w:sz w:val="24"/>
          <w:szCs w:val="24"/>
        </w:rPr>
        <w:t>our</w:t>
      </w:r>
      <w:r w:rsidRPr="000F0013">
        <w:rPr>
          <w:rFonts w:ascii="Times New Roman" w:hAnsi="Times New Roman" w:cs="Times New Roman"/>
          <w:color w:val="231F20"/>
          <w:sz w:val="24"/>
          <w:szCs w:val="24"/>
        </w:rPr>
        <w:t xml:space="preserve"> study, 86% of patients had ≥3 molecular response tests during </w:t>
      </w:r>
      <w:r>
        <w:rPr>
          <w:rFonts w:ascii="Times New Roman" w:hAnsi="Times New Roman" w:cs="Times New Roman"/>
          <w:color w:val="231F20"/>
          <w:sz w:val="24"/>
          <w:szCs w:val="24"/>
        </w:rPr>
        <w:t xml:space="preserve">their </w:t>
      </w:r>
      <w:r w:rsidRPr="000F0013">
        <w:rPr>
          <w:rFonts w:ascii="Times New Roman" w:hAnsi="Times New Roman" w:cs="Times New Roman"/>
          <w:color w:val="231F20"/>
          <w:sz w:val="24"/>
          <w:szCs w:val="24"/>
        </w:rPr>
        <w:t>first year of TKI treatment</w:t>
      </w:r>
      <w:r>
        <w:rPr>
          <w:rFonts w:ascii="Times New Roman" w:hAnsi="Times New Roman" w:cs="Times New Roman"/>
          <w:color w:val="231F20"/>
          <w:sz w:val="24"/>
          <w:szCs w:val="24"/>
        </w:rPr>
        <w:t>,</w:t>
      </w:r>
      <w:r w:rsidRPr="000F0013">
        <w:rPr>
          <w:rFonts w:ascii="Times New Roman" w:hAnsi="Times New Roman" w:cs="Times New Roman"/>
          <w:color w:val="231F20"/>
          <w:sz w:val="24"/>
          <w:szCs w:val="24"/>
        </w:rPr>
        <w:t xml:space="preserve"> while </w:t>
      </w:r>
      <w:r>
        <w:rPr>
          <w:rFonts w:ascii="Times New Roman" w:hAnsi="Times New Roman" w:cs="Times New Roman"/>
          <w:color w:val="231F20"/>
          <w:sz w:val="24"/>
          <w:szCs w:val="24"/>
        </w:rPr>
        <w:t xml:space="preserve">SIMPLICITY reported 46% for Europe </w:t>
      </w:r>
      <w:r>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 ADDIN EN.CITE &lt;EndNote&gt;&lt;Cite&gt;&lt;Author&gt;Goldberg&lt;/Author&gt;&lt;Year&gt;2017&lt;/Year&gt;&lt;RecNum&gt;2077&lt;/RecNum&gt;&lt;DisplayText&gt;(Goldberg&lt;style face="italic"&gt;, et al&lt;/style&gt; 2017)&lt;/DisplayText&gt;&lt;record&gt;&lt;rec-number&gt;2077&lt;/rec-number&gt;&lt;foreign-keys&gt;&lt;key app="EN" db-id="sxxfsvre49szroewve75ep9j0v99v9vffext" timestamp="1567720898"&gt;2077&lt;/key&gt;&lt;/foreign-keys&gt;&lt;ref-type name="Journal Article"&gt;17&lt;/ref-type&gt;&lt;contributors&gt;&lt;authors&gt;&lt;author&gt;Goldberg, S. L.&lt;/author&gt;&lt;author&gt;Cortes, J. E.&lt;/author&gt;&lt;author&gt;Gambacorti-Passerini, C.&lt;/author&gt;&lt;author&gt;Hehlmann, R.&lt;/author&gt;&lt;author&gt;Khoury, H. J.&lt;/author&gt;&lt;author&gt;Michallet, M.&lt;/author&gt;&lt;author&gt;Paquette, R. L.&lt;/author&gt;&lt;author&gt;Simonsson, B.&lt;/author&gt;&lt;author&gt;Zyczynski, T.&lt;/author&gt;&lt;author&gt;Foreman, A.&lt;/author&gt;&lt;author&gt;Abruzzese, E.&lt;/author&gt;&lt;author&gt;Andorsky, D.&lt;/author&gt;&lt;author&gt;Beeker, A.&lt;/author&gt;&lt;author&gt;Cony-Makhoul, P.&lt;/author&gt;&lt;author&gt;Hansen, R.&lt;/author&gt;&lt;author&gt;Lomaia, E.&lt;/author&gt;&lt;author&gt;Olavarria, E.&lt;/author&gt;&lt;author&gt;Mauro, M. J.&lt;/author&gt;&lt;/authors&gt;&lt;/contributors&gt;&lt;titles&gt;&lt;title&gt;First-line treatment selection and early monitoring patterns in chronic phase-chronic myeloid leukemia in routine clinical practice: SIMPLICITY&lt;/title&gt;&lt;secondary-title&gt;Am J Hematol&lt;/secondary-title&gt;&lt;/titles&gt;&lt;periodical&gt;&lt;full-title&gt;Am J Hematol&lt;/full-title&gt;&lt;/periodical&gt;&lt;pages&gt;1214-1223&lt;/pages&gt;&lt;volume&gt;92&lt;/volume&gt;&lt;number&gt;11&lt;/number&gt;&lt;dates&gt;&lt;year&gt;2017&lt;/year&gt;&lt;/dates&gt;&lt;urls&gt;&lt;/urls&gt;&lt;electronic-resource-num&gt;10.1002/ajh.24887&lt;/electronic-resource-num&gt;&lt;/record&gt;&lt;/Cite&gt;&lt;/EndNote&gt;</w:instrText>
      </w:r>
      <w:r>
        <w:rPr>
          <w:rFonts w:ascii="Times New Roman" w:hAnsi="Times New Roman" w:cs="Times New Roman"/>
          <w:color w:val="231F20"/>
          <w:sz w:val="24"/>
          <w:szCs w:val="24"/>
        </w:rPr>
        <w:fldChar w:fldCharType="separate"/>
      </w:r>
      <w:r>
        <w:rPr>
          <w:rFonts w:ascii="Times New Roman" w:hAnsi="Times New Roman" w:cs="Times New Roman"/>
          <w:noProof/>
          <w:color w:val="231F20"/>
          <w:sz w:val="24"/>
          <w:szCs w:val="24"/>
        </w:rPr>
        <w:t>(Goldberg</w:t>
      </w:r>
      <w:r w:rsidRPr="006B72EC">
        <w:rPr>
          <w:rFonts w:ascii="Times New Roman" w:hAnsi="Times New Roman" w:cs="Times New Roman"/>
          <w:i/>
          <w:noProof/>
          <w:color w:val="231F20"/>
          <w:sz w:val="24"/>
          <w:szCs w:val="24"/>
        </w:rPr>
        <w:t>, et al</w:t>
      </w:r>
      <w:r>
        <w:rPr>
          <w:rFonts w:ascii="Times New Roman" w:hAnsi="Times New Roman" w:cs="Times New Roman"/>
          <w:noProof/>
          <w:color w:val="231F20"/>
          <w:sz w:val="24"/>
          <w:szCs w:val="24"/>
        </w:rPr>
        <w:t xml:space="preserve"> 2017)</w:t>
      </w:r>
      <w:r>
        <w:rPr>
          <w:rFonts w:ascii="Times New Roman" w:hAnsi="Times New Roman" w:cs="Times New Roman"/>
          <w:color w:val="231F20"/>
          <w:sz w:val="24"/>
          <w:szCs w:val="24"/>
        </w:rPr>
        <w:fldChar w:fldCharType="end"/>
      </w:r>
      <w:r>
        <w:rPr>
          <w:rFonts w:ascii="Times New Roman" w:hAnsi="Times New Roman" w:cs="Times New Roman"/>
          <w:color w:val="231F20"/>
          <w:sz w:val="24"/>
          <w:szCs w:val="24"/>
        </w:rPr>
        <w:t>,</w:t>
      </w:r>
      <w:r w:rsidRPr="000F0013">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a finding that </w:t>
      </w:r>
      <w:r w:rsidRPr="000F0013">
        <w:rPr>
          <w:rFonts w:ascii="Times New Roman" w:hAnsi="Times New Roman" w:cs="Times New Roman"/>
          <w:color w:val="231F20"/>
          <w:sz w:val="24"/>
          <w:szCs w:val="24"/>
        </w:rPr>
        <w:t>potentially reflect</w:t>
      </w:r>
      <w:r>
        <w:rPr>
          <w:rFonts w:ascii="Times New Roman" w:hAnsi="Times New Roman" w:cs="Times New Roman"/>
          <w:color w:val="231F20"/>
          <w:sz w:val="24"/>
          <w:szCs w:val="24"/>
        </w:rPr>
        <w:t>s</w:t>
      </w:r>
      <w:r w:rsidRPr="000F0013">
        <w:rPr>
          <w:rFonts w:ascii="Times New Roman" w:hAnsi="Times New Roman" w:cs="Times New Roman"/>
          <w:color w:val="231F20"/>
          <w:sz w:val="24"/>
          <w:szCs w:val="24"/>
        </w:rPr>
        <w:t xml:space="preserve"> UK</w:t>
      </w:r>
      <w:r>
        <w:rPr>
          <w:rFonts w:ascii="Times New Roman" w:hAnsi="Times New Roman" w:cs="Times New Roman"/>
          <w:color w:val="231F20"/>
          <w:sz w:val="24"/>
          <w:szCs w:val="24"/>
        </w:rPr>
        <w:t>-</w:t>
      </w:r>
      <w:r w:rsidRPr="000F0013">
        <w:rPr>
          <w:rFonts w:ascii="Times New Roman" w:hAnsi="Times New Roman" w:cs="Times New Roman"/>
          <w:color w:val="231F20"/>
          <w:sz w:val="24"/>
          <w:szCs w:val="24"/>
        </w:rPr>
        <w:t xml:space="preserve">specific practice </w:t>
      </w:r>
      <w:r>
        <w:rPr>
          <w:rFonts w:ascii="Times New Roman" w:hAnsi="Times New Roman" w:cs="Times New Roman"/>
          <w:color w:val="231F20"/>
          <w:sz w:val="24"/>
          <w:szCs w:val="24"/>
        </w:rPr>
        <w:t xml:space="preserve">or </w:t>
      </w:r>
      <w:r w:rsidRPr="000F0013">
        <w:rPr>
          <w:rFonts w:ascii="Times New Roman" w:hAnsi="Times New Roman" w:cs="Times New Roman"/>
          <w:color w:val="231F20"/>
          <w:sz w:val="24"/>
          <w:szCs w:val="24"/>
        </w:rPr>
        <w:t xml:space="preserve">changes in practice over time (UK patients </w:t>
      </w:r>
      <w:r>
        <w:rPr>
          <w:rFonts w:ascii="Times New Roman" w:hAnsi="Times New Roman" w:cs="Times New Roman"/>
          <w:color w:val="231F20"/>
          <w:sz w:val="24"/>
          <w:szCs w:val="24"/>
        </w:rPr>
        <w:t xml:space="preserve">who were first </w:t>
      </w:r>
      <w:r w:rsidRPr="000F0013">
        <w:rPr>
          <w:rFonts w:ascii="Times New Roman" w:hAnsi="Times New Roman" w:cs="Times New Roman"/>
          <w:color w:val="231F20"/>
          <w:sz w:val="24"/>
          <w:szCs w:val="24"/>
        </w:rPr>
        <w:t xml:space="preserve">treated </w:t>
      </w:r>
      <w:r>
        <w:rPr>
          <w:rFonts w:ascii="Times New Roman" w:hAnsi="Times New Roman" w:cs="Times New Roman"/>
          <w:color w:val="231F20"/>
          <w:sz w:val="24"/>
          <w:szCs w:val="24"/>
        </w:rPr>
        <w:t>in</w:t>
      </w:r>
      <w:r w:rsidRPr="000F0013">
        <w:rPr>
          <w:rFonts w:ascii="Times New Roman" w:hAnsi="Times New Roman" w:cs="Times New Roman"/>
          <w:color w:val="231F20"/>
          <w:sz w:val="24"/>
          <w:szCs w:val="24"/>
        </w:rPr>
        <w:t xml:space="preserve"> 2013</w:t>
      </w:r>
      <w:r>
        <w:rPr>
          <w:rFonts w:ascii="Times New Roman" w:hAnsi="Times New Roman" w:cs="Times New Roman"/>
          <w:color w:val="231F20"/>
          <w:sz w:val="24"/>
          <w:szCs w:val="24"/>
        </w:rPr>
        <w:t>-</w:t>
      </w:r>
      <w:r w:rsidRPr="000F0013">
        <w:rPr>
          <w:rFonts w:ascii="Times New Roman" w:hAnsi="Times New Roman" w:cs="Times New Roman"/>
          <w:color w:val="231F20"/>
          <w:sz w:val="24"/>
          <w:szCs w:val="24"/>
        </w:rPr>
        <w:t xml:space="preserve">2017 </w:t>
      </w:r>
      <w:r>
        <w:rPr>
          <w:rFonts w:ascii="Times New Roman" w:hAnsi="Times New Roman" w:cs="Times New Roman"/>
          <w:color w:val="231F20"/>
          <w:sz w:val="24"/>
          <w:szCs w:val="24"/>
        </w:rPr>
        <w:t xml:space="preserve">were </w:t>
      </w:r>
      <w:r w:rsidRPr="000F0013">
        <w:rPr>
          <w:rFonts w:ascii="Times New Roman" w:hAnsi="Times New Roman" w:cs="Times New Roman"/>
          <w:color w:val="231F20"/>
          <w:sz w:val="24"/>
          <w:szCs w:val="24"/>
        </w:rPr>
        <w:t xml:space="preserve">compared with SIMPLICITY </w:t>
      </w:r>
      <w:r>
        <w:rPr>
          <w:rFonts w:ascii="Times New Roman" w:hAnsi="Times New Roman" w:cs="Times New Roman"/>
          <w:color w:val="231F20"/>
          <w:sz w:val="24"/>
          <w:szCs w:val="24"/>
        </w:rPr>
        <w:t xml:space="preserve">patients </w:t>
      </w:r>
      <w:r w:rsidRPr="000F0013">
        <w:rPr>
          <w:rFonts w:ascii="Times New Roman" w:hAnsi="Times New Roman" w:cs="Times New Roman"/>
          <w:color w:val="231F20"/>
          <w:sz w:val="24"/>
          <w:szCs w:val="24"/>
        </w:rPr>
        <w:t xml:space="preserve">first treated </w:t>
      </w:r>
      <w:r>
        <w:rPr>
          <w:rFonts w:ascii="Times New Roman" w:hAnsi="Times New Roman" w:cs="Times New Roman"/>
          <w:color w:val="231F20"/>
          <w:sz w:val="24"/>
          <w:szCs w:val="24"/>
        </w:rPr>
        <w:t>in</w:t>
      </w:r>
      <w:r w:rsidRPr="000F0013">
        <w:rPr>
          <w:rFonts w:ascii="Times New Roman" w:hAnsi="Times New Roman" w:cs="Times New Roman"/>
          <w:color w:val="231F20"/>
          <w:sz w:val="24"/>
          <w:szCs w:val="24"/>
        </w:rPr>
        <w:t xml:space="preserve"> 2010</w:t>
      </w:r>
      <w:r>
        <w:rPr>
          <w:rFonts w:ascii="Times New Roman" w:hAnsi="Times New Roman" w:cs="Times New Roman"/>
          <w:color w:val="231F20"/>
          <w:sz w:val="24"/>
          <w:szCs w:val="24"/>
        </w:rPr>
        <w:t>-</w:t>
      </w:r>
      <w:r w:rsidRPr="000F0013">
        <w:rPr>
          <w:rFonts w:ascii="Times New Roman" w:hAnsi="Times New Roman" w:cs="Times New Roman"/>
          <w:color w:val="231F20"/>
          <w:sz w:val="24"/>
          <w:szCs w:val="24"/>
        </w:rPr>
        <w:t>2015). Furthermore</w:t>
      </w:r>
      <w:r>
        <w:rPr>
          <w:rFonts w:ascii="Times New Roman" w:hAnsi="Times New Roman" w:cs="Times New Roman"/>
          <w:sz w:val="24"/>
          <w:szCs w:val="24"/>
        </w:rPr>
        <w:t xml:space="preserve">, </w:t>
      </w:r>
      <w:r w:rsidRPr="000F0013">
        <w:rPr>
          <w:rFonts w:ascii="Times New Roman" w:hAnsi="Times New Roman" w:cs="Times New Roman"/>
          <w:color w:val="231F20"/>
          <w:sz w:val="24"/>
          <w:szCs w:val="24"/>
        </w:rPr>
        <w:t xml:space="preserve">our UK study observed a relatively high level of testing for </w:t>
      </w:r>
      <w:r>
        <w:rPr>
          <w:rFonts w:ascii="Times New Roman" w:hAnsi="Times New Roman" w:cs="Times New Roman"/>
          <w:color w:val="231F20"/>
          <w:sz w:val="24"/>
          <w:szCs w:val="24"/>
        </w:rPr>
        <w:t xml:space="preserve">early molecular response (EMR) </w:t>
      </w:r>
      <w:r w:rsidRPr="000F0013">
        <w:rPr>
          <w:rFonts w:ascii="Times New Roman" w:hAnsi="Times New Roman" w:cs="Times New Roman"/>
          <w:color w:val="231F20"/>
          <w:sz w:val="24"/>
          <w:szCs w:val="24"/>
        </w:rPr>
        <w:t>at 3</w:t>
      </w:r>
      <w:r>
        <w:rPr>
          <w:rFonts w:ascii="Times New Roman" w:hAnsi="Times New Roman" w:cs="Times New Roman"/>
          <w:color w:val="231F20"/>
          <w:sz w:val="24"/>
          <w:szCs w:val="24"/>
        </w:rPr>
        <w:t xml:space="preserve"> </w:t>
      </w:r>
      <w:r w:rsidRPr="000F0013">
        <w:rPr>
          <w:rFonts w:ascii="Times New Roman" w:hAnsi="Times New Roman" w:cs="Times New Roman"/>
          <w:color w:val="231F20"/>
          <w:sz w:val="24"/>
          <w:szCs w:val="24"/>
        </w:rPr>
        <w:t>month</w:t>
      </w:r>
      <w:r>
        <w:rPr>
          <w:rFonts w:ascii="Times New Roman" w:hAnsi="Times New Roman" w:cs="Times New Roman"/>
          <w:color w:val="231F20"/>
          <w:sz w:val="24"/>
          <w:szCs w:val="24"/>
        </w:rPr>
        <w:t>s</w:t>
      </w:r>
      <w:r w:rsidRPr="000F0013">
        <w:rPr>
          <w:rFonts w:ascii="Times New Roman" w:hAnsi="Times New Roman" w:cs="Times New Roman"/>
          <w:color w:val="231F20"/>
          <w:sz w:val="24"/>
          <w:szCs w:val="24"/>
        </w:rPr>
        <w:t xml:space="preserve"> (81%) </w:t>
      </w:r>
      <w:r>
        <w:rPr>
          <w:rFonts w:ascii="Times New Roman" w:hAnsi="Times New Roman" w:cs="Times New Roman"/>
          <w:color w:val="231F20"/>
          <w:sz w:val="24"/>
          <w:szCs w:val="24"/>
        </w:rPr>
        <w:t xml:space="preserve">compared with SIMPLICITY (32%), </w:t>
      </w:r>
      <w:r w:rsidRPr="000F0013">
        <w:rPr>
          <w:rFonts w:ascii="Times New Roman" w:hAnsi="Times New Roman" w:cs="Times New Roman"/>
          <w:color w:val="231F20"/>
          <w:sz w:val="24"/>
          <w:szCs w:val="24"/>
        </w:rPr>
        <w:t>indicating rapid adoption of molecular monitorin</w:t>
      </w:r>
      <w:r>
        <w:rPr>
          <w:rFonts w:ascii="Times New Roman" w:hAnsi="Times New Roman" w:cs="Times New Roman"/>
          <w:color w:val="231F20"/>
          <w:sz w:val="24"/>
          <w:szCs w:val="24"/>
        </w:rPr>
        <w:t xml:space="preserve">g at early milestones in the UK </w:t>
      </w:r>
      <w:r>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 ADDIN EN.CITE &lt;EndNote&gt;&lt;Cite&gt;&lt;Author&gt;Goldberg&lt;/Author&gt;&lt;Year&gt;2017&lt;/Year&gt;&lt;RecNum&gt;2077&lt;/RecNum&gt;&lt;DisplayText&gt;(Goldberg&lt;style face="italic"&gt;, et al&lt;/style&gt; 2017)&lt;/DisplayText&gt;&lt;record&gt;&lt;rec-number&gt;2077&lt;/rec-number&gt;&lt;foreign-keys&gt;&lt;key app="EN" db-id="sxxfsvre49szroewve75ep9j0v99v9vffext" timestamp="1567720898"&gt;2077&lt;/key&gt;&lt;/foreign-keys&gt;&lt;ref-type name="Journal Article"&gt;17&lt;/ref-type&gt;&lt;contributors&gt;&lt;authors&gt;&lt;author&gt;Goldberg, S. L.&lt;/author&gt;&lt;author&gt;Cortes, J. E.&lt;/author&gt;&lt;author&gt;Gambacorti-Passerini, C.&lt;/author&gt;&lt;author&gt;Hehlmann, R.&lt;/author&gt;&lt;author&gt;Khoury, H. J.&lt;/author&gt;&lt;author&gt;Michallet, M.&lt;/author&gt;&lt;author&gt;Paquette, R. L.&lt;/author&gt;&lt;author&gt;Simonsson, B.&lt;/author&gt;&lt;author&gt;Zyczynski, T.&lt;/author&gt;&lt;author&gt;Foreman, A.&lt;/author&gt;&lt;author&gt;Abruzzese, E.&lt;/author&gt;&lt;author&gt;Andorsky, D.&lt;/author&gt;&lt;author&gt;Beeker, A.&lt;/author&gt;&lt;author&gt;Cony-Makhoul, P.&lt;/author&gt;&lt;author&gt;Hansen, R.&lt;/author&gt;&lt;author&gt;Lomaia, E.&lt;/author&gt;&lt;author&gt;Olavarria, E.&lt;/author&gt;&lt;author&gt;Mauro, M. J.&lt;/author&gt;&lt;/authors&gt;&lt;/contributors&gt;&lt;titles&gt;&lt;title&gt;First-line treatment selection and early monitoring patterns in chronic phase-chronic myeloid leukemia in routine clinical practice: SIMPLICITY&lt;/title&gt;&lt;secondary-title&gt;Am J Hematol&lt;/secondary-title&gt;&lt;/titles&gt;&lt;periodical&gt;&lt;full-title&gt;Am J Hematol&lt;/full-title&gt;&lt;/periodical&gt;&lt;pages&gt;1214-1223&lt;/pages&gt;&lt;volume&gt;92&lt;/volume&gt;&lt;number&gt;11&lt;/number&gt;&lt;dates&gt;&lt;year&gt;2017&lt;/year&gt;&lt;/dates&gt;&lt;urls&gt;&lt;/urls&gt;&lt;electronic-resource-num&gt;10.1002/ajh.24887&lt;/electronic-resource-num&gt;&lt;/record&gt;&lt;/Cite&gt;&lt;/EndNote&gt;</w:instrText>
      </w:r>
      <w:r>
        <w:rPr>
          <w:rFonts w:ascii="Times New Roman" w:hAnsi="Times New Roman" w:cs="Times New Roman"/>
          <w:color w:val="231F20"/>
          <w:sz w:val="24"/>
          <w:szCs w:val="24"/>
        </w:rPr>
        <w:fldChar w:fldCharType="separate"/>
      </w:r>
      <w:r>
        <w:rPr>
          <w:rFonts w:ascii="Times New Roman" w:hAnsi="Times New Roman" w:cs="Times New Roman"/>
          <w:noProof/>
          <w:color w:val="231F20"/>
          <w:sz w:val="24"/>
          <w:szCs w:val="24"/>
        </w:rPr>
        <w:t>(Goldberg</w:t>
      </w:r>
      <w:r w:rsidRPr="006B72EC">
        <w:rPr>
          <w:rFonts w:ascii="Times New Roman" w:hAnsi="Times New Roman" w:cs="Times New Roman"/>
          <w:i/>
          <w:noProof/>
          <w:color w:val="231F20"/>
          <w:sz w:val="24"/>
          <w:szCs w:val="24"/>
        </w:rPr>
        <w:t>, et al</w:t>
      </w:r>
      <w:r>
        <w:rPr>
          <w:rFonts w:ascii="Times New Roman" w:hAnsi="Times New Roman" w:cs="Times New Roman"/>
          <w:noProof/>
          <w:color w:val="231F20"/>
          <w:sz w:val="24"/>
          <w:szCs w:val="24"/>
        </w:rPr>
        <w:t xml:space="preserve"> 2017)</w:t>
      </w:r>
      <w:r>
        <w:rPr>
          <w:rFonts w:ascii="Times New Roman" w:hAnsi="Times New Roman" w:cs="Times New Roman"/>
          <w:color w:val="231F20"/>
          <w:sz w:val="24"/>
          <w:szCs w:val="24"/>
        </w:rPr>
        <w:fldChar w:fldCharType="end"/>
      </w:r>
      <w:r>
        <w:rPr>
          <w:rFonts w:ascii="Times New Roman" w:hAnsi="Times New Roman" w:cs="Times New Roman"/>
          <w:color w:val="231F20"/>
          <w:sz w:val="24"/>
          <w:szCs w:val="24"/>
        </w:rPr>
        <w:t>.</w:t>
      </w:r>
      <w:r w:rsidRPr="000F0013" w:rsidDel="006B72EC">
        <w:rPr>
          <w:rFonts w:ascii="Times New Roman" w:hAnsi="Times New Roman" w:cs="Times New Roman"/>
          <w:sz w:val="24"/>
          <w:szCs w:val="24"/>
        </w:rPr>
        <w:t xml:space="preserve"> </w:t>
      </w:r>
    </w:p>
    <w:p w:rsidR="00B331A1" w:rsidRPr="000F0013" w:rsidRDefault="00B331A1" w:rsidP="00B331A1">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color w:val="231F20"/>
          <w:sz w:val="24"/>
          <w:szCs w:val="24"/>
        </w:rPr>
        <w:t>However, d</w:t>
      </w:r>
      <w:r w:rsidRPr="000F0013">
        <w:rPr>
          <w:rFonts w:ascii="Times New Roman" w:hAnsi="Times New Roman" w:cs="Times New Roman"/>
          <w:sz w:val="24"/>
          <w:szCs w:val="24"/>
        </w:rPr>
        <w:t xml:space="preserve">espite a generous </w:t>
      </w:r>
      <w:r>
        <w:rPr>
          <w:rFonts w:ascii="Times New Roman" w:hAnsi="Times New Roman" w:cs="Times New Roman"/>
          <w:sz w:val="24"/>
          <w:szCs w:val="24"/>
        </w:rPr>
        <w:t>1</w:t>
      </w:r>
      <w:r w:rsidRPr="000F0013">
        <w:rPr>
          <w:rFonts w:ascii="Times New Roman" w:hAnsi="Times New Roman" w:cs="Times New Roman"/>
          <w:sz w:val="24"/>
          <w:szCs w:val="24"/>
        </w:rPr>
        <w:t xml:space="preserve">-month window applied around ELN milestones, a large proportion </w:t>
      </w:r>
      <w:r>
        <w:rPr>
          <w:rFonts w:ascii="Times New Roman" w:hAnsi="Times New Roman" w:cs="Times New Roman"/>
          <w:sz w:val="24"/>
          <w:szCs w:val="24"/>
        </w:rPr>
        <w:t xml:space="preserve">of patients </w:t>
      </w:r>
      <w:r w:rsidRPr="000F0013">
        <w:rPr>
          <w:rFonts w:ascii="Times New Roman" w:hAnsi="Times New Roman" w:cs="Times New Roman"/>
          <w:sz w:val="24"/>
          <w:szCs w:val="24"/>
        </w:rPr>
        <w:t>(</w:t>
      </w:r>
      <w:r>
        <w:rPr>
          <w:rFonts w:ascii="Times New Roman" w:hAnsi="Times New Roman" w:cs="Times New Roman"/>
          <w:sz w:val="24"/>
          <w:szCs w:val="24"/>
        </w:rPr>
        <w:t>≈</w:t>
      </w:r>
      <w:r w:rsidRPr="000F0013">
        <w:rPr>
          <w:rFonts w:ascii="Times New Roman" w:hAnsi="Times New Roman" w:cs="Times New Roman"/>
          <w:sz w:val="24"/>
          <w:szCs w:val="24"/>
        </w:rPr>
        <w:t>20</w:t>
      </w:r>
      <w:r>
        <w:rPr>
          <w:rFonts w:ascii="Times New Roman" w:hAnsi="Times New Roman" w:cs="Times New Roman"/>
          <w:sz w:val="24"/>
          <w:szCs w:val="24"/>
        </w:rPr>
        <w:t>%</w:t>
      </w:r>
      <w:r w:rsidRPr="000F0013">
        <w:rPr>
          <w:rFonts w:ascii="Times New Roman" w:hAnsi="Times New Roman" w:cs="Times New Roman"/>
          <w:sz w:val="24"/>
          <w:szCs w:val="24"/>
        </w:rPr>
        <w:t xml:space="preserve">-30%) </w:t>
      </w:r>
      <w:r>
        <w:rPr>
          <w:rFonts w:ascii="Times New Roman" w:hAnsi="Times New Roman" w:cs="Times New Roman"/>
          <w:sz w:val="24"/>
          <w:szCs w:val="24"/>
        </w:rPr>
        <w:t>were still</w:t>
      </w:r>
      <w:r w:rsidRPr="000F0013">
        <w:rPr>
          <w:rFonts w:ascii="Times New Roman" w:hAnsi="Times New Roman" w:cs="Times New Roman"/>
          <w:sz w:val="24"/>
          <w:szCs w:val="24"/>
        </w:rPr>
        <w:t xml:space="preserve"> without evaluable molecular or cytogenetic test result</w:t>
      </w:r>
      <w:r>
        <w:rPr>
          <w:rFonts w:ascii="Times New Roman" w:hAnsi="Times New Roman" w:cs="Times New Roman"/>
          <w:sz w:val="24"/>
          <w:szCs w:val="24"/>
        </w:rPr>
        <w:t>s</w:t>
      </w:r>
      <w:r w:rsidRPr="000F0013">
        <w:rPr>
          <w:rFonts w:ascii="Times New Roman" w:hAnsi="Times New Roman" w:cs="Times New Roman"/>
          <w:sz w:val="24"/>
          <w:szCs w:val="24"/>
        </w:rPr>
        <w:t xml:space="preserve"> at a</w:t>
      </w:r>
      <w:r>
        <w:rPr>
          <w:rFonts w:ascii="Times New Roman" w:hAnsi="Times New Roman" w:cs="Times New Roman"/>
          <w:sz w:val="24"/>
          <w:szCs w:val="24"/>
        </w:rPr>
        <w:t>ny</w:t>
      </w:r>
      <w:r w:rsidRPr="000F0013">
        <w:rPr>
          <w:rFonts w:ascii="Times New Roman" w:hAnsi="Times New Roman" w:cs="Times New Roman"/>
          <w:sz w:val="24"/>
          <w:szCs w:val="24"/>
        </w:rPr>
        <w:t xml:space="preserve"> given </w:t>
      </w:r>
      <w:r>
        <w:rPr>
          <w:rFonts w:ascii="Times New Roman" w:hAnsi="Times New Roman" w:cs="Times New Roman"/>
          <w:sz w:val="24"/>
          <w:szCs w:val="24"/>
        </w:rPr>
        <w:t>time point</w:t>
      </w:r>
      <w:r w:rsidRPr="000F0013">
        <w:rPr>
          <w:rFonts w:ascii="Times New Roman" w:hAnsi="Times New Roman" w:cs="Times New Roman"/>
          <w:sz w:val="24"/>
          <w:szCs w:val="24"/>
        </w:rPr>
        <w:t xml:space="preserve"> during </w:t>
      </w:r>
      <w:r>
        <w:rPr>
          <w:rFonts w:ascii="Times New Roman" w:hAnsi="Times New Roman" w:cs="Times New Roman"/>
          <w:sz w:val="24"/>
          <w:szCs w:val="24"/>
        </w:rPr>
        <w:t xml:space="preserve">their </w:t>
      </w:r>
      <w:r w:rsidRPr="000F0013">
        <w:rPr>
          <w:rFonts w:ascii="Times New Roman" w:hAnsi="Times New Roman" w:cs="Times New Roman"/>
          <w:sz w:val="24"/>
          <w:szCs w:val="24"/>
        </w:rPr>
        <w:t xml:space="preserve">first year of TKI treatment. </w:t>
      </w:r>
      <w:r>
        <w:rPr>
          <w:rFonts w:ascii="Times New Roman" w:hAnsi="Times New Roman" w:cs="Times New Roman"/>
          <w:sz w:val="24"/>
          <w:szCs w:val="24"/>
        </w:rPr>
        <w:t>Moreover</w:t>
      </w:r>
      <w:r w:rsidRPr="000F0013">
        <w:rPr>
          <w:rFonts w:ascii="Times New Roman" w:hAnsi="Times New Roman" w:cs="Times New Roman"/>
          <w:sz w:val="24"/>
          <w:szCs w:val="24"/>
        </w:rPr>
        <w:t xml:space="preserve">, 13% of patients had no evaluable molecular or cytogenetic result at any ELN milestone during the first year of TKI treatment. </w:t>
      </w:r>
    </w:p>
    <w:p w:rsidR="00B331A1" w:rsidRPr="00D64C81" w:rsidRDefault="00B331A1" w:rsidP="00B331A1">
      <w:pPr>
        <w:autoSpaceDE w:val="0"/>
        <w:autoSpaceDN w:val="0"/>
        <w:adjustRightInd w:val="0"/>
        <w:spacing w:after="0" w:line="480" w:lineRule="auto"/>
        <w:rPr>
          <w:rFonts w:ascii="Times New Roman" w:hAnsi="Times New Roman" w:cs="Times New Roman"/>
          <w:sz w:val="24"/>
          <w:szCs w:val="24"/>
        </w:rPr>
      </w:pPr>
      <w:r w:rsidRPr="000F0013">
        <w:rPr>
          <w:rFonts w:ascii="Times New Roman" w:hAnsi="Times New Roman" w:cs="Times New Roman"/>
          <w:sz w:val="24"/>
          <w:szCs w:val="24"/>
        </w:rPr>
        <w:t>ELN recommend</w:t>
      </w:r>
      <w:r>
        <w:rPr>
          <w:rFonts w:ascii="Times New Roman" w:hAnsi="Times New Roman" w:cs="Times New Roman"/>
          <w:sz w:val="24"/>
          <w:szCs w:val="24"/>
        </w:rPr>
        <w:t>ed that</w:t>
      </w:r>
      <w:r w:rsidRPr="000F0013">
        <w:rPr>
          <w:rFonts w:ascii="Times New Roman" w:hAnsi="Times New Roman" w:cs="Times New Roman"/>
          <w:sz w:val="24"/>
          <w:szCs w:val="24"/>
        </w:rPr>
        <w:t xml:space="preserve"> a patient with ELN</w:t>
      </w:r>
      <w:r>
        <w:rPr>
          <w:rFonts w:ascii="Times New Roman" w:hAnsi="Times New Roman" w:cs="Times New Roman"/>
          <w:sz w:val="24"/>
          <w:szCs w:val="24"/>
        </w:rPr>
        <w:t>-defined</w:t>
      </w:r>
      <w:r w:rsidRPr="000F0013">
        <w:rPr>
          <w:rFonts w:ascii="Times New Roman" w:hAnsi="Times New Roman" w:cs="Times New Roman"/>
          <w:sz w:val="24"/>
          <w:szCs w:val="24"/>
        </w:rPr>
        <w:t xml:space="preserve"> failure should have their TKI switched to reduce the risk of progression. </w:t>
      </w:r>
      <w:r>
        <w:rPr>
          <w:rFonts w:ascii="Times New Roman" w:hAnsi="Times New Roman" w:cs="Times New Roman"/>
          <w:sz w:val="24"/>
          <w:szCs w:val="24"/>
        </w:rPr>
        <w:t>Nevertheless</w:t>
      </w:r>
      <w:r w:rsidRPr="000F0013">
        <w:rPr>
          <w:rFonts w:ascii="Times New Roman" w:hAnsi="Times New Roman" w:cs="Times New Roman"/>
          <w:sz w:val="24"/>
          <w:szCs w:val="24"/>
        </w:rPr>
        <w:t xml:space="preserve">, a number of patients in TARGET remained on </w:t>
      </w:r>
      <w:proofErr w:type="gramStart"/>
      <w:r w:rsidRPr="000F0013">
        <w:rPr>
          <w:rFonts w:ascii="Times New Roman" w:hAnsi="Times New Roman" w:cs="Times New Roman"/>
          <w:sz w:val="24"/>
          <w:szCs w:val="24"/>
        </w:rPr>
        <w:t>first-line</w:t>
      </w:r>
      <w:proofErr w:type="gramEnd"/>
      <w:r w:rsidRPr="000F0013">
        <w:rPr>
          <w:rFonts w:ascii="Times New Roman" w:hAnsi="Times New Roman" w:cs="Times New Roman"/>
          <w:sz w:val="24"/>
          <w:szCs w:val="24"/>
        </w:rPr>
        <w:t xml:space="preserve"> TKI despite ELN-defined treatment failure. </w:t>
      </w:r>
    </w:p>
    <w:p w:rsidR="00B331A1" w:rsidRDefault="00B331A1" w:rsidP="00B331A1">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Strikingly, </w:t>
      </w:r>
      <w:r w:rsidRPr="00D71725">
        <w:rPr>
          <w:rFonts w:asciiTheme="majorBidi" w:hAnsiTheme="majorBidi" w:cstheme="majorBidi"/>
          <w:i/>
          <w:iCs/>
          <w:sz w:val="24"/>
          <w:szCs w:val="24"/>
        </w:rPr>
        <w:t>BCR-ABL1</w:t>
      </w:r>
      <w:r>
        <w:rPr>
          <w:rFonts w:asciiTheme="majorBidi" w:hAnsiTheme="majorBidi" w:cstheme="majorBidi"/>
          <w:sz w:val="24"/>
          <w:szCs w:val="24"/>
        </w:rPr>
        <w:t xml:space="preserve"> kinase domain mutational analyses, recommended by ELN in warning or failure, were infrequently performed even in patients with documented resistance, despite the known importance of mutation status for subsequent TKI selection. Patients did not always have recommended baseline assessments such as qualitative PCR despite its importance in determining </w:t>
      </w:r>
      <w:r w:rsidRPr="005327B7">
        <w:rPr>
          <w:rFonts w:asciiTheme="majorBidi" w:hAnsiTheme="majorBidi" w:cstheme="majorBidi"/>
          <w:i/>
          <w:sz w:val="24"/>
          <w:szCs w:val="24"/>
        </w:rPr>
        <w:t>BCR-ABL1</w:t>
      </w:r>
      <w:r>
        <w:rPr>
          <w:rFonts w:asciiTheme="majorBidi" w:hAnsiTheme="majorBidi" w:cstheme="majorBidi"/>
          <w:sz w:val="24"/>
          <w:szCs w:val="24"/>
        </w:rPr>
        <w:t xml:space="preserve"> transcript type, which can affect future molecular monitoring, especially at the low levels before consideration for TFR. Furthermore, although bone marrow and cytogenetic analysis still have an essential role in assessment of patients at baseline, many patients were managed without bone marrow or cytogenetic analysis.</w:t>
      </w:r>
      <w:r w:rsidRPr="006A779F">
        <w:rPr>
          <w:rFonts w:asciiTheme="majorBidi" w:hAnsiTheme="majorBidi" w:cstheme="majorBidi"/>
          <w:sz w:val="24"/>
          <w:szCs w:val="24"/>
        </w:rPr>
        <w:t xml:space="preserve"> </w:t>
      </w:r>
      <w:r>
        <w:rPr>
          <w:rFonts w:asciiTheme="majorBidi" w:hAnsiTheme="majorBidi" w:cstheme="majorBidi"/>
          <w:sz w:val="24"/>
          <w:szCs w:val="24"/>
        </w:rPr>
        <w:t>Bone marrow evaluation before TKI switching was infrequently performed, which may reflect the current use of PCR thresholds for interpretation of resistance.</w:t>
      </w:r>
    </w:p>
    <w:p w:rsidR="00B331A1" w:rsidRDefault="00B331A1" w:rsidP="00B331A1">
      <w:pPr>
        <w:spacing w:line="480" w:lineRule="auto"/>
        <w:rPr>
          <w:rFonts w:asciiTheme="majorBidi" w:hAnsiTheme="majorBidi" w:cstheme="majorBidi"/>
          <w:sz w:val="24"/>
          <w:szCs w:val="24"/>
        </w:rPr>
      </w:pPr>
      <w:r w:rsidRPr="00546838">
        <w:rPr>
          <w:rFonts w:asciiTheme="majorBidi" w:hAnsiTheme="majorBidi" w:cstheme="majorBidi"/>
          <w:sz w:val="24"/>
          <w:szCs w:val="24"/>
        </w:rPr>
        <w:t>Clinical trials have shown that 2G</w:t>
      </w:r>
      <w:r>
        <w:rPr>
          <w:rFonts w:asciiTheme="majorBidi" w:hAnsiTheme="majorBidi" w:cstheme="majorBidi"/>
          <w:sz w:val="24"/>
          <w:szCs w:val="24"/>
        </w:rPr>
        <w:t>-</w:t>
      </w:r>
      <w:r w:rsidRPr="00546838">
        <w:rPr>
          <w:rFonts w:asciiTheme="majorBidi" w:hAnsiTheme="majorBidi" w:cstheme="majorBidi"/>
          <w:sz w:val="24"/>
          <w:szCs w:val="24"/>
        </w:rPr>
        <w:t xml:space="preserve">TKIs lead to </w:t>
      </w:r>
      <w:r>
        <w:rPr>
          <w:rFonts w:asciiTheme="majorBidi" w:hAnsiTheme="majorBidi" w:cstheme="majorBidi"/>
          <w:sz w:val="24"/>
          <w:szCs w:val="24"/>
        </w:rPr>
        <w:t xml:space="preserve">improved rates of molecular responses compared with </w:t>
      </w:r>
      <w:r w:rsidRPr="00546838">
        <w:rPr>
          <w:rFonts w:asciiTheme="majorBidi" w:hAnsiTheme="majorBidi" w:cstheme="majorBidi"/>
          <w:sz w:val="24"/>
          <w:szCs w:val="24"/>
        </w:rPr>
        <w:t>imatinib</w:t>
      </w:r>
      <w:r>
        <w:rPr>
          <w:rFonts w:asciiTheme="majorBidi" w:hAnsiTheme="majorBidi" w:cstheme="majorBidi"/>
          <w:sz w:val="24"/>
          <w:szCs w:val="24"/>
        </w:rPr>
        <w:t xml:space="preserve"> </w:t>
      </w:r>
      <w:r>
        <w:rPr>
          <w:rFonts w:asciiTheme="majorBidi" w:hAnsiTheme="majorBidi" w:cstheme="majorBidi"/>
          <w:sz w:val="24"/>
          <w:szCs w:val="24"/>
        </w:rPr>
        <w:fldChar w:fldCharType="begin">
          <w:fldData xml:space="preserve">PEVuZE5vdGU+PENpdGU+PEF1dGhvcj5Ib2NoaGF1czwvQXV0aG9yPjxZZWFyPjIwMTY8L1llYXI+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PEVuZE5vdGU+PENpdGU+PEF1dGhvcj5Ib2NoaGF1czwvQXV0aG9yPjxZZWFyPjIwMTY8L1llYXI+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(Cortes</w:t>
      </w:r>
      <w:r w:rsidRPr="006B72EC">
        <w:rPr>
          <w:rFonts w:asciiTheme="majorBidi" w:hAnsiTheme="majorBidi" w:cstheme="majorBidi"/>
          <w:i/>
          <w:noProof/>
          <w:sz w:val="24"/>
          <w:szCs w:val="24"/>
        </w:rPr>
        <w:t>, et al</w:t>
      </w:r>
      <w:r>
        <w:rPr>
          <w:rFonts w:asciiTheme="majorBidi" w:hAnsiTheme="majorBidi" w:cstheme="majorBidi"/>
          <w:noProof/>
          <w:sz w:val="24"/>
          <w:szCs w:val="24"/>
        </w:rPr>
        <w:t xml:space="preserve"> 2018a, Cortes</w:t>
      </w:r>
      <w:r w:rsidRPr="006B72EC">
        <w:rPr>
          <w:rFonts w:asciiTheme="majorBidi" w:hAnsiTheme="majorBidi" w:cstheme="majorBidi"/>
          <w:i/>
          <w:noProof/>
          <w:sz w:val="24"/>
          <w:szCs w:val="24"/>
        </w:rPr>
        <w:t>, et al</w:t>
      </w:r>
      <w:r>
        <w:rPr>
          <w:rFonts w:asciiTheme="majorBidi" w:hAnsiTheme="majorBidi" w:cstheme="majorBidi"/>
          <w:noProof/>
          <w:sz w:val="24"/>
          <w:szCs w:val="24"/>
        </w:rPr>
        <w:t xml:space="preserve"> 2016, Hochhaus</w:t>
      </w:r>
      <w:r w:rsidRPr="006B72EC">
        <w:rPr>
          <w:rFonts w:asciiTheme="majorBidi" w:hAnsiTheme="majorBidi" w:cstheme="majorBidi"/>
          <w:i/>
          <w:noProof/>
          <w:sz w:val="24"/>
          <w:szCs w:val="24"/>
        </w:rPr>
        <w:t>, et al</w:t>
      </w:r>
      <w:r>
        <w:rPr>
          <w:rFonts w:asciiTheme="majorBidi" w:hAnsiTheme="majorBidi" w:cstheme="majorBidi"/>
          <w:noProof/>
          <w:sz w:val="24"/>
          <w:szCs w:val="24"/>
        </w:rPr>
        <w:t xml:space="preserve"> 2016)</w:t>
      </w:r>
      <w:r>
        <w:rPr>
          <w:rFonts w:asciiTheme="majorBidi" w:hAnsiTheme="majorBidi" w:cstheme="majorBidi"/>
          <w:sz w:val="24"/>
          <w:szCs w:val="24"/>
        </w:rPr>
        <w:fldChar w:fldCharType="end"/>
      </w:r>
      <w:r>
        <w:rPr>
          <w:rFonts w:asciiTheme="majorBidi" w:hAnsiTheme="majorBidi" w:cstheme="majorBidi"/>
          <w:sz w:val="24"/>
          <w:szCs w:val="24"/>
        </w:rPr>
        <w:t xml:space="preserve">. In this cohort, observed rates of EMR and MMR at ELN milestones and DMR at any time during </w:t>
      </w:r>
      <w:proofErr w:type="gramStart"/>
      <w:r>
        <w:rPr>
          <w:rFonts w:asciiTheme="majorBidi" w:hAnsiTheme="majorBidi" w:cstheme="majorBidi"/>
          <w:sz w:val="24"/>
          <w:szCs w:val="24"/>
        </w:rPr>
        <w:t>first-line</w:t>
      </w:r>
      <w:proofErr w:type="gramEnd"/>
      <w:r>
        <w:rPr>
          <w:rFonts w:asciiTheme="majorBidi" w:hAnsiTheme="majorBidi" w:cstheme="majorBidi"/>
          <w:sz w:val="24"/>
          <w:szCs w:val="24"/>
        </w:rPr>
        <w:t xml:space="preserve"> TKI were higher with 2G-TKIs than with imatinib, confirming the results in this real-world setting.</w:t>
      </w:r>
      <w:r w:rsidRPr="004420EA">
        <w:rPr>
          <w:rFonts w:asciiTheme="majorBidi" w:hAnsiTheme="majorBidi" w:cstheme="majorBidi"/>
          <w:sz w:val="24"/>
          <w:szCs w:val="24"/>
        </w:rPr>
        <w:t xml:space="preserve"> </w:t>
      </w:r>
      <w:r>
        <w:rPr>
          <w:rFonts w:asciiTheme="majorBidi" w:hAnsiTheme="majorBidi" w:cstheme="majorBidi"/>
          <w:sz w:val="24"/>
          <w:szCs w:val="24"/>
        </w:rPr>
        <w:t xml:space="preserve">While EMR and MMR were defined as optimal responses in ELN 2013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&lt;EndNote&gt;&lt;Cite&gt;&lt;Author&gt;Baccarani&lt;/Author&gt;&lt;Year&gt;2013&lt;/Year&gt;&lt;RecNum&gt;395&lt;/RecNum&gt;&lt;DisplayText&gt;(Baccarani&lt;style face="italic"&gt;, et al&lt;/style&gt; 2013)&lt;/DisplayText&gt;&lt;record&gt;&lt;rec-number&gt;395&lt;/rec-number&gt;&lt;foreign-keys&gt;&lt;key app="EN" db-id="sxxfsvre49szroewve75ep9j0v99v9vffext" timestamp="1567720897"&gt;395&lt;/key&gt;&lt;/foreign-keys&gt;&lt;ref-type name="Journal Article"&gt;17&lt;/ref-type&gt;&lt;contributors&gt;&lt;authors&gt;&lt;author&gt;Baccarani, M.&lt;/author&gt;&lt;author&gt;Deininger, M. W.&lt;/author&gt;&lt;author&gt;Rosti, G.&lt;/author&gt;&lt;author&gt;Hochhaus, A.&lt;/author&gt;&lt;author&gt;Soverini, S.&lt;/author&gt;&lt;author&gt;Apperley, J. F.&lt;/author&gt;&lt;author&gt;Cervantes, F.&lt;/author&gt;&lt;author&gt;Clark, R. E.&lt;/author&gt;&lt;author&gt;Cortes, J. E.&lt;/author&gt;&lt;author&gt;Guilhot, F.&lt;/author&gt;&lt;author&gt;Hjorth-Hansen, H.&lt;/author&gt;&lt;author&gt;Hughes, T. P.&lt;/author&gt;&lt;author&gt;Kantarjian, H. M.&lt;/author&gt;&lt;author&gt;Kim, D. W.&lt;/author&gt;&lt;author&gt;Larson, R. A.&lt;/author&gt;&lt;author&gt;Lipton, J. H.&lt;/author&gt;&lt;author&gt;Mahon, F. X.&lt;/author&gt;&lt;author&gt;Martinelli, G.&lt;/author&gt;&lt;author&gt;Mayer, J.&lt;/author&gt;&lt;author&gt;Muller, M. C.&lt;/author&gt;&lt;author&gt;Niederwieser, D.&lt;/author&gt;&lt;author&gt;Pane, F.&lt;/author&gt;&lt;author&gt;Radich, J. P.&lt;/author&gt;&lt;author&gt;Rousselot, P.&lt;/author&gt;&lt;author&gt;Saglio, G.&lt;/author&gt;&lt;author&gt;Saussele, S.&lt;/author&gt;&lt;author&gt;Schiffer, C.&lt;/author&gt;&lt;author&gt;Silver, R.&lt;/author&gt;&lt;author&gt;Simonsson, B.&lt;/author&gt;&lt;author&gt;Steegmann, J. L.&lt;/author&gt;&lt;author&gt;Goldman, J. M.&lt;/author&gt;&lt;author&gt;Hehlmann, R.&lt;/author&gt;&lt;/authors&gt;&lt;/contributors&gt;&lt;auth-address&gt;Department of Hematology &amp;quot;L. and A. Seragnoli&amp;quot;, S.Orsola-Malpighi Hospital, University of Bologna, Bologna, Italy;&lt;/auth-address&gt;&lt;titles&gt;&lt;title&gt;European LeukemiaNet recommendations for the management of chronic myeloid leukemia: 2013&lt;/title&gt;&lt;secondary-title&gt;Blood&lt;/secondary-title&gt;&lt;/titles&gt;&lt;periodical&gt;&lt;full-title&gt;Blood&lt;/full-title&gt;&lt;/periodical&gt;&lt;pages&gt;872-884&lt;/pages&gt;&lt;volume&gt;122&lt;/volume&gt;&lt;number&gt;6&lt;/number&gt;&lt;dates&gt;&lt;year&gt;2013&lt;/year&gt;&lt;/dates&gt;&lt;isbn&gt;1528-0020; 0006-4971&lt;/isbn&gt;&lt;urls&gt;&lt;/urls&gt;&lt;electronic-resource-num&gt;10.1182/blood-2013-05-501569&lt;/electronic-resource-num&gt;&lt;access-date&gt;Jun 26&lt;/access-date&gt;&lt;/record&gt;&lt;/Cite&gt;&lt;/EndNote&gt;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(Baccarani</w:t>
      </w:r>
      <w:r w:rsidRPr="002F2002">
        <w:rPr>
          <w:rFonts w:asciiTheme="majorBidi" w:hAnsiTheme="majorBidi" w:cstheme="majorBidi"/>
          <w:i/>
          <w:noProof/>
          <w:sz w:val="24"/>
          <w:szCs w:val="24"/>
        </w:rPr>
        <w:t>, et al</w:t>
      </w:r>
      <w:r>
        <w:rPr>
          <w:rFonts w:asciiTheme="majorBidi" w:hAnsiTheme="majorBidi" w:cstheme="majorBidi"/>
          <w:noProof/>
          <w:sz w:val="24"/>
          <w:szCs w:val="24"/>
        </w:rPr>
        <w:t xml:space="preserve"> 2013)</w:t>
      </w:r>
      <w:r>
        <w:rPr>
          <w:rFonts w:asciiTheme="majorBidi" w:hAnsiTheme="majorBidi" w:cstheme="majorBidi"/>
          <w:sz w:val="24"/>
          <w:szCs w:val="24"/>
        </w:rPr>
        <w:fldChar w:fldCharType="end"/>
      </w:r>
      <w:r>
        <w:rPr>
          <w:rFonts w:asciiTheme="majorBidi" w:hAnsiTheme="majorBidi" w:cstheme="majorBidi"/>
          <w:sz w:val="24"/>
          <w:szCs w:val="24"/>
        </w:rPr>
        <w:t xml:space="preserve">, treatment goals are evolving to include deeper responses and TFR </w:t>
      </w:r>
      <w:r>
        <w:rPr>
          <w:rFonts w:asciiTheme="majorBidi" w:hAnsiTheme="majorBidi" w:cstheme="majorBidi"/>
          <w:sz w:val="24"/>
          <w:szCs w:val="24"/>
        </w:rPr>
        <w:fldChar w:fldCharType="begin">
          <w:fldData xml:space="preserve">PEVuZE5vdGU+PENpdGU+PEF1dGhvcj5Ib2NoaGF1czwvQXV0aG9yPjxZZWFyPjIwMTc8L1llYXI+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PEVuZE5vdGU+PENpdGU+PEF1dGhvcj5Ib2NoaGF1czwvQXV0aG9yPjxZZWFyPjIwMTc8L1llYXI+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(Hochhaus</w:t>
      </w:r>
      <w:r w:rsidRPr="00196C9D">
        <w:rPr>
          <w:rFonts w:asciiTheme="majorBidi" w:hAnsiTheme="majorBidi" w:cstheme="majorBidi"/>
          <w:i/>
          <w:noProof/>
          <w:sz w:val="24"/>
          <w:szCs w:val="24"/>
        </w:rPr>
        <w:t>, et al</w:t>
      </w:r>
      <w:r>
        <w:rPr>
          <w:rFonts w:asciiTheme="majorBidi" w:hAnsiTheme="majorBidi" w:cstheme="majorBidi"/>
          <w:noProof/>
          <w:sz w:val="24"/>
          <w:szCs w:val="24"/>
        </w:rPr>
        <w:t xml:space="preserve"> 2017b, NCCN 2019, Rea</w:t>
      </w:r>
      <w:r w:rsidRPr="00196C9D">
        <w:rPr>
          <w:rFonts w:asciiTheme="majorBidi" w:hAnsiTheme="majorBidi" w:cstheme="majorBidi"/>
          <w:i/>
          <w:noProof/>
          <w:sz w:val="24"/>
          <w:szCs w:val="24"/>
        </w:rPr>
        <w:t>, et al</w:t>
      </w:r>
      <w:r>
        <w:rPr>
          <w:rFonts w:asciiTheme="majorBidi" w:hAnsiTheme="majorBidi" w:cstheme="majorBidi"/>
          <w:noProof/>
          <w:sz w:val="24"/>
          <w:szCs w:val="24"/>
        </w:rPr>
        <w:t xml:space="preserve"> 2018)</w:t>
      </w:r>
      <w:r>
        <w:rPr>
          <w:rFonts w:asciiTheme="majorBidi" w:hAnsiTheme="majorBidi" w:cstheme="majorBidi"/>
          <w:sz w:val="24"/>
          <w:szCs w:val="24"/>
        </w:rPr>
        <w:fldChar w:fldCharType="end"/>
      </w:r>
      <w:r>
        <w:rPr>
          <w:rFonts w:asciiTheme="majorBidi" w:hAnsiTheme="majorBidi" w:cstheme="majorBidi"/>
          <w:sz w:val="24"/>
          <w:szCs w:val="24"/>
        </w:rPr>
        <w:t>.</w:t>
      </w:r>
      <w:r w:rsidRPr="004420EA" w:rsidDel="0042149C">
        <w:rPr>
          <w:rFonts w:asciiTheme="majorBidi" w:hAnsiTheme="majorBidi" w:cstheme="majorBidi"/>
          <w:sz w:val="24"/>
          <w:szCs w:val="24"/>
        </w:rPr>
        <w:t xml:space="preserve"> </w:t>
      </w:r>
      <w:r>
        <w:rPr>
          <w:rFonts w:asciiTheme="majorBidi" w:hAnsiTheme="majorBidi" w:cstheme="majorBidi"/>
          <w:sz w:val="24"/>
          <w:szCs w:val="24"/>
        </w:rPr>
        <w:t xml:space="preserve">Studies have shown that deeper molecular responses were associated with improved outcomes compared with complete cytogenetic response </w:t>
      </w:r>
      <w:r>
        <w:rPr>
          <w:rFonts w:asciiTheme="majorBidi" w:hAnsiTheme="majorBidi" w:cstheme="majorBidi"/>
          <w:sz w:val="24"/>
          <w:szCs w:val="24"/>
        </w:rPr>
        <w:fldChar w:fldCharType="begin">
          <w:fldData xml:space="preserve">PEVuZE5vdGU+PENpdGU+PEF1dGhvcj5IZWhsbWFubjwvQXV0aG9yPjxZZWFyPjIwMTQ8L1llYXI+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PEVuZE5vdGU+PENpdGU+PEF1dGhvcj5IZWhsbWFubjwvQXV0aG9yPjxZZWFyPjIwMTQ8L1llYXI+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(Etienne</w:t>
      </w:r>
      <w:r w:rsidRPr="002F2002">
        <w:rPr>
          <w:rFonts w:asciiTheme="majorBidi" w:hAnsiTheme="majorBidi" w:cstheme="majorBidi"/>
          <w:i/>
          <w:noProof/>
          <w:sz w:val="24"/>
          <w:szCs w:val="24"/>
        </w:rPr>
        <w:t>, et al</w:t>
      </w:r>
      <w:r>
        <w:rPr>
          <w:rFonts w:asciiTheme="majorBidi" w:hAnsiTheme="majorBidi" w:cstheme="majorBidi"/>
          <w:noProof/>
          <w:sz w:val="24"/>
          <w:szCs w:val="24"/>
        </w:rPr>
        <w:t xml:space="preserve"> 2014, Hehlmann</w:t>
      </w:r>
      <w:r w:rsidRPr="002F2002">
        <w:rPr>
          <w:rFonts w:asciiTheme="majorBidi" w:hAnsiTheme="majorBidi" w:cstheme="majorBidi"/>
          <w:i/>
          <w:noProof/>
          <w:sz w:val="24"/>
          <w:szCs w:val="24"/>
        </w:rPr>
        <w:t>, et al</w:t>
      </w:r>
      <w:r>
        <w:rPr>
          <w:rFonts w:asciiTheme="majorBidi" w:hAnsiTheme="majorBidi" w:cstheme="majorBidi"/>
          <w:noProof/>
          <w:sz w:val="24"/>
          <w:szCs w:val="24"/>
        </w:rPr>
        <w:t xml:space="preserve"> 2014)</w:t>
      </w:r>
      <w:r>
        <w:rPr>
          <w:rFonts w:asciiTheme="majorBidi" w:hAnsiTheme="majorBidi" w:cstheme="majorBidi"/>
          <w:sz w:val="24"/>
          <w:szCs w:val="24"/>
        </w:rPr>
        <w:fldChar w:fldCharType="end"/>
      </w:r>
      <w:r>
        <w:rPr>
          <w:rFonts w:asciiTheme="majorBidi" w:hAnsiTheme="majorBidi" w:cstheme="majorBidi"/>
          <w:sz w:val="24"/>
          <w:szCs w:val="24"/>
        </w:rPr>
        <w:t xml:space="preserve">, and </w:t>
      </w:r>
      <w:r w:rsidRPr="004420EA">
        <w:rPr>
          <w:rFonts w:asciiTheme="majorBidi" w:hAnsiTheme="majorBidi" w:cstheme="majorBidi"/>
          <w:sz w:val="24"/>
          <w:szCs w:val="24"/>
        </w:rPr>
        <w:t>a sustained DMR is</w:t>
      </w:r>
      <w:r>
        <w:rPr>
          <w:rFonts w:asciiTheme="majorBidi" w:hAnsiTheme="majorBidi" w:cstheme="majorBidi"/>
          <w:sz w:val="24"/>
          <w:szCs w:val="24"/>
        </w:rPr>
        <w:t xml:space="preserve"> </w:t>
      </w:r>
      <w:r w:rsidRPr="004420EA">
        <w:rPr>
          <w:rFonts w:asciiTheme="majorBidi" w:hAnsiTheme="majorBidi" w:cstheme="majorBidi"/>
          <w:sz w:val="24"/>
          <w:szCs w:val="24"/>
        </w:rPr>
        <w:t>a prerequisite for attempting TFR</w:t>
      </w:r>
      <w:r>
        <w:rPr>
          <w:rFonts w:asciiTheme="majorBidi" w:hAnsiTheme="majorBidi" w:cstheme="majorBidi"/>
          <w:sz w:val="24"/>
          <w:szCs w:val="24"/>
        </w:rPr>
        <w:t xml:space="preserve"> in both clinical practice guidelines </w:t>
      </w:r>
      <w:r>
        <w:rPr>
          <w:rFonts w:asciiTheme="majorBidi" w:hAnsiTheme="majorBidi" w:cstheme="majorBidi"/>
          <w:sz w:val="24"/>
          <w:szCs w:val="24"/>
        </w:rPr>
        <w:fldChar w:fldCharType="begin">
          <w:fldData xml:space="preserve">PEVuZE5vdGU+PENpdGU+PEF1dGhvcj5Ib2NoaGF1czwvQXV0aG9yPjxZZWFyPjIwMTc8L1llYXI+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PEVuZE5vdGU+PENpdGU+PEF1dGhvcj5Ib2NoaGF1czwvQXV0aG9yPjxZZWFyPjIwMTc8L1llYXI+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(Hochhaus</w:t>
      </w:r>
      <w:r w:rsidRPr="00196C9D">
        <w:rPr>
          <w:rFonts w:asciiTheme="majorBidi" w:hAnsiTheme="majorBidi" w:cstheme="majorBidi"/>
          <w:i/>
          <w:noProof/>
          <w:sz w:val="24"/>
          <w:szCs w:val="24"/>
        </w:rPr>
        <w:t>, et al</w:t>
      </w:r>
      <w:r>
        <w:rPr>
          <w:rFonts w:asciiTheme="majorBidi" w:hAnsiTheme="majorBidi" w:cstheme="majorBidi"/>
          <w:noProof/>
          <w:sz w:val="24"/>
          <w:szCs w:val="24"/>
        </w:rPr>
        <w:t xml:space="preserve"> 2017b, NCCN 2019, Rea</w:t>
      </w:r>
      <w:r w:rsidRPr="00196C9D">
        <w:rPr>
          <w:rFonts w:asciiTheme="majorBidi" w:hAnsiTheme="majorBidi" w:cstheme="majorBidi"/>
          <w:i/>
          <w:noProof/>
          <w:sz w:val="24"/>
          <w:szCs w:val="24"/>
        </w:rPr>
        <w:t>, et al</w:t>
      </w:r>
      <w:r>
        <w:rPr>
          <w:rFonts w:asciiTheme="majorBidi" w:hAnsiTheme="majorBidi" w:cstheme="majorBidi"/>
          <w:noProof/>
          <w:sz w:val="24"/>
          <w:szCs w:val="24"/>
        </w:rPr>
        <w:t xml:space="preserve"> 2018)</w:t>
      </w:r>
      <w:r>
        <w:rPr>
          <w:rFonts w:asciiTheme="majorBidi" w:hAnsiTheme="majorBidi" w:cstheme="majorBidi"/>
          <w:sz w:val="24"/>
          <w:szCs w:val="24"/>
        </w:rPr>
        <w:fldChar w:fldCharType="end"/>
      </w:r>
      <w:r>
        <w:rPr>
          <w:rFonts w:asciiTheme="majorBidi" w:hAnsiTheme="majorBidi" w:cstheme="majorBidi"/>
          <w:sz w:val="24"/>
          <w:szCs w:val="24"/>
        </w:rPr>
        <w:t xml:space="preserve"> and clinical trials </w:t>
      </w:r>
      <w:r>
        <w:rPr>
          <w:rFonts w:asciiTheme="majorBidi" w:hAnsiTheme="majorBidi" w:cstheme="majorBidi"/>
          <w:sz w:val="24"/>
          <w:szCs w:val="24"/>
        </w:rPr>
        <w:fldChar w:fldCharType="begin">
          <w:fldData xml:space="preserve">PEVuZE5vdGU+PENpdGU+PEF1dGhvcj5Sb3NzPC9BdXRob3I+PFllYXI+MjAxODwvWWVhcj48UmVj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PEVuZE5vdGU+PENpdGU+PEF1dGhvcj5Sb3NzPC9BdXRob3I+PFllYXI+MjAxODwvWWVhcj48UmVj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(Mahon</w:t>
      </w:r>
      <w:r w:rsidRPr="002F2002">
        <w:rPr>
          <w:rFonts w:asciiTheme="majorBidi" w:hAnsiTheme="majorBidi" w:cstheme="majorBidi"/>
          <w:i/>
          <w:noProof/>
          <w:sz w:val="24"/>
          <w:szCs w:val="24"/>
        </w:rPr>
        <w:t>, et al</w:t>
      </w:r>
      <w:r>
        <w:rPr>
          <w:rFonts w:asciiTheme="majorBidi" w:hAnsiTheme="majorBidi" w:cstheme="majorBidi"/>
          <w:noProof/>
          <w:sz w:val="24"/>
          <w:szCs w:val="24"/>
        </w:rPr>
        <w:t xml:space="preserve"> 2018, Ross</w:t>
      </w:r>
      <w:r w:rsidRPr="002F2002">
        <w:rPr>
          <w:rFonts w:asciiTheme="majorBidi" w:hAnsiTheme="majorBidi" w:cstheme="majorBidi"/>
          <w:i/>
          <w:noProof/>
          <w:sz w:val="24"/>
          <w:szCs w:val="24"/>
        </w:rPr>
        <w:t>, et al</w:t>
      </w:r>
      <w:r>
        <w:rPr>
          <w:rFonts w:asciiTheme="majorBidi" w:hAnsiTheme="majorBidi" w:cstheme="majorBidi"/>
          <w:noProof/>
          <w:sz w:val="24"/>
          <w:szCs w:val="24"/>
        </w:rPr>
        <w:t xml:space="preserve"> 2018)</w:t>
      </w:r>
      <w:r>
        <w:rPr>
          <w:rFonts w:asciiTheme="majorBidi" w:hAnsiTheme="majorBidi" w:cstheme="majorBidi"/>
          <w:sz w:val="24"/>
          <w:szCs w:val="24"/>
        </w:rPr>
        <w:fldChar w:fldCharType="end"/>
      </w:r>
      <w:r>
        <w:rPr>
          <w:rFonts w:asciiTheme="majorBidi" w:hAnsiTheme="majorBidi" w:cstheme="majorBidi"/>
          <w:sz w:val="24"/>
          <w:szCs w:val="24"/>
        </w:rPr>
        <w:t>. C</w:t>
      </w:r>
      <w:r w:rsidRPr="004420EA">
        <w:rPr>
          <w:rFonts w:asciiTheme="majorBidi" w:hAnsiTheme="majorBidi" w:cstheme="majorBidi"/>
          <w:sz w:val="24"/>
          <w:szCs w:val="24"/>
        </w:rPr>
        <w:t xml:space="preserve">linical studies </w:t>
      </w:r>
      <w:r>
        <w:rPr>
          <w:rFonts w:asciiTheme="majorBidi" w:hAnsiTheme="majorBidi" w:cstheme="majorBidi"/>
          <w:sz w:val="24"/>
          <w:szCs w:val="24"/>
        </w:rPr>
        <w:t xml:space="preserve">have demonstrated </w:t>
      </w:r>
      <w:r w:rsidRPr="004420EA">
        <w:rPr>
          <w:rFonts w:asciiTheme="majorBidi" w:hAnsiTheme="majorBidi" w:cstheme="majorBidi"/>
          <w:sz w:val="24"/>
          <w:szCs w:val="24"/>
        </w:rPr>
        <w:t>that 2G</w:t>
      </w:r>
      <w:r>
        <w:rPr>
          <w:rFonts w:asciiTheme="majorBidi" w:hAnsiTheme="majorBidi" w:cstheme="majorBidi"/>
          <w:sz w:val="24"/>
          <w:szCs w:val="24"/>
        </w:rPr>
        <w:t>-</w:t>
      </w:r>
      <w:r w:rsidRPr="004420EA">
        <w:rPr>
          <w:rFonts w:asciiTheme="majorBidi" w:hAnsiTheme="majorBidi" w:cstheme="majorBidi"/>
          <w:sz w:val="24"/>
          <w:szCs w:val="24"/>
        </w:rPr>
        <w:t xml:space="preserve">TKIs can </w:t>
      </w:r>
      <w:r>
        <w:rPr>
          <w:rFonts w:asciiTheme="majorBidi" w:hAnsiTheme="majorBidi" w:cstheme="majorBidi"/>
          <w:sz w:val="24"/>
          <w:szCs w:val="24"/>
        </w:rPr>
        <w:t xml:space="preserve">also </w:t>
      </w:r>
      <w:r w:rsidRPr="004420EA">
        <w:rPr>
          <w:rFonts w:asciiTheme="majorBidi" w:hAnsiTheme="majorBidi" w:cstheme="majorBidi"/>
          <w:sz w:val="24"/>
          <w:szCs w:val="24"/>
        </w:rPr>
        <w:t xml:space="preserve">lead to improved </w:t>
      </w:r>
      <w:r>
        <w:rPr>
          <w:rFonts w:asciiTheme="majorBidi" w:hAnsiTheme="majorBidi" w:cstheme="majorBidi"/>
          <w:sz w:val="24"/>
          <w:szCs w:val="24"/>
        </w:rPr>
        <w:t xml:space="preserve">rates of DMR in the </w:t>
      </w:r>
      <w:r w:rsidRPr="004420EA">
        <w:rPr>
          <w:rFonts w:asciiTheme="majorBidi" w:hAnsiTheme="majorBidi" w:cstheme="majorBidi"/>
          <w:sz w:val="24"/>
          <w:szCs w:val="24"/>
        </w:rPr>
        <w:t>second</w:t>
      </w:r>
      <w:r>
        <w:rPr>
          <w:rFonts w:asciiTheme="majorBidi" w:hAnsiTheme="majorBidi" w:cstheme="majorBidi"/>
          <w:sz w:val="24"/>
          <w:szCs w:val="24"/>
        </w:rPr>
        <w:t xml:space="preserve"> </w:t>
      </w:r>
      <w:r w:rsidRPr="004420EA">
        <w:rPr>
          <w:rFonts w:asciiTheme="majorBidi" w:hAnsiTheme="majorBidi" w:cstheme="majorBidi"/>
          <w:sz w:val="24"/>
          <w:szCs w:val="24"/>
        </w:rPr>
        <w:t>line</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&lt;EndNote&gt;&lt;Cite&gt;&lt;Author&gt;Hughes&lt;/Author&gt;&lt;Year&gt;2017&lt;/Year&gt;&lt;RecNum&gt;2621&lt;/RecNum&gt;&lt;DisplayText&gt;(Hughes&lt;style face="italic"&gt;, et al&lt;/style&gt; 2017)&lt;/DisplayText&gt;&lt;record&gt;&lt;rec-number&gt;2621&lt;/rec-number&gt;&lt;foreign-keys&gt;&lt;key app="EN" db-id="sxxfsvre49szroewve75ep9j0v99v9vffext" timestamp="1567720898"&gt;2621&lt;/key&gt;&lt;/foreign-keys&gt;&lt;ref-type name="Journal Article"&gt;17&lt;/ref-type&gt;&lt;contributors&gt;&lt;authors&gt;&lt;author&gt;Hughes, T. P.&lt;/author&gt;&lt;author&gt;Leber, B.&lt;/author&gt;&lt;author&gt;Cervantes, F.&lt;/author&gt;&lt;author&gt;Spector, N.&lt;/author&gt;&lt;author&gt;Pasquini, R.&lt;/author&gt;&lt;author&gt;Clementino, N. C. D.&lt;/author&gt;&lt;author&gt;Schwarer, A. P.&lt;/author&gt;&lt;author&gt;Dorliac-Llacer, P. E.&lt;/author&gt;&lt;author&gt;Mahon, F. X.&lt;/author&gt;&lt;author&gt;Rea, D.&lt;/author&gt;&lt;author&gt;Guerci-Bresler, A.&lt;/author&gt;&lt;author&gt;Kamel-Reid, S.&lt;/author&gt;&lt;author&gt;Bendit, I.&lt;/author&gt;&lt;author&gt;Acharya, S.&lt;/author&gt;&lt;author&gt;Glynos, T.&lt;/author&gt;&lt;author&gt;Dalal, D.&lt;/author&gt;&lt;author&gt;Branford, S.&lt;/author&gt;&lt;author&gt;Lipton, J. H.&lt;/author&gt;&lt;/authors&gt;&lt;/contributors&gt;&lt;titles&gt;&lt;title&gt;Sustained deep molecular responses in patients switched to nilotinib due to persistent BCR-ABL1 on imatinib: final ENESTcmr randomized trial results&lt;/title&gt;&lt;secondary-title&gt;Leukemia&lt;/secondary-title&gt;&lt;/titles&gt;&lt;periodical&gt;&lt;full-title&gt;Leukemia&lt;/full-title&gt;&lt;/periodical&gt;&lt;pages&gt;2529-2531&lt;/pages&gt;&lt;volume&gt;31&lt;/volume&gt;&lt;number&gt;11&lt;/number&gt;&lt;dates&gt;&lt;year&gt;2017&lt;/year&gt;&lt;/dates&gt;&lt;urls&gt;&lt;related-urls&gt;&lt;url&gt;https://www.ncbi.nlm.nih.gov/pubmed/28862704&lt;/url&gt;&lt;/related-urls&gt;&lt;/urls&gt;&lt;electronic-resource-num&gt;10.1038/leu.2017.247&lt;/electronic-resource-num&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(Hughes</w:t>
      </w:r>
      <w:r w:rsidRPr="002F2002">
        <w:rPr>
          <w:rFonts w:asciiTheme="majorBidi" w:hAnsiTheme="majorBidi" w:cstheme="majorBidi"/>
          <w:i/>
          <w:noProof/>
          <w:sz w:val="24"/>
          <w:szCs w:val="24"/>
        </w:rPr>
        <w:t>, et al</w:t>
      </w:r>
      <w:r>
        <w:rPr>
          <w:rFonts w:asciiTheme="majorBidi" w:hAnsiTheme="majorBidi" w:cstheme="majorBidi"/>
          <w:noProof/>
          <w:sz w:val="24"/>
          <w:szCs w:val="24"/>
        </w:rPr>
        <w:t xml:space="preserve"> 2017)</w:t>
      </w:r>
      <w:r>
        <w:rPr>
          <w:rFonts w:asciiTheme="majorBidi" w:hAnsiTheme="majorBidi" w:cstheme="majorBidi"/>
          <w:sz w:val="24"/>
          <w:szCs w:val="24"/>
        </w:rPr>
        <w:fldChar w:fldCharType="end"/>
      </w:r>
      <w:r>
        <w:rPr>
          <w:rFonts w:asciiTheme="majorBidi" w:hAnsiTheme="majorBidi" w:cstheme="majorBidi"/>
          <w:sz w:val="24"/>
          <w:szCs w:val="24"/>
        </w:rPr>
        <w:t xml:space="preserve">. Results from our study showed that patients switching from first-line treatment may achieve not only optimal </w:t>
      </w:r>
      <w:r>
        <w:rPr>
          <w:rFonts w:asciiTheme="majorBidi" w:hAnsiTheme="majorBidi" w:cstheme="majorBidi"/>
          <w:sz w:val="24"/>
          <w:szCs w:val="24"/>
        </w:rPr>
        <w:lastRenderedPageBreak/>
        <w:t xml:space="preserve">responses but also deeper responses, including patients with prior resistance or ELN-defined failure.  </w:t>
      </w:r>
    </w:p>
    <w:p w:rsidR="00B331A1" w:rsidRPr="00D64C81" w:rsidRDefault="00B331A1" w:rsidP="00B331A1">
      <w:pPr>
        <w:autoSpaceDE w:val="0"/>
        <w:autoSpaceDN w:val="0"/>
        <w:adjustRightInd w:val="0"/>
        <w:spacing w:after="0" w:line="480" w:lineRule="auto"/>
        <w:rPr>
          <w:rFonts w:ascii="Times New Roman" w:hAnsi="Times New Roman" w:cs="Times New Roman"/>
          <w:color w:val="231F20"/>
          <w:sz w:val="24"/>
          <w:szCs w:val="24"/>
        </w:rPr>
      </w:pPr>
      <w:r w:rsidRPr="000F0013">
        <w:rPr>
          <w:rFonts w:ascii="Times New Roman" w:hAnsi="Times New Roman" w:cs="Times New Roman"/>
          <w:color w:val="231F20"/>
          <w:sz w:val="24"/>
          <w:szCs w:val="24"/>
        </w:rPr>
        <w:t>A criticism of observational studies is the increased risk of selection bias and confounding</w:t>
      </w:r>
      <w:r>
        <w:rPr>
          <w:rFonts w:ascii="Times New Roman" w:hAnsi="Times New Roman" w:cs="Times New Roman"/>
          <w:color w:val="231F20"/>
          <w:sz w:val="24"/>
          <w:szCs w:val="24"/>
        </w:rPr>
        <w:t>,</w:t>
      </w:r>
      <w:r w:rsidRPr="000F0013">
        <w:rPr>
          <w:rFonts w:ascii="Times New Roman" w:hAnsi="Times New Roman" w:cs="Times New Roman"/>
          <w:color w:val="231F20"/>
          <w:sz w:val="24"/>
          <w:szCs w:val="24"/>
        </w:rPr>
        <w:t xml:space="preserve"> pre</w:t>
      </w:r>
      <w:r>
        <w:rPr>
          <w:rFonts w:ascii="Times New Roman" w:hAnsi="Times New Roman" w:cs="Times New Roman"/>
          <w:color w:val="231F20"/>
          <w:sz w:val="24"/>
          <w:szCs w:val="24"/>
        </w:rPr>
        <w:t>cluding</w:t>
      </w:r>
      <w:r w:rsidRPr="000F0013">
        <w:rPr>
          <w:rFonts w:ascii="Times New Roman" w:hAnsi="Times New Roman" w:cs="Times New Roman"/>
          <w:color w:val="231F20"/>
          <w:sz w:val="24"/>
          <w:szCs w:val="24"/>
        </w:rPr>
        <w:t xml:space="preserve"> the robust analysis and conclusions provided by </w:t>
      </w:r>
      <w:r>
        <w:rPr>
          <w:rFonts w:ascii="Times New Roman" w:hAnsi="Times New Roman" w:cs="Times New Roman"/>
          <w:color w:val="231F20"/>
          <w:sz w:val="24"/>
          <w:szCs w:val="24"/>
        </w:rPr>
        <w:t>randomized controlled trials</w:t>
      </w:r>
      <w:r w:rsidRPr="000F0013">
        <w:rPr>
          <w:rFonts w:ascii="Times New Roman" w:hAnsi="Times New Roman" w:cs="Times New Roman"/>
          <w:color w:val="231F20"/>
          <w:sz w:val="24"/>
          <w:szCs w:val="24"/>
        </w:rPr>
        <w:t xml:space="preserve">. However, </w:t>
      </w:r>
      <w:r w:rsidRPr="000F0013">
        <w:rPr>
          <w:rFonts w:ascii="Times New Roman" w:hAnsi="Times New Roman" w:cs="Times New Roman"/>
          <w:sz w:val="24"/>
          <w:szCs w:val="24"/>
        </w:rPr>
        <w:t>real</w:t>
      </w:r>
      <w:r>
        <w:rPr>
          <w:rFonts w:ascii="Times New Roman" w:hAnsi="Times New Roman" w:cs="Times New Roman"/>
          <w:sz w:val="24"/>
          <w:szCs w:val="24"/>
        </w:rPr>
        <w:t>-</w:t>
      </w:r>
      <w:r w:rsidRPr="000F0013">
        <w:rPr>
          <w:rFonts w:ascii="Times New Roman" w:hAnsi="Times New Roman" w:cs="Times New Roman"/>
          <w:sz w:val="24"/>
          <w:szCs w:val="24"/>
        </w:rPr>
        <w:t>wor</w:t>
      </w:r>
      <w:r>
        <w:rPr>
          <w:rFonts w:ascii="Times New Roman" w:hAnsi="Times New Roman" w:cs="Times New Roman"/>
          <w:sz w:val="24"/>
          <w:szCs w:val="24"/>
        </w:rPr>
        <w:t>l</w:t>
      </w:r>
      <w:r w:rsidRPr="000F0013">
        <w:rPr>
          <w:rFonts w:ascii="Times New Roman" w:hAnsi="Times New Roman" w:cs="Times New Roman"/>
          <w:sz w:val="24"/>
          <w:szCs w:val="24"/>
        </w:rPr>
        <w:t xml:space="preserve">d evidence plays an important role in allowing physicians to reflect on current practice. </w:t>
      </w:r>
      <w:r>
        <w:rPr>
          <w:rFonts w:ascii="Times New Roman" w:hAnsi="Times New Roman" w:cs="Times New Roman"/>
          <w:sz w:val="24"/>
          <w:szCs w:val="24"/>
        </w:rPr>
        <w:t>Our</w:t>
      </w:r>
      <w:r w:rsidRPr="000F0013">
        <w:rPr>
          <w:rFonts w:ascii="Times New Roman" w:hAnsi="Times New Roman" w:cs="Times New Roman"/>
          <w:sz w:val="24"/>
          <w:szCs w:val="24"/>
        </w:rPr>
        <w:t xml:space="preserve"> study demonstrate</w:t>
      </w:r>
      <w:r>
        <w:rPr>
          <w:rFonts w:ascii="Times New Roman" w:hAnsi="Times New Roman" w:cs="Times New Roman"/>
          <w:sz w:val="24"/>
          <w:szCs w:val="24"/>
        </w:rPr>
        <w:t>d</w:t>
      </w:r>
      <w:r w:rsidRPr="000F0013">
        <w:rPr>
          <w:rFonts w:ascii="Times New Roman" w:hAnsi="Times New Roman" w:cs="Times New Roman"/>
          <w:sz w:val="24"/>
          <w:szCs w:val="24"/>
        </w:rPr>
        <w:t xml:space="preserve"> that almost half of patients require</w:t>
      </w:r>
      <w:r>
        <w:rPr>
          <w:rFonts w:ascii="Times New Roman" w:hAnsi="Times New Roman" w:cs="Times New Roman"/>
          <w:sz w:val="24"/>
          <w:szCs w:val="24"/>
        </w:rPr>
        <w:t>d</w:t>
      </w:r>
      <w:r w:rsidRPr="000F0013">
        <w:rPr>
          <w:rFonts w:ascii="Times New Roman" w:hAnsi="Times New Roman" w:cs="Times New Roman"/>
          <w:sz w:val="24"/>
          <w:szCs w:val="24"/>
        </w:rPr>
        <w:t xml:space="preserve"> TKI switch </w:t>
      </w:r>
      <w:r>
        <w:rPr>
          <w:rFonts w:ascii="Times New Roman" w:hAnsi="Times New Roman" w:cs="Times New Roman"/>
          <w:sz w:val="24"/>
          <w:szCs w:val="24"/>
        </w:rPr>
        <w:t>in real-world practice and that optimal and deep responses can be achieved by patients who switch.</w:t>
      </w:r>
      <w:r w:rsidRPr="000F0013">
        <w:rPr>
          <w:rFonts w:ascii="Times New Roman" w:hAnsi="Times New Roman" w:cs="Times New Roman"/>
          <w:sz w:val="24"/>
          <w:szCs w:val="24"/>
        </w:rPr>
        <w:t xml:space="preserve"> </w:t>
      </w:r>
      <w:r>
        <w:rPr>
          <w:rFonts w:ascii="Times New Roman" w:hAnsi="Times New Roman" w:cs="Times New Roman"/>
          <w:sz w:val="24"/>
          <w:szCs w:val="24"/>
        </w:rPr>
        <w:t>However, i</w:t>
      </w:r>
      <w:r w:rsidRPr="000F0013">
        <w:rPr>
          <w:rFonts w:ascii="Times New Roman" w:hAnsi="Times New Roman" w:cs="Times New Roman"/>
          <w:sz w:val="24"/>
          <w:szCs w:val="24"/>
        </w:rPr>
        <w:t xml:space="preserve">nadequate CV risk assessment, </w:t>
      </w:r>
      <w:r>
        <w:rPr>
          <w:rFonts w:ascii="Times New Roman" w:hAnsi="Times New Roman" w:cs="Times New Roman"/>
          <w:sz w:val="24"/>
          <w:szCs w:val="24"/>
        </w:rPr>
        <w:t>response</w:t>
      </w:r>
      <w:r w:rsidRPr="000F0013">
        <w:rPr>
          <w:rFonts w:ascii="Times New Roman" w:hAnsi="Times New Roman" w:cs="Times New Roman"/>
          <w:sz w:val="24"/>
          <w:szCs w:val="24"/>
        </w:rPr>
        <w:t xml:space="preserve"> monitoring</w:t>
      </w:r>
      <w:r>
        <w:rPr>
          <w:rFonts w:ascii="Times New Roman" w:hAnsi="Times New Roman" w:cs="Times New Roman"/>
          <w:sz w:val="24"/>
          <w:szCs w:val="24"/>
        </w:rPr>
        <w:t>,</w:t>
      </w:r>
      <w:r w:rsidRPr="000F0013">
        <w:rPr>
          <w:rFonts w:ascii="Times New Roman" w:hAnsi="Times New Roman" w:cs="Times New Roman"/>
          <w:sz w:val="24"/>
          <w:szCs w:val="24"/>
        </w:rPr>
        <w:t xml:space="preserve"> and </w:t>
      </w:r>
      <w:r>
        <w:rPr>
          <w:rFonts w:ascii="Times New Roman" w:hAnsi="Times New Roman" w:cs="Times New Roman"/>
          <w:sz w:val="24"/>
          <w:szCs w:val="24"/>
        </w:rPr>
        <w:t>mutational analysis increased</w:t>
      </w:r>
      <w:r w:rsidRPr="000F0013">
        <w:rPr>
          <w:rFonts w:ascii="Times New Roman" w:hAnsi="Times New Roman" w:cs="Times New Roman"/>
          <w:sz w:val="24"/>
          <w:szCs w:val="24"/>
        </w:rPr>
        <w:t xml:space="preserve"> the risk of inappropriate patient management</w:t>
      </w:r>
      <w:r>
        <w:rPr>
          <w:rFonts w:ascii="Times New Roman" w:hAnsi="Times New Roman" w:cs="Times New Roman"/>
          <w:sz w:val="24"/>
          <w:szCs w:val="24"/>
        </w:rPr>
        <w:t xml:space="preserve"> and, as such, t</w:t>
      </w:r>
      <w:r w:rsidRPr="000F0013">
        <w:rPr>
          <w:rFonts w:ascii="Times New Roman" w:hAnsi="Times New Roman" w:cs="Times New Roman"/>
          <w:sz w:val="24"/>
          <w:szCs w:val="24"/>
        </w:rPr>
        <w:t>he findings of this study highlight</w:t>
      </w:r>
      <w:r>
        <w:rPr>
          <w:rFonts w:ascii="Times New Roman" w:hAnsi="Times New Roman" w:cs="Times New Roman"/>
          <w:sz w:val="24"/>
          <w:szCs w:val="24"/>
        </w:rPr>
        <w:t>ed</w:t>
      </w:r>
      <w:r w:rsidRPr="000F0013">
        <w:rPr>
          <w:rFonts w:ascii="Times New Roman" w:hAnsi="Times New Roman" w:cs="Times New Roman"/>
          <w:sz w:val="24"/>
          <w:szCs w:val="24"/>
        </w:rPr>
        <w:t xml:space="preserve"> key areas for improvement in care </w:t>
      </w:r>
      <w:r>
        <w:rPr>
          <w:rFonts w:ascii="Times New Roman" w:hAnsi="Times New Roman" w:cs="Times New Roman"/>
          <w:sz w:val="24"/>
          <w:szCs w:val="24"/>
        </w:rPr>
        <w:t xml:space="preserve">for </w:t>
      </w:r>
      <w:r w:rsidRPr="000F0013">
        <w:rPr>
          <w:rFonts w:ascii="Times New Roman" w:hAnsi="Times New Roman" w:cs="Times New Roman"/>
          <w:sz w:val="24"/>
          <w:szCs w:val="24"/>
        </w:rPr>
        <w:t>patients with CML</w:t>
      </w:r>
      <w:r>
        <w:rPr>
          <w:rFonts w:ascii="Times New Roman" w:hAnsi="Times New Roman" w:cs="Times New Roman"/>
          <w:sz w:val="24"/>
          <w:szCs w:val="24"/>
        </w:rPr>
        <w:t>.</w:t>
      </w:r>
      <w:r w:rsidRPr="007A307F">
        <w:rPr>
          <w:rFonts w:ascii="Times New Roman" w:hAnsi="Times New Roman" w:cs="Times New Roman"/>
          <w:sz w:val="24"/>
          <w:szCs w:val="24"/>
        </w:rPr>
        <w:t xml:space="preserve"> </w:t>
      </w:r>
      <w:r>
        <w:rPr>
          <w:rFonts w:ascii="Times New Roman" w:hAnsi="Times New Roman" w:cs="Times New Roman"/>
          <w:sz w:val="24"/>
          <w:szCs w:val="24"/>
        </w:rPr>
        <w:t>Further consideration for improving implementation of guidelines in real-world clinical practice is warranted.</w:t>
      </w:r>
    </w:p>
    <w:p w:rsidR="00B331A1" w:rsidRPr="00FF59B0" w:rsidRDefault="00B331A1" w:rsidP="00B331A1">
      <w:pPr>
        <w:spacing w:line="480" w:lineRule="auto"/>
        <w:rPr>
          <w:rFonts w:asciiTheme="majorBidi" w:hAnsiTheme="majorBidi" w:cstheme="majorBidi"/>
          <w:sz w:val="24"/>
          <w:szCs w:val="24"/>
        </w:rPr>
      </w:pPr>
    </w:p>
    <w:p w:rsidR="00B331A1" w:rsidRPr="00FF59B0" w:rsidRDefault="00B331A1" w:rsidP="00B331A1">
      <w:pPr>
        <w:tabs>
          <w:tab w:val="center" w:pos="4680"/>
        </w:tabs>
        <w:spacing w:line="480" w:lineRule="auto"/>
        <w:rPr>
          <w:rFonts w:asciiTheme="majorBidi" w:hAnsiTheme="majorBidi" w:cstheme="majorBidi"/>
          <w:b/>
          <w:sz w:val="24"/>
          <w:szCs w:val="24"/>
        </w:rPr>
      </w:pPr>
      <w:r w:rsidRPr="00FF59B0">
        <w:rPr>
          <w:rFonts w:asciiTheme="majorBidi" w:hAnsiTheme="majorBidi" w:cstheme="majorBidi"/>
          <w:b/>
          <w:sz w:val="24"/>
          <w:szCs w:val="24"/>
        </w:rPr>
        <w:t>Acknowledg</w:t>
      </w:r>
      <w:r>
        <w:rPr>
          <w:rFonts w:asciiTheme="majorBidi" w:hAnsiTheme="majorBidi" w:cstheme="majorBidi"/>
          <w:b/>
          <w:sz w:val="24"/>
          <w:szCs w:val="24"/>
        </w:rPr>
        <w:t>e</w:t>
      </w:r>
      <w:r w:rsidRPr="00FF59B0">
        <w:rPr>
          <w:rFonts w:asciiTheme="majorBidi" w:hAnsiTheme="majorBidi" w:cstheme="majorBidi"/>
          <w:b/>
          <w:sz w:val="24"/>
          <w:szCs w:val="24"/>
        </w:rPr>
        <w:t>ments</w:t>
      </w:r>
      <w:r>
        <w:rPr>
          <w:rFonts w:asciiTheme="majorBidi" w:hAnsiTheme="majorBidi" w:cstheme="majorBidi"/>
          <w:b/>
          <w:sz w:val="24"/>
          <w:szCs w:val="24"/>
        </w:rPr>
        <w:tab/>
      </w:r>
    </w:p>
    <w:p w:rsidR="00B331A1" w:rsidRPr="00443E75" w:rsidRDefault="00B331A1" w:rsidP="00B331A1">
      <w:pPr>
        <w:autoSpaceDE w:val="0"/>
        <w:autoSpaceDN w:val="0"/>
        <w:adjustRightInd w:val="0"/>
        <w:spacing w:line="480" w:lineRule="auto"/>
        <w:rPr>
          <w:rFonts w:ascii="AdvOT46dcae81" w:hAnsi="AdvOT46dcae81" w:cs="AdvOT46dcae81"/>
          <w:color w:val="231F20"/>
          <w:sz w:val="14"/>
          <w:szCs w:val="14"/>
        </w:rPr>
      </w:pPr>
      <w:r>
        <w:rPr>
          <w:rFonts w:asciiTheme="majorBidi" w:eastAsia="Times New Roman" w:hAnsiTheme="majorBidi" w:cstheme="majorBidi"/>
          <w:color w:val="000000" w:themeColor="text1"/>
          <w:sz w:val="24"/>
          <w:szCs w:val="24"/>
          <w:shd w:val="clear" w:color="auto" w:fill="FFFFFF"/>
        </w:rPr>
        <w:t xml:space="preserve">We are grateful to the principal investigators and research teams at each of the 21 UK participating sites who made this study possible. Most importantly, we extend our gratitude to all the patients who consented to be part of this research. </w:t>
      </w:r>
      <w:r w:rsidRPr="00FF59B0">
        <w:rPr>
          <w:rFonts w:asciiTheme="majorBidi" w:eastAsia="Times New Roman" w:hAnsiTheme="majorBidi" w:cstheme="majorBidi"/>
          <w:color w:val="000000" w:themeColor="text1"/>
          <w:sz w:val="24"/>
          <w:szCs w:val="24"/>
          <w:shd w:val="clear" w:color="auto" w:fill="FFFFFF"/>
        </w:rPr>
        <w:t>We thank</w:t>
      </w:r>
      <w:r>
        <w:rPr>
          <w:rFonts w:asciiTheme="majorBidi" w:eastAsia="Times New Roman" w:hAnsiTheme="majorBidi" w:cstheme="majorBidi"/>
          <w:color w:val="000000" w:themeColor="text1"/>
          <w:sz w:val="24"/>
          <w:szCs w:val="24"/>
          <w:shd w:val="clear" w:color="auto" w:fill="FFFFFF"/>
        </w:rPr>
        <w:t xml:space="preserve"> OPEN VIE (formerly pH Associates) for their support </w:t>
      </w:r>
      <w:r w:rsidRPr="00DC0FC2">
        <w:rPr>
          <w:rFonts w:asciiTheme="majorBidi" w:eastAsia="Times New Roman" w:hAnsiTheme="majorBidi" w:cstheme="majorBidi"/>
          <w:color w:val="000000" w:themeColor="text1"/>
          <w:sz w:val="24"/>
          <w:szCs w:val="24"/>
          <w:shd w:val="clear" w:color="auto" w:fill="FFFFFF"/>
        </w:rPr>
        <w:t>in the conduct of this research study</w:t>
      </w:r>
      <w:r>
        <w:rPr>
          <w:rFonts w:asciiTheme="majorBidi" w:eastAsia="Times New Roman" w:hAnsiTheme="majorBidi" w:cstheme="majorBidi"/>
          <w:color w:val="000000" w:themeColor="text1"/>
          <w:sz w:val="24"/>
          <w:szCs w:val="24"/>
          <w:shd w:val="clear" w:color="auto" w:fill="FFFFFF"/>
        </w:rPr>
        <w:t xml:space="preserve">. We also thank Silvia Sanz, Fiona Read, Michelle </w:t>
      </w:r>
      <w:proofErr w:type="spellStart"/>
      <w:r>
        <w:rPr>
          <w:rFonts w:asciiTheme="majorBidi" w:eastAsia="Times New Roman" w:hAnsiTheme="majorBidi" w:cstheme="majorBidi"/>
          <w:color w:val="000000" w:themeColor="text1"/>
          <w:sz w:val="24"/>
          <w:szCs w:val="24"/>
          <w:shd w:val="clear" w:color="auto" w:fill="FFFFFF"/>
        </w:rPr>
        <w:t>Murchie</w:t>
      </w:r>
      <w:proofErr w:type="spellEnd"/>
      <w:r>
        <w:rPr>
          <w:rFonts w:asciiTheme="majorBidi" w:eastAsia="Times New Roman" w:hAnsiTheme="majorBidi" w:cstheme="majorBidi"/>
          <w:color w:val="000000" w:themeColor="text1"/>
          <w:sz w:val="24"/>
          <w:szCs w:val="24"/>
          <w:shd w:val="clear" w:color="auto" w:fill="FFFFFF"/>
        </w:rPr>
        <w:t xml:space="preserve"> and </w:t>
      </w:r>
      <w:proofErr w:type="spellStart"/>
      <w:r>
        <w:rPr>
          <w:rFonts w:asciiTheme="majorBidi" w:eastAsia="Times New Roman" w:hAnsiTheme="majorBidi" w:cstheme="majorBidi"/>
          <w:color w:val="000000" w:themeColor="text1"/>
          <w:sz w:val="24"/>
          <w:szCs w:val="24"/>
          <w:shd w:val="clear" w:color="auto" w:fill="FFFFFF"/>
        </w:rPr>
        <w:t>Rozinder</w:t>
      </w:r>
      <w:proofErr w:type="spellEnd"/>
      <w:r>
        <w:rPr>
          <w:rFonts w:asciiTheme="majorBidi" w:eastAsia="Times New Roman" w:hAnsiTheme="majorBidi" w:cstheme="majorBidi"/>
          <w:color w:val="000000" w:themeColor="text1"/>
          <w:sz w:val="24"/>
          <w:szCs w:val="24"/>
          <w:shd w:val="clear" w:color="auto" w:fill="FFFFFF"/>
        </w:rPr>
        <w:t xml:space="preserve"> Bains of the Novartis Pharmaceutical UK Ltd haematology medical team for their ongoing input and support in the conduct of this study. </w:t>
      </w:r>
      <w:r w:rsidRPr="00443E75">
        <w:rPr>
          <w:rFonts w:ascii="Times New Roman" w:eastAsia="Times New Roman" w:hAnsi="Times New Roman" w:cs="Times New Roman"/>
          <w:color w:val="000000" w:themeColor="text1"/>
          <w:sz w:val="24"/>
          <w:szCs w:val="24"/>
          <w:shd w:val="clear" w:color="auto" w:fill="FFFFFF"/>
        </w:rPr>
        <w:t>We thank</w:t>
      </w:r>
      <w:r w:rsidRPr="00FF59B0">
        <w:rPr>
          <w:rFonts w:asciiTheme="majorBidi" w:eastAsia="Times New Roman" w:hAnsiTheme="majorBidi" w:cstheme="majorBidi"/>
          <w:color w:val="000000" w:themeColor="text1"/>
          <w:sz w:val="24"/>
          <w:szCs w:val="24"/>
          <w:shd w:val="clear" w:color="auto" w:fill="FFFFFF"/>
        </w:rPr>
        <w:t xml:space="preserve"> Christopher Edwards, PhD, and Karen </w:t>
      </w:r>
      <w:proofErr w:type="spellStart"/>
      <w:r w:rsidRPr="00FF59B0">
        <w:rPr>
          <w:rFonts w:asciiTheme="majorBidi" w:eastAsia="Times New Roman" w:hAnsiTheme="majorBidi" w:cstheme="majorBidi"/>
          <w:color w:val="000000" w:themeColor="text1"/>
          <w:sz w:val="24"/>
          <w:szCs w:val="24"/>
          <w:shd w:val="clear" w:color="auto" w:fill="FFFFFF"/>
        </w:rPr>
        <w:t>Kaluza</w:t>
      </w:r>
      <w:proofErr w:type="spellEnd"/>
      <w:r>
        <w:rPr>
          <w:rFonts w:asciiTheme="majorBidi" w:eastAsia="Times New Roman" w:hAnsiTheme="majorBidi" w:cstheme="majorBidi"/>
          <w:color w:val="000000" w:themeColor="text1"/>
          <w:sz w:val="24"/>
          <w:szCs w:val="24"/>
          <w:shd w:val="clear" w:color="auto" w:fill="FFFFFF"/>
        </w:rPr>
        <w:t xml:space="preserve"> Smith</w:t>
      </w:r>
      <w:r w:rsidRPr="00FF59B0">
        <w:rPr>
          <w:rFonts w:asciiTheme="majorBidi" w:eastAsia="Times New Roman" w:hAnsiTheme="majorBidi" w:cstheme="majorBidi"/>
          <w:color w:val="000000" w:themeColor="text1"/>
          <w:sz w:val="24"/>
          <w:szCs w:val="24"/>
          <w:shd w:val="clear" w:color="auto" w:fill="FFFFFF"/>
        </w:rPr>
        <w:t xml:space="preserve">, PhD, of </w:t>
      </w:r>
      <w:proofErr w:type="spellStart"/>
      <w:r w:rsidRPr="00FF59B0">
        <w:rPr>
          <w:rFonts w:asciiTheme="majorBidi" w:eastAsia="Times New Roman" w:hAnsiTheme="majorBidi" w:cstheme="majorBidi"/>
          <w:color w:val="000000" w:themeColor="text1"/>
          <w:sz w:val="24"/>
          <w:szCs w:val="24"/>
          <w:shd w:val="clear" w:color="auto" w:fill="FFFFFF"/>
        </w:rPr>
        <w:t>ArticulateScience</w:t>
      </w:r>
      <w:proofErr w:type="spellEnd"/>
      <w:r w:rsidRPr="00FF59B0">
        <w:rPr>
          <w:rFonts w:asciiTheme="majorBidi" w:eastAsia="Times New Roman" w:hAnsiTheme="majorBidi" w:cstheme="majorBidi"/>
          <w:color w:val="000000" w:themeColor="text1"/>
          <w:sz w:val="24"/>
          <w:szCs w:val="24"/>
          <w:shd w:val="clear" w:color="auto" w:fill="FFFFFF"/>
        </w:rPr>
        <w:t xml:space="preserve"> LLC for their medical editorial assistance with this manuscript.</w:t>
      </w:r>
      <w:r>
        <w:rPr>
          <w:rFonts w:asciiTheme="majorBidi" w:eastAsia="Times New Roman" w:hAnsiTheme="majorBidi" w:cstheme="majorBidi"/>
          <w:color w:val="000000" w:themeColor="text1"/>
          <w:sz w:val="24"/>
          <w:szCs w:val="24"/>
          <w:shd w:val="clear" w:color="auto" w:fill="FFFFFF"/>
        </w:rPr>
        <w:t xml:space="preserve"> </w:t>
      </w:r>
      <w:r w:rsidRPr="00FF59B0">
        <w:rPr>
          <w:rFonts w:asciiTheme="majorBidi" w:eastAsia="Times New Roman" w:hAnsiTheme="majorBidi" w:cstheme="majorBidi"/>
          <w:color w:val="000000" w:themeColor="text1"/>
          <w:sz w:val="24"/>
          <w:szCs w:val="24"/>
          <w:shd w:val="clear" w:color="auto" w:fill="FFFFFF"/>
        </w:rPr>
        <w:t>Financial support for medical editorial assistance was provided by Novartis Pharmaceuticals</w:t>
      </w:r>
      <w:r>
        <w:rPr>
          <w:rFonts w:asciiTheme="majorBidi" w:eastAsia="Times New Roman" w:hAnsiTheme="majorBidi" w:cstheme="majorBidi"/>
          <w:color w:val="000000" w:themeColor="text1"/>
          <w:sz w:val="24"/>
          <w:szCs w:val="24"/>
          <w:shd w:val="clear" w:color="auto" w:fill="FFFFFF"/>
        </w:rPr>
        <w:t xml:space="preserve"> Corporation</w:t>
      </w:r>
      <w:r w:rsidRPr="00FF59B0">
        <w:rPr>
          <w:rFonts w:asciiTheme="majorBidi" w:eastAsia="Times New Roman" w:hAnsiTheme="majorBidi" w:cstheme="majorBidi"/>
          <w:color w:val="000000" w:themeColor="text1"/>
          <w:sz w:val="24"/>
          <w:szCs w:val="24"/>
          <w:shd w:val="clear" w:color="auto" w:fill="FFFFFF"/>
        </w:rPr>
        <w:t xml:space="preserve">. </w:t>
      </w:r>
      <w:r w:rsidRPr="00A94F93">
        <w:rPr>
          <w:rFonts w:ascii="Times New Roman" w:hAnsi="Times New Roman" w:cs="Times New Roman"/>
          <w:color w:val="231F20"/>
          <w:sz w:val="24"/>
          <w:szCs w:val="24"/>
        </w:rPr>
        <w:t xml:space="preserve">This study was sponsored and </w:t>
      </w:r>
      <w:r w:rsidRPr="00A94F93">
        <w:rPr>
          <w:rFonts w:ascii="Times New Roman" w:hAnsi="Times New Roman" w:cs="Times New Roman"/>
          <w:color w:val="231F20"/>
          <w:sz w:val="24"/>
          <w:szCs w:val="24"/>
        </w:rPr>
        <w:lastRenderedPageBreak/>
        <w:t>funded by Novartis Pharmaceuticals</w:t>
      </w:r>
      <w:r>
        <w:rPr>
          <w:rFonts w:ascii="Times New Roman" w:hAnsi="Times New Roman" w:cs="Times New Roman"/>
          <w:color w:val="231F20"/>
          <w:sz w:val="24"/>
          <w:szCs w:val="24"/>
        </w:rPr>
        <w:t xml:space="preserve"> UK</w:t>
      </w:r>
      <w:r w:rsidRPr="00A94F93">
        <w:rPr>
          <w:rFonts w:ascii="Times New Roman" w:hAnsi="Times New Roman" w:cs="Times New Roman"/>
          <w:color w:val="231F20"/>
          <w:sz w:val="24"/>
          <w:szCs w:val="24"/>
        </w:rPr>
        <w:t xml:space="preserve"> L</w:t>
      </w:r>
      <w:r>
        <w:rPr>
          <w:rFonts w:ascii="Times New Roman" w:hAnsi="Times New Roman" w:cs="Times New Roman"/>
          <w:color w:val="231F20"/>
          <w:sz w:val="24"/>
          <w:szCs w:val="24"/>
        </w:rPr>
        <w:t xml:space="preserve">td. </w:t>
      </w:r>
      <w:r>
        <w:rPr>
          <w:rFonts w:asciiTheme="majorBidi" w:eastAsia="Times New Roman" w:hAnsiTheme="majorBidi" w:cstheme="majorBidi"/>
          <w:color w:val="000000" w:themeColor="text1"/>
          <w:sz w:val="24"/>
          <w:szCs w:val="24"/>
          <w:shd w:val="clear" w:color="auto" w:fill="FFFFFF"/>
        </w:rPr>
        <w:t>The a</w:t>
      </w:r>
      <w:r w:rsidRPr="00FF59B0">
        <w:rPr>
          <w:rFonts w:asciiTheme="majorBidi" w:eastAsia="Times New Roman" w:hAnsiTheme="majorBidi" w:cstheme="majorBidi"/>
          <w:color w:val="000000" w:themeColor="text1"/>
          <w:sz w:val="24"/>
          <w:szCs w:val="24"/>
          <w:shd w:val="clear" w:color="auto" w:fill="FFFFFF"/>
        </w:rPr>
        <w:t>uthor</w:t>
      </w:r>
      <w:r>
        <w:rPr>
          <w:rFonts w:asciiTheme="majorBidi" w:eastAsia="Times New Roman" w:hAnsiTheme="majorBidi" w:cstheme="majorBidi"/>
          <w:color w:val="000000" w:themeColor="text1"/>
          <w:sz w:val="24"/>
          <w:szCs w:val="24"/>
          <w:shd w:val="clear" w:color="auto" w:fill="FFFFFF"/>
        </w:rPr>
        <w:t>s</w:t>
      </w:r>
      <w:r w:rsidRPr="00FF59B0">
        <w:rPr>
          <w:rFonts w:asciiTheme="majorBidi" w:eastAsia="Times New Roman" w:hAnsiTheme="majorBidi" w:cstheme="majorBidi"/>
          <w:color w:val="000000" w:themeColor="text1"/>
          <w:sz w:val="24"/>
          <w:szCs w:val="24"/>
          <w:shd w:val="clear" w:color="auto" w:fill="FFFFFF"/>
        </w:rPr>
        <w:t xml:space="preserve"> had full control of the content and made the final decision for all aspects of this article</w:t>
      </w:r>
    </w:p>
    <w:p w:rsidR="00B331A1" w:rsidRPr="00FF59B0" w:rsidRDefault="00B331A1" w:rsidP="00B331A1">
      <w:pPr>
        <w:spacing w:line="480" w:lineRule="auto"/>
        <w:rPr>
          <w:rFonts w:asciiTheme="majorBidi" w:hAnsiTheme="majorBidi" w:cstheme="majorBidi"/>
          <w:sz w:val="24"/>
          <w:szCs w:val="24"/>
        </w:rPr>
      </w:pPr>
      <w:r w:rsidRPr="00FF59B0">
        <w:rPr>
          <w:rFonts w:asciiTheme="majorBidi" w:hAnsiTheme="majorBidi" w:cstheme="majorBidi"/>
          <w:sz w:val="24"/>
          <w:szCs w:val="24"/>
        </w:rPr>
        <w:br w:type="page"/>
      </w:r>
    </w:p>
    <w:p w:rsidR="00B331A1" w:rsidRPr="003E7458" w:rsidRDefault="00B331A1" w:rsidP="00B331A1">
      <w:pPr>
        <w:spacing w:line="480" w:lineRule="auto"/>
        <w:rPr>
          <w:rFonts w:ascii="Times New Roman" w:hAnsi="Times New Roman" w:cs="Times New Roman"/>
          <w:b/>
          <w:sz w:val="24"/>
          <w:szCs w:val="24"/>
        </w:rPr>
      </w:pPr>
      <w:r>
        <w:rPr>
          <w:rFonts w:ascii="Times New Roman" w:hAnsi="Times New Roman" w:cs="Times New Roman"/>
          <w:b/>
          <w:color w:val="222222"/>
          <w:sz w:val="24"/>
          <w:szCs w:val="24"/>
          <w:lang w:val="en"/>
        </w:rPr>
        <w:lastRenderedPageBreak/>
        <w:t>Competing interests</w:t>
      </w:r>
    </w:p>
    <w:p w:rsidR="00B331A1" w:rsidRPr="003E7458" w:rsidRDefault="00B331A1" w:rsidP="00B331A1">
      <w:pPr>
        <w:spacing w:line="480" w:lineRule="auto"/>
        <w:rPr>
          <w:rFonts w:ascii="Times New Roman" w:hAnsi="Times New Roman" w:cs="Times New Roman"/>
          <w:sz w:val="24"/>
          <w:szCs w:val="24"/>
        </w:rPr>
      </w:pPr>
      <w:r w:rsidRPr="003E7458">
        <w:rPr>
          <w:rFonts w:ascii="Times New Roman" w:hAnsi="Times New Roman" w:cs="Times New Roman"/>
          <w:sz w:val="24"/>
          <w:szCs w:val="24"/>
        </w:rPr>
        <w:t>AJM has participated in advisory boards for Novartis, Bristol</w:t>
      </w:r>
      <w:r>
        <w:rPr>
          <w:rFonts w:ascii="Times New Roman" w:hAnsi="Times New Roman" w:cs="Times New Roman"/>
          <w:sz w:val="24"/>
          <w:szCs w:val="24"/>
        </w:rPr>
        <w:t>-</w:t>
      </w:r>
      <w:r w:rsidRPr="003E7458">
        <w:rPr>
          <w:rFonts w:ascii="Times New Roman" w:hAnsi="Times New Roman" w:cs="Times New Roman"/>
          <w:sz w:val="24"/>
          <w:szCs w:val="24"/>
        </w:rPr>
        <w:t>Myers Squibb (BMS) and Pfizer and received honoraria, research funding, travel, accommodation</w:t>
      </w:r>
      <w:r>
        <w:rPr>
          <w:rFonts w:ascii="Times New Roman" w:hAnsi="Times New Roman" w:cs="Times New Roman"/>
          <w:sz w:val="24"/>
          <w:szCs w:val="24"/>
        </w:rPr>
        <w:t>s</w:t>
      </w:r>
      <w:r w:rsidRPr="003E7458">
        <w:rPr>
          <w:rFonts w:ascii="Times New Roman" w:hAnsi="Times New Roman" w:cs="Times New Roman"/>
          <w:sz w:val="24"/>
          <w:szCs w:val="24"/>
        </w:rPr>
        <w:t xml:space="preserve"> and expenses from Novartis. REC has participated in advisory boards for Novartis, BMS and Pfizer and received honoraria, research funding, travel, accommodation</w:t>
      </w:r>
      <w:r>
        <w:rPr>
          <w:rFonts w:ascii="Times New Roman" w:hAnsi="Times New Roman" w:cs="Times New Roman"/>
          <w:sz w:val="24"/>
          <w:szCs w:val="24"/>
        </w:rPr>
        <w:t>s</w:t>
      </w:r>
      <w:r w:rsidRPr="003E7458">
        <w:rPr>
          <w:rFonts w:ascii="Times New Roman" w:hAnsi="Times New Roman" w:cs="Times New Roman"/>
          <w:sz w:val="24"/>
          <w:szCs w:val="24"/>
        </w:rPr>
        <w:t xml:space="preserve"> and expenses from Novartis, BMS and Pfizer. NCPC has participated in advisory boards for Novartis, BMS and Pfizer; received honoraria from Novartis, BMS, Pfizer and Ariad/Incyte; and received research funding from Novartis, BMS and Pfizer. FD received honoraria and travel, accommodation</w:t>
      </w:r>
      <w:r>
        <w:rPr>
          <w:rFonts w:ascii="Times New Roman" w:hAnsi="Times New Roman" w:cs="Times New Roman"/>
          <w:sz w:val="24"/>
          <w:szCs w:val="24"/>
        </w:rPr>
        <w:t>s</w:t>
      </w:r>
      <w:r w:rsidRPr="003E7458">
        <w:rPr>
          <w:rFonts w:ascii="Times New Roman" w:hAnsi="Times New Roman" w:cs="Times New Roman"/>
          <w:sz w:val="24"/>
          <w:szCs w:val="24"/>
        </w:rPr>
        <w:t xml:space="preserve"> and expenses from Novartis. MFMM participated in advisory boards for Novartis and received honoraria from Novartis, Pfizer and BMS. SM has participated in advisory boards for Novartis, BMS and Pfizer and received honoraria, research funding, travel, accommodation</w:t>
      </w:r>
      <w:r>
        <w:rPr>
          <w:rFonts w:ascii="Times New Roman" w:hAnsi="Times New Roman" w:cs="Times New Roman"/>
          <w:sz w:val="24"/>
          <w:szCs w:val="24"/>
        </w:rPr>
        <w:t>s</w:t>
      </w:r>
      <w:r w:rsidRPr="003E7458">
        <w:rPr>
          <w:rFonts w:ascii="Times New Roman" w:hAnsi="Times New Roman" w:cs="Times New Roman"/>
          <w:sz w:val="24"/>
          <w:szCs w:val="24"/>
        </w:rPr>
        <w:t xml:space="preserve"> and expenses from Novartis. </w:t>
      </w:r>
      <w:r w:rsidRPr="003E7458">
        <w:rPr>
          <w:rFonts w:ascii="Times New Roman" w:eastAsia="Times New Roman" w:hAnsi="Times New Roman" w:cs="Times New Roman"/>
          <w:color w:val="000000"/>
          <w:sz w:val="24"/>
          <w:szCs w:val="24"/>
          <w:lang w:eastAsia="en-GB"/>
        </w:rPr>
        <w:t>GC has participated in advisory board</w:t>
      </w:r>
      <w:r>
        <w:rPr>
          <w:rFonts w:ascii="Times New Roman" w:eastAsia="Times New Roman" w:hAnsi="Times New Roman" w:cs="Times New Roman"/>
          <w:color w:val="000000"/>
          <w:sz w:val="24"/>
          <w:szCs w:val="24"/>
          <w:lang w:eastAsia="en-GB"/>
        </w:rPr>
        <w:t>s</w:t>
      </w:r>
      <w:r w:rsidRPr="003E7458">
        <w:rPr>
          <w:rFonts w:ascii="Times New Roman" w:eastAsia="Times New Roman" w:hAnsi="Times New Roman" w:cs="Times New Roman"/>
          <w:color w:val="000000"/>
          <w:sz w:val="24"/>
          <w:szCs w:val="24"/>
          <w:lang w:eastAsia="en-GB"/>
        </w:rPr>
        <w:t xml:space="preserve"> for Novartis</w:t>
      </w:r>
      <w:r w:rsidRPr="003E7458">
        <w:rPr>
          <w:rFonts w:ascii="Times New Roman" w:hAnsi="Times New Roman" w:cs="Times New Roman"/>
          <w:sz w:val="24"/>
          <w:szCs w:val="24"/>
        </w:rPr>
        <w:t xml:space="preserve">. FW </w:t>
      </w:r>
      <w:r w:rsidRPr="003E7458">
        <w:rPr>
          <w:rFonts w:ascii="Times New Roman" w:eastAsia="Times New Roman" w:hAnsi="Times New Roman" w:cs="Times New Roman"/>
          <w:color w:val="000000"/>
          <w:sz w:val="24"/>
          <w:szCs w:val="24"/>
          <w:lang w:eastAsia="en-GB"/>
        </w:rPr>
        <w:t>received educational grants from Pfizer and Novartis</w:t>
      </w:r>
      <w:r w:rsidRPr="003E7458">
        <w:rPr>
          <w:rFonts w:ascii="Times New Roman" w:hAnsi="Times New Roman" w:cs="Times New Roman"/>
          <w:sz w:val="24"/>
          <w:szCs w:val="24"/>
        </w:rPr>
        <w:t xml:space="preserve">. </w:t>
      </w:r>
      <w:r w:rsidRPr="003E7458">
        <w:rPr>
          <w:rFonts w:ascii="Times New Roman" w:eastAsia="Times New Roman" w:hAnsi="Times New Roman" w:cs="Times New Roman"/>
          <w:color w:val="000000"/>
          <w:sz w:val="24"/>
          <w:szCs w:val="24"/>
          <w:lang w:eastAsia="en-GB"/>
        </w:rPr>
        <w:t>MR has participated in advisory board</w:t>
      </w:r>
      <w:r>
        <w:rPr>
          <w:rFonts w:ascii="Times New Roman" w:eastAsia="Times New Roman" w:hAnsi="Times New Roman" w:cs="Times New Roman"/>
          <w:color w:val="000000"/>
          <w:sz w:val="24"/>
          <w:szCs w:val="24"/>
          <w:lang w:eastAsia="en-GB"/>
        </w:rPr>
        <w:t>s</w:t>
      </w:r>
      <w:r w:rsidRPr="003E7458">
        <w:rPr>
          <w:rFonts w:ascii="Times New Roman" w:eastAsia="Times New Roman" w:hAnsi="Times New Roman" w:cs="Times New Roman"/>
          <w:color w:val="000000"/>
          <w:sz w:val="24"/>
          <w:szCs w:val="24"/>
          <w:lang w:eastAsia="en-GB"/>
        </w:rPr>
        <w:t xml:space="preserve"> and received honoraria from Novartis</w:t>
      </w:r>
      <w:r w:rsidRPr="003E7458">
        <w:rPr>
          <w:rFonts w:ascii="Times New Roman" w:hAnsi="Times New Roman" w:cs="Times New Roman"/>
          <w:sz w:val="24"/>
          <w:szCs w:val="24"/>
        </w:rPr>
        <w:t xml:space="preserve">. </w:t>
      </w:r>
      <w:r w:rsidRPr="003E7458">
        <w:rPr>
          <w:rFonts w:ascii="Times New Roman" w:eastAsia="Times New Roman" w:hAnsi="Times New Roman" w:cs="Times New Roman"/>
          <w:color w:val="000000"/>
          <w:sz w:val="24"/>
          <w:szCs w:val="24"/>
          <w:lang w:eastAsia="en-GB"/>
        </w:rPr>
        <w:t>JB has participated in advisory board</w:t>
      </w:r>
      <w:r>
        <w:rPr>
          <w:rFonts w:ascii="Times New Roman" w:eastAsia="Times New Roman" w:hAnsi="Times New Roman" w:cs="Times New Roman"/>
          <w:color w:val="000000"/>
          <w:sz w:val="24"/>
          <w:szCs w:val="24"/>
          <w:lang w:eastAsia="en-GB"/>
        </w:rPr>
        <w:t>s</w:t>
      </w:r>
      <w:r w:rsidRPr="003E7458">
        <w:rPr>
          <w:rFonts w:ascii="Times New Roman" w:eastAsia="Times New Roman" w:hAnsi="Times New Roman" w:cs="Times New Roman"/>
          <w:color w:val="000000"/>
          <w:sz w:val="24"/>
          <w:szCs w:val="24"/>
          <w:lang w:eastAsia="en-GB"/>
        </w:rPr>
        <w:t xml:space="preserve"> and received honoraria from Novartis, Pfizer and Incyte</w:t>
      </w:r>
      <w:r w:rsidRPr="003E7458">
        <w:rPr>
          <w:rFonts w:ascii="Times New Roman" w:hAnsi="Times New Roman" w:cs="Times New Roman"/>
          <w:sz w:val="24"/>
          <w:szCs w:val="24"/>
        </w:rPr>
        <w:t xml:space="preserve">. </w:t>
      </w:r>
      <w:r w:rsidRPr="003E7458">
        <w:rPr>
          <w:rFonts w:ascii="Times New Roman" w:eastAsia="Times New Roman" w:hAnsi="Times New Roman" w:cs="Times New Roman"/>
          <w:color w:val="000000"/>
          <w:sz w:val="24"/>
          <w:szCs w:val="24"/>
          <w:lang w:eastAsia="en-GB"/>
        </w:rPr>
        <w:t>F</w:t>
      </w:r>
      <w:r>
        <w:rPr>
          <w:rFonts w:ascii="Times New Roman" w:eastAsia="Times New Roman" w:hAnsi="Times New Roman" w:cs="Times New Roman"/>
          <w:color w:val="000000"/>
          <w:sz w:val="24"/>
          <w:szCs w:val="24"/>
          <w:lang w:eastAsia="en-GB"/>
        </w:rPr>
        <w:t>L</w:t>
      </w:r>
      <w:r w:rsidRPr="003E7458">
        <w:rPr>
          <w:rFonts w:ascii="Times New Roman" w:eastAsia="Times New Roman" w:hAnsi="Times New Roman" w:cs="Times New Roman"/>
          <w:color w:val="000000"/>
          <w:sz w:val="24"/>
          <w:szCs w:val="24"/>
          <w:lang w:eastAsia="en-GB"/>
        </w:rPr>
        <w:t>D has received honoraria and travel expenses from Novartis and Pfizer</w:t>
      </w:r>
      <w:r w:rsidRPr="003E7458">
        <w:rPr>
          <w:rFonts w:ascii="Times New Roman" w:hAnsi="Times New Roman" w:cs="Times New Roman"/>
          <w:sz w:val="24"/>
          <w:szCs w:val="24"/>
        </w:rPr>
        <w:t xml:space="preserve">. </w:t>
      </w:r>
      <w:r w:rsidRPr="003E7458">
        <w:rPr>
          <w:rFonts w:ascii="Times New Roman" w:eastAsia="Times New Roman" w:hAnsi="Times New Roman" w:cs="Times New Roman"/>
          <w:color w:val="000000"/>
          <w:sz w:val="24"/>
          <w:szCs w:val="24"/>
          <w:lang w:eastAsia="en-GB"/>
        </w:rPr>
        <w:t>SA has participated in advisory board</w:t>
      </w:r>
      <w:r>
        <w:rPr>
          <w:rFonts w:ascii="Times New Roman" w:eastAsia="Times New Roman" w:hAnsi="Times New Roman" w:cs="Times New Roman"/>
          <w:color w:val="000000"/>
          <w:sz w:val="24"/>
          <w:szCs w:val="24"/>
          <w:lang w:eastAsia="en-GB"/>
        </w:rPr>
        <w:t>s</w:t>
      </w:r>
      <w:r w:rsidRPr="003E7458">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and </w:t>
      </w:r>
      <w:r w:rsidRPr="003E7458">
        <w:rPr>
          <w:rFonts w:ascii="Times New Roman" w:eastAsia="Times New Roman" w:hAnsi="Times New Roman" w:cs="Times New Roman"/>
          <w:color w:val="000000"/>
          <w:sz w:val="24"/>
          <w:szCs w:val="24"/>
          <w:lang w:eastAsia="en-GB"/>
        </w:rPr>
        <w:t>received honorarium, travel and accommodation</w:t>
      </w:r>
      <w:r>
        <w:rPr>
          <w:rFonts w:ascii="Times New Roman" w:eastAsia="Times New Roman" w:hAnsi="Times New Roman" w:cs="Times New Roman"/>
          <w:color w:val="000000"/>
          <w:sz w:val="24"/>
          <w:szCs w:val="24"/>
          <w:lang w:eastAsia="en-GB"/>
        </w:rPr>
        <w:t>s</w:t>
      </w:r>
      <w:r w:rsidRPr="003E7458">
        <w:rPr>
          <w:rFonts w:ascii="Times New Roman" w:eastAsia="Times New Roman" w:hAnsi="Times New Roman" w:cs="Times New Roman"/>
          <w:color w:val="000000"/>
          <w:sz w:val="24"/>
          <w:szCs w:val="24"/>
          <w:lang w:eastAsia="en-GB"/>
        </w:rPr>
        <w:t xml:space="preserve"> from Novartis. MD has received honoraria from Novartis and Pfizer, and research funding from Novartis.</w:t>
      </w:r>
      <w:r w:rsidRPr="003E7458">
        <w:rPr>
          <w:rFonts w:ascii="Times New Roman" w:hAnsi="Times New Roman" w:cs="Times New Roman"/>
          <w:sz w:val="24"/>
          <w:szCs w:val="24"/>
        </w:rPr>
        <w:t xml:space="preserve"> </w:t>
      </w:r>
      <w:r w:rsidRPr="003E7458">
        <w:rPr>
          <w:rFonts w:ascii="Times New Roman" w:eastAsia="Times New Roman" w:hAnsi="Times New Roman" w:cs="Times New Roman"/>
          <w:color w:val="000000"/>
          <w:sz w:val="24"/>
          <w:szCs w:val="24"/>
          <w:lang w:eastAsia="en-GB"/>
        </w:rPr>
        <w:t xml:space="preserve">JT has </w:t>
      </w:r>
      <w:r>
        <w:rPr>
          <w:rFonts w:ascii="Times New Roman" w:eastAsia="Times New Roman" w:hAnsi="Times New Roman" w:cs="Times New Roman"/>
          <w:color w:val="000000"/>
          <w:sz w:val="24"/>
          <w:szCs w:val="24"/>
          <w:lang w:eastAsia="en-GB"/>
        </w:rPr>
        <w:t xml:space="preserve">received </w:t>
      </w:r>
      <w:r w:rsidRPr="003E7458">
        <w:rPr>
          <w:rFonts w:ascii="Times New Roman" w:eastAsia="Times New Roman" w:hAnsi="Times New Roman" w:cs="Times New Roman"/>
          <w:color w:val="000000"/>
          <w:sz w:val="24"/>
          <w:szCs w:val="24"/>
          <w:lang w:eastAsia="en-GB"/>
        </w:rPr>
        <w:t xml:space="preserve">support </w:t>
      </w:r>
      <w:r>
        <w:rPr>
          <w:rFonts w:ascii="Times New Roman" w:eastAsia="Times New Roman" w:hAnsi="Times New Roman" w:cs="Times New Roman"/>
          <w:color w:val="000000"/>
          <w:sz w:val="24"/>
          <w:szCs w:val="24"/>
          <w:lang w:eastAsia="en-GB"/>
        </w:rPr>
        <w:t>for</w:t>
      </w:r>
      <w:r w:rsidRPr="003E7458">
        <w:rPr>
          <w:rFonts w:ascii="Times New Roman" w:eastAsia="Times New Roman" w:hAnsi="Times New Roman" w:cs="Times New Roman"/>
          <w:color w:val="000000"/>
          <w:sz w:val="24"/>
          <w:szCs w:val="24"/>
          <w:lang w:eastAsia="en-GB"/>
        </w:rPr>
        <w:t xml:space="preserve"> conference</w:t>
      </w:r>
      <w:r>
        <w:rPr>
          <w:rFonts w:ascii="Times New Roman" w:eastAsia="Times New Roman" w:hAnsi="Times New Roman" w:cs="Times New Roman"/>
          <w:color w:val="000000"/>
          <w:sz w:val="24"/>
          <w:szCs w:val="24"/>
          <w:lang w:eastAsia="en-GB"/>
        </w:rPr>
        <w:t xml:space="preserve"> attendance</w:t>
      </w:r>
      <w:r w:rsidRPr="003E7458">
        <w:rPr>
          <w:rFonts w:ascii="Times New Roman" w:eastAsia="Times New Roman" w:hAnsi="Times New Roman" w:cs="Times New Roman"/>
          <w:color w:val="000000"/>
          <w:sz w:val="24"/>
          <w:szCs w:val="24"/>
          <w:lang w:eastAsia="en-GB"/>
        </w:rPr>
        <w:t xml:space="preserve"> from Novartis</w:t>
      </w:r>
      <w:r w:rsidRPr="003E7458">
        <w:rPr>
          <w:rFonts w:ascii="Times New Roman" w:hAnsi="Times New Roman" w:cs="Times New Roman"/>
          <w:sz w:val="24"/>
          <w:szCs w:val="24"/>
        </w:rPr>
        <w:t xml:space="preserve">. </w:t>
      </w:r>
      <w:r w:rsidRPr="003E7458">
        <w:rPr>
          <w:rFonts w:ascii="Times New Roman" w:eastAsia="Times New Roman" w:hAnsi="Times New Roman" w:cs="Times New Roman"/>
          <w:color w:val="000000"/>
          <w:sz w:val="24"/>
          <w:szCs w:val="24"/>
          <w:lang w:eastAsia="en-GB"/>
        </w:rPr>
        <w:t>BH has participated in advisory boards for Novartis, Pfizer and BMS.</w:t>
      </w:r>
      <w:r w:rsidRPr="003E7458">
        <w:rPr>
          <w:rFonts w:ascii="Times New Roman" w:hAnsi="Times New Roman" w:cs="Times New Roman"/>
          <w:sz w:val="24"/>
          <w:szCs w:val="24"/>
        </w:rPr>
        <w:t xml:space="preserve"> </w:t>
      </w:r>
      <w:r w:rsidRPr="003E7458">
        <w:rPr>
          <w:rFonts w:ascii="Times New Roman" w:eastAsia="Times New Roman" w:hAnsi="Times New Roman" w:cs="Times New Roman"/>
          <w:color w:val="000000"/>
          <w:sz w:val="24"/>
          <w:szCs w:val="24"/>
          <w:lang w:eastAsia="en-GB"/>
        </w:rPr>
        <w:t>FMW has received honoraria</w:t>
      </w:r>
      <w:r>
        <w:rPr>
          <w:rFonts w:ascii="Times New Roman" w:eastAsia="Times New Roman" w:hAnsi="Times New Roman" w:cs="Times New Roman"/>
          <w:color w:val="000000"/>
          <w:sz w:val="24"/>
          <w:szCs w:val="24"/>
          <w:lang w:eastAsia="en-GB"/>
        </w:rPr>
        <w:t>,</w:t>
      </w:r>
      <w:r w:rsidRPr="003E7458">
        <w:rPr>
          <w:rFonts w:ascii="Times New Roman" w:eastAsia="Times New Roman" w:hAnsi="Times New Roman" w:cs="Times New Roman"/>
          <w:color w:val="000000"/>
          <w:sz w:val="24"/>
          <w:szCs w:val="24"/>
          <w:lang w:eastAsia="en-GB"/>
        </w:rPr>
        <w:t xml:space="preserve"> travel, accommodation and expenses from Novartis</w:t>
      </w:r>
      <w:r w:rsidRPr="003E7458">
        <w:rPr>
          <w:rFonts w:ascii="Times New Roman" w:hAnsi="Times New Roman" w:cs="Times New Roman"/>
          <w:sz w:val="24"/>
          <w:szCs w:val="24"/>
        </w:rPr>
        <w:t xml:space="preserve">. </w:t>
      </w:r>
      <w:r w:rsidRPr="003E7458">
        <w:rPr>
          <w:rFonts w:ascii="Times New Roman" w:eastAsia="Times New Roman" w:hAnsi="Times New Roman" w:cs="Times New Roman"/>
          <w:color w:val="000000"/>
          <w:sz w:val="24"/>
          <w:szCs w:val="24"/>
          <w:lang w:eastAsia="en-GB"/>
        </w:rPr>
        <w:t>DM has received honoraria from Incyte, Novartis, Pfizer and BMS</w:t>
      </w:r>
      <w:r w:rsidRPr="003E7458">
        <w:rPr>
          <w:rFonts w:ascii="Times New Roman" w:hAnsi="Times New Roman" w:cs="Times New Roman"/>
          <w:sz w:val="24"/>
          <w:szCs w:val="24"/>
        </w:rPr>
        <w:t xml:space="preserve">. </w:t>
      </w:r>
      <w:r w:rsidRPr="003E7458">
        <w:rPr>
          <w:rFonts w:ascii="Times New Roman" w:eastAsia="Times New Roman" w:hAnsi="Times New Roman" w:cs="Times New Roman"/>
          <w:color w:val="000000"/>
          <w:sz w:val="24"/>
          <w:szCs w:val="24"/>
          <w:lang w:eastAsia="en-GB"/>
        </w:rPr>
        <w:t>JR and SJC are employees and shareholders of Novartis. LF is a former employee and shareholder of Novartis. FG is a</w:t>
      </w:r>
      <w:r>
        <w:rPr>
          <w:rFonts w:ascii="Times New Roman" w:eastAsia="Times New Roman" w:hAnsi="Times New Roman" w:cs="Times New Roman"/>
          <w:color w:val="000000"/>
          <w:sz w:val="24"/>
          <w:szCs w:val="24"/>
          <w:lang w:eastAsia="en-GB"/>
        </w:rPr>
        <w:t xml:space="preserve">n </w:t>
      </w:r>
      <w:r w:rsidRPr="003E7458">
        <w:rPr>
          <w:rFonts w:ascii="Times New Roman" w:eastAsia="Times New Roman" w:hAnsi="Times New Roman" w:cs="Times New Roman"/>
          <w:color w:val="000000"/>
          <w:sz w:val="24"/>
          <w:szCs w:val="24"/>
          <w:lang w:eastAsia="en-GB"/>
        </w:rPr>
        <w:t xml:space="preserve">employee of </w:t>
      </w:r>
      <w:r>
        <w:rPr>
          <w:rFonts w:ascii="Times New Roman" w:eastAsia="Times New Roman" w:hAnsi="Times New Roman" w:cs="Times New Roman"/>
          <w:color w:val="000000"/>
          <w:sz w:val="24"/>
          <w:szCs w:val="24"/>
          <w:lang w:eastAsia="en-GB"/>
        </w:rPr>
        <w:t>OPEN VIE contracted by Novartis</w:t>
      </w:r>
      <w:r w:rsidRPr="003E7458">
        <w:rPr>
          <w:rFonts w:ascii="Times New Roman" w:eastAsia="Times New Roman" w:hAnsi="Times New Roman" w:cs="Times New Roman"/>
          <w:color w:val="000000"/>
          <w:sz w:val="24"/>
          <w:szCs w:val="24"/>
          <w:lang w:eastAsia="en-GB"/>
        </w:rPr>
        <w:t>. PN, GC and FW declared no conflict</w:t>
      </w:r>
      <w:r>
        <w:rPr>
          <w:rFonts w:ascii="Times New Roman" w:eastAsia="Times New Roman" w:hAnsi="Times New Roman" w:cs="Times New Roman"/>
          <w:color w:val="000000"/>
          <w:sz w:val="24"/>
          <w:szCs w:val="24"/>
          <w:lang w:eastAsia="en-GB"/>
        </w:rPr>
        <w:t xml:space="preserve"> of interest.</w:t>
      </w:r>
    </w:p>
    <w:p w:rsidR="00B331A1" w:rsidRPr="003A57CD" w:rsidRDefault="00B331A1" w:rsidP="00B331A1">
      <w:pPr>
        <w:spacing w:line="480" w:lineRule="auto"/>
        <w:rPr>
          <w:rFonts w:asciiTheme="majorBidi" w:hAnsiTheme="majorBidi" w:cstheme="majorBidi"/>
          <w:sz w:val="24"/>
          <w:szCs w:val="24"/>
        </w:rPr>
      </w:pPr>
    </w:p>
    <w:bookmarkEnd w:id="0"/>
    <w:p w:rsidR="00B331A1" w:rsidRDefault="00B331A1" w:rsidP="00B331A1">
      <w:pPr>
        <w:rPr>
          <w:rFonts w:asciiTheme="majorBidi" w:eastAsiaTheme="minorEastAsia" w:hAnsiTheme="majorBidi" w:cstheme="majorBidi"/>
          <w:sz w:val="24"/>
          <w:szCs w:val="24"/>
        </w:rPr>
      </w:pPr>
      <w:r>
        <w:rPr>
          <w:rFonts w:asciiTheme="majorBidi" w:eastAsiaTheme="minorEastAsia" w:hAnsiTheme="majorBidi" w:cstheme="majorBidi"/>
          <w:sz w:val="24"/>
          <w:szCs w:val="24"/>
        </w:rPr>
        <w:br w:type="page"/>
      </w:r>
    </w:p>
    <w:p w:rsidR="00B331A1" w:rsidRPr="00B070DB" w:rsidRDefault="00B331A1" w:rsidP="00B331A1">
      <w:pPr>
        <w:spacing w:line="480" w:lineRule="auto"/>
        <w:rPr>
          <w:rFonts w:asciiTheme="majorBidi" w:eastAsiaTheme="minorEastAsia" w:hAnsiTheme="majorBidi" w:cstheme="majorBidi"/>
          <w:b/>
          <w:sz w:val="24"/>
          <w:szCs w:val="24"/>
        </w:rPr>
      </w:pPr>
      <w:r w:rsidRPr="00B070DB">
        <w:rPr>
          <w:rFonts w:asciiTheme="majorBidi" w:eastAsiaTheme="minorEastAsia" w:hAnsiTheme="majorBidi" w:cstheme="majorBidi"/>
          <w:b/>
          <w:sz w:val="24"/>
          <w:szCs w:val="24"/>
        </w:rPr>
        <w:lastRenderedPageBreak/>
        <w:t>References</w:t>
      </w:r>
    </w:p>
    <w:p w:rsidR="00B331A1" w:rsidRPr="00196C9D" w:rsidRDefault="00B331A1" w:rsidP="00B331A1">
      <w:pPr>
        <w:pStyle w:val="EndNoteBibliography"/>
        <w:spacing w:after="0"/>
        <w:ind w:left="720" w:hanging="720"/>
      </w:pPr>
      <w:r w:rsidRPr="00BA6AE5">
        <w:rPr>
          <w:rFonts w:ascii="Times New Roman" w:hAnsi="Times New Roman" w:cs="Times New Roman"/>
          <w:sz w:val="24"/>
          <w:szCs w:val="24"/>
        </w:rPr>
        <w:fldChar w:fldCharType="begin"/>
      </w:r>
      <w:r w:rsidRPr="00BA6AE5">
        <w:rPr>
          <w:rFonts w:ascii="Times New Roman" w:hAnsi="Times New Roman" w:cs="Times New Roman"/>
          <w:sz w:val="24"/>
          <w:szCs w:val="24"/>
        </w:rPr>
        <w:instrText xml:space="preserve"> ADDIN EN.REFLIST </w:instrText>
      </w:r>
      <w:r w:rsidRPr="00BA6AE5">
        <w:rPr>
          <w:rFonts w:ascii="Times New Roman" w:hAnsi="Times New Roman" w:cs="Times New Roman"/>
          <w:sz w:val="24"/>
          <w:szCs w:val="24"/>
        </w:rPr>
        <w:fldChar w:fldCharType="separate"/>
      </w:r>
      <w:r w:rsidRPr="00196C9D">
        <w:t xml:space="preserve">Baccarani, M., Deininger, M.W., Rosti, G., Hochhaus, A., Soverini, S., Apperley, J.F., Cervantes, F., Clark, R.E., Cortes, J.E., Guilhot, F., Hjorth-Hansen, H., Hughes, T.P., Kantarjian, H.M., Kim, D.W., Larson, R.A., Lipton, J.H., Mahon, F.X., Martinelli, G., Mayer, J., Muller, M.C., Niederwieser, D., Pane, F., Radich, J.P., Rousselot, P., Saglio, G., Saussele, S., Schiffer, C., Silver, R., Simonsson, B., Steegmann, J.L., Goldman, J.M. &amp; Hehlmann, R. (2013) European LeukemiaNet recommendations for the management of chronic myeloid leukemia: 2013. </w:t>
      </w:r>
      <w:r w:rsidRPr="00196C9D">
        <w:rPr>
          <w:i/>
        </w:rPr>
        <w:t xml:space="preserve">Blood, </w:t>
      </w:r>
      <w:r w:rsidRPr="00196C9D">
        <w:rPr>
          <w:b/>
        </w:rPr>
        <w:t xml:space="preserve">122, </w:t>
      </w:r>
      <w:r w:rsidRPr="00196C9D">
        <w:t>872-884.</w:t>
      </w:r>
    </w:p>
    <w:p w:rsidR="00B331A1" w:rsidRPr="00196C9D" w:rsidRDefault="00B331A1" w:rsidP="00B331A1">
      <w:pPr>
        <w:pStyle w:val="EndNoteBibliography"/>
        <w:spacing w:after="0"/>
        <w:ind w:left="720" w:hanging="720"/>
      </w:pPr>
      <w:r w:rsidRPr="00196C9D">
        <w:t xml:space="preserve">Bower, H., Björkholm, M., Dickman, P.W., Höglund, M., Lambert, P.C. &amp; Andersson, T.M. (2016) Life expectancy of patients with chronic myeloid leukemia approaches the life expectancy of the general population. </w:t>
      </w:r>
      <w:r w:rsidRPr="00196C9D">
        <w:rPr>
          <w:i/>
        </w:rPr>
        <w:t xml:space="preserve">J Clin Oncol, </w:t>
      </w:r>
      <w:r w:rsidRPr="00196C9D">
        <w:rPr>
          <w:b/>
        </w:rPr>
        <w:t xml:space="preserve">34, </w:t>
      </w:r>
      <w:r w:rsidRPr="00196C9D">
        <w:t>2851-2857.</w:t>
      </w:r>
    </w:p>
    <w:p w:rsidR="00B331A1" w:rsidRPr="00196C9D" w:rsidRDefault="00B331A1" w:rsidP="00B331A1">
      <w:pPr>
        <w:pStyle w:val="EndNoteBibliography"/>
        <w:spacing w:after="0"/>
        <w:ind w:left="720" w:hanging="720"/>
      </w:pPr>
      <w:r w:rsidRPr="00196C9D">
        <w:t xml:space="preserve">Chai-Adisaksopha, C., Lam, W. &amp; Hillis, C. (2016) Major arterial events in patients with chronic myeloid leukemia treated with tyrosine kinase inhibitors: a meta-analysis. </w:t>
      </w:r>
      <w:r w:rsidRPr="00196C9D">
        <w:rPr>
          <w:i/>
        </w:rPr>
        <w:t xml:space="preserve">Leuk Lymphoma, </w:t>
      </w:r>
      <w:r w:rsidRPr="00196C9D">
        <w:rPr>
          <w:b/>
        </w:rPr>
        <w:t xml:space="preserve">57, </w:t>
      </w:r>
      <w:r w:rsidRPr="00196C9D">
        <w:t>1300-1310.</w:t>
      </w:r>
    </w:p>
    <w:p w:rsidR="00B331A1" w:rsidRPr="00196C9D" w:rsidRDefault="00B331A1" w:rsidP="00B331A1">
      <w:pPr>
        <w:pStyle w:val="EndNoteBibliography"/>
        <w:spacing w:after="0"/>
        <w:ind w:left="720" w:hanging="720"/>
      </w:pPr>
      <w:r w:rsidRPr="00196C9D">
        <w:t xml:space="preserve">Cortes, J.E., Gambacorti-Passerini, C., Deininger, M.W., Mauro, M.J., Chuah, C., Kim, D.W., Dyagil, I., Glushko, N., Milojkovic, D., le Coutre, P., Garcia-Gutierrez, V., Reilly, L., Jeynes-Ellis, A., Leip, E., Bardy-Bouxin, N., Hochhaus, A. &amp; Brümmendorf, T.H. (2018a) Bosutinib versus imatinib for newly diagnosed chronic myeloid leukemia: results from the randomized BFORE trial. </w:t>
      </w:r>
      <w:r w:rsidRPr="00196C9D">
        <w:rPr>
          <w:i/>
        </w:rPr>
        <w:t xml:space="preserve">J Clin Oncol., </w:t>
      </w:r>
      <w:r w:rsidRPr="00196C9D">
        <w:rPr>
          <w:b/>
        </w:rPr>
        <w:t xml:space="preserve">36, </w:t>
      </w:r>
      <w:r w:rsidRPr="00196C9D">
        <w:t>231-237.</w:t>
      </w:r>
    </w:p>
    <w:p w:rsidR="00B331A1" w:rsidRPr="00196C9D" w:rsidRDefault="00B331A1" w:rsidP="00B331A1">
      <w:pPr>
        <w:pStyle w:val="EndNoteBibliography"/>
        <w:spacing w:after="0"/>
        <w:ind w:left="720" w:hanging="720"/>
      </w:pPr>
      <w:r w:rsidRPr="00196C9D">
        <w:t xml:space="preserve">Cortes, J.E., Kim, D.W., Pinilla-Ibarz, J., le Coutre, P.D., Paquette, R., Chuah, C., Nicolini, F.E., Apperley, J.F., Khoury, H.J., Talpaz, M., DeAngelo, D.J., Abruzzese, E., Rea, D., Baccarani, M., Muller, M.C., Gambacorti-Passerini, C., Lustgarten, S., Rivera, V.M., Haluska, F.G., Guilhot, F., Deininger, M.W., Hochhaus, A., Hughes, T.P., Shah, N.P. &amp; Kantarjian, H.M. (2018b) Ponatinib efficacy and safety in Philadelphia chromosome-positive leukemia: final 5-year results of the phase 2 PACE trial. </w:t>
      </w:r>
      <w:r w:rsidRPr="00196C9D">
        <w:rPr>
          <w:i/>
        </w:rPr>
        <w:t xml:space="preserve">Blood, </w:t>
      </w:r>
      <w:r w:rsidRPr="00196C9D">
        <w:rPr>
          <w:b/>
        </w:rPr>
        <w:t xml:space="preserve">132, </w:t>
      </w:r>
      <w:r w:rsidRPr="00196C9D">
        <w:t>393-404.</w:t>
      </w:r>
    </w:p>
    <w:p w:rsidR="00B331A1" w:rsidRPr="00196C9D" w:rsidRDefault="00B331A1" w:rsidP="00B331A1">
      <w:pPr>
        <w:pStyle w:val="EndNoteBibliography"/>
        <w:spacing w:after="0"/>
        <w:ind w:left="720" w:hanging="720"/>
      </w:pPr>
      <w:r w:rsidRPr="00196C9D">
        <w:t xml:space="preserve">Cortes, J.E., Saglio, G., Kantarjian, H.M., Baccarani, M., Mayer, J., Boque, C., Shah, N.P., Chuah, C., Casanova, L., Bradley-Garelik, B., Manos, G. &amp; Hochhaus, A. (2016) Final 5-year study results of DASISION: the dasatinib versus imatinib study in treatment-naive chronic myeloid leukemia patients trial. </w:t>
      </w:r>
      <w:r w:rsidRPr="00196C9D">
        <w:rPr>
          <w:i/>
        </w:rPr>
        <w:t xml:space="preserve">Journal of clinical oncology : official journal of the American Society of Clinical Oncology, </w:t>
      </w:r>
      <w:r w:rsidRPr="00196C9D">
        <w:rPr>
          <w:b/>
        </w:rPr>
        <w:t xml:space="preserve">34, </w:t>
      </w:r>
      <w:r w:rsidRPr="00196C9D">
        <w:t>2333-2340.</w:t>
      </w:r>
    </w:p>
    <w:p w:rsidR="00B331A1" w:rsidRPr="00196C9D" w:rsidRDefault="00B331A1" w:rsidP="00B331A1">
      <w:pPr>
        <w:pStyle w:val="EndNoteBibliography"/>
        <w:spacing w:after="0"/>
        <w:ind w:left="720" w:hanging="720"/>
      </w:pPr>
      <w:r w:rsidRPr="00196C9D">
        <w:t xml:space="preserve">Cross, N.C.P., White, H.E., Muller, M.C., Saglio, G. &amp; Hochhaus, A. (2012) Standardized definitions of molecular response in chronic myeloid leukemia. </w:t>
      </w:r>
      <w:r w:rsidRPr="00196C9D">
        <w:rPr>
          <w:i/>
        </w:rPr>
        <w:t xml:space="preserve">Leukemia, </w:t>
      </w:r>
      <w:r w:rsidRPr="00196C9D">
        <w:rPr>
          <w:b/>
        </w:rPr>
        <w:t xml:space="preserve">26, </w:t>
      </w:r>
      <w:r w:rsidRPr="00196C9D">
        <w:t>2172-2175.</w:t>
      </w:r>
    </w:p>
    <w:p w:rsidR="00B331A1" w:rsidRPr="00196C9D" w:rsidRDefault="00B331A1" w:rsidP="00B331A1">
      <w:pPr>
        <w:pStyle w:val="EndNoteBibliography"/>
        <w:spacing w:after="0"/>
        <w:ind w:left="720" w:hanging="720"/>
      </w:pPr>
      <w:r w:rsidRPr="00196C9D">
        <w:t xml:space="preserve">Etienne, G., Dulucq, S., Nicolini, F.E., Morrisset, S., Fort, M.P., Schmitt, A., Etienne, M., Hayette, S., Lippert, E., Bureau, C., Tigaud, I., Adiko, D., Marit, G., Reiffers, J. &amp; Mahon, F.X. (2014) Achieving deeper molecular response is associated with a better clinical outcome in chronic myeloid leukemia patients on imatinib front-line therapy. </w:t>
      </w:r>
      <w:r w:rsidRPr="00196C9D">
        <w:rPr>
          <w:i/>
        </w:rPr>
        <w:t xml:space="preserve">Haematologica, </w:t>
      </w:r>
      <w:r w:rsidRPr="00196C9D">
        <w:rPr>
          <w:b/>
        </w:rPr>
        <w:t xml:space="preserve">99, </w:t>
      </w:r>
      <w:r w:rsidRPr="00196C9D">
        <w:t>458-464.</w:t>
      </w:r>
    </w:p>
    <w:p w:rsidR="00B331A1" w:rsidRPr="00196C9D" w:rsidRDefault="00B331A1" w:rsidP="00B331A1">
      <w:pPr>
        <w:pStyle w:val="EndNoteBibliography"/>
        <w:spacing w:after="0"/>
        <w:ind w:left="720" w:hanging="720"/>
      </w:pPr>
      <w:r w:rsidRPr="00196C9D">
        <w:t xml:space="preserve">Goldberg, S.L., Chen, L., Guerin, A., Macalalad, A.R., Liu, N., Kaminsky, M., Ericson, S.G. &amp; Wu, E.Q. (2013) Association between molecular monitoring and long-term outcomes in chronic myelogenous leukemia patients treated with first line imatinib. </w:t>
      </w:r>
      <w:r w:rsidRPr="00196C9D">
        <w:rPr>
          <w:i/>
        </w:rPr>
        <w:t xml:space="preserve">Current medical research and opinion, </w:t>
      </w:r>
      <w:r w:rsidRPr="00196C9D">
        <w:rPr>
          <w:b/>
        </w:rPr>
        <w:t xml:space="preserve">29, </w:t>
      </w:r>
      <w:r w:rsidRPr="00196C9D">
        <w:t>1075-1082.</w:t>
      </w:r>
    </w:p>
    <w:p w:rsidR="00B331A1" w:rsidRPr="00196C9D" w:rsidRDefault="00B331A1" w:rsidP="00B331A1">
      <w:pPr>
        <w:pStyle w:val="EndNoteBibliography"/>
        <w:spacing w:after="0"/>
        <w:ind w:left="720" w:hanging="720"/>
      </w:pPr>
      <w:r w:rsidRPr="00196C9D">
        <w:t xml:space="preserve">Goldberg, S.L., Cortes, J.E., Gambacorti-Passerini, C., Hehlmann, R., Khoury, H.J., Michallet, M., Paquette, R.L., Simonsson, B., Zyczynski, T., Foreman, A., Abruzzese, E., Andorsky, D., Beeker, A., Cony-Makhoul, P., Hansen, R., Lomaia, E., Olavarria, E. &amp; Mauro, M.J. (2017) First-line treatment selection and early monitoring patterns in chronic phase-chronic myeloid leukemia in routine clinical practice: SIMPLICITY. </w:t>
      </w:r>
      <w:r w:rsidRPr="00196C9D">
        <w:rPr>
          <w:i/>
        </w:rPr>
        <w:t xml:space="preserve">Am J Hematol, </w:t>
      </w:r>
      <w:r w:rsidRPr="00196C9D">
        <w:rPr>
          <w:b/>
        </w:rPr>
        <w:t xml:space="preserve">92, </w:t>
      </w:r>
      <w:r w:rsidRPr="00196C9D">
        <w:t>1214-1223.</w:t>
      </w:r>
    </w:p>
    <w:p w:rsidR="00B331A1" w:rsidRPr="00196C9D" w:rsidRDefault="00B331A1" w:rsidP="00B331A1">
      <w:pPr>
        <w:pStyle w:val="EndNoteBibliography"/>
        <w:spacing w:after="0"/>
        <w:ind w:left="720" w:hanging="720"/>
      </w:pPr>
      <w:r w:rsidRPr="00196C9D">
        <w:lastRenderedPageBreak/>
        <w:t xml:space="preserve">Guerin, A., Chen, L., Dea, K., Wu, E.Q. &amp; Goldberg, S.L. (2014) Association between regular molecular monitoring and tyrosine kinase inhibitor therapy adherence in chronic myelogenous leukemia in the chronic phase. </w:t>
      </w:r>
      <w:r w:rsidRPr="00196C9D">
        <w:rPr>
          <w:i/>
        </w:rPr>
        <w:t xml:space="preserve">Current medical research and opinion, </w:t>
      </w:r>
      <w:r w:rsidRPr="00196C9D">
        <w:rPr>
          <w:b/>
        </w:rPr>
        <w:t xml:space="preserve">30, </w:t>
      </w:r>
      <w:r w:rsidRPr="00196C9D">
        <w:t>1345-1352.</w:t>
      </w:r>
    </w:p>
    <w:p w:rsidR="00B331A1" w:rsidRPr="00196C9D" w:rsidRDefault="00B331A1" w:rsidP="00B331A1">
      <w:pPr>
        <w:pStyle w:val="EndNoteBibliography"/>
        <w:spacing w:after="0"/>
        <w:ind w:left="720" w:hanging="720"/>
      </w:pPr>
      <w:r w:rsidRPr="00196C9D">
        <w:t>Health, N.N.I.f. &amp; Care, E. (2018) Myeloid Leukaemia. Vol. 2018.</w:t>
      </w:r>
    </w:p>
    <w:p w:rsidR="00B331A1" w:rsidRPr="00196C9D" w:rsidRDefault="00B331A1" w:rsidP="00B331A1">
      <w:pPr>
        <w:pStyle w:val="EndNoteBibliography"/>
        <w:spacing w:after="0"/>
        <w:ind w:left="720" w:hanging="720"/>
      </w:pPr>
      <w:r w:rsidRPr="00196C9D">
        <w:t xml:space="preserve">Hehlmann, R., Müller, M.C., Lauseker, M., Hanfstein, B., Fabarius, A., Schreiber, A., Proetel, U., Pletsch, N., Pfirrmann, M., Haferlach, C., Schnittger, S., Einsele, H., Dengler, J., Falge, C., Kanz, L., Neubauer, A., Kneba, M., Stegelmann, F., Pfreundschuh, M., Waller, C.F., Spiekermann, K., Baerlocher, G.M., Ehninger, G., Heim, D., Heimpel, H., Nerl, C., Krause, S.W., Hossfeld, D.K., Kolb, H.J., Hasford, J., Saussele, S. &amp; Hochhaus, A. (2014) Deep molecular response is reached by the majority of patients treated with imatinib, predicts survival, and is achieved more quickly by optimized high-dose imatinib: results from the randomized CML-Study IV. </w:t>
      </w:r>
      <w:r w:rsidRPr="00196C9D">
        <w:rPr>
          <w:i/>
        </w:rPr>
        <w:t xml:space="preserve">Journal of clinical oncology : official journal of the American Society of Clinical Oncology, </w:t>
      </w:r>
      <w:r w:rsidRPr="00196C9D">
        <w:rPr>
          <w:b/>
        </w:rPr>
        <w:t xml:space="preserve">32, </w:t>
      </w:r>
      <w:r w:rsidRPr="00196C9D">
        <w:t>415-423.</w:t>
      </w:r>
    </w:p>
    <w:p w:rsidR="00B331A1" w:rsidRPr="00196C9D" w:rsidRDefault="00B331A1" w:rsidP="00B331A1">
      <w:pPr>
        <w:pStyle w:val="EndNoteBibliography"/>
        <w:spacing w:after="0"/>
        <w:ind w:left="720" w:hanging="720"/>
      </w:pPr>
      <w:r w:rsidRPr="00196C9D">
        <w:t xml:space="preserve">Hochhaus, A., Larson, R.A., Guilhot, F., Radich, J.P., Branford, S., Hughes, T.P., Baccarani, M., Deininger, M.W., Cervantes, F., Fujihara, S., Ortmann, C.E., Menssen, H.D., Kantarjian, H., O’Brien, S.G. &amp; Druker, B.J. (2017a) Long-term outcomes of imatinib treatment for chronic myeloid leukemia. </w:t>
      </w:r>
      <w:r w:rsidRPr="00196C9D">
        <w:rPr>
          <w:i/>
        </w:rPr>
        <w:t xml:space="preserve">New Engl J Med, </w:t>
      </w:r>
      <w:r w:rsidRPr="00196C9D">
        <w:rPr>
          <w:b/>
        </w:rPr>
        <w:t xml:space="preserve">376, </w:t>
      </w:r>
      <w:r w:rsidRPr="00196C9D">
        <w:t>917-927.</w:t>
      </w:r>
    </w:p>
    <w:p w:rsidR="00B331A1" w:rsidRPr="00196C9D" w:rsidRDefault="00B331A1" w:rsidP="00B331A1">
      <w:pPr>
        <w:pStyle w:val="EndNoteBibliography"/>
        <w:spacing w:after="0"/>
        <w:ind w:left="720" w:hanging="720"/>
      </w:pPr>
      <w:r w:rsidRPr="00196C9D">
        <w:t xml:space="preserve">Hochhaus, A., O'Brien, S.G., Guilhot, F., Druker, B.J., Branford, S., Foroni, L., Goldman, J.M., Muller, M.C., Radich, J.P., Rudoltz, M., Mone, M., Gathmann, I., Hughes, T.P. &amp; Larson, R.A. (2009) Six-year follow-up of patients receiving imatinib for the first-line treatment of chronic myeloid leukemia. </w:t>
      </w:r>
      <w:r w:rsidRPr="00196C9D">
        <w:rPr>
          <w:i/>
        </w:rPr>
        <w:t xml:space="preserve">Leukemia : official journal of the Leukemia Society of America, Leukemia Research Fund, U.K, </w:t>
      </w:r>
      <w:r w:rsidRPr="00196C9D">
        <w:rPr>
          <w:b/>
        </w:rPr>
        <w:t xml:space="preserve">23, </w:t>
      </w:r>
      <w:r w:rsidRPr="00196C9D">
        <w:t>1054-1061.</w:t>
      </w:r>
    </w:p>
    <w:p w:rsidR="00B331A1" w:rsidRPr="00196C9D" w:rsidRDefault="00B331A1" w:rsidP="00B331A1">
      <w:pPr>
        <w:pStyle w:val="EndNoteBibliography"/>
        <w:spacing w:after="0"/>
        <w:ind w:left="720" w:hanging="720"/>
      </w:pPr>
      <w:r w:rsidRPr="00196C9D">
        <w:t xml:space="preserve">Hochhaus, A., Saglio, G., Hughes, T.P., Larson, R.A., Kim, D.W., Issaragrisil, S., Le Coutre, P.D., Etienne, G., Dorlhiac-Llacer, P.E., Clark, R.E., Flinn, I., Nakamae, H., Donohue, B., Deng, W., Dalal, D., Menssen, H.D. &amp; Kantarjian, H.M. (2016) Long-term benefits and risks of frontline nilotinib vs imatinib for chronic myeloid leukemia in chronic phase: 5-year update of the randomized ENESTnd trial. </w:t>
      </w:r>
      <w:r w:rsidRPr="00196C9D">
        <w:rPr>
          <w:i/>
        </w:rPr>
        <w:t xml:space="preserve">Leukemia, </w:t>
      </w:r>
      <w:r w:rsidRPr="00196C9D">
        <w:rPr>
          <w:b/>
        </w:rPr>
        <w:t xml:space="preserve">30, </w:t>
      </w:r>
      <w:r w:rsidRPr="00196C9D">
        <w:t>1044-1054.</w:t>
      </w:r>
    </w:p>
    <w:p w:rsidR="00B331A1" w:rsidRPr="00196C9D" w:rsidRDefault="00B331A1" w:rsidP="00B331A1">
      <w:pPr>
        <w:pStyle w:val="EndNoteBibliography"/>
        <w:spacing w:after="0"/>
        <w:ind w:left="720" w:hanging="720"/>
      </w:pPr>
      <w:r w:rsidRPr="00196C9D">
        <w:t xml:space="preserve">Hochhaus, A., Saussele, S., Rosti, G., Mahon, F.X., Janssen, J.J.W.M., Hjorth-Hansen, H., Richter, J. &amp; Buske, C. (2017b) Chronic myeloid leukemia: ESMO clinical practice guidelines for diagnosis, treatment, and follow-up. </w:t>
      </w:r>
      <w:r w:rsidRPr="00196C9D">
        <w:rPr>
          <w:i/>
        </w:rPr>
        <w:t xml:space="preserve">Ann Oncol, </w:t>
      </w:r>
      <w:r w:rsidRPr="00196C9D">
        <w:rPr>
          <w:b/>
        </w:rPr>
        <w:t xml:space="preserve">28, </w:t>
      </w:r>
      <w:r w:rsidRPr="00196C9D">
        <w:t>iv41-iv51.</w:t>
      </w:r>
    </w:p>
    <w:p w:rsidR="00B331A1" w:rsidRPr="00196C9D" w:rsidRDefault="00B331A1" w:rsidP="00B331A1">
      <w:pPr>
        <w:pStyle w:val="EndNoteBibliography"/>
        <w:spacing w:after="0"/>
        <w:ind w:left="720" w:hanging="720"/>
      </w:pPr>
      <w:r w:rsidRPr="00196C9D">
        <w:t xml:space="preserve">Hoglund, M., Sandin, F., Hellstrom, K., Bjoreman, M., Bjorkholm, M., Brune, M., Dreimane, A., Ekblom, M., Lehmann, S., Ljungman, P., Malm, C., Markevarn, B., Myhr-Eriksson, K., Ohm, L., Olsson-Stromberg, U., Sjalander, A., Wadenvik, H., Simonsson, B., Stenke, L. &amp; Richter, J. (2013) Tyrosine kinase inhibitor usage, treatment outcome and prognostic scores in CML: report from the population-based Swedish CML registry. </w:t>
      </w:r>
      <w:r w:rsidRPr="00196C9D">
        <w:rPr>
          <w:i/>
        </w:rPr>
        <w:t xml:space="preserve">Blood, </w:t>
      </w:r>
      <w:r w:rsidRPr="00196C9D">
        <w:rPr>
          <w:b/>
        </w:rPr>
        <w:t xml:space="preserve">122, </w:t>
      </w:r>
      <w:r w:rsidRPr="00196C9D">
        <w:t>1284-1292.</w:t>
      </w:r>
    </w:p>
    <w:p w:rsidR="00B331A1" w:rsidRPr="00196C9D" w:rsidRDefault="00B331A1" w:rsidP="00B331A1">
      <w:pPr>
        <w:pStyle w:val="EndNoteBibliography"/>
        <w:spacing w:after="0"/>
        <w:ind w:left="720" w:hanging="720"/>
      </w:pPr>
      <w:r w:rsidRPr="00196C9D">
        <w:t xml:space="preserve">Hughes, T.P., Leber, B., Cervantes, F., Spector, N., Pasquini, R., Clementino, N.C.D., Schwarer, A.P., Dorliac-Llacer, P.E., Mahon, F.X., Rea, D., Guerci-Bresler, A., Kamel-Reid, S., Bendit, I., Acharya, S., Glynos, T., Dalal, D., Branford, S. &amp; Lipton, J.H. (2017) Sustained deep molecular responses in patients switched to nilotinib due to persistent BCR-ABL1 on imatinib: final ENESTcmr randomized trial results. </w:t>
      </w:r>
      <w:r w:rsidRPr="00196C9D">
        <w:rPr>
          <w:i/>
        </w:rPr>
        <w:t xml:space="preserve">Leukemia, </w:t>
      </w:r>
      <w:r w:rsidRPr="00196C9D">
        <w:rPr>
          <w:b/>
        </w:rPr>
        <w:t xml:space="preserve">31, </w:t>
      </w:r>
      <w:r w:rsidRPr="00196C9D">
        <w:t>2529-2531.</w:t>
      </w:r>
    </w:p>
    <w:p w:rsidR="00B331A1" w:rsidRPr="00196C9D" w:rsidRDefault="00B331A1" w:rsidP="00B331A1">
      <w:pPr>
        <w:pStyle w:val="EndNoteBibliography"/>
        <w:spacing w:after="0"/>
        <w:ind w:left="720" w:hanging="720"/>
      </w:pPr>
      <w:r w:rsidRPr="00196C9D">
        <w:t xml:space="preserve">Jabbour, E., Makenbaeva, D., Lingohr-Smith, M. &amp; Lin, J. (2014) Evaluation of Comorbidities Relevant to Tyrosine Kinase Inhibitor Treatment Among Patients with Chronic Myelogenous Leukemia in the U.S. Managed Care Setting. </w:t>
      </w:r>
      <w:r w:rsidRPr="00196C9D">
        <w:rPr>
          <w:i/>
        </w:rPr>
        <w:t xml:space="preserve">Blood, </w:t>
      </w:r>
      <w:r w:rsidRPr="00196C9D">
        <w:rPr>
          <w:b/>
        </w:rPr>
        <w:t xml:space="preserve">124, </w:t>
      </w:r>
      <w:r w:rsidRPr="00196C9D">
        <w:t>4550.</w:t>
      </w:r>
    </w:p>
    <w:p w:rsidR="00B331A1" w:rsidRPr="00196C9D" w:rsidRDefault="00B331A1" w:rsidP="00B331A1">
      <w:pPr>
        <w:pStyle w:val="EndNoteBibliography"/>
        <w:spacing w:after="0"/>
        <w:ind w:left="720" w:hanging="720"/>
      </w:pPr>
      <w:r w:rsidRPr="00196C9D">
        <w:t xml:space="preserve">Lipton, J.H., Chuah, C., Guerci-Bresler, A., Rosti, G., Simpson, D., Assouline, S., Etienne, G., Nicolini, F.E., le Coutre, P., Clark, R.E., Stenke, L., Andorsky, D., Oehler, V., Lustgarten, S., Rivera, V.M., Clackson, T., Haluska, F.G., Baccarani, M., Cortes, J.E., Guilhot, F., Hochhaus, A., Hughes, T., Kantarjian, H.M., Shah, N.P., Talpaz, M., Deininger, M.W. &amp; investigators, E. (2016) Ponatinib versus imatinib for newly diagnosed chronic myeloid leukaemia: an international, randomised, open-label, phase 3 trial. </w:t>
      </w:r>
      <w:r w:rsidRPr="00196C9D">
        <w:rPr>
          <w:i/>
        </w:rPr>
        <w:t xml:space="preserve">Lancet Oncol, </w:t>
      </w:r>
      <w:r w:rsidRPr="00196C9D">
        <w:rPr>
          <w:b/>
        </w:rPr>
        <w:t xml:space="preserve">17, </w:t>
      </w:r>
      <w:r w:rsidRPr="00196C9D">
        <w:t>612-621.</w:t>
      </w:r>
    </w:p>
    <w:p w:rsidR="00B331A1" w:rsidRPr="00196C9D" w:rsidRDefault="00B331A1" w:rsidP="00B331A1">
      <w:pPr>
        <w:pStyle w:val="EndNoteBibliography"/>
        <w:spacing w:after="0"/>
        <w:ind w:left="720" w:hanging="720"/>
      </w:pPr>
      <w:r w:rsidRPr="00196C9D">
        <w:lastRenderedPageBreak/>
        <w:t xml:space="preserve">Mahon, F.X. (2017) Treatment-free remission in CML: who, how, and why? </w:t>
      </w:r>
      <w:r w:rsidRPr="00196C9D">
        <w:rPr>
          <w:i/>
        </w:rPr>
        <w:t xml:space="preserve">Hematology Am Soc Hematol Educ Program, </w:t>
      </w:r>
      <w:r w:rsidRPr="00196C9D">
        <w:rPr>
          <w:b/>
        </w:rPr>
        <w:t xml:space="preserve">2017, </w:t>
      </w:r>
      <w:r w:rsidRPr="00196C9D">
        <w:t>102-109.</w:t>
      </w:r>
    </w:p>
    <w:p w:rsidR="00B331A1" w:rsidRPr="00196C9D" w:rsidRDefault="00B331A1" w:rsidP="00B331A1">
      <w:pPr>
        <w:pStyle w:val="EndNoteBibliography"/>
        <w:spacing w:after="0"/>
        <w:ind w:left="720" w:hanging="720"/>
      </w:pPr>
      <w:r w:rsidRPr="00196C9D">
        <w:t xml:space="preserve">Mahon, F.X., Boquimpani, C., Kim, D.W., Benyamini, N., Clementino, N.C.D., Shuvaev, V., Ailawadhi, S., Lipton, J.H., Turkina, A.G., De Paz, R., Moiraghi, B., Nicolini, F.E., Dengler, J., Sacha, T., Takahashi, N., Fellague-Chebra, R., Acharya, S., Wong, S., Jin, Y. &amp; Hughes, T.P. (2018) Treatment-free remission after second-line nilotinib treatment in patients with chronic myeloid leukemia in chronic phase: results from a single-group, phase 2, open-label study. </w:t>
      </w:r>
      <w:r w:rsidRPr="00196C9D">
        <w:rPr>
          <w:i/>
        </w:rPr>
        <w:t xml:space="preserve">Ann Intern Med, </w:t>
      </w:r>
      <w:r w:rsidRPr="00196C9D">
        <w:rPr>
          <w:b/>
        </w:rPr>
        <w:t xml:space="preserve">168, </w:t>
      </w:r>
      <w:r w:rsidRPr="00196C9D">
        <w:t>461-470.</w:t>
      </w:r>
    </w:p>
    <w:p w:rsidR="00B331A1" w:rsidRPr="00196C9D" w:rsidRDefault="00B331A1" w:rsidP="00B331A1">
      <w:pPr>
        <w:pStyle w:val="EndNoteBibliography"/>
        <w:spacing w:after="0"/>
        <w:ind w:left="720" w:hanging="720"/>
      </w:pPr>
      <w:r w:rsidRPr="00196C9D">
        <w:t>NCCN, N.C.C.N. (2019) NCCN Clinical Practice Guidelines in Oncology: Chronic Myeloid Leukemia Version 2.2020. National Comprehensive Cancer Network, Fort Washington, PA.</w:t>
      </w:r>
    </w:p>
    <w:p w:rsidR="00B331A1" w:rsidRPr="00196C9D" w:rsidRDefault="00B331A1" w:rsidP="00B331A1">
      <w:pPr>
        <w:pStyle w:val="EndNoteBibliography"/>
        <w:spacing w:after="0"/>
        <w:ind w:left="720" w:hanging="720"/>
      </w:pPr>
      <w:r w:rsidRPr="00196C9D">
        <w:t xml:space="preserve">Nesr, G.N.G., Szydlo, R., Braithwaite, B., Frackleton, S., Apperley, J., Milojkovic, D., Foroni, L. &amp; Clark, R.E. (2018) First report from the UK National Registry for chronic myeloid leukaemia: analysis of baseline characteristics of 435 patients. </w:t>
      </w:r>
      <w:r w:rsidRPr="00196C9D">
        <w:rPr>
          <w:i/>
        </w:rPr>
        <w:t xml:space="preserve">British Journal of Haematology, </w:t>
      </w:r>
      <w:r w:rsidRPr="00196C9D">
        <w:rPr>
          <w:b/>
        </w:rPr>
        <w:t xml:space="preserve">181, </w:t>
      </w:r>
      <w:r w:rsidRPr="00196C9D">
        <w:t>[abstract BSH18-PO-016].</w:t>
      </w:r>
    </w:p>
    <w:p w:rsidR="00B331A1" w:rsidRPr="00196C9D" w:rsidRDefault="00B331A1" w:rsidP="00B331A1">
      <w:pPr>
        <w:pStyle w:val="EndNoteBibliography"/>
        <w:spacing w:after="0"/>
        <w:ind w:left="720" w:hanging="720"/>
      </w:pPr>
      <w:r w:rsidRPr="00196C9D">
        <w:t xml:space="preserve">Rea, D., Ame, S., Berger, M., Cayuela, J.M., Charbonnier, A., Coiteux, V., Cony-Makhoul, P., Dubruille, V., Dulucq, S., Etienne, G., Legros, L., Nicolini, F., Roche-Lestienne, C., Escoffre-Barbe, M., Gardembas, M., Guerci-Bresler, A., Johnson-Ansah, H., Rigal-Huguet, F., Rousselot, P., Mahon, F.X. &amp; French Chronic Myeloid Leukemia Study, G. (2018) Discontinuation of tyrosine kinase inhibitors in chronic myeloid leukemia: recommendations for clinical practice from the French Chronic Myeloid Leukemia Study Group. </w:t>
      </w:r>
      <w:r w:rsidRPr="00196C9D">
        <w:rPr>
          <w:i/>
        </w:rPr>
        <w:t xml:space="preserve">Cancer, </w:t>
      </w:r>
      <w:r w:rsidRPr="00196C9D">
        <w:rPr>
          <w:b/>
        </w:rPr>
        <w:t xml:space="preserve">124, </w:t>
      </w:r>
      <w:r w:rsidRPr="00196C9D">
        <w:t>2956-2963.</w:t>
      </w:r>
    </w:p>
    <w:p w:rsidR="00B331A1" w:rsidRPr="00196C9D" w:rsidRDefault="00B331A1" w:rsidP="00B331A1">
      <w:pPr>
        <w:pStyle w:val="EndNoteBibliography"/>
        <w:spacing w:after="0"/>
        <w:ind w:left="720" w:hanging="720"/>
      </w:pPr>
      <w:r w:rsidRPr="00196C9D">
        <w:t xml:space="preserve">Ross, D.M., Masszi, T., Gomez-Casares, M.T., Hellmann, A., Stentoft, J., Conneally, E., Garcia-Gutierrez, V., Gattermann, N., le Coutre, P.D., Martino, B., Saussele, S., Giles, F.J., Radich, J.P., Saglio, G., Deng, W., Krunic, N., Bedoucha, V., Gopalakrishna, P. &amp; Hochhaus, A. (2018) Durable treatment-free remission in patients with chronic myeloid leukemia in chronic phase following frontline nilotinib: 96-week update of the ENESTfreedom study. </w:t>
      </w:r>
      <w:r w:rsidRPr="00196C9D">
        <w:rPr>
          <w:i/>
        </w:rPr>
        <w:t xml:space="preserve">J Cancer Res Clin Oncol, </w:t>
      </w:r>
      <w:r w:rsidRPr="00196C9D">
        <w:rPr>
          <w:b/>
        </w:rPr>
        <w:t xml:space="preserve">144, </w:t>
      </w:r>
      <w:r w:rsidRPr="00196C9D">
        <w:t>945-954.</w:t>
      </w:r>
    </w:p>
    <w:p w:rsidR="00B331A1" w:rsidRPr="00196C9D" w:rsidRDefault="00B331A1" w:rsidP="00B331A1">
      <w:pPr>
        <w:pStyle w:val="EndNoteBibliography"/>
        <w:spacing w:after="0"/>
        <w:ind w:left="720" w:hanging="720"/>
      </w:pPr>
      <w:r w:rsidRPr="00196C9D">
        <w:t xml:space="preserve">Sasaki, K., Strom, S.S., O'Brien, S., Jabbour, E., Ravandi, F., Konopleva, M., Borthakur, G., Pemmaraju, N., Daver, N., Jain, P., Pierce, S., Kantarjian, H. &amp; Cortes, J.E. (2015) Relative survival in patients with chronic-phase chronic myeloid leukaemia in the tyrosine-kinase inhibitor era: analysis of patient data from six prospective clinical trials. </w:t>
      </w:r>
      <w:r w:rsidRPr="00196C9D">
        <w:rPr>
          <w:i/>
        </w:rPr>
        <w:t xml:space="preserve">Lancet Haematol, </w:t>
      </w:r>
      <w:r w:rsidRPr="00196C9D">
        <w:rPr>
          <w:b/>
        </w:rPr>
        <w:t xml:space="preserve">2, </w:t>
      </w:r>
      <w:r w:rsidRPr="00196C9D">
        <w:t>e186-e193.</w:t>
      </w:r>
    </w:p>
    <w:p w:rsidR="00B331A1" w:rsidRPr="00196C9D" w:rsidRDefault="00B331A1" w:rsidP="00B331A1">
      <w:pPr>
        <w:pStyle w:val="EndNoteBibliography"/>
        <w:spacing w:after="0"/>
        <w:ind w:left="720" w:hanging="720"/>
      </w:pPr>
      <w:r w:rsidRPr="00196C9D">
        <w:t xml:space="preserve">Saussele, S., Krauss, M.P., Hehlmann, R., Lauseker, M., Proetel, U., Kalmanti, L., Hanfstein, B., Fabarius, A., Kraemer, D., Berdel, W.E., Bentz, M., Staib, P., de Wit, M., Wernli, M., Zettl, F., Hebart, H.F., Hahn, M., Heymanns, J., Schmidt-Wolf, I., Schmitz, N., Eckart, M.J., Gassmann, W., Bartholomaus, A., Pezzutto, A., Oppliger Leibundgut, E., Heim, D., Krause, S.W., Burchert, A., Hofmann, W.K., Hasford, J., Hochhaus, A., Pfirrmann, M. &amp; Muller, M.C. (2015) Impact of comorbidities on overall survival in patients with chronic myeloid leukemia: results of the randomized CML-Study IV. </w:t>
      </w:r>
      <w:r w:rsidRPr="00196C9D">
        <w:rPr>
          <w:i/>
        </w:rPr>
        <w:t xml:space="preserve">Blood, </w:t>
      </w:r>
      <w:r w:rsidRPr="00196C9D">
        <w:rPr>
          <w:b/>
        </w:rPr>
        <w:t xml:space="preserve">126, </w:t>
      </w:r>
      <w:r w:rsidRPr="00196C9D">
        <w:t>42-49.</w:t>
      </w:r>
    </w:p>
    <w:p w:rsidR="00B331A1" w:rsidRPr="00196C9D" w:rsidRDefault="00B331A1" w:rsidP="00B331A1">
      <w:pPr>
        <w:pStyle w:val="EndNoteBibliography"/>
        <w:ind w:left="720" w:hanging="720"/>
      </w:pPr>
      <w:r w:rsidRPr="00196C9D">
        <w:t xml:space="preserve">Whelton, P.K., Carey, R.M., Aronow, W.S., Casey, D.E., Jr., Collins, K.J., Dennison Himmelfarb, C., DePalma, S.M., Gidding, S., Jamerson, K.A., Jones, D.W., MacLaughlin, E.J., Muntner, P., Ovbiagele, B., Smith, S.C., Jr., Spencer, C.C., Stafford, R.S., Taler, S.J., Thomas, R.J., Williams, K.A., Sr., Williamson, J.D. &amp; Wright, J.T., Jr. (2018) 2017 ACC/AHA/AAPA/ABC/ACPM/AGS/APhA/ASH/ASPC/NMA/PCNA Guideline for the Prevention, Detection, Evaluation, and Management of High Blood Pressure in Adults: A Report of the American College of Cardiology/American Heart Association Task Force on Clinical Practice Guidelines. </w:t>
      </w:r>
      <w:r w:rsidRPr="00196C9D">
        <w:rPr>
          <w:i/>
        </w:rPr>
        <w:t xml:space="preserve">J Am Coll Cardiol, </w:t>
      </w:r>
      <w:r w:rsidRPr="00196C9D">
        <w:rPr>
          <w:b/>
        </w:rPr>
        <w:t xml:space="preserve">71, </w:t>
      </w:r>
      <w:r w:rsidRPr="00196C9D">
        <w:t>e127-e248.</w:t>
      </w:r>
    </w:p>
    <w:p w:rsidR="00B331A1" w:rsidRPr="00BA6AE5" w:rsidRDefault="00B331A1" w:rsidP="00B331A1">
      <w:pPr>
        <w:spacing w:before="100" w:beforeAutospacing="1" w:after="100" w:afterAutospacing="1" w:line="480" w:lineRule="auto"/>
        <w:rPr>
          <w:rFonts w:ascii="Times New Roman" w:hAnsi="Times New Roman" w:cs="Times New Roman"/>
          <w:sz w:val="24"/>
          <w:szCs w:val="24"/>
        </w:rPr>
      </w:pPr>
      <w:r w:rsidRPr="00BA6AE5">
        <w:rPr>
          <w:rFonts w:ascii="Times New Roman" w:hAnsi="Times New Roman" w:cs="Times New Roman"/>
          <w:sz w:val="24"/>
          <w:szCs w:val="24"/>
        </w:rPr>
        <w:fldChar w:fldCharType="end"/>
      </w:r>
    </w:p>
    <w:p w:rsidR="00B331A1" w:rsidRDefault="00B331A1" w:rsidP="00B331A1">
      <w:pPr>
        <w:pStyle w:val="NormalWeb"/>
        <w:spacing w:line="480" w:lineRule="auto"/>
        <w:rPr>
          <w:rFonts w:asciiTheme="majorBidi" w:hAnsiTheme="majorBidi" w:cstheme="majorBidi"/>
        </w:rPr>
      </w:pPr>
    </w:p>
    <w:p w:rsidR="00B331A1" w:rsidRDefault="00B331A1" w:rsidP="00B331A1">
      <w:pPr>
        <w:rPr>
          <w:rFonts w:asciiTheme="majorBidi" w:eastAsiaTheme="minorEastAsia" w:hAnsiTheme="majorBidi" w:cstheme="majorBidi"/>
          <w:sz w:val="24"/>
          <w:szCs w:val="24"/>
        </w:rPr>
      </w:pPr>
      <w:r>
        <w:rPr>
          <w:rFonts w:asciiTheme="majorBidi" w:eastAsiaTheme="minorEastAsia" w:hAnsiTheme="majorBidi" w:cstheme="majorBidi"/>
          <w:sz w:val="24"/>
          <w:szCs w:val="24"/>
        </w:rPr>
        <w:br w:type="page"/>
      </w:r>
    </w:p>
    <w:p w:rsidR="00B331A1" w:rsidRDefault="00B331A1" w:rsidP="00B331A1">
      <w:pPr>
        <w:rPr>
          <w:rFonts w:asciiTheme="majorBidi" w:eastAsiaTheme="minorEastAsia" w:hAnsiTheme="majorBidi" w:cstheme="majorBidi"/>
          <w:sz w:val="24"/>
          <w:szCs w:val="24"/>
        </w:rPr>
      </w:pPr>
      <w:r>
        <w:rPr>
          <w:rFonts w:asciiTheme="majorBidi" w:eastAsiaTheme="minorEastAsia" w:hAnsiTheme="majorBidi" w:cstheme="majorBidi"/>
          <w:b/>
          <w:sz w:val="24"/>
          <w:szCs w:val="24"/>
        </w:rPr>
        <w:lastRenderedPageBreak/>
        <w:t>Table I. Patient demographics and baseline characteristics</w:t>
      </w:r>
    </w:p>
    <w:tbl>
      <w:tblPr>
        <w:tblStyle w:val="TableGrid"/>
        <w:tblW w:w="0" w:type="auto"/>
        <w:tblLook w:val="04A0" w:firstRow="1" w:lastRow="0" w:firstColumn="1" w:lastColumn="0" w:noHBand="0" w:noVBand="1"/>
      </w:tblPr>
      <w:tblGrid>
        <w:gridCol w:w="4360"/>
        <w:gridCol w:w="1204"/>
        <w:gridCol w:w="1228"/>
        <w:gridCol w:w="1283"/>
        <w:gridCol w:w="1275"/>
      </w:tblGrid>
      <w:tr w:rsidR="00B331A1" w:rsidTr="00BA6AE5">
        <w:tc>
          <w:tcPr>
            <w:tcW w:w="4360" w:type="dxa"/>
          </w:tcPr>
          <w:p w:rsidR="00B331A1" w:rsidRPr="00317EC6" w:rsidRDefault="00B331A1" w:rsidP="00BA6AE5">
            <w:pPr>
              <w:rPr>
                <w:rFonts w:asciiTheme="majorBidi" w:eastAsiaTheme="minorEastAsia" w:hAnsiTheme="majorBidi" w:cstheme="majorBidi"/>
                <w:sz w:val="20"/>
                <w:szCs w:val="20"/>
              </w:rPr>
            </w:pPr>
          </w:p>
        </w:tc>
        <w:tc>
          <w:tcPr>
            <w:tcW w:w="1204" w:type="dxa"/>
          </w:tcPr>
          <w:p w:rsidR="00B331A1" w:rsidRPr="00317EC6" w:rsidRDefault="00B331A1" w:rsidP="00BA6AE5">
            <w:pPr>
              <w:jc w:val="center"/>
              <w:rPr>
                <w:rFonts w:asciiTheme="majorBidi" w:eastAsiaTheme="minorEastAsia" w:hAnsiTheme="majorBidi" w:cstheme="majorBidi"/>
                <w:sz w:val="20"/>
                <w:szCs w:val="20"/>
              </w:rPr>
            </w:pPr>
            <w:r w:rsidRPr="00317EC6">
              <w:rPr>
                <w:rFonts w:asciiTheme="majorBidi" w:eastAsiaTheme="minorEastAsia" w:hAnsiTheme="majorBidi" w:cstheme="majorBidi"/>
                <w:sz w:val="20"/>
                <w:szCs w:val="20"/>
              </w:rPr>
              <w:t>All patients</w:t>
            </w:r>
          </w:p>
          <w:p w:rsidR="00B331A1" w:rsidRPr="00317EC6" w:rsidRDefault="00B331A1" w:rsidP="00BA6AE5">
            <w:pPr>
              <w:jc w:val="center"/>
              <w:rPr>
                <w:rFonts w:asciiTheme="majorBidi" w:eastAsiaTheme="minorEastAsia" w:hAnsiTheme="majorBidi" w:cstheme="majorBidi"/>
                <w:sz w:val="20"/>
                <w:szCs w:val="20"/>
              </w:rPr>
            </w:pPr>
            <w:r w:rsidRPr="00317EC6">
              <w:rPr>
                <w:rFonts w:asciiTheme="majorBidi" w:eastAsiaTheme="minorEastAsia" w:hAnsiTheme="majorBidi" w:cstheme="majorBidi"/>
                <w:sz w:val="20"/>
                <w:szCs w:val="20"/>
              </w:rPr>
              <w:t>(N=257)</w:t>
            </w:r>
          </w:p>
        </w:tc>
        <w:tc>
          <w:tcPr>
            <w:tcW w:w="1228" w:type="dxa"/>
          </w:tcPr>
          <w:p w:rsidR="00B331A1" w:rsidRDefault="00B331A1" w:rsidP="00BA6AE5">
            <w:pPr>
              <w:jc w:val="center"/>
              <w:rPr>
                <w:rFonts w:asciiTheme="majorBidi" w:eastAsiaTheme="minorEastAsia" w:hAnsiTheme="majorBidi" w:cstheme="majorBidi"/>
                <w:sz w:val="20"/>
                <w:szCs w:val="20"/>
              </w:rPr>
            </w:pPr>
            <w:r w:rsidRPr="00317EC6">
              <w:rPr>
                <w:rFonts w:asciiTheme="majorBidi" w:eastAsiaTheme="minorEastAsia" w:hAnsiTheme="majorBidi" w:cstheme="majorBidi"/>
                <w:sz w:val="20"/>
                <w:szCs w:val="20"/>
              </w:rPr>
              <w:t>First</w:t>
            </w:r>
            <w:r>
              <w:rPr>
                <w:rFonts w:asciiTheme="majorBidi" w:eastAsiaTheme="minorEastAsia" w:hAnsiTheme="majorBidi" w:cstheme="majorBidi"/>
                <w:sz w:val="20"/>
                <w:szCs w:val="20"/>
              </w:rPr>
              <w:t>-</w:t>
            </w:r>
            <w:r w:rsidRPr="00317EC6">
              <w:rPr>
                <w:rFonts w:asciiTheme="majorBidi" w:eastAsiaTheme="minorEastAsia" w:hAnsiTheme="majorBidi" w:cstheme="majorBidi"/>
                <w:sz w:val="20"/>
                <w:szCs w:val="20"/>
              </w:rPr>
              <w:t>line imatinib</w:t>
            </w:r>
          </w:p>
          <w:p w:rsidR="00B331A1" w:rsidRPr="00317EC6" w:rsidRDefault="00B331A1" w:rsidP="00BA6AE5">
            <w:pPr>
              <w:jc w:val="center"/>
              <w:rPr>
                <w:rFonts w:asciiTheme="majorBidi" w:eastAsiaTheme="minorEastAsia" w:hAnsiTheme="majorBidi" w:cstheme="majorBidi"/>
                <w:sz w:val="20"/>
                <w:szCs w:val="20"/>
              </w:rPr>
            </w:pPr>
            <w:r w:rsidRPr="00317EC6">
              <w:rPr>
                <w:rFonts w:asciiTheme="majorBidi" w:eastAsiaTheme="minorEastAsia" w:hAnsiTheme="majorBidi" w:cstheme="majorBidi"/>
                <w:sz w:val="20"/>
                <w:szCs w:val="20"/>
              </w:rPr>
              <w:t>(n=203)</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First-line</w:t>
            </w:r>
          </w:p>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2G-TKI</w:t>
            </w:r>
          </w:p>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(n=54)</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First-line nilotinib</w:t>
            </w:r>
          </w:p>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(n=50)</w:t>
            </w:r>
          </w:p>
        </w:tc>
      </w:tr>
      <w:tr w:rsidR="00B331A1" w:rsidTr="00BA6AE5">
        <w:tc>
          <w:tcPr>
            <w:tcW w:w="4360" w:type="dxa"/>
          </w:tcPr>
          <w:p w:rsidR="00B331A1" w:rsidRPr="00317EC6" w:rsidRDefault="00B331A1" w:rsidP="00BA6AE5">
            <w:pPr>
              <w:rPr>
                <w:rFonts w:asciiTheme="majorBidi" w:eastAsiaTheme="minorEastAsia" w:hAnsiTheme="majorBidi" w:cstheme="majorBidi"/>
                <w:sz w:val="20"/>
                <w:szCs w:val="20"/>
              </w:rPr>
            </w:pPr>
            <w:r w:rsidRPr="00317EC6">
              <w:rPr>
                <w:rFonts w:asciiTheme="majorBidi" w:eastAsiaTheme="minorEastAsia" w:hAnsiTheme="majorBidi" w:cstheme="majorBidi"/>
                <w:sz w:val="20"/>
                <w:szCs w:val="20"/>
              </w:rPr>
              <w:t>Sex, n (%)</w:t>
            </w:r>
          </w:p>
        </w:tc>
        <w:tc>
          <w:tcPr>
            <w:tcW w:w="1204" w:type="dxa"/>
          </w:tcPr>
          <w:p w:rsidR="00B331A1" w:rsidRPr="00317EC6" w:rsidRDefault="00B331A1" w:rsidP="00BA6AE5">
            <w:pPr>
              <w:jc w:val="center"/>
              <w:rPr>
                <w:rFonts w:asciiTheme="majorBidi" w:eastAsiaTheme="minorEastAsia" w:hAnsiTheme="majorBidi" w:cstheme="majorBidi"/>
                <w:sz w:val="20"/>
                <w:szCs w:val="20"/>
              </w:rPr>
            </w:pPr>
          </w:p>
        </w:tc>
        <w:tc>
          <w:tcPr>
            <w:tcW w:w="1228" w:type="dxa"/>
          </w:tcPr>
          <w:p w:rsidR="00B331A1" w:rsidRPr="00317EC6" w:rsidRDefault="00B331A1" w:rsidP="00BA6AE5">
            <w:pPr>
              <w:jc w:val="center"/>
              <w:rPr>
                <w:rFonts w:asciiTheme="majorBidi" w:eastAsiaTheme="minorEastAsia" w:hAnsiTheme="majorBidi" w:cstheme="majorBidi"/>
                <w:sz w:val="20"/>
                <w:szCs w:val="20"/>
              </w:rPr>
            </w:pPr>
          </w:p>
        </w:tc>
        <w:tc>
          <w:tcPr>
            <w:tcW w:w="1283" w:type="dxa"/>
          </w:tcPr>
          <w:p w:rsidR="00B331A1" w:rsidRPr="00317EC6" w:rsidRDefault="00B331A1" w:rsidP="00BA6AE5">
            <w:pPr>
              <w:jc w:val="center"/>
              <w:rPr>
                <w:rFonts w:asciiTheme="majorBidi" w:eastAsiaTheme="minorEastAsia" w:hAnsiTheme="majorBidi" w:cstheme="majorBidi"/>
                <w:sz w:val="20"/>
                <w:szCs w:val="20"/>
              </w:rPr>
            </w:pPr>
          </w:p>
        </w:tc>
        <w:tc>
          <w:tcPr>
            <w:tcW w:w="1275" w:type="dxa"/>
          </w:tcPr>
          <w:p w:rsidR="00B331A1" w:rsidRPr="00317EC6" w:rsidRDefault="00B331A1" w:rsidP="00BA6AE5">
            <w:pPr>
              <w:jc w:val="center"/>
              <w:rPr>
                <w:rFonts w:asciiTheme="majorBidi" w:eastAsiaTheme="minorEastAsia" w:hAnsiTheme="majorBidi" w:cstheme="majorBidi"/>
                <w:sz w:val="20"/>
                <w:szCs w:val="20"/>
              </w:rPr>
            </w:pPr>
          </w:p>
        </w:tc>
      </w:tr>
      <w:tr w:rsidR="00B331A1" w:rsidTr="00BA6AE5">
        <w:tc>
          <w:tcPr>
            <w:tcW w:w="4360" w:type="dxa"/>
          </w:tcPr>
          <w:p w:rsidR="00B331A1" w:rsidRPr="00317EC6" w:rsidRDefault="00B331A1" w:rsidP="00BA6AE5">
            <w:pPr>
              <w:ind w:left="161"/>
              <w:rPr>
                <w:rFonts w:asciiTheme="majorBidi" w:eastAsiaTheme="minorEastAsia" w:hAnsiTheme="majorBidi" w:cstheme="majorBidi"/>
                <w:sz w:val="20"/>
                <w:szCs w:val="20"/>
              </w:rPr>
            </w:pPr>
            <w:r w:rsidRPr="00317EC6">
              <w:rPr>
                <w:rFonts w:asciiTheme="majorBidi" w:eastAsiaTheme="minorEastAsia" w:hAnsiTheme="majorBidi" w:cstheme="majorBidi"/>
                <w:sz w:val="20"/>
                <w:szCs w:val="20"/>
              </w:rPr>
              <w:t>Male</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144 (56)</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119 (59)</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25 (46)</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24 (48)</w:t>
            </w:r>
          </w:p>
        </w:tc>
      </w:tr>
      <w:tr w:rsidR="00B331A1" w:rsidTr="00BA6AE5">
        <w:tc>
          <w:tcPr>
            <w:tcW w:w="4360" w:type="dxa"/>
          </w:tcPr>
          <w:p w:rsidR="00B331A1" w:rsidRPr="00317EC6" w:rsidRDefault="00B331A1" w:rsidP="00BA6AE5">
            <w:pPr>
              <w:ind w:left="161"/>
              <w:rPr>
                <w:rFonts w:asciiTheme="majorBidi" w:eastAsiaTheme="minorEastAsia" w:hAnsiTheme="majorBidi" w:cstheme="majorBidi"/>
                <w:sz w:val="20"/>
                <w:szCs w:val="20"/>
              </w:rPr>
            </w:pPr>
            <w:r w:rsidRPr="00317EC6">
              <w:rPr>
                <w:rFonts w:asciiTheme="majorBidi" w:eastAsiaTheme="minorEastAsia" w:hAnsiTheme="majorBidi" w:cstheme="majorBidi"/>
                <w:sz w:val="20"/>
                <w:szCs w:val="20"/>
              </w:rPr>
              <w:t>Female</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113 (44)</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84 (41)</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29 (54)</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26 (52)</w:t>
            </w:r>
          </w:p>
        </w:tc>
      </w:tr>
      <w:tr w:rsidR="00B331A1" w:rsidTr="00BA6AE5">
        <w:tc>
          <w:tcPr>
            <w:tcW w:w="4360" w:type="dxa"/>
          </w:tcPr>
          <w:p w:rsidR="00B331A1" w:rsidRPr="00317EC6"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Age at initiation of </w:t>
            </w:r>
            <w:proofErr w:type="gramStart"/>
            <w:r>
              <w:rPr>
                <w:rFonts w:asciiTheme="majorBidi" w:eastAsiaTheme="minorEastAsia" w:hAnsiTheme="majorBidi" w:cstheme="majorBidi"/>
                <w:sz w:val="20"/>
                <w:szCs w:val="20"/>
              </w:rPr>
              <w:t>first-line</w:t>
            </w:r>
            <w:proofErr w:type="gramEnd"/>
            <w:r>
              <w:rPr>
                <w:rFonts w:asciiTheme="majorBidi" w:eastAsiaTheme="minorEastAsia" w:hAnsiTheme="majorBidi" w:cstheme="majorBidi"/>
                <w:sz w:val="20"/>
                <w:szCs w:val="20"/>
              </w:rPr>
              <w:t xml:space="preserve"> TKI, median (range [IQR]), years</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53.5 </w:t>
            </w:r>
          </w:p>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(18.4 - </w:t>
            </w:r>
            <w:r w:rsidRPr="004F2D51">
              <w:rPr>
                <w:rFonts w:asciiTheme="majorBidi" w:eastAsiaTheme="minorEastAsia" w:hAnsiTheme="majorBidi" w:cstheme="majorBidi"/>
                <w:sz w:val="20"/>
                <w:szCs w:val="20"/>
              </w:rPr>
              <w:t>92.4</w:t>
            </w:r>
            <w:r>
              <w:rPr>
                <w:rFonts w:asciiTheme="majorBidi" w:eastAsiaTheme="minorEastAsia" w:hAnsiTheme="majorBidi" w:cstheme="majorBidi"/>
                <w:sz w:val="20"/>
                <w:szCs w:val="20"/>
              </w:rPr>
              <w:t xml:space="preserve"> [38.8-65.8])</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55.4 </w:t>
            </w:r>
          </w:p>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(18.4 - </w:t>
            </w:r>
            <w:r w:rsidRPr="004F2D51">
              <w:rPr>
                <w:rFonts w:asciiTheme="majorBidi" w:eastAsiaTheme="minorEastAsia" w:hAnsiTheme="majorBidi" w:cstheme="majorBidi"/>
                <w:sz w:val="20"/>
                <w:szCs w:val="20"/>
              </w:rPr>
              <w:t>92.4</w:t>
            </w:r>
            <w:r>
              <w:rPr>
                <w:rFonts w:asciiTheme="majorBidi" w:eastAsiaTheme="minorEastAsia" w:hAnsiTheme="majorBidi" w:cstheme="majorBidi"/>
                <w:sz w:val="20"/>
                <w:szCs w:val="20"/>
              </w:rPr>
              <w:t xml:space="preserve"> [39.9-67.4])</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45.8</w:t>
            </w:r>
          </w:p>
          <w:p w:rsidR="00B331A1" w:rsidRPr="00317EC6"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(20.3-</w:t>
            </w:r>
            <w:r w:rsidRPr="004F2D51">
              <w:rPr>
                <w:rFonts w:asciiTheme="majorBidi" w:eastAsiaTheme="minorEastAsia" w:hAnsiTheme="majorBidi" w:cstheme="majorBidi"/>
                <w:sz w:val="20"/>
                <w:szCs w:val="20"/>
              </w:rPr>
              <w:t xml:space="preserve"> 79.5</w:t>
            </w:r>
            <w:r>
              <w:rPr>
                <w:rFonts w:asciiTheme="majorBidi" w:eastAsiaTheme="minorEastAsia" w:hAnsiTheme="majorBidi" w:cstheme="majorBidi"/>
                <w:sz w:val="20"/>
                <w:szCs w:val="20"/>
              </w:rPr>
              <w:t xml:space="preserve"> [36.4-59.6])</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45.1</w:t>
            </w:r>
          </w:p>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(20.3 -</w:t>
            </w:r>
            <w:r w:rsidRPr="004F2D51">
              <w:rPr>
                <w:rFonts w:asciiTheme="majorBidi" w:eastAsiaTheme="minorEastAsia" w:hAnsiTheme="majorBidi" w:cstheme="majorBidi"/>
                <w:sz w:val="20"/>
                <w:szCs w:val="20"/>
              </w:rPr>
              <w:t>79.5</w:t>
            </w:r>
            <w:r>
              <w:rPr>
                <w:rFonts w:asciiTheme="majorBidi" w:eastAsiaTheme="minorEastAsia" w:hAnsiTheme="majorBidi" w:cstheme="majorBidi"/>
                <w:sz w:val="20"/>
                <w:szCs w:val="20"/>
              </w:rPr>
              <w:t xml:space="preserve"> [36.1-59.6])</w:t>
            </w:r>
          </w:p>
        </w:tc>
      </w:tr>
      <w:tr w:rsidR="00B331A1" w:rsidTr="00BA6AE5">
        <w:tc>
          <w:tcPr>
            <w:tcW w:w="4360" w:type="dxa"/>
          </w:tcPr>
          <w:p w:rsidR="00B331A1" w:rsidRPr="00317EC6"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Time from CML diagnosis to start of first TKI, median (IQR), days</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7.0 (1.0-20.0)</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8.0 (2.0-20.3)</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6.0 (1.0-11.0)</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6.0 (1.0-11.0)</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Assessments prior to </w:t>
            </w:r>
            <w:proofErr w:type="gramStart"/>
            <w:r>
              <w:rPr>
                <w:rFonts w:asciiTheme="majorBidi" w:eastAsiaTheme="minorEastAsia" w:hAnsiTheme="majorBidi" w:cstheme="majorBidi"/>
                <w:sz w:val="20"/>
                <w:szCs w:val="20"/>
              </w:rPr>
              <w:t>first-line</w:t>
            </w:r>
            <w:proofErr w:type="gramEnd"/>
            <w:r>
              <w:rPr>
                <w:rFonts w:asciiTheme="majorBidi" w:eastAsiaTheme="minorEastAsia" w:hAnsiTheme="majorBidi" w:cstheme="majorBidi"/>
                <w:sz w:val="20"/>
                <w:szCs w:val="20"/>
              </w:rPr>
              <w:t xml:space="preserve"> TKI, n (%)</w:t>
            </w:r>
          </w:p>
        </w:tc>
        <w:tc>
          <w:tcPr>
            <w:tcW w:w="1204" w:type="dxa"/>
          </w:tcPr>
          <w:p w:rsidR="00B331A1" w:rsidRDefault="00B331A1" w:rsidP="00BA6AE5">
            <w:pPr>
              <w:jc w:val="center"/>
              <w:rPr>
                <w:rFonts w:asciiTheme="majorBidi" w:eastAsiaTheme="minorEastAsia" w:hAnsiTheme="majorBidi" w:cstheme="majorBidi"/>
                <w:sz w:val="20"/>
                <w:szCs w:val="20"/>
              </w:rPr>
            </w:pPr>
          </w:p>
        </w:tc>
        <w:tc>
          <w:tcPr>
            <w:tcW w:w="1228" w:type="dxa"/>
          </w:tcPr>
          <w:p w:rsidR="00B331A1" w:rsidRDefault="00B331A1" w:rsidP="00BA6AE5">
            <w:pPr>
              <w:jc w:val="center"/>
              <w:rPr>
                <w:rFonts w:asciiTheme="majorBidi" w:eastAsiaTheme="minorEastAsia" w:hAnsiTheme="majorBidi" w:cstheme="majorBidi"/>
                <w:sz w:val="20"/>
                <w:szCs w:val="20"/>
              </w:rPr>
            </w:pPr>
          </w:p>
        </w:tc>
        <w:tc>
          <w:tcPr>
            <w:tcW w:w="1283" w:type="dxa"/>
          </w:tcPr>
          <w:p w:rsidR="00B331A1" w:rsidRDefault="00B331A1" w:rsidP="00BA6AE5">
            <w:pPr>
              <w:jc w:val="center"/>
              <w:rPr>
                <w:rFonts w:asciiTheme="majorBidi" w:eastAsiaTheme="minorEastAsia" w:hAnsiTheme="majorBidi" w:cstheme="majorBidi"/>
                <w:sz w:val="20"/>
                <w:szCs w:val="20"/>
              </w:rPr>
            </w:pPr>
          </w:p>
        </w:tc>
        <w:tc>
          <w:tcPr>
            <w:tcW w:w="1275" w:type="dxa"/>
          </w:tcPr>
          <w:p w:rsidR="00B331A1" w:rsidRDefault="00B331A1" w:rsidP="00BA6AE5">
            <w:pPr>
              <w:jc w:val="center"/>
              <w:rPr>
                <w:rFonts w:asciiTheme="majorBidi" w:eastAsiaTheme="minorEastAsia" w:hAnsiTheme="majorBidi" w:cstheme="majorBidi"/>
                <w:sz w:val="20"/>
                <w:szCs w:val="20"/>
              </w:rPr>
            </w:pPr>
          </w:p>
        </w:tc>
      </w:tr>
      <w:tr w:rsidR="00B331A1" w:rsidTr="00BA6AE5">
        <w:tc>
          <w:tcPr>
            <w:tcW w:w="4360" w:type="dxa"/>
          </w:tcPr>
          <w:p w:rsidR="00B331A1" w:rsidRDefault="00B331A1" w:rsidP="00BA6AE5">
            <w:pPr>
              <w:ind w:left="180"/>
              <w:rPr>
                <w:rFonts w:asciiTheme="majorBidi" w:eastAsiaTheme="minorEastAsia" w:hAnsiTheme="majorBidi" w:cstheme="majorBidi"/>
                <w:sz w:val="20"/>
                <w:szCs w:val="20"/>
              </w:rPr>
            </w:pPr>
            <w:r>
              <w:rPr>
                <w:rFonts w:asciiTheme="majorBidi" w:eastAsiaTheme="minorEastAsia" w:hAnsiTheme="majorBidi" w:cstheme="majorBidi"/>
                <w:sz w:val="20"/>
                <w:szCs w:val="20"/>
                <w:lang w:val="en-US"/>
              </w:rPr>
              <w:t xml:space="preserve">RQ-PCR </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169 (66)</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140 (69)</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29 (54)</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26 (52)</w:t>
            </w:r>
          </w:p>
        </w:tc>
      </w:tr>
      <w:tr w:rsidR="00B331A1" w:rsidTr="00BA6AE5">
        <w:tc>
          <w:tcPr>
            <w:tcW w:w="4360" w:type="dxa"/>
          </w:tcPr>
          <w:p w:rsidR="00B331A1" w:rsidRDefault="00B331A1" w:rsidP="00BA6AE5">
            <w:pPr>
              <w:ind w:left="180"/>
              <w:rPr>
                <w:rFonts w:asciiTheme="majorBidi" w:eastAsiaTheme="minorEastAsia" w:hAnsiTheme="majorBidi" w:cstheme="majorBidi"/>
                <w:sz w:val="20"/>
                <w:szCs w:val="20"/>
              </w:rPr>
            </w:pPr>
            <w:r>
              <w:rPr>
                <w:rFonts w:asciiTheme="majorBidi" w:eastAsiaTheme="minorEastAsia" w:hAnsiTheme="majorBidi" w:cstheme="majorBidi"/>
                <w:sz w:val="20"/>
                <w:szCs w:val="20"/>
                <w:lang w:val="en-US"/>
              </w:rPr>
              <w:t>Qualitative PCR (b2a2, b3a2, other)</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140 (54)</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107 (53)</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33 (61)</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30 (60)</w:t>
            </w:r>
          </w:p>
        </w:tc>
      </w:tr>
      <w:tr w:rsidR="00B331A1" w:rsidTr="00BA6AE5">
        <w:tc>
          <w:tcPr>
            <w:tcW w:w="4360" w:type="dxa"/>
          </w:tcPr>
          <w:p w:rsidR="00B331A1" w:rsidRDefault="00B331A1" w:rsidP="00BA6AE5">
            <w:pPr>
              <w:ind w:left="180"/>
              <w:rPr>
                <w:rFonts w:asciiTheme="majorBidi" w:eastAsiaTheme="minorEastAsia" w:hAnsiTheme="majorBidi" w:cstheme="majorBidi"/>
                <w:sz w:val="20"/>
                <w:szCs w:val="20"/>
              </w:rPr>
            </w:pPr>
            <w:r>
              <w:rPr>
                <w:rFonts w:asciiTheme="majorBidi" w:eastAsiaTheme="minorEastAsia" w:hAnsiTheme="majorBidi" w:cstheme="majorBidi"/>
                <w:sz w:val="20"/>
                <w:szCs w:val="20"/>
              </w:rPr>
              <w:t>CBA</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180 (70)</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146 (72)</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34 (63)</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31 (62)</w:t>
            </w:r>
          </w:p>
        </w:tc>
      </w:tr>
      <w:tr w:rsidR="00B331A1" w:rsidTr="00BA6AE5">
        <w:tc>
          <w:tcPr>
            <w:tcW w:w="4360" w:type="dxa"/>
          </w:tcPr>
          <w:p w:rsidR="00B331A1" w:rsidRDefault="00B331A1" w:rsidP="00BA6AE5">
            <w:pPr>
              <w:ind w:left="180"/>
              <w:rPr>
                <w:rFonts w:asciiTheme="majorBidi" w:eastAsiaTheme="minorEastAsia" w:hAnsiTheme="majorBidi" w:cstheme="majorBidi"/>
                <w:sz w:val="20"/>
                <w:szCs w:val="20"/>
              </w:rPr>
            </w:pPr>
            <w:r>
              <w:rPr>
                <w:rFonts w:asciiTheme="majorBidi" w:eastAsiaTheme="minorEastAsia" w:hAnsiTheme="majorBidi" w:cstheme="majorBidi"/>
                <w:sz w:val="20"/>
                <w:szCs w:val="20"/>
              </w:rPr>
              <w:t>FISH</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155 (60)</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117 (58)</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38 (70)</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34 (68)</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CBA or FISH (bone marrow)</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154 (60)</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119 (59)</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35 (65)</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32 (64)</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CBA or FISH (peripheral blood)</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54 (21)</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45 (22)</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 (17)</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 (18)</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Both CBA/FISH and RQ-PCR</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139 (54)</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117 (58)</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22 (41)</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(40)</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Treatment for CML prior to </w:t>
            </w:r>
            <w:proofErr w:type="gramStart"/>
            <w:r>
              <w:rPr>
                <w:rFonts w:asciiTheme="majorBidi" w:eastAsiaTheme="minorEastAsia" w:hAnsiTheme="majorBidi" w:cstheme="majorBidi"/>
                <w:sz w:val="20"/>
                <w:szCs w:val="20"/>
              </w:rPr>
              <w:t>first-line</w:t>
            </w:r>
            <w:proofErr w:type="gramEnd"/>
            <w:r>
              <w:rPr>
                <w:rFonts w:asciiTheme="majorBidi" w:eastAsiaTheme="minorEastAsia" w:hAnsiTheme="majorBidi" w:cstheme="majorBidi"/>
                <w:sz w:val="20"/>
                <w:szCs w:val="20"/>
              </w:rPr>
              <w:t xml:space="preserve"> TKI, n (%)</w:t>
            </w:r>
          </w:p>
        </w:tc>
        <w:tc>
          <w:tcPr>
            <w:tcW w:w="1204" w:type="dxa"/>
          </w:tcPr>
          <w:p w:rsidR="00B331A1" w:rsidRPr="00317EC6" w:rsidRDefault="00B331A1" w:rsidP="00BA6AE5">
            <w:pPr>
              <w:jc w:val="center"/>
              <w:rPr>
                <w:rFonts w:asciiTheme="majorBidi" w:eastAsiaTheme="minorEastAsia" w:hAnsiTheme="majorBidi" w:cstheme="majorBidi"/>
                <w:sz w:val="20"/>
                <w:szCs w:val="20"/>
              </w:rPr>
            </w:pPr>
          </w:p>
        </w:tc>
        <w:tc>
          <w:tcPr>
            <w:tcW w:w="1228" w:type="dxa"/>
          </w:tcPr>
          <w:p w:rsidR="00B331A1" w:rsidRPr="00317EC6" w:rsidRDefault="00B331A1" w:rsidP="00BA6AE5">
            <w:pPr>
              <w:jc w:val="center"/>
              <w:rPr>
                <w:rFonts w:asciiTheme="majorBidi" w:eastAsiaTheme="minorEastAsia" w:hAnsiTheme="majorBidi" w:cstheme="majorBidi"/>
                <w:sz w:val="20"/>
                <w:szCs w:val="20"/>
              </w:rPr>
            </w:pPr>
          </w:p>
        </w:tc>
        <w:tc>
          <w:tcPr>
            <w:tcW w:w="1283" w:type="dxa"/>
          </w:tcPr>
          <w:p w:rsidR="00B331A1" w:rsidRPr="00317EC6" w:rsidRDefault="00B331A1" w:rsidP="00BA6AE5">
            <w:pPr>
              <w:jc w:val="center"/>
              <w:rPr>
                <w:rFonts w:asciiTheme="majorBidi" w:eastAsiaTheme="minorEastAsia" w:hAnsiTheme="majorBidi" w:cstheme="majorBidi"/>
                <w:sz w:val="20"/>
                <w:szCs w:val="20"/>
              </w:rPr>
            </w:pPr>
          </w:p>
        </w:tc>
        <w:tc>
          <w:tcPr>
            <w:tcW w:w="1275" w:type="dxa"/>
          </w:tcPr>
          <w:p w:rsidR="00B331A1" w:rsidRPr="00317EC6" w:rsidRDefault="00B331A1" w:rsidP="00BA6AE5">
            <w:pPr>
              <w:jc w:val="center"/>
              <w:rPr>
                <w:rFonts w:asciiTheme="majorBidi" w:eastAsiaTheme="minorEastAsia" w:hAnsiTheme="majorBidi" w:cstheme="majorBidi"/>
                <w:sz w:val="20"/>
                <w:szCs w:val="20"/>
              </w:rPr>
            </w:pP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Yes</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126 (49)</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97 (48)</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29 (54)</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26 (52)</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Prior </w:t>
            </w:r>
            <w:proofErr w:type="spellStart"/>
            <w:proofErr w:type="gramStart"/>
            <w:r>
              <w:rPr>
                <w:rFonts w:asciiTheme="majorBidi" w:eastAsiaTheme="minorEastAsia" w:hAnsiTheme="majorBidi" w:cstheme="majorBidi"/>
                <w:sz w:val="20"/>
                <w:szCs w:val="20"/>
              </w:rPr>
              <w:t>treatment</w:t>
            </w:r>
            <w:r>
              <w:rPr>
                <w:rFonts w:asciiTheme="majorBidi" w:eastAsiaTheme="minorEastAsia" w:hAnsiTheme="majorBidi" w:cstheme="majorBidi"/>
                <w:sz w:val="20"/>
                <w:szCs w:val="20"/>
                <w:vertAlign w:val="superscript"/>
              </w:rPr>
              <w:t>a,b</w:t>
            </w:r>
            <w:proofErr w:type="spellEnd"/>
            <w:proofErr w:type="gramEnd"/>
          </w:p>
        </w:tc>
        <w:tc>
          <w:tcPr>
            <w:tcW w:w="1204" w:type="dxa"/>
          </w:tcPr>
          <w:p w:rsidR="00B331A1" w:rsidRPr="00317EC6" w:rsidRDefault="00B331A1" w:rsidP="00BA6AE5">
            <w:pPr>
              <w:jc w:val="center"/>
              <w:rPr>
                <w:rFonts w:asciiTheme="majorBidi" w:eastAsiaTheme="minorEastAsia" w:hAnsiTheme="majorBidi" w:cstheme="majorBidi"/>
                <w:sz w:val="20"/>
                <w:szCs w:val="20"/>
              </w:rPr>
            </w:pPr>
          </w:p>
        </w:tc>
        <w:tc>
          <w:tcPr>
            <w:tcW w:w="1228" w:type="dxa"/>
          </w:tcPr>
          <w:p w:rsidR="00B331A1" w:rsidRPr="00317EC6" w:rsidRDefault="00B331A1" w:rsidP="00BA6AE5">
            <w:pPr>
              <w:jc w:val="center"/>
              <w:rPr>
                <w:rFonts w:asciiTheme="majorBidi" w:eastAsiaTheme="minorEastAsia" w:hAnsiTheme="majorBidi" w:cstheme="majorBidi"/>
                <w:sz w:val="20"/>
                <w:szCs w:val="20"/>
              </w:rPr>
            </w:pPr>
          </w:p>
        </w:tc>
        <w:tc>
          <w:tcPr>
            <w:tcW w:w="1283" w:type="dxa"/>
          </w:tcPr>
          <w:p w:rsidR="00B331A1" w:rsidRPr="00317EC6" w:rsidRDefault="00B331A1" w:rsidP="00BA6AE5">
            <w:pPr>
              <w:jc w:val="center"/>
              <w:rPr>
                <w:rFonts w:asciiTheme="majorBidi" w:eastAsiaTheme="minorEastAsia" w:hAnsiTheme="majorBidi" w:cstheme="majorBidi"/>
                <w:sz w:val="20"/>
                <w:szCs w:val="20"/>
              </w:rPr>
            </w:pPr>
          </w:p>
        </w:tc>
        <w:tc>
          <w:tcPr>
            <w:tcW w:w="1275" w:type="dxa"/>
          </w:tcPr>
          <w:p w:rsidR="00B331A1" w:rsidRPr="00317EC6" w:rsidRDefault="00B331A1" w:rsidP="00BA6AE5">
            <w:pPr>
              <w:jc w:val="center"/>
              <w:rPr>
                <w:rFonts w:asciiTheme="majorBidi" w:eastAsiaTheme="minorEastAsia" w:hAnsiTheme="majorBidi" w:cstheme="majorBidi"/>
                <w:sz w:val="20"/>
                <w:szCs w:val="20"/>
              </w:rPr>
            </w:pPr>
          </w:p>
        </w:tc>
      </w:tr>
      <w:tr w:rsidR="00B331A1" w:rsidTr="00BA6AE5">
        <w:tc>
          <w:tcPr>
            <w:tcW w:w="4360" w:type="dxa"/>
          </w:tcPr>
          <w:p w:rsidR="00B331A1" w:rsidRDefault="00B331A1" w:rsidP="00BA6AE5">
            <w:pPr>
              <w:ind w:left="521"/>
              <w:rPr>
                <w:rFonts w:asciiTheme="majorBidi" w:eastAsiaTheme="minorEastAsia" w:hAnsiTheme="majorBidi" w:cstheme="majorBidi"/>
                <w:sz w:val="20"/>
                <w:szCs w:val="20"/>
              </w:rPr>
            </w:pPr>
            <w:r>
              <w:rPr>
                <w:rFonts w:asciiTheme="majorBidi" w:eastAsiaTheme="minorEastAsia" w:hAnsiTheme="majorBidi" w:cstheme="majorBidi"/>
                <w:sz w:val="20"/>
                <w:szCs w:val="20"/>
              </w:rPr>
              <w:t>Hydroxycarbamide</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116 (92)</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89 (92)</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27 (93)</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24 (92)</w:t>
            </w:r>
          </w:p>
        </w:tc>
      </w:tr>
      <w:tr w:rsidR="00B331A1" w:rsidTr="00BA6AE5">
        <w:tc>
          <w:tcPr>
            <w:tcW w:w="4360" w:type="dxa"/>
          </w:tcPr>
          <w:p w:rsidR="00B331A1" w:rsidRDefault="00B331A1" w:rsidP="00BA6AE5">
            <w:pPr>
              <w:ind w:left="521"/>
              <w:rPr>
                <w:rFonts w:asciiTheme="majorBidi" w:eastAsiaTheme="minorEastAsia" w:hAnsiTheme="majorBidi" w:cstheme="majorBidi"/>
                <w:sz w:val="20"/>
                <w:szCs w:val="20"/>
              </w:rPr>
            </w:pPr>
            <w:proofErr w:type="spellStart"/>
            <w:r>
              <w:rPr>
                <w:rFonts w:asciiTheme="majorBidi" w:eastAsiaTheme="minorEastAsia" w:hAnsiTheme="majorBidi" w:cstheme="majorBidi"/>
                <w:sz w:val="20"/>
                <w:szCs w:val="20"/>
              </w:rPr>
              <w:t>Leukopheresis</w:t>
            </w:r>
            <w:proofErr w:type="spellEnd"/>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 (2)</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 (2)</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r>
      <w:tr w:rsidR="00B331A1" w:rsidTr="00BA6AE5">
        <w:tc>
          <w:tcPr>
            <w:tcW w:w="4360" w:type="dxa"/>
          </w:tcPr>
          <w:p w:rsidR="00B331A1" w:rsidRDefault="00B331A1" w:rsidP="00BA6AE5">
            <w:pPr>
              <w:ind w:left="521"/>
              <w:rPr>
                <w:rFonts w:asciiTheme="majorBidi" w:eastAsiaTheme="minorEastAsia" w:hAnsiTheme="majorBidi" w:cstheme="majorBidi"/>
                <w:sz w:val="20"/>
                <w:szCs w:val="20"/>
              </w:rPr>
            </w:pPr>
            <w:r>
              <w:rPr>
                <w:rFonts w:asciiTheme="majorBidi" w:eastAsiaTheme="minorEastAsia" w:hAnsiTheme="majorBidi" w:cstheme="majorBidi"/>
                <w:sz w:val="20"/>
                <w:szCs w:val="20"/>
              </w:rPr>
              <w:t>Anagrelide</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(1)</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(1)</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r>
      <w:tr w:rsidR="00B331A1" w:rsidTr="00BA6AE5">
        <w:tc>
          <w:tcPr>
            <w:tcW w:w="4360" w:type="dxa"/>
          </w:tcPr>
          <w:p w:rsidR="00B331A1" w:rsidRDefault="00B331A1" w:rsidP="00BA6AE5">
            <w:pPr>
              <w:ind w:left="521"/>
              <w:rPr>
                <w:rFonts w:asciiTheme="majorBidi" w:eastAsiaTheme="minorEastAsia" w:hAnsiTheme="majorBidi" w:cstheme="majorBidi"/>
                <w:sz w:val="20"/>
                <w:szCs w:val="20"/>
              </w:rPr>
            </w:pPr>
            <w:r>
              <w:rPr>
                <w:rFonts w:asciiTheme="majorBidi" w:eastAsiaTheme="minorEastAsia" w:hAnsiTheme="majorBidi" w:cstheme="majorBidi"/>
                <w:sz w:val="20"/>
                <w:szCs w:val="20"/>
              </w:rPr>
              <w:t>Interferon</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(1)</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(1)</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r>
      <w:tr w:rsidR="00B331A1" w:rsidTr="00BA6AE5">
        <w:tc>
          <w:tcPr>
            <w:tcW w:w="4360" w:type="dxa"/>
          </w:tcPr>
          <w:p w:rsidR="00B331A1" w:rsidRDefault="00B331A1" w:rsidP="00BA6AE5">
            <w:pPr>
              <w:ind w:left="521"/>
              <w:rPr>
                <w:rFonts w:asciiTheme="majorBidi" w:eastAsiaTheme="minorEastAsia" w:hAnsiTheme="majorBidi" w:cstheme="majorBidi"/>
                <w:sz w:val="20"/>
                <w:szCs w:val="20"/>
              </w:rPr>
            </w:pPr>
            <w:r>
              <w:rPr>
                <w:rFonts w:asciiTheme="majorBidi" w:eastAsiaTheme="minorEastAsia" w:hAnsiTheme="majorBidi" w:cstheme="majorBidi"/>
                <w:sz w:val="20"/>
                <w:szCs w:val="20"/>
              </w:rPr>
              <w:t>Aspirin</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(1)</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(3)</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(4)</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No</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128 (50)</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104 (51)</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24 (44)</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23 (46)</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Unknown</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(1)</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 (1)</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(2)</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(2)</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Ph chromosome at baseline</w:t>
            </w:r>
          </w:p>
        </w:tc>
        <w:tc>
          <w:tcPr>
            <w:tcW w:w="1204" w:type="dxa"/>
          </w:tcPr>
          <w:p w:rsidR="00B331A1" w:rsidRPr="00317EC6" w:rsidRDefault="00B331A1" w:rsidP="00BA6AE5">
            <w:pPr>
              <w:jc w:val="center"/>
              <w:rPr>
                <w:rFonts w:asciiTheme="majorBidi" w:eastAsiaTheme="minorEastAsia" w:hAnsiTheme="majorBidi" w:cstheme="majorBidi"/>
                <w:sz w:val="20"/>
                <w:szCs w:val="20"/>
              </w:rPr>
            </w:pPr>
          </w:p>
        </w:tc>
        <w:tc>
          <w:tcPr>
            <w:tcW w:w="1228" w:type="dxa"/>
          </w:tcPr>
          <w:p w:rsidR="00B331A1" w:rsidRPr="00317EC6" w:rsidRDefault="00B331A1" w:rsidP="00BA6AE5">
            <w:pPr>
              <w:jc w:val="center"/>
              <w:rPr>
                <w:rFonts w:asciiTheme="majorBidi" w:eastAsiaTheme="minorEastAsia" w:hAnsiTheme="majorBidi" w:cstheme="majorBidi"/>
                <w:sz w:val="20"/>
                <w:szCs w:val="20"/>
              </w:rPr>
            </w:pPr>
          </w:p>
        </w:tc>
        <w:tc>
          <w:tcPr>
            <w:tcW w:w="1283" w:type="dxa"/>
          </w:tcPr>
          <w:p w:rsidR="00B331A1" w:rsidRPr="00317EC6" w:rsidRDefault="00B331A1" w:rsidP="00BA6AE5">
            <w:pPr>
              <w:jc w:val="center"/>
              <w:rPr>
                <w:rFonts w:asciiTheme="majorBidi" w:eastAsiaTheme="minorEastAsia" w:hAnsiTheme="majorBidi" w:cstheme="majorBidi"/>
                <w:sz w:val="20"/>
                <w:szCs w:val="20"/>
              </w:rPr>
            </w:pPr>
          </w:p>
        </w:tc>
        <w:tc>
          <w:tcPr>
            <w:tcW w:w="1275" w:type="dxa"/>
          </w:tcPr>
          <w:p w:rsidR="00B331A1" w:rsidRPr="00317EC6" w:rsidRDefault="00B331A1" w:rsidP="00BA6AE5">
            <w:pPr>
              <w:jc w:val="center"/>
              <w:rPr>
                <w:rFonts w:asciiTheme="majorBidi" w:eastAsiaTheme="minorEastAsia" w:hAnsiTheme="majorBidi" w:cstheme="majorBidi"/>
                <w:sz w:val="20"/>
                <w:szCs w:val="20"/>
              </w:rPr>
            </w:pP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Yes</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212 (82)</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175 (86)</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37 (69)</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35 (70)</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No</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(1)</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(&lt;1)</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 (4)</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 (4)</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Unknown</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42 (16)</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27 (13)</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15 (28)</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 (26)</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Clinical characteristics</w:t>
            </w:r>
          </w:p>
        </w:tc>
        <w:tc>
          <w:tcPr>
            <w:tcW w:w="1204" w:type="dxa"/>
          </w:tcPr>
          <w:p w:rsidR="00B331A1" w:rsidRPr="00317EC6" w:rsidRDefault="00B331A1" w:rsidP="00BA6AE5">
            <w:pPr>
              <w:jc w:val="center"/>
              <w:rPr>
                <w:rFonts w:asciiTheme="majorBidi" w:eastAsiaTheme="minorEastAsia" w:hAnsiTheme="majorBidi" w:cstheme="majorBidi"/>
                <w:sz w:val="20"/>
                <w:szCs w:val="20"/>
              </w:rPr>
            </w:pPr>
          </w:p>
        </w:tc>
        <w:tc>
          <w:tcPr>
            <w:tcW w:w="1228" w:type="dxa"/>
          </w:tcPr>
          <w:p w:rsidR="00B331A1" w:rsidRPr="00317EC6" w:rsidRDefault="00B331A1" w:rsidP="00BA6AE5">
            <w:pPr>
              <w:jc w:val="center"/>
              <w:rPr>
                <w:rFonts w:asciiTheme="majorBidi" w:eastAsiaTheme="minorEastAsia" w:hAnsiTheme="majorBidi" w:cstheme="majorBidi"/>
                <w:sz w:val="20"/>
                <w:szCs w:val="20"/>
              </w:rPr>
            </w:pPr>
          </w:p>
        </w:tc>
        <w:tc>
          <w:tcPr>
            <w:tcW w:w="1283" w:type="dxa"/>
          </w:tcPr>
          <w:p w:rsidR="00B331A1" w:rsidRPr="00317EC6" w:rsidRDefault="00B331A1" w:rsidP="00BA6AE5">
            <w:pPr>
              <w:jc w:val="center"/>
              <w:rPr>
                <w:rFonts w:asciiTheme="majorBidi" w:eastAsiaTheme="minorEastAsia" w:hAnsiTheme="majorBidi" w:cstheme="majorBidi"/>
                <w:sz w:val="20"/>
                <w:szCs w:val="20"/>
              </w:rPr>
            </w:pPr>
          </w:p>
        </w:tc>
        <w:tc>
          <w:tcPr>
            <w:tcW w:w="1275" w:type="dxa"/>
          </w:tcPr>
          <w:p w:rsidR="00B331A1" w:rsidRPr="00317EC6" w:rsidRDefault="00B331A1" w:rsidP="00BA6AE5">
            <w:pPr>
              <w:jc w:val="center"/>
              <w:rPr>
                <w:rFonts w:asciiTheme="majorBidi" w:eastAsiaTheme="minorEastAsia" w:hAnsiTheme="majorBidi" w:cstheme="majorBidi"/>
                <w:sz w:val="20"/>
                <w:szCs w:val="20"/>
              </w:rPr>
            </w:pP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WBC count, median (IQR), 10</w:t>
            </w:r>
            <w:r w:rsidRPr="009235A8">
              <w:rPr>
                <w:rFonts w:asciiTheme="majorBidi" w:eastAsiaTheme="minorEastAsia" w:hAnsiTheme="majorBidi" w:cstheme="majorBidi"/>
                <w:sz w:val="20"/>
                <w:szCs w:val="20"/>
                <w:vertAlign w:val="superscript"/>
              </w:rPr>
              <w:t>9</w:t>
            </w:r>
            <w:r>
              <w:rPr>
                <w:rFonts w:asciiTheme="majorBidi" w:eastAsiaTheme="minorEastAsia" w:hAnsiTheme="majorBidi" w:cstheme="majorBidi"/>
                <w:sz w:val="20"/>
                <w:szCs w:val="20"/>
              </w:rPr>
              <w:t>/l</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82.4 (31.2-177.3)</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77.0 (31.2-158.0)</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92.9 (32.3-201.4)</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92.1 (32.5-198.9)</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 Unknown, n (</w:t>
            </w:r>
            <w:proofErr w:type="gramStart"/>
            <w:r>
              <w:rPr>
                <w:rFonts w:asciiTheme="majorBidi" w:eastAsiaTheme="minorEastAsia" w:hAnsiTheme="majorBidi" w:cstheme="majorBidi"/>
                <w:sz w:val="20"/>
                <w:szCs w:val="20"/>
              </w:rPr>
              <w:t>%)</w:t>
            </w:r>
            <w:r>
              <w:rPr>
                <w:rFonts w:asciiTheme="majorBidi" w:eastAsiaTheme="minorEastAsia" w:hAnsiTheme="majorBidi" w:cstheme="majorBidi"/>
                <w:sz w:val="20"/>
                <w:szCs w:val="20"/>
                <w:vertAlign w:val="superscript"/>
              </w:rPr>
              <w:t>c</w:t>
            </w:r>
            <w:proofErr w:type="gramEnd"/>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 (2)</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(&lt;1)</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(6)</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 (4)</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Platelet count, median (IQR), 10</w:t>
            </w:r>
            <w:r w:rsidRPr="009235A8">
              <w:rPr>
                <w:rFonts w:asciiTheme="majorBidi" w:eastAsiaTheme="minorEastAsia" w:hAnsiTheme="majorBidi" w:cstheme="majorBidi"/>
                <w:sz w:val="20"/>
                <w:szCs w:val="20"/>
                <w:vertAlign w:val="superscript"/>
              </w:rPr>
              <w:t>9</w:t>
            </w:r>
            <w:r>
              <w:rPr>
                <w:rFonts w:asciiTheme="majorBidi" w:eastAsiaTheme="minorEastAsia" w:hAnsiTheme="majorBidi" w:cstheme="majorBidi"/>
                <w:sz w:val="20"/>
                <w:szCs w:val="20"/>
              </w:rPr>
              <w:t>/l</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404.0 (252.5-603.0)</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393.5 (244.8-603.0)</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439.0 (339.0-578.0)</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441.0 (342.8-589.3)</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Unknown, n (</w:t>
            </w:r>
            <w:proofErr w:type="gramStart"/>
            <w:r>
              <w:rPr>
                <w:rFonts w:asciiTheme="majorBidi" w:eastAsiaTheme="minorEastAsia" w:hAnsiTheme="majorBidi" w:cstheme="majorBidi"/>
                <w:sz w:val="20"/>
                <w:szCs w:val="20"/>
              </w:rPr>
              <w:t>%)</w:t>
            </w:r>
            <w:r>
              <w:rPr>
                <w:rFonts w:asciiTheme="majorBidi" w:eastAsiaTheme="minorEastAsia" w:hAnsiTheme="majorBidi" w:cstheme="majorBidi"/>
                <w:sz w:val="20"/>
                <w:szCs w:val="20"/>
                <w:vertAlign w:val="superscript"/>
              </w:rPr>
              <w:t>c</w:t>
            </w:r>
            <w:proofErr w:type="gramEnd"/>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14 (5)</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 (5)</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(6)</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 (4)</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Basophils, median (IQR), %</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3.9 (2.0-7.0)</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3.3 (2.0-6.0)</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5.0 (2.3-8.0)</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4.0 (2.3-8.3)</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Unknown, n (</w:t>
            </w:r>
            <w:proofErr w:type="gramStart"/>
            <w:r>
              <w:rPr>
                <w:rFonts w:asciiTheme="majorBidi" w:eastAsiaTheme="minorEastAsia" w:hAnsiTheme="majorBidi" w:cstheme="majorBidi"/>
                <w:sz w:val="20"/>
                <w:szCs w:val="20"/>
              </w:rPr>
              <w:t>%)</w:t>
            </w:r>
            <w:r>
              <w:rPr>
                <w:rFonts w:asciiTheme="majorBidi" w:eastAsiaTheme="minorEastAsia" w:hAnsiTheme="majorBidi" w:cstheme="majorBidi"/>
                <w:sz w:val="20"/>
                <w:szCs w:val="20"/>
                <w:vertAlign w:val="superscript"/>
              </w:rPr>
              <w:t>c</w:t>
            </w:r>
            <w:proofErr w:type="gramEnd"/>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 59 (23)</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46 (23)</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 (24)</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 (26)</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Eosinophils, median (IQR), %</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(1.1-3.7)</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(1.1-3.5)</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(1.3-3.7)</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(1.3-3.0)</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Unknown, n (</w:t>
            </w:r>
            <w:proofErr w:type="gramStart"/>
            <w:r>
              <w:rPr>
                <w:rFonts w:asciiTheme="majorBidi" w:eastAsiaTheme="minorEastAsia" w:hAnsiTheme="majorBidi" w:cstheme="majorBidi"/>
                <w:sz w:val="20"/>
                <w:szCs w:val="20"/>
              </w:rPr>
              <w:t>%)</w:t>
            </w:r>
            <w:r>
              <w:rPr>
                <w:rFonts w:asciiTheme="majorBidi" w:eastAsiaTheme="minorEastAsia" w:hAnsiTheme="majorBidi" w:cstheme="majorBidi"/>
                <w:sz w:val="20"/>
                <w:szCs w:val="20"/>
                <w:vertAlign w:val="superscript"/>
              </w:rPr>
              <w:t>c</w:t>
            </w:r>
            <w:proofErr w:type="gramEnd"/>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58 (23)</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45 (22)</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 (24)</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 (26)</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Blasts, median (IQR) (%)</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(1.0-4.8)</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(1.0-3.4)</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3.0 (1.6-8.4)</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3.0 (1.5-6.0)</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Unknown, n (</w:t>
            </w:r>
            <w:proofErr w:type="gramStart"/>
            <w:r>
              <w:rPr>
                <w:rFonts w:asciiTheme="majorBidi" w:eastAsiaTheme="minorEastAsia" w:hAnsiTheme="majorBidi" w:cstheme="majorBidi"/>
                <w:sz w:val="20"/>
                <w:szCs w:val="20"/>
              </w:rPr>
              <w:t>%)</w:t>
            </w:r>
            <w:r>
              <w:rPr>
                <w:rFonts w:asciiTheme="majorBidi" w:eastAsiaTheme="minorEastAsia" w:hAnsiTheme="majorBidi" w:cstheme="majorBidi"/>
                <w:sz w:val="20"/>
                <w:szCs w:val="20"/>
                <w:vertAlign w:val="superscript"/>
              </w:rPr>
              <w:t>c</w:t>
            </w:r>
            <w:proofErr w:type="gramEnd"/>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101 (39)</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77 (38)</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24 (44)</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23 (46)</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Spleen size below costal margin, median (IQR), </w:t>
            </w:r>
            <w:proofErr w:type="spellStart"/>
            <w:r>
              <w:rPr>
                <w:rFonts w:asciiTheme="majorBidi" w:eastAsiaTheme="minorEastAsia" w:hAnsiTheme="majorBidi" w:cstheme="majorBidi"/>
                <w:sz w:val="20"/>
                <w:szCs w:val="20"/>
              </w:rPr>
              <w:t>cm</w:t>
            </w:r>
            <w:r>
              <w:rPr>
                <w:rFonts w:asciiTheme="majorBidi" w:eastAsiaTheme="minorEastAsia" w:hAnsiTheme="majorBidi" w:cstheme="majorBidi"/>
                <w:sz w:val="20"/>
                <w:szCs w:val="20"/>
                <w:vertAlign w:val="superscript"/>
              </w:rPr>
              <w:t>d</w:t>
            </w:r>
            <w:proofErr w:type="spellEnd"/>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 (0.0-10.1)</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1.0 (0.0-10.1)</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4.0 (0.0-10.3)</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(0.0-10.0)</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lastRenderedPageBreak/>
              <w:t>Unknown, n (</w:t>
            </w:r>
            <w:proofErr w:type="gramStart"/>
            <w:r>
              <w:rPr>
                <w:rFonts w:asciiTheme="majorBidi" w:eastAsiaTheme="minorEastAsia" w:hAnsiTheme="majorBidi" w:cstheme="majorBidi"/>
                <w:sz w:val="20"/>
                <w:szCs w:val="20"/>
              </w:rPr>
              <w:t>%)</w:t>
            </w:r>
            <w:r>
              <w:rPr>
                <w:rFonts w:asciiTheme="majorBidi" w:eastAsiaTheme="minorEastAsia" w:hAnsiTheme="majorBidi" w:cstheme="majorBidi"/>
                <w:sz w:val="20"/>
                <w:szCs w:val="20"/>
                <w:vertAlign w:val="superscript"/>
              </w:rPr>
              <w:t>c</w:t>
            </w:r>
            <w:proofErr w:type="gramEnd"/>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85 (33)</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67 (33)</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18 (33)</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17 (34)</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proofErr w:type="spellStart"/>
            <w:r>
              <w:rPr>
                <w:rFonts w:asciiTheme="majorBidi" w:eastAsiaTheme="minorEastAsia" w:hAnsiTheme="majorBidi" w:cstheme="majorBidi"/>
                <w:sz w:val="20"/>
                <w:szCs w:val="20"/>
              </w:rPr>
              <w:t>Sokal</w:t>
            </w:r>
            <w:proofErr w:type="spellEnd"/>
            <w:r>
              <w:rPr>
                <w:rFonts w:asciiTheme="majorBidi" w:eastAsiaTheme="minorEastAsia" w:hAnsiTheme="majorBidi" w:cstheme="majorBidi"/>
                <w:sz w:val="20"/>
                <w:szCs w:val="20"/>
              </w:rPr>
              <w:t xml:space="preserve"> risk score, n (</w:t>
            </w:r>
            <w:proofErr w:type="gramStart"/>
            <w:r>
              <w:rPr>
                <w:rFonts w:asciiTheme="majorBidi" w:eastAsiaTheme="minorEastAsia" w:hAnsiTheme="majorBidi" w:cstheme="majorBidi"/>
                <w:sz w:val="20"/>
                <w:szCs w:val="20"/>
              </w:rPr>
              <w:t>%)</w:t>
            </w:r>
            <w:r w:rsidRPr="003A28AE">
              <w:rPr>
                <w:rFonts w:asciiTheme="majorBidi" w:eastAsiaTheme="minorEastAsia" w:hAnsiTheme="majorBidi" w:cstheme="majorBidi"/>
                <w:sz w:val="20"/>
                <w:szCs w:val="20"/>
                <w:vertAlign w:val="superscript"/>
              </w:rPr>
              <w:t>e</w:t>
            </w:r>
            <w:proofErr w:type="gramEnd"/>
          </w:p>
        </w:tc>
        <w:tc>
          <w:tcPr>
            <w:tcW w:w="1204" w:type="dxa"/>
          </w:tcPr>
          <w:p w:rsidR="00B331A1" w:rsidRPr="00317EC6" w:rsidRDefault="00B331A1" w:rsidP="00BA6AE5">
            <w:pPr>
              <w:jc w:val="center"/>
              <w:rPr>
                <w:rFonts w:asciiTheme="majorBidi" w:eastAsiaTheme="minorEastAsia" w:hAnsiTheme="majorBidi" w:cstheme="majorBidi"/>
                <w:sz w:val="20"/>
                <w:szCs w:val="20"/>
              </w:rPr>
            </w:pPr>
          </w:p>
        </w:tc>
        <w:tc>
          <w:tcPr>
            <w:tcW w:w="1228" w:type="dxa"/>
          </w:tcPr>
          <w:p w:rsidR="00B331A1" w:rsidRPr="00317EC6" w:rsidRDefault="00B331A1" w:rsidP="00BA6AE5">
            <w:pPr>
              <w:jc w:val="center"/>
              <w:rPr>
                <w:rFonts w:asciiTheme="majorBidi" w:eastAsiaTheme="minorEastAsia" w:hAnsiTheme="majorBidi" w:cstheme="majorBidi"/>
                <w:sz w:val="20"/>
                <w:szCs w:val="20"/>
              </w:rPr>
            </w:pPr>
          </w:p>
        </w:tc>
        <w:tc>
          <w:tcPr>
            <w:tcW w:w="1283" w:type="dxa"/>
          </w:tcPr>
          <w:p w:rsidR="00B331A1" w:rsidRPr="00317EC6" w:rsidRDefault="00B331A1" w:rsidP="00BA6AE5">
            <w:pPr>
              <w:jc w:val="center"/>
              <w:rPr>
                <w:rFonts w:asciiTheme="majorBidi" w:eastAsiaTheme="minorEastAsia" w:hAnsiTheme="majorBidi" w:cstheme="majorBidi"/>
                <w:sz w:val="20"/>
                <w:szCs w:val="20"/>
              </w:rPr>
            </w:pPr>
          </w:p>
        </w:tc>
        <w:tc>
          <w:tcPr>
            <w:tcW w:w="1275" w:type="dxa"/>
          </w:tcPr>
          <w:p w:rsidR="00B331A1" w:rsidRPr="00317EC6" w:rsidRDefault="00B331A1" w:rsidP="00BA6AE5">
            <w:pPr>
              <w:jc w:val="center"/>
              <w:rPr>
                <w:rFonts w:asciiTheme="majorBidi" w:eastAsiaTheme="minorEastAsia" w:hAnsiTheme="majorBidi" w:cstheme="majorBidi"/>
                <w:sz w:val="20"/>
                <w:szCs w:val="20"/>
              </w:rPr>
            </w:pP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Low risk</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52 (20)</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43 (21)</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 (17)</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 (16)</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Intermediate risk</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54 (21)</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41 (20)</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 (24)</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 (26)</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High risk</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42 (16)</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31 (15)</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 (20)</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 (18)</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No score recorded and required components not all recorded</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109 (42)</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88 (43)</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21 (39)</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(40)</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EUTOS score, n (</w:t>
            </w:r>
            <w:proofErr w:type="gramStart"/>
            <w:r>
              <w:rPr>
                <w:rFonts w:asciiTheme="majorBidi" w:eastAsiaTheme="minorEastAsia" w:hAnsiTheme="majorBidi" w:cstheme="majorBidi"/>
                <w:sz w:val="20"/>
                <w:szCs w:val="20"/>
              </w:rPr>
              <w:t>%)</w:t>
            </w:r>
            <w:r w:rsidRPr="003A28AE">
              <w:rPr>
                <w:rFonts w:asciiTheme="majorBidi" w:eastAsiaTheme="minorEastAsia" w:hAnsiTheme="majorBidi" w:cstheme="majorBidi"/>
                <w:sz w:val="20"/>
                <w:szCs w:val="20"/>
                <w:vertAlign w:val="superscript"/>
              </w:rPr>
              <w:t>f</w:t>
            </w:r>
            <w:proofErr w:type="gramEnd"/>
          </w:p>
        </w:tc>
        <w:tc>
          <w:tcPr>
            <w:tcW w:w="1204" w:type="dxa"/>
          </w:tcPr>
          <w:p w:rsidR="00B331A1" w:rsidRPr="00317EC6" w:rsidRDefault="00B331A1" w:rsidP="00BA6AE5">
            <w:pPr>
              <w:jc w:val="center"/>
              <w:rPr>
                <w:rFonts w:asciiTheme="majorBidi" w:eastAsiaTheme="minorEastAsia" w:hAnsiTheme="majorBidi" w:cstheme="majorBidi"/>
                <w:sz w:val="20"/>
                <w:szCs w:val="20"/>
              </w:rPr>
            </w:pPr>
          </w:p>
        </w:tc>
        <w:tc>
          <w:tcPr>
            <w:tcW w:w="1228" w:type="dxa"/>
          </w:tcPr>
          <w:p w:rsidR="00B331A1" w:rsidRPr="00317EC6" w:rsidRDefault="00B331A1" w:rsidP="00BA6AE5">
            <w:pPr>
              <w:jc w:val="center"/>
              <w:rPr>
                <w:rFonts w:asciiTheme="majorBidi" w:eastAsiaTheme="minorEastAsia" w:hAnsiTheme="majorBidi" w:cstheme="majorBidi"/>
                <w:sz w:val="20"/>
                <w:szCs w:val="20"/>
              </w:rPr>
            </w:pPr>
          </w:p>
        </w:tc>
        <w:tc>
          <w:tcPr>
            <w:tcW w:w="1283" w:type="dxa"/>
          </w:tcPr>
          <w:p w:rsidR="00B331A1" w:rsidRPr="00317EC6" w:rsidRDefault="00B331A1" w:rsidP="00BA6AE5">
            <w:pPr>
              <w:jc w:val="center"/>
              <w:rPr>
                <w:rFonts w:asciiTheme="majorBidi" w:eastAsiaTheme="minorEastAsia" w:hAnsiTheme="majorBidi" w:cstheme="majorBidi"/>
                <w:sz w:val="20"/>
                <w:szCs w:val="20"/>
              </w:rPr>
            </w:pPr>
          </w:p>
        </w:tc>
        <w:tc>
          <w:tcPr>
            <w:tcW w:w="1275" w:type="dxa"/>
          </w:tcPr>
          <w:p w:rsidR="00B331A1" w:rsidRPr="00317EC6" w:rsidRDefault="00B331A1" w:rsidP="00BA6AE5">
            <w:pPr>
              <w:jc w:val="center"/>
              <w:rPr>
                <w:rFonts w:asciiTheme="majorBidi" w:eastAsiaTheme="minorEastAsia" w:hAnsiTheme="majorBidi" w:cstheme="majorBidi"/>
                <w:sz w:val="20"/>
                <w:szCs w:val="20"/>
              </w:rPr>
            </w:pP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Low risk</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110 (43)</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90 (44)</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(37)</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19 (38)</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High risk</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34 (13)</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23 (11)</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 (20)</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 (18)</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No score recorded and required components not all </w:t>
            </w:r>
            <w:proofErr w:type="spellStart"/>
            <w:r>
              <w:rPr>
                <w:rFonts w:asciiTheme="majorBidi" w:eastAsiaTheme="minorEastAsia" w:hAnsiTheme="majorBidi" w:cstheme="majorBidi"/>
                <w:sz w:val="20"/>
                <w:szCs w:val="20"/>
              </w:rPr>
              <w:t>recorded</w:t>
            </w:r>
            <w:r>
              <w:rPr>
                <w:rFonts w:asciiTheme="majorBidi" w:eastAsiaTheme="minorEastAsia" w:hAnsiTheme="majorBidi" w:cstheme="majorBidi"/>
                <w:sz w:val="20"/>
                <w:szCs w:val="20"/>
                <w:vertAlign w:val="superscript"/>
              </w:rPr>
              <w:t>g</w:t>
            </w:r>
            <w:proofErr w:type="spellEnd"/>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113 (44)</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90 (44)</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23 (43)</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22 (44)</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proofErr w:type="spellStart"/>
            <w:r>
              <w:rPr>
                <w:rFonts w:asciiTheme="majorBidi" w:eastAsiaTheme="minorEastAsia" w:hAnsiTheme="majorBidi" w:cstheme="majorBidi"/>
                <w:sz w:val="20"/>
                <w:szCs w:val="20"/>
              </w:rPr>
              <w:t>Hasford</w:t>
            </w:r>
            <w:proofErr w:type="spellEnd"/>
            <w:r>
              <w:rPr>
                <w:rFonts w:asciiTheme="majorBidi" w:eastAsiaTheme="minorEastAsia" w:hAnsiTheme="majorBidi" w:cstheme="majorBidi"/>
                <w:sz w:val="20"/>
                <w:szCs w:val="20"/>
              </w:rPr>
              <w:t xml:space="preserve"> score, n (</w:t>
            </w:r>
            <w:proofErr w:type="gramStart"/>
            <w:r>
              <w:rPr>
                <w:rFonts w:asciiTheme="majorBidi" w:eastAsiaTheme="minorEastAsia" w:hAnsiTheme="majorBidi" w:cstheme="majorBidi"/>
                <w:sz w:val="20"/>
                <w:szCs w:val="20"/>
              </w:rPr>
              <w:t>%)</w:t>
            </w:r>
            <w:r>
              <w:rPr>
                <w:rFonts w:asciiTheme="majorBidi" w:eastAsiaTheme="minorEastAsia" w:hAnsiTheme="majorBidi" w:cstheme="majorBidi"/>
                <w:sz w:val="20"/>
                <w:szCs w:val="20"/>
                <w:vertAlign w:val="superscript"/>
              </w:rPr>
              <w:t>h</w:t>
            </w:r>
            <w:proofErr w:type="gramEnd"/>
          </w:p>
        </w:tc>
        <w:tc>
          <w:tcPr>
            <w:tcW w:w="1204" w:type="dxa"/>
          </w:tcPr>
          <w:p w:rsidR="00B331A1" w:rsidRPr="00317EC6" w:rsidRDefault="00B331A1" w:rsidP="00BA6AE5">
            <w:pPr>
              <w:jc w:val="center"/>
              <w:rPr>
                <w:rFonts w:asciiTheme="majorBidi" w:eastAsiaTheme="minorEastAsia" w:hAnsiTheme="majorBidi" w:cstheme="majorBidi"/>
                <w:sz w:val="20"/>
                <w:szCs w:val="20"/>
              </w:rPr>
            </w:pPr>
          </w:p>
        </w:tc>
        <w:tc>
          <w:tcPr>
            <w:tcW w:w="1228" w:type="dxa"/>
          </w:tcPr>
          <w:p w:rsidR="00B331A1" w:rsidRPr="00317EC6" w:rsidRDefault="00B331A1" w:rsidP="00BA6AE5">
            <w:pPr>
              <w:jc w:val="center"/>
              <w:rPr>
                <w:rFonts w:asciiTheme="majorBidi" w:eastAsiaTheme="minorEastAsia" w:hAnsiTheme="majorBidi" w:cstheme="majorBidi"/>
                <w:sz w:val="20"/>
                <w:szCs w:val="20"/>
              </w:rPr>
            </w:pPr>
          </w:p>
        </w:tc>
        <w:tc>
          <w:tcPr>
            <w:tcW w:w="1283" w:type="dxa"/>
          </w:tcPr>
          <w:p w:rsidR="00B331A1" w:rsidRPr="00317EC6" w:rsidRDefault="00B331A1" w:rsidP="00BA6AE5">
            <w:pPr>
              <w:jc w:val="center"/>
              <w:rPr>
                <w:rFonts w:asciiTheme="majorBidi" w:eastAsiaTheme="minorEastAsia" w:hAnsiTheme="majorBidi" w:cstheme="majorBidi"/>
                <w:sz w:val="20"/>
                <w:szCs w:val="20"/>
              </w:rPr>
            </w:pPr>
          </w:p>
        </w:tc>
        <w:tc>
          <w:tcPr>
            <w:tcW w:w="1275" w:type="dxa"/>
          </w:tcPr>
          <w:p w:rsidR="00B331A1" w:rsidRPr="00317EC6" w:rsidRDefault="00B331A1" w:rsidP="00BA6AE5">
            <w:pPr>
              <w:jc w:val="center"/>
              <w:rPr>
                <w:rFonts w:asciiTheme="majorBidi" w:eastAsiaTheme="minorEastAsia" w:hAnsiTheme="majorBidi" w:cstheme="majorBidi"/>
                <w:sz w:val="20"/>
                <w:szCs w:val="20"/>
              </w:rPr>
            </w:pP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Low risk</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25 (10)</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19 (9)</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6 (11)</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5 (10)</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Intermediate risk</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35 (14)</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32 (16)</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(6)</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(6)</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High risk</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19 (7)</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 (6)</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6 (11)</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 (8)</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No score recorded and required components not all recorded</w:t>
            </w:r>
          </w:p>
        </w:tc>
        <w:tc>
          <w:tcPr>
            <w:tcW w:w="1204"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178 (69)</w:t>
            </w:r>
          </w:p>
        </w:tc>
        <w:tc>
          <w:tcPr>
            <w:tcW w:w="1228"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139 (68)</w:t>
            </w:r>
          </w:p>
        </w:tc>
        <w:tc>
          <w:tcPr>
            <w:tcW w:w="1283"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39 (72)</w:t>
            </w:r>
          </w:p>
        </w:tc>
        <w:tc>
          <w:tcPr>
            <w:tcW w:w="1275" w:type="dxa"/>
          </w:tcPr>
          <w:p w:rsidR="00B331A1" w:rsidRPr="00317EC6"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38 (76)</w:t>
            </w:r>
          </w:p>
        </w:tc>
      </w:tr>
      <w:tr w:rsidR="00B331A1" w:rsidTr="00BA6AE5">
        <w:tc>
          <w:tcPr>
            <w:tcW w:w="4360" w:type="dxa"/>
          </w:tcPr>
          <w:p w:rsidR="00B331A1"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Comorbidities, n (%)</w:t>
            </w:r>
          </w:p>
        </w:tc>
        <w:tc>
          <w:tcPr>
            <w:tcW w:w="1204" w:type="dxa"/>
          </w:tcPr>
          <w:p w:rsidR="00B331A1" w:rsidRDefault="00B331A1" w:rsidP="00BA6AE5">
            <w:pPr>
              <w:jc w:val="center"/>
              <w:rPr>
                <w:rFonts w:asciiTheme="majorBidi" w:eastAsiaTheme="minorEastAsia" w:hAnsiTheme="majorBidi" w:cstheme="majorBidi"/>
                <w:sz w:val="20"/>
                <w:szCs w:val="20"/>
              </w:rPr>
            </w:pPr>
          </w:p>
        </w:tc>
        <w:tc>
          <w:tcPr>
            <w:tcW w:w="1228" w:type="dxa"/>
          </w:tcPr>
          <w:p w:rsidR="00B331A1" w:rsidRDefault="00B331A1" w:rsidP="00BA6AE5">
            <w:pPr>
              <w:jc w:val="center"/>
              <w:rPr>
                <w:rFonts w:asciiTheme="majorBidi" w:eastAsiaTheme="minorEastAsia" w:hAnsiTheme="majorBidi" w:cstheme="majorBidi"/>
                <w:sz w:val="20"/>
                <w:szCs w:val="20"/>
              </w:rPr>
            </w:pPr>
          </w:p>
        </w:tc>
        <w:tc>
          <w:tcPr>
            <w:tcW w:w="1283" w:type="dxa"/>
          </w:tcPr>
          <w:p w:rsidR="00B331A1" w:rsidRDefault="00B331A1" w:rsidP="00BA6AE5">
            <w:pPr>
              <w:jc w:val="center"/>
              <w:rPr>
                <w:rFonts w:asciiTheme="majorBidi" w:eastAsiaTheme="minorEastAsia" w:hAnsiTheme="majorBidi" w:cstheme="majorBidi"/>
                <w:sz w:val="20"/>
                <w:szCs w:val="20"/>
              </w:rPr>
            </w:pPr>
          </w:p>
        </w:tc>
        <w:tc>
          <w:tcPr>
            <w:tcW w:w="1275" w:type="dxa"/>
          </w:tcPr>
          <w:p w:rsidR="00B331A1" w:rsidRDefault="00B331A1" w:rsidP="00BA6AE5">
            <w:pPr>
              <w:jc w:val="center"/>
              <w:rPr>
                <w:rFonts w:asciiTheme="majorBidi" w:eastAsiaTheme="minorEastAsia" w:hAnsiTheme="majorBidi" w:cstheme="majorBidi"/>
                <w:sz w:val="20"/>
                <w:szCs w:val="20"/>
              </w:rPr>
            </w:pP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None recorded</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108 (42)</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80 (39)</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28 (52)</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26 (52)</w:t>
            </w:r>
          </w:p>
        </w:tc>
      </w:tr>
      <w:tr w:rsidR="00B331A1" w:rsidTr="00BA6AE5">
        <w:tc>
          <w:tcPr>
            <w:tcW w:w="4360"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≥1 </w:t>
            </w:r>
            <w:proofErr w:type="spellStart"/>
            <w:proofErr w:type="gramStart"/>
            <w:r>
              <w:rPr>
                <w:rFonts w:asciiTheme="majorBidi" w:eastAsiaTheme="minorEastAsia" w:hAnsiTheme="majorBidi" w:cstheme="majorBidi"/>
                <w:sz w:val="20"/>
                <w:szCs w:val="20"/>
              </w:rPr>
              <w:t>recorded</w:t>
            </w:r>
            <w:r>
              <w:rPr>
                <w:rFonts w:asciiTheme="majorBidi" w:eastAsiaTheme="minorEastAsia" w:hAnsiTheme="majorBidi" w:cstheme="majorBidi"/>
                <w:sz w:val="20"/>
                <w:szCs w:val="20"/>
                <w:vertAlign w:val="superscript"/>
              </w:rPr>
              <w:t>i,j</w:t>
            </w:r>
            <w:proofErr w:type="spellEnd"/>
            <w:proofErr w:type="gramEnd"/>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149 (58)</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123 (61)</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26 (48)</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24 (48)</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CV comorbidities</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81 (32)</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74 (36)</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7 (13)</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6 (12)</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Diabetes</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25 (10)</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21 (10)</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 (7)</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 (8)</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Respiratory disease</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(8)</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17 (8)</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(6)</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(6)</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Renal disease</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16 (6)</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14 (7)</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 (4)</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 (4)</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proofErr w:type="spellStart"/>
            <w:r>
              <w:rPr>
                <w:rFonts w:asciiTheme="majorBidi" w:eastAsiaTheme="minorEastAsia" w:hAnsiTheme="majorBidi" w:cstheme="majorBidi"/>
                <w:sz w:val="20"/>
                <w:szCs w:val="20"/>
              </w:rPr>
              <w:t>Nonhaematological</w:t>
            </w:r>
            <w:proofErr w:type="spellEnd"/>
            <w:r>
              <w:rPr>
                <w:rFonts w:asciiTheme="majorBidi" w:eastAsiaTheme="minorEastAsia" w:hAnsiTheme="majorBidi" w:cstheme="majorBidi"/>
                <w:sz w:val="20"/>
                <w:szCs w:val="20"/>
              </w:rPr>
              <w:t xml:space="preserve"> cancer</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 (4)</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 (4)</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(2)</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(2)</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Hepatic disease</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 (2)</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(1)</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(2)</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(2)</w:t>
            </w:r>
          </w:p>
        </w:tc>
      </w:tr>
      <w:tr w:rsidR="00B331A1" w:rsidTr="00BA6AE5">
        <w:tc>
          <w:tcPr>
            <w:tcW w:w="4360"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Other</w:t>
            </w:r>
          </w:p>
        </w:tc>
        <w:tc>
          <w:tcPr>
            <w:tcW w:w="1204"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86 (33)</w:t>
            </w:r>
          </w:p>
        </w:tc>
        <w:tc>
          <w:tcPr>
            <w:tcW w:w="1228"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70 (34)</w:t>
            </w:r>
          </w:p>
        </w:tc>
        <w:tc>
          <w:tcPr>
            <w:tcW w:w="1283"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16 (30)</w:t>
            </w:r>
          </w:p>
        </w:tc>
        <w:tc>
          <w:tcPr>
            <w:tcW w:w="1275" w:type="dxa"/>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15 (30)</w:t>
            </w:r>
          </w:p>
        </w:tc>
      </w:tr>
    </w:tbl>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rPr>
        <w:t>2G</w:t>
      </w:r>
      <w:r>
        <w:rPr>
          <w:rFonts w:asciiTheme="majorBidi" w:eastAsiaTheme="minorEastAsia" w:hAnsiTheme="majorBidi" w:cstheme="majorBidi"/>
          <w:sz w:val="20"/>
          <w:szCs w:val="20"/>
        </w:rPr>
        <w:t>-</w:t>
      </w:r>
      <w:r w:rsidRPr="00BA6AE5">
        <w:rPr>
          <w:rFonts w:asciiTheme="majorBidi" w:eastAsiaTheme="minorEastAsia" w:hAnsiTheme="majorBidi" w:cstheme="majorBidi"/>
          <w:sz w:val="20"/>
          <w:szCs w:val="20"/>
        </w:rPr>
        <w:t>TKI, second-generation tyrosine kinase inhibitor; CBA, chromosome banding analysis; CML, chronic myeloid leuk</w:t>
      </w:r>
      <w:r>
        <w:rPr>
          <w:rFonts w:asciiTheme="majorBidi" w:eastAsiaTheme="minorEastAsia" w:hAnsiTheme="majorBidi" w:cstheme="majorBidi"/>
          <w:sz w:val="20"/>
          <w:szCs w:val="20"/>
        </w:rPr>
        <w:t>a</w:t>
      </w:r>
      <w:r w:rsidRPr="00BA6AE5">
        <w:rPr>
          <w:rFonts w:asciiTheme="majorBidi" w:eastAsiaTheme="minorEastAsia" w:hAnsiTheme="majorBidi" w:cstheme="majorBidi"/>
          <w:sz w:val="20"/>
          <w:szCs w:val="20"/>
        </w:rPr>
        <w:t>emia; CV, cardiovascular; EUTOS, European Treatment and Outcomes Study; FISH, fluorescence in situ hybridization; IQR, interquartile range; Ph, Philadelphia chromosome; RQ-PCR, real-time quantitative polymerase chain reaction; WBC, white blood cell.</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a</w:t>
      </w:r>
      <w:r w:rsidRPr="00BA6AE5">
        <w:rPr>
          <w:rFonts w:asciiTheme="majorBidi" w:eastAsiaTheme="minorEastAsia" w:hAnsiTheme="majorBidi" w:cstheme="majorBidi"/>
          <w:sz w:val="20"/>
          <w:szCs w:val="20"/>
        </w:rPr>
        <w:t xml:space="preserve"> Patients may have received multiple prior treatments.</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b</w:t>
      </w:r>
      <w:r w:rsidRPr="00BA6AE5">
        <w:rPr>
          <w:rFonts w:asciiTheme="majorBidi" w:eastAsiaTheme="minorEastAsia" w:hAnsiTheme="majorBidi" w:cstheme="majorBidi"/>
          <w:sz w:val="20"/>
          <w:szCs w:val="20"/>
        </w:rPr>
        <w:t xml:space="preserve"> Proportion of patients with each prior treatment was calculated out of the total number of patients who received prior treatment.</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c</w:t>
      </w:r>
      <w:r w:rsidRPr="00BA6AE5">
        <w:rPr>
          <w:rFonts w:asciiTheme="majorBidi" w:eastAsiaTheme="minorEastAsia" w:hAnsiTheme="majorBidi" w:cstheme="majorBidi"/>
          <w:sz w:val="20"/>
          <w:szCs w:val="20"/>
        </w:rPr>
        <w:t xml:space="preserve"> Proportion of patients with unknown clinical characteristics was calculated out of the total number of patients in each column.</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d</w:t>
      </w:r>
      <w:r w:rsidRPr="00BA6AE5">
        <w:rPr>
          <w:rFonts w:asciiTheme="majorBidi" w:eastAsiaTheme="minorEastAsia" w:hAnsiTheme="majorBidi" w:cstheme="majorBidi"/>
          <w:sz w:val="20"/>
          <w:szCs w:val="20"/>
        </w:rPr>
        <w:t xml:space="preserve"> </w:t>
      </w:r>
      <w:r>
        <w:rPr>
          <w:rFonts w:asciiTheme="majorBidi" w:eastAsiaTheme="minorEastAsia" w:hAnsiTheme="majorBidi" w:cstheme="majorBidi"/>
          <w:sz w:val="20"/>
          <w:szCs w:val="20"/>
        </w:rPr>
        <w:t>S</w:t>
      </w:r>
      <w:r w:rsidRPr="00BA6AE5">
        <w:rPr>
          <w:rFonts w:asciiTheme="majorBidi" w:eastAsiaTheme="minorEastAsia" w:hAnsiTheme="majorBidi" w:cstheme="majorBidi"/>
          <w:sz w:val="20"/>
          <w:szCs w:val="20"/>
        </w:rPr>
        <w:t>pleen</w:t>
      </w:r>
      <w:r>
        <w:rPr>
          <w:rFonts w:asciiTheme="majorBidi" w:eastAsiaTheme="minorEastAsia" w:hAnsiTheme="majorBidi" w:cstheme="majorBidi"/>
          <w:sz w:val="20"/>
          <w:szCs w:val="20"/>
        </w:rPr>
        <w:t>s</w:t>
      </w:r>
      <w:r w:rsidRPr="00BA6AE5">
        <w:rPr>
          <w:rFonts w:asciiTheme="majorBidi" w:eastAsiaTheme="minorEastAsia" w:hAnsiTheme="majorBidi" w:cstheme="majorBidi"/>
          <w:sz w:val="20"/>
          <w:szCs w:val="20"/>
        </w:rPr>
        <w:t xml:space="preserve"> reported to be “normal” or “nonpalpable” </w:t>
      </w:r>
      <w:proofErr w:type="gramStart"/>
      <w:r w:rsidRPr="00BA6AE5">
        <w:rPr>
          <w:rFonts w:asciiTheme="majorBidi" w:eastAsiaTheme="minorEastAsia" w:hAnsiTheme="majorBidi" w:cstheme="majorBidi"/>
          <w:sz w:val="20"/>
          <w:szCs w:val="20"/>
        </w:rPr>
        <w:t>were considered to be</w:t>
      </w:r>
      <w:proofErr w:type="gramEnd"/>
      <w:r w:rsidRPr="00BA6AE5">
        <w:rPr>
          <w:rFonts w:asciiTheme="majorBidi" w:eastAsiaTheme="minorEastAsia" w:hAnsiTheme="majorBidi" w:cstheme="majorBidi"/>
          <w:sz w:val="20"/>
          <w:szCs w:val="20"/>
        </w:rPr>
        <w:t xml:space="preserve"> 0 cm below the costal margin.</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e</w:t>
      </w:r>
      <w:r w:rsidRPr="00BA6AE5">
        <w:rPr>
          <w:rFonts w:asciiTheme="majorBidi" w:eastAsiaTheme="minorEastAsia" w:hAnsiTheme="majorBidi" w:cstheme="majorBidi"/>
          <w:sz w:val="20"/>
          <w:szCs w:val="20"/>
        </w:rPr>
        <w:t xml:space="preserve"> Among 148 patients who received </w:t>
      </w:r>
      <w:proofErr w:type="gramStart"/>
      <w:r w:rsidRPr="00BA6AE5">
        <w:rPr>
          <w:rFonts w:asciiTheme="majorBidi" w:eastAsiaTheme="minorEastAsia" w:hAnsiTheme="majorBidi" w:cstheme="majorBidi"/>
          <w:sz w:val="20"/>
          <w:szCs w:val="20"/>
        </w:rPr>
        <w:t>any first</w:t>
      </w:r>
      <w:proofErr w:type="gramEnd"/>
      <w:r w:rsidRPr="00BA6AE5">
        <w:rPr>
          <w:rFonts w:asciiTheme="majorBidi" w:eastAsiaTheme="minorEastAsia" w:hAnsiTheme="majorBidi" w:cstheme="majorBidi"/>
          <w:sz w:val="20"/>
          <w:szCs w:val="20"/>
        </w:rPr>
        <w:t xml:space="preserve">-line TKI and had an available </w:t>
      </w:r>
      <w:proofErr w:type="spellStart"/>
      <w:r w:rsidRPr="00BA6AE5">
        <w:rPr>
          <w:rFonts w:asciiTheme="majorBidi" w:eastAsiaTheme="minorEastAsia" w:hAnsiTheme="majorBidi" w:cstheme="majorBidi"/>
          <w:sz w:val="20"/>
          <w:szCs w:val="20"/>
        </w:rPr>
        <w:t>Sokal</w:t>
      </w:r>
      <w:proofErr w:type="spellEnd"/>
      <w:r w:rsidRPr="00BA6AE5">
        <w:rPr>
          <w:rFonts w:asciiTheme="majorBidi" w:eastAsiaTheme="minorEastAsia" w:hAnsiTheme="majorBidi" w:cstheme="majorBidi"/>
          <w:sz w:val="20"/>
          <w:szCs w:val="20"/>
        </w:rPr>
        <w:t xml:space="preserve"> risk score at diagnosis, the score was documented for 96 (65%) and not documented and instead calculated during this analysis for 52 (35%). </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f</w:t>
      </w:r>
      <w:r w:rsidRPr="00BA6AE5">
        <w:rPr>
          <w:rFonts w:asciiTheme="majorBidi" w:eastAsiaTheme="minorEastAsia" w:hAnsiTheme="majorBidi" w:cstheme="majorBidi"/>
          <w:sz w:val="20"/>
          <w:szCs w:val="20"/>
        </w:rPr>
        <w:t xml:space="preserve"> Among 144 patients who received </w:t>
      </w:r>
      <w:proofErr w:type="gramStart"/>
      <w:r w:rsidRPr="00BA6AE5">
        <w:rPr>
          <w:rFonts w:asciiTheme="majorBidi" w:eastAsiaTheme="minorEastAsia" w:hAnsiTheme="majorBidi" w:cstheme="majorBidi"/>
          <w:sz w:val="20"/>
          <w:szCs w:val="20"/>
        </w:rPr>
        <w:t>any first</w:t>
      </w:r>
      <w:proofErr w:type="gramEnd"/>
      <w:r w:rsidRPr="00BA6AE5">
        <w:rPr>
          <w:rFonts w:asciiTheme="majorBidi" w:eastAsiaTheme="minorEastAsia" w:hAnsiTheme="majorBidi" w:cstheme="majorBidi"/>
          <w:sz w:val="20"/>
          <w:szCs w:val="20"/>
        </w:rPr>
        <w:t>-line TKI and had an available EUTOS risk score at diagnosis, the score was documented for 36 (25%) and not documented and instead calculated during this analysis for 108 (75%).</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g</w:t>
      </w:r>
      <w:r w:rsidRPr="00BA6AE5">
        <w:rPr>
          <w:rFonts w:asciiTheme="majorBidi" w:eastAsiaTheme="minorEastAsia" w:hAnsiTheme="majorBidi" w:cstheme="majorBidi"/>
          <w:sz w:val="20"/>
          <w:szCs w:val="20"/>
        </w:rPr>
        <w:t xml:space="preserve"> Includes patients who had a risk category recorded but no score recorded.</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h</w:t>
      </w:r>
      <w:r>
        <w:rPr>
          <w:rFonts w:asciiTheme="majorBidi" w:eastAsiaTheme="minorEastAsia" w:hAnsiTheme="majorBidi" w:cstheme="majorBidi"/>
          <w:sz w:val="20"/>
          <w:szCs w:val="20"/>
          <w:vertAlign w:val="superscript"/>
        </w:rPr>
        <w:t xml:space="preserve"> </w:t>
      </w:r>
      <w:proofErr w:type="spellStart"/>
      <w:r w:rsidRPr="00BA6AE5">
        <w:rPr>
          <w:rFonts w:asciiTheme="majorBidi" w:hAnsiTheme="majorBidi" w:cstheme="majorBidi"/>
          <w:sz w:val="20"/>
          <w:szCs w:val="20"/>
        </w:rPr>
        <w:t>Hasford</w:t>
      </w:r>
      <w:proofErr w:type="spellEnd"/>
      <w:r w:rsidRPr="00BA6AE5">
        <w:rPr>
          <w:rFonts w:asciiTheme="majorBidi" w:hAnsiTheme="majorBidi" w:cstheme="majorBidi"/>
          <w:sz w:val="20"/>
          <w:szCs w:val="20"/>
        </w:rPr>
        <w:t xml:space="preserve"> scores were not collected in</w:t>
      </w:r>
      <w:r>
        <w:rPr>
          <w:rFonts w:asciiTheme="majorBidi" w:hAnsiTheme="majorBidi" w:cstheme="majorBidi"/>
          <w:sz w:val="20"/>
          <w:szCs w:val="20"/>
        </w:rPr>
        <w:t xml:space="preserve"> case report form</w:t>
      </w:r>
      <w:r w:rsidRPr="00BA6AE5">
        <w:rPr>
          <w:rFonts w:asciiTheme="majorBidi" w:hAnsiTheme="majorBidi" w:cstheme="majorBidi"/>
          <w:sz w:val="20"/>
          <w:szCs w:val="20"/>
        </w:rPr>
        <w:t xml:space="preserve">s and were calculated if required data were available. </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i</w:t>
      </w:r>
      <w:r w:rsidRPr="00BA6AE5">
        <w:rPr>
          <w:rFonts w:asciiTheme="majorBidi" w:eastAsiaTheme="minorEastAsia" w:hAnsiTheme="majorBidi" w:cstheme="majorBidi"/>
          <w:sz w:val="20"/>
          <w:szCs w:val="20"/>
        </w:rPr>
        <w:t xml:space="preserve"> Patients may have had multiple comorbidities.</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j</w:t>
      </w:r>
      <w:r w:rsidRPr="00BA6AE5">
        <w:rPr>
          <w:rFonts w:asciiTheme="majorBidi" w:eastAsiaTheme="minorEastAsia" w:hAnsiTheme="majorBidi" w:cstheme="majorBidi"/>
          <w:sz w:val="20"/>
          <w:szCs w:val="20"/>
        </w:rPr>
        <w:t xml:space="preserve"> Proportion of patients with each comorbidity was calculated out of the total number of patients in each column.</w:t>
      </w:r>
    </w:p>
    <w:p w:rsidR="00B331A1" w:rsidRDefault="00B331A1" w:rsidP="00B331A1">
      <w:pPr>
        <w:spacing w:after="0"/>
        <w:rPr>
          <w:rFonts w:asciiTheme="majorBidi" w:eastAsiaTheme="minorEastAsia" w:hAnsiTheme="majorBidi" w:cstheme="majorBidi"/>
          <w:sz w:val="24"/>
          <w:szCs w:val="24"/>
        </w:rPr>
      </w:pPr>
    </w:p>
    <w:p w:rsidR="00B331A1"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br w:type="page"/>
      </w:r>
    </w:p>
    <w:p w:rsidR="00B331A1"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lastRenderedPageBreak/>
        <w:t>Table II. Baseline CV comorbidities and risk factors</w:t>
      </w:r>
    </w:p>
    <w:tbl>
      <w:tblPr>
        <w:tblStyle w:val="TableGrid"/>
        <w:tblW w:w="8725" w:type="dxa"/>
        <w:tblLayout w:type="fixed"/>
        <w:tblLook w:val="04A0" w:firstRow="1" w:lastRow="0" w:firstColumn="1" w:lastColumn="0" w:noHBand="0" w:noVBand="1"/>
      </w:tblPr>
      <w:tblGrid>
        <w:gridCol w:w="2972"/>
        <w:gridCol w:w="1276"/>
        <w:gridCol w:w="1316"/>
        <w:gridCol w:w="1580"/>
        <w:gridCol w:w="1581"/>
      </w:tblGrid>
      <w:tr w:rsidR="00B331A1" w:rsidTr="00BA6AE5">
        <w:tc>
          <w:tcPr>
            <w:tcW w:w="2972" w:type="dxa"/>
            <w:vAlign w:val="bottom"/>
          </w:tcPr>
          <w:p w:rsidR="00B331A1" w:rsidRPr="005030BE" w:rsidRDefault="00B331A1" w:rsidP="00BA6AE5">
            <w:pPr>
              <w:rPr>
                <w:rFonts w:asciiTheme="majorBidi" w:eastAsiaTheme="minorEastAsia" w:hAnsiTheme="majorBidi" w:cstheme="majorBidi"/>
                <w:sz w:val="20"/>
                <w:szCs w:val="20"/>
              </w:rPr>
            </w:pPr>
            <w:r w:rsidRPr="005030BE">
              <w:rPr>
                <w:rFonts w:ascii="Times New Roman" w:eastAsiaTheme="minorEastAsia" w:hAnsi="Times New Roman" w:cs="Times New Roman"/>
                <w:sz w:val="20"/>
                <w:szCs w:val="20"/>
              </w:rPr>
              <w:t>n (%)</w:t>
            </w:r>
          </w:p>
        </w:tc>
        <w:tc>
          <w:tcPr>
            <w:tcW w:w="1276" w:type="dxa"/>
            <w:vAlign w:val="center"/>
          </w:tcPr>
          <w:p w:rsidR="00B331A1" w:rsidRPr="005030BE" w:rsidRDefault="00B331A1" w:rsidP="00BA6AE5">
            <w:pPr>
              <w:jc w:val="center"/>
              <w:rPr>
                <w:rFonts w:ascii="Times New Roman" w:eastAsiaTheme="minorEastAsia" w:hAnsi="Times New Roman" w:cs="Times New Roman"/>
                <w:sz w:val="20"/>
                <w:szCs w:val="20"/>
              </w:rPr>
            </w:pPr>
            <w:r w:rsidRPr="005030BE">
              <w:rPr>
                <w:rFonts w:ascii="Times New Roman" w:eastAsiaTheme="minorEastAsia" w:hAnsi="Times New Roman" w:cs="Times New Roman"/>
                <w:sz w:val="20"/>
                <w:szCs w:val="20"/>
              </w:rPr>
              <w:t>All patients</w:t>
            </w:r>
          </w:p>
          <w:p w:rsidR="00B331A1" w:rsidRPr="005030BE" w:rsidRDefault="00B331A1" w:rsidP="00BA6AE5">
            <w:pPr>
              <w:jc w:val="center"/>
              <w:rPr>
                <w:rFonts w:asciiTheme="majorBidi" w:eastAsiaTheme="minorEastAsia" w:hAnsiTheme="majorBidi" w:cstheme="majorBidi"/>
                <w:sz w:val="20"/>
                <w:szCs w:val="20"/>
              </w:rPr>
            </w:pPr>
            <w:r w:rsidRPr="005030BE">
              <w:rPr>
                <w:rFonts w:ascii="Times New Roman" w:eastAsiaTheme="minorEastAsia" w:hAnsi="Times New Roman" w:cs="Times New Roman"/>
                <w:sz w:val="20"/>
                <w:szCs w:val="20"/>
              </w:rPr>
              <w:t>(N=257)</w:t>
            </w:r>
          </w:p>
        </w:tc>
        <w:tc>
          <w:tcPr>
            <w:tcW w:w="1316" w:type="dxa"/>
            <w:vAlign w:val="center"/>
          </w:tcPr>
          <w:p w:rsidR="00B331A1" w:rsidRPr="005030BE" w:rsidRDefault="00B331A1" w:rsidP="00BA6AE5">
            <w:pPr>
              <w:jc w:val="center"/>
              <w:rPr>
                <w:rFonts w:ascii="Times New Roman" w:eastAsiaTheme="minorEastAsia" w:hAnsi="Times New Roman" w:cs="Times New Roman"/>
                <w:sz w:val="20"/>
                <w:szCs w:val="20"/>
              </w:rPr>
            </w:pPr>
            <w:r w:rsidRPr="005030BE">
              <w:rPr>
                <w:rFonts w:ascii="Times New Roman" w:eastAsiaTheme="minorEastAsia" w:hAnsi="Times New Roman" w:cs="Times New Roman"/>
                <w:sz w:val="20"/>
                <w:szCs w:val="20"/>
              </w:rPr>
              <w:t>First</w:t>
            </w:r>
            <w:r>
              <w:rPr>
                <w:rFonts w:ascii="Times New Roman" w:eastAsiaTheme="minorEastAsia" w:hAnsi="Times New Roman" w:cs="Times New Roman"/>
                <w:sz w:val="20"/>
                <w:szCs w:val="20"/>
              </w:rPr>
              <w:t>-</w:t>
            </w:r>
            <w:r w:rsidRPr="005030BE">
              <w:rPr>
                <w:rFonts w:ascii="Times New Roman" w:eastAsiaTheme="minorEastAsia" w:hAnsi="Times New Roman" w:cs="Times New Roman"/>
                <w:sz w:val="20"/>
                <w:szCs w:val="20"/>
              </w:rPr>
              <w:t>line imatinib</w:t>
            </w:r>
          </w:p>
          <w:p w:rsidR="00B331A1" w:rsidRPr="005030BE" w:rsidRDefault="00B331A1" w:rsidP="00BA6AE5">
            <w:pPr>
              <w:jc w:val="center"/>
              <w:rPr>
                <w:rFonts w:asciiTheme="majorBidi" w:eastAsiaTheme="minorEastAsia" w:hAnsiTheme="majorBidi" w:cstheme="majorBidi"/>
                <w:sz w:val="20"/>
                <w:szCs w:val="20"/>
              </w:rPr>
            </w:pPr>
            <w:r w:rsidRPr="005030BE">
              <w:rPr>
                <w:rFonts w:ascii="Times New Roman" w:eastAsiaTheme="minorEastAsia" w:hAnsi="Times New Roman" w:cs="Times New Roman"/>
                <w:sz w:val="20"/>
                <w:szCs w:val="20"/>
              </w:rPr>
              <w:t>(n=203)</w:t>
            </w:r>
          </w:p>
        </w:tc>
        <w:tc>
          <w:tcPr>
            <w:tcW w:w="1580" w:type="dxa"/>
            <w:vAlign w:val="center"/>
          </w:tcPr>
          <w:p w:rsidR="00B331A1" w:rsidRPr="005030BE" w:rsidRDefault="00B331A1" w:rsidP="00BA6AE5">
            <w:pPr>
              <w:jc w:val="center"/>
              <w:rPr>
                <w:rFonts w:ascii="Times New Roman" w:eastAsiaTheme="minorEastAsia" w:hAnsi="Times New Roman" w:cs="Times New Roman"/>
                <w:sz w:val="20"/>
                <w:szCs w:val="20"/>
              </w:rPr>
            </w:pPr>
            <w:r w:rsidRPr="005030BE">
              <w:rPr>
                <w:rFonts w:ascii="Times New Roman" w:eastAsiaTheme="minorEastAsia" w:hAnsi="Times New Roman" w:cs="Times New Roman"/>
                <w:sz w:val="20"/>
                <w:szCs w:val="20"/>
              </w:rPr>
              <w:t>First</w:t>
            </w:r>
            <w:r>
              <w:rPr>
                <w:rFonts w:ascii="Times New Roman" w:eastAsiaTheme="minorEastAsia" w:hAnsi="Times New Roman" w:cs="Times New Roman"/>
                <w:sz w:val="20"/>
                <w:szCs w:val="20"/>
              </w:rPr>
              <w:t>-</w:t>
            </w:r>
            <w:r w:rsidRPr="005030BE">
              <w:rPr>
                <w:rFonts w:ascii="Times New Roman" w:eastAsiaTheme="minorEastAsia" w:hAnsi="Times New Roman" w:cs="Times New Roman"/>
                <w:sz w:val="20"/>
                <w:szCs w:val="20"/>
              </w:rPr>
              <w:t>line 2G</w:t>
            </w:r>
            <w:r>
              <w:rPr>
                <w:rFonts w:ascii="Times New Roman" w:eastAsiaTheme="minorEastAsia" w:hAnsi="Times New Roman" w:cs="Times New Roman"/>
                <w:sz w:val="20"/>
                <w:szCs w:val="20"/>
              </w:rPr>
              <w:t>-</w:t>
            </w:r>
            <w:r w:rsidRPr="005030BE">
              <w:rPr>
                <w:rFonts w:ascii="Times New Roman" w:eastAsiaTheme="minorEastAsia" w:hAnsi="Times New Roman" w:cs="Times New Roman"/>
                <w:sz w:val="20"/>
                <w:szCs w:val="20"/>
              </w:rPr>
              <w:t>TKI</w:t>
            </w:r>
          </w:p>
          <w:p w:rsidR="00B331A1" w:rsidRPr="005030BE" w:rsidRDefault="00B331A1" w:rsidP="00BA6AE5">
            <w:pPr>
              <w:jc w:val="center"/>
              <w:rPr>
                <w:rFonts w:asciiTheme="majorBidi" w:eastAsiaTheme="minorEastAsia" w:hAnsiTheme="majorBidi" w:cstheme="majorBidi"/>
                <w:sz w:val="20"/>
                <w:szCs w:val="20"/>
              </w:rPr>
            </w:pPr>
            <w:r w:rsidRPr="005030BE">
              <w:rPr>
                <w:rFonts w:ascii="Times New Roman" w:eastAsiaTheme="minorEastAsia" w:hAnsi="Times New Roman" w:cs="Times New Roman"/>
                <w:sz w:val="20"/>
                <w:szCs w:val="20"/>
              </w:rPr>
              <w:t>(n=54)</w:t>
            </w:r>
          </w:p>
        </w:tc>
        <w:tc>
          <w:tcPr>
            <w:tcW w:w="1581" w:type="dxa"/>
            <w:vAlign w:val="center"/>
          </w:tcPr>
          <w:p w:rsidR="00B331A1" w:rsidRPr="005030BE" w:rsidRDefault="00B331A1" w:rsidP="00BA6AE5">
            <w:pPr>
              <w:jc w:val="center"/>
              <w:rPr>
                <w:rFonts w:ascii="Times New Roman" w:eastAsiaTheme="minorEastAsia" w:hAnsi="Times New Roman" w:cs="Times New Roman"/>
                <w:sz w:val="20"/>
                <w:szCs w:val="20"/>
              </w:rPr>
            </w:pPr>
            <w:r w:rsidRPr="005030BE">
              <w:rPr>
                <w:rFonts w:ascii="Times New Roman" w:eastAsiaTheme="minorEastAsia" w:hAnsi="Times New Roman" w:cs="Times New Roman"/>
                <w:sz w:val="20"/>
                <w:szCs w:val="20"/>
              </w:rPr>
              <w:t>First</w:t>
            </w:r>
            <w:r>
              <w:rPr>
                <w:rFonts w:ascii="Times New Roman" w:eastAsiaTheme="minorEastAsia" w:hAnsi="Times New Roman" w:cs="Times New Roman"/>
                <w:sz w:val="20"/>
                <w:szCs w:val="20"/>
              </w:rPr>
              <w:t>-</w:t>
            </w:r>
            <w:r w:rsidRPr="005030BE">
              <w:rPr>
                <w:rFonts w:ascii="Times New Roman" w:eastAsiaTheme="minorEastAsia" w:hAnsi="Times New Roman" w:cs="Times New Roman"/>
                <w:sz w:val="20"/>
                <w:szCs w:val="20"/>
              </w:rPr>
              <w:t>line nilotinib</w:t>
            </w:r>
          </w:p>
          <w:p w:rsidR="00B331A1" w:rsidRPr="005030BE" w:rsidRDefault="00B331A1" w:rsidP="00BA6AE5">
            <w:pPr>
              <w:jc w:val="center"/>
              <w:rPr>
                <w:rFonts w:asciiTheme="majorBidi" w:eastAsiaTheme="minorEastAsia" w:hAnsiTheme="majorBidi" w:cstheme="majorBidi"/>
                <w:sz w:val="20"/>
                <w:szCs w:val="20"/>
              </w:rPr>
            </w:pPr>
            <w:r w:rsidRPr="005030BE">
              <w:rPr>
                <w:rFonts w:ascii="Times New Roman" w:eastAsiaTheme="minorEastAsia" w:hAnsi="Times New Roman" w:cs="Times New Roman"/>
                <w:sz w:val="20"/>
                <w:szCs w:val="20"/>
              </w:rPr>
              <w:t>(n=50)</w:t>
            </w:r>
          </w:p>
        </w:tc>
      </w:tr>
      <w:tr w:rsidR="00B331A1" w:rsidTr="00BA6AE5">
        <w:tc>
          <w:tcPr>
            <w:tcW w:w="2972" w:type="dxa"/>
          </w:tcPr>
          <w:p w:rsidR="00B331A1" w:rsidRPr="005030BE" w:rsidRDefault="00B331A1" w:rsidP="00BA6AE5">
            <w:pPr>
              <w:rPr>
                <w:rFonts w:asciiTheme="majorBidi" w:eastAsiaTheme="minorEastAsia" w:hAnsiTheme="majorBidi" w:cstheme="majorBidi"/>
                <w:sz w:val="20"/>
                <w:szCs w:val="20"/>
              </w:rPr>
            </w:pPr>
            <w:r w:rsidRPr="005030BE">
              <w:rPr>
                <w:rFonts w:asciiTheme="majorBidi" w:eastAsiaTheme="minorEastAsia" w:hAnsiTheme="majorBidi" w:cstheme="majorBidi"/>
                <w:sz w:val="20"/>
                <w:szCs w:val="20"/>
              </w:rPr>
              <w:t>Diabetes</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25 (10)</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21 (10)</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 (7)</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 (8)</w:t>
            </w:r>
          </w:p>
        </w:tc>
      </w:tr>
      <w:tr w:rsidR="00B331A1" w:rsidTr="00BA6AE5">
        <w:tc>
          <w:tcPr>
            <w:tcW w:w="2972" w:type="dxa"/>
          </w:tcPr>
          <w:p w:rsidR="00B331A1" w:rsidRPr="005030BE"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Smoking</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p>
        </w:tc>
      </w:tr>
      <w:tr w:rsidR="00B331A1" w:rsidTr="00BA6AE5">
        <w:tc>
          <w:tcPr>
            <w:tcW w:w="2972" w:type="dxa"/>
          </w:tcPr>
          <w:p w:rsidR="00B331A1" w:rsidRDefault="00B331A1" w:rsidP="00BA6AE5">
            <w:pPr>
              <w:ind w:left="161"/>
              <w:rPr>
                <w:rFonts w:asciiTheme="majorBidi" w:eastAsiaTheme="minorEastAsia" w:hAnsiTheme="majorBidi" w:cstheme="majorBidi"/>
                <w:sz w:val="20"/>
                <w:szCs w:val="20"/>
              </w:rPr>
            </w:pPr>
            <w:proofErr w:type="spellStart"/>
            <w:r>
              <w:rPr>
                <w:rFonts w:asciiTheme="majorBidi" w:eastAsiaTheme="minorEastAsia" w:hAnsiTheme="majorBidi" w:cstheme="majorBidi"/>
                <w:sz w:val="20"/>
                <w:szCs w:val="20"/>
              </w:rPr>
              <w:t>Documented</w:t>
            </w:r>
            <w:r>
              <w:rPr>
                <w:rFonts w:asciiTheme="majorBidi" w:eastAsiaTheme="minorEastAsia" w:hAnsiTheme="majorBidi" w:cstheme="majorBidi"/>
                <w:sz w:val="20"/>
                <w:szCs w:val="20"/>
                <w:vertAlign w:val="superscript"/>
              </w:rPr>
              <w:t>a</w:t>
            </w:r>
            <w:proofErr w:type="spellEnd"/>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174 (68)</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140 (69)</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34 (63)</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32 (64)</w:t>
            </w:r>
          </w:p>
        </w:tc>
      </w:tr>
      <w:tr w:rsidR="00B331A1" w:rsidTr="00BA6AE5">
        <w:tc>
          <w:tcPr>
            <w:tcW w:w="2972"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Current smoker</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38 (22)</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35 (25)</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(9)</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 (9)</w:t>
            </w:r>
          </w:p>
        </w:tc>
      </w:tr>
      <w:tr w:rsidR="00B331A1" w:rsidTr="00BA6AE5">
        <w:tc>
          <w:tcPr>
            <w:tcW w:w="2972"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Ex-smoker</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46 (26)</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39 (28)</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7 (21)</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6 (19)</w:t>
            </w:r>
          </w:p>
        </w:tc>
      </w:tr>
      <w:tr w:rsidR="00B331A1" w:rsidTr="00BA6AE5">
        <w:tc>
          <w:tcPr>
            <w:tcW w:w="2972"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Never smoked</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88 (51)</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65 (46)</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23 (68)</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22 (69)</w:t>
            </w:r>
          </w:p>
        </w:tc>
      </w:tr>
      <w:tr w:rsidR="00B331A1" w:rsidTr="00BA6AE5">
        <w:tc>
          <w:tcPr>
            <w:tcW w:w="2972" w:type="dxa"/>
          </w:tcPr>
          <w:p w:rsidR="00B331A1" w:rsidRDefault="00B331A1" w:rsidP="00BA6AE5">
            <w:pPr>
              <w:ind w:left="341"/>
              <w:rPr>
                <w:rFonts w:asciiTheme="majorBidi" w:eastAsiaTheme="minorEastAsia" w:hAnsiTheme="majorBidi" w:cstheme="majorBidi"/>
                <w:sz w:val="20"/>
                <w:szCs w:val="20"/>
              </w:rPr>
            </w:pPr>
            <w:r>
              <w:rPr>
                <w:rFonts w:asciiTheme="majorBidi" w:eastAsiaTheme="minorEastAsia" w:hAnsiTheme="majorBidi" w:cstheme="majorBidi"/>
                <w:sz w:val="20"/>
                <w:szCs w:val="20"/>
              </w:rPr>
              <w:t>Unclear</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 (1)</w:t>
            </w:r>
            <w:r>
              <w:rPr>
                <w:rFonts w:asciiTheme="majorBidi" w:eastAsiaTheme="minorEastAsia" w:hAnsiTheme="majorBidi" w:cstheme="majorBidi"/>
                <w:sz w:val="20"/>
                <w:szCs w:val="20"/>
                <w:vertAlign w:val="superscript"/>
              </w:rPr>
              <w:t>b</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(1)</w:t>
            </w:r>
            <w:r>
              <w:rPr>
                <w:rFonts w:asciiTheme="majorBidi" w:eastAsiaTheme="minorEastAsia" w:hAnsiTheme="majorBidi" w:cstheme="majorBidi"/>
                <w:sz w:val="20"/>
                <w:szCs w:val="20"/>
                <w:vertAlign w:val="superscript"/>
              </w:rPr>
              <w:t>b</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(3)</w:t>
            </w:r>
            <w:r>
              <w:rPr>
                <w:rFonts w:asciiTheme="majorBidi" w:eastAsiaTheme="minorEastAsia" w:hAnsiTheme="majorBidi" w:cstheme="majorBidi"/>
                <w:sz w:val="20"/>
                <w:szCs w:val="20"/>
                <w:vertAlign w:val="superscript"/>
              </w:rPr>
              <w:t>b</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(3)</w:t>
            </w:r>
            <w:r>
              <w:rPr>
                <w:rFonts w:asciiTheme="majorBidi" w:eastAsiaTheme="minorEastAsia" w:hAnsiTheme="majorBidi" w:cstheme="majorBidi"/>
                <w:sz w:val="20"/>
                <w:szCs w:val="20"/>
                <w:vertAlign w:val="superscript"/>
              </w:rPr>
              <w:t>b</w:t>
            </w:r>
          </w:p>
        </w:tc>
      </w:tr>
      <w:tr w:rsidR="00B331A1" w:rsidTr="00BA6AE5">
        <w:tc>
          <w:tcPr>
            <w:tcW w:w="2972" w:type="dxa"/>
          </w:tcPr>
          <w:p w:rsidR="00B331A1" w:rsidRPr="00D11F98" w:rsidRDefault="00B331A1" w:rsidP="00BA6AE5">
            <w:pPr>
              <w:rPr>
                <w:rFonts w:asciiTheme="majorBidi" w:eastAsiaTheme="minorEastAsia" w:hAnsiTheme="majorBidi" w:cstheme="majorBidi"/>
                <w:sz w:val="20"/>
                <w:szCs w:val="20"/>
              </w:rPr>
            </w:pPr>
            <w:r w:rsidRPr="00D11F98">
              <w:rPr>
                <w:rFonts w:asciiTheme="majorBidi" w:eastAsiaTheme="minorEastAsia" w:hAnsiTheme="majorBidi" w:cstheme="majorBidi"/>
                <w:sz w:val="20"/>
                <w:szCs w:val="20"/>
              </w:rPr>
              <w:t xml:space="preserve">BMI &gt;30 </w:t>
            </w:r>
            <w:r>
              <w:rPr>
                <w:rFonts w:asciiTheme="majorBidi" w:eastAsiaTheme="minorEastAsia" w:hAnsiTheme="majorBidi" w:cstheme="majorBidi"/>
                <w:sz w:val="20"/>
                <w:szCs w:val="20"/>
              </w:rPr>
              <w:t>d</w:t>
            </w:r>
            <w:r w:rsidRPr="00D11F98">
              <w:rPr>
                <w:rFonts w:asciiTheme="majorBidi" w:eastAsiaTheme="minorEastAsia" w:hAnsiTheme="majorBidi" w:cstheme="majorBidi"/>
                <w:sz w:val="20"/>
                <w:szCs w:val="20"/>
              </w:rPr>
              <w:t xml:space="preserve">ocumented </w:t>
            </w:r>
          </w:p>
        </w:tc>
        <w:tc>
          <w:tcPr>
            <w:tcW w:w="1276" w:type="dxa"/>
            <w:vAlign w:val="center"/>
          </w:tcPr>
          <w:p w:rsidR="00B331A1" w:rsidRPr="00D11F98" w:rsidRDefault="00B331A1" w:rsidP="00BA6AE5">
            <w:pPr>
              <w:jc w:val="center"/>
              <w:rPr>
                <w:rFonts w:asciiTheme="majorBidi" w:eastAsiaTheme="minorEastAsia" w:hAnsiTheme="majorBidi" w:cstheme="majorBidi"/>
                <w:sz w:val="20"/>
                <w:szCs w:val="20"/>
              </w:rPr>
            </w:pPr>
            <w:r w:rsidRPr="00D11F98">
              <w:rPr>
                <w:rFonts w:asciiTheme="majorBidi" w:eastAsiaTheme="minorEastAsia" w:hAnsiTheme="majorBidi" w:cstheme="majorBidi"/>
                <w:sz w:val="20"/>
                <w:szCs w:val="20"/>
              </w:rPr>
              <w:t>16 (</w:t>
            </w:r>
            <w:r>
              <w:rPr>
                <w:rFonts w:asciiTheme="majorBidi" w:eastAsiaTheme="minorEastAsia" w:hAnsiTheme="majorBidi" w:cstheme="majorBidi"/>
                <w:sz w:val="20"/>
                <w:szCs w:val="20"/>
              </w:rPr>
              <w:t>6)</w:t>
            </w:r>
          </w:p>
        </w:tc>
        <w:tc>
          <w:tcPr>
            <w:tcW w:w="1316" w:type="dxa"/>
            <w:vAlign w:val="center"/>
          </w:tcPr>
          <w:p w:rsidR="00B331A1" w:rsidRPr="00D11F98" w:rsidRDefault="00B331A1" w:rsidP="00BA6AE5">
            <w:pPr>
              <w:jc w:val="center"/>
              <w:rPr>
                <w:rFonts w:asciiTheme="majorBidi" w:eastAsiaTheme="minorEastAsia" w:hAnsiTheme="majorBidi" w:cstheme="majorBidi"/>
                <w:sz w:val="20"/>
                <w:szCs w:val="20"/>
              </w:rPr>
            </w:pPr>
            <w:r w:rsidRPr="00D11F98">
              <w:rPr>
                <w:rFonts w:asciiTheme="majorBidi" w:eastAsiaTheme="minorEastAsia" w:hAnsiTheme="majorBidi" w:cstheme="majorBidi"/>
                <w:sz w:val="20"/>
                <w:szCs w:val="20"/>
              </w:rPr>
              <w:t>14</w:t>
            </w:r>
            <w:r>
              <w:rPr>
                <w:rFonts w:asciiTheme="majorBidi" w:eastAsiaTheme="minorEastAsia" w:hAnsiTheme="majorBidi" w:cstheme="majorBidi"/>
                <w:sz w:val="20"/>
                <w:szCs w:val="20"/>
              </w:rPr>
              <w:t xml:space="preserve"> (7)</w:t>
            </w:r>
          </w:p>
        </w:tc>
        <w:tc>
          <w:tcPr>
            <w:tcW w:w="1580" w:type="dxa"/>
            <w:vAlign w:val="center"/>
          </w:tcPr>
          <w:p w:rsidR="00B331A1" w:rsidRPr="00D11F98" w:rsidRDefault="00B331A1" w:rsidP="00BA6AE5">
            <w:pPr>
              <w:jc w:val="center"/>
              <w:rPr>
                <w:rFonts w:asciiTheme="majorBidi" w:eastAsiaTheme="minorEastAsia" w:hAnsiTheme="majorBidi" w:cstheme="majorBidi"/>
                <w:sz w:val="20"/>
                <w:szCs w:val="20"/>
              </w:rPr>
            </w:pPr>
            <w:r w:rsidRPr="00D11F98">
              <w:rPr>
                <w:rFonts w:asciiTheme="majorBidi" w:eastAsiaTheme="minorEastAsia" w:hAnsiTheme="majorBidi" w:cstheme="majorBidi"/>
                <w:sz w:val="20"/>
                <w:szCs w:val="20"/>
              </w:rPr>
              <w:t>2</w:t>
            </w:r>
            <w:r>
              <w:rPr>
                <w:rFonts w:asciiTheme="majorBidi" w:eastAsiaTheme="minorEastAsia" w:hAnsiTheme="majorBidi" w:cstheme="majorBidi"/>
                <w:sz w:val="20"/>
                <w:szCs w:val="20"/>
              </w:rPr>
              <w:t xml:space="preserve"> (4)</w:t>
            </w:r>
          </w:p>
        </w:tc>
        <w:tc>
          <w:tcPr>
            <w:tcW w:w="1581" w:type="dxa"/>
            <w:vAlign w:val="center"/>
          </w:tcPr>
          <w:p w:rsidR="00B331A1" w:rsidRPr="00D11F98" w:rsidRDefault="00B331A1" w:rsidP="00BA6AE5">
            <w:pPr>
              <w:jc w:val="center"/>
              <w:rPr>
                <w:rFonts w:asciiTheme="majorBidi" w:eastAsiaTheme="minorEastAsia" w:hAnsiTheme="majorBidi" w:cstheme="majorBidi"/>
                <w:sz w:val="20"/>
                <w:szCs w:val="20"/>
              </w:rPr>
            </w:pPr>
            <w:r w:rsidRPr="00D11F98">
              <w:rPr>
                <w:rFonts w:asciiTheme="majorBidi" w:eastAsiaTheme="minorEastAsia" w:hAnsiTheme="majorBidi" w:cstheme="majorBidi"/>
                <w:sz w:val="20"/>
                <w:szCs w:val="20"/>
              </w:rPr>
              <w:t>2</w:t>
            </w:r>
            <w:r>
              <w:rPr>
                <w:rFonts w:asciiTheme="majorBidi" w:eastAsiaTheme="minorEastAsia" w:hAnsiTheme="majorBidi" w:cstheme="majorBidi"/>
                <w:sz w:val="20"/>
                <w:szCs w:val="20"/>
              </w:rPr>
              <w:t xml:space="preserve"> (4)</w:t>
            </w:r>
          </w:p>
        </w:tc>
      </w:tr>
      <w:tr w:rsidR="00B331A1" w:rsidTr="00BA6AE5">
        <w:tc>
          <w:tcPr>
            <w:tcW w:w="2972" w:type="dxa"/>
          </w:tcPr>
          <w:p w:rsidR="00B331A1"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CV comorbidities</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p>
        </w:tc>
      </w:tr>
      <w:tr w:rsidR="00B331A1" w:rsidTr="00BA6AE5">
        <w:tc>
          <w:tcPr>
            <w:tcW w:w="2972"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None recorded</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176 (68)</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129 (64)</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47 (87)</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44 (88)</w:t>
            </w:r>
          </w:p>
        </w:tc>
      </w:tr>
      <w:tr w:rsidR="00B331A1" w:rsidTr="00BA6AE5">
        <w:tc>
          <w:tcPr>
            <w:tcW w:w="2972"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≥1 </w:t>
            </w:r>
            <w:proofErr w:type="spellStart"/>
            <w:proofErr w:type="gramStart"/>
            <w:r>
              <w:rPr>
                <w:rFonts w:asciiTheme="majorBidi" w:eastAsiaTheme="minorEastAsia" w:hAnsiTheme="majorBidi" w:cstheme="majorBidi"/>
                <w:sz w:val="20"/>
                <w:szCs w:val="20"/>
              </w:rPr>
              <w:t>recorded</w:t>
            </w:r>
            <w:r w:rsidRPr="004D77A3">
              <w:rPr>
                <w:rFonts w:asciiTheme="majorBidi" w:eastAsiaTheme="minorEastAsia" w:hAnsiTheme="majorBidi" w:cstheme="majorBidi"/>
                <w:sz w:val="20"/>
                <w:szCs w:val="20"/>
                <w:vertAlign w:val="superscript"/>
              </w:rPr>
              <w:t>c,d</w:t>
            </w:r>
            <w:proofErr w:type="spellEnd"/>
            <w:proofErr w:type="gramEnd"/>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81 (32)</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74 (36)</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7 (13)</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6 (12)</w:t>
            </w:r>
          </w:p>
        </w:tc>
      </w:tr>
      <w:tr w:rsidR="00B331A1" w:rsidRPr="00F1264B" w:rsidTr="00BA6AE5">
        <w:trPr>
          <w:trHeight w:val="54"/>
        </w:trPr>
        <w:tc>
          <w:tcPr>
            <w:tcW w:w="2972" w:type="dxa"/>
            <w:hideMark/>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Hypertension</w:t>
            </w:r>
          </w:p>
        </w:tc>
        <w:tc>
          <w:tcPr>
            <w:tcW w:w="1276"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58 (23)</w:t>
            </w:r>
          </w:p>
        </w:tc>
        <w:tc>
          <w:tcPr>
            <w:tcW w:w="1316"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52 (26)</w:t>
            </w:r>
          </w:p>
        </w:tc>
        <w:tc>
          <w:tcPr>
            <w:tcW w:w="1580"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6 (11)</w:t>
            </w:r>
          </w:p>
        </w:tc>
        <w:tc>
          <w:tcPr>
            <w:tcW w:w="1581"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(10)</w:t>
            </w:r>
          </w:p>
        </w:tc>
      </w:tr>
      <w:tr w:rsidR="00B331A1" w:rsidRPr="00F1264B" w:rsidTr="00BA6AE5">
        <w:trPr>
          <w:trHeight w:val="287"/>
        </w:trPr>
        <w:tc>
          <w:tcPr>
            <w:tcW w:w="2972" w:type="dxa"/>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Hyperlipidaemia</w:t>
            </w:r>
          </w:p>
        </w:tc>
        <w:tc>
          <w:tcPr>
            <w:tcW w:w="127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28 (11)</w:t>
            </w:r>
          </w:p>
        </w:tc>
        <w:tc>
          <w:tcPr>
            <w:tcW w:w="131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26 (13)</w:t>
            </w:r>
          </w:p>
        </w:tc>
        <w:tc>
          <w:tcPr>
            <w:tcW w:w="1580"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 (4)</w:t>
            </w:r>
          </w:p>
        </w:tc>
        <w:tc>
          <w:tcPr>
            <w:tcW w:w="1581"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 xml:space="preserve"> (4)</w:t>
            </w:r>
          </w:p>
        </w:tc>
      </w:tr>
      <w:tr w:rsidR="00B331A1" w:rsidRPr="00F1264B" w:rsidTr="00BA6AE5">
        <w:trPr>
          <w:trHeight w:val="287"/>
        </w:trPr>
        <w:tc>
          <w:tcPr>
            <w:tcW w:w="2972" w:type="dxa"/>
            <w:hideMark/>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Coronary artery disease</w:t>
            </w:r>
          </w:p>
        </w:tc>
        <w:tc>
          <w:tcPr>
            <w:tcW w:w="1276"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14 (5)</w:t>
            </w:r>
          </w:p>
        </w:tc>
        <w:tc>
          <w:tcPr>
            <w:tcW w:w="1316"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12 (6)</w:t>
            </w:r>
          </w:p>
        </w:tc>
        <w:tc>
          <w:tcPr>
            <w:tcW w:w="1580"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 (4)</w:t>
            </w:r>
          </w:p>
        </w:tc>
        <w:tc>
          <w:tcPr>
            <w:tcW w:w="1581"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 xml:space="preserve"> (4)</w:t>
            </w:r>
          </w:p>
        </w:tc>
      </w:tr>
      <w:tr w:rsidR="00B331A1" w:rsidRPr="00F1264B" w:rsidTr="00BA6AE5">
        <w:trPr>
          <w:trHeight w:val="287"/>
        </w:trPr>
        <w:tc>
          <w:tcPr>
            <w:tcW w:w="2972" w:type="dxa"/>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Myocardial infarction</w:t>
            </w:r>
          </w:p>
        </w:tc>
        <w:tc>
          <w:tcPr>
            <w:tcW w:w="127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11 (4)</w:t>
            </w:r>
          </w:p>
        </w:tc>
        <w:tc>
          <w:tcPr>
            <w:tcW w:w="131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10 (5)</w:t>
            </w:r>
          </w:p>
        </w:tc>
        <w:tc>
          <w:tcPr>
            <w:tcW w:w="1580"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 (2)</w:t>
            </w:r>
          </w:p>
        </w:tc>
        <w:tc>
          <w:tcPr>
            <w:tcW w:w="1581"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(2)</w:t>
            </w:r>
          </w:p>
        </w:tc>
      </w:tr>
      <w:tr w:rsidR="00B331A1" w:rsidRPr="00F1264B" w:rsidTr="00BA6AE5">
        <w:trPr>
          <w:trHeight w:val="287"/>
        </w:trPr>
        <w:tc>
          <w:tcPr>
            <w:tcW w:w="2972" w:type="dxa"/>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Coronary artery bypass graft</w:t>
            </w:r>
          </w:p>
        </w:tc>
        <w:tc>
          <w:tcPr>
            <w:tcW w:w="127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9 (4)</w:t>
            </w:r>
          </w:p>
        </w:tc>
        <w:tc>
          <w:tcPr>
            <w:tcW w:w="131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8 (4)</w:t>
            </w:r>
          </w:p>
        </w:tc>
        <w:tc>
          <w:tcPr>
            <w:tcW w:w="1580"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 (2)</w:t>
            </w:r>
          </w:p>
        </w:tc>
        <w:tc>
          <w:tcPr>
            <w:tcW w:w="1581"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(2)</w:t>
            </w:r>
          </w:p>
        </w:tc>
      </w:tr>
      <w:tr w:rsidR="00B331A1" w:rsidRPr="00F1264B" w:rsidTr="00BA6AE5">
        <w:trPr>
          <w:trHeight w:val="287"/>
        </w:trPr>
        <w:tc>
          <w:tcPr>
            <w:tcW w:w="2972" w:type="dxa"/>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Arrhythmias</w:t>
            </w:r>
          </w:p>
        </w:tc>
        <w:tc>
          <w:tcPr>
            <w:tcW w:w="127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8 (3)</w:t>
            </w:r>
          </w:p>
        </w:tc>
        <w:tc>
          <w:tcPr>
            <w:tcW w:w="131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7 (3)</w:t>
            </w:r>
          </w:p>
        </w:tc>
        <w:tc>
          <w:tcPr>
            <w:tcW w:w="1580"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 (2)</w:t>
            </w:r>
          </w:p>
        </w:tc>
        <w:tc>
          <w:tcPr>
            <w:tcW w:w="1581"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(2)</w:t>
            </w:r>
          </w:p>
        </w:tc>
      </w:tr>
      <w:tr w:rsidR="00B331A1" w:rsidRPr="00F1264B" w:rsidTr="00BA6AE5">
        <w:trPr>
          <w:trHeight w:val="281"/>
        </w:trPr>
        <w:tc>
          <w:tcPr>
            <w:tcW w:w="2972" w:type="dxa"/>
            <w:hideMark/>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Cerebrovascular accident</w:t>
            </w:r>
          </w:p>
        </w:tc>
        <w:tc>
          <w:tcPr>
            <w:tcW w:w="1276"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4 (2)</w:t>
            </w:r>
          </w:p>
        </w:tc>
        <w:tc>
          <w:tcPr>
            <w:tcW w:w="1316"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4 (2)</w:t>
            </w:r>
          </w:p>
        </w:tc>
        <w:tc>
          <w:tcPr>
            <w:tcW w:w="1580"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0</w:t>
            </w:r>
          </w:p>
        </w:tc>
        <w:tc>
          <w:tcPr>
            <w:tcW w:w="1581"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0</w:t>
            </w:r>
          </w:p>
        </w:tc>
      </w:tr>
      <w:tr w:rsidR="00B331A1" w:rsidRPr="00F1264B" w:rsidTr="00BA6AE5">
        <w:trPr>
          <w:trHeight w:val="215"/>
        </w:trPr>
        <w:tc>
          <w:tcPr>
            <w:tcW w:w="2972" w:type="dxa"/>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Transient ischemic attack</w:t>
            </w:r>
          </w:p>
        </w:tc>
        <w:tc>
          <w:tcPr>
            <w:tcW w:w="127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4 (2)</w:t>
            </w:r>
          </w:p>
        </w:tc>
        <w:tc>
          <w:tcPr>
            <w:tcW w:w="131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3 (1)</w:t>
            </w:r>
          </w:p>
        </w:tc>
        <w:tc>
          <w:tcPr>
            <w:tcW w:w="1580"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 (2)</w:t>
            </w:r>
          </w:p>
        </w:tc>
        <w:tc>
          <w:tcPr>
            <w:tcW w:w="1581"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(2)</w:t>
            </w:r>
          </w:p>
        </w:tc>
      </w:tr>
      <w:tr w:rsidR="00B331A1" w:rsidRPr="00F1264B" w:rsidTr="00BA6AE5">
        <w:trPr>
          <w:trHeight w:val="54"/>
        </w:trPr>
        <w:tc>
          <w:tcPr>
            <w:tcW w:w="2972" w:type="dxa"/>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Congestive heart failure</w:t>
            </w:r>
          </w:p>
        </w:tc>
        <w:tc>
          <w:tcPr>
            <w:tcW w:w="127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3 (1)</w:t>
            </w:r>
          </w:p>
        </w:tc>
        <w:tc>
          <w:tcPr>
            <w:tcW w:w="131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 (1)</w:t>
            </w:r>
          </w:p>
        </w:tc>
        <w:tc>
          <w:tcPr>
            <w:tcW w:w="1580"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 (2)</w:t>
            </w:r>
          </w:p>
        </w:tc>
        <w:tc>
          <w:tcPr>
            <w:tcW w:w="1581"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(2)</w:t>
            </w:r>
          </w:p>
        </w:tc>
      </w:tr>
      <w:tr w:rsidR="00B331A1" w:rsidRPr="00F1264B" w:rsidTr="00BA6AE5">
        <w:trPr>
          <w:trHeight w:val="116"/>
        </w:trPr>
        <w:tc>
          <w:tcPr>
            <w:tcW w:w="2972" w:type="dxa"/>
            <w:hideMark/>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Unstable angina</w:t>
            </w:r>
          </w:p>
        </w:tc>
        <w:tc>
          <w:tcPr>
            <w:tcW w:w="1276"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 (1)</w:t>
            </w:r>
          </w:p>
        </w:tc>
        <w:tc>
          <w:tcPr>
            <w:tcW w:w="1316"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 (1)</w:t>
            </w:r>
          </w:p>
        </w:tc>
        <w:tc>
          <w:tcPr>
            <w:tcW w:w="1580"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0</w:t>
            </w:r>
          </w:p>
        </w:tc>
        <w:tc>
          <w:tcPr>
            <w:tcW w:w="1581" w:type="dxa"/>
            <w:noWrap/>
            <w:hideMark/>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0</w:t>
            </w:r>
          </w:p>
        </w:tc>
      </w:tr>
      <w:tr w:rsidR="00B331A1" w:rsidRPr="00F1264B" w:rsidTr="00BA6AE5">
        <w:trPr>
          <w:trHeight w:val="170"/>
        </w:trPr>
        <w:tc>
          <w:tcPr>
            <w:tcW w:w="2972" w:type="dxa"/>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Percutaneous coronary intervention</w:t>
            </w:r>
          </w:p>
        </w:tc>
        <w:tc>
          <w:tcPr>
            <w:tcW w:w="127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 (1)</w:t>
            </w:r>
          </w:p>
        </w:tc>
        <w:tc>
          <w:tcPr>
            <w:tcW w:w="131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 (1)</w:t>
            </w:r>
          </w:p>
        </w:tc>
        <w:tc>
          <w:tcPr>
            <w:tcW w:w="1580"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0</w:t>
            </w:r>
          </w:p>
        </w:tc>
        <w:tc>
          <w:tcPr>
            <w:tcW w:w="1581"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0</w:t>
            </w:r>
          </w:p>
        </w:tc>
      </w:tr>
      <w:tr w:rsidR="00B331A1" w:rsidRPr="00F1264B" w:rsidTr="00BA6AE5">
        <w:trPr>
          <w:trHeight w:val="54"/>
        </w:trPr>
        <w:tc>
          <w:tcPr>
            <w:tcW w:w="2972" w:type="dxa"/>
          </w:tcPr>
          <w:p w:rsidR="00B331A1" w:rsidRPr="00F1264B" w:rsidRDefault="00B331A1" w:rsidP="00BA6AE5">
            <w:pPr>
              <w:ind w:left="341"/>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Peripheral vascular disease</w:t>
            </w:r>
          </w:p>
        </w:tc>
        <w:tc>
          <w:tcPr>
            <w:tcW w:w="127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 (1)</w:t>
            </w:r>
          </w:p>
        </w:tc>
        <w:tc>
          <w:tcPr>
            <w:tcW w:w="1316"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2 (1)</w:t>
            </w:r>
          </w:p>
        </w:tc>
        <w:tc>
          <w:tcPr>
            <w:tcW w:w="1580"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0</w:t>
            </w:r>
          </w:p>
        </w:tc>
        <w:tc>
          <w:tcPr>
            <w:tcW w:w="1581" w:type="dxa"/>
            <w:noWrap/>
          </w:tcPr>
          <w:p w:rsidR="00B331A1" w:rsidRPr="00F1264B" w:rsidRDefault="00B331A1" w:rsidP="00BA6AE5">
            <w:pPr>
              <w:jc w:val="center"/>
              <w:rPr>
                <w:rFonts w:ascii="Times New Roman" w:eastAsia="Times New Roman" w:hAnsi="Times New Roman" w:cs="Times New Roman"/>
                <w:color w:val="000000"/>
                <w:sz w:val="20"/>
                <w:szCs w:val="20"/>
              </w:rPr>
            </w:pPr>
            <w:r w:rsidRPr="00F1264B">
              <w:rPr>
                <w:rFonts w:ascii="Times New Roman" w:eastAsia="Times New Roman" w:hAnsi="Times New Roman" w:cs="Times New Roman"/>
                <w:color w:val="000000"/>
                <w:sz w:val="20"/>
                <w:szCs w:val="20"/>
              </w:rPr>
              <w:t>0</w:t>
            </w:r>
          </w:p>
        </w:tc>
      </w:tr>
      <w:tr w:rsidR="00B331A1" w:rsidTr="00BA6AE5">
        <w:tc>
          <w:tcPr>
            <w:tcW w:w="2972" w:type="dxa"/>
          </w:tcPr>
          <w:p w:rsidR="00B331A1" w:rsidRPr="005030BE"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History of CV disease</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p>
        </w:tc>
      </w:tr>
      <w:tr w:rsidR="00B331A1" w:rsidTr="00BA6AE5">
        <w:trPr>
          <w:trHeight w:val="202"/>
        </w:trPr>
        <w:tc>
          <w:tcPr>
            <w:tcW w:w="2972"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Not documented</w:t>
            </w:r>
          </w:p>
        </w:tc>
        <w:tc>
          <w:tcPr>
            <w:tcW w:w="1276" w:type="dxa"/>
            <w:vAlign w:val="center"/>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101 (39)</w:t>
            </w:r>
          </w:p>
        </w:tc>
        <w:tc>
          <w:tcPr>
            <w:tcW w:w="1316" w:type="dxa"/>
            <w:vAlign w:val="center"/>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80 (39)</w:t>
            </w:r>
          </w:p>
        </w:tc>
        <w:tc>
          <w:tcPr>
            <w:tcW w:w="1580" w:type="dxa"/>
            <w:vAlign w:val="center"/>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21 (39)</w:t>
            </w:r>
          </w:p>
        </w:tc>
        <w:tc>
          <w:tcPr>
            <w:tcW w:w="1581" w:type="dxa"/>
            <w:vAlign w:val="center"/>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20 (40)</w:t>
            </w:r>
          </w:p>
        </w:tc>
      </w:tr>
      <w:tr w:rsidR="00B331A1" w:rsidTr="00BA6AE5">
        <w:trPr>
          <w:trHeight w:val="202"/>
        </w:trPr>
        <w:tc>
          <w:tcPr>
            <w:tcW w:w="2972" w:type="dxa"/>
          </w:tcPr>
          <w:p w:rsidR="00B331A1" w:rsidRPr="000F7A97" w:rsidRDefault="00B331A1" w:rsidP="00BA6AE5">
            <w:pPr>
              <w:ind w:left="161"/>
              <w:rPr>
                <w:rFonts w:asciiTheme="majorBidi" w:eastAsiaTheme="minorEastAsia" w:hAnsiTheme="majorBidi" w:cstheme="majorBidi"/>
                <w:sz w:val="20"/>
                <w:szCs w:val="20"/>
                <w:vertAlign w:val="superscript"/>
              </w:rPr>
            </w:pPr>
            <w:r>
              <w:rPr>
                <w:rFonts w:asciiTheme="majorBidi" w:eastAsiaTheme="minorEastAsia" w:hAnsiTheme="majorBidi" w:cstheme="majorBidi"/>
                <w:sz w:val="20"/>
                <w:szCs w:val="20"/>
              </w:rPr>
              <w:t xml:space="preserve">Documentation </w:t>
            </w:r>
            <w:proofErr w:type="spellStart"/>
            <w:r>
              <w:rPr>
                <w:rFonts w:asciiTheme="majorBidi" w:eastAsiaTheme="minorEastAsia" w:hAnsiTheme="majorBidi" w:cstheme="majorBidi"/>
                <w:sz w:val="20"/>
                <w:szCs w:val="20"/>
              </w:rPr>
              <w:t>unknown</w:t>
            </w:r>
            <w:r>
              <w:rPr>
                <w:rFonts w:asciiTheme="majorBidi" w:eastAsiaTheme="minorEastAsia" w:hAnsiTheme="majorBidi" w:cstheme="majorBidi"/>
                <w:sz w:val="20"/>
                <w:szCs w:val="20"/>
                <w:vertAlign w:val="superscript"/>
              </w:rPr>
              <w:t>e</w:t>
            </w:r>
            <w:proofErr w:type="spellEnd"/>
          </w:p>
        </w:tc>
        <w:tc>
          <w:tcPr>
            <w:tcW w:w="1276" w:type="dxa"/>
            <w:vAlign w:val="center"/>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(&lt;1)</w:t>
            </w:r>
          </w:p>
        </w:tc>
        <w:tc>
          <w:tcPr>
            <w:tcW w:w="1316" w:type="dxa"/>
            <w:vAlign w:val="center"/>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(&lt;1)</w:t>
            </w:r>
          </w:p>
        </w:tc>
        <w:tc>
          <w:tcPr>
            <w:tcW w:w="1580" w:type="dxa"/>
            <w:vAlign w:val="center"/>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c>
          <w:tcPr>
            <w:tcW w:w="1581" w:type="dxa"/>
            <w:vAlign w:val="center"/>
          </w:tcPr>
          <w:p w:rsidR="00B331A1"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r>
      <w:tr w:rsidR="00B331A1" w:rsidTr="00BA6AE5">
        <w:trPr>
          <w:trHeight w:val="202"/>
        </w:trPr>
        <w:tc>
          <w:tcPr>
            <w:tcW w:w="2972" w:type="dxa"/>
          </w:tcPr>
          <w:p w:rsidR="00B331A1" w:rsidRDefault="00B331A1" w:rsidP="00BA6AE5">
            <w:pPr>
              <w:ind w:left="161"/>
              <w:rPr>
                <w:rFonts w:asciiTheme="majorBidi" w:eastAsiaTheme="minorEastAsia" w:hAnsiTheme="majorBidi" w:cstheme="majorBidi"/>
                <w:sz w:val="20"/>
                <w:szCs w:val="20"/>
              </w:rPr>
            </w:pPr>
            <w:proofErr w:type="spellStart"/>
            <w:r>
              <w:rPr>
                <w:rFonts w:asciiTheme="majorBidi" w:eastAsiaTheme="minorEastAsia" w:hAnsiTheme="majorBidi" w:cstheme="majorBidi"/>
                <w:sz w:val="20"/>
                <w:szCs w:val="20"/>
              </w:rPr>
              <w:t>Documented</w:t>
            </w:r>
            <w:r w:rsidRPr="00303A44">
              <w:rPr>
                <w:rFonts w:asciiTheme="majorBidi" w:eastAsiaTheme="minorEastAsia" w:hAnsiTheme="majorBidi" w:cstheme="majorBidi"/>
                <w:sz w:val="20"/>
                <w:szCs w:val="20"/>
                <w:vertAlign w:val="superscript"/>
              </w:rPr>
              <w:t>f</w:t>
            </w:r>
            <w:proofErr w:type="spellEnd"/>
          </w:p>
        </w:tc>
        <w:tc>
          <w:tcPr>
            <w:tcW w:w="1276" w:type="dxa"/>
            <w:vAlign w:val="center"/>
          </w:tcPr>
          <w:p w:rsidR="00B331A1" w:rsidRPr="001E6468" w:rsidRDefault="00B331A1" w:rsidP="00BA6AE5">
            <w:pPr>
              <w:jc w:val="center"/>
              <w:rPr>
                <w:rFonts w:asciiTheme="majorBidi" w:eastAsiaTheme="minorEastAsia" w:hAnsiTheme="majorBidi" w:cstheme="majorBidi"/>
                <w:sz w:val="20"/>
                <w:szCs w:val="20"/>
              </w:rPr>
            </w:pPr>
            <w:r w:rsidRPr="001E6468">
              <w:rPr>
                <w:rFonts w:asciiTheme="majorBidi" w:eastAsiaTheme="minorEastAsia" w:hAnsiTheme="majorBidi" w:cstheme="majorBidi"/>
                <w:sz w:val="20"/>
                <w:szCs w:val="20"/>
              </w:rPr>
              <w:t>155 (60)</w:t>
            </w:r>
          </w:p>
        </w:tc>
        <w:tc>
          <w:tcPr>
            <w:tcW w:w="1316" w:type="dxa"/>
            <w:vAlign w:val="center"/>
          </w:tcPr>
          <w:p w:rsidR="00B331A1" w:rsidRPr="001E6468" w:rsidRDefault="00B331A1" w:rsidP="00BA6AE5">
            <w:pPr>
              <w:jc w:val="center"/>
              <w:rPr>
                <w:rFonts w:asciiTheme="majorBidi" w:eastAsiaTheme="minorEastAsia" w:hAnsiTheme="majorBidi" w:cstheme="majorBidi"/>
                <w:sz w:val="20"/>
                <w:szCs w:val="20"/>
              </w:rPr>
            </w:pPr>
            <w:r w:rsidRPr="001E6468">
              <w:rPr>
                <w:rFonts w:asciiTheme="majorBidi" w:eastAsiaTheme="minorEastAsia" w:hAnsiTheme="majorBidi" w:cstheme="majorBidi"/>
                <w:sz w:val="20"/>
                <w:szCs w:val="20"/>
              </w:rPr>
              <w:t>122 (60)</w:t>
            </w:r>
          </w:p>
        </w:tc>
        <w:tc>
          <w:tcPr>
            <w:tcW w:w="1580" w:type="dxa"/>
            <w:vAlign w:val="center"/>
          </w:tcPr>
          <w:p w:rsidR="00B331A1" w:rsidRPr="001E6468" w:rsidRDefault="00B331A1" w:rsidP="00BA6AE5">
            <w:pPr>
              <w:jc w:val="center"/>
              <w:rPr>
                <w:rFonts w:asciiTheme="majorBidi" w:eastAsiaTheme="minorEastAsia" w:hAnsiTheme="majorBidi" w:cstheme="majorBidi"/>
                <w:sz w:val="20"/>
                <w:szCs w:val="20"/>
              </w:rPr>
            </w:pPr>
            <w:r w:rsidRPr="001E6468">
              <w:rPr>
                <w:rFonts w:asciiTheme="majorBidi" w:eastAsiaTheme="minorEastAsia" w:hAnsiTheme="majorBidi" w:cstheme="majorBidi"/>
                <w:sz w:val="20"/>
                <w:szCs w:val="20"/>
              </w:rPr>
              <w:t>33 (61)</w:t>
            </w:r>
          </w:p>
        </w:tc>
        <w:tc>
          <w:tcPr>
            <w:tcW w:w="1581" w:type="dxa"/>
            <w:vAlign w:val="center"/>
          </w:tcPr>
          <w:p w:rsidR="00B331A1" w:rsidRPr="001E6468" w:rsidRDefault="00B331A1" w:rsidP="00BA6AE5">
            <w:pPr>
              <w:jc w:val="center"/>
              <w:rPr>
                <w:rFonts w:asciiTheme="majorBidi" w:eastAsiaTheme="minorEastAsia" w:hAnsiTheme="majorBidi" w:cstheme="majorBidi"/>
                <w:sz w:val="20"/>
                <w:szCs w:val="20"/>
              </w:rPr>
            </w:pPr>
            <w:r w:rsidRPr="001E6468">
              <w:rPr>
                <w:rFonts w:asciiTheme="majorBidi" w:eastAsiaTheme="minorEastAsia" w:hAnsiTheme="majorBidi" w:cstheme="majorBidi"/>
                <w:sz w:val="20"/>
                <w:szCs w:val="20"/>
              </w:rPr>
              <w:t>30 (60)</w:t>
            </w:r>
          </w:p>
        </w:tc>
      </w:tr>
      <w:tr w:rsidR="00B331A1" w:rsidRPr="0074576C" w:rsidTr="00BA6AE5">
        <w:trPr>
          <w:trHeight w:val="202"/>
        </w:trPr>
        <w:tc>
          <w:tcPr>
            <w:tcW w:w="2972" w:type="dxa"/>
            <w:hideMark/>
          </w:tcPr>
          <w:p w:rsidR="00B331A1" w:rsidRPr="0074576C" w:rsidRDefault="00B331A1" w:rsidP="00BA6AE5">
            <w:pPr>
              <w:ind w:left="341"/>
              <w:rPr>
                <w:rFonts w:ascii="Times New Roman" w:eastAsia="Times New Roman" w:hAnsi="Times New Roman" w:cs="Times New Roman"/>
                <w:sz w:val="20"/>
                <w:szCs w:val="20"/>
              </w:rPr>
            </w:pPr>
            <w:r w:rsidRPr="0074576C">
              <w:rPr>
                <w:rFonts w:ascii="Times New Roman" w:eastAsia="Times New Roman" w:hAnsi="Times New Roman" w:cs="Times New Roman"/>
                <w:sz w:val="20"/>
                <w:szCs w:val="20"/>
              </w:rPr>
              <w:t>No history</w:t>
            </w:r>
          </w:p>
        </w:tc>
        <w:tc>
          <w:tcPr>
            <w:tcW w:w="1276" w:type="dxa"/>
            <w:noWrap/>
            <w:hideMark/>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26 (17)</w:t>
            </w:r>
          </w:p>
        </w:tc>
        <w:tc>
          <w:tcPr>
            <w:tcW w:w="1316" w:type="dxa"/>
            <w:hideMark/>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23 (19)</w:t>
            </w:r>
          </w:p>
        </w:tc>
        <w:tc>
          <w:tcPr>
            <w:tcW w:w="1580" w:type="dxa"/>
            <w:hideMark/>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3 (9)</w:t>
            </w:r>
          </w:p>
        </w:tc>
        <w:tc>
          <w:tcPr>
            <w:tcW w:w="1581" w:type="dxa"/>
            <w:hideMark/>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3 (10)</w:t>
            </w:r>
          </w:p>
        </w:tc>
      </w:tr>
      <w:tr w:rsidR="00B331A1" w:rsidRPr="0074576C" w:rsidTr="00BA6AE5">
        <w:trPr>
          <w:trHeight w:val="202"/>
        </w:trPr>
        <w:tc>
          <w:tcPr>
            <w:tcW w:w="2972" w:type="dxa"/>
          </w:tcPr>
          <w:p w:rsidR="00B331A1" w:rsidRDefault="00B331A1" w:rsidP="00BA6AE5">
            <w:pPr>
              <w:ind w:left="341"/>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history not provided</w:t>
            </w:r>
          </w:p>
        </w:tc>
        <w:tc>
          <w:tcPr>
            <w:tcW w:w="1276" w:type="dxa"/>
            <w:noWrap/>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104 (67)</w:t>
            </w:r>
          </w:p>
        </w:tc>
        <w:tc>
          <w:tcPr>
            <w:tcW w:w="1316" w:type="dxa"/>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76 (62)</w:t>
            </w:r>
          </w:p>
        </w:tc>
        <w:tc>
          <w:tcPr>
            <w:tcW w:w="1580" w:type="dxa"/>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28 (85)</w:t>
            </w:r>
          </w:p>
        </w:tc>
        <w:tc>
          <w:tcPr>
            <w:tcW w:w="1581" w:type="dxa"/>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25 (83)</w:t>
            </w:r>
          </w:p>
        </w:tc>
      </w:tr>
      <w:tr w:rsidR="00B331A1" w:rsidRPr="0074576C" w:rsidTr="00BA6AE5">
        <w:trPr>
          <w:trHeight w:val="202"/>
        </w:trPr>
        <w:tc>
          <w:tcPr>
            <w:tcW w:w="2972" w:type="dxa"/>
          </w:tcPr>
          <w:p w:rsidR="00B331A1" w:rsidRPr="0074576C" w:rsidRDefault="00B331A1" w:rsidP="00BA6AE5">
            <w:pPr>
              <w:ind w:left="341"/>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history provided</w:t>
            </w:r>
          </w:p>
        </w:tc>
        <w:tc>
          <w:tcPr>
            <w:tcW w:w="1276" w:type="dxa"/>
            <w:noWrap/>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25 (16)</w:t>
            </w:r>
          </w:p>
        </w:tc>
        <w:tc>
          <w:tcPr>
            <w:tcW w:w="1316" w:type="dxa"/>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23 (19)</w:t>
            </w:r>
          </w:p>
        </w:tc>
        <w:tc>
          <w:tcPr>
            <w:tcW w:w="1580" w:type="dxa"/>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2 (6)</w:t>
            </w:r>
          </w:p>
        </w:tc>
        <w:tc>
          <w:tcPr>
            <w:tcW w:w="1581" w:type="dxa"/>
          </w:tcPr>
          <w:p w:rsidR="00B331A1" w:rsidRPr="001E6468" w:rsidRDefault="00B331A1" w:rsidP="00BA6AE5">
            <w:pPr>
              <w:jc w:val="center"/>
              <w:rPr>
                <w:rFonts w:ascii="Times New Roman" w:eastAsia="Times New Roman" w:hAnsi="Times New Roman" w:cs="Times New Roman"/>
                <w:color w:val="000000"/>
                <w:sz w:val="20"/>
                <w:szCs w:val="20"/>
              </w:rPr>
            </w:pPr>
            <w:r w:rsidRPr="001E6468">
              <w:rPr>
                <w:rFonts w:ascii="Times New Roman" w:eastAsia="Times New Roman" w:hAnsi="Times New Roman" w:cs="Times New Roman"/>
                <w:color w:val="000000"/>
                <w:sz w:val="20"/>
                <w:szCs w:val="20"/>
              </w:rPr>
              <w:t>2 (7)</w:t>
            </w:r>
          </w:p>
        </w:tc>
      </w:tr>
      <w:tr w:rsidR="00B331A1" w:rsidTr="00BA6AE5">
        <w:trPr>
          <w:trHeight w:val="202"/>
        </w:trPr>
        <w:tc>
          <w:tcPr>
            <w:tcW w:w="2972" w:type="dxa"/>
          </w:tcPr>
          <w:p w:rsidR="00B331A1" w:rsidRPr="005030BE"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Family history of CV disease</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p>
        </w:tc>
      </w:tr>
      <w:tr w:rsidR="00B331A1" w:rsidTr="00BA6AE5">
        <w:trPr>
          <w:trHeight w:val="202"/>
        </w:trPr>
        <w:tc>
          <w:tcPr>
            <w:tcW w:w="2972"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Not documented</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159 (62)</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128 (63)</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31 (57)</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29 (58)</w:t>
            </w:r>
          </w:p>
        </w:tc>
      </w:tr>
      <w:tr w:rsidR="00B331A1" w:rsidTr="00BA6AE5">
        <w:trPr>
          <w:trHeight w:val="202"/>
        </w:trPr>
        <w:tc>
          <w:tcPr>
            <w:tcW w:w="2972" w:type="dxa"/>
          </w:tcPr>
          <w:p w:rsidR="00B331A1" w:rsidRPr="000F7A97" w:rsidRDefault="00B331A1" w:rsidP="00BA6AE5">
            <w:pPr>
              <w:ind w:left="161"/>
              <w:rPr>
                <w:rFonts w:asciiTheme="majorBidi" w:eastAsiaTheme="minorEastAsia" w:hAnsiTheme="majorBidi" w:cstheme="majorBidi"/>
                <w:sz w:val="20"/>
                <w:szCs w:val="20"/>
                <w:vertAlign w:val="superscript"/>
              </w:rPr>
            </w:pPr>
            <w:r>
              <w:rPr>
                <w:rFonts w:asciiTheme="majorBidi" w:eastAsiaTheme="minorEastAsia" w:hAnsiTheme="majorBidi" w:cstheme="majorBidi"/>
                <w:sz w:val="20"/>
                <w:szCs w:val="20"/>
              </w:rPr>
              <w:t xml:space="preserve">Documentation </w:t>
            </w:r>
            <w:proofErr w:type="spellStart"/>
            <w:r>
              <w:rPr>
                <w:rFonts w:asciiTheme="majorBidi" w:eastAsiaTheme="minorEastAsia" w:hAnsiTheme="majorBidi" w:cstheme="majorBidi"/>
                <w:sz w:val="20"/>
                <w:szCs w:val="20"/>
              </w:rPr>
              <w:t>unknown</w:t>
            </w:r>
            <w:r>
              <w:rPr>
                <w:rFonts w:asciiTheme="majorBidi" w:eastAsiaTheme="minorEastAsia" w:hAnsiTheme="majorBidi" w:cstheme="majorBidi"/>
                <w:sz w:val="20"/>
                <w:szCs w:val="20"/>
                <w:vertAlign w:val="superscript"/>
              </w:rPr>
              <w:t>e</w:t>
            </w:r>
            <w:proofErr w:type="spellEnd"/>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(&lt;1)</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1 (&lt;1)</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0</w:t>
            </w:r>
          </w:p>
        </w:tc>
      </w:tr>
      <w:tr w:rsidR="00B331A1" w:rsidTr="00BA6AE5">
        <w:trPr>
          <w:trHeight w:val="202"/>
        </w:trPr>
        <w:tc>
          <w:tcPr>
            <w:tcW w:w="2972" w:type="dxa"/>
          </w:tcPr>
          <w:p w:rsidR="00B331A1" w:rsidRDefault="00B331A1" w:rsidP="00BA6AE5">
            <w:pPr>
              <w:ind w:left="161"/>
              <w:rPr>
                <w:rFonts w:asciiTheme="majorBidi" w:eastAsiaTheme="minorEastAsia" w:hAnsiTheme="majorBidi" w:cstheme="majorBidi"/>
                <w:sz w:val="20"/>
                <w:szCs w:val="20"/>
              </w:rPr>
            </w:pPr>
            <w:r>
              <w:rPr>
                <w:rFonts w:asciiTheme="majorBidi" w:eastAsiaTheme="minorEastAsia" w:hAnsiTheme="majorBidi" w:cstheme="majorBidi"/>
                <w:sz w:val="20"/>
                <w:szCs w:val="20"/>
              </w:rPr>
              <w:t>Documented</w:t>
            </w:r>
          </w:p>
        </w:tc>
        <w:tc>
          <w:tcPr>
            <w:tcW w:w="127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97 (38)</w:t>
            </w:r>
          </w:p>
        </w:tc>
        <w:tc>
          <w:tcPr>
            <w:tcW w:w="1316"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74 (36)</w:t>
            </w:r>
          </w:p>
        </w:tc>
        <w:tc>
          <w:tcPr>
            <w:tcW w:w="1580"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23 (43)</w:t>
            </w:r>
          </w:p>
        </w:tc>
        <w:tc>
          <w:tcPr>
            <w:tcW w:w="1581" w:type="dxa"/>
            <w:vAlign w:val="center"/>
          </w:tcPr>
          <w:p w:rsidR="00B331A1" w:rsidRPr="005030BE" w:rsidRDefault="00B331A1" w:rsidP="00BA6AE5">
            <w:pPr>
              <w:jc w:val="center"/>
              <w:rPr>
                <w:rFonts w:asciiTheme="majorBidi" w:eastAsiaTheme="minorEastAsia" w:hAnsiTheme="majorBidi" w:cstheme="majorBidi"/>
                <w:sz w:val="20"/>
                <w:szCs w:val="20"/>
              </w:rPr>
            </w:pPr>
            <w:r>
              <w:rPr>
                <w:rFonts w:asciiTheme="majorBidi" w:eastAsiaTheme="minorEastAsia" w:hAnsiTheme="majorBidi" w:cstheme="majorBidi"/>
                <w:sz w:val="20"/>
                <w:szCs w:val="20"/>
              </w:rPr>
              <w:t>21 (42)</w:t>
            </w:r>
          </w:p>
        </w:tc>
      </w:tr>
    </w:tbl>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rPr>
        <w:t>2G</w:t>
      </w:r>
      <w:r>
        <w:rPr>
          <w:rFonts w:asciiTheme="majorBidi" w:eastAsiaTheme="minorEastAsia" w:hAnsiTheme="majorBidi" w:cstheme="majorBidi"/>
          <w:sz w:val="20"/>
          <w:szCs w:val="20"/>
        </w:rPr>
        <w:t>-</w:t>
      </w:r>
      <w:r w:rsidRPr="00BA6AE5">
        <w:rPr>
          <w:rFonts w:asciiTheme="majorBidi" w:eastAsiaTheme="minorEastAsia" w:hAnsiTheme="majorBidi" w:cstheme="majorBidi"/>
          <w:sz w:val="20"/>
          <w:szCs w:val="20"/>
        </w:rPr>
        <w:t>TKI, second-generation tyrosine kinase inhibitor; BMI, body mass index; CV, cardiovascular.</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a</w:t>
      </w:r>
      <w:r w:rsidRPr="00BA6AE5">
        <w:rPr>
          <w:rFonts w:asciiTheme="majorBidi" w:eastAsiaTheme="minorEastAsia" w:hAnsiTheme="majorBidi" w:cstheme="majorBidi"/>
          <w:sz w:val="20"/>
          <w:szCs w:val="20"/>
        </w:rPr>
        <w:t xml:space="preserve"> Proportion of patients in each smoking category was calculated based on the number of patients with documented smoking status.</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b</w:t>
      </w:r>
      <w:r w:rsidRPr="00BA6AE5">
        <w:rPr>
          <w:rFonts w:asciiTheme="majorBidi" w:eastAsiaTheme="minorEastAsia" w:hAnsiTheme="majorBidi" w:cstheme="majorBidi"/>
          <w:sz w:val="20"/>
          <w:szCs w:val="20"/>
        </w:rPr>
        <w:t xml:space="preserve"> Two patients were recorded as "does not smoke"; it was unclear whether they were ex-smokers or never smoked.</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c</w:t>
      </w:r>
      <w:r w:rsidRPr="00BA6AE5">
        <w:rPr>
          <w:rFonts w:asciiTheme="majorBidi" w:eastAsiaTheme="minorEastAsia" w:hAnsiTheme="majorBidi" w:cstheme="majorBidi"/>
          <w:sz w:val="20"/>
          <w:szCs w:val="20"/>
        </w:rPr>
        <w:t xml:space="preserve"> Patients could be listed as having &gt;1 CV comorbidity.</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d</w:t>
      </w:r>
      <w:r w:rsidRPr="00BA6AE5">
        <w:rPr>
          <w:rFonts w:asciiTheme="majorBidi" w:eastAsiaTheme="minorEastAsia" w:hAnsiTheme="majorBidi" w:cstheme="majorBidi"/>
          <w:sz w:val="20"/>
          <w:szCs w:val="20"/>
        </w:rPr>
        <w:t xml:space="preserve"> Proportion of patients with CV comorbidities was calculated based on total number of patients in each column.</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e</w:t>
      </w:r>
      <w:r w:rsidRPr="00BA6AE5">
        <w:rPr>
          <w:rFonts w:asciiTheme="majorBidi" w:eastAsiaTheme="minorEastAsia" w:hAnsiTheme="majorBidi" w:cstheme="majorBidi"/>
          <w:sz w:val="20"/>
          <w:szCs w:val="20"/>
        </w:rPr>
        <w:t xml:space="preserve"> One patient was transferred from another hospital prior to TKI treatment; it was unclear if this patient’s personal or family history of vascular disease had been documented prior to TKI treatment.</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f</w:t>
      </w:r>
      <w:r w:rsidRPr="00BA6AE5">
        <w:rPr>
          <w:rFonts w:asciiTheme="majorBidi" w:eastAsiaTheme="minorEastAsia" w:hAnsiTheme="majorBidi" w:cstheme="majorBidi"/>
          <w:sz w:val="20"/>
          <w:szCs w:val="20"/>
        </w:rPr>
        <w:t xml:space="preserve"> Proportion of patients within each category was calculated based on the number of patients who had documented CV disease history.</w:t>
      </w:r>
    </w:p>
    <w:p w:rsidR="00B331A1" w:rsidRDefault="00B331A1" w:rsidP="00B331A1">
      <w:pPr>
        <w:rPr>
          <w:rFonts w:asciiTheme="majorBidi" w:eastAsiaTheme="minorEastAsia" w:hAnsiTheme="majorBidi" w:cstheme="majorBidi"/>
          <w:sz w:val="24"/>
          <w:szCs w:val="24"/>
        </w:rPr>
      </w:pPr>
      <w:r>
        <w:rPr>
          <w:rFonts w:asciiTheme="majorBidi" w:eastAsiaTheme="minorEastAsia" w:hAnsiTheme="majorBidi" w:cstheme="majorBidi"/>
          <w:sz w:val="24"/>
          <w:szCs w:val="24"/>
        </w:rPr>
        <w:br w:type="page"/>
      </w:r>
    </w:p>
    <w:p w:rsidR="00B331A1" w:rsidRPr="00C57674" w:rsidRDefault="00B331A1" w:rsidP="00B331A1">
      <w:pPr>
        <w:rPr>
          <w:rFonts w:asciiTheme="majorBidi" w:eastAsiaTheme="minorEastAsia" w:hAnsiTheme="majorBidi" w:cstheme="majorBidi"/>
          <w:b/>
          <w:szCs w:val="24"/>
        </w:rPr>
      </w:pPr>
      <w:r w:rsidRPr="00905638">
        <w:rPr>
          <w:rFonts w:asciiTheme="majorBidi" w:eastAsiaTheme="minorEastAsia" w:hAnsiTheme="majorBidi" w:cstheme="majorBidi"/>
          <w:b/>
          <w:szCs w:val="24"/>
        </w:rPr>
        <w:lastRenderedPageBreak/>
        <w:t xml:space="preserve">Table </w:t>
      </w:r>
      <w:r>
        <w:rPr>
          <w:rFonts w:asciiTheme="majorBidi" w:eastAsiaTheme="minorEastAsia" w:hAnsiTheme="majorBidi" w:cstheme="majorBidi"/>
          <w:b/>
          <w:szCs w:val="24"/>
        </w:rPr>
        <w:t>III.</w:t>
      </w:r>
      <w:r w:rsidRPr="00905638">
        <w:rPr>
          <w:rFonts w:asciiTheme="majorBidi" w:eastAsiaTheme="minorEastAsia" w:hAnsiTheme="majorBidi" w:cstheme="majorBidi"/>
          <w:b/>
          <w:szCs w:val="24"/>
        </w:rPr>
        <w:t xml:space="preserve"> Frequency of molecular and cytogenetic assessments at ELN milestones for patients on first and second TKI</w:t>
      </w:r>
    </w:p>
    <w:tbl>
      <w:tblPr>
        <w:tblStyle w:val="TableGrid"/>
        <w:tblW w:w="5000" w:type="pct"/>
        <w:tblLayout w:type="fixed"/>
        <w:tblLook w:val="04A0" w:firstRow="1" w:lastRow="0" w:firstColumn="1" w:lastColumn="0" w:noHBand="0" w:noVBand="1"/>
      </w:tblPr>
      <w:tblGrid>
        <w:gridCol w:w="3981"/>
        <w:gridCol w:w="1526"/>
        <w:gridCol w:w="1386"/>
        <w:gridCol w:w="1247"/>
        <w:gridCol w:w="1210"/>
      </w:tblGrid>
      <w:tr w:rsidR="00B331A1" w:rsidRPr="007842E1" w:rsidTr="00BA6AE5">
        <w:trPr>
          <w:trHeight w:val="864"/>
        </w:trPr>
        <w:tc>
          <w:tcPr>
            <w:tcW w:w="2129" w:type="pct"/>
          </w:tcPr>
          <w:p w:rsidR="00B331A1" w:rsidRPr="00566F64" w:rsidRDefault="00B331A1" w:rsidP="00BA6AE5">
            <w:pPr>
              <w:rPr>
                <w:rFonts w:ascii="Times New Roman" w:eastAsiaTheme="minorEastAsia" w:hAnsi="Times New Roman" w:cs="Times New Roman"/>
              </w:rPr>
            </w:pPr>
          </w:p>
        </w:tc>
        <w:tc>
          <w:tcPr>
            <w:tcW w:w="816" w:type="pct"/>
          </w:tcPr>
          <w:p w:rsidR="00B331A1" w:rsidRDefault="00B331A1" w:rsidP="00BA6AE5">
            <w:pPr>
              <w:rPr>
                <w:rFonts w:ascii="Times New Roman" w:eastAsiaTheme="minorEastAsia" w:hAnsi="Times New Roman" w:cs="Times New Roman"/>
                <w:bCs/>
              </w:rPr>
            </w:pPr>
            <w:r w:rsidRPr="00566F64">
              <w:rPr>
                <w:rFonts w:ascii="Times New Roman" w:eastAsiaTheme="minorEastAsia" w:hAnsi="Times New Roman" w:cs="Times New Roman"/>
                <w:bCs/>
              </w:rPr>
              <w:t>All patients</w:t>
            </w:r>
          </w:p>
          <w:p w:rsidR="00B331A1" w:rsidRDefault="00B331A1" w:rsidP="00BA6AE5">
            <w:pPr>
              <w:rPr>
                <w:rFonts w:ascii="Times New Roman" w:eastAsiaTheme="minorEastAsia" w:hAnsi="Times New Roman" w:cs="Times New Roman"/>
                <w:bCs/>
              </w:rPr>
            </w:pPr>
          </w:p>
          <w:p w:rsidR="00B331A1" w:rsidRDefault="00B331A1" w:rsidP="00BA6AE5">
            <w:pPr>
              <w:rPr>
                <w:rFonts w:ascii="Times New Roman" w:eastAsiaTheme="minorEastAsia" w:hAnsi="Times New Roman" w:cs="Times New Roman"/>
                <w:bCs/>
              </w:rPr>
            </w:pPr>
          </w:p>
          <w:p w:rsidR="00B331A1" w:rsidRPr="00566F64" w:rsidRDefault="00B331A1" w:rsidP="00BA6AE5">
            <w:pPr>
              <w:rPr>
                <w:rFonts w:ascii="Times New Roman" w:eastAsiaTheme="minorEastAsia" w:hAnsi="Times New Roman" w:cs="Times New Roman"/>
                <w:bCs/>
              </w:rPr>
            </w:pPr>
            <w:r>
              <w:rPr>
                <w:rFonts w:ascii="Times New Roman" w:eastAsiaTheme="minorEastAsia" w:hAnsi="Times New Roman" w:cs="Times New Roman"/>
                <w:bCs/>
              </w:rPr>
              <w:t>n (%)</w:t>
            </w:r>
          </w:p>
        </w:tc>
        <w:tc>
          <w:tcPr>
            <w:tcW w:w="741" w:type="pct"/>
          </w:tcPr>
          <w:p w:rsidR="00B331A1" w:rsidRDefault="00B331A1" w:rsidP="00BA6AE5">
            <w:pPr>
              <w:rPr>
                <w:rFonts w:ascii="Times New Roman" w:eastAsiaTheme="minorEastAsia" w:hAnsi="Times New Roman" w:cs="Times New Roman"/>
                <w:bCs/>
              </w:rPr>
            </w:pPr>
            <w:r w:rsidRPr="00566F64">
              <w:rPr>
                <w:rFonts w:ascii="Times New Roman" w:eastAsiaTheme="minorEastAsia" w:hAnsi="Times New Roman" w:cs="Times New Roman"/>
                <w:bCs/>
              </w:rPr>
              <w:t xml:space="preserve">Imatinib </w:t>
            </w:r>
          </w:p>
          <w:p w:rsidR="00B331A1" w:rsidRDefault="00B331A1" w:rsidP="00BA6AE5">
            <w:pPr>
              <w:rPr>
                <w:rFonts w:ascii="Times New Roman" w:eastAsiaTheme="minorEastAsia" w:hAnsi="Times New Roman" w:cs="Times New Roman"/>
                <w:bCs/>
              </w:rPr>
            </w:pPr>
            <w:r>
              <w:rPr>
                <w:rFonts w:ascii="Times New Roman" w:eastAsiaTheme="minorEastAsia" w:hAnsi="Times New Roman" w:cs="Times New Roman"/>
                <w:bCs/>
              </w:rPr>
              <w:t>first</w:t>
            </w:r>
            <w:r w:rsidRPr="00566F64">
              <w:rPr>
                <w:rFonts w:ascii="Times New Roman" w:eastAsiaTheme="minorEastAsia" w:hAnsi="Times New Roman" w:cs="Times New Roman"/>
                <w:bCs/>
              </w:rPr>
              <w:t xml:space="preserve"> line</w:t>
            </w:r>
          </w:p>
          <w:p w:rsidR="00B331A1" w:rsidRDefault="00B331A1" w:rsidP="00BA6AE5">
            <w:pPr>
              <w:rPr>
                <w:rFonts w:ascii="Times New Roman" w:eastAsiaTheme="minorEastAsia" w:hAnsi="Times New Roman" w:cs="Times New Roman"/>
                <w:bCs/>
              </w:rPr>
            </w:pPr>
            <w:r>
              <w:rPr>
                <w:rFonts w:ascii="Times New Roman" w:eastAsiaTheme="minorEastAsia" w:hAnsi="Times New Roman" w:cs="Times New Roman"/>
                <w:bCs/>
              </w:rPr>
              <w:t xml:space="preserve"> </w:t>
            </w:r>
          </w:p>
          <w:p w:rsidR="00B331A1" w:rsidRPr="00566F64" w:rsidRDefault="00B331A1" w:rsidP="00BA6AE5">
            <w:pPr>
              <w:rPr>
                <w:rFonts w:ascii="Times New Roman" w:eastAsiaTheme="minorEastAsia" w:hAnsi="Times New Roman" w:cs="Times New Roman"/>
                <w:bCs/>
              </w:rPr>
            </w:pPr>
            <w:r>
              <w:rPr>
                <w:rFonts w:ascii="Times New Roman" w:eastAsiaTheme="minorEastAsia" w:hAnsi="Times New Roman" w:cs="Times New Roman"/>
                <w:bCs/>
              </w:rPr>
              <w:t>n (%)</w:t>
            </w:r>
          </w:p>
        </w:tc>
        <w:tc>
          <w:tcPr>
            <w:tcW w:w="667" w:type="pct"/>
          </w:tcPr>
          <w:p w:rsidR="00B331A1" w:rsidRDefault="00B331A1" w:rsidP="00BA6AE5">
            <w:pPr>
              <w:rPr>
                <w:rFonts w:ascii="Times New Roman" w:eastAsiaTheme="minorEastAsia" w:hAnsi="Times New Roman" w:cs="Times New Roman"/>
                <w:bCs/>
              </w:rPr>
            </w:pPr>
            <w:r>
              <w:rPr>
                <w:rFonts w:ascii="Times New Roman" w:eastAsiaTheme="minorEastAsia" w:hAnsi="Times New Roman" w:cs="Times New Roman"/>
                <w:bCs/>
              </w:rPr>
              <w:t>Second-</w:t>
            </w:r>
            <w:r w:rsidRPr="00566F64">
              <w:rPr>
                <w:rFonts w:ascii="Times New Roman" w:eastAsiaTheme="minorEastAsia" w:hAnsi="Times New Roman" w:cs="Times New Roman"/>
                <w:bCs/>
              </w:rPr>
              <w:t xml:space="preserve">generation </w:t>
            </w:r>
            <w:r>
              <w:rPr>
                <w:rFonts w:ascii="Times New Roman" w:eastAsiaTheme="minorEastAsia" w:hAnsi="Times New Roman" w:cs="Times New Roman"/>
                <w:bCs/>
              </w:rPr>
              <w:t xml:space="preserve">first </w:t>
            </w:r>
            <w:r w:rsidRPr="00566F64">
              <w:rPr>
                <w:rFonts w:ascii="Times New Roman" w:eastAsiaTheme="minorEastAsia" w:hAnsi="Times New Roman" w:cs="Times New Roman"/>
                <w:bCs/>
              </w:rPr>
              <w:t>line</w:t>
            </w:r>
          </w:p>
          <w:p w:rsidR="00B331A1" w:rsidRPr="00566F64" w:rsidRDefault="00B331A1" w:rsidP="00BA6AE5">
            <w:pPr>
              <w:rPr>
                <w:rFonts w:ascii="Times New Roman" w:eastAsiaTheme="minorEastAsia" w:hAnsi="Times New Roman" w:cs="Times New Roman"/>
                <w:bCs/>
              </w:rPr>
            </w:pPr>
            <w:r>
              <w:rPr>
                <w:rFonts w:ascii="Times New Roman" w:eastAsiaTheme="minorEastAsia" w:hAnsi="Times New Roman" w:cs="Times New Roman"/>
                <w:bCs/>
              </w:rPr>
              <w:t>n (%)</w:t>
            </w:r>
          </w:p>
        </w:tc>
        <w:tc>
          <w:tcPr>
            <w:tcW w:w="647" w:type="pct"/>
          </w:tcPr>
          <w:p w:rsidR="00B331A1" w:rsidRDefault="00B331A1" w:rsidP="00BA6AE5">
            <w:pPr>
              <w:rPr>
                <w:rFonts w:ascii="Times New Roman" w:eastAsiaTheme="minorEastAsia" w:hAnsi="Times New Roman" w:cs="Times New Roman"/>
                <w:bCs/>
              </w:rPr>
            </w:pPr>
            <w:r w:rsidRPr="00566F64">
              <w:rPr>
                <w:rFonts w:ascii="Times New Roman" w:eastAsiaTheme="minorEastAsia" w:hAnsi="Times New Roman" w:cs="Times New Roman"/>
                <w:bCs/>
              </w:rPr>
              <w:t xml:space="preserve">Nilotinib </w:t>
            </w:r>
            <w:r>
              <w:rPr>
                <w:rFonts w:ascii="Times New Roman" w:eastAsiaTheme="minorEastAsia" w:hAnsi="Times New Roman" w:cs="Times New Roman"/>
                <w:bCs/>
              </w:rPr>
              <w:t>first</w:t>
            </w:r>
            <w:r w:rsidRPr="00566F64">
              <w:rPr>
                <w:rFonts w:ascii="Times New Roman" w:eastAsiaTheme="minorEastAsia" w:hAnsi="Times New Roman" w:cs="Times New Roman"/>
                <w:bCs/>
              </w:rPr>
              <w:t xml:space="preserve"> line</w:t>
            </w:r>
          </w:p>
          <w:p w:rsidR="00B331A1" w:rsidRDefault="00B331A1" w:rsidP="00BA6AE5">
            <w:pPr>
              <w:rPr>
                <w:rFonts w:ascii="Times New Roman" w:eastAsiaTheme="minorEastAsia" w:hAnsi="Times New Roman" w:cs="Times New Roman"/>
                <w:bCs/>
              </w:rPr>
            </w:pPr>
          </w:p>
          <w:p w:rsidR="00B331A1" w:rsidRPr="00566F64" w:rsidRDefault="00B331A1" w:rsidP="00BA6AE5">
            <w:pPr>
              <w:rPr>
                <w:rFonts w:ascii="Times New Roman" w:eastAsiaTheme="minorEastAsia" w:hAnsi="Times New Roman" w:cs="Times New Roman"/>
                <w:bCs/>
              </w:rPr>
            </w:pPr>
            <w:r>
              <w:rPr>
                <w:rFonts w:ascii="Times New Roman" w:eastAsiaTheme="minorEastAsia" w:hAnsi="Times New Roman" w:cs="Times New Roman"/>
                <w:bCs/>
              </w:rPr>
              <w:t>n (%)</w:t>
            </w:r>
          </w:p>
        </w:tc>
      </w:tr>
      <w:tr w:rsidR="00B331A1" w:rsidRPr="007842E1" w:rsidTr="00BA6AE5">
        <w:trPr>
          <w:trHeight w:val="288"/>
        </w:trPr>
        <w:tc>
          <w:tcPr>
            <w:tcW w:w="2129" w:type="pct"/>
            <w:shd w:val="clear" w:color="auto" w:fill="F2F2F2" w:themeFill="background1" w:themeFillShade="F2"/>
          </w:tcPr>
          <w:p w:rsidR="00B331A1" w:rsidRPr="006F6C80" w:rsidRDefault="00B331A1" w:rsidP="00BA6AE5">
            <w:pPr>
              <w:rPr>
                <w:rFonts w:ascii="Times New Roman" w:eastAsiaTheme="minorEastAsia" w:hAnsi="Times New Roman" w:cs="Times New Roman"/>
                <w:b/>
                <w:bCs/>
              </w:rPr>
            </w:pPr>
            <w:r>
              <w:rPr>
                <w:rFonts w:ascii="Times New Roman" w:eastAsiaTheme="minorEastAsia" w:hAnsi="Times New Roman" w:cs="Times New Roman"/>
                <w:b/>
              </w:rPr>
              <w:t xml:space="preserve">First </w:t>
            </w:r>
            <w:r w:rsidRPr="006F6C80">
              <w:rPr>
                <w:rFonts w:ascii="Times New Roman" w:eastAsiaTheme="minorEastAsia" w:hAnsi="Times New Roman" w:cs="Times New Roman"/>
                <w:b/>
              </w:rPr>
              <w:t>TKI</w:t>
            </w:r>
          </w:p>
        </w:tc>
        <w:tc>
          <w:tcPr>
            <w:tcW w:w="816" w:type="pct"/>
            <w:shd w:val="clear" w:color="auto" w:fill="F2F2F2" w:themeFill="background1" w:themeFillShade="F2"/>
          </w:tcPr>
          <w:p w:rsidR="00B331A1" w:rsidRPr="006F6C80" w:rsidRDefault="00B331A1" w:rsidP="00BA6AE5">
            <w:pPr>
              <w:rPr>
                <w:rFonts w:ascii="Times New Roman" w:eastAsiaTheme="minorEastAsia" w:hAnsi="Times New Roman" w:cs="Times New Roman"/>
                <w:b/>
                <w:bCs/>
              </w:rPr>
            </w:pPr>
          </w:p>
        </w:tc>
        <w:tc>
          <w:tcPr>
            <w:tcW w:w="741" w:type="pct"/>
            <w:shd w:val="clear" w:color="auto" w:fill="F2F2F2" w:themeFill="background1" w:themeFillShade="F2"/>
          </w:tcPr>
          <w:p w:rsidR="00B331A1" w:rsidRPr="006F6C80" w:rsidRDefault="00B331A1" w:rsidP="00BA6AE5">
            <w:pPr>
              <w:rPr>
                <w:rFonts w:ascii="Times New Roman" w:eastAsiaTheme="minorEastAsia" w:hAnsi="Times New Roman" w:cs="Times New Roman"/>
                <w:b/>
                <w:bCs/>
              </w:rPr>
            </w:pPr>
          </w:p>
        </w:tc>
        <w:tc>
          <w:tcPr>
            <w:tcW w:w="667" w:type="pct"/>
            <w:shd w:val="clear" w:color="auto" w:fill="F2F2F2" w:themeFill="background1" w:themeFillShade="F2"/>
          </w:tcPr>
          <w:p w:rsidR="00B331A1" w:rsidRPr="006F6C80" w:rsidRDefault="00B331A1" w:rsidP="00BA6AE5">
            <w:pPr>
              <w:rPr>
                <w:rFonts w:ascii="Times New Roman" w:eastAsiaTheme="minorEastAsia" w:hAnsi="Times New Roman" w:cs="Times New Roman"/>
                <w:b/>
                <w:bCs/>
              </w:rPr>
            </w:pPr>
          </w:p>
        </w:tc>
        <w:tc>
          <w:tcPr>
            <w:tcW w:w="647" w:type="pct"/>
            <w:shd w:val="clear" w:color="auto" w:fill="F2F2F2" w:themeFill="background1" w:themeFillShade="F2"/>
          </w:tcPr>
          <w:p w:rsidR="00B331A1" w:rsidRPr="006F6C80" w:rsidRDefault="00B331A1" w:rsidP="00BA6AE5">
            <w:pPr>
              <w:rPr>
                <w:rFonts w:ascii="Times New Roman" w:eastAsiaTheme="minorEastAsia" w:hAnsi="Times New Roman" w:cs="Times New Roman"/>
                <w:b/>
                <w:bCs/>
              </w:rPr>
            </w:pPr>
          </w:p>
        </w:tc>
      </w:tr>
      <w:tr w:rsidR="00B331A1" w:rsidRPr="007842E1" w:rsidTr="00BA6AE5">
        <w:trPr>
          <w:trHeight w:val="288"/>
        </w:trPr>
        <w:tc>
          <w:tcPr>
            <w:tcW w:w="2129" w:type="pct"/>
            <w:hideMark/>
          </w:tcPr>
          <w:p w:rsidR="00B331A1" w:rsidRPr="006F6C80" w:rsidRDefault="00B331A1" w:rsidP="00BA6AE5">
            <w:pPr>
              <w:rPr>
                <w:rFonts w:ascii="Times New Roman" w:eastAsiaTheme="minorEastAsia" w:hAnsi="Times New Roman" w:cs="Times New Roman"/>
                <w:b/>
              </w:rPr>
            </w:pPr>
            <w:r w:rsidRPr="006F6C80">
              <w:rPr>
                <w:rFonts w:ascii="Times New Roman" w:eastAsiaTheme="minorEastAsia" w:hAnsi="Times New Roman" w:cs="Times New Roman"/>
                <w:b/>
              </w:rPr>
              <w:t>RQ-PCR</w:t>
            </w:r>
          </w:p>
        </w:tc>
        <w:tc>
          <w:tcPr>
            <w:tcW w:w="816" w:type="pct"/>
            <w:hideMark/>
          </w:tcPr>
          <w:p w:rsidR="00B331A1" w:rsidRPr="006F6C80" w:rsidRDefault="00B331A1" w:rsidP="00BA6AE5">
            <w:pPr>
              <w:rPr>
                <w:rFonts w:ascii="Times New Roman" w:eastAsiaTheme="minorEastAsia" w:hAnsi="Times New Roman" w:cs="Times New Roman"/>
                <w:bCs/>
              </w:rPr>
            </w:pPr>
            <w:r w:rsidRPr="006F6C80">
              <w:rPr>
                <w:rFonts w:ascii="Times New Roman" w:eastAsiaTheme="minorEastAsia" w:hAnsi="Times New Roman" w:cs="Times New Roman"/>
                <w:bCs/>
              </w:rPr>
              <w:t> </w:t>
            </w:r>
          </w:p>
        </w:tc>
        <w:tc>
          <w:tcPr>
            <w:tcW w:w="741" w:type="pct"/>
            <w:hideMark/>
          </w:tcPr>
          <w:p w:rsidR="00B331A1" w:rsidRPr="006F6C80" w:rsidRDefault="00B331A1" w:rsidP="00BA6AE5">
            <w:pPr>
              <w:rPr>
                <w:rFonts w:ascii="Times New Roman" w:eastAsiaTheme="minorEastAsia" w:hAnsi="Times New Roman" w:cs="Times New Roman"/>
                <w:bCs/>
              </w:rPr>
            </w:pPr>
            <w:r w:rsidRPr="006F6C80">
              <w:rPr>
                <w:rFonts w:ascii="Times New Roman" w:eastAsiaTheme="minorEastAsia" w:hAnsi="Times New Roman" w:cs="Times New Roman"/>
                <w:bCs/>
              </w:rPr>
              <w:t> </w:t>
            </w:r>
          </w:p>
        </w:tc>
        <w:tc>
          <w:tcPr>
            <w:tcW w:w="667" w:type="pct"/>
            <w:hideMark/>
          </w:tcPr>
          <w:p w:rsidR="00B331A1" w:rsidRPr="006F6C80" w:rsidRDefault="00B331A1" w:rsidP="00BA6AE5">
            <w:pPr>
              <w:rPr>
                <w:rFonts w:ascii="Times New Roman" w:eastAsiaTheme="minorEastAsia" w:hAnsi="Times New Roman" w:cs="Times New Roman"/>
                <w:bCs/>
              </w:rPr>
            </w:pPr>
            <w:r w:rsidRPr="006F6C80">
              <w:rPr>
                <w:rFonts w:ascii="Times New Roman" w:eastAsiaTheme="minorEastAsia" w:hAnsi="Times New Roman" w:cs="Times New Roman"/>
                <w:bCs/>
              </w:rPr>
              <w:t> </w:t>
            </w:r>
          </w:p>
        </w:tc>
        <w:tc>
          <w:tcPr>
            <w:tcW w:w="647" w:type="pct"/>
            <w:hideMark/>
          </w:tcPr>
          <w:p w:rsidR="00B331A1" w:rsidRPr="006F6C80" w:rsidRDefault="00B331A1" w:rsidP="00BA6AE5">
            <w:pPr>
              <w:rPr>
                <w:rFonts w:ascii="Times New Roman" w:eastAsiaTheme="minorEastAsia" w:hAnsi="Times New Roman" w:cs="Times New Roman"/>
                <w:bCs/>
              </w:rPr>
            </w:pPr>
            <w:r w:rsidRPr="006F6C80">
              <w:rPr>
                <w:rFonts w:ascii="Times New Roman" w:eastAsiaTheme="minorEastAsia" w:hAnsi="Times New Roman" w:cs="Times New Roman"/>
                <w:bCs/>
              </w:rPr>
              <w:t> </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3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a</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180/223 (81)</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143/173 (83)</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37/50 (74)</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35/47 (74)</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6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b</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141/199 (71)</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105/154 (68)</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36/45 (80)</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34/42 (81)</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12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c</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117/170 (</w:t>
            </w:r>
            <w:r>
              <w:rPr>
                <w:rFonts w:ascii="Times New Roman" w:eastAsiaTheme="minorEastAsia" w:hAnsi="Times New Roman" w:cs="Times New Roman"/>
              </w:rPr>
              <w:t>69</w:t>
            </w:r>
            <w:r w:rsidRPr="006F6C80">
              <w:rPr>
                <w:rFonts w:ascii="Times New Roman" w:eastAsiaTheme="minorEastAsia" w:hAnsi="Times New Roman" w:cs="Times New Roman"/>
              </w:rPr>
              <w:t>)</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95/132 (72)</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22/38 (58)</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21/35 (60)</w:t>
            </w:r>
          </w:p>
        </w:tc>
      </w:tr>
      <w:tr w:rsidR="00B331A1" w:rsidRPr="007842E1" w:rsidTr="00BA6AE5">
        <w:trPr>
          <w:trHeight w:val="324"/>
        </w:trPr>
        <w:tc>
          <w:tcPr>
            <w:tcW w:w="2129" w:type="pct"/>
            <w:noWrap/>
          </w:tcPr>
          <w:p w:rsidR="00B331A1" w:rsidRPr="001620CD" w:rsidRDefault="00B331A1" w:rsidP="00BA6AE5">
            <w:pPr>
              <w:rPr>
                <w:rFonts w:ascii="Times New Roman" w:eastAsiaTheme="minorEastAsia" w:hAnsi="Times New Roman" w:cs="Times New Roman"/>
                <w:b/>
              </w:rPr>
            </w:pPr>
            <w:r w:rsidRPr="001620CD">
              <w:rPr>
                <w:rFonts w:ascii="Times New Roman" w:eastAsiaTheme="minorEastAsia" w:hAnsi="Times New Roman" w:cs="Times New Roman"/>
                <w:b/>
              </w:rPr>
              <w:t>CBA/FISH</w:t>
            </w:r>
          </w:p>
        </w:tc>
        <w:tc>
          <w:tcPr>
            <w:tcW w:w="816" w:type="pct"/>
            <w:noWrap/>
          </w:tcPr>
          <w:p w:rsidR="00B331A1" w:rsidRPr="001620CD" w:rsidRDefault="00B331A1" w:rsidP="00BA6AE5">
            <w:pPr>
              <w:rPr>
                <w:rFonts w:ascii="Times New Roman" w:eastAsiaTheme="minorEastAsia" w:hAnsi="Times New Roman" w:cs="Times New Roman"/>
              </w:rPr>
            </w:pPr>
          </w:p>
        </w:tc>
        <w:tc>
          <w:tcPr>
            <w:tcW w:w="741" w:type="pct"/>
            <w:noWrap/>
          </w:tcPr>
          <w:p w:rsidR="00B331A1" w:rsidRPr="001620CD" w:rsidRDefault="00B331A1" w:rsidP="00BA6AE5">
            <w:pPr>
              <w:rPr>
                <w:rFonts w:ascii="Times New Roman" w:eastAsiaTheme="minorEastAsia" w:hAnsi="Times New Roman" w:cs="Times New Roman"/>
              </w:rPr>
            </w:pPr>
          </w:p>
        </w:tc>
        <w:tc>
          <w:tcPr>
            <w:tcW w:w="667" w:type="pct"/>
            <w:noWrap/>
          </w:tcPr>
          <w:p w:rsidR="00B331A1" w:rsidRPr="001620CD" w:rsidRDefault="00B331A1" w:rsidP="00BA6AE5">
            <w:pPr>
              <w:rPr>
                <w:rFonts w:ascii="Times New Roman" w:eastAsiaTheme="minorEastAsia" w:hAnsi="Times New Roman" w:cs="Times New Roman"/>
              </w:rPr>
            </w:pPr>
          </w:p>
        </w:tc>
        <w:tc>
          <w:tcPr>
            <w:tcW w:w="647" w:type="pct"/>
            <w:noWrap/>
          </w:tcPr>
          <w:p w:rsidR="00B331A1" w:rsidRPr="001620CD" w:rsidRDefault="00B331A1" w:rsidP="00BA6AE5">
            <w:pPr>
              <w:rPr>
                <w:rFonts w:ascii="Times New Roman" w:eastAsiaTheme="minorEastAsia" w:hAnsi="Times New Roman" w:cs="Times New Roman"/>
              </w:rPr>
            </w:pPr>
          </w:p>
        </w:tc>
      </w:tr>
      <w:tr w:rsidR="00B331A1" w:rsidRPr="007842E1" w:rsidTr="00BA6AE5">
        <w:trPr>
          <w:trHeight w:val="324"/>
        </w:trPr>
        <w:tc>
          <w:tcPr>
            <w:tcW w:w="2129"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 xml:space="preserve">3 </w:t>
            </w:r>
            <w:proofErr w:type="spellStart"/>
            <w:r w:rsidRPr="001620CD">
              <w:rPr>
                <w:rFonts w:ascii="Times New Roman" w:eastAsiaTheme="minorEastAsia" w:hAnsi="Times New Roman" w:cs="Times New Roman"/>
              </w:rPr>
              <w:t>months</w:t>
            </w:r>
            <w:r w:rsidRPr="001620CD">
              <w:rPr>
                <w:rFonts w:ascii="Times New Roman" w:eastAsiaTheme="minorEastAsia" w:hAnsi="Times New Roman" w:cs="Times New Roman"/>
                <w:vertAlign w:val="superscript"/>
              </w:rPr>
              <w:t>a</w:t>
            </w:r>
            <w:proofErr w:type="spellEnd"/>
          </w:p>
        </w:tc>
        <w:tc>
          <w:tcPr>
            <w:tcW w:w="816"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15/223 (7)</w:t>
            </w:r>
          </w:p>
        </w:tc>
        <w:tc>
          <w:tcPr>
            <w:tcW w:w="741"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15/173 (9)</w:t>
            </w:r>
          </w:p>
        </w:tc>
        <w:tc>
          <w:tcPr>
            <w:tcW w:w="66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0/50 (0)</w:t>
            </w:r>
          </w:p>
        </w:tc>
        <w:tc>
          <w:tcPr>
            <w:tcW w:w="64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0/47 (0)</w:t>
            </w:r>
          </w:p>
        </w:tc>
      </w:tr>
      <w:tr w:rsidR="00B331A1" w:rsidRPr="007842E1" w:rsidTr="00BA6AE5">
        <w:trPr>
          <w:trHeight w:val="324"/>
        </w:trPr>
        <w:tc>
          <w:tcPr>
            <w:tcW w:w="2129"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 xml:space="preserve">6 </w:t>
            </w:r>
            <w:proofErr w:type="spellStart"/>
            <w:r w:rsidRPr="001620CD">
              <w:rPr>
                <w:rFonts w:ascii="Times New Roman" w:eastAsiaTheme="minorEastAsia" w:hAnsi="Times New Roman" w:cs="Times New Roman"/>
              </w:rPr>
              <w:t>months</w:t>
            </w:r>
            <w:r w:rsidRPr="001620CD">
              <w:rPr>
                <w:rFonts w:ascii="Times New Roman" w:eastAsiaTheme="minorEastAsia" w:hAnsi="Times New Roman" w:cs="Times New Roman"/>
                <w:vertAlign w:val="superscript"/>
              </w:rPr>
              <w:t>b</w:t>
            </w:r>
            <w:proofErr w:type="spellEnd"/>
          </w:p>
        </w:tc>
        <w:tc>
          <w:tcPr>
            <w:tcW w:w="816"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9/199 (5)</w:t>
            </w:r>
          </w:p>
        </w:tc>
        <w:tc>
          <w:tcPr>
            <w:tcW w:w="741"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8/154 (5)</w:t>
            </w:r>
          </w:p>
        </w:tc>
        <w:tc>
          <w:tcPr>
            <w:tcW w:w="66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1/45 (2)</w:t>
            </w:r>
          </w:p>
        </w:tc>
        <w:tc>
          <w:tcPr>
            <w:tcW w:w="64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1/42 (2)</w:t>
            </w:r>
          </w:p>
        </w:tc>
      </w:tr>
      <w:tr w:rsidR="00B331A1" w:rsidRPr="007842E1" w:rsidTr="00BA6AE5">
        <w:trPr>
          <w:trHeight w:val="324"/>
        </w:trPr>
        <w:tc>
          <w:tcPr>
            <w:tcW w:w="2129"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 xml:space="preserve">12 </w:t>
            </w:r>
            <w:proofErr w:type="spellStart"/>
            <w:r w:rsidRPr="001620CD">
              <w:rPr>
                <w:rFonts w:ascii="Times New Roman" w:eastAsiaTheme="minorEastAsia" w:hAnsi="Times New Roman" w:cs="Times New Roman"/>
              </w:rPr>
              <w:t>months</w:t>
            </w:r>
            <w:r w:rsidRPr="001620CD">
              <w:rPr>
                <w:rFonts w:ascii="Times New Roman" w:eastAsiaTheme="minorEastAsia" w:hAnsi="Times New Roman" w:cs="Times New Roman"/>
                <w:vertAlign w:val="superscript"/>
              </w:rPr>
              <w:t>c</w:t>
            </w:r>
            <w:proofErr w:type="spellEnd"/>
          </w:p>
        </w:tc>
        <w:tc>
          <w:tcPr>
            <w:tcW w:w="816"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2/170 (1)</w:t>
            </w:r>
          </w:p>
        </w:tc>
        <w:tc>
          <w:tcPr>
            <w:tcW w:w="741"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2/132 (2)</w:t>
            </w:r>
          </w:p>
        </w:tc>
        <w:tc>
          <w:tcPr>
            <w:tcW w:w="66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0/38 (0)</w:t>
            </w:r>
          </w:p>
        </w:tc>
        <w:tc>
          <w:tcPr>
            <w:tcW w:w="64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0/35 (0)</w:t>
            </w:r>
          </w:p>
        </w:tc>
      </w:tr>
      <w:tr w:rsidR="00B331A1" w:rsidRPr="007842E1" w:rsidTr="00BA6AE5">
        <w:trPr>
          <w:trHeight w:val="283"/>
        </w:trPr>
        <w:tc>
          <w:tcPr>
            <w:tcW w:w="2129" w:type="pct"/>
            <w:hideMark/>
          </w:tcPr>
          <w:p w:rsidR="00B331A1" w:rsidRPr="006F6C80" w:rsidRDefault="00B331A1" w:rsidP="00BA6AE5">
            <w:pPr>
              <w:rPr>
                <w:rFonts w:ascii="Times New Roman" w:eastAsiaTheme="minorEastAsia" w:hAnsi="Times New Roman" w:cs="Times New Roman"/>
                <w:b/>
              </w:rPr>
            </w:pPr>
            <w:r w:rsidRPr="006F6C80">
              <w:rPr>
                <w:rFonts w:ascii="Times New Roman" w:eastAsiaTheme="minorEastAsia" w:hAnsi="Times New Roman" w:cs="Times New Roman"/>
                <w:b/>
              </w:rPr>
              <w:t>CBA/FISH and/or RQ-PCR</w:t>
            </w:r>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w:t>
            </w:r>
          </w:p>
        </w:tc>
        <w:tc>
          <w:tcPr>
            <w:tcW w:w="667" w:type="pct"/>
            <w:noWrap/>
            <w:hideMark/>
          </w:tcPr>
          <w:p w:rsidR="00B331A1" w:rsidRPr="006F6C80" w:rsidRDefault="00B331A1" w:rsidP="00BA6AE5">
            <w:pPr>
              <w:rPr>
                <w:rFonts w:ascii="Times New Roman" w:eastAsiaTheme="minorEastAsia" w:hAnsi="Times New Roman" w:cs="Times New Roman"/>
              </w:rPr>
            </w:pP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3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a</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186/223 (83)</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148/173 (86)</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38/50 (76)</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36/47 (77)</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6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b</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151/199 (76)</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114/154 (74)</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37/45 (82)</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35/42 (83)</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12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c</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117/170 (</w:t>
            </w:r>
            <w:r>
              <w:rPr>
                <w:rFonts w:ascii="Times New Roman" w:eastAsiaTheme="minorEastAsia" w:hAnsi="Times New Roman" w:cs="Times New Roman"/>
              </w:rPr>
              <w:t>6</w:t>
            </w:r>
            <w:r w:rsidRPr="006F6C80">
              <w:rPr>
                <w:rFonts w:ascii="Times New Roman" w:eastAsiaTheme="minorEastAsia" w:hAnsi="Times New Roman" w:cs="Times New Roman"/>
              </w:rPr>
              <w:t>9)</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95/132 (72)</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22/38 (58)</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21/35 (60)</w:t>
            </w:r>
          </w:p>
        </w:tc>
      </w:tr>
      <w:tr w:rsidR="00B331A1" w:rsidRPr="007842E1" w:rsidTr="00BA6AE5">
        <w:trPr>
          <w:trHeight w:val="288"/>
        </w:trPr>
        <w:tc>
          <w:tcPr>
            <w:tcW w:w="2129" w:type="pct"/>
            <w:shd w:val="clear" w:color="auto" w:fill="F2F2F2" w:themeFill="background1" w:themeFillShade="F2"/>
          </w:tcPr>
          <w:p w:rsidR="00B331A1" w:rsidRPr="006F6C80" w:rsidRDefault="00B331A1" w:rsidP="00BA6AE5">
            <w:pPr>
              <w:rPr>
                <w:rFonts w:ascii="Times New Roman" w:eastAsiaTheme="minorEastAsia" w:hAnsi="Times New Roman" w:cs="Times New Roman"/>
                <w:b/>
              </w:rPr>
            </w:pPr>
            <w:r>
              <w:rPr>
                <w:rFonts w:ascii="Times New Roman" w:eastAsiaTheme="minorEastAsia" w:hAnsi="Times New Roman" w:cs="Times New Roman"/>
                <w:b/>
              </w:rPr>
              <w:t>Second</w:t>
            </w:r>
            <w:r w:rsidRPr="006F6C80">
              <w:rPr>
                <w:rFonts w:ascii="Times New Roman" w:eastAsiaTheme="minorEastAsia" w:hAnsi="Times New Roman" w:cs="Times New Roman"/>
                <w:b/>
              </w:rPr>
              <w:t xml:space="preserve"> TKI</w:t>
            </w:r>
          </w:p>
        </w:tc>
        <w:tc>
          <w:tcPr>
            <w:tcW w:w="816" w:type="pct"/>
            <w:shd w:val="clear" w:color="auto" w:fill="F2F2F2" w:themeFill="background1" w:themeFillShade="F2"/>
            <w:noWrap/>
          </w:tcPr>
          <w:p w:rsidR="00B331A1" w:rsidRPr="006F6C80" w:rsidRDefault="00B331A1" w:rsidP="00BA6AE5">
            <w:pPr>
              <w:rPr>
                <w:rFonts w:ascii="Times New Roman" w:eastAsiaTheme="minorEastAsia" w:hAnsi="Times New Roman" w:cs="Times New Roman"/>
              </w:rPr>
            </w:pPr>
          </w:p>
        </w:tc>
        <w:tc>
          <w:tcPr>
            <w:tcW w:w="741" w:type="pct"/>
            <w:shd w:val="clear" w:color="auto" w:fill="F2F2F2" w:themeFill="background1" w:themeFillShade="F2"/>
            <w:noWrap/>
          </w:tcPr>
          <w:p w:rsidR="00B331A1" w:rsidRPr="006F6C80" w:rsidRDefault="00B331A1" w:rsidP="00BA6AE5">
            <w:pPr>
              <w:rPr>
                <w:rFonts w:ascii="Times New Roman" w:eastAsiaTheme="minorEastAsia" w:hAnsi="Times New Roman" w:cs="Times New Roman"/>
              </w:rPr>
            </w:pPr>
          </w:p>
        </w:tc>
        <w:tc>
          <w:tcPr>
            <w:tcW w:w="667" w:type="pct"/>
            <w:shd w:val="clear" w:color="auto" w:fill="F2F2F2" w:themeFill="background1" w:themeFillShade="F2"/>
            <w:noWrap/>
          </w:tcPr>
          <w:p w:rsidR="00B331A1" w:rsidRPr="006F6C80" w:rsidRDefault="00B331A1" w:rsidP="00BA6AE5">
            <w:pPr>
              <w:rPr>
                <w:rFonts w:ascii="Times New Roman" w:eastAsiaTheme="minorEastAsia" w:hAnsi="Times New Roman" w:cs="Times New Roman"/>
              </w:rPr>
            </w:pPr>
          </w:p>
        </w:tc>
        <w:tc>
          <w:tcPr>
            <w:tcW w:w="647" w:type="pct"/>
            <w:shd w:val="clear" w:color="auto" w:fill="F2F2F2" w:themeFill="background1" w:themeFillShade="F2"/>
            <w:noWrap/>
          </w:tcPr>
          <w:p w:rsidR="00B331A1" w:rsidRPr="006F6C80" w:rsidRDefault="00B331A1" w:rsidP="00BA6AE5">
            <w:pPr>
              <w:rPr>
                <w:rFonts w:ascii="Times New Roman" w:eastAsiaTheme="minorEastAsia" w:hAnsi="Times New Roman" w:cs="Times New Roman"/>
              </w:rPr>
            </w:pPr>
          </w:p>
        </w:tc>
      </w:tr>
      <w:tr w:rsidR="00B331A1" w:rsidRPr="007842E1" w:rsidTr="00BA6AE5">
        <w:trPr>
          <w:trHeight w:val="288"/>
        </w:trPr>
        <w:tc>
          <w:tcPr>
            <w:tcW w:w="2129" w:type="pct"/>
            <w:hideMark/>
          </w:tcPr>
          <w:p w:rsidR="00B331A1" w:rsidRPr="006F6C80" w:rsidRDefault="00B331A1" w:rsidP="00BA6AE5">
            <w:pPr>
              <w:rPr>
                <w:rFonts w:ascii="Times New Roman" w:eastAsiaTheme="minorEastAsia" w:hAnsi="Times New Roman" w:cs="Times New Roman"/>
                <w:b/>
              </w:rPr>
            </w:pPr>
            <w:r w:rsidRPr="006F6C80">
              <w:rPr>
                <w:rFonts w:ascii="Times New Roman" w:eastAsiaTheme="minorEastAsia" w:hAnsi="Times New Roman" w:cs="Times New Roman"/>
                <w:b/>
              </w:rPr>
              <w:t>RQ-PCR</w:t>
            </w:r>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3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a</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63/82 (77)</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 8/</w:t>
            </w:r>
            <w:r w:rsidRPr="00740F52">
              <w:rPr>
                <w:rFonts w:ascii="Times New Roman" w:hAnsi="Times New Roman"/>
              </w:rPr>
              <w:t>10</w:t>
            </w:r>
            <w:r w:rsidRPr="006F6C80">
              <w:rPr>
                <w:rFonts w:ascii="Times New Roman" w:eastAsiaTheme="minorEastAsia" w:hAnsi="Times New Roman" w:cs="Times New Roman"/>
              </w:rPr>
              <w:t xml:space="preserve"> (80)</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55/</w:t>
            </w:r>
            <w:r w:rsidRPr="00740F52">
              <w:rPr>
                <w:rFonts w:ascii="Times New Roman" w:hAnsi="Times New Roman"/>
              </w:rPr>
              <w:t>72</w:t>
            </w:r>
            <w:r w:rsidRPr="006F6C80">
              <w:rPr>
                <w:rFonts w:ascii="Times New Roman" w:eastAsiaTheme="minorEastAsia" w:hAnsi="Times New Roman" w:cs="Times New Roman"/>
              </w:rPr>
              <w:t xml:space="preserve"> (76)</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43/</w:t>
            </w:r>
            <w:r w:rsidRPr="00740F52">
              <w:rPr>
                <w:rFonts w:ascii="Times New Roman" w:hAnsi="Times New Roman"/>
              </w:rPr>
              <w:t>54</w:t>
            </w:r>
            <w:r w:rsidRPr="006F6C80">
              <w:rPr>
                <w:rFonts w:ascii="Times New Roman" w:eastAsiaTheme="minorEastAsia" w:hAnsi="Times New Roman" w:cs="Times New Roman"/>
              </w:rPr>
              <w:t xml:space="preserve"> (80)</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6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b</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44/66 (67)</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 4/8 (50)</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40/58 (69)</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31/46 (67)</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12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c</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27/52 (52)</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 4/8 (50)</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23/44 (52)</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19/39 (49)</w:t>
            </w:r>
          </w:p>
        </w:tc>
      </w:tr>
      <w:tr w:rsidR="00B331A1" w:rsidRPr="007842E1" w:rsidTr="00BA6AE5">
        <w:trPr>
          <w:trHeight w:val="324"/>
        </w:trPr>
        <w:tc>
          <w:tcPr>
            <w:tcW w:w="2129" w:type="pct"/>
            <w:noWrap/>
          </w:tcPr>
          <w:p w:rsidR="00B331A1" w:rsidRPr="006F6C80"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b/>
              </w:rPr>
              <w:t>CBA or FISH</w:t>
            </w:r>
          </w:p>
        </w:tc>
        <w:tc>
          <w:tcPr>
            <w:tcW w:w="816" w:type="pct"/>
            <w:noWrap/>
          </w:tcPr>
          <w:p w:rsidR="00B331A1" w:rsidRPr="006F6C80" w:rsidRDefault="00B331A1" w:rsidP="00BA6AE5">
            <w:pPr>
              <w:rPr>
                <w:rFonts w:ascii="Times New Roman" w:eastAsiaTheme="minorEastAsia" w:hAnsi="Times New Roman" w:cs="Times New Roman"/>
              </w:rPr>
            </w:pPr>
          </w:p>
        </w:tc>
        <w:tc>
          <w:tcPr>
            <w:tcW w:w="741" w:type="pct"/>
            <w:noWrap/>
          </w:tcPr>
          <w:p w:rsidR="00B331A1" w:rsidRPr="006F6C80" w:rsidRDefault="00B331A1" w:rsidP="00BA6AE5">
            <w:pPr>
              <w:rPr>
                <w:rFonts w:ascii="Times New Roman" w:eastAsiaTheme="minorEastAsia" w:hAnsi="Times New Roman" w:cs="Times New Roman"/>
              </w:rPr>
            </w:pPr>
          </w:p>
        </w:tc>
        <w:tc>
          <w:tcPr>
            <w:tcW w:w="667" w:type="pct"/>
            <w:noWrap/>
          </w:tcPr>
          <w:p w:rsidR="00B331A1" w:rsidRPr="006F6C80" w:rsidRDefault="00B331A1" w:rsidP="00BA6AE5">
            <w:pPr>
              <w:rPr>
                <w:rFonts w:ascii="Times New Roman" w:eastAsiaTheme="minorEastAsia" w:hAnsi="Times New Roman" w:cs="Times New Roman"/>
              </w:rPr>
            </w:pPr>
          </w:p>
        </w:tc>
        <w:tc>
          <w:tcPr>
            <w:tcW w:w="647" w:type="pct"/>
            <w:noWrap/>
          </w:tcPr>
          <w:p w:rsidR="00B331A1" w:rsidRPr="006F6C80" w:rsidRDefault="00B331A1" w:rsidP="00BA6AE5">
            <w:pPr>
              <w:rPr>
                <w:rFonts w:ascii="Times New Roman" w:eastAsiaTheme="minorEastAsia" w:hAnsi="Times New Roman" w:cs="Times New Roman"/>
              </w:rPr>
            </w:pPr>
          </w:p>
        </w:tc>
      </w:tr>
      <w:tr w:rsidR="00B331A1" w:rsidRPr="007842E1" w:rsidTr="00BA6AE5">
        <w:trPr>
          <w:trHeight w:val="324"/>
        </w:trPr>
        <w:tc>
          <w:tcPr>
            <w:tcW w:w="2129" w:type="pct"/>
            <w:noWrap/>
          </w:tcPr>
          <w:p w:rsidR="00B331A1" w:rsidRPr="006F6C80"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 xml:space="preserve">3 </w:t>
            </w:r>
            <w:proofErr w:type="spellStart"/>
            <w:r w:rsidRPr="001620CD">
              <w:rPr>
                <w:rFonts w:ascii="Times New Roman" w:eastAsiaTheme="minorEastAsia" w:hAnsi="Times New Roman" w:cs="Times New Roman"/>
              </w:rPr>
              <w:t>months</w:t>
            </w:r>
            <w:r w:rsidRPr="001620CD">
              <w:rPr>
                <w:rFonts w:ascii="Times New Roman" w:eastAsiaTheme="minorEastAsia" w:hAnsi="Times New Roman" w:cs="Times New Roman"/>
                <w:vertAlign w:val="superscript"/>
              </w:rPr>
              <w:t>a</w:t>
            </w:r>
            <w:proofErr w:type="spellEnd"/>
          </w:p>
        </w:tc>
        <w:tc>
          <w:tcPr>
            <w:tcW w:w="816"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12/82 (15)</w:t>
            </w:r>
          </w:p>
        </w:tc>
        <w:tc>
          <w:tcPr>
            <w:tcW w:w="741"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2/10 (20)</w:t>
            </w:r>
          </w:p>
        </w:tc>
        <w:tc>
          <w:tcPr>
            <w:tcW w:w="66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10/72 (14)</w:t>
            </w:r>
          </w:p>
        </w:tc>
        <w:tc>
          <w:tcPr>
            <w:tcW w:w="64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9/54 (17)</w:t>
            </w:r>
          </w:p>
        </w:tc>
      </w:tr>
      <w:tr w:rsidR="00B331A1" w:rsidRPr="007842E1" w:rsidTr="00BA6AE5">
        <w:trPr>
          <w:trHeight w:val="324"/>
        </w:trPr>
        <w:tc>
          <w:tcPr>
            <w:tcW w:w="2129" w:type="pct"/>
            <w:noWrap/>
          </w:tcPr>
          <w:p w:rsidR="00B331A1" w:rsidRPr="006F6C80"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 xml:space="preserve">6 </w:t>
            </w:r>
            <w:proofErr w:type="spellStart"/>
            <w:r w:rsidRPr="001620CD">
              <w:rPr>
                <w:rFonts w:ascii="Times New Roman" w:eastAsiaTheme="minorEastAsia" w:hAnsi="Times New Roman" w:cs="Times New Roman"/>
              </w:rPr>
              <w:t>months</w:t>
            </w:r>
            <w:r w:rsidRPr="001620CD">
              <w:rPr>
                <w:rFonts w:ascii="Times New Roman" w:eastAsiaTheme="minorEastAsia" w:hAnsi="Times New Roman" w:cs="Times New Roman"/>
                <w:vertAlign w:val="superscript"/>
              </w:rPr>
              <w:t>b</w:t>
            </w:r>
            <w:proofErr w:type="spellEnd"/>
          </w:p>
        </w:tc>
        <w:tc>
          <w:tcPr>
            <w:tcW w:w="816"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4/66 (6)</w:t>
            </w:r>
          </w:p>
        </w:tc>
        <w:tc>
          <w:tcPr>
            <w:tcW w:w="741"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0/8 (0)</w:t>
            </w:r>
          </w:p>
        </w:tc>
        <w:tc>
          <w:tcPr>
            <w:tcW w:w="66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4/58 (7)</w:t>
            </w:r>
          </w:p>
        </w:tc>
        <w:tc>
          <w:tcPr>
            <w:tcW w:w="64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4/46 (9)</w:t>
            </w:r>
          </w:p>
        </w:tc>
      </w:tr>
      <w:tr w:rsidR="00B331A1" w:rsidRPr="007842E1" w:rsidTr="00BA6AE5">
        <w:trPr>
          <w:trHeight w:val="324"/>
        </w:trPr>
        <w:tc>
          <w:tcPr>
            <w:tcW w:w="2129" w:type="pct"/>
            <w:noWrap/>
          </w:tcPr>
          <w:p w:rsidR="00B331A1" w:rsidRPr="006F6C80"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 xml:space="preserve">12 </w:t>
            </w:r>
            <w:proofErr w:type="spellStart"/>
            <w:r w:rsidRPr="001620CD">
              <w:rPr>
                <w:rFonts w:ascii="Times New Roman" w:eastAsiaTheme="minorEastAsia" w:hAnsi="Times New Roman" w:cs="Times New Roman"/>
              </w:rPr>
              <w:t>months</w:t>
            </w:r>
            <w:r w:rsidRPr="001620CD">
              <w:rPr>
                <w:rFonts w:ascii="Times New Roman" w:eastAsiaTheme="minorEastAsia" w:hAnsi="Times New Roman" w:cs="Times New Roman"/>
                <w:vertAlign w:val="superscript"/>
              </w:rPr>
              <w:t>c</w:t>
            </w:r>
            <w:proofErr w:type="spellEnd"/>
          </w:p>
        </w:tc>
        <w:tc>
          <w:tcPr>
            <w:tcW w:w="816"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1/52 (2)</w:t>
            </w:r>
          </w:p>
        </w:tc>
        <w:tc>
          <w:tcPr>
            <w:tcW w:w="741"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0/8 (0)</w:t>
            </w:r>
          </w:p>
        </w:tc>
        <w:tc>
          <w:tcPr>
            <w:tcW w:w="66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1/44 (2)</w:t>
            </w:r>
          </w:p>
        </w:tc>
        <w:tc>
          <w:tcPr>
            <w:tcW w:w="647" w:type="pct"/>
            <w:noWrap/>
          </w:tcPr>
          <w:p w:rsidR="00B331A1" w:rsidRPr="001620CD" w:rsidRDefault="00B331A1" w:rsidP="00BA6AE5">
            <w:pPr>
              <w:rPr>
                <w:rFonts w:ascii="Times New Roman" w:eastAsiaTheme="minorEastAsia" w:hAnsi="Times New Roman" w:cs="Times New Roman"/>
              </w:rPr>
            </w:pPr>
            <w:r w:rsidRPr="001620CD">
              <w:rPr>
                <w:rFonts w:ascii="Times New Roman" w:eastAsiaTheme="minorEastAsia" w:hAnsi="Times New Roman" w:cs="Times New Roman"/>
              </w:rPr>
              <w:t>1/39 (3)</w:t>
            </w:r>
          </w:p>
        </w:tc>
      </w:tr>
      <w:tr w:rsidR="00B331A1" w:rsidRPr="007842E1" w:rsidTr="00BA6AE5">
        <w:trPr>
          <w:trHeight w:val="278"/>
        </w:trPr>
        <w:tc>
          <w:tcPr>
            <w:tcW w:w="2129" w:type="pct"/>
            <w:hideMark/>
          </w:tcPr>
          <w:p w:rsidR="00B331A1" w:rsidRPr="006F6C80" w:rsidRDefault="00B331A1" w:rsidP="00BA6AE5">
            <w:pPr>
              <w:rPr>
                <w:rFonts w:ascii="Times New Roman" w:eastAsiaTheme="minorEastAsia" w:hAnsi="Times New Roman" w:cs="Times New Roman"/>
                <w:b/>
              </w:rPr>
            </w:pPr>
            <w:r w:rsidRPr="006F6C80">
              <w:rPr>
                <w:rFonts w:ascii="Times New Roman" w:eastAsiaTheme="minorEastAsia" w:hAnsi="Times New Roman" w:cs="Times New Roman"/>
                <w:b/>
              </w:rPr>
              <w:t>CBA/FISH and/or RQ-PCR</w:t>
            </w:r>
          </w:p>
        </w:tc>
        <w:tc>
          <w:tcPr>
            <w:tcW w:w="816" w:type="pct"/>
            <w:noWrap/>
            <w:hideMark/>
          </w:tcPr>
          <w:p w:rsidR="00B331A1" w:rsidRPr="006F6C80" w:rsidRDefault="00B331A1" w:rsidP="00BA6AE5">
            <w:pPr>
              <w:rPr>
                <w:rFonts w:ascii="Times New Roman" w:eastAsiaTheme="minorEastAsia" w:hAnsi="Times New Roman" w:cs="Times New Roman"/>
              </w:rPr>
            </w:pPr>
          </w:p>
        </w:tc>
        <w:tc>
          <w:tcPr>
            <w:tcW w:w="741" w:type="pct"/>
            <w:noWrap/>
            <w:hideMark/>
          </w:tcPr>
          <w:p w:rsidR="00B331A1" w:rsidRPr="006F6C80" w:rsidRDefault="00B331A1" w:rsidP="00BA6AE5">
            <w:pPr>
              <w:rPr>
                <w:rFonts w:ascii="Times New Roman" w:eastAsiaTheme="minorEastAsia" w:hAnsi="Times New Roman" w:cs="Times New Roman"/>
              </w:rPr>
            </w:pPr>
          </w:p>
        </w:tc>
        <w:tc>
          <w:tcPr>
            <w:tcW w:w="667" w:type="pct"/>
            <w:noWrap/>
            <w:hideMark/>
          </w:tcPr>
          <w:p w:rsidR="00B331A1" w:rsidRPr="006F6C80" w:rsidRDefault="00B331A1" w:rsidP="00BA6AE5">
            <w:pPr>
              <w:rPr>
                <w:rFonts w:ascii="Times New Roman" w:eastAsiaTheme="minorEastAsia" w:hAnsi="Times New Roman" w:cs="Times New Roman"/>
              </w:rPr>
            </w:pPr>
          </w:p>
        </w:tc>
        <w:tc>
          <w:tcPr>
            <w:tcW w:w="647" w:type="pct"/>
            <w:noWrap/>
            <w:hideMark/>
          </w:tcPr>
          <w:p w:rsidR="00B331A1" w:rsidRPr="006F6C80" w:rsidRDefault="00B331A1" w:rsidP="00BA6AE5">
            <w:pPr>
              <w:rPr>
                <w:rFonts w:ascii="Times New Roman" w:eastAsiaTheme="minorEastAsia" w:hAnsi="Times New Roman" w:cs="Times New Roman"/>
              </w:rPr>
            </w:pP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3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a</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65/82 (79)</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 8/10 (80)</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57/72 (79)</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45/54 (83)</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6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b</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45/66 (68)</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 4/8 (50)</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41/58 (71)</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32/46 (70)</w:t>
            </w:r>
          </w:p>
        </w:tc>
      </w:tr>
      <w:tr w:rsidR="00B331A1" w:rsidRPr="007842E1" w:rsidTr="00BA6AE5">
        <w:trPr>
          <w:trHeight w:val="324"/>
        </w:trPr>
        <w:tc>
          <w:tcPr>
            <w:tcW w:w="2129"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12 </w:t>
            </w:r>
            <w:proofErr w:type="spellStart"/>
            <w:r w:rsidRPr="006F6C80">
              <w:rPr>
                <w:rFonts w:ascii="Times New Roman" w:eastAsiaTheme="minorEastAsia" w:hAnsi="Times New Roman" w:cs="Times New Roman"/>
              </w:rPr>
              <w:t>months</w:t>
            </w:r>
            <w:r w:rsidRPr="006F6C80">
              <w:rPr>
                <w:rFonts w:ascii="Times New Roman" w:eastAsiaTheme="minorEastAsia" w:hAnsi="Times New Roman" w:cs="Times New Roman"/>
                <w:vertAlign w:val="superscript"/>
              </w:rPr>
              <w:t>c</w:t>
            </w:r>
            <w:proofErr w:type="spellEnd"/>
          </w:p>
        </w:tc>
        <w:tc>
          <w:tcPr>
            <w:tcW w:w="816"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27/52 (52)</w:t>
            </w:r>
          </w:p>
        </w:tc>
        <w:tc>
          <w:tcPr>
            <w:tcW w:w="741"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 4/8 (50)</w:t>
            </w:r>
          </w:p>
        </w:tc>
        <w:tc>
          <w:tcPr>
            <w:tcW w:w="66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23/44 (52)</w:t>
            </w:r>
          </w:p>
        </w:tc>
        <w:tc>
          <w:tcPr>
            <w:tcW w:w="647" w:type="pct"/>
            <w:noWrap/>
            <w:hideMark/>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19/39 (49)</w:t>
            </w:r>
          </w:p>
        </w:tc>
      </w:tr>
      <w:tr w:rsidR="00B331A1" w:rsidRPr="007842E1" w:rsidTr="00BA6AE5">
        <w:trPr>
          <w:trHeight w:val="324"/>
        </w:trPr>
        <w:tc>
          <w:tcPr>
            <w:tcW w:w="2129" w:type="pct"/>
            <w:noWrap/>
          </w:tcPr>
          <w:p w:rsidR="00B331A1" w:rsidRPr="006F6C80" w:rsidRDefault="00B331A1" w:rsidP="00BA6AE5">
            <w:pPr>
              <w:rPr>
                <w:rFonts w:ascii="Times New Roman" w:eastAsiaTheme="minorEastAsia" w:hAnsi="Times New Roman" w:cs="Times New Roman"/>
              </w:rPr>
            </w:pPr>
            <w:r>
              <w:rPr>
                <w:rFonts w:ascii="Times New Roman" w:eastAsiaTheme="minorEastAsia" w:hAnsi="Times New Roman" w:cs="Times New Roman"/>
              </w:rPr>
              <w:t>≥1</w:t>
            </w:r>
            <w:r w:rsidRPr="006F6C80">
              <w:rPr>
                <w:rFonts w:ascii="Times New Roman" w:eastAsiaTheme="minorEastAsia" w:hAnsi="Times New Roman" w:cs="Times New Roman"/>
              </w:rPr>
              <w:t xml:space="preserve"> assessment at an ELN milestone (</w:t>
            </w:r>
            <w:r>
              <w:rPr>
                <w:rFonts w:ascii="Times New Roman" w:eastAsiaTheme="minorEastAsia" w:hAnsi="Times New Roman" w:cs="Times New Roman"/>
              </w:rPr>
              <w:t xml:space="preserve">first- </w:t>
            </w:r>
            <w:r w:rsidRPr="006F6C80">
              <w:rPr>
                <w:rFonts w:ascii="Times New Roman" w:eastAsiaTheme="minorEastAsia" w:hAnsi="Times New Roman" w:cs="Times New Roman"/>
              </w:rPr>
              <w:t xml:space="preserve">or </w:t>
            </w:r>
            <w:r>
              <w:rPr>
                <w:rFonts w:ascii="Times New Roman" w:eastAsiaTheme="minorEastAsia" w:hAnsi="Times New Roman" w:cs="Times New Roman"/>
              </w:rPr>
              <w:t xml:space="preserve">second-line </w:t>
            </w:r>
            <w:proofErr w:type="gramStart"/>
            <w:r w:rsidRPr="006F6C80">
              <w:rPr>
                <w:rFonts w:ascii="Times New Roman" w:eastAsiaTheme="minorEastAsia" w:hAnsi="Times New Roman" w:cs="Times New Roman"/>
              </w:rPr>
              <w:t>TKI)</w:t>
            </w:r>
            <w:r w:rsidRPr="006F6C80">
              <w:rPr>
                <w:rFonts w:ascii="Times New Roman" w:eastAsiaTheme="minorEastAsia" w:hAnsi="Times New Roman" w:cs="Times New Roman"/>
                <w:vertAlign w:val="superscript"/>
              </w:rPr>
              <w:t>a</w:t>
            </w:r>
            <w:proofErr w:type="gramEnd"/>
          </w:p>
        </w:tc>
        <w:tc>
          <w:tcPr>
            <w:tcW w:w="816" w:type="pct"/>
            <w:noWrap/>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 239/257 (93)</w:t>
            </w:r>
          </w:p>
        </w:tc>
        <w:tc>
          <w:tcPr>
            <w:tcW w:w="741" w:type="pct"/>
            <w:noWrap/>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189/203 (93)</w:t>
            </w:r>
          </w:p>
        </w:tc>
        <w:tc>
          <w:tcPr>
            <w:tcW w:w="667" w:type="pct"/>
            <w:noWrap/>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 50/54 (93)</w:t>
            </w:r>
          </w:p>
        </w:tc>
        <w:tc>
          <w:tcPr>
            <w:tcW w:w="647" w:type="pct"/>
            <w:noWrap/>
          </w:tcPr>
          <w:p w:rsidR="00B331A1" w:rsidRPr="006F6C80" w:rsidRDefault="00B331A1" w:rsidP="00BA6AE5">
            <w:pPr>
              <w:rPr>
                <w:rFonts w:ascii="Times New Roman" w:eastAsiaTheme="minorEastAsia" w:hAnsi="Times New Roman" w:cs="Times New Roman"/>
              </w:rPr>
            </w:pPr>
            <w:r w:rsidRPr="006F6C80">
              <w:rPr>
                <w:rFonts w:ascii="Times New Roman" w:eastAsiaTheme="minorEastAsia" w:hAnsi="Times New Roman" w:cs="Times New Roman"/>
              </w:rPr>
              <w:t xml:space="preserve"> 48/50 (96)</w:t>
            </w:r>
          </w:p>
        </w:tc>
      </w:tr>
    </w:tbl>
    <w:p w:rsidR="00B331A1" w:rsidRPr="00BA6AE5" w:rsidRDefault="00B331A1" w:rsidP="00B331A1">
      <w:pPr>
        <w:spacing w:line="240" w:lineRule="auto"/>
        <w:contextualSpacing/>
        <w:rPr>
          <w:rFonts w:ascii="Times New Roman" w:eastAsiaTheme="minorEastAsia" w:hAnsi="Times New Roman" w:cs="Times New Roman"/>
          <w:sz w:val="20"/>
          <w:szCs w:val="20"/>
        </w:rPr>
      </w:pPr>
      <w:r w:rsidRPr="00B14170">
        <w:rPr>
          <w:rFonts w:asciiTheme="majorBidi" w:eastAsiaTheme="minorEastAsia" w:hAnsiTheme="majorBidi" w:cstheme="majorBidi"/>
          <w:sz w:val="20"/>
          <w:szCs w:val="20"/>
        </w:rPr>
        <w:t xml:space="preserve">CBA, chromosome banding analysis; </w:t>
      </w:r>
      <w:r>
        <w:rPr>
          <w:rFonts w:asciiTheme="majorBidi" w:eastAsiaTheme="minorEastAsia" w:hAnsiTheme="majorBidi" w:cstheme="majorBidi"/>
          <w:sz w:val="20"/>
          <w:szCs w:val="20"/>
        </w:rPr>
        <w:t xml:space="preserve">ELN, European </w:t>
      </w:r>
      <w:proofErr w:type="spellStart"/>
      <w:r>
        <w:rPr>
          <w:rFonts w:asciiTheme="majorBidi" w:eastAsiaTheme="minorEastAsia" w:hAnsiTheme="majorBidi" w:cstheme="majorBidi"/>
          <w:sz w:val="20"/>
          <w:szCs w:val="20"/>
        </w:rPr>
        <w:t>LeukemiaNet</w:t>
      </w:r>
      <w:proofErr w:type="spellEnd"/>
      <w:r>
        <w:rPr>
          <w:rFonts w:asciiTheme="majorBidi" w:eastAsiaTheme="minorEastAsia" w:hAnsiTheme="majorBidi" w:cstheme="majorBidi"/>
          <w:sz w:val="20"/>
          <w:szCs w:val="20"/>
        </w:rPr>
        <w:t xml:space="preserve">; </w:t>
      </w:r>
      <w:r w:rsidRPr="00B14170">
        <w:rPr>
          <w:rFonts w:asciiTheme="majorBidi" w:eastAsiaTheme="minorEastAsia" w:hAnsiTheme="majorBidi" w:cstheme="majorBidi"/>
          <w:sz w:val="20"/>
          <w:szCs w:val="20"/>
        </w:rPr>
        <w:t>FISH, fluorescence in situ hybridization; RQ-PCR, real-time quantitative polymerase chain reaction;</w:t>
      </w:r>
      <w:r>
        <w:rPr>
          <w:rFonts w:asciiTheme="majorBidi" w:eastAsiaTheme="minorEastAsia" w:hAnsiTheme="majorBidi" w:cstheme="majorBidi"/>
          <w:sz w:val="20"/>
          <w:szCs w:val="20"/>
        </w:rPr>
        <w:t xml:space="preserve"> </w:t>
      </w:r>
      <w:r w:rsidRPr="00B14170">
        <w:rPr>
          <w:rFonts w:asciiTheme="majorBidi" w:eastAsiaTheme="minorEastAsia" w:hAnsiTheme="majorBidi" w:cstheme="majorBidi"/>
          <w:sz w:val="20"/>
          <w:szCs w:val="20"/>
        </w:rPr>
        <w:t>TKI, tyrosine kinase inhibitor</w:t>
      </w:r>
      <w:r>
        <w:rPr>
          <w:rFonts w:asciiTheme="majorBidi" w:eastAsiaTheme="minorEastAsia" w:hAnsiTheme="majorBidi" w:cstheme="majorBidi"/>
          <w:sz w:val="20"/>
          <w:szCs w:val="20"/>
        </w:rPr>
        <w:t>.</w:t>
      </w:r>
    </w:p>
    <w:p w:rsidR="00B331A1" w:rsidRPr="00BA6AE5" w:rsidRDefault="00B331A1" w:rsidP="00B331A1">
      <w:pPr>
        <w:spacing w:line="240" w:lineRule="auto"/>
        <w:contextualSpacing/>
        <w:rPr>
          <w:rFonts w:ascii="Times New Roman" w:eastAsiaTheme="minorEastAsia" w:hAnsi="Times New Roman" w:cs="Times New Roman"/>
          <w:sz w:val="20"/>
          <w:szCs w:val="20"/>
        </w:rPr>
      </w:pPr>
      <w:r w:rsidRPr="00BA6AE5">
        <w:rPr>
          <w:rFonts w:ascii="Times New Roman" w:eastAsiaTheme="minorEastAsia" w:hAnsi="Times New Roman" w:cs="Times New Roman"/>
          <w:sz w:val="20"/>
          <w:szCs w:val="20"/>
          <w:vertAlign w:val="superscript"/>
        </w:rPr>
        <w:t>a</w:t>
      </w:r>
      <w:r w:rsidRPr="00BA6AE5">
        <w:rPr>
          <w:rFonts w:ascii="Times New Roman" w:eastAsiaTheme="minorEastAsia" w:hAnsi="Times New Roman" w:cs="Times New Roman"/>
          <w:sz w:val="20"/>
          <w:szCs w:val="20"/>
        </w:rPr>
        <w:t xml:space="preserve"> Denominator included patients with ≥4 months’ follow-up on that TKI.</w:t>
      </w:r>
    </w:p>
    <w:p w:rsidR="00B331A1" w:rsidRPr="00FD56FC" w:rsidRDefault="00B331A1" w:rsidP="00B331A1">
      <w:pPr>
        <w:spacing w:line="240" w:lineRule="auto"/>
        <w:contextualSpacing/>
        <w:rPr>
          <w:rFonts w:asciiTheme="majorBidi" w:eastAsiaTheme="minorEastAsia" w:hAnsiTheme="majorBidi" w:cstheme="majorBidi"/>
          <w:sz w:val="20"/>
          <w:szCs w:val="20"/>
          <w:vertAlign w:val="superscript"/>
        </w:rPr>
      </w:pPr>
      <w:r w:rsidRPr="00BA6AE5">
        <w:rPr>
          <w:rFonts w:ascii="Times New Roman" w:eastAsiaTheme="minorEastAsia" w:hAnsi="Times New Roman" w:cs="Times New Roman"/>
          <w:sz w:val="20"/>
          <w:szCs w:val="20"/>
          <w:vertAlign w:val="superscript"/>
        </w:rPr>
        <w:t>b</w:t>
      </w:r>
      <w:r w:rsidRPr="00BA6AE5">
        <w:rPr>
          <w:rFonts w:ascii="Times New Roman" w:eastAsiaTheme="minorEastAsia" w:hAnsi="Times New Roman" w:cs="Times New Roman"/>
          <w:sz w:val="20"/>
          <w:szCs w:val="20"/>
        </w:rPr>
        <w:t xml:space="preserve"> Denominator included patients with ≥7 months’ follow-up</w:t>
      </w:r>
      <w:r w:rsidRPr="00FD56FC">
        <w:rPr>
          <w:rFonts w:asciiTheme="majorBidi" w:eastAsiaTheme="minorEastAsia" w:hAnsiTheme="majorBidi" w:cstheme="majorBidi"/>
          <w:sz w:val="20"/>
          <w:szCs w:val="20"/>
          <w:vertAlign w:val="superscript"/>
        </w:rPr>
        <w:t xml:space="preserve"> </w:t>
      </w:r>
      <w:r w:rsidRPr="00BA6AE5">
        <w:rPr>
          <w:rFonts w:ascii="Times New Roman" w:eastAsiaTheme="minorEastAsia" w:hAnsi="Times New Roman" w:cs="Times New Roman"/>
          <w:sz w:val="20"/>
          <w:szCs w:val="20"/>
        </w:rPr>
        <w:t>on that TKI.</w:t>
      </w:r>
    </w:p>
    <w:p w:rsidR="00B331A1" w:rsidRPr="00FD56FC" w:rsidRDefault="00B331A1" w:rsidP="00B331A1">
      <w:pPr>
        <w:spacing w:line="240" w:lineRule="auto"/>
        <w:contextualSpacing/>
        <w:rPr>
          <w:rFonts w:asciiTheme="majorBidi" w:eastAsiaTheme="minorEastAsia" w:hAnsiTheme="majorBidi" w:cstheme="majorBidi"/>
          <w:sz w:val="20"/>
          <w:szCs w:val="20"/>
          <w:vertAlign w:val="superscript"/>
        </w:rPr>
      </w:pPr>
      <w:r w:rsidRPr="00BA6AE5">
        <w:rPr>
          <w:rFonts w:ascii="Times New Roman" w:eastAsiaTheme="minorEastAsia" w:hAnsi="Times New Roman" w:cs="Times New Roman"/>
          <w:sz w:val="20"/>
          <w:szCs w:val="20"/>
          <w:vertAlign w:val="superscript"/>
        </w:rPr>
        <w:t xml:space="preserve">c </w:t>
      </w:r>
      <w:r w:rsidRPr="00BA6AE5">
        <w:rPr>
          <w:rFonts w:ascii="Times New Roman" w:eastAsiaTheme="minorEastAsia" w:hAnsi="Times New Roman" w:cs="Times New Roman"/>
          <w:sz w:val="20"/>
          <w:szCs w:val="20"/>
        </w:rPr>
        <w:t>Denominator included patients with ≥13 months’ follow-up</w:t>
      </w:r>
      <w:r w:rsidRPr="00FD56FC">
        <w:rPr>
          <w:rFonts w:asciiTheme="majorBidi" w:eastAsiaTheme="minorEastAsia" w:hAnsiTheme="majorBidi" w:cstheme="majorBidi"/>
          <w:sz w:val="20"/>
          <w:szCs w:val="20"/>
          <w:vertAlign w:val="superscript"/>
        </w:rPr>
        <w:t xml:space="preserve"> </w:t>
      </w:r>
      <w:r w:rsidRPr="00BA6AE5">
        <w:rPr>
          <w:rFonts w:ascii="Times New Roman" w:eastAsiaTheme="minorEastAsia" w:hAnsi="Times New Roman" w:cs="Times New Roman"/>
          <w:sz w:val="20"/>
          <w:szCs w:val="20"/>
        </w:rPr>
        <w:t>on that TKI.</w:t>
      </w:r>
      <w:r w:rsidRPr="00FD56FC">
        <w:rPr>
          <w:rFonts w:asciiTheme="majorBidi" w:eastAsiaTheme="minorEastAsia" w:hAnsiTheme="majorBidi" w:cstheme="majorBidi"/>
          <w:sz w:val="20"/>
          <w:szCs w:val="20"/>
          <w:vertAlign w:val="superscript"/>
        </w:rPr>
        <w:t xml:space="preserve"> </w:t>
      </w:r>
    </w:p>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t xml:space="preserve">Table IV. Summary of molecular responses to </w:t>
      </w:r>
      <w:proofErr w:type="gramStart"/>
      <w:r>
        <w:rPr>
          <w:rFonts w:asciiTheme="majorBidi" w:eastAsiaTheme="minorEastAsia" w:hAnsiTheme="majorBidi" w:cstheme="majorBidi"/>
          <w:b/>
          <w:sz w:val="24"/>
          <w:szCs w:val="24"/>
        </w:rPr>
        <w:t>first-line</w:t>
      </w:r>
      <w:proofErr w:type="gramEnd"/>
      <w:r>
        <w:rPr>
          <w:rFonts w:asciiTheme="majorBidi" w:eastAsiaTheme="minorEastAsia" w:hAnsiTheme="majorBidi" w:cstheme="majorBidi"/>
          <w:b/>
          <w:sz w:val="24"/>
          <w:szCs w:val="24"/>
        </w:rPr>
        <w:t xml:space="preserve"> TKI </w:t>
      </w:r>
      <w:proofErr w:type="spellStart"/>
      <w:r>
        <w:rPr>
          <w:rFonts w:asciiTheme="majorBidi" w:eastAsiaTheme="minorEastAsia" w:hAnsiTheme="majorBidi" w:cstheme="majorBidi"/>
          <w:b/>
          <w:sz w:val="24"/>
          <w:szCs w:val="24"/>
        </w:rPr>
        <w:t>therapy</w:t>
      </w:r>
      <w:r w:rsidRPr="00D73653">
        <w:rPr>
          <w:rFonts w:asciiTheme="majorBidi" w:eastAsiaTheme="minorEastAsia" w:hAnsiTheme="majorBidi" w:cstheme="majorBidi"/>
          <w:b/>
          <w:sz w:val="24"/>
          <w:szCs w:val="24"/>
          <w:vertAlign w:val="superscript"/>
        </w:rPr>
        <w:t>a</w:t>
      </w:r>
      <w:proofErr w:type="spellEnd"/>
    </w:p>
    <w:tbl>
      <w:tblPr>
        <w:tblStyle w:val="TableGrid"/>
        <w:tblW w:w="0" w:type="auto"/>
        <w:tblLook w:val="04A0" w:firstRow="1" w:lastRow="0" w:firstColumn="1" w:lastColumn="0" w:noHBand="0" w:noVBand="1"/>
      </w:tblPr>
      <w:tblGrid>
        <w:gridCol w:w="1633"/>
        <w:gridCol w:w="883"/>
        <w:gridCol w:w="1034"/>
        <w:gridCol w:w="1339"/>
        <w:gridCol w:w="1043"/>
        <w:gridCol w:w="1034"/>
        <w:gridCol w:w="1045"/>
        <w:gridCol w:w="1339"/>
      </w:tblGrid>
      <w:tr w:rsidR="00B331A1" w:rsidTr="00BA6AE5">
        <w:tc>
          <w:tcPr>
            <w:tcW w:w="1705" w:type="dxa"/>
            <w:vMerge w:val="restart"/>
          </w:tcPr>
          <w:p w:rsidR="00B331A1" w:rsidRPr="003F7718" w:rsidRDefault="00B331A1" w:rsidP="00BA6AE5">
            <w:pPr>
              <w:rPr>
                <w:rFonts w:asciiTheme="majorBidi" w:eastAsiaTheme="minorEastAsia" w:hAnsiTheme="majorBidi" w:cstheme="majorBidi"/>
                <w:sz w:val="20"/>
                <w:szCs w:val="20"/>
              </w:rPr>
            </w:pPr>
          </w:p>
        </w:tc>
        <w:tc>
          <w:tcPr>
            <w:tcW w:w="3012" w:type="dxa"/>
            <w:gridSpan w:val="3"/>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Overall responses</w:t>
            </w:r>
          </w:p>
        </w:tc>
        <w:tc>
          <w:tcPr>
            <w:tcW w:w="4633" w:type="dxa"/>
            <w:gridSpan w:val="4"/>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First-line TKI</w:t>
            </w:r>
          </w:p>
        </w:tc>
      </w:tr>
      <w:tr w:rsidR="00B331A1" w:rsidTr="00BA6AE5">
        <w:tc>
          <w:tcPr>
            <w:tcW w:w="1705" w:type="dxa"/>
            <w:vMerge/>
          </w:tcPr>
          <w:p w:rsidR="00B331A1" w:rsidRPr="003F7718" w:rsidRDefault="00B331A1" w:rsidP="00BA6AE5">
            <w:pPr>
              <w:rPr>
                <w:rFonts w:asciiTheme="majorBidi" w:eastAsiaTheme="minorEastAsia" w:hAnsiTheme="majorBidi" w:cstheme="majorBidi"/>
                <w:sz w:val="20"/>
                <w:szCs w:val="20"/>
              </w:rPr>
            </w:pPr>
          </w:p>
        </w:tc>
        <w:tc>
          <w:tcPr>
            <w:tcW w:w="523" w:type="dxa"/>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 xml:space="preserve">First-line </w:t>
            </w:r>
            <w:r>
              <w:rPr>
                <w:rFonts w:ascii="Times New Roman" w:eastAsiaTheme="minorEastAsia" w:hAnsi="Times New Roman" w:cs="Times New Roman"/>
                <w:sz w:val="20"/>
                <w:szCs w:val="20"/>
              </w:rPr>
              <w:t>i</w:t>
            </w:r>
            <w:r w:rsidRPr="00C46A74">
              <w:rPr>
                <w:rFonts w:ascii="Times New Roman" w:eastAsiaTheme="minorEastAsia" w:hAnsi="Times New Roman" w:cs="Times New Roman"/>
                <w:sz w:val="20"/>
                <w:szCs w:val="20"/>
              </w:rPr>
              <w:t>matinib</w:t>
            </w:r>
          </w:p>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(n=203)</w:t>
            </w:r>
          </w:p>
        </w:tc>
        <w:tc>
          <w:tcPr>
            <w:tcW w:w="1072" w:type="dxa"/>
          </w:tcPr>
          <w:p w:rsidR="00B331A1"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 xml:space="preserve">First-line </w:t>
            </w:r>
          </w:p>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2G</w:t>
            </w:r>
            <w:r>
              <w:rPr>
                <w:rFonts w:ascii="Times New Roman" w:eastAsiaTheme="minorEastAsia" w:hAnsi="Times New Roman" w:cs="Times New Roman"/>
                <w:sz w:val="20"/>
                <w:szCs w:val="20"/>
              </w:rPr>
              <w:t>-</w:t>
            </w:r>
            <w:r w:rsidRPr="00C46A74">
              <w:rPr>
                <w:rFonts w:ascii="Times New Roman" w:eastAsiaTheme="minorEastAsia" w:hAnsi="Times New Roman" w:cs="Times New Roman"/>
                <w:sz w:val="20"/>
                <w:szCs w:val="20"/>
              </w:rPr>
              <w:t>TKI</w:t>
            </w:r>
          </w:p>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(n=</w:t>
            </w:r>
            <w:proofErr w:type="gramStart"/>
            <w:r w:rsidRPr="00C46A74">
              <w:rPr>
                <w:rFonts w:ascii="Times New Roman" w:eastAsiaTheme="minorEastAsia" w:hAnsi="Times New Roman" w:cs="Times New Roman"/>
                <w:sz w:val="20"/>
                <w:szCs w:val="20"/>
              </w:rPr>
              <w:t>54)</w:t>
            </w:r>
            <w:r w:rsidRPr="00C46A74">
              <w:rPr>
                <w:rFonts w:ascii="Times New Roman" w:eastAsiaTheme="minorEastAsia" w:hAnsi="Times New Roman" w:cs="Times New Roman"/>
                <w:sz w:val="20"/>
                <w:szCs w:val="20"/>
                <w:vertAlign w:val="superscript"/>
              </w:rPr>
              <w:t>b</w:t>
            </w:r>
            <w:proofErr w:type="gramEnd"/>
          </w:p>
        </w:tc>
        <w:tc>
          <w:tcPr>
            <w:tcW w:w="1417" w:type="dxa"/>
          </w:tcPr>
          <w:p w:rsidR="00B331A1" w:rsidRPr="00C46A74"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All patients (N=257)</w:t>
            </w:r>
          </w:p>
        </w:tc>
        <w:tc>
          <w:tcPr>
            <w:tcW w:w="1072" w:type="dxa"/>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First-line imatinib</w:t>
            </w:r>
          </w:p>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(n=203)</w:t>
            </w:r>
          </w:p>
        </w:tc>
        <w:tc>
          <w:tcPr>
            <w:tcW w:w="1072" w:type="dxa"/>
          </w:tcPr>
          <w:p w:rsidR="00B331A1"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 xml:space="preserve">First-line </w:t>
            </w:r>
          </w:p>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2G</w:t>
            </w:r>
            <w:r>
              <w:rPr>
                <w:rFonts w:ascii="Times New Roman" w:eastAsiaTheme="minorEastAsia" w:hAnsi="Times New Roman" w:cs="Times New Roman"/>
                <w:sz w:val="20"/>
                <w:szCs w:val="20"/>
              </w:rPr>
              <w:t>-</w:t>
            </w:r>
            <w:r w:rsidRPr="00C46A74">
              <w:rPr>
                <w:rFonts w:ascii="Times New Roman" w:eastAsiaTheme="minorEastAsia" w:hAnsi="Times New Roman" w:cs="Times New Roman"/>
                <w:sz w:val="20"/>
                <w:szCs w:val="20"/>
              </w:rPr>
              <w:t>TKI</w:t>
            </w:r>
          </w:p>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(n=</w:t>
            </w:r>
            <w:proofErr w:type="gramStart"/>
            <w:r w:rsidRPr="00C46A74">
              <w:rPr>
                <w:rFonts w:ascii="Times New Roman" w:eastAsiaTheme="minorEastAsia" w:hAnsi="Times New Roman" w:cs="Times New Roman"/>
                <w:sz w:val="20"/>
                <w:szCs w:val="20"/>
              </w:rPr>
              <w:t>54)</w:t>
            </w:r>
            <w:r w:rsidRPr="00C46A74">
              <w:rPr>
                <w:rFonts w:ascii="Times New Roman" w:eastAsiaTheme="minorEastAsia" w:hAnsi="Times New Roman" w:cs="Times New Roman"/>
                <w:sz w:val="20"/>
                <w:szCs w:val="20"/>
                <w:vertAlign w:val="superscript"/>
              </w:rPr>
              <w:t>b</w:t>
            </w:r>
            <w:proofErr w:type="gramEnd"/>
          </w:p>
        </w:tc>
        <w:tc>
          <w:tcPr>
            <w:tcW w:w="1072" w:type="dxa"/>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First-line nilotinib</w:t>
            </w:r>
          </w:p>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eastAsiaTheme="minorEastAsia" w:hAnsi="Times New Roman" w:cs="Times New Roman"/>
                <w:sz w:val="20"/>
                <w:szCs w:val="20"/>
              </w:rPr>
              <w:t>(n=50)</w:t>
            </w:r>
          </w:p>
        </w:tc>
        <w:tc>
          <w:tcPr>
            <w:tcW w:w="1417" w:type="dxa"/>
          </w:tcPr>
          <w:p w:rsidR="00B331A1" w:rsidRPr="00C46A74"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All patients (N=257)</w:t>
            </w:r>
          </w:p>
        </w:tc>
      </w:tr>
      <w:tr w:rsidR="00B331A1" w:rsidTr="00BA6AE5">
        <w:tc>
          <w:tcPr>
            <w:tcW w:w="1705" w:type="dxa"/>
          </w:tcPr>
          <w:p w:rsidR="00B331A1" w:rsidRPr="003F7718"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Median follow-up </w:t>
            </w:r>
            <w:proofErr w:type="spellStart"/>
            <w:r>
              <w:rPr>
                <w:rFonts w:asciiTheme="majorBidi" w:eastAsiaTheme="minorEastAsia" w:hAnsiTheme="majorBidi" w:cstheme="majorBidi"/>
                <w:sz w:val="20"/>
                <w:szCs w:val="20"/>
              </w:rPr>
              <w:t>duration</w:t>
            </w:r>
            <w:r w:rsidRPr="00F63167">
              <w:rPr>
                <w:rFonts w:asciiTheme="majorBidi" w:eastAsiaTheme="minorEastAsia" w:hAnsiTheme="majorBidi" w:cstheme="majorBidi"/>
                <w:sz w:val="20"/>
                <w:szCs w:val="20"/>
                <w:vertAlign w:val="superscript"/>
              </w:rPr>
              <w:t>c</w:t>
            </w:r>
            <w:proofErr w:type="spellEnd"/>
            <w:r>
              <w:rPr>
                <w:rFonts w:asciiTheme="majorBidi" w:eastAsiaTheme="minorEastAsia" w:hAnsiTheme="majorBidi" w:cstheme="majorBidi"/>
                <w:sz w:val="20"/>
                <w:szCs w:val="20"/>
              </w:rPr>
              <w:t xml:space="preserve"> on each TKI (range), months </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color w:val="000000"/>
                <w:sz w:val="20"/>
                <w:szCs w:val="20"/>
              </w:rPr>
              <w:t>33.3 (12.6</w:t>
            </w:r>
            <w:r>
              <w:rPr>
                <w:rFonts w:ascii="Times New Roman" w:hAnsi="Times New Roman" w:cs="Times New Roman"/>
                <w:color w:val="000000"/>
                <w:sz w:val="20"/>
                <w:szCs w:val="20"/>
              </w:rPr>
              <w:t>-</w:t>
            </w:r>
            <w:r w:rsidRPr="00C46A74">
              <w:rPr>
                <w:rFonts w:ascii="Times New Roman" w:hAnsi="Times New Roman" w:cs="Times New Roman"/>
                <w:color w:val="000000"/>
                <w:sz w:val="20"/>
                <w:szCs w:val="20"/>
              </w:rPr>
              <w:t>58.6)</w:t>
            </w:r>
          </w:p>
        </w:tc>
        <w:tc>
          <w:tcPr>
            <w:tcW w:w="1072" w:type="dxa"/>
            <w:tcBorders>
              <w:top w:val="single" w:sz="4" w:space="0" w:color="auto"/>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color w:val="000000"/>
                <w:sz w:val="20"/>
                <w:szCs w:val="20"/>
              </w:rPr>
              <w:t>30.0 (13.2</w:t>
            </w:r>
            <w:r>
              <w:rPr>
                <w:rFonts w:ascii="Times New Roman" w:hAnsi="Times New Roman" w:cs="Times New Roman"/>
                <w:color w:val="000000"/>
                <w:sz w:val="20"/>
                <w:szCs w:val="20"/>
              </w:rPr>
              <w:t>-</w:t>
            </w:r>
            <w:r w:rsidRPr="00C46A74">
              <w:rPr>
                <w:rFonts w:ascii="Times New Roman" w:hAnsi="Times New Roman" w:cs="Times New Roman"/>
                <w:color w:val="000000"/>
                <w:sz w:val="20"/>
                <w:szCs w:val="20"/>
              </w:rPr>
              <w:t>56.8)</w:t>
            </w:r>
          </w:p>
        </w:tc>
        <w:tc>
          <w:tcPr>
            <w:tcW w:w="1417" w:type="dxa"/>
            <w:tcBorders>
              <w:top w:val="single" w:sz="4" w:space="0" w:color="auto"/>
              <w:left w:val="single" w:sz="4" w:space="0" w:color="auto"/>
              <w:bottom w:val="single" w:sz="4" w:space="0" w:color="auto"/>
              <w:right w:val="single" w:sz="4" w:space="0" w:color="auto"/>
            </w:tcBorders>
            <w:vAlign w:val="center"/>
          </w:tcPr>
          <w:p w:rsidR="00B331A1" w:rsidRPr="003406B2" w:rsidRDefault="00B331A1" w:rsidP="00BA6AE5">
            <w:pPr>
              <w:jc w:val="center"/>
              <w:rPr>
                <w:rFonts w:ascii="Times New Roman" w:hAnsi="Times New Roman" w:cs="Times New Roman"/>
                <w:sz w:val="20"/>
                <w:szCs w:val="20"/>
              </w:rPr>
            </w:pPr>
            <w:r w:rsidRPr="003406B2">
              <w:rPr>
                <w:rFonts w:ascii="Times New Roman" w:hAnsi="Times New Roman" w:cs="Times New Roman"/>
                <w:color w:val="000000"/>
                <w:sz w:val="20"/>
              </w:rPr>
              <w:t>32.9 (12.6</w:t>
            </w:r>
            <w:r>
              <w:rPr>
                <w:rFonts w:ascii="Times New Roman" w:hAnsi="Times New Roman" w:cs="Times New Roman"/>
                <w:color w:val="000000"/>
                <w:sz w:val="20"/>
              </w:rPr>
              <w:t>-</w:t>
            </w:r>
            <w:r w:rsidRPr="003406B2">
              <w:rPr>
                <w:rFonts w:ascii="Times New Roman" w:hAnsi="Times New Roman" w:cs="Times New Roman"/>
                <w:color w:val="000000"/>
                <w:sz w:val="20"/>
              </w:rPr>
              <w:t>58.6)</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16.7 (0.5</w:t>
            </w:r>
            <w:r>
              <w:rPr>
                <w:rFonts w:ascii="Times New Roman" w:hAnsi="Times New Roman" w:cs="Times New Roman"/>
                <w:sz w:val="20"/>
                <w:szCs w:val="20"/>
              </w:rPr>
              <w:t>-</w:t>
            </w:r>
            <w:r w:rsidRPr="00C46A74">
              <w:rPr>
                <w:rFonts w:ascii="Times New Roman" w:hAnsi="Times New Roman" w:cs="Times New Roman"/>
                <w:sz w:val="20"/>
                <w:szCs w:val="20"/>
              </w:rPr>
              <w:t>54.8)</w:t>
            </w:r>
          </w:p>
        </w:tc>
        <w:tc>
          <w:tcPr>
            <w:tcW w:w="1072" w:type="dxa"/>
            <w:tcBorders>
              <w:top w:val="single" w:sz="4" w:space="0" w:color="auto"/>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20.8 (0.5</w:t>
            </w:r>
            <w:r>
              <w:rPr>
                <w:rFonts w:ascii="Times New Roman" w:hAnsi="Times New Roman" w:cs="Times New Roman"/>
                <w:sz w:val="20"/>
                <w:szCs w:val="20"/>
              </w:rPr>
              <w:t>-</w:t>
            </w:r>
            <w:r w:rsidRPr="00C46A74">
              <w:rPr>
                <w:rFonts w:ascii="Times New Roman" w:hAnsi="Times New Roman" w:cs="Times New Roman"/>
                <w:sz w:val="20"/>
                <w:szCs w:val="20"/>
              </w:rPr>
              <w:t>55.3)</w:t>
            </w:r>
          </w:p>
        </w:tc>
        <w:tc>
          <w:tcPr>
            <w:tcW w:w="1072" w:type="dxa"/>
            <w:tcBorders>
              <w:top w:val="single" w:sz="4" w:space="0" w:color="auto"/>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21.3 (0.5</w:t>
            </w:r>
            <w:r>
              <w:rPr>
                <w:rFonts w:ascii="Times New Roman" w:hAnsi="Times New Roman" w:cs="Times New Roman"/>
                <w:sz w:val="20"/>
                <w:szCs w:val="20"/>
              </w:rPr>
              <w:t>-</w:t>
            </w:r>
            <w:r w:rsidRPr="00C46A74">
              <w:rPr>
                <w:rFonts w:ascii="Times New Roman" w:hAnsi="Times New Roman" w:cs="Times New Roman"/>
                <w:sz w:val="20"/>
                <w:szCs w:val="20"/>
              </w:rPr>
              <w:t>55.3)</w:t>
            </w:r>
          </w:p>
        </w:tc>
        <w:tc>
          <w:tcPr>
            <w:tcW w:w="1417" w:type="dxa"/>
            <w:tcBorders>
              <w:top w:val="single" w:sz="4" w:space="0" w:color="auto"/>
              <w:left w:val="nil"/>
              <w:bottom w:val="single" w:sz="4" w:space="0" w:color="auto"/>
              <w:right w:val="single" w:sz="4" w:space="0" w:color="auto"/>
            </w:tcBorders>
            <w:vAlign w:val="center"/>
          </w:tcPr>
          <w:p w:rsidR="00B331A1" w:rsidRPr="003406B2" w:rsidRDefault="00B331A1" w:rsidP="00BA6AE5">
            <w:pPr>
              <w:jc w:val="center"/>
              <w:rPr>
                <w:rFonts w:ascii="Times New Roman" w:hAnsi="Times New Roman" w:cs="Times New Roman"/>
                <w:sz w:val="20"/>
                <w:szCs w:val="20"/>
              </w:rPr>
            </w:pPr>
            <w:r w:rsidRPr="003406B2">
              <w:rPr>
                <w:rFonts w:ascii="Times New Roman" w:hAnsi="Times New Roman" w:cs="Times New Roman"/>
                <w:sz w:val="20"/>
              </w:rPr>
              <w:t>17.5 (0.5</w:t>
            </w:r>
            <w:r>
              <w:rPr>
                <w:rFonts w:ascii="Times New Roman" w:hAnsi="Times New Roman" w:cs="Times New Roman"/>
                <w:sz w:val="20"/>
              </w:rPr>
              <w:t>-</w:t>
            </w:r>
            <w:r w:rsidRPr="003406B2">
              <w:rPr>
                <w:rFonts w:ascii="Times New Roman" w:hAnsi="Times New Roman" w:cs="Times New Roman"/>
                <w:sz w:val="20"/>
              </w:rPr>
              <w:t>55.3)</w:t>
            </w:r>
          </w:p>
        </w:tc>
      </w:tr>
      <w:tr w:rsidR="00B331A1" w:rsidTr="00BA6AE5">
        <w:tc>
          <w:tcPr>
            <w:tcW w:w="1705" w:type="dxa"/>
          </w:tcPr>
          <w:p w:rsidR="00B331A1" w:rsidRPr="003F7718"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EMR at 3 months (±1 months), in patients with 3-month molecular response assessments, n (%)</w:t>
            </w:r>
          </w:p>
        </w:tc>
        <w:tc>
          <w:tcPr>
            <w:tcW w:w="523" w:type="dxa"/>
            <w:tcBorders>
              <w:top w:val="nil"/>
              <w:left w:val="single" w:sz="4" w:space="0" w:color="auto"/>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88/163 (54)</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29/41 (71)</w:t>
            </w:r>
          </w:p>
        </w:tc>
        <w:tc>
          <w:tcPr>
            <w:tcW w:w="1417" w:type="dxa"/>
            <w:tcBorders>
              <w:top w:val="nil"/>
              <w:left w:val="single" w:sz="4" w:space="0" w:color="auto"/>
              <w:bottom w:val="single" w:sz="4" w:space="0" w:color="auto"/>
              <w:right w:val="single" w:sz="4" w:space="0" w:color="auto"/>
            </w:tcBorders>
            <w:vAlign w:val="center"/>
          </w:tcPr>
          <w:p w:rsidR="00B331A1" w:rsidRPr="003406B2" w:rsidRDefault="00B331A1" w:rsidP="00BA6AE5">
            <w:pPr>
              <w:jc w:val="center"/>
              <w:rPr>
                <w:rFonts w:ascii="Times New Roman" w:hAnsi="Times New Roman" w:cs="Times New Roman"/>
                <w:sz w:val="20"/>
                <w:szCs w:val="20"/>
              </w:rPr>
            </w:pPr>
            <w:r w:rsidRPr="003406B2">
              <w:rPr>
                <w:rFonts w:ascii="Times New Roman" w:hAnsi="Times New Roman" w:cs="Times New Roman"/>
                <w:sz w:val="20"/>
              </w:rPr>
              <w:t>117/204 (57)</w:t>
            </w:r>
          </w:p>
        </w:tc>
        <w:tc>
          <w:tcPr>
            <w:tcW w:w="1072" w:type="dxa"/>
            <w:tcBorders>
              <w:top w:val="nil"/>
              <w:left w:val="single" w:sz="4" w:space="0" w:color="auto"/>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88/156 (56)</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28/38 (74)</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color w:val="000000"/>
                <w:sz w:val="20"/>
                <w:szCs w:val="20"/>
              </w:rPr>
              <w:t>26/36 (72)</w:t>
            </w:r>
          </w:p>
        </w:tc>
        <w:tc>
          <w:tcPr>
            <w:tcW w:w="1417" w:type="dxa"/>
            <w:tcBorders>
              <w:top w:val="nil"/>
              <w:left w:val="nil"/>
              <w:bottom w:val="single" w:sz="4" w:space="0" w:color="auto"/>
              <w:right w:val="single" w:sz="4" w:space="0" w:color="auto"/>
            </w:tcBorders>
            <w:vAlign w:val="center"/>
          </w:tcPr>
          <w:p w:rsidR="00B331A1" w:rsidRPr="003406B2" w:rsidRDefault="00B331A1" w:rsidP="00BA6AE5">
            <w:pPr>
              <w:jc w:val="center"/>
              <w:rPr>
                <w:rFonts w:ascii="Times New Roman" w:hAnsi="Times New Roman" w:cs="Times New Roman"/>
                <w:color w:val="000000"/>
                <w:sz w:val="20"/>
                <w:szCs w:val="20"/>
              </w:rPr>
            </w:pPr>
            <w:r w:rsidRPr="003406B2">
              <w:rPr>
                <w:rFonts w:ascii="Times New Roman" w:hAnsi="Times New Roman" w:cs="Times New Roman"/>
                <w:sz w:val="20"/>
              </w:rPr>
              <w:t>116/194 (60)</w:t>
            </w:r>
          </w:p>
        </w:tc>
      </w:tr>
      <w:tr w:rsidR="00B331A1" w:rsidTr="00BA6AE5">
        <w:tc>
          <w:tcPr>
            <w:tcW w:w="1705" w:type="dxa"/>
          </w:tcPr>
          <w:p w:rsidR="00B331A1" w:rsidRPr="003F7718"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MMR by 12 months (±1 months), n (%)</w:t>
            </w:r>
          </w:p>
        </w:tc>
        <w:tc>
          <w:tcPr>
            <w:tcW w:w="523" w:type="dxa"/>
            <w:tcBorders>
              <w:top w:val="nil"/>
              <w:left w:val="single" w:sz="4" w:space="0" w:color="auto"/>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color w:val="000000"/>
                <w:sz w:val="20"/>
                <w:szCs w:val="20"/>
              </w:rPr>
              <w:t>84 (41)</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color w:val="000000"/>
                <w:sz w:val="20"/>
                <w:szCs w:val="20"/>
              </w:rPr>
              <w:t>28 (52)</w:t>
            </w:r>
          </w:p>
        </w:tc>
        <w:tc>
          <w:tcPr>
            <w:tcW w:w="1417" w:type="dxa"/>
            <w:tcBorders>
              <w:top w:val="nil"/>
              <w:left w:val="single" w:sz="4" w:space="0" w:color="auto"/>
              <w:bottom w:val="single" w:sz="4" w:space="0" w:color="auto"/>
              <w:right w:val="single" w:sz="4" w:space="0" w:color="auto"/>
            </w:tcBorders>
            <w:vAlign w:val="center"/>
          </w:tcPr>
          <w:p w:rsidR="00B331A1" w:rsidRPr="003406B2" w:rsidRDefault="00B331A1" w:rsidP="00BA6AE5">
            <w:pPr>
              <w:jc w:val="center"/>
              <w:rPr>
                <w:rFonts w:ascii="Times New Roman" w:hAnsi="Times New Roman" w:cs="Times New Roman"/>
                <w:sz w:val="20"/>
                <w:szCs w:val="20"/>
              </w:rPr>
            </w:pPr>
            <w:r w:rsidRPr="003406B2">
              <w:rPr>
                <w:rFonts w:ascii="Times New Roman" w:hAnsi="Times New Roman" w:cs="Times New Roman"/>
                <w:color w:val="000000"/>
                <w:sz w:val="20"/>
              </w:rPr>
              <w:t>112 (44)</w:t>
            </w:r>
          </w:p>
        </w:tc>
        <w:tc>
          <w:tcPr>
            <w:tcW w:w="1072" w:type="dxa"/>
            <w:tcBorders>
              <w:top w:val="nil"/>
              <w:left w:val="single" w:sz="4" w:space="0" w:color="auto"/>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71 (35)</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26 (48)</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25 (50)</w:t>
            </w:r>
          </w:p>
        </w:tc>
        <w:tc>
          <w:tcPr>
            <w:tcW w:w="1417" w:type="dxa"/>
            <w:tcBorders>
              <w:top w:val="nil"/>
              <w:left w:val="nil"/>
              <w:bottom w:val="single" w:sz="4" w:space="0" w:color="auto"/>
              <w:right w:val="single" w:sz="4" w:space="0" w:color="auto"/>
            </w:tcBorders>
            <w:vAlign w:val="center"/>
          </w:tcPr>
          <w:p w:rsidR="00B331A1" w:rsidRPr="003406B2" w:rsidRDefault="00B331A1" w:rsidP="00BA6AE5">
            <w:pPr>
              <w:jc w:val="center"/>
              <w:rPr>
                <w:rFonts w:ascii="Times New Roman" w:hAnsi="Times New Roman" w:cs="Times New Roman"/>
                <w:sz w:val="20"/>
                <w:szCs w:val="20"/>
              </w:rPr>
            </w:pPr>
            <w:r w:rsidRPr="003406B2">
              <w:rPr>
                <w:rFonts w:ascii="Times New Roman" w:hAnsi="Times New Roman" w:cs="Times New Roman"/>
                <w:sz w:val="20"/>
              </w:rPr>
              <w:t>97 (38)</w:t>
            </w:r>
          </w:p>
        </w:tc>
      </w:tr>
      <w:tr w:rsidR="00B331A1" w:rsidTr="00BA6AE5">
        <w:tc>
          <w:tcPr>
            <w:tcW w:w="1705" w:type="dxa"/>
          </w:tcPr>
          <w:p w:rsidR="00B331A1" w:rsidRPr="003F7718"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MMR at any time, n (%)</w:t>
            </w:r>
          </w:p>
        </w:tc>
        <w:tc>
          <w:tcPr>
            <w:tcW w:w="523" w:type="dxa"/>
            <w:tcBorders>
              <w:top w:val="nil"/>
              <w:left w:val="single" w:sz="4" w:space="0" w:color="auto"/>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color w:val="000000"/>
                <w:sz w:val="20"/>
                <w:szCs w:val="20"/>
              </w:rPr>
              <w:t>156 (77)</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color w:val="000000"/>
                <w:sz w:val="20"/>
                <w:szCs w:val="20"/>
              </w:rPr>
              <w:t>42 (78)</w:t>
            </w:r>
          </w:p>
        </w:tc>
        <w:tc>
          <w:tcPr>
            <w:tcW w:w="1417" w:type="dxa"/>
            <w:tcBorders>
              <w:top w:val="nil"/>
              <w:left w:val="single" w:sz="4" w:space="0" w:color="auto"/>
              <w:bottom w:val="single" w:sz="4" w:space="0" w:color="auto"/>
              <w:right w:val="single" w:sz="4" w:space="0" w:color="auto"/>
            </w:tcBorders>
            <w:vAlign w:val="center"/>
          </w:tcPr>
          <w:p w:rsidR="00B331A1" w:rsidRPr="003406B2" w:rsidRDefault="00B331A1" w:rsidP="00BA6AE5">
            <w:pPr>
              <w:jc w:val="center"/>
              <w:rPr>
                <w:rFonts w:ascii="Times New Roman" w:hAnsi="Times New Roman" w:cs="Times New Roman"/>
                <w:sz w:val="20"/>
                <w:szCs w:val="20"/>
              </w:rPr>
            </w:pPr>
            <w:r w:rsidRPr="003406B2">
              <w:rPr>
                <w:rFonts w:ascii="Times New Roman" w:hAnsi="Times New Roman" w:cs="Times New Roman"/>
                <w:color w:val="000000"/>
                <w:sz w:val="20"/>
              </w:rPr>
              <w:t>198 (77)</w:t>
            </w:r>
          </w:p>
        </w:tc>
        <w:tc>
          <w:tcPr>
            <w:tcW w:w="1072" w:type="dxa"/>
            <w:tcBorders>
              <w:top w:val="nil"/>
              <w:left w:val="single" w:sz="4" w:space="0" w:color="auto"/>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102 (50)</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34 (63)</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32 (64)</w:t>
            </w:r>
          </w:p>
        </w:tc>
        <w:tc>
          <w:tcPr>
            <w:tcW w:w="1417" w:type="dxa"/>
            <w:tcBorders>
              <w:top w:val="nil"/>
              <w:left w:val="nil"/>
              <w:bottom w:val="single" w:sz="4" w:space="0" w:color="auto"/>
              <w:right w:val="single" w:sz="4" w:space="0" w:color="auto"/>
            </w:tcBorders>
            <w:vAlign w:val="center"/>
          </w:tcPr>
          <w:p w:rsidR="00B331A1" w:rsidRPr="003406B2" w:rsidRDefault="00B331A1" w:rsidP="00BA6AE5">
            <w:pPr>
              <w:jc w:val="center"/>
              <w:rPr>
                <w:rFonts w:ascii="Times New Roman" w:hAnsi="Times New Roman" w:cs="Times New Roman"/>
                <w:sz w:val="20"/>
                <w:szCs w:val="20"/>
              </w:rPr>
            </w:pPr>
            <w:r w:rsidRPr="003406B2">
              <w:rPr>
                <w:rFonts w:ascii="Times New Roman" w:hAnsi="Times New Roman" w:cs="Times New Roman"/>
                <w:sz w:val="20"/>
              </w:rPr>
              <w:t>136 (53)</w:t>
            </w:r>
          </w:p>
        </w:tc>
      </w:tr>
      <w:tr w:rsidR="00B331A1" w:rsidTr="00BA6AE5">
        <w:tc>
          <w:tcPr>
            <w:tcW w:w="1705" w:type="dxa"/>
          </w:tcPr>
          <w:p w:rsidR="00B331A1" w:rsidRPr="003F7718" w:rsidRDefault="00B331A1" w:rsidP="00BA6AE5">
            <w:pPr>
              <w:rPr>
                <w:rFonts w:asciiTheme="majorBidi" w:eastAsiaTheme="minorEastAsia" w:hAnsiTheme="majorBidi" w:cstheme="majorBidi"/>
                <w:sz w:val="20"/>
                <w:szCs w:val="20"/>
              </w:rPr>
            </w:pPr>
            <w:r>
              <w:rPr>
                <w:rFonts w:asciiTheme="majorBidi" w:eastAsiaTheme="minorEastAsia" w:hAnsiTheme="majorBidi" w:cstheme="majorBidi"/>
                <w:sz w:val="20"/>
                <w:szCs w:val="20"/>
              </w:rPr>
              <w:t>DMR at any time, n (%)</w:t>
            </w:r>
          </w:p>
        </w:tc>
        <w:tc>
          <w:tcPr>
            <w:tcW w:w="523" w:type="dxa"/>
            <w:tcBorders>
              <w:top w:val="nil"/>
              <w:left w:val="single" w:sz="4" w:space="0" w:color="auto"/>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95 (47)</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sz w:val="20"/>
                <w:szCs w:val="20"/>
              </w:rPr>
              <w:t>35 (65)</w:t>
            </w:r>
          </w:p>
        </w:tc>
        <w:tc>
          <w:tcPr>
            <w:tcW w:w="1417" w:type="dxa"/>
            <w:tcBorders>
              <w:top w:val="nil"/>
              <w:left w:val="single" w:sz="4" w:space="0" w:color="auto"/>
              <w:bottom w:val="single" w:sz="4" w:space="0" w:color="auto"/>
              <w:right w:val="single" w:sz="4" w:space="0" w:color="auto"/>
            </w:tcBorders>
            <w:vAlign w:val="center"/>
          </w:tcPr>
          <w:p w:rsidR="00B331A1" w:rsidRPr="003406B2" w:rsidRDefault="00B331A1" w:rsidP="00BA6AE5">
            <w:pPr>
              <w:jc w:val="center"/>
              <w:rPr>
                <w:rFonts w:ascii="Times New Roman" w:hAnsi="Times New Roman" w:cs="Times New Roman"/>
                <w:color w:val="000000"/>
                <w:sz w:val="20"/>
                <w:szCs w:val="20"/>
              </w:rPr>
            </w:pPr>
            <w:r w:rsidRPr="003406B2">
              <w:rPr>
                <w:rFonts w:ascii="Times New Roman" w:hAnsi="Times New Roman" w:cs="Times New Roman"/>
                <w:sz w:val="20"/>
              </w:rPr>
              <w:t>130 (51)</w:t>
            </w:r>
          </w:p>
        </w:tc>
        <w:tc>
          <w:tcPr>
            <w:tcW w:w="1072" w:type="dxa"/>
            <w:tcBorders>
              <w:top w:val="nil"/>
              <w:left w:val="single" w:sz="4" w:space="0" w:color="auto"/>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color w:val="000000"/>
                <w:sz w:val="20"/>
                <w:szCs w:val="20"/>
              </w:rPr>
              <w:t>58 (29)</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color w:val="000000"/>
                <w:sz w:val="20"/>
                <w:szCs w:val="20"/>
              </w:rPr>
              <w:t>29 (54)</w:t>
            </w:r>
          </w:p>
        </w:tc>
        <w:tc>
          <w:tcPr>
            <w:tcW w:w="1072" w:type="dxa"/>
            <w:tcBorders>
              <w:top w:val="nil"/>
              <w:left w:val="nil"/>
              <w:bottom w:val="single" w:sz="4" w:space="0" w:color="auto"/>
              <w:right w:val="single" w:sz="4" w:space="0" w:color="auto"/>
            </w:tcBorders>
            <w:shd w:val="clear" w:color="auto" w:fill="auto"/>
            <w:vAlign w:val="center"/>
          </w:tcPr>
          <w:p w:rsidR="00B331A1" w:rsidRPr="00C46A74" w:rsidRDefault="00B331A1" w:rsidP="00BA6AE5">
            <w:pPr>
              <w:jc w:val="center"/>
              <w:rPr>
                <w:rFonts w:ascii="Times New Roman" w:eastAsiaTheme="minorEastAsia" w:hAnsi="Times New Roman" w:cs="Times New Roman"/>
                <w:sz w:val="20"/>
                <w:szCs w:val="20"/>
              </w:rPr>
            </w:pPr>
            <w:r w:rsidRPr="00C46A74">
              <w:rPr>
                <w:rFonts w:ascii="Times New Roman" w:hAnsi="Times New Roman" w:cs="Times New Roman"/>
                <w:color w:val="000000"/>
                <w:sz w:val="20"/>
                <w:szCs w:val="20"/>
              </w:rPr>
              <w:t>27 (54)</w:t>
            </w:r>
          </w:p>
        </w:tc>
        <w:tc>
          <w:tcPr>
            <w:tcW w:w="1417" w:type="dxa"/>
            <w:tcBorders>
              <w:top w:val="nil"/>
              <w:left w:val="nil"/>
              <w:bottom w:val="single" w:sz="4" w:space="0" w:color="auto"/>
              <w:right w:val="single" w:sz="4" w:space="0" w:color="auto"/>
            </w:tcBorders>
            <w:vAlign w:val="center"/>
          </w:tcPr>
          <w:p w:rsidR="00B331A1" w:rsidRPr="003406B2" w:rsidRDefault="00B331A1" w:rsidP="00BA6AE5">
            <w:pPr>
              <w:jc w:val="center"/>
              <w:rPr>
                <w:rFonts w:ascii="Times New Roman" w:hAnsi="Times New Roman" w:cs="Times New Roman"/>
                <w:color w:val="000000"/>
                <w:sz w:val="20"/>
                <w:szCs w:val="20"/>
              </w:rPr>
            </w:pPr>
            <w:r w:rsidRPr="003406B2">
              <w:rPr>
                <w:rFonts w:ascii="Times New Roman" w:hAnsi="Times New Roman" w:cs="Times New Roman"/>
                <w:color w:val="000000"/>
                <w:sz w:val="20"/>
              </w:rPr>
              <w:t>87 (34)</w:t>
            </w:r>
          </w:p>
        </w:tc>
      </w:tr>
    </w:tbl>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rPr>
        <w:t>2G</w:t>
      </w:r>
      <w:r>
        <w:rPr>
          <w:rFonts w:asciiTheme="majorBidi" w:eastAsiaTheme="minorEastAsia" w:hAnsiTheme="majorBidi" w:cstheme="majorBidi"/>
          <w:sz w:val="20"/>
          <w:szCs w:val="20"/>
        </w:rPr>
        <w:t>-</w:t>
      </w:r>
      <w:r w:rsidRPr="00BA6AE5">
        <w:rPr>
          <w:rFonts w:asciiTheme="majorBidi" w:eastAsiaTheme="minorEastAsia" w:hAnsiTheme="majorBidi" w:cstheme="majorBidi"/>
          <w:sz w:val="20"/>
          <w:szCs w:val="20"/>
        </w:rPr>
        <w:t>TKI, second-generation tyrosine kinase inhibitor; DMR, deep molecular response; EMR, early molecular response; MMR, major molecular response.</w:t>
      </w:r>
    </w:p>
    <w:p w:rsidR="00B331A1" w:rsidRPr="00BA6AE5" w:rsidRDefault="00B331A1" w:rsidP="00B331A1">
      <w:pPr>
        <w:spacing w:after="0" w:line="240" w:lineRule="auto"/>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a</w:t>
      </w:r>
      <w:r w:rsidRPr="00BA6AE5">
        <w:rPr>
          <w:rFonts w:asciiTheme="majorBidi" w:eastAsiaTheme="minorEastAsia" w:hAnsiTheme="majorBidi" w:cstheme="majorBidi"/>
          <w:sz w:val="20"/>
          <w:szCs w:val="20"/>
        </w:rPr>
        <w:t xml:space="preserve"> Patients could appear in multiple molecular response categories. </w:t>
      </w:r>
      <w:r w:rsidRPr="00BA6AE5">
        <w:rPr>
          <w:rFonts w:asciiTheme="majorBidi" w:hAnsiTheme="majorBidi" w:cstheme="majorBidi"/>
          <w:sz w:val="20"/>
          <w:szCs w:val="20"/>
        </w:rPr>
        <w:t xml:space="preserve">Molecular responses were assessed as early molecular response (EMR; </w:t>
      </w:r>
      <w:r w:rsidRPr="00BA6AE5">
        <w:rPr>
          <w:rFonts w:asciiTheme="majorBidi" w:hAnsiTheme="majorBidi" w:cstheme="majorBidi"/>
          <w:i/>
          <w:sz w:val="20"/>
          <w:szCs w:val="20"/>
        </w:rPr>
        <w:t>BCR-ABL1</w:t>
      </w:r>
      <w:r w:rsidRPr="00BA6AE5">
        <w:rPr>
          <w:rFonts w:asciiTheme="majorBidi" w:hAnsiTheme="majorBidi" w:cstheme="majorBidi"/>
          <w:sz w:val="20"/>
          <w:szCs w:val="20"/>
          <w:vertAlign w:val="superscript"/>
        </w:rPr>
        <w:t>IS</w:t>
      </w:r>
      <w:r w:rsidRPr="00BA6AE5">
        <w:rPr>
          <w:rFonts w:asciiTheme="majorBidi" w:hAnsiTheme="majorBidi" w:cstheme="majorBidi"/>
          <w:sz w:val="20"/>
          <w:szCs w:val="20"/>
        </w:rPr>
        <w:t xml:space="preserve"> ≤10% at 3 months), MMR (</w:t>
      </w:r>
      <w:r w:rsidRPr="00BA6AE5">
        <w:rPr>
          <w:rFonts w:asciiTheme="majorBidi" w:hAnsiTheme="majorBidi" w:cstheme="majorBidi"/>
          <w:i/>
          <w:sz w:val="20"/>
          <w:szCs w:val="20"/>
        </w:rPr>
        <w:t>BCR-ABL1</w:t>
      </w:r>
      <w:r w:rsidRPr="00BA6AE5">
        <w:rPr>
          <w:rFonts w:asciiTheme="majorBidi" w:hAnsiTheme="majorBidi" w:cstheme="majorBidi"/>
          <w:sz w:val="20"/>
          <w:szCs w:val="20"/>
          <w:vertAlign w:val="superscript"/>
        </w:rPr>
        <w:t>IS</w:t>
      </w:r>
      <w:r w:rsidRPr="00BA6AE5">
        <w:rPr>
          <w:rFonts w:asciiTheme="majorBidi" w:hAnsiTheme="majorBidi" w:cstheme="majorBidi"/>
          <w:sz w:val="20"/>
          <w:szCs w:val="20"/>
        </w:rPr>
        <w:t xml:space="preserve"> ≤0.1%) by 12 months, MMR at any time and DMR (</w:t>
      </w:r>
      <w:r w:rsidRPr="00BA6AE5">
        <w:rPr>
          <w:rFonts w:asciiTheme="majorBidi" w:hAnsiTheme="majorBidi" w:cstheme="majorBidi"/>
          <w:i/>
          <w:sz w:val="20"/>
          <w:szCs w:val="20"/>
        </w:rPr>
        <w:t>BCR-ABL1</w:t>
      </w:r>
      <w:r w:rsidRPr="00BA6AE5">
        <w:rPr>
          <w:rFonts w:asciiTheme="majorBidi" w:hAnsiTheme="majorBidi" w:cstheme="majorBidi"/>
          <w:sz w:val="20"/>
          <w:szCs w:val="20"/>
          <w:vertAlign w:val="superscript"/>
        </w:rPr>
        <w:t>IS</w:t>
      </w:r>
      <w:r w:rsidRPr="00BA6AE5">
        <w:rPr>
          <w:rFonts w:asciiTheme="majorBidi" w:hAnsiTheme="majorBidi" w:cstheme="majorBidi"/>
          <w:sz w:val="20"/>
          <w:szCs w:val="20"/>
        </w:rPr>
        <w:t xml:space="preserve"> ≤0.01%) at any time. To account for variations in real-world appointment scheduling, a window of ±1 month was applied to ELN-defined time points; if multiple assessments were available within the window, the one closest to the time point was used.</w:t>
      </w:r>
    </w:p>
    <w:p w:rsidR="00B331A1" w:rsidRPr="00BA6AE5" w:rsidRDefault="00B331A1" w:rsidP="00B331A1">
      <w:pPr>
        <w:spacing w:after="0" w:line="240" w:lineRule="auto"/>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b</w:t>
      </w:r>
      <w:r w:rsidRPr="00BA6AE5">
        <w:rPr>
          <w:rFonts w:asciiTheme="majorBidi" w:eastAsiaTheme="minorEastAsia" w:hAnsiTheme="majorBidi" w:cstheme="majorBidi"/>
          <w:sz w:val="20"/>
          <w:szCs w:val="20"/>
        </w:rPr>
        <w:t xml:space="preserve"> Fifty patients received </w:t>
      </w:r>
      <w:proofErr w:type="gramStart"/>
      <w:r w:rsidRPr="00BA6AE5">
        <w:rPr>
          <w:rFonts w:asciiTheme="majorBidi" w:eastAsiaTheme="minorEastAsia" w:hAnsiTheme="majorBidi" w:cstheme="majorBidi"/>
          <w:sz w:val="20"/>
          <w:szCs w:val="20"/>
        </w:rPr>
        <w:t>first-line</w:t>
      </w:r>
      <w:proofErr w:type="gramEnd"/>
      <w:r w:rsidRPr="00BA6AE5">
        <w:rPr>
          <w:rFonts w:asciiTheme="majorBidi" w:eastAsiaTheme="minorEastAsia" w:hAnsiTheme="majorBidi" w:cstheme="majorBidi"/>
          <w:sz w:val="20"/>
          <w:szCs w:val="20"/>
        </w:rPr>
        <w:t xml:space="preserve"> nilotinib, and 4 received first-line </w:t>
      </w:r>
      <w:proofErr w:type="spellStart"/>
      <w:r w:rsidRPr="00BA6AE5">
        <w:rPr>
          <w:rFonts w:asciiTheme="majorBidi" w:eastAsiaTheme="minorEastAsia" w:hAnsiTheme="majorBidi" w:cstheme="majorBidi"/>
          <w:sz w:val="20"/>
          <w:szCs w:val="20"/>
        </w:rPr>
        <w:t>dasatinib</w:t>
      </w:r>
      <w:proofErr w:type="spellEnd"/>
      <w:r w:rsidRPr="00BA6AE5">
        <w:rPr>
          <w:rFonts w:asciiTheme="majorBidi" w:eastAsiaTheme="minorEastAsia" w:hAnsiTheme="majorBidi" w:cstheme="majorBidi"/>
          <w:sz w:val="20"/>
          <w:szCs w:val="20"/>
        </w:rPr>
        <w:t>.</w:t>
      </w:r>
    </w:p>
    <w:p w:rsidR="00B331A1" w:rsidRPr="00BA6AE5" w:rsidRDefault="00B331A1" w:rsidP="00B331A1">
      <w:pPr>
        <w:spacing w:after="0" w:line="240" w:lineRule="auto"/>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c</w:t>
      </w:r>
      <w:r w:rsidRPr="00BA6AE5">
        <w:rPr>
          <w:rFonts w:asciiTheme="majorBidi" w:eastAsiaTheme="minorEastAsia" w:hAnsiTheme="majorBidi" w:cstheme="majorBidi"/>
          <w:sz w:val="20"/>
          <w:szCs w:val="20"/>
        </w:rPr>
        <w:t xml:space="preserve"> The columns for overall response reported the duration of follow-up for all TKI therapy, including later-line TKIs in patients who switched from their </w:t>
      </w:r>
      <w:proofErr w:type="gramStart"/>
      <w:r w:rsidRPr="00BA6AE5">
        <w:rPr>
          <w:rFonts w:asciiTheme="majorBidi" w:eastAsiaTheme="minorEastAsia" w:hAnsiTheme="majorBidi" w:cstheme="majorBidi"/>
          <w:sz w:val="20"/>
          <w:szCs w:val="20"/>
        </w:rPr>
        <w:t>first-line</w:t>
      </w:r>
      <w:proofErr w:type="gramEnd"/>
      <w:r w:rsidRPr="00BA6AE5">
        <w:rPr>
          <w:rFonts w:asciiTheme="majorBidi" w:eastAsiaTheme="minorEastAsia" w:hAnsiTheme="majorBidi" w:cstheme="majorBidi"/>
          <w:sz w:val="20"/>
          <w:szCs w:val="20"/>
        </w:rPr>
        <w:t xml:space="preserve"> TKI (from start of first-line TKI to most recent data collection). The columns for first-line TKI therapy reported the duration of follow-up for only first-line TKI therapy (from start of first-line TKI to most recent data collection or death in patients who remained on first-line TKI or to end of first-line TKI for patients who switched to a second-line TKI).</w:t>
      </w:r>
    </w:p>
    <w:p w:rsidR="00B331A1" w:rsidRDefault="00B331A1" w:rsidP="00B331A1">
      <w:pPr>
        <w:spacing w:after="0"/>
        <w:rPr>
          <w:rFonts w:asciiTheme="majorBidi" w:eastAsiaTheme="minorEastAsia" w:hAnsiTheme="majorBidi" w:cstheme="majorBidi"/>
          <w:sz w:val="24"/>
          <w:szCs w:val="24"/>
        </w:rPr>
      </w:pPr>
    </w:p>
    <w:p w:rsidR="00B331A1" w:rsidRPr="003F7718" w:rsidRDefault="00B331A1" w:rsidP="00B331A1">
      <w:pPr>
        <w:spacing w:after="0"/>
        <w:rPr>
          <w:rFonts w:asciiTheme="majorBidi" w:eastAsiaTheme="minorEastAsia" w:hAnsiTheme="majorBidi" w:cstheme="majorBidi"/>
          <w:sz w:val="24"/>
          <w:szCs w:val="24"/>
        </w:rPr>
      </w:pPr>
    </w:p>
    <w:p w:rsidR="00B331A1" w:rsidRDefault="00B331A1" w:rsidP="00B331A1">
      <w:pPr>
        <w:rPr>
          <w:rFonts w:asciiTheme="majorBidi" w:eastAsiaTheme="minorEastAsia" w:hAnsiTheme="majorBidi" w:cstheme="majorBidi"/>
          <w:sz w:val="24"/>
          <w:szCs w:val="24"/>
        </w:rPr>
      </w:pPr>
      <w:r>
        <w:rPr>
          <w:rFonts w:asciiTheme="majorBidi" w:eastAsiaTheme="minorEastAsia" w:hAnsiTheme="majorBidi" w:cstheme="majorBidi"/>
          <w:sz w:val="24"/>
          <w:szCs w:val="24"/>
        </w:rPr>
        <w:br w:type="page"/>
      </w:r>
    </w:p>
    <w:p w:rsidR="00B331A1" w:rsidRPr="006D1021" w:rsidRDefault="00B331A1" w:rsidP="00B331A1">
      <w:pPr>
        <w:rPr>
          <w:rFonts w:asciiTheme="majorBidi" w:eastAsiaTheme="minorEastAsia" w:hAnsiTheme="majorBidi" w:cstheme="majorBidi"/>
          <w:sz w:val="24"/>
          <w:szCs w:val="24"/>
        </w:rPr>
      </w:pPr>
      <w:r w:rsidRPr="006D1021">
        <w:rPr>
          <w:rFonts w:asciiTheme="majorBidi" w:eastAsiaTheme="minorEastAsia" w:hAnsiTheme="majorBidi" w:cstheme="majorBidi"/>
          <w:b/>
          <w:sz w:val="24"/>
          <w:szCs w:val="24"/>
        </w:rPr>
        <w:lastRenderedPageBreak/>
        <w:t xml:space="preserve">Table </w:t>
      </w:r>
      <w:r>
        <w:rPr>
          <w:rFonts w:asciiTheme="majorBidi" w:eastAsiaTheme="minorEastAsia" w:hAnsiTheme="majorBidi" w:cstheme="majorBidi"/>
          <w:b/>
          <w:sz w:val="24"/>
          <w:szCs w:val="24"/>
        </w:rPr>
        <w:t>V</w:t>
      </w:r>
      <w:r w:rsidRPr="006D1021">
        <w:rPr>
          <w:rFonts w:asciiTheme="majorBidi" w:eastAsiaTheme="minorEastAsia" w:hAnsiTheme="majorBidi" w:cstheme="majorBidi"/>
          <w:b/>
          <w:sz w:val="24"/>
          <w:szCs w:val="24"/>
        </w:rPr>
        <w:t xml:space="preserve">. Summary of molecular responses after switching to </w:t>
      </w:r>
      <w:proofErr w:type="gramStart"/>
      <w:r w:rsidRPr="006D1021">
        <w:rPr>
          <w:rFonts w:asciiTheme="majorBidi" w:eastAsiaTheme="minorEastAsia" w:hAnsiTheme="majorBidi" w:cstheme="majorBidi"/>
          <w:b/>
          <w:sz w:val="24"/>
          <w:szCs w:val="24"/>
        </w:rPr>
        <w:t>second-line</w:t>
      </w:r>
      <w:proofErr w:type="gramEnd"/>
      <w:r w:rsidRPr="006D1021">
        <w:rPr>
          <w:rFonts w:asciiTheme="majorBidi" w:eastAsiaTheme="minorEastAsia" w:hAnsiTheme="majorBidi" w:cstheme="majorBidi"/>
          <w:b/>
          <w:sz w:val="24"/>
          <w:szCs w:val="24"/>
        </w:rPr>
        <w:t xml:space="preserve"> TKI </w:t>
      </w:r>
      <w:proofErr w:type="spellStart"/>
      <w:r w:rsidRPr="006D1021">
        <w:rPr>
          <w:rFonts w:asciiTheme="majorBidi" w:eastAsiaTheme="minorEastAsia" w:hAnsiTheme="majorBidi" w:cstheme="majorBidi"/>
          <w:b/>
          <w:sz w:val="24"/>
          <w:szCs w:val="24"/>
        </w:rPr>
        <w:t>therapy</w:t>
      </w:r>
      <w:r w:rsidRPr="006D1021">
        <w:rPr>
          <w:rFonts w:asciiTheme="majorBidi" w:eastAsiaTheme="minorEastAsia" w:hAnsiTheme="majorBidi" w:cstheme="majorBidi"/>
          <w:b/>
          <w:sz w:val="24"/>
          <w:szCs w:val="24"/>
          <w:vertAlign w:val="superscript"/>
        </w:rPr>
        <w:t>a</w:t>
      </w:r>
      <w:proofErr w:type="spellEnd"/>
    </w:p>
    <w:tbl>
      <w:tblPr>
        <w:tblStyle w:val="TableGrid"/>
        <w:tblW w:w="9576" w:type="dxa"/>
        <w:tblLayout w:type="fixed"/>
        <w:tblLook w:val="04A0" w:firstRow="1" w:lastRow="0" w:firstColumn="1" w:lastColumn="0" w:noHBand="0" w:noVBand="1"/>
      </w:tblPr>
      <w:tblGrid>
        <w:gridCol w:w="1681"/>
        <w:gridCol w:w="1315"/>
        <w:gridCol w:w="1316"/>
        <w:gridCol w:w="1316"/>
        <w:gridCol w:w="1316"/>
        <w:gridCol w:w="1316"/>
        <w:gridCol w:w="1316"/>
      </w:tblGrid>
      <w:tr w:rsidR="00B331A1" w:rsidRPr="006D1021" w:rsidTr="00BA6AE5">
        <w:trPr>
          <w:trHeight w:val="1152"/>
        </w:trPr>
        <w:tc>
          <w:tcPr>
            <w:tcW w:w="1681" w:type="dxa"/>
            <w:noWrap/>
            <w:hideMark/>
          </w:tcPr>
          <w:p w:rsidR="00B331A1" w:rsidRPr="006D1021" w:rsidRDefault="00B331A1" w:rsidP="00BA6AE5">
            <w:pP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 </w:t>
            </w:r>
          </w:p>
        </w:tc>
        <w:tc>
          <w:tcPr>
            <w:tcW w:w="1315" w:type="dxa"/>
            <w:hideMark/>
          </w:tcPr>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All switched patients</w:t>
            </w:r>
          </w:p>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(n=113)</w:t>
            </w:r>
          </w:p>
        </w:tc>
        <w:tc>
          <w:tcPr>
            <w:tcW w:w="1316" w:type="dxa"/>
            <w:hideMark/>
          </w:tcPr>
          <w:p w:rsidR="00B331A1" w:rsidRPr="006D1021" w:rsidRDefault="00B331A1" w:rsidP="00BA6AE5">
            <w:pPr>
              <w:jc w:val="center"/>
              <w:rPr>
                <w:rFonts w:ascii="Times New Roman" w:eastAsia="Times New Roman" w:hAnsi="Times New Roman" w:cs="Times New Roman"/>
                <w:color w:val="000000"/>
                <w:sz w:val="20"/>
                <w:szCs w:val="20"/>
              </w:rPr>
            </w:pPr>
            <w:proofErr w:type="gramStart"/>
            <w:r w:rsidRPr="006D1021">
              <w:rPr>
                <w:rFonts w:ascii="Times New Roman" w:eastAsia="Times New Roman" w:hAnsi="Times New Roman" w:cs="Times New Roman"/>
                <w:color w:val="000000"/>
                <w:sz w:val="20"/>
                <w:szCs w:val="20"/>
              </w:rPr>
              <w:t>Second-line</w:t>
            </w:r>
            <w:proofErr w:type="gramEnd"/>
            <w:r w:rsidRPr="006D1021">
              <w:rPr>
                <w:rFonts w:ascii="Times New Roman" w:eastAsia="Times New Roman" w:hAnsi="Times New Roman" w:cs="Times New Roman"/>
                <w:color w:val="000000"/>
                <w:sz w:val="20"/>
                <w:szCs w:val="20"/>
              </w:rPr>
              <w:t xml:space="preserve"> imatinib</w:t>
            </w:r>
          </w:p>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(n=13)</w:t>
            </w:r>
          </w:p>
        </w:tc>
        <w:tc>
          <w:tcPr>
            <w:tcW w:w="1316" w:type="dxa"/>
            <w:hideMark/>
          </w:tcPr>
          <w:p w:rsidR="00B331A1" w:rsidRPr="006D1021" w:rsidRDefault="00B331A1" w:rsidP="00BA6AE5">
            <w:pPr>
              <w:jc w:val="center"/>
              <w:rPr>
                <w:rFonts w:ascii="Times New Roman" w:eastAsia="Times New Roman" w:hAnsi="Times New Roman" w:cs="Times New Roman"/>
                <w:color w:val="000000"/>
                <w:sz w:val="20"/>
                <w:szCs w:val="20"/>
              </w:rPr>
            </w:pPr>
            <w:proofErr w:type="gramStart"/>
            <w:r w:rsidRPr="006D1021">
              <w:rPr>
                <w:rFonts w:ascii="Times New Roman" w:eastAsia="Times New Roman" w:hAnsi="Times New Roman" w:cs="Times New Roman"/>
                <w:color w:val="000000"/>
                <w:sz w:val="20"/>
                <w:szCs w:val="20"/>
              </w:rPr>
              <w:t>Second-line</w:t>
            </w:r>
            <w:proofErr w:type="gramEnd"/>
            <w:r w:rsidRPr="006D1021">
              <w:rPr>
                <w:rFonts w:ascii="Times New Roman" w:eastAsia="Times New Roman" w:hAnsi="Times New Roman" w:cs="Times New Roman"/>
                <w:color w:val="000000"/>
                <w:sz w:val="20"/>
                <w:szCs w:val="20"/>
              </w:rPr>
              <w:t xml:space="preserve"> 2G</w:t>
            </w:r>
            <w:r>
              <w:rPr>
                <w:rFonts w:ascii="Times New Roman" w:eastAsia="Times New Roman" w:hAnsi="Times New Roman" w:cs="Times New Roman"/>
                <w:color w:val="000000"/>
                <w:sz w:val="20"/>
                <w:szCs w:val="20"/>
              </w:rPr>
              <w:t>-</w:t>
            </w:r>
            <w:r w:rsidRPr="006D1021">
              <w:rPr>
                <w:rFonts w:ascii="Times New Roman" w:eastAsia="Times New Roman" w:hAnsi="Times New Roman" w:cs="Times New Roman"/>
                <w:color w:val="000000"/>
                <w:sz w:val="20"/>
                <w:szCs w:val="20"/>
              </w:rPr>
              <w:t>TKI</w:t>
            </w:r>
          </w:p>
          <w:p w:rsidR="00B331A1" w:rsidRPr="00BB7FF8" w:rsidRDefault="00B331A1" w:rsidP="00BA6AE5">
            <w:pPr>
              <w:jc w:val="center"/>
              <w:rPr>
                <w:rFonts w:ascii="Times New Roman" w:eastAsia="Times New Roman" w:hAnsi="Times New Roman" w:cs="Times New Roman"/>
                <w:color w:val="000000"/>
                <w:sz w:val="20"/>
                <w:szCs w:val="20"/>
                <w:vertAlign w:val="superscript"/>
              </w:rPr>
            </w:pPr>
            <w:r w:rsidRPr="006D1021">
              <w:rPr>
                <w:rFonts w:ascii="Times New Roman" w:eastAsia="Times New Roman" w:hAnsi="Times New Roman" w:cs="Times New Roman"/>
                <w:color w:val="000000"/>
                <w:sz w:val="20"/>
                <w:szCs w:val="20"/>
              </w:rPr>
              <w:t>(n=</w:t>
            </w:r>
            <w:proofErr w:type="gramStart"/>
            <w:r w:rsidRPr="006D1021">
              <w:rPr>
                <w:rFonts w:ascii="Times New Roman" w:eastAsia="Times New Roman" w:hAnsi="Times New Roman" w:cs="Times New Roman"/>
                <w:color w:val="000000"/>
                <w:sz w:val="20"/>
                <w:szCs w:val="20"/>
              </w:rPr>
              <w:t>100)</w:t>
            </w:r>
            <w:r>
              <w:rPr>
                <w:rFonts w:ascii="Times New Roman" w:eastAsia="Times New Roman" w:hAnsi="Times New Roman" w:cs="Times New Roman"/>
                <w:color w:val="000000"/>
                <w:sz w:val="20"/>
                <w:szCs w:val="20"/>
                <w:vertAlign w:val="superscript"/>
              </w:rPr>
              <w:t>b</w:t>
            </w:r>
            <w:proofErr w:type="gramEnd"/>
          </w:p>
        </w:tc>
        <w:tc>
          <w:tcPr>
            <w:tcW w:w="1316" w:type="dxa"/>
            <w:hideMark/>
          </w:tcPr>
          <w:p w:rsidR="00B331A1" w:rsidRPr="006D1021" w:rsidRDefault="00B331A1" w:rsidP="00BA6AE5">
            <w:pPr>
              <w:jc w:val="center"/>
              <w:rPr>
                <w:rFonts w:ascii="Times New Roman" w:eastAsia="Times New Roman" w:hAnsi="Times New Roman" w:cs="Times New Roman"/>
                <w:color w:val="000000"/>
                <w:sz w:val="20"/>
                <w:szCs w:val="20"/>
              </w:rPr>
            </w:pPr>
            <w:proofErr w:type="gramStart"/>
            <w:r w:rsidRPr="006D1021">
              <w:rPr>
                <w:rFonts w:ascii="Times New Roman" w:eastAsia="Times New Roman" w:hAnsi="Times New Roman" w:cs="Times New Roman"/>
                <w:color w:val="000000"/>
                <w:sz w:val="20"/>
                <w:szCs w:val="20"/>
              </w:rPr>
              <w:t>Second-line</w:t>
            </w:r>
            <w:proofErr w:type="gramEnd"/>
            <w:r w:rsidRPr="006D1021">
              <w:rPr>
                <w:rFonts w:ascii="Times New Roman" w:eastAsia="Times New Roman" w:hAnsi="Times New Roman" w:cs="Times New Roman"/>
                <w:color w:val="000000"/>
                <w:sz w:val="20"/>
                <w:szCs w:val="20"/>
              </w:rPr>
              <w:t xml:space="preserve"> nilotinib</w:t>
            </w:r>
          </w:p>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(n=68)</w:t>
            </w:r>
          </w:p>
        </w:tc>
        <w:tc>
          <w:tcPr>
            <w:tcW w:w="1316" w:type="dxa"/>
            <w:hideMark/>
          </w:tcPr>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Switched to second</w:t>
            </w:r>
            <w:r>
              <w:rPr>
                <w:rFonts w:ascii="Times New Roman" w:eastAsia="Times New Roman" w:hAnsi="Times New Roman" w:cs="Times New Roman"/>
                <w:color w:val="000000"/>
                <w:sz w:val="20"/>
                <w:szCs w:val="20"/>
              </w:rPr>
              <w:t xml:space="preserve"> </w:t>
            </w:r>
            <w:r w:rsidRPr="006D1021">
              <w:rPr>
                <w:rFonts w:ascii="Times New Roman" w:eastAsia="Times New Roman" w:hAnsi="Times New Roman" w:cs="Times New Roman"/>
                <w:color w:val="000000"/>
                <w:sz w:val="20"/>
                <w:szCs w:val="20"/>
              </w:rPr>
              <w:t>line for resistance</w:t>
            </w:r>
          </w:p>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(n=73)</w:t>
            </w:r>
          </w:p>
        </w:tc>
        <w:tc>
          <w:tcPr>
            <w:tcW w:w="1316" w:type="dxa"/>
            <w:hideMark/>
          </w:tcPr>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Switched to second</w:t>
            </w:r>
            <w:r>
              <w:rPr>
                <w:rFonts w:ascii="Times New Roman" w:eastAsia="Times New Roman" w:hAnsi="Times New Roman" w:cs="Times New Roman"/>
                <w:color w:val="000000"/>
                <w:sz w:val="20"/>
                <w:szCs w:val="20"/>
              </w:rPr>
              <w:t xml:space="preserve"> </w:t>
            </w:r>
            <w:r w:rsidRPr="006D1021">
              <w:rPr>
                <w:rFonts w:ascii="Times New Roman" w:eastAsia="Times New Roman" w:hAnsi="Times New Roman" w:cs="Times New Roman"/>
                <w:color w:val="000000"/>
                <w:sz w:val="20"/>
                <w:szCs w:val="20"/>
              </w:rPr>
              <w:t>line for intolerance</w:t>
            </w:r>
            <w:r>
              <w:rPr>
                <w:rFonts w:ascii="Times New Roman" w:eastAsia="Times New Roman" w:hAnsi="Times New Roman" w:cs="Times New Roman"/>
                <w:color w:val="000000"/>
                <w:sz w:val="20"/>
                <w:szCs w:val="20"/>
              </w:rPr>
              <w:t xml:space="preserve"> or</w:t>
            </w:r>
            <w:r w:rsidRPr="006D1021">
              <w:rPr>
                <w:rFonts w:ascii="Times New Roman" w:eastAsia="Times New Roman" w:hAnsi="Times New Roman" w:cs="Times New Roman"/>
                <w:color w:val="000000"/>
                <w:sz w:val="20"/>
                <w:szCs w:val="20"/>
              </w:rPr>
              <w:t xml:space="preserve"> other</w:t>
            </w:r>
            <w:r>
              <w:rPr>
                <w:rFonts w:ascii="Times New Roman" w:eastAsia="Times New Roman" w:hAnsi="Times New Roman" w:cs="Times New Roman"/>
                <w:color w:val="000000"/>
                <w:sz w:val="20"/>
                <w:szCs w:val="20"/>
              </w:rPr>
              <w:t xml:space="preserve"> reason</w:t>
            </w:r>
          </w:p>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(n=</w:t>
            </w:r>
            <w:proofErr w:type="gramStart"/>
            <w:r w:rsidRPr="006D1021">
              <w:rPr>
                <w:rFonts w:ascii="Times New Roman" w:eastAsia="Times New Roman" w:hAnsi="Times New Roman" w:cs="Times New Roman"/>
                <w:color w:val="000000"/>
                <w:sz w:val="20"/>
                <w:szCs w:val="20"/>
              </w:rPr>
              <w:t>40)</w:t>
            </w:r>
            <w:r>
              <w:rPr>
                <w:rFonts w:ascii="Times New Roman" w:eastAsia="Times New Roman" w:hAnsi="Times New Roman" w:cs="Times New Roman"/>
                <w:color w:val="000000"/>
                <w:sz w:val="20"/>
                <w:szCs w:val="20"/>
                <w:vertAlign w:val="superscript"/>
              </w:rPr>
              <w:t>c</w:t>
            </w:r>
            <w:proofErr w:type="gramEnd"/>
          </w:p>
        </w:tc>
      </w:tr>
      <w:tr w:rsidR="00B331A1" w:rsidRPr="006D1021" w:rsidTr="00BA6AE5">
        <w:trPr>
          <w:trHeight w:val="864"/>
        </w:trPr>
        <w:tc>
          <w:tcPr>
            <w:tcW w:w="1681" w:type="dxa"/>
          </w:tcPr>
          <w:p w:rsidR="00B331A1" w:rsidRPr="006D1021" w:rsidRDefault="00B331A1" w:rsidP="00BA6AE5">
            <w:pP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Median follow-up post first switch</w:t>
            </w:r>
            <w:r>
              <w:rPr>
                <w:rFonts w:ascii="Times New Roman" w:eastAsia="Times New Roman" w:hAnsi="Times New Roman" w:cs="Times New Roman"/>
                <w:color w:val="000000"/>
                <w:sz w:val="20"/>
                <w:szCs w:val="20"/>
              </w:rPr>
              <w:t xml:space="preserve"> </w:t>
            </w:r>
            <w:r w:rsidRPr="006D1021">
              <w:rPr>
                <w:rFonts w:ascii="Times New Roman" w:eastAsia="Times New Roman" w:hAnsi="Times New Roman" w:cs="Times New Roman"/>
                <w:color w:val="000000"/>
                <w:sz w:val="20"/>
                <w:szCs w:val="20"/>
              </w:rPr>
              <w:t xml:space="preserve">(range), </w:t>
            </w:r>
            <w:proofErr w:type="spellStart"/>
            <w:r w:rsidRPr="006D1021">
              <w:rPr>
                <w:rFonts w:ascii="Times New Roman" w:eastAsia="Times New Roman" w:hAnsi="Times New Roman" w:cs="Times New Roman"/>
                <w:color w:val="000000"/>
                <w:sz w:val="20"/>
                <w:szCs w:val="20"/>
              </w:rPr>
              <w:t>months</w:t>
            </w:r>
            <w:r>
              <w:rPr>
                <w:rFonts w:ascii="Times New Roman" w:eastAsia="Times New Roman" w:hAnsi="Times New Roman" w:cs="Times New Roman"/>
                <w:color w:val="000000"/>
                <w:sz w:val="20"/>
                <w:szCs w:val="20"/>
                <w:vertAlign w:val="superscript"/>
              </w:rPr>
              <w:t>d</w:t>
            </w:r>
            <w:proofErr w:type="spellEnd"/>
          </w:p>
        </w:tc>
        <w:tc>
          <w:tcPr>
            <w:tcW w:w="1315" w:type="dxa"/>
          </w:tcPr>
          <w:p w:rsidR="00B331A1" w:rsidRPr="006D1021" w:rsidRDefault="00B331A1" w:rsidP="00BA6AE5">
            <w:pPr>
              <w:jc w:val="center"/>
              <w:rPr>
                <w:rFonts w:ascii="Times New Roman" w:hAnsi="Times New Roman" w:cs="Times New Roman"/>
                <w:sz w:val="20"/>
                <w:szCs w:val="20"/>
              </w:rPr>
            </w:pPr>
            <w:r w:rsidRPr="006D1021">
              <w:rPr>
                <w:rFonts w:ascii="Times New Roman" w:hAnsi="Times New Roman" w:cs="Times New Roman"/>
                <w:sz w:val="20"/>
                <w:szCs w:val="20"/>
              </w:rPr>
              <w:t>23.7 (1.2</w:t>
            </w:r>
            <w:r>
              <w:rPr>
                <w:rFonts w:ascii="Times New Roman" w:hAnsi="Times New Roman" w:cs="Times New Roman"/>
                <w:sz w:val="20"/>
                <w:szCs w:val="20"/>
              </w:rPr>
              <w:t>-</w:t>
            </w:r>
            <w:r w:rsidRPr="006D1021">
              <w:rPr>
                <w:rFonts w:ascii="Times New Roman" w:hAnsi="Times New Roman" w:cs="Times New Roman"/>
                <w:sz w:val="20"/>
                <w:szCs w:val="20"/>
              </w:rPr>
              <w:t>54.1)</w:t>
            </w:r>
          </w:p>
        </w:tc>
        <w:tc>
          <w:tcPr>
            <w:tcW w:w="1316" w:type="dxa"/>
          </w:tcPr>
          <w:p w:rsidR="00B331A1" w:rsidRPr="006D1021" w:rsidRDefault="00B331A1" w:rsidP="00BA6AE5">
            <w:pPr>
              <w:jc w:val="center"/>
              <w:rPr>
                <w:rFonts w:ascii="Times New Roman" w:hAnsi="Times New Roman" w:cs="Times New Roman"/>
                <w:sz w:val="20"/>
                <w:szCs w:val="20"/>
              </w:rPr>
            </w:pPr>
            <w:r w:rsidRPr="006D1021">
              <w:rPr>
                <w:rFonts w:ascii="Times New Roman" w:hAnsi="Times New Roman" w:cs="Times New Roman"/>
                <w:sz w:val="20"/>
                <w:szCs w:val="20"/>
              </w:rPr>
              <w:t>22.5 (4.9</w:t>
            </w:r>
            <w:r>
              <w:rPr>
                <w:rFonts w:ascii="Times New Roman" w:hAnsi="Times New Roman" w:cs="Times New Roman"/>
                <w:sz w:val="20"/>
                <w:szCs w:val="20"/>
              </w:rPr>
              <w:t>-</w:t>
            </w:r>
            <w:r w:rsidRPr="006D1021">
              <w:rPr>
                <w:rFonts w:ascii="Times New Roman" w:hAnsi="Times New Roman" w:cs="Times New Roman"/>
                <w:sz w:val="20"/>
                <w:szCs w:val="20"/>
              </w:rPr>
              <w:t>43.0)</w:t>
            </w:r>
          </w:p>
        </w:tc>
        <w:tc>
          <w:tcPr>
            <w:tcW w:w="1316" w:type="dxa"/>
          </w:tcPr>
          <w:p w:rsidR="00B331A1" w:rsidRPr="006D1021" w:rsidRDefault="00B331A1" w:rsidP="00BA6AE5">
            <w:pPr>
              <w:jc w:val="center"/>
              <w:rPr>
                <w:rFonts w:ascii="Times New Roman" w:hAnsi="Times New Roman" w:cs="Times New Roman"/>
                <w:sz w:val="20"/>
                <w:szCs w:val="20"/>
              </w:rPr>
            </w:pPr>
            <w:r w:rsidRPr="006D1021">
              <w:rPr>
                <w:rFonts w:ascii="Times New Roman" w:hAnsi="Times New Roman" w:cs="Times New Roman"/>
                <w:sz w:val="20"/>
                <w:szCs w:val="20"/>
              </w:rPr>
              <w:t>23.9 (1.2</w:t>
            </w:r>
            <w:r>
              <w:rPr>
                <w:rFonts w:ascii="Times New Roman" w:hAnsi="Times New Roman" w:cs="Times New Roman"/>
                <w:sz w:val="20"/>
                <w:szCs w:val="20"/>
              </w:rPr>
              <w:t>-</w:t>
            </w:r>
            <w:r w:rsidRPr="006D1021">
              <w:rPr>
                <w:rFonts w:ascii="Times New Roman" w:hAnsi="Times New Roman" w:cs="Times New Roman"/>
                <w:sz w:val="20"/>
                <w:szCs w:val="20"/>
              </w:rPr>
              <w:t>54.1)</w:t>
            </w:r>
          </w:p>
        </w:tc>
        <w:tc>
          <w:tcPr>
            <w:tcW w:w="1316" w:type="dxa"/>
          </w:tcPr>
          <w:p w:rsidR="00B331A1" w:rsidRPr="006D1021" w:rsidRDefault="00B331A1" w:rsidP="00BA6AE5">
            <w:pPr>
              <w:jc w:val="center"/>
              <w:rPr>
                <w:rFonts w:ascii="Times New Roman" w:hAnsi="Times New Roman" w:cs="Times New Roman"/>
                <w:sz w:val="20"/>
                <w:szCs w:val="20"/>
              </w:rPr>
            </w:pPr>
            <w:r w:rsidRPr="006D1021">
              <w:rPr>
                <w:rFonts w:ascii="Times New Roman" w:hAnsi="Times New Roman" w:cs="Times New Roman"/>
                <w:sz w:val="20"/>
                <w:szCs w:val="20"/>
              </w:rPr>
              <w:t>29.7 (1.2</w:t>
            </w:r>
            <w:r>
              <w:rPr>
                <w:rFonts w:ascii="Times New Roman" w:hAnsi="Times New Roman" w:cs="Times New Roman"/>
                <w:sz w:val="20"/>
                <w:szCs w:val="20"/>
              </w:rPr>
              <w:t>-</w:t>
            </w:r>
            <w:r w:rsidRPr="006D1021">
              <w:rPr>
                <w:rFonts w:ascii="Times New Roman" w:hAnsi="Times New Roman" w:cs="Times New Roman"/>
                <w:sz w:val="20"/>
                <w:szCs w:val="20"/>
              </w:rPr>
              <w:t>52.4)</w:t>
            </w:r>
          </w:p>
        </w:tc>
        <w:tc>
          <w:tcPr>
            <w:tcW w:w="1316" w:type="dxa"/>
          </w:tcPr>
          <w:p w:rsidR="00B331A1" w:rsidRPr="006D1021" w:rsidRDefault="00B331A1" w:rsidP="00BA6AE5">
            <w:pPr>
              <w:jc w:val="center"/>
              <w:rPr>
                <w:rFonts w:ascii="Times New Roman" w:hAnsi="Times New Roman" w:cs="Times New Roman"/>
                <w:sz w:val="20"/>
                <w:szCs w:val="20"/>
              </w:rPr>
            </w:pPr>
            <w:r w:rsidRPr="006D1021">
              <w:rPr>
                <w:rFonts w:ascii="Times New Roman" w:hAnsi="Times New Roman" w:cs="Times New Roman"/>
                <w:sz w:val="20"/>
                <w:szCs w:val="20"/>
              </w:rPr>
              <w:t>27.4 (1.2</w:t>
            </w:r>
            <w:r>
              <w:rPr>
                <w:rFonts w:ascii="Times New Roman" w:hAnsi="Times New Roman" w:cs="Times New Roman"/>
                <w:sz w:val="20"/>
                <w:szCs w:val="20"/>
              </w:rPr>
              <w:t>-</w:t>
            </w:r>
            <w:r w:rsidRPr="006D1021">
              <w:rPr>
                <w:rFonts w:ascii="Times New Roman" w:hAnsi="Times New Roman" w:cs="Times New Roman"/>
                <w:sz w:val="20"/>
                <w:szCs w:val="20"/>
              </w:rPr>
              <w:t>51.4)</w:t>
            </w:r>
          </w:p>
        </w:tc>
        <w:tc>
          <w:tcPr>
            <w:tcW w:w="1316" w:type="dxa"/>
          </w:tcPr>
          <w:p w:rsidR="00B331A1" w:rsidRPr="006D1021" w:rsidRDefault="00B331A1" w:rsidP="00BA6AE5">
            <w:pPr>
              <w:jc w:val="center"/>
              <w:rPr>
                <w:rFonts w:ascii="Times New Roman" w:hAnsi="Times New Roman" w:cs="Times New Roman"/>
                <w:sz w:val="20"/>
                <w:szCs w:val="20"/>
              </w:rPr>
            </w:pPr>
            <w:r w:rsidRPr="006D1021">
              <w:rPr>
                <w:rFonts w:ascii="Times New Roman" w:hAnsi="Times New Roman" w:cs="Times New Roman"/>
                <w:sz w:val="20"/>
                <w:szCs w:val="20"/>
              </w:rPr>
              <w:t>20.1 (2.8</w:t>
            </w:r>
            <w:r>
              <w:rPr>
                <w:rFonts w:ascii="Times New Roman" w:hAnsi="Times New Roman" w:cs="Times New Roman"/>
                <w:sz w:val="20"/>
                <w:szCs w:val="20"/>
              </w:rPr>
              <w:t>-</w:t>
            </w:r>
            <w:r w:rsidRPr="006D1021">
              <w:rPr>
                <w:rFonts w:ascii="Times New Roman" w:hAnsi="Times New Roman" w:cs="Times New Roman"/>
                <w:sz w:val="20"/>
                <w:szCs w:val="20"/>
              </w:rPr>
              <w:t>54.1)</w:t>
            </w:r>
          </w:p>
        </w:tc>
      </w:tr>
      <w:tr w:rsidR="00B331A1" w:rsidRPr="002E5F90" w:rsidTr="00BA6AE5">
        <w:trPr>
          <w:trHeight w:val="864"/>
        </w:trPr>
        <w:tc>
          <w:tcPr>
            <w:tcW w:w="1681" w:type="dxa"/>
            <w:hideMark/>
          </w:tcPr>
          <w:p w:rsidR="00B331A1" w:rsidRPr="002E5F90" w:rsidRDefault="00B331A1" w:rsidP="00BA6AE5">
            <w:pPr>
              <w:rPr>
                <w:rFonts w:ascii="Times New Roman" w:eastAsia="Times New Roman" w:hAnsi="Times New Roman" w:cs="Times New Roman"/>
                <w:color w:val="000000"/>
                <w:sz w:val="20"/>
                <w:szCs w:val="20"/>
              </w:rPr>
            </w:pPr>
            <w:r w:rsidRPr="002E5F90">
              <w:rPr>
                <w:rFonts w:ascii="Times New Roman" w:eastAsia="Times New Roman" w:hAnsi="Times New Roman" w:cs="Times New Roman"/>
                <w:color w:val="000000"/>
                <w:sz w:val="20"/>
                <w:szCs w:val="20"/>
              </w:rPr>
              <w:t xml:space="preserve">Median follow-up on </w:t>
            </w:r>
            <w:proofErr w:type="gramStart"/>
            <w:r w:rsidRPr="002E5F90">
              <w:rPr>
                <w:rFonts w:ascii="Times New Roman" w:eastAsia="Times New Roman" w:hAnsi="Times New Roman" w:cs="Times New Roman"/>
                <w:color w:val="000000"/>
                <w:sz w:val="20"/>
                <w:szCs w:val="20"/>
              </w:rPr>
              <w:t>second-line</w:t>
            </w:r>
            <w:proofErr w:type="gramEnd"/>
            <w:r w:rsidRPr="002E5F90">
              <w:rPr>
                <w:rFonts w:ascii="Times New Roman" w:eastAsia="Times New Roman" w:hAnsi="Times New Roman" w:cs="Times New Roman"/>
                <w:color w:val="000000"/>
                <w:sz w:val="20"/>
                <w:szCs w:val="20"/>
              </w:rPr>
              <w:t xml:space="preserve"> TKI (range), </w:t>
            </w:r>
            <w:proofErr w:type="spellStart"/>
            <w:r w:rsidRPr="002E5F90">
              <w:rPr>
                <w:rFonts w:ascii="Times New Roman" w:eastAsia="Times New Roman" w:hAnsi="Times New Roman" w:cs="Times New Roman"/>
                <w:color w:val="000000"/>
                <w:sz w:val="20"/>
                <w:szCs w:val="20"/>
              </w:rPr>
              <w:t>months</w:t>
            </w:r>
            <w:r>
              <w:rPr>
                <w:rFonts w:ascii="Times New Roman" w:eastAsia="Times New Roman" w:hAnsi="Times New Roman" w:cs="Times New Roman"/>
                <w:color w:val="000000"/>
                <w:sz w:val="20"/>
                <w:szCs w:val="20"/>
                <w:vertAlign w:val="superscript"/>
              </w:rPr>
              <w:t>e</w:t>
            </w:r>
            <w:proofErr w:type="spellEnd"/>
            <w:r w:rsidRPr="002E5F90" w:rsidDel="00FD1822">
              <w:rPr>
                <w:rFonts w:ascii="Times New Roman" w:eastAsia="Times New Roman" w:hAnsi="Times New Roman" w:cs="Times New Roman"/>
                <w:color w:val="000000"/>
                <w:sz w:val="20"/>
                <w:szCs w:val="20"/>
              </w:rPr>
              <w:t xml:space="preserve"> </w:t>
            </w:r>
          </w:p>
        </w:tc>
        <w:tc>
          <w:tcPr>
            <w:tcW w:w="1315" w:type="dxa"/>
            <w:vAlign w:val="center"/>
            <w:hideMark/>
          </w:tcPr>
          <w:p w:rsidR="00B331A1" w:rsidRPr="002E5F90" w:rsidRDefault="00B331A1" w:rsidP="00BA6AE5">
            <w:pPr>
              <w:jc w:val="center"/>
              <w:rPr>
                <w:rFonts w:ascii="Times New Roman" w:eastAsia="Times New Roman" w:hAnsi="Times New Roman" w:cs="Times New Roman"/>
                <w:sz w:val="20"/>
                <w:szCs w:val="20"/>
              </w:rPr>
            </w:pPr>
            <w:r w:rsidRPr="002E5F90">
              <w:rPr>
                <w:rFonts w:ascii="Times New Roman" w:hAnsi="Times New Roman" w:cs="Times New Roman"/>
                <w:sz w:val="20"/>
                <w:szCs w:val="20"/>
              </w:rPr>
              <w:t>23.9 (13.6 to 50.2)</w:t>
            </w:r>
          </w:p>
        </w:tc>
        <w:tc>
          <w:tcPr>
            <w:tcW w:w="1316" w:type="dxa"/>
            <w:vAlign w:val="center"/>
            <w:hideMark/>
          </w:tcPr>
          <w:p w:rsidR="00B331A1" w:rsidRPr="002E5F90" w:rsidRDefault="00B331A1" w:rsidP="00BA6AE5">
            <w:pPr>
              <w:jc w:val="center"/>
              <w:rPr>
                <w:rFonts w:ascii="Times New Roman" w:eastAsia="Times New Roman" w:hAnsi="Times New Roman" w:cs="Times New Roman"/>
                <w:sz w:val="20"/>
                <w:szCs w:val="20"/>
              </w:rPr>
            </w:pPr>
            <w:r w:rsidRPr="002E5F90">
              <w:rPr>
                <w:rFonts w:ascii="Times New Roman" w:hAnsi="Times New Roman" w:cs="Times New Roman"/>
                <w:sz w:val="20"/>
                <w:szCs w:val="20"/>
              </w:rPr>
              <w:t>19.2 (13.6 to 43.0)</w:t>
            </w:r>
          </w:p>
        </w:tc>
        <w:tc>
          <w:tcPr>
            <w:tcW w:w="1316" w:type="dxa"/>
            <w:vAlign w:val="center"/>
            <w:hideMark/>
          </w:tcPr>
          <w:p w:rsidR="00B331A1" w:rsidRPr="002E5F90" w:rsidRDefault="00B331A1" w:rsidP="00BA6AE5">
            <w:pPr>
              <w:jc w:val="center"/>
              <w:rPr>
                <w:rFonts w:ascii="Times New Roman" w:eastAsia="Times New Roman" w:hAnsi="Times New Roman" w:cs="Times New Roman"/>
                <w:sz w:val="20"/>
                <w:szCs w:val="20"/>
              </w:rPr>
            </w:pPr>
            <w:r w:rsidRPr="002E5F90">
              <w:rPr>
                <w:rFonts w:ascii="Times New Roman" w:hAnsi="Times New Roman" w:cs="Times New Roman"/>
                <w:sz w:val="20"/>
                <w:szCs w:val="20"/>
              </w:rPr>
              <w:t>28.6 (13.9 to 50.2)</w:t>
            </w:r>
          </w:p>
        </w:tc>
        <w:tc>
          <w:tcPr>
            <w:tcW w:w="1316" w:type="dxa"/>
            <w:vAlign w:val="center"/>
            <w:hideMark/>
          </w:tcPr>
          <w:p w:rsidR="00B331A1" w:rsidRPr="002E5F90" w:rsidRDefault="00B331A1" w:rsidP="00BA6AE5">
            <w:pPr>
              <w:jc w:val="center"/>
              <w:rPr>
                <w:rFonts w:ascii="Times New Roman" w:eastAsia="Times New Roman" w:hAnsi="Times New Roman" w:cs="Times New Roman"/>
                <w:sz w:val="20"/>
                <w:szCs w:val="20"/>
              </w:rPr>
            </w:pPr>
            <w:r w:rsidRPr="002E5F90">
              <w:rPr>
                <w:rFonts w:ascii="Times New Roman" w:hAnsi="Times New Roman" w:cs="Times New Roman"/>
                <w:sz w:val="20"/>
                <w:szCs w:val="20"/>
              </w:rPr>
              <w:t>27.3 (13.9 to 50.2)</w:t>
            </w:r>
          </w:p>
        </w:tc>
        <w:tc>
          <w:tcPr>
            <w:tcW w:w="1316" w:type="dxa"/>
            <w:vAlign w:val="center"/>
          </w:tcPr>
          <w:p w:rsidR="00B331A1" w:rsidRPr="002E5F90" w:rsidRDefault="00B331A1" w:rsidP="00BA6AE5">
            <w:pPr>
              <w:jc w:val="center"/>
              <w:rPr>
                <w:rFonts w:ascii="Times New Roman" w:eastAsia="Times New Roman" w:hAnsi="Times New Roman" w:cs="Times New Roman"/>
                <w:sz w:val="20"/>
                <w:szCs w:val="20"/>
              </w:rPr>
            </w:pPr>
            <w:r w:rsidRPr="002E5F90">
              <w:rPr>
                <w:rFonts w:ascii="Times New Roman" w:hAnsi="Times New Roman" w:cs="Times New Roman"/>
                <w:sz w:val="20"/>
                <w:szCs w:val="20"/>
              </w:rPr>
              <w:t>25.6 (13.9 to 46.5)</w:t>
            </w:r>
          </w:p>
        </w:tc>
        <w:tc>
          <w:tcPr>
            <w:tcW w:w="1316" w:type="dxa"/>
            <w:vAlign w:val="center"/>
          </w:tcPr>
          <w:p w:rsidR="00B331A1" w:rsidRPr="002E5F90" w:rsidRDefault="00B331A1" w:rsidP="00BA6AE5">
            <w:pPr>
              <w:jc w:val="center"/>
              <w:rPr>
                <w:rFonts w:ascii="Times New Roman" w:eastAsia="Times New Roman" w:hAnsi="Times New Roman" w:cs="Times New Roman"/>
                <w:sz w:val="20"/>
                <w:szCs w:val="20"/>
              </w:rPr>
            </w:pPr>
            <w:r w:rsidRPr="002E5F90">
              <w:rPr>
                <w:rFonts w:ascii="Times New Roman" w:hAnsi="Times New Roman" w:cs="Times New Roman"/>
                <w:sz w:val="20"/>
                <w:szCs w:val="20"/>
              </w:rPr>
              <w:t>20.3 (13.6 to 50.2)</w:t>
            </w:r>
          </w:p>
        </w:tc>
      </w:tr>
      <w:tr w:rsidR="00B331A1" w:rsidRPr="006D1021" w:rsidTr="00BA6AE5">
        <w:trPr>
          <w:trHeight w:val="864"/>
        </w:trPr>
        <w:tc>
          <w:tcPr>
            <w:tcW w:w="1681" w:type="dxa"/>
          </w:tcPr>
          <w:p w:rsidR="00B331A1" w:rsidRPr="006D1021" w:rsidRDefault="00B331A1" w:rsidP="00BA6AE5">
            <w:pPr>
              <w:rPr>
                <w:rFonts w:ascii="Times New Roman" w:eastAsiaTheme="minorEastAsia" w:hAnsi="Times New Roman" w:cs="Times New Roman"/>
                <w:sz w:val="20"/>
                <w:szCs w:val="20"/>
              </w:rPr>
            </w:pPr>
            <w:r w:rsidRPr="006D1021">
              <w:rPr>
                <w:rFonts w:ascii="Times New Roman" w:eastAsiaTheme="minorEastAsia" w:hAnsi="Times New Roman" w:cs="Times New Roman"/>
                <w:sz w:val="20"/>
                <w:szCs w:val="20"/>
              </w:rPr>
              <w:t>EMR at 3</w:t>
            </w:r>
            <w:r>
              <w:rPr>
                <w:rFonts w:ascii="Times New Roman" w:eastAsiaTheme="minorEastAsia" w:hAnsi="Times New Roman" w:cs="Times New Roman"/>
                <w:sz w:val="20"/>
                <w:szCs w:val="20"/>
              </w:rPr>
              <w:t xml:space="preserve"> months</w:t>
            </w:r>
            <w:r w:rsidRPr="006D1021">
              <w:rPr>
                <w:rFonts w:ascii="Times New Roman" w:eastAsiaTheme="minorEastAsia" w:hAnsi="Times New Roman" w:cs="Times New Roman"/>
                <w:sz w:val="20"/>
                <w:szCs w:val="20"/>
              </w:rPr>
              <w:t xml:space="preserve"> (±1 month) in patients with BCR-ABL1 at 3</w:t>
            </w:r>
            <w:r>
              <w:rPr>
                <w:rFonts w:ascii="Times New Roman" w:eastAsiaTheme="minorEastAsia" w:hAnsi="Times New Roman" w:cs="Times New Roman"/>
                <w:sz w:val="20"/>
                <w:szCs w:val="20"/>
              </w:rPr>
              <w:t xml:space="preserve"> months</w:t>
            </w:r>
            <w:r w:rsidRPr="006D1021">
              <w:rPr>
                <w:rFonts w:ascii="Times New Roman" w:eastAsiaTheme="minorEastAsia" w:hAnsi="Times New Roman" w:cs="Times New Roman"/>
                <w:sz w:val="20"/>
                <w:szCs w:val="20"/>
              </w:rPr>
              <w:t>, n (%)</w:t>
            </w:r>
          </w:p>
        </w:tc>
        <w:tc>
          <w:tcPr>
            <w:tcW w:w="1315" w:type="dxa"/>
          </w:tcPr>
          <w:p w:rsidR="00B331A1" w:rsidRPr="006D1021" w:rsidRDefault="00B331A1" w:rsidP="00BA6AE5">
            <w:pPr>
              <w:jc w:val="center"/>
              <w:rPr>
                <w:rFonts w:ascii="Times New Roman" w:hAnsi="Times New Roman" w:cs="Times New Roman"/>
                <w:color w:val="000000"/>
                <w:sz w:val="20"/>
                <w:szCs w:val="20"/>
              </w:rPr>
            </w:pPr>
            <w:r w:rsidRPr="006D1021">
              <w:rPr>
                <w:rFonts w:ascii="Times New Roman" w:hAnsi="Times New Roman" w:cs="Times New Roman"/>
                <w:sz w:val="20"/>
                <w:szCs w:val="20"/>
              </w:rPr>
              <w:t>75/85 (88)</w:t>
            </w:r>
          </w:p>
        </w:tc>
        <w:tc>
          <w:tcPr>
            <w:tcW w:w="1316" w:type="dxa"/>
          </w:tcPr>
          <w:p w:rsidR="00B331A1" w:rsidRPr="006D1021" w:rsidRDefault="00B331A1" w:rsidP="00BA6AE5">
            <w:pPr>
              <w:jc w:val="center"/>
              <w:rPr>
                <w:rFonts w:ascii="Times New Roman" w:hAnsi="Times New Roman" w:cs="Times New Roman"/>
                <w:color w:val="000000"/>
                <w:sz w:val="20"/>
                <w:szCs w:val="20"/>
              </w:rPr>
            </w:pPr>
            <w:r w:rsidRPr="006D1021">
              <w:rPr>
                <w:rFonts w:ascii="Times New Roman" w:hAnsi="Times New Roman" w:cs="Times New Roman"/>
                <w:sz w:val="20"/>
                <w:szCs w:val="20"/>
              </w:rPr>
              <w:t>11/11 (100)</w:t>
            </w:r>
          </w:p>
        </w:tc>
        <w:tc>
          <w:tcPr>
            <w:tcW w:w="1316" w:type="dxa"/>
          </w:tcPr>
          <w:p w:rsidR="00B331A1" w:rsidRPr="006D1021" w:rsidRDefault="00B331A1" w:rsidP="00BA6AE5">
            <w:pPr>
              <w:jc w:val="center"/>
              <w:rPr>
                <w:rFonts w:ascii="Times New Roman" w:hAnsi="Times New Roman" w:cs="Times New Roman"/>
                <w:color w:val="000000"/>
                <w:sz w:val="20"/>
                <w:szCs w:val="20"/>
              </w:rPr>
            </w:pPr>
            <w:r w:rsidRPr="006D1021">
              <w:rPr>
                <w:rFonts w:ascii="Times New Roman" w:hAnsi="Times New Roman" w:cs="Times New Roman"/>
                <w:sz w:val="20"/>
                <w:szCs w:val="20"/>
              </w:rPr>
              <w:t>64/74 (86)</w:t>
            </w:r>
          </w:p>
        </w:tc>
        <w:tc>
          <w:tcPr>
            <w:tcW w:w="1316" w:type="dxa"/>
          </w:tcPr>
          <w:p w:rsidR="00B331A1" w:rsidRPr="006D1021" w:rsidRDefault="00B331A1" w:rsidP="00BA6AE5">
            <w:pPr>
              <w:jc w:val="center"/>
              <w:rPr>
                <w:rFonts w:ascii="Times New Roman" w:hAnsi="Times New Roman" w:cs="Times New Roman"/>
                <w:color w:val="000000"/>
                <w:sz w:val="20"/>
                <w:szCs w:val="20"/>
              </w:rPr>
            </w:pPr>
            <w:r w:rsidRPr="006D1021">
              <w:rPr>
                <w:rFonts w:ascii="Times New Roman" w:hAnsi="Times New Roman" w:cs="Times New Roman"/>
                <w:sz w:val="20"/>
                <w:szCs w:val="20"/>
              </w:rPr>
              <w:t>48/53 (91)</w:t>
            </w:r>
          </w:p>
        </w:tc>
        <w:tc>
          <w:tcPr>
            <w:tcW w:w="1316" w:type="dxa"/>
          </w:tcPr>
          <w:p w:rsidR="00B331A1" w:rsidRPr="006D1021" w:rsidRDefault="00B331A1" w:rsidP="00BA6AE5">
            <w:pPr>
              <w:jc w:val="center"/>
              <w:rPr>
                <w:rFonts w:ascii="Times New Roman" w:hAnsi="Times New Roman" w:cs="Times New Roman"/>
                <w:sz w:val="20"/>
                <w:szCs w:val="20"/>
              </w:rPr>
            </w:pPr>
            <w:r w:rsidRPr="006D1021">
              <w:rPr>
                <w:rFonts w:ascii="Times New Roman" w:hAnsi="Times New Roman" w:cs="Times New Roman"/>
                <w:sz w:val="20"/>
                <w:szCs w:val="20"/>
              </w:rPr>
              <w:t>47/55 (85)</w:t>
            </w:r>
          </w:p>
        </w:tc>
        <w:tc>
          <w:tcPr>
            <w:tcW w:w="1316" w:type="dxa"/>
          </w:tcPr>
          <w:p w:rsidR="00B331A1" w:rsidRPr="006D1021" w:rsidRDefault="00B331A1" w:rsidP="00BA6AE5">
            <w:pPr>
              <w:jc w:val="center"/>
              <w:rPr>
                <w:rFonts w:ascii="Times New Roman" w:hAnsi="Times New Roman" w:cs="Times New Roman"/>
                <w:sz w:val="20"/>
                <w:szCs w:val="20"/>
              </w:rPr>
            </w:pPr>
            <w:r w:rsidRPr="006D1021">
              <w:rPr>
                <w:rFonts w:ascii="Times New Roman" w:hAnsi="Times New Roman" w:cs="Times New Roman"/>
                <w:sz w:val="20"/>
                <w:szCs w:val="20"/>
              </w:rPr>
              <w:t>28/30 (93)</w:t>
            </w:r>
          </w:p>
        </w:tc>
      </w:tr>
      <w:tr w:rsidR="00B331A1" w:rsidRPr="006D1021" w:rsidTr="00BA6AE5">
        <w:trPr>
          <w:trHeight w:val="864"/>
        </w:trPr>
        <w:tc>
          <w:tcPr>
            <w:tcW w:w="1681" w:type="dxa"/>
            <w:hideMark/>
          </w:tcPr>
          <w:p w:rsidR="00B331A1" w:rsidRPr="006D1021" w:rsidRDefault="00B331A1" w:rsidP="00BA6AE5">
            <w:pPr>
              <w:rPr>
                <w:rFonts w:ascii="Times New Roman" w:eastAsia="Times New Roman" w:hAnsi="Times New Roman" w:cs="Times New Roman"/>
                <w:color w:val="000000"/>
                <w:sz w:val="20"/>
                <w:szCs w:val="20"/>
              </w:rPr>
            </w:pPr>
            <w:r w:rsidRPr="006D1021">
              <w:rPr>
                <w:rFonts w:ascii="Times New Roman" w:eastAsiaTheme="minorEastAsia" w:hAnsi="Times New Roman" w:cs="Times New Roman"/>
                <w:sz w:val="20"/>
                <w:szCs w:val="20"/>
              </w:rPr>
              <w:t xml:space="preserve">EMR at 3 months (±1 month) on </w:t>
            </w:r>
            <w:r>
              <w:rPr>
                <w:rFonts w:ascii="Times New Roman" w:eastAsiaTheme="minorEastAsia" w:hAnsi="Times New Roman" w:cs="Times New Roman"/>
                <w:sz w:val="20"/>
                <w:szCs w:val="20"/>
              </w:rPr>
              <w:t>second</w:t>
            </w:r>
            <w:r w:rsidRPr="006D1021">
              <w:rPr>
                <w:rFonts w:ascii="Times New Roman" w:eastAsiaTheme="minorEastAsia" w:hAnsi="Times New Roman" w:cs="Times New Roman"/>
                <w:sz w:val="20"/>
                <w:szCs w:val="20"/>
              </w:rPr>
              <w:t xml:space="preserve"> TKI in patients with 3-month molecular response assessments, n (</w:t>
            </w:r>
            <w:proofErr w:type="gramStart"/>
            <w:r w:rsidRPr="006D1021">
              <w:rPr>
                <w:rFonts w:ascii="Times New Roman" w:eastAsiaTheme="minorEastAsia" w:hAnsi="Times New Roman" w:cs="Times New Roman"/>
                <w:sz w:val="20"/>
                <w:szCs w:val="20"/>
              </w:rPr>
              <w:t>%)</w:t>
            </w:r>
            <w:r>
              <w:rPr>
                <w:rFonts w:ascii="Times New Roman" w:eastAsia="Times New Roman" w:hAnsi="Times New Roman" w:cs="Times New Roman"/>
                <w:color w:val="000000"/>
                <w:sz w:val="20"/>
                <w:szCs w:val="20"/>
                <w:vertAlign w:val="superscript"/>
              </w:rPr>
              <w:t>f</w:t>
            </w:r>
            <w:proofErr w:type="gramEnd"/>
          </w:p>
        </w:tc>
        <w:tc>
          <w:tcPr>
            <w:tcW w:w="1315" w:type="dxa"/>
            <w:hideMark/>
          </w:tcPr>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hAnsi="Times New Roman" w:cs="Times New Roman"/>
                <w:sz w:val="20"/>
                <w:szCs w:val="20"/>
              </w:rPr>
              <w:t>59/70 (84)</w:t>
            </w:r>
          </w:p>
        </w:tc>
        <w:tc>
          <w:tcPr>
            <w:tcW w:w="1316" w:type="dxa"/>
            <w:hideMark/>
          </w:tcPr>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hAnsi="Times New Roman" w:cs="Times New Roman"/>
                <w:sz w:val="20"/>
                <w:szCs w:val="20"/>
              </w:rPr>
              <w:t>10/10 (100)</w:t>
            </w:r>
          </w:p>
        </w:tc>
        <w:tc>
          <w:tcPr>
            <w:tcW w:w="1316" w:type="dxa"/>
            <w:hideMark/>
          </w:tcPr>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hAnsi="Times New Roman" w:cs="Times New Roman"/>
                <w:sz w:val="20"/>
                <w:szCs w:val="20"/>
              </w:rPr>
              <w:t>49/60 (82)</w:t>
            </w:r>
          </w:p>
        </w:tc>
        <w:tc>
          <w:tcPr>
            <w:tcW w:w="1316" w:type="dxa"/>
            <w:hideMark/>
          </w:tcPr>
          <w:p w:rsidR="00B331A1" w:rsidRPr="006D1021" w:rsidRDefault="00B331A1" w:rsidP="00BA6AE5">
            <w:pPr>
              <w:jc w:val="center"/>
              <w:rPr>
                <w:rFonts w:ascii="Times New Roman" w:eastAsia="Times New Roman" w:hAnsi="Times New Roman" w:cs="Times New Roman"/>
                <w:color w:val="000000"/>
                <w:sz w:val="20"/>
                <w:szCs w:val="20"/>
              </w:rPr>
            </w:pPr>
            <w:r w:rsidRPr="006D1021">
              <w:rPr>
                <w:rFonts w:ascii="Times New Roman" w:hAnsi="Times New Roman" w:cs="Times New Roman"/>
                <w:sz w:val="20"/>
                <w:szCs w:val="20"/>
              </w:rPr>
              <w:t>38/45 (84)</w:t>
            </w:r>
          </w:p>
        </w:tc>
        <w:tc>
          <w:tcPr>
            <w:tcW w:w="1316" w:type="dxa"/>
          </w:tcPr>
          <w:p w:rsidR="00B331A1" w:rsidRPr="006D1021" w:rsidRDefault="00B331A1" w:rsidP="00BA6AE5">
            <w:pPr>
              <w:jc w:val="center"/>
              <w:rPr>
                <w:rFonts w:ascii="Times New Roman" w:eastAsia="Times New Roman" w:hAnsi="Times New Roman" w:cs="Times New Roman"/>
                <w:sz w:val="20"/>
                <w:szCs w:val="20"/>
              </w:rPr>
            </w:pPr>
            <w:r w:rsidRPr="006D1021">
              <w:rPr>
                <w:rFonts w:ascii="Times New Roman" w:hAnsi="Times New Roman" w:cs="Times New Roman"/>
                <w:sz w:val="20"/>
                <w:szCs w:val="20"/>
              </w:rPr>
              <w:t>39/47 (83)</w:t>
            </w:r>
          </w:p>
        </w:tc>
        <w:tc>
          <w:tcPr>
            <w:tcW w:w="1316" w:type="dxa"/>
          </w:tcPr>
          <w:p w:rsidR="00B331A1" w:rsidRPr="006D1021" w:rsidRDefault="00B331A1" w:rsidP="00BA6AE5">
            <w:pPr>
              <w:jc w:val="center"/>
              <w:rPr>
                <w:rFonts w:ascii="Times New Roman" w:eastAsia="Times New Roman" w:hAnsi="Times New Roman" w:cs="Times New Roman"/>
                <w:sz w:val="20"/>
                <w:szCs w:val="20"/>
              </w:rPr>
            </w:pPr>
            <w:r w:rsidRPr="006D1021">
              <w:rPr>
                <w:rFonts w:ascii="Times New Roman" w:hAnsi="Times New Roman" w:cs="Times New Roman"/>
                <w:sz w:val="20"/>
                <w:szCs w:val="20"/>
              </w:rPr>
              <w:t>20/23 (87)</w:t>
            </w:r>
          </w:p>
        </w:tc>
      </w:tr>
      <w:tr w:rsidR="00B331A1" w:rsidRPr="006D1021" w:rsidTr="00BA6AE5">
        <w:trPr>
          <w:trHeight w:val="864"/>
        </w:trPr>
        <w:tc>
          <w:tcPr>
            <w:tcW w:w="1681" w:type="dxa"/>
            <w:hideMark/>
          </w:tcPr>
          <w:p w:rsidR="00B331A1" w:rsidRPr="006D1021" w:rsidRDefault="00B331A1" w:rsidP="00BA6AE5">
            <w:pP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MMR by 12 months (</w:t>
            </w:r>
            <w:r w:rsidRPr="006D1021">
              <w:rPr>
                <w:rFonts w:ascii="Times New Roman" w:eastAsiaTheme="minorEastAsia" w:hAnsi="Times New Roman" w:cs="Times New Roman"/>
                <w:sz w:val="20"/>
                <w:szCs w:val="20"/>
              </w:rPr>
              <w:t>±</w:t>
            </w:r>
            <w:r w:rsidRPr="006D1021">
              <w:rPr>
                <w:rFonts w:ascii="Times New Roman" w:eastAsia="Times New Roman" w:hAnsi="Times New Roman" w:cs="Times New Roman"/>
                <w:color w:val="000000"/>
                <w:sz w:val="20"/>
                <w:szCs w:val="20"/>
              </w:rPr>
              <w:t xml:space="preserve">1 month) on </w:t>
            </w:r>
            <w:r>
              <w:rPr>
                <w:rFonts w:ascii="Times New Roman" w:eastAsia="Times New Roman" w:hAnsi="Times New Roman" w:cs="Times New Roman"/>
                <w:color w:val="000000"/>
                <w:sz w:val="20"/>
                <w:szCs w:val="20"/>
              </w:rPr>
              <w:t xml:space="preserve">second </w:t>
            </w:r>
            <w:r w:rsidRPr="006D1021">
              <w:rPr>
                <w:rFonts w:ascii="Times New Roman" w:eastAsia="Times New Roman" w:hAnsi="Times New Roman" w:cs="Times New Roman"/>
                <w:color w:val="000000"/>
                <w:sz w:val="20"/>
                <w:szCs w:val="20"/>
              </w:rPr>
              <w:t>TKI, n (</w:t>
            </w:r>
            <w:proofErr w:type="gramStart"/>
            <w:r w:rsidRPr="006D102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vertAlign w:val="superscript"/>
              </w:rPr>
              <w:t>g</w:t>
            </w:r>
            <w:proofErr w:type="gramEnd"/>
          </w:p>
        </w:tc>
        <w:tc>
          <w:tcPr>
            <w:tcW w:w="1315"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30/50 (60)</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4/7 (57)</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26/43 (60)</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24/38 (63)</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21/35 (60)</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9/15 (60)</w:t>
            </w:r>
          </w:p>
        </w:tc>
      </w:tr>
      <w:tr w:rsidR="00B331A1" w:rsidRPr="006D1021" w:rsidTr="00BA6AE5">
        <w:trPr>
          <w:trHeight w:val="864"/>
        </w:trPr>
        <w:tc>
          <w:tcPr>
            <w:tcW w:w="1681" w:type="dxa"/>
            <w:hideMark/>
          </w:tcPr>
          <w:p w:rsidR="00B331A1" w:rsidRPr="006D1021" w:rsidRDefault="00B331A1" w:rsidP="00BA6AE5">
            <w:pP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 xml:space="preserve">MMR at any time on </w:t>
            </w:r>
            <w:r>
              <w:rPr>
                <w:rFonts w:ascii="Times New Roman" w:eastAsia="Times New Roman" w:hAnsi="Times New Roman" w:cs="Times New Roman"/>
                <w:color w:val="000000"/>
                <w:sz w:val="20"/>
                <w:szCs w:val="20"/>
              </w:rPr>
              <w:t>second</w:t>
            </w:r>
            <w:r w:rsidRPr="006D1021">
              <w:rPr>
                <w:rFonts w:ascii="Times New Roman" w:eastAsia="Times New Roman" w:hAnsi="Times New Roman" w:cs="Times New Roman"/>
                <w:color w:val="000000"/>
                <w:sz w:val="20"/>
                <w:szCs w:val="20"/>
              </w:rPr>
              <w:t xml:space="preserve"> TKI, n (</w:t>
            </w:r>
            <w:proofErr w:type="gramStart"/>
            <w:r w:rsidRPr="006D102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vertAlign w:val="superscript"/>
              </w:rPr>
              <w:t>g</w:t>
            </w:r>
            <w:proofErr w:type="gramEnd"/>
          </w:p>
        </w:tc>
        <w:tc>
          <w:tcPr>
            <w:tcW w:w="1315"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37/51 (73)</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4/8 (50)</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33/43 (77)</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29/38 (76)</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27/36 (75)</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10/15 (67)</w:t>
            </w:r>
          </w:p>
        </w:tc>
      </w:tr>
      <w:tr w:rsidR="00B331A1" w:rsidRPr="006D1021" w:rsidTr="00BA6AE5">
        <w:trPr>
          <w:trHeight w:val="864"/>
        </w:trPr>
        <w:tc>
          <w:tcPr>
            <w:tcW w:w="1681" w:type="dxa"/>
            <w:hideMark/>
          </w:tcPr>
          <w:p w:rsidR="00B331A1" w:rsidRPr="006D1021" w:rsidRDefault="00B331A1" w:rsidP="00BA6AE5">
            <w:pPr>
              <w:rPr>
                <w:rFonts w:ascii="Times New Roman" w:eastAsia="Times New Roman" w:hAnsi="Times New Roman" w:cs="Times New Roman"/>
                <w:color w:val="000000"/>
                <w:sz w:val="20"/>
                <w:szCs w:val="20"/>
              </w:rPr>
            </w:pPr>
            <w:r w:rsidRPr="006D1021">
              <w:rPr>
                <w:rFonts w:ascii="Times New Roman" w:eastAsia="Times New Roman" w:hAnsi="Times New Roman" w:cs="Times New Roman"/>
                <w:color w:val="000000"/>
                <w:sz w:val="20"/>
                <w:szCs w:val="20"/>
              </w:rPr>
              <w:t xml:space="preserve">DMR at any time on </w:t>
            </w:r>
            <w:r>
              <w:rPr>
                <w:rFonts w:ascii="Times New Roman" w:eastAsia="Times New Roman" w:hAnsi="Times New Roman" w:cs="Times New Roman"/>
                <w:color w:val="000000"/>
                <w:sz w:val="20"/>
                <w:szCs w:val="20"/>
              </w:rPr>
              <w:t>second</w:t>
            </w:r>
            <w:r w:rsidRPr="006D1021">
              <w:rPr>
                <w:rFonts w:ascii="Times New Roman" w:eastAsia="Times New Roman" w:hAnsi="Times New Roman" w:cs="Times New Roman"/>
                <w:color w:val="000000"/>
                <w:sz w:val="20"/>
                <w:szCs w:val="20"/>
              </w:rPr>
              <w:t xml:space="preserve"> TKI, n (</w:t>
            </w:r>
            <w:proofErr w:type="gramStart"/>
            <w:r w:rsidRPr="006D102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vertAlign w:val="superscript"/>
              </w:rPr>
              <w:t>g</w:t>
            </w:r>
            <w:proofErr w:type="gramEnd"/>
          </w:p>
        </w:tc>
        <w:tc>
          <w:tcPr>
            <w:tcW w:w="1315"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21/51 (41)</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2/8 (25)</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19/43 (44)</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17/38 (45)</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15/36 (42)</w:t>
            </w:r>
          </w:p>
        </w:tc>
        <w:tc>
          <w:tcPr>
            <w:tcW w:w="1316" w:type="dxa"/>
          </w:tcPr>
          <w:p w:rsidR="00B331A1" w:rsidRPr="0088496F" w:rsidRDefault="00B331A1" w:rsidP="00BA6AE5">
            <w:pPr>
              <w:jc w:val="center"/>
              <w:rPr>
                <w:rFonts w:ascii="Times New Roman" w:eastAsia="Times New Roman" w:hAnsi="Times New Roman" w:cs="Times New Roman"/>
                <w:color w:val="000000"/>
                <w:sz w:val="20"/>
                <w:szCs w:val="20"/>
              </w:rPr>
            </w:pPr>
            <w:r w:rsidRPr="0088496F">
              <w:rPr>
                <w:rFonts w:ascii="Times New Roman" w:hAnsi="Times New Roman" w:cs="Times New Roman"/>
                <w:sz w:val="20"/>
                <w:szCs w:val="20"/>
              </w:rPr>
              <w:t>6/15 (40)</w:t>
            </w:r>
          </w:p>
        </w:tc>
      </w:tr>
    </w:tbl>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rPr>
        <w:t>2G</w:t>
      </w:r>
      <w:r>
        <w:rPr>
          <w:rFonts w:asciiTheme="majorBidi" w:eastAsiaTheme="minorEastAsia" w:hAnsiTheme="majorBidi" w:cstheme="majorBidi"/>
          <w:sz w:val="20"/>
          <w:szCs w:val="20"/>
        </w:rPr>
        <w:t>-</w:t>
      </w:r>
      <w:r w:rsidRPr="00BA6AE5">
        <w:rPr>
          <w:rFonts w:asciiTheme="majorBidi" w:eastAsiaTheme="minorEastAsia" w:hAnsiTheme="majorBidi" w:cstheme="majorBidi"/>
          <w:sz w:val="20"/>
          <w:szCs w:val="20"/>
        </w:rPr>
        <w:t>TKI, second-generation tyrosine kinase inhibitor; DMR, deep molecular response; EMR, early molecular response; MMR, major molecular response.</w:t>
      </w:r>
    </w:p>
    <w:p w:rsidR="00B331A1" w:rsidRPr="00BA6AE5" w:rsidRDefault="00B331A1" w:rsidP="00B331A1">
      <w:pPr>
        <w:spacing w:after="0" w:line="240" w:lineRule="auto"/>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a</w:t>
      </w:r>
      <w:r w:rsidRPr="00BA6AE5">
        <w:rPr>
          <w:rFonts w:asciiTheme="majorBidi" w:eastAsiaTheme="minorEastAsia" w:hAnsiTheme="majorBidi" w:cstheme="majorBidi"/>
          <w:sz w:val="20"/>
          <w:szCs w:val="20"/>
        </w:rPr>
        <w:t xml:space="preserve"> Patients could appear in multiple molecular response categories.</w:t>
      </w:r>
      <w:r w:rsidRPr="00BA6AE5">
        <w:rPr>
          <w:rFonts w:asciiTheme="majorBidi" w:hAnsiTheme="majorBidi" w:cstheme="majorBidi"/>
          <w:sz w:val="20"/>
          <w:szCs w:val="20"/>
        </w:rPr>
        <w:t xml:space="preserve"> Molecular responses were assessed as early molecular response (EMR; </w:t>
      </w:r>
      <w:r w:rsidRPr="00BA6AE5">
        <w:rPr>
          <w:rFonts w:asciiTheme="majorBidi" w:hAnsiTheme="majorBidi" w:cstheme="majorBidi"/>
          <w:i/>
          <w:sz w:val="20"/>
          <w:szCs w:val="20"/>
        </w:rPr>
        <w:t>BCR-ABL1</w:t>
      </w:r>
      <w:r w:rsidRPr="00BA6AE5">
        <w:rPr>
          <w:rFonts w:asciiTheme="majorBidi" w:hAnsiTheme="majorBidi" w:cstheme="majorBidi"/>
          <w:sz w:val="20"/>
          <w:szCs w:val="20"/>
          <w:vertAlign w:val="superscript"/>
        </w:rPr>
        <w:t>IS</w:t>
      </w:r>
      <w:r w:rsidRPr="00BA6AE5">
        <w:rPr>
          <w:rFonts w:asciiTheme="majorBidi" w:hAnsiTheme="majorBidi" w:cstheme="majorBidi"/>
          <w:sz w:val="20"/>
          <w:szCs w:val="20"/>
        </w:rPr>
        <w:t xml:space="preserve"> ≤10% at 3 months), MMR (</w:t>
      </w:r>
      <w:r w:rsidRPr="00BA6AE5">
        <w:rPr>
          <w:rFonts w:asciiTheme="majorBidi" w:hAnsiTheme="majorBidi" w:cstheme="majorBidi"/>
          <w:i/>
          <w:sz w:val="20"/>
          <w:szCs w:val="20"/>
        </w:rPr>
        <w:t>BCR-ABL1</w:t>
      </w:r>
      <w:r w:rsidRPr="00BA6AE5">
        <w:rPr>
          <w:rFonts w:asciiTheme="majorBidi" w:hAnsiTheme="majorBidi" w:cstheme="majorBidi"/>
          <w:sz w:val="20"/>
          <w:szCs w:val="20"/>
          <w:vertAlign w:val="superscript"/>
        </w:rPr>
        <w:t>IS</w:t>
      </w:r>
      <w:r w:rsidRPr="00BA6AE5">
        <w:rPr>
          <w:rFonts w:asciiTheme="majorBidi" w:hAnsiTheme="majorBidi" w:cstheme="majorBidi"/>
          <w:sz w:val="20"/>
          <w:szCs w:val="20"/>
        </w:rPr>
        <w:t xml:space="preserve"> ≤0.1%) by 12 months, MMR at any time, and DMR (</w:t>
      </w:r>
      <w:r w:rsidRPr="00BA6AE5">
        <w:rPr>
          <w:rFonts w:asciiTheme="majorBidi" w:hAnsiTheme="majorBidi" w:cstheme="majorBidi"/>
          <w:i/>
          <w:sz w:val="20"/>
          <w:szCs w:val="20"/>
        </w:rPr>
        <w:t>BCR-ABL1</w:t>
      </w:r>
      <w:r w:rsidRPr="00BA6AE5">
        <w:rPr>
          <w:rFonts w:asciiTheme="majorBidi" w:hAnsiTheme="majorBidi" w:cstheme="majorBidi"/>
          <w:sz w:val="20"/>
          <w:szCs w:val="20"/>
          <w:vertAlign w:val="superscript"/>
        </w:rPr>
        <w:t>IS</w:t>
      </w:r>
      <w:r w:rsidRPr="00BA6AE5">
        <w:rPr>
          <w:rFonts w:asciiTheme="majorBidi" w:hAnsiTheme="majorBidi" w:cstheme="majorBidi"/>
          <w:sz w:val="20"/>
          <w:szCs w:val="20"/>
        </w:rPr>
        <w:t xml:space="preserve"> ≤0.01%) at any time. To account for variations in real-world appointment scheduling, a window of ±1 month was applied to ELN-defined time points; if multiple assessments were available within the window, the one closest to the time point was used.</w:t>
      </w:r>
    </w:p>
    <w:p w:rsidR="00B331A1" w:rsidRPr="00BA6AE5" w:rsidRDefault="00B331A1" w:rsidP="00B331A1">
      <w:pPr>
        <w:spacing w:after="0"/>
        <w:rPr>
          <w:rFonts w:asciiTheme="majorBidi" w:hAnsiTheme="majorBidi" w:cstheme="majorBidi"/>
          <w:sz w:val="20"/>
          <w:szCs w:val="20"/>
        </w:rPr>
      </w:pPr>
      <w:r w:rsidRPr="00BA6AE5">
        <w:rPr>
          <w:rFonts w:asciiTheme="majorBidi" w:eastAsiaTheme="minorEastAsia" w:hAnsiTheme="majorBidi" w:cstheme="majorBidi"/>
          <w:sz w:val="20"/>
          <w:szCs w:val="20"/>
          <w:vertAlign w:val="superscript"/>
        </w:rPr>
        <w:t xml:space="preserve">b </w:t>
      </w:r>
      <w:r w:rsidRPr="00BA6AE5">
        <w:rPr>
          <w:rFonts w:asciiTheme="majorBidi" w:hAnsiTheme="majorBidi" w:cstheme="majorBidi"/>
          <w:sz w:val="20"/>
          <w:szCs w:val="20"/>
        </w:rPr>
        <w:t>Switched to 2G</w:t>
      </w:r>
      <w:r>
        <w:rPr>
          <w:rFonts w:asciiTheme="majorBidi" w:hAnsiTheme="majorBidi" w:cstheme="majorBidi"/>
          <w:sz w:val="20"/>
          <w:szCs w:val="20"/>
        </w:rPr>
        <w:t>-</w:t>
      </w:r>
      <w:r w:rsidRPr="00BA6AE5">
        <w:rPr>
          <w:rFonts w:asciiTheme="majorBidi" w:hAnsiTheme="majorBidi" w:cstheme="majorBidi"/>
          <w:sz w:val="20"/>
          <w:szCs w:val="20"/>
        </w:rPr>
        <w:t xml:space="preserve">TKI; n=68 nilotinib, n=20 </w:t>
      </w:r>
      <w:proofErr w:type="spellStart"/>
      <w:r w:rsidRPr="00BA6AE5">
        <w:rPr>
          <w:rFonts w:asciiTheme="majorBidi" w:hAnsiTheme="majorBidi" w:cstheme="majorBidi"/>
          <w:sz w:val="20"/>
          <w:szCs w:val="20"/>
        </w:rPr>
        <w:t>dasatinib</w:t>
      </w:r>
      <w:proofErr w:type="spellEnd"/>
      <w:r w:rsidRPr="00BA6AE5">
        <w:rPr>
          <w:rFonts w:asciiTheme="majorBidi" w:hAnsiTheme="majorBidi" w:cstheme="majorBidi"/>
          <w:sz w:val="20"/>
          <w:szCs w:val="20"/>
        </w:rPr>
        <w:t xml:space="preserve">, n=11 bosutinib, n=1 ponatinib). </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 xml:space="preserve">c </w:t>
      </w:r>
      <w:r w:rsidRPr="00BA6AE5">
        <w:rPr>
          <w:rFonts w:asciiTheme="majorBidi" w:eastAsiaTheme="minorEastAsia" w:hAnsiTheme="majorBidi" w:cstheme="majorBidi"/>
          <w:sz w:val="20"/>
          <w:szCs w:val="20"/>
        </w:rPr>
        <w:t>Switched for intolerance (n=38) or switched for another reason (n=2).</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d</w:t>
      </w:r>
      <w:r w:rsidRPr="00BA6AE5">
        <w:rPr>
          <w:rFonts w:asciiTheme="majorBidi" w:eastAsiaTheme="minorEastAsia" w:hAnsiTheme="majorBidi" w:cstheme="majorBidi"/>
          <w:sz w:val="20"/>
          <w:szCs w:val="20"/>
        </w:rPr>
        <w:t xml:space="preserve"> Duration from start of </w:t>
      </w:r>
      <w:proofErr w:type="gramStart"/>
      <w:r w:rsidRPr="00BA6AE5">
        <w:rPr>
          <w:rFonts w:asciiTheme="majorBidi" w:eastAsiaTheme="minorEastAsia" w:hAnsiTheme="majorBidi" w:cstheme="majorBidi"/>
          <w:sz w:val="20"/>
          <w:szCs w:val="20"/>
        </w:rPr>
        <w:t>second-line</w:t>
      </w:r>
      <w:proofErr w:type="gramEnd"/>
      <w:r w:rsidRPr="00BA6AE5">
        <w:rPr>
          <w:rFonts w:asciiTheme="majorBidi" w:eastAsiaTheme="minorEastAsia" w:hAnsiTheme="majorBidi" w:cstheme="majorBidi"/>
          <w:sz w:val="20"/>
          <w:szCs w:val="20"/>
        </w:rPr>
        <w:t xml:space="preserve"> TKI to last data collection or death (included patients with ≥1 switch).</w:t>
      </w:r>
    </w:p>
    <w:p w:rsidR="00B331A1" w:rsidRPr="00BA6AE5" w:rsidRDefault="00B331A1" w:rsidP="00B331A1">
      <w:pPr>
        <w:spacing w:after="0"/>
        <w:rPr>
          <w:rFonts w:asciiTheme="majorBidi" w:eastAsiaTheme="minorEastAsia" w:hAnsiTheme="majorBidi" w:cstheme="majorBidi"/>
          <w:sz w:val="20"/>
          <w:szCs w:val="20"/>
        </w:rPr>
      </w:pPr>
      <w:r w:rsidRPr="00BA6AE5">
        <w:rPr>
          <w:rFonts w:asciiTheme="majorBidi" w:eastAsiaTheme="minorEastAsia" w:hAnsiTheme="majorBidi" w:cstheme="majorBidi"/>
          <w:sz w:val="20"/>
          <w:szCs w:val="20"/>
          <w:vertAlign w:val="superscript"/>
        </w:rPr>
        <w:t>e</w:t>
      </w:r>
      <w:r w:rsidRPr="00BA6AE5">
        <w:rPr>
          <w:rFonts w:asciiTheme="majorBidi" w:eastAsiaTheme="minorEastAsia" w:hAnsiTheme="majorBidi" w:cstheme="majorBidi"/>
          <w:sz w:val="20"/>
          <w:szCs w:val="20"/>
        </w:rPr>
        <w:t xml:space="preserve"> Duration from start of </w:t>
      </w:r>
      <w:proofErr w:type="gramStart"/>
      <w:r w:rsidRPr="00BA6AE5">
        <w:rPr>
          <w:rFonts w:asciiTheme="majorBidi" w:eastAsiaTheme="minorEastAsia" w:hAnsiTheme="majorBidi" w:cstheme="majorBidi"/>
          <w:sz w:val="20"/>
          <w:szCs w:val="20"/>
        </w:rPr>
        <w:t>second-line</w:t>
      </w:r>
      <w:proofErr w:type="gramEnd"/>
      <w:r w:rsidRPr="00BA6AE5">
        <w:rPr>
          <w:rFonts w:asciiTheme="majorBidi" w:eastAsiaTheme="minorEastAsia" w:hAnsiTheme="majorBidi" w:cstheme="majorBidi"/>
          <w:sz w:val="20"/>
          <w:szCs w:val="20"/>
        </w:rPr>
        <w:t xml:space="preserve"> TKI to last data collection, date of switch to a third-line TKI, or death.</w:t>
      </w:r>
    </w:p>
    <w:p w:rsidR="00B331A1" w:rsidRPr="00BA6AE5" w:rsidRDefault="00B331A1" w:rsidP="00B331A1">
      <w:pPr>
        <w:spacing w:after="0"/>
        <w:rPr>
          <w:rFonts w:asciiTheme="majorBidi" w:hAnsiTheme="majorBidi" w:cstheme="majorBidi"/>
          <w:sz w:val="20"/>
          <w:szCs w:val="20"/>
        </w:rPr>
      </w:pPr>
      <w:r w:rsidRPr="00BA6AE5">
        <w:rPr>
          <w:rFonts w:asciiTheme="majorBidi" w:hAnsiTheme="majorBidi" w:cstheme="majorBidi"/>
          <w:sz w:val="20"/>
          <w:szCs w:val="20"/>
          <w:vertAlign w:val="superscript"/>
        </w:rPr>
        <w:t xml:space="preserve">f </w:t>
      </w:r>
      <w:r w:rsidRPr="00BA6AE5">
        <w:rPr>
          <w:rFonts w:asciiTheme="majorBidi" w:hAnsiTheme="majorBidi" w:cstheme="majorBidi"/>
          <w:sz w:val="20"/>
          <w:szCs w:val="20"/>
        </w:rPr>
        <w:t xml:space="preserve">EMR defined as </w:t>
      </w:r>
      <w:r w:rsidRPr="00BA6AE5">
        <w:rPr>
          <w:rFonts w:asciiTheme="majorBidi" w:hAnsiTheme="majorBidi" w:cstheme="majorBidi"/>
          <w:i/>
          <w:iCs/>
          <w:sz w:val="20"/>
          <w:szCs w:val="20"/>
        </w:rPr>
        <w:t>BCR-ABL1</w:t>
      </w:r>
      <w:r w:rsidRPr="00BA6AE5">
        <w:rPr>
          <w:rFonts w:asciiTheme="majorBidi" w:hAnsiTheme="majorBidi" w:cstheme="majorBidi"/>
          <w:i/>
          <w:iCs/>
          <w:sz w:val="20"/>
          <w:szCs w:val="20"/>
          <w:vertAlign w:val="superscript"/>
        </w:rPr>
        <w:t>IS</w:t>
      </w:r>
      <w:r w:rsidRPr="00BA6AE5">
        <w:rPr>
          <w:rFonts w:asciiTheme="majorBidi" w:hAnsiTheme="majorBidi" w:cstheme="majorBidi"/>
          <w:sz w:val="20"/>
          <w:szCs w:val="20"/>
        </w:rPr>
        <w:t xml:space="preserve"> ≤10% at 3 months (</w:t>
      </w:r>
      <w:r w:rsidRPr="00FD56FC">
        <w:rPr>
          <w:rFonts w:ascii="Times New Roman" w:eastAsiaTheme="minorEastAsia" w:hAnsi="Times New Roman" w:cs="Times New Roman"/>
          <w:sz w:val="20"/>
          <w:szCs w:val="20"/>
        </w:rPr>
        <w:t>±</w:t>
      </w:r>
      <w:r w:rsidRPr="00BA6AE5">
        <w:rPr>
          <w:rFonts w:asciiTheme="majorBidi" w:hAnsiTheme="majorBidi" w:cstheme="majorBidi"/>
          <w:sz w:val="20"/>
          <w:szCs w:val="20"/>
        </w:rPr>
        <w:t xml:space="preserve">1 month); only those patients with </w:t>
      </w:r>
      <w:r w:rsidRPr="00BA6AE5">
        <w:rPr>
          <w:rFonts w:asciiTheme="majorBidi" w:hAnsiTheme="majorBidi" w:cstheme="majorBidi"/>
          <w:i/>
          <w:iCs/>
          <w:sz w:val="20"/>
          <w:szCs w:val="20"/>
        </w:rPr>
        <w:t>BCR-ABL1</w:t>
      </w:r>
      <w:r w:rsidRPr="00BA6AE5">
        <w:rPr>
          <w:rFonts w:asciiTheme="majorBidi" w:hAnsiTheme="majorBidi" w:cstheme="majorBidi"/>
          <w:sz w:val="20"/>
          <w:szCs w:val="20"/>
        </w:rPr>
        <w:t xml:space="preserve"> available at 3 months were included. </w:t>
      </w:r>
    </w:p>
    <w:p w:rsidR="00B331A1" w:rsidRPr="00BA6AE5" w:rsidRDefault="00B331A1" w:rsidP="00B331A1">
      <w:pPr>
        <w:spacing w:after="0"/>
        <w:rPr>
          <w:rFonts w:asciiTheme="majorBidi" w:hAnsiTheme="majorBidi" w:cstheme="majorBidi"/>
          <w:sz w:val="20"/>
          <w:szCs w:val="20"/>
        </w:rPr>
      </w:pPr>
      <w:proofErr w:type="gramStart"/>
      <w:r w:rsidRPr="00BA6AE5">
        <w:rPr>
          <w:rFonts w:asciiTheme="majorBidi" w:hAnsiTheme="majorBidi" w:cstheme="majorBidi"/>
          <w:sz w:val="20"/>
          <w:szCs w:val="20"/>
          <w:vertAlign w:val="superscript"/>
        </w:rPr>
        <w:lastRenderedPageBreak/>
        <w:t xml:space="preserve">g  </w:t>
      </w:r>
      <w:r w:rsidRPr="00BA6AE5">
        <w:rPr>
          <w:rFonts w:asciiTheme="majorBidi" w:hAnsiTheme="majorBidi" w:cstheme="majorBidi"/>
          <w:sz w:val="20"/>
          <w:szCs w:val="20"/>
        </w:rPr>
        <w:t>MMR</w:t>
      </w:r>
      <w:proofErr w:type="gramEnd"/>
      <w:r w:rsidRPr="00BA6AE5">
        <w:rPr>
          <w:rFonts w:asciiTheme="majorBidi" w:hAnsiTheme="majorBidi" w:cstheme="majorBidi"/>
          <w:sz w:val="20"/>
          <w:szCs w:val="20"/>
        </w:rPr>
        <w:t xml:space="preserve"> (≤0.1% </w:t>
      </w:r>
      <w:r w:rsidRPr="00BA6AE5">
        <w:rPr>
          <w:rFonts w:asciiTheme="majorBidi" w:hAnsiTheme="majorBidi" w:cstheme="majorBidi"/>
          <w:i/>
          <w:iCs/>
          <w:sz w:val="20"/>
          <w:szCs w:val="20"/>
        </w:rPr>
        <w:t>BCR-ABL1</w:t>
      </w:r>
      <w:r w:rsidRPr="00BA6AE5">
        <w:rPr>
          <w:rFonts w:asciiTheme="majorBidi" w:hAnsiTheme="majorBidi" w:cstheme="majorBidi"/>
          <w:sz w:val="20"/>
          <w:szCs w:val="20"/>
        </w:rPr>
        <w:t xml:space="preserve">); DMR (≤0.01% </w:t>
      </w:r>
      <w:r w:rsidRPr="00BA6AE5">
        <w:rPr>
          <w:rFonts w:asciiTheme="majorBidi" w:hAnsiTheme="majorBidi" w:cstheme="majorBidi"/>
          <w:i/>
          <w:iCs/>
          <w:sz w:val="20"/>
          <w:szCs w:val="20"/>
        </w:rPr>
        <w:t>BCR-ABL1</w:t>
      </w:r>
      <w:r w:rsidRPr="00BA6AE5">
        <w:rPr>
          <w:rFonts w:asciiTheme="majorBidi" w:hAnsiTheme="majorBidi" w:cstheme="majorBidi"/>
          <w:iCs/>
          <w:sz w:val="20"/>
          <w:szCs w:val="20"/>
        </w:rPr>
        <w:t>);</w:t>
      </w:r>
      <w:r w:rsidRPr="00BA6AE5">
        <w:rPr>
          <w:rFonts w:asciiTheme="majorBidi" w:hAnsiTheme="majorBidi" w:cstheme="majorBidi"/>
          <w:sz w:val="20"/>
          <w:szCs w:val="20"/>
        </w:rPr>
        <w:t xml:space="preserve"> only those patients with ≥13 months’ follow-up were included.</w:t>
      </w:r>
    </w:p>
    <w:p w:rsidR="00B331A1" w:rsidRPr="006D1021" w:rsidRDefault="00B331A1" w:rsidP="00B331A1">
      <w:pPr>
        <w:spacing w:after="0"/>
        <w:rPr>
          <w:rFonts w:asciiTheme="majorBidi" w:hAnsiTheme="majorBidi" w:cstheme="majorBidi"/>
          <w:sz w:val="24"/>
          <w:szCs w:val="24"/>
        </w:rPr>
      </w:pPr>
    </w:p>
    <w:p w:rsidR="00B331A1" w:rsidRDefault="00B331A1" w:rsidP="00B331A1">
      <w:pPr>
        <w:rPr>
          <w:rFonts w:asciiTheme="majorBidi" w:eastAsiaTheme="minorEastAsia" w:hAnsiTheme="majorBidi" w:cstheme="majorBidi"/>
          <w:b/>
          <w:szCs w:val="24"/>
        </w:rPr>
      </w:pPr>
      <w:r>
        <w:rPr>
          <w:rFonts w:asciiTheme="majorBidi" w:eastAsiaTheme="minorEastAsia" w:hAnsiTheme="majorBidi" w:cstheme="majorBidi"/>
          <w:b/>
          <w:szCs w:val="24"/>
        </w:rPr>
        <w:br w:type="page"/>
      </w:r>
    </w:p>
    <w:p w:rsidR="00B331A1" w:rsidRPr="00991C1E" w:rsidRDefault="00B331A1" w:rsidP="00B331A1">
      <w:pPr>
        <w:rPr>
          <w:rFonts w:asciiTheme="majorBidi" w:eastAsiaTheme="minorEastAsia" w:hAnsiTheme="majorBidi" w:cstheme="majorBidi"/>
          <w:b/>
          <w:szCs w:val="24"/>
        </w:rPr>
      </w:pPr>
      <w:r w:rsidRPr="00991C1E">
        <w:rPr>
          <w:rFonts w:asciiTheme="majorBidi" w:eastAsiaTheme="minorEastAsia" w:hAnsiTheme="majorBidi" w:cstheme="majorBidi"/>
          <w:b/>
          <w:szCs w:val="24"/>
        </w:rPr>
        <w:lastRenderedPageBreak/>
        <w:t>Fig 1</w:t>
      </w:r>
      <w:r>
        <w:rPr>
          <w:rFonts w:asciiTheme="majorBidi" w:eastAsiaTheme="minorEastAsia" w:hAnsiTheme="majorBidi" w:cstheme="majorBidi"/>
          <w:b/>
          <w:szCs w:val="24"/>
        </w:rPr>
        <w:t>.</w:t>
      </w:r>
      <w:r w:rsidRPr="00991C1E">
        <w:rPr>
          <w:rFonts w:asciiTheme="majorBidi" w:eastAsiaTheme="minorEastAsia" w:hAnsiTheme="majorBidi" w:cstheme="majorBidi"/>
          <w:b/>
          <w:szCs w:val="24"/>
        </w:rPr>
        <w:t xml:space="preserve"> Kaplan</w:t>
      </w:r>
      <w:r>
        <w:rPr>
          <w:rFonts w:asciiTheme="majorBidi" w:eastAsiaTheme="minorEastAsia" w:hAnsiTheme="majorBidi" w:cstheme="majorBidi"/>
          <w:b/>
          <w:szCs w:val="24"/>
        </w:rPr>
        <w:t>-</w:t>
      </w:r>
      <w:r w:rsidRPr="00991C1E">
        <w:rPr>
          <w:rFonts w:asciiTheme="majorBidi" w:eastAsiaTheme="minorEastAsia" w:hAnsiTheme="majorBidi" w:cstheme="majorBidi"/>
          <w:b/>
          <w:szCs w:val="24"/>
        </w:rPr>
        <w:t>Meier curve</w:t>
      </w:r>
      <w:r>
        <w:rPr>
          <w:rFonts w:asciiTheme="majorBidi" w:eastAsiaTheme="minorEastAsia" w:hAnsiTheme="majorBidi" w:cstheme="majorBidi"/>
          <w:b/>
          <w:szCs w:val="24"/>
        </w:rPr>
        <w:t>:</w:t>
      </w:r>
      <w:r w:rsidRPr="00991C1E">
        <w:rPr>
          <w:rFonts w:asciiTheme="majorBidi" w:eastAsiaTheme="minorEastAsia" w:hAnsiTheme="majorBidi" w:cstheme="majorBidi"/>
          <w:b/>
          <w:szCs w:val="24"/>
        </w:rPr>
        <w:t xml:space="preserve"> time to discontinuation of </w:t>
      </w:r>
      <w:proofErr w:type="gramStart"/>
      <w:r>
        <w:rPr>
          <w:rFonts w:asciiTheme="majorBidi" w:eastAsiaTheme="minorEastAsia" w:hAnsiTheme="majorBidi" w:cstheme="majorBidi"/>
          <w:b/>
          <w:szCs w:val="24"/>
        </w:rPr>
        <w:t>first-line</w:t>
      </w:r>
      <w:proofErr w:type="gramEnd"/>
      <w:r>
        <w:rPr>
          <w:rFonts w:asciiTheme="majorBidi" w:eastAsiaTheme="minorEastAsia" w:hAnsiTheme="majorBidi" w:cstheme="majorBidi"/>
          <w:b/>
          <w:szCs w:val="24"/>
        </w:rPr>
        <w:t xml:space="preserve"> </w:t>
      </w:r>
      <w:r w:rsidRPr="00991C1E">
        <w:rPr>
          <w:rFonts w:asciiTheme="majorBidi" w:eastAsiaTheme="minorEastAsia" w:hAnsiTheme="majorBidi" w:cstheme="majorBidi"/>
          <w:b/>
          <w:szCs w:val="24"/>
        </w:rPr>
        <w:t>TKI</w:t>
      </w:r>
    </w:p>
    <w:p w:rsidR="00B331A1" w:rsidRPr="000D1EE8" w:rsidRDefault="00B331A1" w:rsidP="00B331A1">
      <w:pPr>
        <w:rPr>
          <w:rFonts w:asciiTheme="majorBidi" w:eastAsiaTheme="minorEastAsia" w:hAnsiTheme="majorBidi" w:cstheme="majorBidi"/>
          <w:sz w:val="20"/>
          <w:szCs w:val="24"/>
        </w:rPr>
      </w:pPr>
    </w:p>
    <w:p w:rsidR="00B331A1" w:rsidRPr="000D1EE8" w:rsidRDefault="00B331A1" w:rsidP="00B331A1">
      <w:pPr>
        <w:rPr>
          <w:rFonts w:asciiTheme="majorBidi" w:eastAsiaTheme="minorEastAsia" w:hAnsiTheme="majorBidi" w:cstheme="majorBidi"/>
          <w:sz w:val="20"/>
          <w:szCs w:val="24"/>
        </w:rPr>
      </w:pPr>
      <w:r>
        <w:rPr>
          <w:rFonts w:asciiTheme="majorBidi" w:eastAsiaTheme="minorEastAsia" w:hAnsiTheme="majorBidi" w:cstheme="majorBidi"/>
          <w:noProof/>
          <w:sz w:val="20"/>
          <w:szCs w:val="24"/>
          <w:lang w:eastAsia="en-GB"/>
        </w:rPr>
        <w:drawing>
          <wp:inline distT="0" distB="0" distL="0" distR="0" wp14:anchorId="5B5BF580" wp14:editId="71E6297B">
            <wp:extent cx="5943600" cy="4241800"/>
            <wp:effectExtent l="0" t="0" r="0" b="635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501A5D.tmp"/>
                    <pic:cNvPicPr/>
                  </pic:nvPicPr>
                  <pic:blipFill>
                    <a:blip r:embed="rId7">
                      <a:extLst>
                        <a:ext uri="{28A0092B-C50C-407E-A947-70E740481C1C}">
                          <a14:useLocalDpi xmlns:a14="http://schemas.microsoft.com/office/drawing/2010/main" val="0"/>
                        </a:ext>
                      </a:extLst>
                    </a:blip>
                    <a:stretch>
                      <a:fillRect/>
                    </a:stretch>
                  </pic:blipFill>
                  <pic:spPr>
                    <a:xfrm>
                      <a:off x="0" y="0"/>
                      <a:ext cx="5943600" cy="4241800"/>
                    </a:xfrm>
                    <a:prstGeom prst="rect">
                      <a:avLst/>
                    </a:prstGeom>
                  </pic:spPr>
                </pic:pic>
              </a:graphicData>
            </a:graphic>
          </wp:inline>
        </w:drawing>
      </w:r>
    </w:p>
    <w:p w:rsidR="00B331A1" w:rsidRPr="000D1EE8" w:rsidRDefault="00B331A1" w:rsidP="00B331A1">
      <w:pPr>
        <w:rPr>
          <w:rFonts w:asciiTheme="majorBidi" w:eastAsiaTheme="minorEastAsia" w:hAnsiTheme="majorBidi" w:cstheme="majorBidi"/>
          <w:sz w:val="20"/>
          <w:szCs w:val="24"/>
        </w:rPr>
      </w:pPr>
    </w:p>
    <w:p w:rsidR="00B331A1" w:rsidRPr="00905638" w:rsidRDefault="00B331A1" w:rsidP="00B331A1">
      <w:pPr>
        <w:spacing w:after="0"/>
        <w:rPr>
          <w:rFonts w:asciiTheme="majorBidi" w:eastAsiaTheme="minorEastAsia" w:hAnsiTheme="majorBidi" w:cstheme="majorBidi"/>
          <w:sz w:val="24"/>
          <w:szCs w:val="24"/>
        </w:rPr>
      </w:pPr>
      <w:r w:rsidRPr="00905638">
        <w:rPr>
          <w:rFonts w:asciiTheme="majorBidi" w:eastAsiaTheme="minorEastAsia" w:hAnsiTheme="majorBidi" w:cstheme="majorBidi"/>
          <w:sz w:val="24"/>
          <w:szCs w:val="24"/>
        </w:rPr>
        <w:t xml:space="preserve">Patients who had not switched from first TKI at point of data collection </w:t>
      </w:r>
      <w:r>
        <w:rPr>
          <w:rFonts w:asciiTheme="majorBidi" w:eastAsiaTheme="minorEastAsia" w:hAnsiTheme="majorBidi" w:cstheme="majorBidi"/>
          <w:sz w:val="24"/>
          <w:szCs w:val="24"/>
        </w:rPr>
        <w:t xml:space="preserve">were </w:t>
      </w:r>
      <w:r w:rsidRPr="00905638">
        <w:rPr>
          <w:rFonts w:asciiTheme="majorBidi" w:eastAsiaTheme="minorEastAsia" w:hAnsiTheme="majorBidi" w:cstheme="majorBidi"/>
          <w:sz w:val="24"/>
          <w:szCs w:val="24"/>
        </w:rPr>
        <w:t>censored at date of data collection</w:t>
      </w:r>
      <w:r>
        <w:rPr>
          <w:rFonts w:asciiTheme="majorBidi" w:eastAsiaTheme="minorEastAsia" w:hAnsiTheme="majorBidi" w:cstheme="majorBidi"/>
          <w:sz w:val="24"/>
          <w:szCs w:val="24"/>
        </w:rPr>
        <w:t xml:space="preserve"> or </w:t>
      </w:r>
      <w:r w:rsidRPr="00905638">
        <w:rPr>
          <w:rFonts w:asciiTheme="majorBidi" w:eastAsiaTheme="minorEastAsia" w:hAnsiTheme="majorBidi" w:cstheme="majorBidi"/>
          <w:sz w:val="24"/>
          <w:szCs w:val="24"/>
        </w:rPr>
        <w:t>death</w:t>
      </w:r>
      <w:r>
        <w:rPr>
          <w:rFonts w:asciiTheme="majorBidi" w:eastAsiaTheme="minorEastAsia" w:hAnsiTheme="majorBidi" w:cstheme="majorBidi"/>
          <w:sz w:val="24"/>
          <w:szCs w:val="24"/>
        </w:rPr>
        <w:t>.</w:t>
      </w:r>
    </w:p>
    <w:p w:rsidR="00B331A1" w:rsidRPr="00905638" w:rsidRDefault="00B331A1" w:rsidP="00B331A1">
      <w:pPr>
        <w:spacing w:after="0"/>
        <w:rPr>
          <w:rFonts w:asciiTheme="majorBidi" w:eastAsiaTheme="minorEastAsia" w:hAnsiTheme="majorBidi" w:cstheme="majorBidi"/>
          <w:sz w:val="24"/>
          <w:szCs w:val="24"/>
        </w:rPr>
      </w:pPr>
      <w:r w:rsidRPr="00905638">
        <w:rPr>
          <w:rFonts w:asciiTheme="majorBidi" w:eastAsiaTheme="minorEastAsia" w:hAnsiTheme="majorBidi" w:cstheme="majorBidi"/>
          <w:sz w:val="24"/>
          <w:szCs w:val="24"/>
        </w:rPr>
        <w:t>Months on first TKI</w:t>
      </w:r>
      <w:r>
        <w:rPr>
          <w:rFonts w:asciiTheme="majorBidi" w:eastAsiaTheme="minorEastAsia" w:hAnsiTheme="majorBidi" w:cstheme="majorBidi"/>
          <w:sz w:val="24"/>
          <w:szCs w:val="24"/>
        </w:rPr>
        <w:t xml:space="preserve"> were </w:t>
      </w:r>
      <w:r w:rsidRPr="00905638">
        <w:rPr>
          <w:rFonts w:asciiTheme="majorBidi" w:eastAsiaTheme="minorEastAsia" w:hAnsiTheme="majorBidi" w:cstheme="majorBidi"/>
          <w:sz w:val="24"/>
          <w:szCs w:val="24"/>
        </w:rPr>
        <w:t>unknown for 10 patients on imatinib</w:t>
      </w:r>
      <w:r>
        <w:rPr>
          <w:rFonts w:asciiTheme="majorBidi" w:eastAsiaTheme="minorEastAsia" w:hAnsiTheme="majorBidi" w:cstheme="majorBidi"/>
          <w:sz w:val="24"/>
          <w:szCs w:val="24"/>
        </w:rPr>
        <w:t>.</w:t>
      </w:r>
    </w:p>
    <w:p w:rsidR="00B331A1" w:rsidRPr="001C1599" w:rsidRDefault="00B331A1" w:rsidP="00B331A1">
      <w:pPr>
        <w:rPr>
          <w:rFonts w:asciiTheme="majorBidi" w:eastAsiaTheme="minorEastAsia" w:hAnsiTheme="majorBidi" w:cstheme="majorBidi"/>
          <w:sz w:val="24"/>
          <w:szCs w:val="24"/>
        </w:rPr>
      </w:pPr>
    </w:p>
    <w:p w:rsidR="00B331A1" w:rsidRDefault="00B331A1" w:rsidP="00B331A1">
      <w:pPr>
        <w:rPr>
          <w:rFonts w:asciiTheme="majorBidi" w:eastAsiaTheme="minorEastAsia" w:hAnsiTheme="majorBidi" w:cstheme="majorBidi"/>
          <w:sz w:val="24"/>
          <w:szCs w:val="24"/>
        </w:rPr>
      </w:pPr>
      <w:r w:rsidRPr="003F7718">
        <w:rPr>
          <w:rFonts w:asciiTheme="majorBidi" w:eastAsiaTheme="minorEastAsia" w:hAnsiTheme="majorBidi" w:cstheme="majorBidi"/>
          <w:sz w:val="24"/>
          <w:szCs w:val="24"/>
        </w:rPr>
        <w:br w:type="page"/>
      </w:r>
      <w:r>
        <w:rPr>
          <w:rFonts w:asciiTheme="majorBidi" w:eastAsiaTheme="minorEastAsia" w:hAnsiTheme="majorBidi" w:cstheme="majorBidi"/>
          <w:b/>
          <w:sz w:val="24"/>
          <w:szCs w:val="24"/>
        </w:rPr>
        <w:lastRenderedPageBreak/>
        <w:t xml:space="preserve">Fig 2. TKI treatment pathways and molecular responses for patients with ELN optimal, warning (at single vs multiple ELN milestones), or failure responses while on </w:t>
      </w:r>
      <w:proofErr w:type="gramStart"/>
      <w:r>
        <w:rPr>
          <w:rFonts w:asciiTheme="majorBidi" w:eastAsiaTheme="minorEastAsia" w:hAnsiTheme="majorBidi" w:cstheme="majorBidi"/>
          <w:b/>
          <w:sz w:val="24"/>
          <w:szCs w:val="24"/>
        </w:rPr>
        <w:t>first-line</w:t>
      </w:r>
      <w:proofErr w:type="gramEnd"/>
      <w:r>
        <w:rPr>
          <w:rFonts w:asciiTheme="majorBidi" w:eastAsiaTheme="minorEastAsia" w:hAnsiTheme="majorBidi" w:cstheme="majorBidi"/>
          <w:b/>
          <w:sz w:val="24"/>
          <w:szCs w:val="24"/>
        </w:rPr>
        <w:t xml:space="preserve"> TKI</w:t>
      </w:r>
    </w:p>
    <w:p w:rsidR="00B331A1" w:rsidRDefault="00B331A1" w:rsidP="00B331A1">
      <w:pPr>
        <w:rPr>
          <w:rFonts w:asciiTheme="majorBidi" w:eastAsiaTheme="minorEastAsia" w:hAnsiTheme="majorBidi" w:cstheme="majorBidi"/>
          <w:sz w:val="24"/>
          <w:szCs w:val="24"/>
        </w:rPr>
      </w:pPr>
    </w:p>
    <w:p w:rsidR="00B331A1" w:rsidRDefault="00B331A1" w:rsidP="00B331A1">
      <w:pPr>
        <w:rPr>
          <w:rFonts w:asciiTheme="majorBidi" w:eastAsiaTheme="minorEastAsia" w:hAnsiTheme="majorBidi" w:cstheme="majorBidi"/>
          <w:sz w:val="24"/>
          <w:szCs w:val="24"/>
        </w:rPr>
      </w:pPr>
      <w:r>
        <w:rPr>
          <w:noProof/>
          <w:sz w:val="16"/>
          <w:szCs w:val="16"/>
          <w:lang w:eastAsia="en-GB"/>
        </w:rPr>
        <w:drawing>
          <wp:inline distT="0" distB="0" distL="0" distR="0" wp14:anchorId="25D248CC" wp14:editId="0F3F905B">
            <wp:extent cx="5943600" cy="4101465"/>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CC703F.tmp"/>
                    <pic:cNvPicPr/>
                  </pic:nvPicPr>
                  <pic:blipFill>
                    <a:blip r:embed="rId8">
                      <a:extLst>
                        <a:ext uri="{28A0092B-C50C-407E-A947-70E740481C1C}">
                          <a14:useLocalDpi xmlns:a14="http://schemas.microsoft.com/office/drawing/2010/main" val="0"/>
                        </a:ext>
                      </a:extLst>
                    </a:blip>
                    <a:stretch>
                      <a:fillRect/>
                    </a:stretch>
                  </pic:blipFill>
                  <pic:spPr>
                    <a:xfrm>
                      <a:off x="0" y="0"/>
                      <a:ext cx="5943600" cy="4101465"/>
                    </a:xfrm>
                    <a:prstGeom prst="rect">
                      <a:avLst/>
                    </a:prstGeom>
                  </pic:spPr>
                </pic:pic>
              </a:graphicData>
            </a:graphic>
          </wp:inline>
        </w:drawing>
      </w:r>
      <w:r w:rsidRPr="00CF7FBC">
        <w:rPr>
          <w:rFonts w:asciiTheme="majorBidi" w:eastAsiaTheme="minorEastAsia" w:hAnsiTheme="majorBidi" w:cstheme="majorBidi"/>
          <w:sz w:val="24"/>
          <w:szCs w:val="24"/>
        </w:rPr>
        <w:t xml:space="preserve"> </w:t>
      </w:r>
    </w:p>
    <w:p w:rsidR="00B331A1" w:rsidRPr="00BA6AE5" w:rsidRDefault="00B331A1" w:rsidP="00B331A1">
      <w:pPr>
        <w:spacing w:after="0" w:line="240" w:lineRule="auto"/>
        <w:rPr>
          <w:rFonts w:asciiTheme="majorBidi" w:eastAsiaTheme="minorEastAsia" w:hAnsiTheme="majorBidi" w:cstheme="majorBidi"/>
          <w:sz w:val="20"/>
          <w:szCs w:val="24"/>
        </w:rPr>
      </w:pPr>
      <w:proofErr w:type="spellStart"/>
      <w:r w:rsidRPr="00BA6AE5">
        <w:rPr>
          <w:rFonts w:asciiTheme="majorBidi" w:hAnsiTheme="majorBidi"/>
          <w:sz w:val="20"/>
          <w:vertAlign w:val="superscript"/>
        </w:rPr>
        <w:t>a</w:t>
      </w:r>
      <w:proofErr w:type="spellEnd"/>
      <w:r w:rsidRPr="00BA6AE5">
        <w:rPr>
          <w:rFonts w:asciiTheme="majorBidi" w:hAnsiTheme="majorBidi"/>
          <w:sz w:val="20"/>
        </w:rPr>
        <w:t xml:space="preserve"> </w:t>
      </w:r>
      <w:proofErr w:type="gramStart"/>
      <w:r w:rsidRPr="00BA6AE5">
        <w:rPr>
          <w:rFonts w:asciiTheme="majorBidi" w:eastAsiaTheme="minorEastAsia" w:hAnsiTheme="majorBidi" w:cstheme="majorBidi"/>
          <w:sz w:val="20"/>
          <w:szCs w:val="24"/>
        </w:rPr>
        <w:t>In</w:t>
      </w:r>
      <w:proofErr w:type="gramEnd"/>
      <w:r w:rsidRPr="00BA6AE5">
        <w:rPr>
          <w:rFonts w:asciiTheme="majorBidi" w:eastAsiaTheme="minorEastAsia" w:hAnsiTheme="majorBidi" w:cstheme="majorBidi"/>
          <w:sz w:val="20"/>
          <w:szCs w:val="24"/>
        </w:rPr>
        <w:t xml:space="preserve"> patients with multiple test results available; any patient with a failure response to first-line TKI at an ELN milestone (regardless of other responses achieved at earlier milestones) was classified as having a failure response. </w:t>
      </w:r>
      <w:r w:rsidRPr="00BA6AE5">
        <w:rPr>
          <w:rFonts w:asciiTheme="majorBidi" w:hAnsiTheme="majorBidi" w:cstheme="majorBidi"/>
          <w:sz w:val="20"/>
          <w:szCs w:val="24"/>
        </w:rPr>
        <w:t xml:space="preserve">Patients in the optimal category had only optimal responses at an ELN milestone (3, 6, or 12 months) with either molecular or cytogenetic assessments (where a molecular test was not available). Patients in the warning category had a warning at any milestone with either assessment but had no failure at any milestone with either assessment. Patients without assessments at any ELN milestone could not be categorized. </w:t>
      </w:r>
      <w:r w:rsidRPr="00BA6AE5">
        <w:rPr>
          <w:rFonts w:asciiTheme="majorBidi" w:eastAsiaTheme="minorEastAsia" w:hAnsiTheme="majorBidi" w:cstheme="majorBidi"/>
          <w:sz w:val="20"/>
          <w:szCs w:val="24"/>
        </w:rPr>
        <w:t>Thirty-four patients had no evaluable test at any ELN milestone by either molecular or cytogenetic test</w:t>
      </w:r>
    </w:p>
    <w:p w:rsidR="00B331A1" w:rsidRPr="00BA6AE5" w:rsidRDefault="00B331A1" w:rsidP="00B331A1">
      <w:pPr>
        <w:spacing w:after="0" w:line="240" w:lineRule="auto"/>
        <w:rPr>
          <w:rFonts w:asciiTheme="majorBidi" w:eastAsiaTheme="minorEastAsia" w:hAnsiTheme="majorBidi" w:cstheme="majorBidi"/>
          <w:sz w:val="20"/>
          <w:szCs w:val="24"/>
        </w:rPr>
      </w:pPr>
      <w:r w:rsidRPr="00BA6AE5">
        <w:rPr>
          <w:rFonts w:asciiTheme="majorBidi" w:eastAsiaTheme="minorEastAsia" w:hAnsiTheme="majorBidi" w:cstheme="majorBidi"/>
          <w:sz w:val="20"/>
          <w:szCs w:val="24"/>
          <w:vertAlign w:val="superscript"/>
        </w:rPr>
        <w:t>b</w:t>
      </w:r>
      <w:r w:rsidRPr="00BA6AE5">
        <w:rPr>
          <w:rFonts w:asciiTheme="majorBidi" w:eastAsiaTheme="minorEastAsia" w:hAnsiTheme="majorBidi" w:cstheme="majorBidi"/>
          <w:sz w:val="20"/>
          <w:szCs w:val="24"/>
        </w:rPr>
        <w:t xml:space="preserve"> Response may have been observed at any time. Duration of follow up varied; patient may have had ≥1 subsequent TKI switch.</w:t>
      </w:r>
    </w:p>
    <w:p w:rsidR="00B331A1" w:rsidRPr="00BA6AE5" w:rsidRDefault="00B331A1" w:rsidP="00B331A1">
      <w:pPr>
        <w:spacing w:after="0" w:line="240" w:lineRule="auto"/>
        <w:rPr>
          <w:rFonts w:asciiTheme="majorBidi" w:hAnsiTheme="majorBidi" w:cstheme="majorBidi"/>
          <w:sz w:val="20"/>
          <w:szCs w:val="24"/>
        </w:rPr>
      </w:pPr>
      <w:r w:rsidRPr="00BA6AE5">
        <w:rPr>
          <w:rFonts w:asciiTheme="majorBidi" w:hAnsiTheme="majorBidi" w:cstheme="majorBidi"/>
          <w:sz w:val="20"/>
          <w:szCs w:val="24"/>
        </w:rPr>
        <w:t xml:space="preserve">Forty-eight patients had ≥1 failure; 11 (23%) remained on </w:t>
      </w:r>
      <w:proofErr w:type="gramStart"/>
      <w:r w:rsidRPr="00BA6AE5">
        <w:rPr>
          <w:rFonts w:asciiTheme="majorBidi" w:hAnsiTheme="majorBidi" w:cstheme="majorBidi"/>
          <w:sz w:val="20"/>
          <w:szCs w:val="24"/>
        </w:rPr>
        <w:t>first-line</w:t>
      </w:r>
      <w:proofErr w:type="gramEnd"/>
      <w:r w:rsidRPr="00BA6AE5">
        <w:rPr>
          <w:rFonts w:asciiTheme="majorBidi" w:hAnsiTheme="majorBidi" w:cstheme="majorBidi"/>
          <w:sz w:val="20"/>
          <w:szCs w:val="24"/>
        </w:rPr>
        <w:t xml:space="preserve"> TKI (median follow-up, 13.8 months [IQR, 12.8-25.9 months]), and 37 (77%) switched TKIs (median follow-up, 25.1 months [IQR, 14.3-32.6 months]). Of those who switched, 22 had their first failure at 6 months (</w:t>
      </w:r>
      <w:r w:rsidRPr="00BA6AE5">
        <w:rPr>
          <w:rFonts w:asciiTheme="majorBidi" w:hAnsiTheme="majorBidi" w:cstheme="majorBidi"/>
          <w:i/>
          <w:sz w:val="20"/>
          <w:szCs w:val="24"/>
        </w:rPr>
        <w:t>BCR-ABL1</w:t>
      </w:r>
      <w:r w:rsidRPr="00BA6AE5">
        <w:rPr>
          <w:rFonts w:asciiTheme="majorBidi" w:hAnsiTheme="majorBidi" w:cstheme="majorBidi"/>
          <w:sz w:val="20"/>
          <w:szCs w:val="24"/>
          <w:vertAlign w:val="superscript"/>
        </w:rPr>
        <w:t>IS</w:t>
      </w:r>
      <w:r w:rsidRPr="00BA6AE5">
        <w:rPr>
          <w:rFonts w:asciiTheme="majorBidi" w:hAnsiTheme="majorBidi" w:cstheme="majorBidi"/>
          <w:sz w:val="20"/>
          <w:szCs w:val="24"/>
        </w:rPr>
        <w:t xml:space="preserve"> range, 10.1%-60.1%; 2 patients had a failure according to FISH), and 15 had their first failure at 12 months (</w:t>
      </w:r>
      <w:r w:rsidRPr="00BA6AE5">
        <w:rPr>
          <w:rFonts w:asciiTheme="majorBidi" w:hAnsiTheme="majorBidi" w:cstheme="majorBidi"/>
          <w:i/>
          <w:sz w:val="20"/>
          <w:szCs w:val="24"/>
        </w:rPr>
        <w:t>BCR-ABL1</w:t>
      </w:r>
      <w:r w:rsidRPr="00BA6AE5">
        <w:rPr>
          <w:rFonts w:asciiTheme="majorBidi" w:hAnsiTheme="majorBidi" w:cstheme="majorBidi"/>
          <w:sz w:val="20"/>
          <w:szCs w:val="24"/>
          <w:vertAlign w:val="superscript"/>
        </w:rPr>
        <w:t>IS</w:t>
      </w:r>
      <w:r w:rsidRPr="00BA6AE5">
        <w:rPr>
          <w:rFonts w:asciiTheme="majorBidi" w:hAnsiTheme="majorBidi" w:cstheme="majorBidi"/>
          <w:sz w:val="20"/>
          <w:szCs w:val="24"/>
        </w:rPr>
        <w:t xml:space="preserve"> range, 1.2%-12.7%). Among these patients with a failure who switched TKI, 17 (46%) and 10 (27%) achieved MMR and DMR at any time, respectively, vs 4 (36%) and 0 patients who did not switch TKI. </w:t>
      </w:r>
    </w:p>
    <w:p w:rsidR="00B331A1" w:rsidRPr="00BA6AE5" w:rsidRDefault="00B331A1" w:rsidP="00B331A1">
      <w:pPr>
        <w:spacing w:after="0" w:line="240" w:lineRule="auto"/>
        <w:rPr>
          <w:rFonts w:asciiTheme="majorBidi" w:hAnsiTheme="majorBidi" w:cstheme="majorBidi"/>
          <w:sz w:val="20"/>
          <w:szCs w:val="24"/>
        </w:rPr>
      </w:pPr>
      <w:r w:rsidRPr="00BA6AE5">
        <w:rPr>
          <w:rFonts w:asciiTheme="majorBidi" w:hAnsiTheme="majorBidi" w:cstheme="majorBidi"/>
          <w:sz w:val="20"/>
          <w:szCs w:val="24"/>
        </w:rPr>
        <w:t xml:space="preserve">Of 81 patients with warning but no failure, 52 (64%) remained on </w:t>
      </w:r>
      <w:proofErr w:type="gramStart"/>
      <w:r w:rsidRPr="00BA6AE5">
        <w:rPr>
          <w:rFonts w:asciiTheme="majorBidi" w:hAnsiTheme="majorBidi" w:cstheme="majorBidi"/>
          <w:sz w:val="20"/>
          <w:szCs w:val="24"/>
        </w:rPr>
        <w:t>first-line</w:t>
      </w:r>
      <w:proofErr w:type="gramEnd"/>
      <w:r w:rsidRPr="00BA6AE5">
        <w:rPr>
          <w:rFonts w:asciiTheme="majorBidi" w:hAnsiTheme="majorBidi" w:cstheme="majorBidi"/>
          <w:sz w:val="20"/>
          <w:szCs w:val="24"/>
        </w:rPr>
        <w:t xml:space="preserve"> TKI (median follow-up 28.4 months [IQR, 13.7-40.4 months]), and 29 (36%) switched TKIs (median follow-up 30.9 months [IQR, 20.3-38.3 months]). Of those who switched TKI, 19/29 had ≥1 additional RQ-PCR assessment between the initial warning and TKI switch. Of 34 patients without any quantifiable assessment at any ELN milestone, 27 (79%) switched TKIs. </w:t>
      </w:r>
    </w:p>
    <w:p w:rsidR="00B331A1" w:rsidRPr="0094007B" w:rsidRDefault="00B331A1" w:rsidP="00B331A1">
      <w:pPr>
        <w:rPr>
          <w:rFonts w:asciiTheme="majorBidi" w:eastAsiaTheme="minorEastAsia" w:hAnsiTheme="majorBidi" w:cstheme="majorBidi"/>
          <w:sz w:val="24"/>
          <w:szCs w:val="24"/>
        </w:rPr>
      </w:pPr>
    </w:p>
    <w:p w:rsidR="00B331A1" w:rsidRDefault="00B331A1" w:rsidP="00B331A1">
      <w:pPr>
        <w:rPr>
          <w:rFonts w:asciiTheme="majorBidi" w:eastAsiaTheme="minorEastAsia" w:hAnsiTheme="majorBidi" w:cstheme="majorBidi"/>
          <w:sz w:val="24"/>
          <w:szCs w:val="24"/>
        </w:rPr>
      </w:pPr>
      <w:r>
        <w:rPr>
          <w:rFonts w:asciiTheme="majorBidi" w:eastAsiaTheme="minorEastAsia" w:hAnsiTheme="majorBidi" w:cstheme="majorBidi"/>
          <w:sz w:val="24"/>
          <w:szCs w:val="24"/>
        </w:rPr>
        <w:br w:type="page"/>
      </w:r>
    </w:p>
    <w:p w:rsidR="00B331A1" w:rsidRPr="00334A32"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lastRenderedPageBreak/>
        <w:t xml:space="preserve">Fig 3. Disease </w:t>
      </w:r>
      <w:proofErr w:type="spellStart"/>
      <w:r>
        <w:rPr>
          <w:rFonts w:asciiTheme="majorBidi" w:eastAsiaTheme="minorEastAsia" w:hAnsiTheme="majorBidi" w:cstheme="majorBidi"/>
          <w:b/>
          <w:sz w:val="24"/>
          <w:szCs w:val="24"/>
        </w:rPr>
        <w:t>progression</w:t>
      </w:r>
      <w:r w:rsidRPr="00310192">
        <w:rPr>
          <w:rFonts w:asciiTheme="majorBidi" w:eastAsiaTheme="minorEastAsia" w:hAnsiTheme="majorBidi" w:cstheme="majorBidi"/>
          <w:b/>
          <w:sz w:val="24"/>
          <w:szCs w:val="24"/>
          <w:vertAlign w:val="superscript"/>
        </w:rPr>
        <w:t>a</w:t>
      </w:r>
      <w:proofErr w:type="spellEnd"/>
    </w:p>
    <w:p w:rsidR="00B331A1" w:rsidRDefault="00B331A1" w:rsidP="00B331A1">
      <w:pPr>
        <w:rPr>
          <w:rFonts w:asciiTheme="majorBidi" w:eastAsiaTheme="minorEastAsia" w:hAnsiTheme="majorBidi" w:cstheme="majorBidi"/>
          <w:sz w:val="24"/>
          <w:szCs w:val="24"/>
        </w:rPr>
      </w:pPr>
      <w:r>
        <w:rPr>
          <w:rFonts w:asciiTheme="majorBidi" w:eastAsiaTheme="minorEastAsia" w:hAnsiTheme="majorBidi" w:cstheme="majorBidi"/>
          <w:noProof/>
          <w:sz w:val="24"/>
          <w:szCs w:val="24"/>
          <w:lang w:eastAsia="en-GB"/>
        </w:rPr>
        <w:drawing>
          <wp:inline distT="0" distB="0" distL="0" distR="0" wp14:anchorId="1491A929" wp14:editId="331342EB">
            <wp:extent cx="5943600" cy="4547235"/>
            <wp:effectExtent l="0" t="0" r="0" b="5715"/>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CC5FEF.tmp"/>
                    <pic:cNvPicPr/>
                  </pic:nvPicPr>
                  <pic:blipFill>
                    <a:blip r:embed="rId9">
                      <a:extLst>
                        <a:ext uri="{28A0092B-C50C-407E-A947-70E740481C1C}">
                          <a14:useLocalDpi xmlns:a14="http://schemas.microsoft.com/office/drawing/2010/main" val="0"/>
                        </a:ext>
                      </a:extLst>
                    </a:blip>
                    <a:stretch>
                      <a:fillRect/>
                    </a:stretch>
                  </pic:blipFill>
                  <pic:spPr>
                    <a:xfrm>
                      <a:off x="0" y="0"/>
                      <a:ext cx="5943600" cy="4547235"/>
                    </a:xfrm>
                    <a:prstGeom prst="rect">
                      <a:avLst/>
                    </a:prstGeom>
                  </pic:spPr>
                </pic:pic>
              </a:graphicData>
            </a:graphic>
          </wp:inline>
        </w:drawing>
      </w:r>
    </w:p>
    <w:p w:rsidR="00B331A1" w:rsidRPr="00D93C13" w:rsidRDefault="00B331A1" w:rsidP="00B331A1">
      <w:pPr>
        <w:rPr>
          <w:rFonts w:ascii="Times New Roman" w:eastAsiaTheme="minorEastAsia" w:hAnsi="Times New Roman" w:cs="Times New Roman"/>
          <w:sz w:val="24"/>
          <w:szCs w:val="24"/>
        </w:rPr>
      </w:pPr>
    </w:p>
    <w:p w:rsidR="00B331A1" w:rsidRPr="00D93C13" w:rsidRDefault="00B331A1" w:rsidP="00B331A1">
      <w:pPr>
        <w:spacing w:after="0" w:line="240" w:lineRule="auto"/>
        <w:rPr>
          <w:rFonts w:ascii="Times New Roman" w:hAnsi="Times New Roman" w:cs="Times New Roman"/>
          <w:sz w:val="20"/>
          <w:szCs w:val="24"/>
        </w:rPr>
      </w:pPr>
      <w:proofErr w:type="spellStart"/>
      <w:proofErr w:type="gramStart"/>
      <w:r w:rsidRPr="00D93C13">
        <w:rPr>
          <w:rFonts w:ascii="Times New Roman" w:eastAsiaTheme="minorEastAsia" w:hAnsi="Times New Roman" w:cs="Times New Roman"/>
          <w:sz w:val="20"/>
          <w:szCs w:val="24"/>
          <w:vertAlign w:val="superscript"/>
        </w:rPr>
        <w:t>a</w:t>
      </w:r>
      <w:proofErr w:type="spellEnd"/>
      <w:proofErr w:type="gramEnd"/>
      <w:r w:rsidRPr="00D93C13">
        <w:rPr>
          <w:rFonts w:ascii="Times New Roman" w:eastAsiaTheme="minorEastAsia" w:hAnsi="Times New Roman" w:cs="Times New Roman"/>
          <w:sz w:val="20"/>
          <w:szCs w:val="24"/>
        </w:rPr>
        <w:t xml:space="preserve"> </w:t>
      </w:r>
      <w:r w:rsidRPr="00D93C13">
        <w:rPr>
          <w:rFonts w:ascii="Times New Roman" w:hAnsi="Times New Roman" w:cs="Times New Roman"/>
          <w:sz w:val="20"/>
          <w:szCs w:val="24"/>
        </w:rPr>
        <w:t>Eight patients (7 on imatinib, 1 on a second-generation TKI) progressed to accelerated phase (AP) during the course of the study. The median time to progression was 16.5 months (range</w:t>
      </w:r>
      <w:r>
        <w:rPr>
          <w:rFonts w:ascii="Times New Roman" w:hAnsi="Times New Roman" w:cs="Times New Roman"/>
          <w:sz w:val="20"/>
          <w:szCs w:val="24"/>
        </w:rPr>
        <w:t>,</w:t>
      </w:r>
      <w:r w:rsidRPr="00D93C13">
        <w:rPr>
          <w:rFonts w:ascii="Times New Roman" w:hAnsi="Times New Roman" w:cs="Times New Roman"/>
          <w:sz w:val="20"/>
          <w:szCs w:val="24"/>
        </w:rPr>
        <w:t xml:space="preserve"> 2.1</w:t>
      </w:r>
      <w:r>
        <w:rPr>
          <w:rFonts w:ascii="Times New Roman" w:hAnsi="Times New Roman" w:cs="Times New Roman"/>
          <w:sz w:val="20"/>
          <w:szCs w:val="24"/>
        </w:rPr>
        <w:t>-</w:t>
      </w:r>
      <w:r w:rsidRPr="00D93C13">
        <w:rPr>
          <w:rFonts w:ascii="Times New Roman" w:hAnsi="Times New Roman" w:cs="Times New Roman"/>
          <w:sz w:val="20"/>
          <w:szCs w:val="24"/>
        </w:rPr>
        <w:t>31.1; IQR, 7.5-26.4</w:t>
      </w:r>
      <w:r>
        <w:rPr>
          <w:rFonts w:ascii="Times New Roman" w:hAnsi="Times New Roman" w:cs="Times New Roman"/>
          <w:sz w:val="20"/>
          <w:szCs w:val="24"/>
        </w:rPr>
        <w:t>;</w:t>
      </w:r>
      <w:r w:rsidRPr="00D93C13">
        <w:rPr>
          <w:rFonts w:ascii="Times New Roman" w:hAnsi="Times New Roman" w:cs="Times New Roman"/>
          <w:sz w:val="20"/>
          <w:szCs w:val="24"/>
        </w:rPr>
        <w:t xml:space="preserve"> time to progression was unknown for one patient on </w:t>
      </w:r>
      <w:proofErr w:type="gramStart"/>
      <w:r w:rsidRPr="00D93C13">
        <w:rPr>
          <w:rFonts w:ascii="Times New Roman" w:hAnsi="Times New Roman" w:cs="Times New Roman"/>
          <w:sz w:val="20"/>
          <w:szCs w:val="24"/>
        </w:rPr>
        <w:t>first-line</w:t>
      </w:r>
      <w:proofErr w:type="gramEnd"/>
      <w:r w:rsidRPr="00D93C13">
        <w:rPr>
          <w:rFonts w:ascii="Times New Roman" w:hAnsi="Times New Roman" w:cs="Times New Roman"/>
          <w:sz w:val="20"/>
          <w:szCs w:val="24"/>
        </w:rPr>
        <w:t xml:space="preserve"> imatinib). </w:t>
      </w:r>
    </w:p>
    <w:p w:rsidR="00B331A1" w:rsidRPr="00D93C13" w:rsidRDefault="00B331A1" w:rsidP="00B331A1">
      <w:pPr>
        <w:pStyle w:val="Text"/>
        <w:spacing w:before="0"/>
        <w:rPr>
          <w:sz w:val="20"/>
          <w:szCs w:val="24"/>
        </w:rPr>
      </w:pPr>
      <w:r w:rsidRPr="00D93C13">
        <w:rPr>
          <w:sz w:val="20"/>
          <w:szCs w:val="24"/>
        </w:rPr>
        <w:t xml:space="preserve">Three patients had </w:t>
      </w:r>
      <w:proofErr w:type="gramStart"/>
      <w:r w:rsidRPr="00D93C13">
        <w:rPr>
          <w:sz w:val="20"/>
          <w:szCs w:val="24"/>
        </w:rPr>
        <w:t>a prior warning</w:t>
      </w:r>
      <w:proofErr w:type="gramEnd"/>
      <w:r w:rsidRPr="00D93C13">
        <w:rPr>
          <w:sz w:val="20"/>
          <w:szCs w:val="24"/>
        </w:rPr>
        <w:t xml:space="preserve"> response at an ELN milestone (all 3 patients received imatinib as first TKI)</w:t>
      </w:r>
      <w:r>
        <w:rPr>
          <w:sz w:val="20"/>
          <w:szCs w:val="24"/>
        </w:rPr>
        <w:t>,</w:t>
      </w:r>
      <w:r w:rsidRPr="00D93C13">
        <w:rPr>
          <w:sz w:val="20"/>
          <w:szCs w:val="24"/>
        </w:rPr>
        <w:t xml:space="preserve"> and 3 patients had a failure response at an ELN milestone (2 patients received imatinib first line and 1 patient received nilotinib). The other 2 patients who progressed to AP had no prior evaluable response at an ELN milestone (both patients received imatinib 1L). Treatments for progression to AP were TKIs in 3 patients, chemotherapy in 4 patients, and allogenic </w:t>
      </w:r>
      <w:proofErr w:type="spellStart"/>
      <w:r w:rsidRPr="00D93C13">
        <w:rPr>
          <w:sz w:val="20"/>
          <w:szCs w:val="24"/>
        </w:rPr>
        <w:t>h</w:t>
      </w:r>
      <w:r>
        <w:rPr>
          <w:sz w:val="20"/>
          <w:szCs w:val="24"/>
        </w:rPr>
        <w:t>a</w:t>
      </w:r>
      <w:r w:rsidRPr="00D93C13">
        <w:rPr>
          <w:sz w:val="20"/>
          <w:szCs w:val="24"/>
        </w:rPr>
        <w:t>ematopoietic</w:t>
      </w:r>
      <w:proofErr w:type="spellEnd"/>
      <w:r w:rsidRPr="00D93C13">
        <w:rPr>
          <w:sz w:val="20"/>
          <w:szCs w:val="24"/>
        </w:rPr>
        <w:t xml:space="preserve"> stem cell transplant (HSCT) in 5 patients</w:t>
      </w:r>
    </w:p>
    <w:p w:rsidR="00B331A1" w:rsidRPr="00D93C13" w:rsidRDefault="00B331A1" w:rsidP="00B331A1">
      <w:pPr>
        <w:pStyle w:val="Text"/>
        <w:spacing w:before="0"/>
        <w:rPr>
          <w:sz w:val="20"/>
          <w:szCs w:val="24"/>
        </w:rPr>
      </w:pPr>
      <w:r w:rsidRPr="00D93C13">
        <w:rPr>
          <w:sz w:val="20"/>
          <w:szCs w:val="24"/>
        </w:rPr>
        <w:t xml:space="preserve">Six patients progressed to BP (all received </w:t>
      </w:r>
      <w:proofErr w:type="gramStart"/>
      <w:r w:rsidRPr="00D93C13">
        <w:rPr>
          <w:sz w:val="20"/>
          <w:szCs w:val="24"/>
        </w:rPr>
        <w:t>first-line</w:t>
      </w:r>
      <w:proofErr w:type="gramEnd"/>
      <w:r w:rsidRPr="00D93C13">
        <w:rPr>
          <w:sz w:val="20"/>
          <w:szCs w:val="24"/>
        </w:rPr>
        <w:t xml:space="preserve"> imatinib), including 4 who were previously recorded as progressing to AP. Median time from start of first-line TKI to progression to BP was 22.7 months (range 1.2- 32.1; IQR</w:t>
      </w:r>
      <w:r>
        <w:rPr>
          <w:sz w:val="20"/>
          <w:szCs w:val="24"/>
        </w:rPr>
        <w:t>,</w:t>
      </w:r>
      <w:r w:rsidRPr="00D93C13">
        <w:rPr>
          <w:sz w:val="20"/>
          <w:szCs w:val="24"/>
        </w:rPr>
        <w:t xml:space="preserve"> 17.2-30.1). Treatments for progression to BP were TKIs in 4 patients, chemotherapy in 4 patients, allogenic HSCT in 2 patients and haploidentical allogenic HSCT in one patient</w:t>
      </w:r>
    </w:p>
    <w:p w:rsidR="00B331A1" w:rsidRPr="00D93C13" w:rsidRDefault="00B331A1" w:rsidP="00B331A1">
      <w:pPr>
        <w:spacing w:after="0" w:line="240" w:lineRule="auto"/>
        <w:jc w:val="both"/>
        <w:rPr>
          <w:rFonts w:asciiTheme="majorBidi" w:eastAsiaTheme="minorEastAsia" w:hAnsiTheme="majorBidi" w:cstheme="majorBidi"/>
          <w:sz w:val="20"/>
          <w:szCs w:val="24"/>
        </w:rPr>
      </w:pPr>
      <w:r w:rsidRPr="00D93C13">
        <w:rPr>
          <w:rFonts w:ascii="Times New Roman" w:eastAsiaTheme="minorEastAsia" w:hAnsi="Times New Roman" w:cs="Times New Roman"/>
          <w:sz w:val="20"/>
          <w:szCs w:val="24"/>
        </w:rPr>
        <w:t>Among 4 patients who progressed to AP only, 2 received 1 TKI prior to progression, 1 received 3 TKIs prior to progression, and 1 had an unknown</w:t>
      </w:r>
      <w:r w:rsidRPr="00D93C13">
        <w:rPr>
          <w:rFonts w:asciiTheme="majorBidi" w:eastAsiaTheme="minorEastAsia" w:hAnsiTheme="majorBidi" w:cstheme="majorBidi"/>
          <w:sz w:val="20"/>
          <w:szCs w:val="24"/>
        </w:rPr>
        <w:t xml:space="preserve"> date of disease progression. Among 4 patients who progressed to AP and BP, 2 each received 1 or 2 TKIs prior to their earliest progression, respectively. Among 2 patients who progressed to BP only, 1 each received 1 or 2 TKIs prior to progression, respectively. </w:t>
      </w:r>
      <w:r w:rsidRPr="00D93C13">
        <w:rPr>
          <w:rFonts w:asciiTheme="majorBidi" w:hAnsiTheme="majorBidi" w:cstheme="majorBidi"/>
          <w:sz w:val="20"/>
          <w:szCs w:val="24"/>
        </w:rPr>
        <w:t xml:space="preserve">None of the patients who progressed were observed to have only ELN-optimal responses to </w:t>
      </w:r>
      <w:proofErr w:type="gramStart"/>
      <w:r w:rsidRPr="00D93C13">
        <w:rPr>
          <w:rFonts w:asciiTheme="majorBidi" w:hAnsiTheme="majorBidi" w:cstheme="majorBidi"/>
          <w:sz w:val="20"/>
          <w:szCs w:val="24"/>
        </w:rPr>
        <w:t>first-line</w:t>
      </w:r>
      <w:proofErr w:type="gramEnd"/>
      <w:r w:rsidRPr="00D93C13">
        <w:rPr>
          <w:rFonts w:asciiTheme="majorBidi" w:hAnsiTheme="majorBidi" w:cstheme="majorBidi"/>
          <w:sz w:val="20"/>
          <w:szCs w:val="24"/>
        </w:rPr>
        <w:t xml:space="preserve"> TKI; 3 </w:t>
      </w:r>
      <w:r>
        <w:rPr>
          <w:rFonts w:asciiTheme="majorBidi" w:hAnsiTheme="majorBidi" w:cstheme="majorBidi"/>
          <w:sz w:val="20"/>
          <w:szCs w:val="24"/>
        </w:rPr>
        <w:t xml:space="preserve">patients </w:t>
      </w:r>
      <w:r w:rsidRPr="00D93C13">
        <w:rPr>
          <w:rFonts w:asciiTheme="majorBidi" w:hAnsiTheme="majorBidi" w:cstheme="majorBidi"/>
          <w:sz w:val="20"/>
          <w:szCs w:val="24"/>
        </w:rPr>
        <w:t xml:space="preserve">had ≥1 failure, 4 had ≥1 warning and 2 had no available assessments at ELN milestones.  </w:t>
      </w:r>
    </w:p>
    <w:p w:rsidR="00B331A1" w:rsidRPr="00D93C13" w:rsidRDefault="00B331A1" w:rsidP="00B331A1">
      <w:pPr>
        <w:spacing w:after="0" w:line="240" w:lineRule="auto"/>
        <w:jc w:val="both"/>
        <w:rPr>
          <w:rFonts w:asciiTheme="majorBidi" w:eastAsiaTheme="minorEastAsia" w:hAnsiTheme="majorBidi" w:cstheme="majorBidi"/>
          <w:sz w:val="20"/>
          <w:szCs w:val="24"/>
        </w:rPr>
      </w:pPr>
      <w:r w:rsidRPr="00D93C13">
        <w:rPr>
          <w:rFonts w:asciiTheme="majorBidi" w:eastAsiaTheme="minorEastAsia" w:hAnsiTheme="majorBidi" w:cstheme="majorBidi"/>
          <w:sz w:val="20"/>
          <w:szCs w:val="24"/>
        </w:rPr>
        <w:t xml:space="preserve">In </w:t>
      </w:r>
      <w:r>
        <w:rPr>
          <w:rFonts w:asciiTheme="majorBidi" w:eastAsiaTheme="minorEastAsia" w:hAnsiTheme="majorBidi" w:cstheme="majorBidi"/>
          <w:sz w:val="20"/>
          <w:szCs w:val="24"/>
        </w:rPr>
        <w:t>the 10</w:t>
      </w:r>
      <w:r w:rsidRPr="00D93C13">
        <w:rPr>
          <w:rFonts w:asciiTheme="majorBidi" w:eastAsiaTheme="minorEastAsia" w:hAnsiTheme="majorBidi" w:cstheme="majorBidi"/>
          <w:sz w:val="20"/>
          <w:szCs w:val="24"/>
        </w:rPr>
        <w:t xml:space="preserve"> patients who progressed to AP and/or BP, baseline </w:t>
      </w:r>
      <w:proofErr w:type="spellStart"/>
      <w:r w:rsidRPr="00D93C13">
        <w:rPr>
          <w:rFonts w:asciiTheme="majorBidi" w:eastAsiaTheme="minorEastAsia" w:hAnsiTheme="majorBidi" w:cstheme="majorBidi"/>
          <w:sz w:val="20"/>
          <w:szCs w:val="24"/>
        </w:rPr>
        <w:t>Sokal</w:t>
      </w:r>
      <w:proofErr w:type="spellEnd"/>
      <w:r w:rsidRPr="00D93C13">
        <w:rPr>
          <w:rFonts w:asciiTheme="majorBidi" w:eastAsiaTheme="minorEastAsia" w:hAnsiTheme="majorBidi" w:cstheme="majorBidi"/>
          <w:sz w:val="20"/>
          <w:szCs w:val="24"/>
        </w:rPr>
        <w:t xml:space="preserve"> score was recorded as high for 4, intermediate for 2, low for 1 and unknown for 3.</w:t>
      </w:r>
    </w:p>
    <w:p w:rsidR="00B331A1" w:rsidRPr="00D93C13" w:rsidRDefault="00B331A1" w:rsidP="00B331A1">
      <w:pPr>
        <w:spacing w:after="0" w:line="240" w:lineRule="auto"/>
        <w:jc w:val="both"/>
        <w:rPr>
          <w:rFonts w:asciiTheme="majorBidi" w:eastAsiaTheme="minorEastAsia" w:hAnsiTheme="majorBidi" w:cstheme="majorBidi"/>
          <w:sz w:val="20"/>
          <w:szCs w:val="24"/>
        </w:rPr>
      </w:pPr>
      <w:r w:rsidRPr="00D93C13">
        <w:rPr>
          <w:rFonts w:asciiTheme="majorBidi" w:eastAsiaTheme="minorEastAsia" w:hAnsiTheme="majorBidi" w:cstheme="majorBidi"/>
          <w:sz w:val="20"/>
          <w:szCs w:val="24"/>
          <w:vertAlign w:val="superscript"/>
        </w:rPr>
        <w:lastRenderedPageBreak/>
        <w:t>b</w:t>
      </w:r>
      <w:r w:rsidRPr="00D93C13">
        <w:rPr>
          <w:rFonts w:asciiTheme="majorBidi" w:eastAsiaTheme="minorEastAsia" w:hAnsiTheme="majorBidi" w:cstheme="majorBidi"/>
          <w:sz w:val="20"/>
          <w:szCs w:val="24"/>
        </w:rPr>
        <w:t xml:space="preserve"> A total of 15/257 patients died during the study observation period; 5 of these patients had progressed to AP and/or BP prior to death (n=4 had blast crisis prior to death).</w:t>
      </w:r>
      <w:r w:rsidRPr="00D93C13">
        <w:rPr>
          <w:sz w:val="18"/>
        </w:rPr>
        <w:t xml:space="preserve"> </w:t>
      </w:r>
      <w:r w:rsidRPr="00D93C13">
        <w:rPr>
          <w:rFonts w:asciiTheme="majorBidi" w:eastAsiaTheme="minorEastAsia" w:hAnsiTheme="majorBidi" w:cstheme="majorBidi"/>
          <w:sz w:val="20"/>
          <w:szCs w:val="24"/>
        </w:rPr>
        <w:t>Another 5 patients had progressed but were still alive at data collection (n=2 had blast crisis); all had received alternative treatment with 4 of 5 receiving both transplant and chemotherapy after progressing (n=1 after alternative TKI); the other patient received a transplant only.</w:t>
      </w:r>
    </w:p>
    <w:p w:rsidR="00B331A1" w:rsidRDefault="00B331A1" w:rsidP="00B331A1">
      <w:pPr>
        <w:rPr>
          <w:rFonts w:asciiTheme="majorBidi" w:hAnsiTheme="majorBidi" w:cstheme="majorBidi"/>
          <w:sz w:val="24"/>
          <w:szCs w:val="24"/>
        </w:rPr>
      </w:pPr>
    </w:p>
    <w:p w:rsidR="00B331A1" w:rsidRDefault="00B331A1" w:rsidP="00B331A1">
      <w:pPr>
        <w:rPr>
          <w:rFonts w:asciiTheme="majorBidi" w:hAnsiTheme="majorBidi" w:cstheme="majorBidi"/>
          <w:sz w:val="24"/>
          <w:szCs w:val="24"/>
        </w:rPr>
      </w:pPr>
      <w:r>
        <w:rPr>
          <w:rFonts w:asciiTheme="majorBidi" w:hAnsiTheme="majorBidi" w:cstheme="majorBidi"/>
          <w:sz w:val="24"/>
          <w:szCs w:val="24"/>
        </w:rPr>
        <w:br w:type="page"/>
      </w:r>
    </w:p>
    <w:p w:rsidR="00B331A1" w:rsidRPr="005359E8" w:rsidRDefault="00B331A1" w:rsidP="00B331A1">
      <w:pPr>
        <w:rPr>
          <w:rFonts w:asciiTheme="majorBidi" w:eastAsiaTheme="minorEastAsia" w:hAnsiTheme="majorBidi" w:cstheme="majorBidi"/>
          <w:b/>
          <w:sz w:val="32"/>
          <w:szCs w:val="32"/>
        </w:rPr>
      </w:pPr>
      <w:r w:rsidRPr="00FD1822">
        <w:rPr>
          <w:rFonts w:asciiTheme="majorBidi" w:eastAsiaTheme="minorEastAsia" w:hAnsiTheme="majorBidi" w:cstheme="majorBidi"/>
          <w:b/>
          <w:sz w:val="32"/>
          <w:szCs w:val="32"/>
        </w:rPr>
        <w:lastRenderedPageBreak/>
        <w:t>Supplementary Tables/Figures</w:t>
      </w:r>
    </w:p>
    <w:p w:rsidR="00B331A1" w:rsidRDefault="00B331A1" w:rsidP="00B331A1">
      <w:pPr>
        <w:rPr>
          <w:rFonts w:asciiTheme="majorBidi" w:eastAsiaTheme="minorEastAsia" w:hAnsiTheme="majorBidi" w:cstheme="majorBidi"/>
          <w:sz w:val="24"/>
          <w:szCs w:val="24"/>
        </w:rPr>
      </w:pPr>
      <w:r>
        <w:rPr>
          <w:rFonts w:asciiTheme="majorBidi" w:eastAsiaTheme="minorEastAsia" w:hAnsiTheme="majorBidi" w:cstheme="majorBidi"/>
          <w:b/>
          <w:sz w:val="24"/>
          <w:szCs w:val="24"/>
        </w:rPr>
        <w:t xml:space="preserve">Supplementary Table I. Reasons for choice of </w:t>
      </w:r>
      <w:proofErr w:type="gramStart"/>
      <w:r>
        <w:rPr>
          <w:rFonts w:asciiTheme="majorBidi" w:eastAsiaTheme="minorEastAsia" w:hAnsiTheme="majorBidi" w:cstheme="majorBidi"/>
          <w:b/>
          <w:sz w:val="24"/>
          <w:szCs w:val="24"/>
        </w:rPr>
        <w:t>first-line</w:t>
      </w:r>
      <w:proofErr w:type="gramEnd"/>
      <w:r>
        <w:rPr>
          <w:rFonts w:asciiTheme="majorBidi" w:eastAsiaTheme="minorEastAsia" w:hAnsiTheme="majorBidi" w:cstheme="majorBidi"/>
          <w:b/>
          <w:sz w:val="24"/>
          <w:szCs w:val="24"/>
        </w:rPr>
        <w:t xml:space="preserve"> TKI recorded for ≥2% of all patients</w:t>
      </w:r>
    </w:p>
    <w:tbl>
      <w:tblPr>
        <w:tblStyle w:val="TableGrid"/>
        <w:tblW w:w="0" w:type="auto"/>
        <w:tblLook w:val="04A0" w:firstRow="1" w:lastRow="0" w:firstColumn="1" w:lastColumn="0" w:noHBand="0" w:noVBand="1"/>
      </w:tblPr>
      <w:tblGrid>
        <w:gridCol w:w="3823"/>
        <w:gridCol w:w="2281"/>
        <w:gridCol w:w="1623"/>
        <w:gridCol w:w="1623"/>
      </w:tblGrid>
      <w:tr w:rsidR="00B331A1" w:rsidTr="00BA6AE5">
        <w:tc>
          <w:tcPr>
            <w:tcW w:w="3823" w:type="dxa"/>
          </w:tcPr>
          <w:p w:rsidR="00B331A1" w:rsidRDefault="00B331A1" w:rsidP="00BA6AE5">
            <w:pPr>
              <w:rPr>
                <w:rFonts w:asciiTheme="majorBidi" w:eastAsiaTheme="minorEastAsia" w:hAnsiTheme="majorBidi" w:cstheme="majorBidi"/>
                <w:sz w:val="24"/>
                <w:szCs w:val="24"/>
              </w:rPr>
            </w:pPr>
            <w:r>
              <w:rPr>
                <w:rFonts w:asciiTheme="majorBidi" w:eastAsiaTheme="minorEastAsia" w:hAnsiTheme="majorBidi" w:cstheme="majorBidi"/>
                <w:sz w:val="24"/>
                <w:szCs w:val="24"/>
              </w:rPr>
              <w:t>Recorded reason, n (</w:t>
            </w:r>
            <w:proofErr w:type="gramStart"/>
            <w:r>
              <w:rPr>
                <w:rFonts w:asciiTheme="majorBidi" w:eastAsiaTheme="minorEastAsia" w:hAnsiTheme="majorBidi" w:cstheme="majorBidi"/>
                <w:sz w:val="24"/>
                <w:szCs w:val="24"/>
              </w:rPr>
              <w:t>%)</w:t>
            </w:r>
            <w:r>
              <w:rPr>
                <w:rFonts w:asciiTheme="majorBidi" w:eastAsiaTheme="minorEastAsia" w:hAnsiTheme="majorBidi" w:cstheme="majorBidi"/>
                <w:sz w:val="24"/>
                <w:szCs w:val="24"/>
                <w:vertAlign w:val="superscript"/>
              </w:rPr>
              <w:t>a</w:t>
            </w:r>
            <w:proofErr w:type="gramEnd"/>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All patients</w:t>
            </w:r>
          </w:p>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(N=257)</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First-line imatinib</w:t>
            </w:r>
          </w:p>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(n=203)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First-line 2G</w:t>
            </w:r>
            <w:r>
              <w:rPr>
                <w:rFonts w:asciiTheme="majorBidi" w:eastAsiaTheme="minorEastAsia" w:hAnsiTheme="majorBidi" w:cstheme="majorBidi"/>
                <w:sz w:val="24"/>
                <w:szCs w:val="24"/>
              </w:rPr>
              <w:t>-</w:t>
            </w:r>
            <w:r w:rsidRPr="00090931">
              <w:rPr>
                <w:rFonts w:asciiTheme="majorBidi" w:eastAsiaTheme="minorEastAsia" w:hAnsiTheme="majorBidi" w:cstheme="majorBidi"/>
                <w:sz w:val="24"/>
                <w:szCs w:val="24"/>
              </w:rPr>
              <w:t>TKI</w:t>
            </w:r>
          </w:p>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(n=54)</w:t>
            </w:r>
          </w:p>
        </w:tc>
      </w:tr>
      <w:tr w:rsidR="00B331A1" w:rsidTr="00BA6AE5">
        <w:tc>
          <w:tcPr>
            <w:tcW w:w="3823" w:type="dxa"/>
          </w:tcPr>
          <w:p w:rsidR="00B331A1" w:rsidRDefault="00B331A1" w:rsidP="00BA6AE5">
            <w:pP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Known </w:t>
            </w:r>
            <w:proofErr w:type="spellStart"/>
            <w:r>
              <w:rPr>
                <w:rFonts w:asciiTheme="majorBidi" w:eastAsiaTheme="minorEastAsia" w:hAnsiTheme="majorBidi" w:cstheme="majorBidi"/>
                <w:sz w:val="24"/>
                <w:szCs w:val="24"/>
              </w:rPr>
              <w:t>reasons</w:t>
            </w:r>
            <w:r>
              <w:rPr>
                <w:rFonts w:asciiTheme="majorBidi" w:eastAsiaTheme="minorEastAsia" w:hAnsiTheme="majorBidi" w:cstheme="majorBidi"/>
                <w:sz w:val="24"/>
                <w:szCs w:val="24"/>
                <w:vertAlign w:val="superscript"/>
              </w:rPr>
              <w:t>b</w:t>
            </w:r>
            <w:proofErr w:type="spellEnd"/>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113 (44%)</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92 (45)</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21 (39)</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Clinician preference</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26 (10)</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18 (9)</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8 (15)</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Standard first-line choice</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20 (8)</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17 (8)</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3 (6)</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Good results expected</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17 (7)</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15 (7)</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2 (4)</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Ease of administration</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9 (4)</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9 (4)</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0</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Ineligibility for clinical trial/no trial available</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9 (4)</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9 (4)</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0</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Cardiovascular comorbidities</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9 (4)</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9 (4)</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0</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Low risk</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7 (3)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7 (3)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0</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Tolerability/side effect profile</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7 (3)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6 (3)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1 (2)</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Perceived as better option compared with others</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7 (3)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6 (3)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1 (2)</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Patient choice</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7 (3)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5 (2)</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2 (4)</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Local or network guidance</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7 (3)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7 (3)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0</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Smoker</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6 (2)</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6 (3)</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0</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Patient age</w:t>
            </w:r>
          </w:p>
        </w:tc>
        <w:tc>
          <w:tcPr>
            <w:tcW w:w="2281"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 (1)</w:t>
            </w:r>
          </w:p>
        </w:tc>
        <w:tc>
          <w:tcPr>
            <w:tcW w:w="1623" w:type="dxa"/>
          </w:tcPr>
          <w:p w:rsidR="00B331A1" w:rsidRPr="00CF7FBC" w:rsidRDefault="00B331A1" w:rsidP="00BA6AE5">
            <w:pPr>
              <w:jc w:val="center"/>
              <w:rPr>
                <w:rFonts w:asciiTheme="majorBidi" w:eastAsiaTheme="minorEastAsia" w:hAnsiTheme="majorBidi" w:cstheme="majorBidi"/>
                <w:sz w:val="24"/>
                <w:szCs w:val="24"/>
              </w:rPr>
            </w:pPr>
            <w:r w:rsidRPr="00CF7FBC">
              <w:rPr>
                <w:rFonts w:asciiTheme="majorBidi" w:eastAsiaTheme="minorEastAsia" w:hAnsiTheme="majorBidi" w:cstheme="majorBidi"/>
                <w:sz w:val="24"/>
                <w:szCs w:val="24"/>
              </w:rPr>
              <w:t>3 (1)</w:t>
            </w:r>
          </w:p>
        </w:tc>
        <w:tc>
          <w:tcPr>
            <w:tcW w:w="1623"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0</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Diabetes</w:t>
            </w:r>
          </w:p>
        </w:tc>
        <w:tc>
          <w:tcPr>
            <w:tcW w:w="2281"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 (1)</w:t>
            </w:r>
          </w:p>
        </w:tc>
        <w:tc>
          <w:tcPr>
            <w:tcW w:w="1623" w:type="dxa"/>
          </w:tcPr>
          <w:p w:rsidR="00B331A1" w:rsidRPr="00CF7FBC" w:rsidRDefault="00B331A1" w:rsidP="00BA6AE5">
            <w:pPr>
              <w:jc w:val="center"/>
              <w:rPr>
                <w:rFonts w:asciiTheme="majorBidi" w:eastAsiaTheme="minorEastAsia" w:hAnsiTheme="majorBidi" w:cstheme="majorBidi"/>
                <w:sz w:val="24"/>
                <w:szCs w:val="24"/>
              </w:rPr>
            </w:pPr>
            <w:r w:rsidRPr="00CF7FBC">
              <w:rPr>
                <w:rFonts w:asciiTheme="majorBidi" w:eastAsiaTheme="minorEastAsia" w:hAnsiTheme="majorBidi" w:cstheme="majorBidi"/>
                <w:sz w:val="24"/>
                <w:szCs w:val="24"/>
              </w:rPr>
              <w:t>3 (1)</w:t>
            </w:r>
          </w:p>
        </w:tc>
        <w:tc>
          <w:tcPr>
            <w:tcW w:w="1623"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0</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High </w:t>
            </w:r>
            <w:proofErr w:type="spellStart"/>
            <w:r>
              <w:rPr>
                <w:rFonts w:asciiTheme="majorBidi" w:eastAsiaTheme="minorEastAsia" w:hAnsiTheme="majorBidi" w:cstheme="majorBidi"/>
                <w:sz w:val="24"/>
                <w:szCs w:val="24"/>
              </w:rPr>
              <w:t>Sokal</w:t>
            </w:r>
            <w:proofErr w:type="spellEnd"/>
            <w:r>
              <w:rPr>
                <w:rFonts w:asciiTheme="majorBidi" w:eastAsiaTheme="minorEastAsia" w:hAnsiTheme="majorBidi" w:cstheme="majorBidi"/>
                <w:sz w:val="24"/>
                <w:szCs w:val="24"/>
              </w:rPr>
              <w:t xml:space="preserve"> risk score</w:t>
            </w:r>
          </w:p>
        </w:tc>
        <w:tc>
          <w:tcPr>
            <w:tcW w:w="2281"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 (1)</w:t>
            </w:r>
          </w:p>
        </w:tc>
        <w:tc>
          <w:tcPr>
            <w:tcW w:w="1623" w:type="dxa"/>
          </w:tcPr>
          <w:p w:rsidR="00B331A1" w:rsidRPr="00CF7FBC" w:rsidRDefault="00B331A1" w:rsidP="00BA6AE5">
            <w:pPr>
              <w:jc w:val="center"/>
              <w:rPr>
                <w:rFonts w:asciiTheme="majorBidi" w:eastAsiaTheme="minorEastAsia" w:hAnsiTheme="majorBidi" w:cstheme="majorBidi"/>
                <w:sz w:val="24"/>
                <w:szCs w:val="24"/>
              </w:rPr>
            </w:pPr>
            <w:r w:rsidRPr="00CF7FBC">
              <w:rPr>
                <w:rFonts w:asciiTheme="majorBidi" w:eastAsiaTheme="minorEastAsia" w:hAnsiTheme="majorBidi" w:cstheme="majorBidi"/>
                <w:sz w:val="24"/>
                <w:szCs w:val="24"/>
              </w:rPr>
              <w:t>1 (</w:t>
            </w:r>
            <w:r>
              <w:rPr>
                <w:rFonts w:asciiTheme="majorBidi" w:eastAsiaTheme="minorEastAsia" w:hAnsiTheme="majorBidi" w:cstheme="majorBidi"/>
                <w:sz w:val="24"/>
                <w:szCs w:val="24"/>
              </w:rPr>
              <w:t>&lt;1</w:t>
            </w:r>
            <w:r w:rsidRPr="00CF7FBC">
              <w:rPr>
                <w:rFonts w:asciiTheme="majorBidi" w:eastAsiaTheme="minorEastAsia" w:hAnsiTheme="majorBidi" w:cstheme="majorBidi"/>
                <w:sz w:val="24"/>
                <w:szCs w:val="24"/>
              </w:rPr>
              <w:t>)</w:t>
            </w:r>
          </w:p>
        </w:tc>
        <w:tc>
          <w:tcPr>
            <w:tcW w:w="1623" w:type="dxa"/>
          </w:tcPr>
          <w:p w:rsidR="00B331A1" w:rsidRPr="00CF7FBC" w:rsidRDefault="00B331A1" w:rsidP="00BA6AE5">
            <w:pPr>
              <w:jc w:val="center"/>
              <w:rPr>
                <w:rFonts w:asciiTheme="majorBidi" w:eastAsiaTheme="minorEastAsia" w:hAnsiTheme="majorBidi" w:cstheme="majorBidi"/>
                <w:sz w:val="24"/>
                <w:szCs w:val="24"/>
              </w:rPr>
            </w:pPr>
            <w:r w:rsidRPr="00CF7FBC">
              <w:rPr>
                <w:rFonts w:asciiTheme="majorBidi" w:eastAsiaTheme="minorEastAsia" w:hAnsiTheme="majorBidi" w:cstheme="majorBidi"/>
                <w:sz w:val="24"/>
                <w:szCs w:val="24"/>
              </w:rPr>
              <w:t>2 (4)</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Renal comorbidities</w:t>
            </w:r>
          </w:p>
        </w:tc>
        <w:tc>
          <w:tcPr>
            <w:tcW w:w="2281"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 (1)</w:t>
            </w:r>
          </w:p>
        </w:tc>
        <w:tc>
          <w:tcPr>
            <w:tcW w:w="1623" w:type="dxa"/>
          </w:tcPr>
          <w:p w:rsidR="00B331A1" w:rsidRPr="00CF7FBC" w:rsidRDefault="00B331A1" w:rsidP="00BA6AE5">
            <w:pPr>
              <w:jc w:val="center"/>
              <w:rPr>
                <w:rFonts w:asciiTheme="majorBidi" w:eastAsiaTheme="minorEastAsia" w:hAnsiTheme="majorBidi" w:cstheme="majorBidi"/>
                <w:sz w:val="24"/>
                <w:szCs w:val="24"/>
              </w:rPr>
            </w:pPr>
            <w:r w:rsidRPr="00CF7FBC">
              <w:rPr>
                <w:rFonts w:asciiTheme="majorBidi" w:eastAsiaTheme="minorEastAsia" w:hAnsiTheme="majorBidi" w:cstheme="majorBidi"/>
                <w:sz w:val="24"/>
                <w:szCs w:val="24"/>
              </w:rPr>
              <w:t>2 (1)</w:t>
            </w:r>
          </w:p>
        </w:tc>
        <w:tc>
          <w:tcPr>
            <w:tcW w:w="1623" w:type="dxa"/>
          </w:tcPr>
          <w:p w:rsidR="00B331A1" w:rsidRPr="008E618E" w:rsidRDefault="00B331A1" w:rsidP="00BA6AE5">
            <w:pPr>
              <w:jc w:val="center"/>
              <w:rPr>
                <w:rFonts w:asciiTheme="majorBidi" w:eastAsiaTheme="minorEastAsia" w:hAnsiTheme="majorBidi" w:cstheme="majorBidi"/>
                <w:sz w:val="24"/>
                <w:szCs w:val="24"/>
              </w:rPr>
            </w:pPr>
            <w:r w:rsidRPr="008E618E">
              <w:rPr>
                <w:rFonts w:asciiTheme="majorBidi" w:eastAsiaTheme="minorEastAsia" w:hAnsiTheme="majorBidi" w:cstheme="majorBidi"/>
                <w:sz w:val="24"/>
                <w:szCs w:val="24"/>
              </w:rPr>
              <w:t>0</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Started treatment in another country (and moved to United Kingdom)</w:t>
            </w:r>
          </w:p>
        </w:tc>
        <w:tc>
          <w:tcPr>
            <w:tcW w:w="2281"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 (1)</w:t>
            </w:r>
          </w:p>
        </w:tc>
        <w:tc>
          <w:tcPr>
            <w:tcW w:w="1623"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0</w:t>
            </w:r>
          </w:p>
        </w:tc>
        <w:tc>
          <w:tcPr>
            <w:tcW w:w="1623" w:type="dxa"/>
          </w:tcPr>
          <w:p w:rsidR="00B331A1" w:rsidRPr="00CF7FBC" w:rsidRDefault="00B331A1" w:rsidP="00BA6AE5">
            <w:pPr>
              <w:jc w:val="center"/>
              <w:rPr>
                <w:rFonts w:asciiTheme="majorBidi" w:eastAsiaTheme="minorEastAsia" w:hAnsiTheme="majorBidi" w:cstheme="majorBidi"/>
                <w:sz w:val="24"/>
                <w:szCs w:val="24"/>
              </w:rPr>
            </w:pPr>
            <w:r w:rsidRPr="00CF7FBC">
              <w:rPr>
                <w:rFonts w:asciiTheme="majorBidi" w:eastAsiaTheme="minorEastAsia" w:hAnsiTheme="majorBidi" w:cstheme="majorBidi"/>
                <w:sz w:val="24"/>
                <w:szCs w:val="24"/>
              </w:rPr>
              <w:t>2 (4)</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Intermediate </w:t>
            </w:r>
            <w:proofErr w:type="spellStart"/>
            <w:r>
              <w:rPr>
                <w:rFonts w:asciiTheme="majorBidi" w:eastAsiaTheme="minorEastAsia" w:hAnsiTheme="majorBidi" w:cstheme="majorBidi"/>
                <w:sz w:val="24"/>
                <w:szCs w:val="24"/>
              </w:rPr>
              <w:t>Sokal</w:t>
            </w:r>
            <w:proofErr w:type="spellEnd"/>
            <w:r>
              <w:rPr>
                <w:rFonts w:asciiTheme="majorBidi" w:eastAsiaTheme="minorEastAsia" w:hAnsiTheme="majorBidi" w:cstheme="majorBidi"/>
                <w:sz w:val="24"/>
                <w:szCs w:val="24"/>
              </w:rPr>
              <w:t xml:space="preserve"> risk</w:t>
            </w:r>
          </w:p>
        </w:tc>
        <w:tc>
          <w:tcPr>
            <w:tcW w:w="2281"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 (&lt;1)</w:t>
            </w:r>
          </w:p>
        </w:tc>
        <w:tc>
          <w:tcPr>
            <w:tcW w:w="1623"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0</w:t>
            </w:r>
          </w:p>
        </w:tc>
        <w:tc>
          <w:tcPr>
            <w:tcW w:w="1623" w:type="dxa"/>
          </w:tcPr>
          <w:p w:rsidR="00B331A1" w:rsidRPr="00CF7FBC" w:rsidRDefault="00B331A1" w:rsidP="00BA6AE5">
            <w:pPr>
              <w:jc w:val="center"/>
              <w:rPr>
                <w:rFonts w:asciiTheme="majorBidi" w:eastAsiaTheme="minorEastAsia" w:hAnsiTheme="majorBidi" w:cstheme="majorBidi"/>
                <w:sz w:val="24"/>
                <w:szCs w:val="24"/>
              </w:rPr>
            </w:pPr>
            <w:r w:rsidRPr="00CF7FBC">
              <w:rPr>
                <w:rFonts w:asciiTheme="majorBidi" w:eastAsiaTheme="minorEastAsia" w:hAnsiTheme="majorBidi" w:cstheme="majorBidi"/>
                <w:sz w:val="24"/>
                <w:szCs w:val="24"/>
              </w:rPr>
              <w:t>1 (2)</w:t>
            </w:r>
          </w:p>
        </w:tc>
      </w:tr>
      <w:tr w:rsidR="00B331A1" w:rsidTr="00BA6AE5">
        <w:tc>
          <w:tcPr>
            <w:tcW w:w="3823" w:type="dxa"/>
          </w:tcPr>
          <w:p w:rsidR="00B331A1" w:rsidRDefault="00B331A1" w:rsidP="00BA6AE5">
            <w:pPr>
              <w:ind w:left="161"/>
              <w:rPr>
                <w:rFonts w:asciiTheme="majorBidi" w:eastAsiaTheme="minorEastAsia" w:hAnsiTheme="majorBidi" w:cstheme="majorBidi"/>
                <w:sz w:val="24"/>
                <w:szCs w:val="24"/>
              </w:rPr>
            </w:pPr>
            <w:r>
              <w:rPr>
                <w:rFonts w:asciiTheme="majorBidi" w:eastAsiaTheme="minorEastAsia" w:hAnsiTheme="majorBidi" w:cstheme="majorBidi"/>
                <w:sz w:val="24"/>
                <w:szCs w:val="24"/>
              </w:rPr>
              <w:t>Low QRISK</w:t>
            </w:r>
          </w:p>
        </w:tc>
        <w:tc>
          <w:tcPr>
            <w:tcW w:w="2281"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 (&lt;1)</w:t>
            </w:r>
          </w:p>
        </w:tc>
        <w:tc>
          <w:tcPr>
            <w:tcW w:w="1623"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0</w:t>
            </w:r>
          </w:p>
        </w:tc>
        <w:tc>
          <w:tcPr>
            <w:tcW w:w="1623" w:type="dxa"/>
          </w:tcPr>
          <w:p w:rsidR="00B331A1" w:rsidRPr="00CF7FBC" w:rsidRDefault="00B331A1" w:rsidP="00BA6AE5">
            <w:pPr>
              <w:jc w:val="center"/>
              <w:rPr>
                <w:rFonts w:asciiTheme="majorBidi" w:eastAsiaTheme="minorEastAsia" w:hAnsiTheme="majorBidi" w:cstheme="majorBidi"/>
                <w:sz w:val="24"/>
                <w:szCs w:val="24"/>
              </w:rPr>
            </w:pPr>
            <w:r w:rsidRPr="00CF7FBC">
              <w:rPr>
                <w:rFonts w:asciiTheme="majorBidi" w:eastAsiaTheme="minorEastAsia" w:hAnsiTheme="majorBidi" w:cstheme="majorBidi"/>
                <w:sz w:val="24"/>
                <w:szCs w:val="24"/>
              </w:rPr>
              <w:t>1 (2)</w:t>
            </w:r>
          </w:p>
        </w:tc>
      </w:tr>
      <w:tr w:rsidR="00B331A1" w:rsidTr="00BA6AE5">
        <w:tc>
          <w:tcPr>
            <w:tcW w:w="3823" w:type="dxa"/>
          </w:tcPr>
          <w:p w:rsidR="00B331A1" w:rsidRDefault="00B331A1" w:rsidP="00BA6AE5">
            <w:pPr>
              <w:ind w:left="-19"/>
              <w:rPr>
                <w:rFonts w:asciiTheme="majorBidi" w:eastAsiaTheme="minorEastAsia" w:hAnsiTheme="majorBidi" w:cstheme="majorBidi"/>
                <w:sz w:val="24"/>
                <w:szCs w:val="24"/>
              </w:rPr>
            </w:pPr>
            <w:r>
              <w:rPr>
                <w:rFonts w:asciiTheme="majorBidi" w:eastAsiaTheme="minorEastAsia" w:hAnsiTheme="majorBidi" w:cstheme="majorBidi"/>
                <w:sz w:val="24"/>
                <w:szCs w:val="24"/>
              </w:rPr>
              <w:t>Reasons unknown</w:t>
            </w:r>
          </w:p>
        </w:tc>
        <w:tc>
          <w:tcPr>
            <w:tcW w:w="2281"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144 (56)</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111 (55)</w:t>
            </w:r>
          </w:p>
        </w:tc>
        <w:tc>
          <w:tcPr>
            <w:tcW w:w="1623" w:type="dxa"/>
          </w:tcPr>
          <w:p w:rsidR="00B331A1" w:rsidRPr="00090931" w:rsidRDefault="00B331A1" w:rsidP="00BA6AE5">
            <w:pPr>
              <w:jc w:val="center"/>
              <w:rPr>
                <w:rFonts w:asciiTheme="majorBidi" w:eastAsiaTheme="minorEastAsia" w:hAnsiTheme="majorBidi" w:cstheme="majorBidi"/>
                <w:sz w:val="24"/>
                <w:szCs w:val="24"/>
              </w:rPr>
            </w:pPr>
            <w:r w:rsidRPr="00090931">
              <w:rPr>
                <w:rFonts w:asciiTheme="majorBidi" w:eastAsiaTheme="minorEastAsia" w:hAnsiTheme="majorBidi" w:cstheme="majorBidi"/>
                <w:sz w:val="24"/>
                <w:szCs w:val="24"/>
              </w:rPr>
              <w:t>33 (61)</w:t>
            </w:r>
          </w:p>
        </w:tc>
      </w:tr>
    </w:tbl>
    <w:p w:rsidR="00B331A1" w:rsidRPr="0009663B" w:rsidRDefault="00B331A1" w:rsidP="00B331A1">
      <w:pPr>
        <w:spacing w:after="0"/>
        <w:rPr>
          <w:rFonts w:asciiTheme="majorBidi" w:eastAsiaTheme="minorEastAsia" w:hAnsiTheme="majorBidi" w:cstheme="majorBidi"/>
          <w:sz w:val="24"/>
          <w:szCs w:val="24"/>
        </w:rPr>
      </w:pPr>
      <w:r>
        <w:rPr>
          <w:rFonts w:asciiTheme="majorBidi" w:eastAsiaTheme="minorEastAsia" w:hAnsiTheme="majorBidi" w:cstheme="majorBidi"/>
          <w:sz w:val="24"/>
          <w:szCs w:val="24"/>
        </w:rPr>
        <w:t>2G-</w:t>
      </w:r>
      <w:r w:rsidRPr="0009663B">
        <w:rPr>
          <w:rFonts w:asciiTheme="majorBidi" w:eastAsiaTheme="minorEastAsia" w:hAnsiTheme="majorBidi" w:cstheme="majorBidi"/>
          <w:sz w:val="24"/>
          <w:szCs w:val="24"/>
        </w:rPr>
        <w:t xml:space="preserve">TKI, </w:t>
      </w:r>
      <w:r>
        <w:rPr>
          <w:rFonts w:asciiTheme="majorBidi" w:eastAsiaTheme="minorEastAsia" w:hAnsiTheme="majorBidi" w:cstheme="majorBidi"/>
          <w:sz w:val="24"/>
          <w:szCs w:val="24"/>
        </w:rPr>
        <w:t xml:space="preserve">second-generation </w:t>
      </w:r>
      <w:r w:rsidRPr="0009663B">
        <w:rPr>
          <w:rFonts w:asciiTheme="majorBidi" w:eastAsiaTheme="minorEastAsia" w:hAnsiTheme="majorBidi" w:cstheme="majorBidi"/>
          <w:sz w:val="24"/>
          <w:szCs w:val="24"/>
        </w:rPr>
        <w:t>tyrosine kinase inhibitor.</w:t>
      </w:r>
    </w:p>
    <w:p w:rsidR="00B331A1" w:rsidRDefault="00B331A1" w:rsidP="00B331A1">
      <w:pPr>
        <w:spacing w:after="0"/>
        <w:rPr>
          <w:rFonts w:asciiTheme="majorBidi" w:eastAsiaTheme="minorEastAsia" w:hAnsiTheme="majorBidi" w:cstheme="majorBidi"/>
          <w:sz w:val="24"/>
          <w:szCs w:val="24"/>
        </w:rPr>
      </w:pPr>
      <w:r>
        <w:rPr>
          <w:rFonts w:asciiTheme="majorBidi" w:eastAsiaTheme="minorEastAsia" w:hAnsiTheme="majorBidi" w:cstheme="majorBidi"/>
          <w:sz w:val="24"/>
          <w:szCs w:val="24"/>
          <w:vertAlign w:val="superscript"/>
        </w:rPr>
        <w:t>a</w:t>
      </w:r>
      <w:r w:rsidRPr="005407B3">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Percentages were calculated out of total number of patients in each column</w:t>
      </w:r>
      <w:r w:rsidRPr="005407B3">
        <w:rPr>
          <w:rFonts w:asciiTheme="majorBidi" w:eastAsiaTheme="minorEastAsia" w:hAnsiTheme="majorBidi" w:cstheme="majorBidi"/>
          <w:sz w:val="24"/>
          <w:szCs w:val="24"/>
        </w:rPr>
        <w:t>.</w:t>
      </w:r>
    </w:p>
    <w:p w:rsidR="00B331A1" w:rsidRDefault="00B331A1" w:rsidP="00B331A1">
      <w:pPr>
        <w:spacing w:after="0"/>
        <w:rPr>
          <w:rFonts w:asciiTheme="majorBidi" w:eastAsiaTheme="minorEastAsia" w:hAnsiTheme="majorBidi" w:cstheme="majorBidi"/>
          <w:sz w:val="24"/>
          <w:szCs w:val="24"/>
        </w:rPr>
      </w:pPr>
      <w:r>
        <w:rPr>
          <w:rFonts w:asciiTheme="majorBidi" w:eastAsiaTheme="minorEastAsia" w:hAnsiTheme="majorBidi" w:cstheme="majorBidi"/>
          <w:sz w:val="24"/>
          <w:szCs w:val="24"/>
          <w:vertAlign w:val="superscript"/>
        </w:rPr>
        <w:t>b</w:t>
      </w:r>
      <w:r>
        <w:rPr>
          <w:rFonts w:asciiTheme="majorBidi" w:eastAsiaTheme="minorEastAsia" w:hAnsiTheme="majorBidi" w:cstheme="majorBidi"/>
          <w:sz w:val="24"/>
          <w:szCs w:val="24"/>
        </w:rPr>
        <w:t xml:space="preserve"> Some patients had multiple reasons recorded.</w:t>
      </w:r>
    </w:p>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lastRenderedPageBreak/>
        <w:t xml:space="preserve">Supplementary Table II. Baseline blood pressure </w:t>
      </w:r>
      <w:r>
        <w:rPr>
          <w:rFonts w:asciiTheme="majorBidi" w:eastAsiaTheme="minorEastAsia" w:hAnsiTheme="majorBidi" w:cstheme="majorBidi"/>
          <w:b/>
          <w:sz w:val="24"/>
          <w:szCs w:val="24"/>
        </w:rPr>
        <w:fldChar w:fldCharType="begin"/>
      </w:r>
      <w:r>
        <w:rPr>
          <w:rFonts w:asciiTheme="majorBidi" w:eastAsiaTheme="minorEastAsia" w:hAnsiTheme="majorBidi" w:cstheme="majorBidi"/>
          <w:b/>
          <w:sz w:val="24"/>
          <w:szCs w:val="24"/>
        </w:rPr>
        <w:instrText xml:space="preserve"> ADDIN EN.CITE &lt;EndNote&gt;&lt;Cite&gt;&lt;Author&gt;Whelton&lt;/Author&gt;&lt;Year&gt;2018&lt;/Year&gt;&lt;RecNum&gt;6291&lt;/RecNum&gt;&lt;DisplayText&gt;(Whelton&lt;style face="italic"&gt;, et al&lt;/style&gt; 2018)&lt;/DisplayText&gt;&lt;record&gt;&lt;rec-number&gt;6291&lt;/rec-number&gt;&lt;foreign-keys&gt;&lt;key app="EN" db-id="sxxfsvre49szroewve75ep9j0v99v9vffext" timestamp="1567720901"&gt;6291&lt;/key&gt;&lt;/foreign-keys&gt;&lt;ref-type name="Journal Article"&gt;17&lt;/ref-type&gt;&lt;contributors&gt;&lt;authors&gt;&lt;author&gt;Whelton, P. K.&lt;/author&gt;&lt;author&gt;Carey, R. M.&lt;/author&gt;&lt;author&gt;Aronow, W. S.&lt;/author&gt;&lt;author&gt;Casey, D. E., Jr.&lt;/author&gt;&lt;author&gt;Collins, K. J.&lt;/author&gt;&lt;author&gt;Dennison Himmelfarb, C.&lt;/author&gt;&lt;author&gt;DePalma, S. M.&lt;/author&gt;&lt;author&gt;Gidding, S.&lt;/author&gt;&lt;author&gt;Jamerson, K. A.&lt;/author&gt;&lt;author&gt;Jones, D. W.&lt;/author&gt;&lt;author&gt;MacLaughlin, E. J.&lt;/author&gt;&lt;author&gt;Muntner, P.&lt;/author&gt;&lt;author&gt;Ovbiagele, B.&lt;/author&gt;&lt;author&gt;Smith, S. C., Jr.&lt;/author&gt;&lt;author&gt;Spencer, C. C.&lt;/author&gt;&lt;author&gt;Stafford, R. S.&lt;/author&gt;&lt;author&gt;Taler, S. J.&lt;/author&gt;&lt;author&gt;Thomas, R. J.&lt;/author&gt;&lt;author&gt;Williams, K. A., Sr.&lt;/author&gt;&lt;author&gt;Williamson, J. D.&lt;/author&gt;&lt;author&gt;Wright, J. T., Jr.&lt;/author&gt;&lt;/authors&gt;&lt;/contributors&gt;&lt;titles&gt;&lt;title&gt;2017 ACC/AHA/AAPA/ABC/ACPM/AGS/APhA/ASH/ASPC/NMA/PCNA Guideline for the Prevention, Detection, Evaluation, and Management of High Blood Pressure in Adults: A Report of the American College of Cardiology/American Heart Association Task Force on Clinical Practice Guidelines&lt;/title&gt;&lt;secondary-title&gt;J Am Coll Cardiol&lt;/secondary-title&gt;&lt;/titles&gt;&lt;periodical&gt;&lt;full-title&gt;J Am Coll Cardiol&lt;/full-title&gt;&lt;/periodical&gt;&lt;pages&gt;e127-e248&lt;/pages&gt;&lt;volume&gt;71&lt;/volume&gt;&lt;number&gt;19&lt;/number&gt;&lt;dates&gt;&lt;year&gt;2018&lt;/year&gt;&lt;/dates&gt;&lt;urls&gt;&lt;/urls&gt;&lt;electronic-resource-num&gt;10.1016/j.jacc.2017.11.006&lt;/electronic-resource-num&gt;&lt;/record&gt;&lt;/Cite&gt;&lt;/EndNote&gt;</w:instrText>
      </w:r>
      <w:r>
        <w:rPr>
          <w:rFonts w:asciiTheme="majorBidi" w:eastAsiaTheme="minorEastAsia" w:hAnsiTheme="majorBidi" w:cstheme="majorBidi"/>
          <w:b/>
          <w:sz w:val="24"/>
          <w:szCs w:val="24"/>
        </w:rPr>
        <w:fldChar w:fldCharType="separate"/>
      </w:r>
      <w:r>
        <w:rPr>
          <w:rFonts w:asciiTheme="majorBidi" w:eastAsiaTheme="minorEastAsia" w:hAnsiTheme="majorBidi" w:cstheme="majorBidi"/>
          <w:b/>
          <w:noProof/>
          <w:sz w:val="24"/>
          <w:szCs w:val="24"/>
        </w:rPr>
        <w:t>(Whelton</w:t>
      </w:r>
      <w:r w:rsidRPr="00482E4B">
        <w:rPr>
          <w:rFonts w:asciiTheme="majorBidi" w:eastAsiaTheme="minorEastAsia" w:hAnsiTheme="majorBidi" w:cstheme="majorBidi"/>
          <w:b/>
          <w:i/>
          <w:noProof/>
          <w:sz w:val="24"/>
          <w:szCs w:val="24"/>
        </w:rPr>
        <w:t>, et al</w:t>
      </w:r>
      <w:r>
        <w:rPr>
          <w:rFonts w:asciiTheme="majorBidi" w:eastAsiaTheme="minorEastAsia" w:hAnsiTheme="majorBidi" w:cstheme="majorBidi"/>
          <w:b/>
          <w:noProof/>
          <w:sz w:val="24"/>
          <w:szCs w:val="24"/>
        </w:rPr>
        <w:t xml:space="preserve"> 2018)</w:t>
      </w:r>
      <w:r>
        <w:rPr>
          <w:rFonts w:asciiTheme="majorBidi" w:eastAsiaTheme="minorEastAsia" w:hAnsiTheme="majorBidi" w:cstheme="majorBidi"/>
          <w:b/>
          <w:sz w:val="24"/>
          <w:szCs w:val="24"/>
        </w:rPr>
        <w:fldChar w:fldCharType="end"/>
      </w:r>
      <w:r w:rsidDel="00482E4B">
        <w:rPr>
          <w:rFonts w:asciiTheme="majorBidi" w:eastAsiaTheme="minorEastAsia" w:hAnsiTheme="majorBidi" w:cstheme="majorBidi"/>
          <w:b/>
          <w:sz w:val="24"/>
          <w:szCs w:val="24"/>
        </w:rPr>
        <w:t xml:space="preserve"> </w:t>
      </w:r>
    </w:p>
    <w:tbl>
      <w:tblPr>
        <w:tblStyle w:val="TableGrid"/>
        <w:tblW w:w="0" w:type="auto"/>
        <w:tblLook w:val="04A0" w:firstRow="1" w:lastRow="0" w:firstColumn="1" w:lastColumn="0" w:noHBand="0" w:noVBand="1"/>
      </w:tblPr>
      <w:tblGrid>
        <w:gridCol w:w="2605"/>
        <w:gridCol w:w="1135"/>
        <w:gridCol w:w="1870"/>
        <w:gridCol w:w="1870"/>
        <w:gridCol w:w="1870"/>
      </w:tblGrid>
      <w:tr w:rsidR="00B331A1" w:rsidTr="00BA6AE5">
        <w:tc>
          <w:tcPr>
            <w:tcW w:w="2605" w:type="dxa"/>
            <w:vAlign w:val="bottom"/>
          </w:tcPr>
          <w:p w:rsidR="00B331A1" w:rsidRPr="0001338E" w:rsidRDefault="00B331A1" w:rsidP="00BA6AE5">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n (%)</w:t>
            </w:r>
          </w:p>
        </w:tc>
        <w:tc>
          <w:tcPr>
            <w:tcW w:w="1135" w:type="dxa"/>
            <w:vAlign w:val="bottom"/>
          </w:tcPr>
          <w:p w:rsidR="00B331A1" w:rsidRPr="0001338E" w:rsidRDefault="00B331A1" w:rsidP="00BA6AE5">
            <w:pPr>
              <w:jc w:val="center"/>
              <w:rPr>
                <w:rFonts w:ascii="Times New Roman" w:eastAsiaTheme="minorEastAsia" w:hAnsi="Times New Roman" w:cs="Times New Roman"/>
                <w:sz w:val="20"/>
                <w:szCs w:val="20"/>
              </w:rPr>
            </w:pPr>
            <w:r w:rsidRPr="0001338E">
              <w:rPr>
                <w:rFonts w:ascii="Times New Roman" w:eastAsiaTheme="minorEastAsia" w:hAnsi="Times New Roman" w:cs="Times New Roman"/>
                <w:sz w:val="20"/>
                <w:szCs w:val="20"/>
              </w:rPr>
              <w:t>All patients</w:t>
            </w:r>
          </w:p>
          <w:p w:rsidR="00B331A1" w:rsidRPr="0001338E" w:rsidRDefault="00B331A1" w:rsidP="00BA6AE5">
            <w:pPr>
              <w:jc w:val="center"/>
              <w:rPr>
                <w:rFonts w:ascii="Times New Roman" w:eastAsiaTheme="minorEastAsia" w:hAnsi="Times New Roman" w:cs="Times New Roman"/>
                <w:sz w:val="20"/>
                <w:szCs w:val="20"/>
              </w:rPr>
            </w:pPr>
            <w:r w:rsidRPr="0001338E">
              <w:rPr>
                <w:rFonts w:ascii="Times New Roman" w:eastAsiaTheme="minorEastAsia" w:hAnsi="Times New Roman" w:cs="Times New Roman"/>
                <w:sz w:val="20"/>
                <w:szCs w:val="20"/>
              </w:rPr>
              <w:t>(N=257)</w:t>
            </w:r>
          </w:p>
        </w:tc>
        <w:tc>
          <w:tcPr>
            <w:tcW w:w="1870" w:type="dxa"/>
            <w:vAlign w:val="bottom"/>
          </w:tcPr>
          <w:p w:rsidR="00B331A1" w:rsidRPr="0001338E" w:rsidRDefault="00B331A1" w:rsidP="00BA6AE5">
            <w:pPr>
              <w:jc w:val="center"/>
              <w:rPr>
                <w:rFonts w:ascii="Times New Roman" w:eastAsiaTheme="minorEastAsia" w:hAnsi="Times New Roman" w:cs="Times New Roman"/>
                <w:sz w:val="20"/>
                <w:szCs w:val="20"/>
              </w:rPr>
            </w:pPr>
            <w:r w:rsidRPr="0001338E">
              <w:rPr>
                <w:rFonts w:ascii="Times New Roman" w:eastAsiaTheme="minorEastAsia" w:hAnsi="Times New Roman" w:cs="Times New Roman"/>
                <w:sz w:val="20"/>
                <w:szCs w:val="20"/>
              </w:rPr>
              <w:t>First</w:t>
            </w:r>
            <w:r>
              <w:rPr>
                <w:rFonts w:ascii="Times New Roman" w:eastAsiaTheme="minorEastAsia" w:hAnsi="Times New Roman" w:cs="Times New Roman"/>
                <w:sz w:val="20"/>
                <w:szCs w:val="20"/>
              </w:rPr>
              <w:t>-</w:t>
            </w:r>
            <w:r w:rsidRPr="0001338E">
              <w:rPr>
                <w:rFonts w:ascii="Times New Roman" w:eastAsiaTheme="minorEastAsia" w:hAnsi="Times New Roman" w:cs="Times New Roman"/>
                <w:sz w:val="20"/>
                <w:szCs w:val="20"/>
              </w:rPr>
              <w:t>line imatinib</w:t>
            </w:r>
          </w:p>
          <w:p w:rsidR="00B331A1" w:rsidRPr="0001338E" w:rsidRDefault="00B331A1" w:rsidP="00BA6AE5">
            <w:pPr>
              <w:jc w:val="center"/>
              <w:rPr>
                <w:rFonts w:ascii="Times New Roman" w:eastAsiaTheme="minorEastAsia" w:hAnsi="Times New Roman" w:cs="Times New Roman"/>
                <w:sz w:val="20"/>
                <w:szCs w:val="20"/>
              </w:rPr>
            </w:pPr>
            <w:r w:rsidRPr="0001338E">
              <w:rPr>
                <w:rFonts w:ascii="Times New Roman" w:eastAsiaTheme="minorEastAsia" w:hAnsi="Times New Roman" w:cs="Times New Roman"/>
                <w:sz w:val="20"/>
                <w:szCs w:val="20"/>
              </w:rPr>
              <w:t>(n=203)</w:t>
            </w:r>
          </w:p>
        </w:tc>
        <w:tc>
          <w:tcPr>
            <w:tcW w:w="1870" w:type="dxa"/>
            <w:vAlign w:val="bottom"/>
          </w:tcPr>
          <w:p w:rsidR="00B331A1" w:rsidRPr="0001338E" w:rsidRDefault="00B331A1" w:rsidP="00BA6AE5">
            <w:pPr>
              <w:jc w:val="center"/>
              <w:rPr>
                <w:rFonts w:ascii="Times New Roman" w:eastAsiaTheme="minorEastAsia" w:hAnsi="Times New Roman" w:cs="Times New Roman"/>
                <w:sz w:val="20"/>
                <w:szCs w:val="20"/>
              </w:rPr>
            </w:pPr>
            <w:r w:rsidRPr="0001338E">
              <w:rPr>
                <w:rFonts w:ascii="Times New Roman" w:eastAsiaTheme="minorEastAsia" w:hAnsi="Times New Roman" w:cs="Times New Roman"/>
                <w:sz w:val="20"/>
                <w:szCs w:val="20"/>
              </w:rPr>
              <w:t>First</w:t>
            </w:r>
            <w:r>
              <w:rPr>
                <w:rFonts w:ascii="Times New Roman" w:eastAsiaTheme="minorEastAsia" w:hAnsi="Times New Roman" w:cs="Times New Roman"/>
                <w:sz w:val="20"/>
                <w:szCs w:val="20"/>
              </w:rPr>
              <w:t>-</w:t>
            </w:r>
            <w:r w:rsidRPr="0001338E">
              <w:rPr>
                <w:rFonts w:ascii="Times New Roman" w:eastAsiaTheme="minorEastAsia" w:hAnsi="Times New Roman" w:cs="Times New Roman"/>
                <w:sz w:val="20"/>
                <w:szCs w:val="20"/>
              </w:rPr>
              <w:t>line 2G</w:t>
            </w:r>
            <w:r>
              <w:rPr>
                <w:rFonts w:ascii="Times New Roman" w:eastAsiaTheme="minorEastAsia" w:hAnsi="Times New Roman" w:cs="Times New Roman"/>
                <w:sz w:val="20"/>
                <w:szCs w:val="20"/>
              </w:rPr>
              <w:t>-</w:t>
            </w:r>
            <w:r w:rsidRPr="0001338E">
              <w:rPr>
                <w:rFonts w:ascii="Times New Roman" w:eastAsiaTheme="minorEastAsia" w:hAnsi="Times New Roman" w:cs="Times New Roman"/>
                <w:sz w:val="20"/>
                <w:szCs w:val="20"/>
              </w:rPr>
              <w:t>TKI</w:t>
            </w:r>
          </w:p>
          <w:p w:rsidR="00B331A1" w:rsidRPr="0001338E" w:rsidRDefault="00B331A1" w:rsidP="00BA6AE5">
            <w:pPr>
              <w:jc w:val="center"/>
              <w:rPr>
                <w:rFonts w:ascii="Times New Roman" w:eastAsiaTheme="minorEastAsia" w:hAnsi="Times New Roman" w:cs="Times New Roman"/>
                <w:sz w:val="20"/>
                <w:szCs w:val="20"/>
              </w:rPr>
            </w:pPr>
            <w:r w:rsidRPr="0001338E">
              <w:rPr>
                <w:rFonts w:ascii="Times New Roman" w:eastAsiaTheme="minorEastAsia" w:hAnsi="Times New Roman" w:cs="Times New Roman"/>
                <w:sz w:val="20"/>
                <w:szCs w:val="20"/>
              </w:rPr>
              <w:t>(n=54)</w:t>
            </w:r>
          </w:p>
        </w:tc>
        <w:tc>
          <w:tcPr>
            <w:tcW w:w="1870" w:type="dxa"/>
            <w:vAlign w:val="bottom"/>
          </w:tcPr>
          <w:p w:rsidR="00B331A1" w:rsidRPr="0001338E" w:rsidRDefault="00B331A1" w:rsidP="00BA6AE5">
            <w:pPr>
              <w:jc w:val="center"/>
              <w:rPr>
                <w:rFonts w:ascii="Times New Roman" w:eastAsiaTheme="minorEastAsia" w:hAnsi="Times New Roman" w:cs="Times New Roman"/>
                <w:sz w:val="20"/>
                <w:szCs w:val="20"/>
              </w:rPr>
            </w:pPr>
            <w:r w:rsidRPr="0001338E">
              <w:rPr>
                <w:rFonts w:ascii="Times New Roman" w:eastAsiaTheme="minorEastAsia" w:hAnsi="Times New Roman" w:cs="Times New Roman"/>
                <w:sz w:val="20"/>
                <w:szCs w:val="20"/>
              </w:rPr>
              <w:t>First</w:t>
            </w:r>
            <w:r>
              <w:rPr>
                <w:rFonts w:ascii="Times New Roman" w:eastAsiaTheme="minorEastAsia" w:hAnsi="Times New Roman" w:cs="Times New Roman"/>
                <w:sz w:val="20"/>
                <w:szCs w:val="20"/>
              </w:rPr>
              <w:t>-</w:t>
            </w:r>
            <w:r w:rsidRPr="0001338E">
              <w:rPr>
                <w:rFonts w:ascii="Times New Roman" w:eastAsiaTheme="minorEastAsia" w:hAnsi="Times New Roman" w:cs="Times New Roman"/>
                <w:sz w:val="20"/>
                <w:szCs w:val="20"/>
              </w:rPr>
              <w:t>line nilotinib</w:t>
            </w:r>
          </w:p>
          <w:p w:rsidR="00B331A1" w:rsidRPr="0001338E" w:rsidRDefault="00B331A1" w:rsidP="00BA6AE5">
            <w:pPr>
              <w:jc w:val="center"/>
              <w:rPr>
                <w:rFonts w:ascii="Times New Roman" w:eastAsiaTheme="minorEastAsia" w:hAnsi="Times New Roman" w:cs="Times New Roman"/>
                <w:sz w:val="20"/>
                <w:szCs w:val="20"/>
              </w:rPr>
            </w:pPr>
            <w:r w:rsidRPr="0001338E">
              <w:rPr>
                <w:rFonts w:ascii="Times New Roman" w:eastAsiaTheme="minorEastAsia" w:hAnsi="Times New Roman" w:cs="Times New Roman"/>
                <w:sz w:val="20"/>
                <w:szCs w:val="20"/>
              </w:rPr>
              <w:t>(n=50)</w:t>
            </w:r>
          </w:p>
        </w:tc>
      </w:tr>
      <w:tr w:rsidR="00B331A1" w:rsidTr="00BA6AE5">
        <w:tc>
          <w:tcPr>
            <w:tcW w:w="2605" w:type="dxa"/>
          </w:tcPr>
          <w:p w:rsidR="00B331A1" w:rsidRPr="0001338E" w:rsidRDefault="00B331A1" w:rsidP="00BA6AE5">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Documented</w:t>
            </w:r>
            <w:r w:rsidRPr="00C35747">
              <w:rPr>
                <w:rFonts w:ascii="Times New Roman" w:hAnsi="Times New Roman" w:cs="Times New Roman"/>
                <w:color w:val="000000"/>
                <w:sz w:val="20"/>
                <w:szCs w:val="20"/>
                <w:vertAlign w:val="superscript"/>
              </w:rPr>
              <w:t>a</w:t>
            </w:r>
            <w:proofErr w:type="spellEnd"/>
          </w:p>
        </w:tc>
        <w:tc>
          <w:tcPr>
            <w:tcW w:w="1135"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74 (29)</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62 (31)</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12 (22)</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 (22)</w:t>
            </w:r>
          </w:p>
        </w:tc>
      </w:tr>
      <w:tr w:rsidR="00B331A1" w:rsidTr="00BA6AE5">
        <w:tc>
          <w:tcPr>
            <w:tcW w:w="2605" w:type="dxa"/>
          </w:tcPr>
          <w:p w:rsidR="00B331A1" w:rsidRDefault="00B331A1" w:rsidP="00BA6AE5">
            <w:pPr>
              <w:ind w:left="161"/>
              <w:rPr>
                <w:rFonts w:ascii="Times New Roman" w:hAnsi="Times New Roman" w:cs="Times New Roman"/>
                <w:color w:val="000000"/>
                <w:sz w:val="20"/>
                <w:szCs w:val="20"/>
              </w:rPr>
            </w:pPr>
            <w:r w:rsidRPr="0001338E">
              <w:rPr>
                <w:rFonts w:ascii="Times New Roman" w:hAnsi="Times New Roman" w:cs="Times New Roman"/>
                <w:color w:val="000000"/>
                <w:sz w:val="20"/>
                <w:szCs w:val="20"/>
              </w:rPr>
              <w:t>Normal</w:t>
            </w:r>
          </w:p>
          <w:p w:rsidR="00B331A1" w:rsidRPr="0001338E" w:rsidRDefault="00B331A1" w:rsidP="00BA6AE5">
            <w:pPr>
              <w:ind w:left="161"/>
              <w:rPr>
                <w:rFonts w:ascii="Times New Roman" w:hAnsi="Times New Roman" w:cs="Times New Roman"/>
                <w:color w:val="000000"/>
                <w:sz w:val="20"/>
                <w:szCs w:val="20"/>
              </w:rPr>
            </w:pPr>
            <w:r w:rsidRPr="0001338E">
              <w:rPr>
                <w:rFonts w:ascii="Times New Roman" w:hAnsi="Times New Roman" w:cs="Times New Roman"/>
                <w:color w:val="000000"/>
                <w:sz w:val="20"/>
                <w:szCs w:val="20"/>
              </w:rPr>
              <w:t>(</w:t>
            </w:r>
            <w:r>
              <w:rPr>
                <w:rFonts w:ascii="Times New Roman" w:hAnsi="Times New Roman" w:cs="Times New Roman"/>
                <w:color w:val="000000"/>
                <w:sz w:val="20"/>
                <w:szCs w:val="20"/>
              </w:rPr>
              <w:t>SBP</w:t>
            </w:r>
            <w:r w:rsidRPr="0001338E">
              <w:rPr>
                <w:rFonts w:ascii="Times New Roman" w:hAnsi="Times New Roman" w:cs="Times New Roman"/>
                <w:color w:val="000000"/>
                <w:sz w:val="20"/>
                <w:szCs w:val="20"/>
              </w:rPr>
              <w:t xml:space="preserve"> &lt;120</w:t>
            </w:r>
            <w:r>
              <w:rPr>
                <w:rFonts w:ascii="Times New Roman" w:hAnsi="Times New Roman" w:cs="Times New Roman"/>
                <w:color w:val="000000"/>
                <w:sz w:val="20"/>
                <w:szCs w:val="20"/>
              </w:rPr>
              <w:t xml:space="preserve"> mm Hg and DBP </w:t>
            </w:r>
            <w:r w:rsidRPr="0001338E">
              <w:rPr>
                <w:rFonts w:ascii="Times New Roman" w:hAnsi="Times New Roman" w:cs="Times New Roman"/>
                <w:color w:val="000000"/>
                <w:sz w:val="20"/>
                <w:szCs w:val="20"/>
              </w:rPr>
              <w:t>&lt;80 mm</w:t>
            </w:r>
            <w:r>
              <w:rPr>
                <w:rFonts w:ascii="Times New Roman" w:hAnsi="Times New Roman" w:cs="Times New Roman"/>
                <w:color w:val="000000"/>
                <w:sz w:val="20"/>
                <w:szCs w:val="20"/>
              </w:rPr>
              <w:t xml:space="preserve"> </w:t>
            </w:r>
            <w:r w:rsidRPr="0001338E">
              <w:rPr>
                <w:rFonts w:ascii="Times New Roman" w:hAnsi="Times New Roman" w:cs="Times New Roman"/>
                <w:color w:val="000000"/>
                <w:sz w:val="20"/>
                <w:szCs w:val="20"/>
              </w:rPr>
              <w:t>Hg)</w:t>
            </w:r>
          </w:p>
        </w:tc>
        <w:tc>
          <w:tcPr>
            <w:tcW w:w="1135"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14 (19)</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 (18)</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 (25)</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 (27)</w:t>
            </w:r>
          </w:p>
        </w:tc>
      </w:tr>
      <w:tr w:rsidR="00B331A1" w:rsidTr="00BA6AE5">
        <w:tc>
          <w:tcPr>
            <w:tcW w:w="2605" w:type="dxa"/>
          </w:tcPr>
          <w:p w:rsidR="00B331A1" w:rsidRDefault="00B331A1" w:rsidP="00BA6AE5">
            <w:pPr>
              <w:ind w:left="161"/>
              <w:rPr>
                <w:rFonts w:ascii="Times New Roman" w:hAnsi="Times New Roman" w:cs="Times New Roman"/>
                <w:color w:val="000000"/>
                <w:sz w:val="20"/>
                <w:szCs w:val="20"/>
              </w:rPr>
            </w:pPr>
            <w:r w:rsidRPr="0001338E">
              <w:rPr>
                <w:rFonts w:ascii="Times New Roman" w:hAnsi="Times New Roman" w:cs="Times New Roman"/>
                <w:color w:val="000000"/>
                <w:sz w:val="20"/>
                <w:szCs w:val="20"/>
              </w:rPr>
              <w:t>Elevated</w:t>
            </w:r>
          </w:p>
          <w:p w:rsidR="00B331A1" w:rsidRPr="0001338E" w:rsidRDefault="00B331A1" w:rsidP="00BA6AE5">
            <w:pPr>
              <w:ind w:left="161"/>
              <w:rPr>
                <w:rFonts w:ascii="Times New Roman" w:hAnsi="Times New Roman" w:cs="Times New Roman"/>
                <w:color w:val="000000"/>
                <w:sz w:val="20"/>
                <w:szCs w:val="20"/>
              </w:rPr>
            </w:pPr>
            <w:r w:rsidRPr="0001338E">
              <w:rPr>
                <w:rFonts w:ascii="Times New Roman" w:hAnsi="Times New Roman" w:cs="Times New Roman"/>
                <w:color w:val="000000"/>
                <w:sz w:val="20"/>
                <w:szCs w:val="20"/>
              </w:rPr>
              <w:t>(S</w:t>
            </w:r>
            <w:r>
              <w:rPr>
                <w:rFonts w:ascii="Times New Roman" w:hAnsi="Times New Roman" w:cs="Times New Roman"/>
                <w:color w:val="000000"/>
                <w:sz w:val="20"/>
                <w:szCs w:val="20"/>
              </w:rPr>
              <w:t>BP</w:t>
            </w:r>
            <w:r w:rsidRPr="0001338E">
              <w:rPr>
                <w:rFonts w:ascii="Times New Roman" w:hAnsi="Times New Roman" w:cs="Times New Roman"/>
                <w:color w:val="000000"/>
                <w:sz w:val="20"/>
                <w:szCs w:val="20"/>
              </w:rPr>
              <w:t xml:space="preserve"> 120</w:t>
            </w:r>
            <w:r>
              <w:rPr>
                <w:rFonts w:ascii="Times New Roman" w:hAnsi="Times New Roman" w:cs="Times New Roman"/>
                <w:color w:val="000000"/>
                <w:sz w:val="20"/>
                <w:szCs w:val="20"/>
              </w:rPr>
              <w:t xml:space="preserve">-129 mm Hg </w:t>
            </w:r>
            <w:r w:rsidRPr="0001338E">
              <w:rPr>
                <w:rFonts w:ascii="Times New Roman" w:hAnsi="Times New Roman" w:cs="Times New Roman"/>
                <w:color w:val="000000"/>
                <w:sz w:val="20"/>
                <w:szCs w:val="20"/>
              </w:rPr>
              <w:t>and</w:t>
            </w:r>
            <w:r>
              <w:rPr>
                <w:rFonts w:ascii="Times New Roman" w:hAnsi="Times New Roman" w:cs="Times New Roman"/>
                <w:color w:val="000000"/>
                <w:sz w:val="20"/>
                <w:szCs w:val="20"/>
              </w:rPr>
              <w:t xml:space="preserve"> DBP</w:t>
            </w:r>
            <w:r w:rsidRPr="0001338E">
              <w:rPr>
                <w:rFonts w:ascii="Times New Roman" w:hAnsi="Times New Roman" w:cs="Times New Roman"/>
                <w:color w:val="000000"/>
                <w:sz w:val="20"/>
                <w:szCs w:val="20"/>
              </w:rPr>
              <w:t xml:space="preserve"> &lt;80 mm</w:t>
            </w:r>
            <w:r>
              <w:rPr>
                <w:rFonts w:ascii="Times New Roman" w:hAnsi="Times New Roman" w:cs="Times New Roman"/>
                <w:color w:val="000000"/>
                <w:sz w:val="20"/>
                <w:szCs w:val="20"/>
              </w:rPr>
              <w:t xml:space="preserve"> </w:t>
            </w:r>
            <w:r w:rsidRPr="0001338E">
              <w:rPr>
                <w:rFonts w:ascii="Times New Roman" w:hAnsi="Times New Roman" w:cs="Times New Roman"/>
                <w:color w:val="000000"/>
                <w:sz w:val="20"/>
                <w:szCs w:val="20"/>
              </w:rPr>
              <w:t>Hg)</w:t>
            </w:r>
          </w:p>
        </w:tc>
        <w:tc>
          <w:tcPr>
            <w:tcW w:w="1135"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15 (20)</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 (21)</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 (17)</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 (9)</w:t>
            </w:r>
          </w:p>
        </w:tc>
      </w:tr>
      <w:tr w:rsidR="00B331A1" w:rsidTr="00BA6AE5">
        <w:tc>
          <w:tcPr>
            <w:tcW w:w="2605" w:type="dxa"/>
          </w:tcPr>
          <w:p w:rsidR="00B331A1" w:rsidRDefault="00B331A1" w:rsidP="00BA6AE5">
            <w:pPr>
              <w:ind w:left="161"/>
              <w:rPr>
                <w:rFonts w:ascii="Times New Roman" w:hAnsi="Times New Roman" w:cs="Times New Roman"/>
                <w:color w:val="000000"/>
                <w:sz w:val="20"/>
                <w:szCs w:val="20"/>
              </w:rPr>
            </w:pPr>
            <w:r w:rsidRPr="0001338E">
              <w:rPr>
                <w:rFonts w:ascii="Times New Roman" w:hAnsi="Times New Roman" w:cs="Times New Roman"/>
                <w:color w:val="000000"/>
                <w:sz w:val="20"/>
                <w:szCs w:val="20"/>
              </w:rPr>
              <w:t>Stage 1</w:t>
            </w:r>
            <w:r>
              <w:rPr>
                <w:rFonts w:ascii="Times New Roman" w:hAnsi="Times New Roman" w:cs="Times New Roman"/>
                <w:color w:val="000000"/>
                <w:sz w:val="20"/>
                <w:szCs w:val="20"/>
              </w:rPr>
              <w:t xml:space="preserve"> hypertension</w:t>
            </w:r>
          </w:p>
          <w:p w:rsidR="00B331A1" w:rsidRPr="0001338E" w:rsidRDefault="00B331A1" w:rsidP="00BA6AE5">
            <w:pPr>
              <w:ind w:left="161"/>
              <w:rPr>
                <w:rFonts w:ascii="Times New Roman" w:hAnsi="Times New Roman" w:cs="Times New Roman"/>
                <w:color w:val="000000"/>
                <w:sz w:val="20"/>
                <w:szCs w:val="20"/>
              </w:rPr>
            </w:pPr>
            <w:r w:rsidRPr="0001338E">
              <w:rPr>
                <w:rFonts w:ascii="Times New Roman" w:hAnsi="Times New Roman" w:cs="Times New Roman"/>
                <w:color w:val="000000"/>
                <w:sz w:val="20"/>
                <w:szCs w:val="20"/>
              </w:rPr>
              <w:t>(S</w:t>
            </w:r>
            <w:r>
              <w:rPr>
                <w:rFonts w:ascii="Times New Roman" w:hAnsi="Times New Roman" w:cs="Times New Roman"/>
                <w:color w:val="000000"/>
                <w:sz w:val="20"/>
                <w:szCs w:val="20"/>
              </w:rPr>
              <w:t>BP</w:t>
            </w:r>
            <w:r w:rsidRPr="0001338E">
              <w:rPr>
                <w:rFonts w:ascii="Times New Roman" w:hAnsi="Times New Roman" w:cs="Times New Roman"/>
                <w:color w:val="000000"/>
                <w:sz w:val="20"/>
                <w:szCs w:val="20"/>
              </w:rPr>
              <w:t xml:space="preserve"> 130</w:t>
            </w:r>
            <w:r>
              <w:rPr>
                <w:rFonts w:ascii="Times New Roman" w:hAnsi="Times New Roman" w:cs="Times New Roman"/>
                <w:color w:val="000000"/>
                <w:sz w:val="20"/>
                <w:szCs w:val="20"/>
              </w:rPr>
              <w:t xml:space="preserve">-139 mm Hg </w:t>
            </w:r>
            <w:r w:rsidRPr="0001338E">
              <w:rPr>
                <w:rFonts w:ascii="Times New Roman" w:hAnsi="Times New Roman" w:cs="Times New Roman"/>
                <w:color w:val="000000"/>
                <w:sz w:val="20"/>
                <w:szCs w:val="20"/>
              </w:rPr>
              <w:t>or</w:t>
            </w:r>
            <w:r>
              <w:rPr>
                <w:rFonts w:ascii="Times New Roman" w:hAnsi="Times New Roman" w:cs="Times New Roman"/>
                <w:color w:val="000000"/>
                <w:sz w:val="20"/>
                <w:szCs w:val="20"/>
              </w:rPr>
              <w:t xml:space="preserve"> DBP</w:t>
            </w:r>
            <w:r w:rsidRPr="000133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80-89</w:t>
            </w:r>
            <w:r w:rsidRPr="0001338E">
              <w:rPr>
                <w:rFonts w:ascii="Times New Roman" w:hAnsi="Times New Roman" w:cs="Times New Roman"/>
                <w:color w:val="000000"/>
                <w:sz w:val="20"/>
                <w:szCs w:val="20"/>
              </w:rPr>
              <w:t xml:space="preserve"> mm</w:t>
            </w:r>
            <w:r>
              <w:rPr>
                <w:rFonts w:ascii="Times New Roman" w:hAnsi="Times New Roman" w:cs="Times New Roman"/>
                <w:color w:val="000000"/>
                <w:sz w:val="20"/>
                <w:szCs w:val="20"/>
              </w:rPr>
              <w:t xml:space="preserve"> </w:t>
            </w:r>
            <w:r w:rsidRPr="0001338E">
              <w:rPr>
                <w:rFonts w:ascii="Times New Roman" w:hAnsi="Times New Roman" w:cs="Times New Roman"/>
                <w:color w:val="000000"/>
                <w:sz w:val="20"/>
                <w:szCs w:val="20"/>
              </w:rPr>
              <w:t>Hg)</w:t>
            </w:r>
          </w:p>
        </w:tc>
        <w:tc>
          <w:tcPr>
            <w:tcW w:w="1135"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12 (16)</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 (13)</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 (33)</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 (36)</w:t>
            </w:r>
          </w:p>
        </w:tc>
      </w:tr>
      <w:tr w:rsidR="00B331A1" w:rsidTr="00BA6AE5">
        <w:tc>
          <w:tcPr>
            <w:tcW w:w="2605" w:type="dxa"/>
          </w:tcPr>
          <w:p w:rsidR="00B331A1" w:rsidRDefault="00B331A1" w:rsidP="00BA6AE5">
            <w:pPr>
              <w:ind w:left="161"/>
              <w:rPr>
                <w:rFonts w:ascii="Times New Roman" w:hAnsi="Times New Roman" w:cs="Times New Roman"/>
                <w:color w:val="000000"/>
                <w:sz w:val="20"/>
                <w:szCs w:val="20"/>
              </w:rPr>
            </w:pPr>
            <w:r w:rsidRPr="0001338E">
              <w:rPr>
                <w:rFonts w:ascii="Times New Roman" w:hAnsi="Times New Roman" w:cs="Times New Roman"/>
                <w:color w:val="000000"/>
                <w:sz w:val="20"/>
                <w:szCs w:val="20"/>
              </w:rPr>
              <w:t>Stage 2</w:t>
            </w:r>
            <w:r>
              <w:rPr>
                <w:rFonts w:ascii="Times New Roman" w:hAnsi="Times New Roman" w:cs="Times New Roman"/>
                <w:color w:val="000000"/>
                <w:sz w:val="20"/>
                <w:szCs w:val="20"/>
              </w:rPr>
              <w:t xml:space="preserve"> hypertension</w:t>
            </w:r>
          </w:p>
          <w:p w:rsidR="00B331A1" w:rsidRPr="0001338E" w:rsidRDefault="00B331A1" w:rsidP="00BA6AE5">
            <w:pPr>
              <w:ind w:left="161"/>
              <w:rPr>
                <w:rFonts w:ascii="Times New Roman" w:hAnsi="Times New Roman" w:cs="Times New Roman"/>
                <w:color w:val="000000"/>
                <w:sz w:val="20"/>
                <w:szCs w:val="20"/>
              </w:rPr>
            </w:pPr>
            <w:r w:rsidRPr="0001338E">
              <w:rPr>
                <w:rFonts w:ascii="Times New Roman" w:hAnsi="Times New Roman" w:cs="Times New Roman"/>
                <w:color w:val="000000"/>
                <w:sz w:val="20"/>
                <w:szCs w:val="20"/>
              </w:rPr>
              <w:t>(</w:t>
            </w:r>
            <w:r>
              <w:rPr>
                <w:rFonts w:ascii="Times New Roman" w:hAnsi="Times New Roman" w:cs="Times New Roman"/>
                <w:color w:val="000000"/>
                <w:sz w:val="20"/>
                <w:szCs w:val="20"/>
              </w:rPr>
              <w:t>SBP</w:t>
            </w:r>
            <w:r w:rsidRPr="0001338E">
              <w:rPr>
                <w:rFonts w:ascii="Times New Roman" w:hAnsi="Times New Roman" w:cs="Times New Roman"/>
                <w:color w:val="000000"/>
                <w:sz w:val="20"/>
                <w:szCs w:val="20"/>
              </w:rPr>
              <w:t xml:space="preserve"> ≥140</w:t>
            </w:r>
            <w:r>
              <w:rPr>
                <w:rFonts w:ascii="Times New Roman" w:hAnsi="Times New Roman" w:cs="Times New Roman"/>
                <w:color w:val="000000"/>
                <w:sz w:val="20"/>
                <w:szCs w:val="20"/>
              </w:rPr>
              <w:t xml:space="preserve"> mm Hg </w:t>
            </w:r>
            <w:r w:rsidRPr="0001338E">
              <w:rPr>
                <w:rFonts w:ascii="Times New Roman" w:hAnsi="Times New Roman" w:cs="Times New Roman"/>
                <w:color w:val="000000"/>
                <w:sz w:val="20"/>
                <w:szCs w:val="20"/>
              </w:rPr>
              <w:t>or</w:t>
            </w:r>
            <w:r>
              <w:rPr>
                <w:rFonts w:ascii="Times New Roman" w:hAnsi="Times New Roman" w:cs="Times New Roman"/>
                <w:color w:val="000000"/>
                <w:sz w:val="20"/>
                <w:szCs w:val="20"/>
              </w:rPr>
              <w:t xml:space="preserve"> DBP</w:t>
            </w:r>
            <w:r w:rsidRPr="0001338E">
              <w:rPr>
                <w:rFonts w:ascii="Times New Roman" w:hAnsi="Times New Roman" w:cs="Times New Roman"/>
                <w:color w:val="000000"/>
                <w:sz w:val="20"/>
                <w:szCs w:val="20"/>
              </w:rPr>
              <w:t xml:space="preserve"> ≥90 mm</w:t>
            </w:r>
            <w:r>
              <w:rPr>
                <w:rFonts w:ascii="Times New Roman" w:hAnsi="Times New Roman" w:cs="Times New Roman"/>
                <w:color w:val="000000"/>
                <w:sz w:val="20"/>
                <w:szCs w:val="20"/>
              </w:rPr>
              <w:t xml:space="preserve"> </w:t>
            </w:r>
            <w:r w:rsidRPr="0001338E">
              <w:rPr>
                <w:rFonts w:ascii="Times New Roman" w:hAnsi="Times New Roman" w:cs="Times New Roman"/>
                <w:color w:val="000000"/>
                <w:sz w:val="20"/>
                <w:szCs w:val="20"/>
              </w:rPr>
              <w:t>Hg)</w:t>
            </w:r>
          </w:p>
        </w:tc>
        <w:tc>
          <w:tcPr>
            <w:tcW w:w="1135"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30 (41)</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27 (44)</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 (25)</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 (27)</w:t>
            </w:r>
          </w:p>
        </w:tc>
      </w:tr>
      <w:tr w:rsidR="00B331A1" w:rsidTr="00BA6AE5">
        <w:tc>
          <w:tcPr>
            <w:tcW w:w="2605" w:type="dxa"/>
          </w:tcPr>
          <w:p w:rsidR="00B331A1" w:rsidRDefault="00B331A1" w:rsidP="00BA6AE5">
            <w:pPr>
              <w:ind w:left="161"/>
              <w:rPr>
                <w:rFonts w:ascii="Times New Roman" w:hAnsi="Times New Roman" w:cs="Times New Roman"/>
                <w:color w:val="000000"/>
                <w:sz w:val="20"/>
                <w:szCs w:val="20"/>
              </w:rPr>
            </w:pPr>
            <w:r w:rsidRPr="0001338E">
              <w:rPr>
                <w:rFonts w:ascii="Times New Roman" w:hAnsi="Times New Roman" w:cs="Times New Roman"/>
                <w:color w:val="000000"/>
                <w:sz w:val="20"/>
                <w:szCs w:val="20"/>
              </w:rPr>
              <w:t>Hypertensive crisis</w:t>
            </w:r>
          </w:p>
          <w:p w:rsidR="00B331A1" w:rsidRPr="0001338E" w:rsidRDefault="00B331A1" w:rsidP="00BA6AE5">
            <w:pPr>
              <w:ind w:left="161"/>
              <w:rPr>
                <w:rFonts w:ascii="Times New Roman" w:hAnsi="Times New Roman" w:cs="Times New Roman"/>
                <w:color w:val="000000"/>
                <w:sz w:val="20"/>
                <w:szCs w:val="20"/>
              </w:rPr>
            </w:pPr>
            <w:r w:rsidRPr="0001338E">
              <w:rPr>
                <w:rFonts w:ascii="Times New Roman" w:hAnsi="Times New Roman" w:cs="Times New Roman"/>
                <w:color w:val="000000"/>
                <w:sz w:val="20"/>
                <w:szCs w:val="20"/>
              </w:rPr>
              <w:t>(S</w:t>
            </w:r>
            <w:r>
              <w:rPr>
                <w:rFonts w:ascii="Times New Roman" w:hAnsi="Times New Roman" w:cs="Times New Roman"/>
                <w:color w:val="000000"/>
                <w:sz w:val="20"/>
                <w:szCs w:val="20"/>
              </w:rPr>
              <w:t>BP</w:t>
            </w:r>
            <w:r w:rsidRPr="0001338E">
              <w:rPr>
                <w:rFonts w:ascii="Times New Roman" w:hAnsi="Times New Roman" w:cs="Times New Roman"/>
                <w:color w:val="000000"/>
                <w:sz w:val="20"/>
                <w:szCs w:val="20"/>
              </w:rPr>
              <w:t xml:space="preserve"> &gt;180 </w:t>
            </w:r>
            <w:r>
              <w:rPr>
                <w:rFonts w:ascii="Times New Roman" w:hAnsi="Times New Roman" w:cs="Times New Roman"/>
                <w:color w:val="000000"/>
                <w:sz w:val="20"/>
                <w:szCs w:val="20"/>
              </w:rPr>
              <w:t xml:space="preserve">mm Hg </w:t>
            </w:r>
            <w:r w:rsidRPr="0001338E">
              <w:rPr>
                <w:rFonts w:ascii="Times New Roman" w:hAnsi="Times New Roman" w:cs="Times New Roman"/>
                <w:color w:val="000000"/>
                <w:sz w:val="20"/>
                <w:szCs w:val="20"/>
              </w:rPr>
              <w:t xml:space="preserve">and/or </w:t>
            </w:r>
            <w:r>
              <w:rPr>
                <w:rFonts w:ascii="Times New Roman" w:hAnsi="Times New Roman" w:cs="Times New Roman"/>
                <w:color w:val="000000"/>
                <w:sz w:val="20"/>
                <w:szCs w:val="20"/>
              </w:rPr>
              <w:t>DBP</w:t>
            </w:r>
            <w:r w:rsidRPr="0001338E">
              <w:rPr>
                <w:rFonts w:ascii="Times New Roman" w:hAnsi="Times New Roman" w:cs="Times New Roman"/>
                <w:color w:val="000000"/>
                <w:sz w:val="20"/>
                <w:szCs w:val="20"/>
              </w:rPr>
              <w:t xml:space="preserve"> &gt;120</w:t>
            </w:r>
            <w:r>
              <w:rPr>
                <w:rFonts w:ascii="Times New Roman" w:hAnsi="Times New Roman" w:cs="Times New Roman"/>
                <w:color w:val="000000"/>
                <w:sz w:val="20"/>
                <w:szCs w:val="20"/>
              </w:rPr>
              <w:t xml:space="preserve"> </w:t>
            </w:r>
            <w:r w:rsidRPr="0001338E">
              <w:rPr>
                <w:rFonts w:ascii="Times New Roman" w:hAnsi="Times New Roman" w:cs="Times New Roman"/>
                <w:color w:val="000000"/>
                <w:sz w:val="20"/>
                <w:szCs w:val="20"/>
              </w:rPr>
              <w:t>mm</w:t>
            </w:r>
            <w:r>
              <w:rPr>
                <w:rFonts w:ascii="Times New Roman" w:hAnsi="Times New Roman" w:cs="Times New Roman"/>
                <w:color w:val="000000"/>
                <w:sz w:val="20"/>
                <w:szCs w:val="20"/>
              </w:rPr>
              <w:t xml:space="preserve"> </w:t>
            </w:r>
            <w:r w:rsidRPr="0001338E">
              <w:rPr>
                <w:rFonts w:ascii="Times New Roman" w:hAnsi="Times New Roman" w:cs="Times New Roman"/>
                <w:color w:val="000000"/>
                <w:sz w:val="20"/>
                <w:szCs w:val="20"/>
              </w:rPr>
              <w:t>Hg</w:t>
            </w:r>
            <w:r>
              <w:rPr>
                <w:rFonts w:ascii="Times New Roman" w:hAnsi="Times New Roman" w:cs="Times New Roman"/>
                <w:color w:val="000000"/>
                <w:sz w:val="20"/>
                <w:szCs w:val="20"/>
              </w:rPr>
              <w:t>)</w:t>
            </w:r>
          </w:p>
        </w:tc>
        <w:tc>
          <w:tcPr>
            <w:tcW w:w="1135"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 (4)</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 (5)</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w:t>
            </w:r>
          </w:p>
        </w:tc>
      </w:tr>
      <w:tr w:rsidR="00B331A1" w:rsidTr="00BA6AE5">
        <w:tc>
          <w:tcPr>
            <w:tcW w:w="2605" w:type="dxa"/>
          </w:tcPr>
          <w:p w:rsidR="00B331A1" w:rsidRPr="0001338E" w:rsidRDefault="00B331A1" w:rsidP="00BA6AE5">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Not documented</w:t>
            </w:r>
          </w:p>
        </w:tc>
        <w:tc>
          <w:tcPr>
            <w:tcW w:w="1135"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182 (71)</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140 (69)</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42 (78)</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39 (78)</w:t>
            </w:r>
          </w:p>
        </w:tc>
      </w:tr>
      <w:tr w:rsidR="00B331A1" w:rsidTr="00BA6AE5">
        <w:tc>
          <w:tcPr>
            <w:tcW w:w="2605" w:type="dxa"/>
          </w:tcPr>
          <w:p w:rsidR="00B331A1" w:rsidRPr="0001338E" w:rsidRDefault="00B331A1" w:rsidP="00BA6AE5">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Not known whether documented</w:t>
            </w:r>
          </w:p>
        </w:tc>
        <w:tc>
          <w:tcPr>
            <w:tcW w:w="1135"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 (&lt;1)</w:t>
            </w:r>
            <w:r>
              <w:rPr>
                <w:rFonts w:ascii="Times New Roman" w:eastAsiaTheme="minorEastAsia" w:hAnsi="Times New Roman" w:cs="Times New Roman"/>
                <w:sz w:val="20"/>
                <w:szCs w:val="20"/>
                <w:vertAlign w:val="superscript"/>
              </w:rPr>
              <w:t>b</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 (&lt;1)</w:t>
            </w:r>
            <w:r>
              <w:rPr>
                <w:rFonts w:ascii="Times New Roman" w:eastAsiaTheme="minorEastAsia" w:hAnsi="Times New Roman" w:cs="Times New Roman"/>
                <w:sz w:val="20"/>
                <w:szCs w:val="20"/>
                <w:vertAlign w:val="superscript"/>
              </w:rPr>
              <w:t>b</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w:t>
            </w:r>
          </w:p>
        </w:tc>
        <w:tc>
          <w:tcPr>
            <w:tcW w:w="1870" w:type="dxa"/>
            <w:vAlign w:val="center"/>
          </w:tcPr>
          <w:p w:rsidR="00B331A1" w:rsidRPr="0001338E" w:rsidRDefault="00B331A1" w:rsidP="00BA6AE5">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w:t>
            </w:r>
          </w:p>
        </w:tc>
      </w:tr>
    </w:tbl>
    <w:p w:rsidR="00B331A1" w:rsidRPr="00D93C13" w:rsidRDefault="00B331A1" w:rsidP="00B331A1">
      <w:pPr>
        <w:spacing w:after="0"/>
        <w:jc w:val="both"/>
        <w:rPr>
          <w:rFonts w:asciiTheme="majorBidi" w:eastAsiaTheme="minorEastAsia" w:hAnsiTheme="majorBidi" w:cstheme="majorBidi"/>
          <w:sz w:val="20"/>
          <w:szCs w:val="20"/>
        </w:rPr>
      </w:pPr>
      <w:r w:rsidRPr="00D93C13">
        <w:rPr>
          <w:rFonts w:asciiTheme="majorBidi" w:eastAsiaTheme="minorEastAsia" w:hAnsiTheme="majorBidi" w:cstheme="majorBidi"/>
          <w:sz w:val="20"/>
          <w:szCs w:val="20"/>
        </w:rPr>
        <w:t>2G</w:t>
      </w:r>
      <w:r>
        <w:rPr>
          <w:rFonts w:asciiTheme="majorBidi" w:eastAsiaTheme="minorEastAsia" w:hAnsiTheme="majorBidi" w:cstheme="majorBidi"/>
          <w:sz w:val="20"/>
          <w:szCs w:val="20"/>
        </w:rPr>
        <w:t>-</w:t>
      </w:r>
      <w:r w:rsidRPr="00D93C13">
        <w:rPr>
          <w:rFonts w:asciiTheme="majorBidi" w:eastAsiaTheme="minorEastAsia" w:hAnsiTheme="majorBidi" w:cstheme="majorBidi"/>
          <w:sz w:val="20"/>
          <w:szCs w:val="20"/>
        </w:rPr>
        <w:t>TKI, second-generation tyrosine kinase inhibitor; DBP, diastolic blood pressure; SBP, systolic blood pressure.</w:t>
      </w:r>
    </w:p>
    <w:p w:rsidR="00B331A1" w:rsidRPr="00D93C13" w:rsidRDefault="00B331A1" w:rsidP="00B331A1">
      <w:pPr>
        <w:spacing w:after="0"/>
        <w:rPr>
          <w:rFonts w:asciiTheme="majorBidi" w:eastAsiaTheme="minorEastAsia" w:hAnsiTheme="majorBidi" w:cstheme="majorBidi"/>
          <w:sz w:val="20"/>
          <w:szCs w:val="20"/>
        </w:rPr>
      </w:pPr>
      <w:r w:rsidRPr="00D93C13">
        <w:rPr>
          <w:rFonts w:asciiTheme="majorBidi" w:eastAsiaTheme="minorEastAsia" w:hAnsiTheme="majorBidi" w:cstheme="majorBidi"/>
          <w:sz w:val="20"/>
          <w:szCs w:val="20"/>
          <w:vertAlign w:val="superscript"/>
        </w:rPr>
        <w:t>a</w:t>
      </w:r>
      <w:r w:rsidRPr="00D93C13">
        <w:rPr>
          <w:rFonts w:asciiTheme="majorBidi" w:eastAsiaTheme="minorEastAsia" w:hAnsiTheme="majorBidi" w:cstheme="majorBidi"/>
          <w:sz w:val="20"/>
          <w:szCs w:val="20"/>
        </w:rPr>
        <w:t xml:space="preserve"> Proportion of patients in each blood pressure category is calculated out of the number of patients with documented blood pressure.</w:t>
      </w:r>
    </w:p>
    <w:p w:rsidR="00B331A1" w:rsidRPr="00D93C13" w:rsidRDefault="00B331A1" w:rsidP="00B331A1">
      <w:pPr>
        <w:spacing w:after="0"/>
        <w:rPr>
          <w:rFonts w:asciiTheme="majorBidi" w:eastAsiaTheme="minorEastAsia" w:hAnsiTheme="majorBidi" w:cstheme="majorBidi"/>
          <w:sz w:val="20"/>
          <w:szCs w:val="20"/>
        </w:rPr>
      </w:pPr>
      <w:r w:rsidRPr="00D93C13">
        <w:rPr>
          <w:rFonts w:asciiTheme="majorBidi" w:eastAsiaTheme="minorEastAsia" w:hAnsiTheme="majorBidi" w:cstheme="majorBidi"/>
          <w:sz w:val="20"/>
          <w:szCs w:val="20"/>
          <w:vertAlign w:val="superscript"/>
        </w:rPr>
        <w:t>b</w:t>
      </w:r>
      <w:r w:rsidRPr="00D93C13">
        <w:rPr>
          <w:rFonts w:asciiTheme="majorBidi" w:eastAsiaTheme="minorEastAsia" w:hAnsiTheme="majorBidi" w:cstheme="majorBidi"/>
          <w:sz w:val="20"/>
          <w:szCs w:val="20"/>
        </w:rPr>
        <w:t xml:space="preserve"> One patient was transferred from another hospital prior to TKI treatment; it was unclear if this patient’s blood pressure had been documented prior to TKI treatment.</w:t>
      </w:r>
    </w:p>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br w:type="page"/>
      </w:r>
    </w:p>
    <w:p w:rsidR="00B331A1"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lastRenderedPageBreak/>
        <w:t xml:space="preserve">Supplementary Table III. Reasons for switch from </w:t>
      </w:r>
      <w:proofErr w:type="gramStart"/>
      <w:r>
        <w:rPr>
          <w:rFonts w:asciiTheme="majorBidi" w:eastAsiaTheme="minorEastAsia" w:hAnsiTheme="majorBidi" w:cstheme="majorBidi"/>
          <w:b/>
          <w:sz w:val="24"/>
          <w:szCs w:val="24"/>
        </w:rPr>
        <w:t>first-line</w:t>
      </w:r>
      <w:proofErr w:type="gramEnd"/>
      <w:r>
        <w:rPr>
          <w:rFonts w:asciiTheme="majorBidi" w:eastAsiaTheme="minorEastAsia" w:hAnsiTheme="majorBidi" w:cstheme="majorBidi"/>
          <w:b/>
          <w:sz w:val="24"/>
          <w:szCs w:val="24"/>
        </w:rPr>
        <w:t xml:space="preserve"> TKI</w:t>
      </w:r>
    </w:p>
    <w:tbl>
      <w:tblPr>
        <w:tblStyle w:val="TableGrid"/>
        <w:tblW w:w="0" w:type="auto"/>
        <w:tblLook w:val="04A0" w:firstRow="1" w:lastRow="0" w:firstColumn="1" w:lastColumn="0" w:noHBand="0" w:noVBand="1"/>
      </w:tblPr>
      <w:tblGrid>
        <w:gridCol w:w="4788"/>
        <w:gridCol w:w="4410"/>
      </w:tblGrid>
      <w:tr w:rsidR="00B331A1" w:rsidTr="00BA6AE5">
        <w:tc>
          <w:tcPr>
            <w:tcW w:w="4788" w:type="dxa"/>
            <w:vAlign w:val="bottom"/>
          </w:tcPr>
          <w:p w:rsidR="00B331A1" w:rsidRPr="005C3235" w:rsidRDefault="00B331A1" w:rsidP="00BA6AE5">
            <w:pPr>
              <w:rPr>
                <w:rFonts w:asciiTheme="majorBidi" w:eastAsiaTheme="minorEastAsia" w:hAnsiTheme="majorBidi" w:cstheme="majorBidi"/>
                <w:sz w:val="24"/>
                <w:szCs w:val="24"/>
              </w:rPr>
            </w:pPr>
            <w:r>
              <w:rPr>
                <w:rFonts w:asciiTheme="majorBidi" w:eastAsiaTheme="minorEastAsia" w:hAnsiTheme="majorBidi" w:cstheme="majorBidi"/>
                <w:sz w:val="24"/>
                <w:szCs w:val="24"/>
              </w:rPr>
              <w:t>n (</w:t>
            </w:r>
            <w:proofErr w:type="gramStart"/>
            <w:r>
              <w:rPr>
                <w:rFonts w:asciiTheme="majorBidi" w:eastAsiaTheme="minorEastAsia" w:hAnsiTheme="majorBidi" w:cstheme="majorBidi"/>
                <w:sz w:val="24"/>
                <w:szCs w:val="24"/>
              </w:rPr>
              <w:t>%)</w:t>
            </w:r>
            <w:r w:rsidRPr="00332711">
              <w:rPr>
                <w:rFonts w:asciiTheme="majorBidi" w:eastAsiaTheme="minorEastAsia" w:hAnsiTheme="majorBidi" w:cstheme="majorBidi"/>
                <w:sz w:val="24"/>
                <w:szCs w:val="24"/>
                <w:vertAlign w:val="superscript"/>
              </w:rPr>
              <w:t>a</w:t>
            </w:r>
            <w:proofErr w:type="gramEnd"/>
          </w:p>
        </w:tc>
        <w:tc>
          <w:tcPr>
            <w:tcW w:w="4410" w:type="dxa"/>
          </w:tcPr>
          <w:p w:rsidR="00B331A1" w:rsidRDefault="00B331A1" w:rsidP="00BA6AE5">
            <w:pPr>
              <w:jc w:val="center"/>
              <w:rPr>
                <w:rFonts w:asciiTheme="majorBidi" w:eastAsiaTheme="minorEastAsia" w:hAnsiTheme="majorBidi" w:cstheme="majorBidi"/>
                <w:sz w:val="24"/>
                <w:szCs w:val="24"/>
              </w:rPr>
            </w:pPr>
            <w:r w:rsidRPr="005C3235">
              <w:rPr>
                <w:rFonts w:asciiTheme="majorBidi" w:eastAsiaTheme="minorEastAsia" w:hAnsiTheme="majorBidi" w:cstheme="majorBidi"/>
                <w:sz w:val="24"/>
                <w:szCs w:val="24"/>
              </w:rPr>
              <w:t xml:space="preserve">Patients who </w:t>
            </w:r>
            <w:r>
              <w:rPr>
                <w:rFonts w:asciiTheme="majorBidi" w:eastAsiaTheme="minorEastAsia" w:hAnsiTheme="majorBidi" w:cstheme="majorBidi"/>
                <w:sz w:val="24"/>
                <w:szCs w:val="24"/>
              </w:rPr>
              <w:t xml:space="preserve">switched from </w:t>
            </w:r>
            <w:proofErr w:type="gramStart"/>
            <w:r>
              <w:rPr>
                <w:rFonts w:asciiTheme="majorBidi" w:eastAsiaTheme="minorEastAsia" w:hAnsiTheme="majorBidi" w:cstheme="majorBidi"/>
                <w:sz w:val="24"/>
                <w:szCs w:val="24"/>
              </w:rPr>
              <w:t>first-line</w:t>
            </w:r>
            <w:proofErr w:type="gramEnd"/>
            <w:r>
              <w:rPr>
                <w:rFonts w:asciiTheme="majorBidi" w:eastAsiaTheme="minorEastAsia" w:hAnsiTheme="majorBidi" w:cstheme="majorBidi"/>
                <w:sz w:val="24"/>
                <w:szCs w:val="24"/>
              </w:rPr>
              <w:t xml:space="preserve"> TKI</w:t>
            </w:r>
          </w:p>
          <w:p w:rsidR="00B331A1" w:rsidRPr="005C3235"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(n=</w:t>
            </w:r>
            <w:proofErr w:type="gramStart"/>
            <w:r>
              <w:rPr>
                <w:rFonts w:asciiTheme="majorBidi" w:eastAsiaTheme="minorEastAsia" w:hAnsiTheme="majorBidi" w:cstheme="majorBidi"/>
                <w:sz w:val="24"/>
                <w:szCs w:val="24"/>
              </w:rPr>
              <w:t>113)</w:t>
            </w:r>
            <w:r w:rsidRPr="006B2FC4">
              <w:rPr>
                <w:rFonts w:asciiTheme="majorBidi" w:eastAsiaTheme="minorEastAsia" w:hAnsiTheme="majorBidi" w:cstheme="majorBidi"/>
                <w:sz w:val="24"/>
                <w:szCs w:val="24"/>
                <w:vertAlign w:val="superscript"/>
              </w:rPr>
              <w:t>b</w:t>
            </w:r>
            <w:proofErr w:type="gramEnd"/>
          </w:p>
        </w:tc>
      </w:tr>
      <w:tr w:rsidR="00B331A1" w:rsidTr="00BA6AE5">
        <w:tc>
          <w:tcPr>
            <w:tcW w:w="4788" w:type="dxa"/>
          </w:tcPr>
          <w:p w:rsidR="00B331A1" w:rsidRPr="005C3235" w:rsidRDefault="00B331A1" w:rsidP="00BA6AE5">
            <w:pPr>
              <w:rPr>
                <w:rFonts w:asciiTheme="majorBidi" w:eastAsiaTheme="minorEastAsia" w:hAnsiTheme="majorBidi" w:cstheme="majorBidi"/>
                <w:sz w:val="24"/>
                <w:szCs w:val="24"/>
              </w:rPr>
            </w:pPr>
            <w:proofErr w:type="spellStart"/>
            <w:r>
              <w:rPr>
                <w:rFonts w:asciiTheme="majorBidi" w:eastAsiaTheme="minorEastAsia" w:hAnsiTheme="majorBidi" w:cstheme="majorBidi"/>
                <w:sz w:val="24"/>
                <w:szCs w:val="24"/>
              </w:rPr>
              <w:t>Resistance</w:t>
            </w:r>
            <w:r>
              <w:rPr>
                <w:rFonts w:asciiTheme="majorBidi" w:eastAsiaTheme="minorEastAsia" w:hAnsiTheme="majorBidi" w:cstheme="majorBidi"/>
                <w:sz w:val="24"/>
                <w:szCs w:val="24"/>
                <w:vertAlign w:val="superscript"/>
              </w:rPr>
              <w:t>c</w:t>
            </w:r>
            <w:proofErr w:type="spellEnd"/>
          </w:p>
        </w:tc>
        <w:tc>
          <w:tcPr>
            <w:tcW w:w="4410"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73 (65)</w:t>
            </w:r>
          </w:p>
        </w:tc>
      </w:tr>
      <w:tr w:rsidR="00B331A1" w:rsidTr="00BA6AE5">
        <w:tc>
          <w:tcPr>
            <w:tcW w:w="4788" w:type="dxa"/>
          </w:tcPr>
          <w:p w:rsidR="00B331A1" w:rsidRPr="005C3235" w:rsidRDefault="00B331A1" w:rsidP="00BA6AE5">
            <w:pPr>
              <w:rPr>
                <w:rFonts w:asciiTheme="majorBidi" w:eastAsiaTheme="minorEastAsia" w:hAnsiTheme="majorBidi" w:cstheme="majorBidi"/>
                <w:sz w:val="24"/>
                <w:szCs w:val="24"/>
              </w:rPr>
            </w:pPr>
            <w:r>
              <w:rPr>
                <w:rFonts w:asciiTheme="majorBidi" w:eastAsiaTheme="minorEastAsia" w:hAnsiTheme="majorBidi" w:cstheme="majorBidi"/>
                <w:sz w:val="24"/>
                <w:szCs w:val="24"/>
              </w:rPr>
              <w:t>Intolerance or other reasons</w:t>
            </w:r>
          </w:p>
        </w:tc>
        <w:tc>
          <w:tcPr>
            <w:tcW w:w="4410"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40 (35)</w:t>
            </w:r>
          </w:p>
        </w:tc>
      </w:tr>
      <w:tr w:rsidR="00B331A1" w:rsidTr="00BA6AE5">
        <w:tc>
          <w:tcPr>
            <w:tcW w:w="4788" w:type="dxa"/>
          </w:tcPr>
          <w:p w:rsidR="00B331A1" w:rsidRPr="005C3235" w:rsidRDefault="00B331A1" w:rsidP="00BA6AE5">
            <w:pPr>
              <w:ind w:left="180"/>
              <w:rPr>
                <w:rFonts w:asciiTheme="majorBidi" w:eastAsiaTheme="minorEastAsia" w:hAnsiTheme="majorBidi" w:cstheme="majorBidi"/>
                <w:sz w:val="24"/>
                <w:szCs w:val="24"/>
              </w:rPr>
            </w:pPr>
            <w:r>
              <w:rPr>
                <w:rFonts w:asciiTheme="majorBidi" w:eastAsiaTheme="minorEastAsia" w:hAnsiTheme="majorBidi" w:cstheme="majorBidi"/>
                <w:sz w:val="24"/>
                <w:szCs w:val="24"/>
              </w:rPr>
              <w:t>Intolerance</w:t>
            </w:r>
          </w:p>
        </w:tc>
        <w:tc>
          <w:tcPr>
            <w:tcW w:w="4410"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38 (34)</w:t>
            </w:r>
          </w:p>
        </w:tc>
      </w:tr>
      <w:tr w:rsidR="00B331A1" w:rsidTr="00BA6AE5">
        <w:tc>
          <w:tcPr>
            <w:tcW w:w="4788" w:type="dxa"/>
          </w:tcPr>
          <w:p w:rsidR="00B331A1" w:rsidRPr="005C3235" w:rsidRDefault="00B331A1" w:rsidP="00BA6AE5">
            <w:pPr>
              <w:ind w:left="180"/>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Other </w:t>
            </w:r>
            <w:proofErr w:type="spellStart"/>
            <w:r>
              <w:rPr>
                <w:rFonts w:asciiTheme="majorBidi" w:eastAsiaTheme="minorEastAsia" w:hAnsiTheme="majorBidi" w:cstheme="majorBidi"/>
                <w:sz w:val="24"/>
                <w:szCs w:val="24"/>
              </w:rPr>
              <w:t>reasons</w:t>
            </w:r>
            <w:r>
              <w:rPr>
                <w:rFonts w:asciiTheme="majorBidi" w:eastAsiaTheme="minorEastAsia" w:hAnsiTheme="majorBidi" w:cstheme="majorBidi"/>
                <w:sz w:val="24"/>
                <w:szCs w:val="24"/>
                <w:vertAlign w:val="superscript"/>
              </w:rPr>
              <w:t>d</w:t>
            </w:r>
            <w:proofErr w:type="spellEnd"/>
          </w:p>
        </w:tc>
        <w:tc>
          <w:tcPr>
            <w:tcW w:w="4410" w:type="dxa"/>
          </w:tcPr>
          <w:p w:rsidR="00B331A1" w:rsidRDefault="00B331A1" w:rsidP="00BA6AE5">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 (2)</w:t>
            </w:r>
          </w:p>
        </w:tc>
      </w:tr>
    </w:tbl>
    <w:p w:rsidR="00B331A1" w:rsidRPr="00D93C13" w:rsidRDefault="00B331A1" w:rsidP="00B331A1">
      <w:pPr>
        <w:spacing w:after="0"/>
        <w:rPr>
          <w:rFonts w:asciiTheme="majorBidi" w:eastAsiaTheme="minorEastAsia" w:hAnsiTheme="majorBidi" w:cstheme="majorBidi"/>
          <w:sz w:val="20"/>
          <w:szCs w:val="20"/>
        </w:rPr>
      </w:pPr>
      <w:r w:rsidRPr="00D93C13">
        <w:rPr>
          <w:rFonts w:asciiTheme="majorBidi" w:eastAsiaTheme="minorEastAsia" w:hAnsiTheme="majorBidi" w:cstheme="majorBidi"/>
          <w:sz w:val="20"/>
          <w:szCs w:val="20"/>
        </w:rPr>
        <w:t>TKI, tyrosine kinase inhibitor.</w:t>
      </w:r>
    </w:p>
    <w:p w:rsidR="00B331A1" w:rsidRPr="00D93C13" w:rsidRDefault="00B331A1" w:rsidP="00B331A1">
      <w:pPr>
        <w:spacing w:after="0"/>
        <w:rPr>
          <w:rFonts w:asciiTheme="majorBidi" w:eastAsiaTheme="minorEastAsia" w:hAnsiTheme="majorBidi" w:cstheme="majorBidi"/>
          <w:sz w:val="20"/>
          <w:szCs w:val="20"/>
        </w:rPr>
      </w:pPr>
      <w:r w:rsidRPr="00D93C13">
        <w:rPr>
          <w:rFonts w:asciiTheme="majorBidi" w:eastAsiaTheme="minorEastAsia" w:hAnsiTheme="majorBidi" w:cstheme="majorBidi"/>
          <w:sz w:val="20"/>
          <w:szCs w:val="20"/>
          <w:vertAlign w:val="superscript"/>
        </w:rPr>
        <w:t>a</w:t>
      </w:r>
      <w:r w:rsidRPr="00D93C13">
        <w:rPr>
          <w:rFonts w:asciiTheme="majorBidi" w:eastAsiaTheme="minorEastAsia" w:hAnsiTheme="majorBidi" w:cstheme="majorBidi"/>
          <w:sz w:val="20"/>
          <w:szCs w:val="20"/>
        </w:rPr>
        <w:t xml:space="preserve"> Proportions were calculated based on the total number of patients who switched from </w:t>
      </w:r>
      <w:proofErr w:type="gramStart"/>
      <w:r w:rsidRPr="00D93C13">
        <w:rPr>
          <w:rFonts w:asciiTheme="majorBidi" w:eastAsiaTheme="minorEastAsia" w:hAnsiTheme="majorBidi" w:cstheme="majorBidi"/>
          <w:sz w:val="20"/>
          <w:szCs w:val="20"/>
        </w:rPr>
        <w:t>first-line</w:t>
      </w:r>
      <w:proofErr w:type="gramEnd"/>
      <w:r w:rsidRPr="00D93C13">
        <w:rPr>
          <w:rFonts w:asciiTheme="majorBidi" w:eastAsiaTheme="minorEastAsia" w:hAnsiTheme="majorBidi" w:cstheme="majorBidi"/>
          <w:sz w:val="20"/>
          <w:szCs w:val="20"/>
        </w:rPr>
        <w:t xml:space="preserve"> TKI.</w:t>
      </w:r>
    </w:p>
    <w:p w:rsidR="00B331A1" w:rsidRPr="00D93C13" w:rsidRDefault="00B331A1" w:rsidP="00B331A1">
      <w:pPr>
        <w:spacing w:after="0"/>
        <w:rPr>
          <w:rFonts w:asciiTheme="majorBidi" w:eastAsiaTheme="minorEastAsia" w:hAnsiTheme="majorBidi" w:cstheme="majorBidi"/>
          <w:sz w:val="20"/>
          <w:szCs w:val="20"/>
        </w:rPr>
      </w:pPr>
      <w:r w:rsidRPr="00D93C13">
        <w:rPr>
          <w:rFonts w:asciiTheme="majorBidi" w:eastAsiaTheme="minorEastAsia" w:hAnsiTheme="majorBidi" w:cstheme="majorBidi"/>
          <w:sz w:val="20"/>
          <w:szCs w:val="20"/>
          <w:vertAlign w:val="superscript"/>
        </w:rPr>
        <w:t>b</w:t>
      </w:r>
      <w:r w:rsidRPr="00D93C13">
        <w:rPr>
          <w:rFonts w:asciiTheme="majorBidi" w:eastAsiaTheme="minorEastAsia" w:hAnsiTheme="majorBidi" w:cstheme="majorBidi"/>
          <w:sz w:val="20"/>
          <w:szCs w:val="20"/>
        </w:rPr>
        <w:t xml:space="preserve"> Among these patients, 40% (45 of 113) had mutation detection done at any time before or after switching</w:t>
      </w:r>
      <w:r>
        <w:rPr>
          <w:rFonts w:asciiTheme="majorBidi" w:eastAsiaTheme="minorEastAsia" w:hAnsiTheme="majorBidi" w:cstheme="majorBidi"/>
          <w:sz w:val="20"/>
          <w:szCs w:val="20"/>
        </w:rPr>
        <w:t>, and</w:t>
      </w:r>
      <w:r w:rsidRPr="00D93C13">
        <w:rPr>
          <w:rFonts w:asciiTheme="majorBidi" w:eastAsiaTheme="minorEastAsia" w:hAnsiTheme="majorBidi" w:cstheme="majorBidi"/>
          <w:sz w:val="20"/>
          <w:szCs w:val="20"/>
        </w:rPr>
        <w:t xml:space="preserve"> 19% (21 of 113) had mutation analysis done after the first switch; of those, 16 patients were switched due to resistance, and 5 patients were switched due to intolerance or other reasons.</w:t>
      </w:r>
    </w:p>
    <w:p w:rsidR="00B331A1" w:rsidRPr="00D93C13" w:rsidRDefault="00B331A1" w:rsidP="00B331A1">
      <w:pPr>
        <w:spacing w:after="0"/>
        <w:rPr>
          <w:rFonts w:asciiTheme="majorBidi" w:eastAsiaTheme="minorEastAsia" w:hAnsiTheme="majorBidi" w:cstheme="majorBidi"/>
          <w:sz w:val="20"/>
          <w:szCs w:val="20"/>
        </w:rPr>
      </w:pPr>
      <w:r w:rsidRPr="00D93C13">
        <w:rPr>
          <w:rFonts w:asciiTheme="majorBidi" w:eastAsiaTheme="minorEastAsia" w:hAnsiTheme="majorBidi" w:cstheme="majorBidi"/>
          <w:sz w:val="20"/>
          <w:szCs w:val="20"/>
          <w:vertAlign w:val="superscript"/>
        </w:rPr>
        <w:t>c</w:t>
      </w:r>
      <w:r w:rsidRPr="00D93C13">
        <w:rPr>
          <w:rFonts w:asciiTheme="majorBidi" w:eastAsiaTheme="minorEastAsia" w:hAnsiTheme="majorBidi" w:cstheme="majorBidi"/>
          <w:sz w:val="20"/>
          <w:szCs w:val="20"/>
        </w:rPr>
        <w:t xml:space="preserve"> Included patients who switched due to both resistance and intolerance.</w:t>
      </w:r>
    </w:p>
    <w:p w:rsidR="00B331A1" w:rsidRPr="00D93C13" w:rsidRDefault="00B331A1" w:rsidP="00B331A1">
      <w:pPr>
        <w:spacing w:after="0"/>
        <w:rPr>
          <w:rFonts w:asciiTheme="majorBidi" w:eastAsiaTheme="minorEastAsia" w:hAnsiTheme="majorBidi" w:cstheme="majorBidi"/>
          <w:sz w:val="20"/>
          <w:szCs w:val="20"/>
        </w:rPr>
      </w:pPr>
      <w:r w:rsidRPr="00D93C13">
        <w:rPr>
          <w:rFonts w:asciiTheme="majorBidi" w:eastAsiaTheme="minorEastAsia" w:hAnsiTheme="majorBidi" w:cstheme="majorBidi"/>
          <w:sz w:val="20"/>
          <w:szCs w:val="20"/>
          <w:vertAlign w:val="superscript"/>
        </w:rPr>
        <w:t>d</w:t>
      </w:r>
      <w:r w:rsidRPr="00D93C13">
        <w:rPr>
          <w:rFonts w:asciiTheme="majorBidi" w:eastAsiaTheme="minorEastAsia" w:hAnsiTheme="majorBidi" w:cstheme="majorBidi"/>
          <w:sz w:val="20"/>
          <w:szCs w:val="20"/>
        </w:rPr>
        <w:t xml:space="preserve"> Other reasons for switch were listed as they were recorded.</w:t>
      </w:r>
    </w:p>
    <w:p w:rsidR="00B331A1" w:rsidRDefault="00B331A1" w:rsidP="00B331A1">
      <w:pPr>
        <w:spacing w:after="0"/>
        <w:rPr>
          <w:rFonts w:asciiTheme="majorBidi" w:eastAsiaTheme="minorEastAsia" w:hAnsiTheme="majorBidi" w:cstheme="majorBidi"/>
          <w:sz w:val="24"/>
          <w:szCs w:val="24"/>
        </w:rPr>
      </w:pPr>
    </w:p>
    <w:p w:rsidR="00B331A1"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br w:type="page"/>
      </w:r>
    </w:p>
    <w:p w:rsidR="00B331A1" w:rsidRPr="00B5602F" w:rsidRDefault="00B331A1" w:rsidP="00B331A1">
      <w:pPr>
        <w:rPr>
          <w:rFonts w:asciiTheme="majorBidi" w:eastAsiaTheme="minorEastAsia" w:hAnsiTheme="majorBidi" w:cstheme="majorBidi"/>
          <w:b/>
          <w:sz w:val="24"/>
          <w:szCs w:val="24"/>
        </w:rPr>
      </w:pPr>
      <w:r w:rsidRPr="00B5602F">
        <w:rPr>
          <w:rFonts w:asciiTheme="majorBidi" w:eastAsiaTheme="minorEastAsia" w:hAnsiTheme="majorBidi" w:cstheme="majorBidi"/>
          <w:b/>
          <w:sz w:val="24"/>
          <w:szCs w:val="24"/>
        </w:rPr>
        <w:lastRenderedPageBreak/>
        <w:t xml:space="preserve">Supplementary Table </w:t>
      </w:r>
      <w:r>
        <w:rPr>
          <w:rFonts w:asciiTheme="majorBidi" w:eastAsiaTheme="minorEastAsia" w:hAnsiTheme="majorBidi" w:cstheme="majorBidi"/>
          <w:b/>
          <w:sz w:val="24"/>
          <w:szCs w:val="24"/>
        </w:rPr>
        <w:t>IV</w:t>
      </w:r>
      <w:r w:rsidRPr="00B5602F">
        <w:rPr>
          <w:rFonts w:asciiTheme="majorBidi" w:eastAsiaTheme="minorEastAsia" w:hAnsiTheme="majorBidi" w:cstheme="majorBidi"/>
          <w:b/>
          <w:sz w:val="24"/>
          <w:szCs w:val="24"/>
        </w:rPr>
        <w:t>. Overall TKI pathways</w:t>
      </w:r>
    </w:p>
    <w:tbl>
      <w:tblPr>
        <w:tblW w:w="10402" w:type="dxa"/>
        <w:tblInd w:w="118" w:type="dxa"/>
        <w:tblLayout w:type="fixed"/>
        <w:tblLook w:val="04A0" w:firstRow="1" w:lastRow="0" w:firstColumn="1" w:lastColumn="0" w:noHBand="0" w:noVBand="1"/>
      </w:tblPr>
      <w:tblGrid>
        <w:gridCol w:w="952"/>
        <w:gridCol w:w="990"/>
        <w:gridCol w:w="1206"/>
        <w:gridCol w:w="1206"/>
        <w:gridCol w:w="1206"/>
        <w:gridCol w:w="1206"/>
        <w:gridCol w:w="1206"/>
        <w:gridCol w:w="1080"/>
        <w:gridCol w:w="1350"/>
      </w:tblGrid>
      <w:tr w:rsidR="00B331A1" w:rsidRPr="006B2FC4" w:rsidTr="00BA6AE5">
        <w:trPr>
          <w:trHeight w:val="290"/>
        </w:trPr>
        <w:tc>
          <w:tcPr>
            <w:tcW w:w="952"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Total TKIs, n</w:t>
            </w:r>
          </w:p>
        </w:tc>
        <w:tc>
          <w:tcPr>
            <w:tcW w:w="990" w:type="dxa"/>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Patients, n</w:t>
            </w:r>
          </w:p>
        </w:tc>
        <w:tc>
          <w:tcPr>
            <w:tcW w:w="6030" w:type="dxa"/>
            <w:gridSpan w:val="5"/>
            <w:tcBorders>
              <w:top w:val="single" w:sz="8" w:space="0" w:color="auto"/>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TKIs received</w:t>
            </w:r>
          </w:p>
        </w:tc>
        <w:tc>
          <w:tcPr>
            <w:tcW w:w="1080" w:type="dxa"/>
            <w:vMerge w:val="restart"/>
            <w:tcBorders>
              <w:top w:val="single" w:sz="8" w:space="0" w:color="auto"/>
              <w:left w:val="single" w:sz="8" w:space="0" w:color="auto"/>
              <w:bottom w:val="single" w:sz="8" w:space="0" w:color="000000"/>
              <w:right w:val="single" w:sz="4" w:space="0" w:color="7F7F7F"/>
            </w:tcBorders>
            <w:shd w:val="clear" w:color="auto" w:fill="auto"/>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Patients, n</w:t>
            </w:r>
          </w:p>
        </w:tc>
        <w:tc>
          <w:tcPr>
            <w:tcW w:w="1350" w:type="dxa"/>
            <w:vMerge w:val="restart"/>
            <w:tcBorders>
              <w:top w:val="single" w:sz="8" w:space="0" w:color="auto"/>
              <w:left w:val="single" w:sz="4" w:space="0" w:color="7F7F7F"/>
              <w:bottom w:val="single" w:sz="8" w:space="0" w:color="000000"/>
              <w:right w:val="single" w:sz="8" w:space="0" w:color="auto"/>
            </w:tcBorders>
            <w:shd w:val="clear" w:color="auto" w:fill="auto"/>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 (n=257)</w:t>
            </w:r>
          </w:p>
        </w:tc>
      </w:tr>
      <w:tr w:rsidR="00B331A1" w:rsidRPr="006B2FC4" w:rsidTr="00BA6AE5">
        <w:trPr>
          <w:trHeight w:val="404"/>
        </w:trPr>
        <w:tc>
          <w:tcPr>
            <w:tcW w:w="952"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1206" w:type="dxa"/>
            <w:tcBorders>
              <w:top w:val="nil"/>
              <w:left w:val="nil"/>
              <w:bottom w:val="single" w:sz="8" w:space="0" w:color="auto"/>
              <w:right w:val="single" w:sz="4" w:space="0" w:color="auto"/>
            </w:tcBorders>
            <w:shd w:val="clear" w:color="auto" w:fill="auto"/>
            <w:vAlign w:val="bottom"/>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First line</w:t>
            </w:r>
          </w:p>
        </w:tc>
        <w:tc>
          <w:tcPr>
            <w:tcW w:w="1206" w:type="dxa"/>
            <w:tcBorders>
              <w:top w:val="nil"/>
              <w:left w:val="nil"/>
              <w:bottom w:val="single" w:sz="8" w:space="0" w:color="auto"/>
              <w:right w:val="single" w:sz="4" w:space="0" w:color="auto"/>
            </w:tcBorders>
            <w:shd w:val="clear" w:color="auto" w:fill="auto"/>
            <w:vAlign w:val="bottom"/>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Second line</w:t>
            </w:r>
          </w:p>
        </w:tc>
        <w:tc>
          <w:tcPr>
            <w:tcW w:w="1206" w:type="dxa"/>
            <w:tcBorders>
              <w:top w:val="nil"/>
              <w:left w:val="nil"/>
              <w:bottom w:val="single" w:sz="8" w:space="0" w:color="auto"/>
              <w:right w:val="single" w:sz="4" w:space="0" w:color="auto"/>
            </w:tcBorders>
            <w:shd w:val="clear" w:color="auto" w:fill="auto"/>
            <w:vAlign w:val="bottom"/>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Third line</w:t>
            </w:r>
          </w:p>
        </w:tc>
        <w:tc>
          <w:tcPr>
            <w:tcW w:w="1206" w:type="dxa"/>
            <w:tcBorders>
              <w:top w:val="nil"/>
              <w:left w:val="nil"/>
              <w:bottom w:val="single" w:sz="8" w:space="0" w:color="auto"/>
              <w:right w:val="single" w:sz="4" w:space="0" w:color="auto"/>
            </w:tcBorders>
            <w:shd w:val="clear" w:color="auto" w:fill="auto"/>
            <w:vAlign w:val="bottom"/>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Fourth line</w:t>
            </w:r>
          </w:p>
        </w:tc>
        <w:tc>
          <w:tcPr>
            <w:tcW w:w="1206" w:type="dxa"/>
            <w:tcBorders>
              <w:top w:val="nil"/>
              <w:left w:val="nil"/>
              <w:bottom w:val="single" w:sz="8" w:space="0" w:color="auto"/>
              <w:right w:val="nil"/>
            </w:tcBorders>
            <w:shd w:val="clear" w:color="auto" w:fill="auto"/>
            <w:vAlign w:val="bottom"/>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Fifth line</w:t>
            </w:r>
          </w:p>
        </w:tc>
        <w:tc>
          <w:tcPr>
            <w:tcW w:w="1080" w:type="dxa"/>
            <w:vMerge/>
            <w:tcBorders>
              <w:top w:val="single" w:sz="8" w:space="0" w:color="auto"/>
              <w:left w:val="single" w:sz="8" w:space="0" w:color="auto"/>
              <w:bottom w:val="single" w:sz="8" w:space="0" w:color="000000"/>
              <w:right w:val="single" w:sz="4" w:space="0" w:color="7F7F7F"/>
            </w:tcBorders>
            <w:vAlign w:val="center"/>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p>
        </w:tc>
        <w:tc>
          <w:tcPr>
            <w:tcW w:w="1350" w:type="dxa"/>
            <w:vMerge/>
            <w:tcBorders>
              <w:top w:val="single" w:sz="8" w:space="0" w:color="auto"/>
              <w:left w:val="single" w:sz="4" w:space="0" w:color="7F7F7F"/>
              <w:bottom w:val="single" w:sz="8" w:space="0" w:color="000000"/>
              <w:right w:val="single" w:sz="8" w:space="0" w:color="auto"/>
            </w:tcBorders>
            <w:vAlign w:val="center"/>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p>
        </w:tc>
      </w:tr>
      <w:tr w:rsidR="00B331A1" w:rsidRPr="006B2FC4" w:rsidTr="00BA6AE5">
        <w:trPr>
          <w:trHeight w:val="267"/>
        </w:trPr>
        <w:tc>
          <w:tcPr>
            <w:tcW w:w="952"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1</w:t>
            </w:r>
          </w:p>
        </w:tc>
        <w:tc>
          <w:tcPr>
            <w:tcW w:w="99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B331A1" w:rsidRPr="006B2FC4" w:rsidRDefault="00B331A1" w:rsidP="00BA6AE5">
            <w:pPr>
              <w:spacing w:after="0" w:line="240" w:lineRule="auto"/>
              <w:jc w:val="center"/>
              <w:rPr>
                <w:rFonts w:ascii="Times New Roman" w:eastAsia="Times New Roman" w:hAnsi="Times New Roman" w:cs="Times New Roman"/>
                <w:bCs/>
                <w:iCs/>
                <w:color w:val="000000"/>
                <w:sz w:val="20"/>
                <w:szCs w:val="20"/>
              </w:rPr>
            </w:pPr>
            <w:r w:rsidRPr="006B2FC4">
              <w:rPr>
                <w:rFonts w:ascii="Times New Roman" w:eastAsia="Times New Roman" w:hAnsi="Times New Roman" w:cs="Times New Roman"/>
                <w:bCs/>
                <w:iCs/>
                <w:color w:val="000000"/>
                <w:sz w:val="20"/>
                <w:szCs w:val="20"/>
              </w:rPr>
              <w:t>144</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112</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43.6%</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29</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11.3%</w:t>
            </w:r>
          </w:p>
        </w:tc>
      </w:tr>
      <w:tr w:rsidR="00B331A1" w:rsidRPr="006B2FC4" w:rsidTr="00BA6AE5">
        <w:trPr>
          <w:trHeight w:val="279"/>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8"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8"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8"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8"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8"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8" w:space="0" w:color="auto"/>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3</w:t>
            </w:r>
          </w:p>
        </w:tc>
        <w:tc>
          <w:tcPr>
            <w:tcW w:w="1350" w:type="dxa"/>
            <w:tcBorders>
              <w:top w:val="nil"/>
              <w:left w:val="nil"/>
              <w:bottom w:val="single" w:sz="8" w:space="0" w:color="auto"/>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1.2%</w:t>
            </w:r>
          </w:p>
        </w:tc>
      </w:tr>
      <w:tr w:rsidR="00B331A1" w:rsidRPr="006B2FC4" w:rsidTr="00BA6AE5">
        <w:trPr>
          <w:trHeight w:val="267"/>
        </w:trPr>
        <w:tc>
          <w:tcPr>
            <w:tcW w:w="952"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2</w:t>
            </w:r>
          </w:p>
        </w:tc>
        <w:tc>
          <w:tcPr>
            <w:tcW w:w="99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B331A1" w:rsidRPr="006B2FC4" w:rsidRDefault="00B331A1" w:rsidP="00BA6AE5">
            <w:pPr>
              <w:spacing w:after="0" w:line="240" w:lineRule="auto"/>
              <w:jc w:val="center"/>
              <w:rPr>
                <w:rFonts w:ascii="Times New Roman" w:eastAsia="Times New Roman" w:hAnsi="Times New Roman" w:cs="Times New Roman"/>
                <w:bCs/>
                <w:iCs/>
                <w:color w:val="000000"/>
                <w:sz w:val="20"/>
                <w:szCs w:val="20"/>
              </w:rPr>
            </w:pPr>
            <w:r w:rsidRPr="006B2FC4">
              <w:rPr>
                <w:rFonts w:ascii="Times New Roman" w:eastAsia="Times New Roman" w:hAnsi="Times New Roman" w:cs="Times New Roman"/>
                <w:bCs/>
                <w:iCs/>
                <w:color w:val="000000"/>
                <w:sz w:val="20"/>
                <w:szCs w:val="20"/>
              </w:rPr>
              <w:t>59</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37</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14.4%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5</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1.9%</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5</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1.9%</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6</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2.3%</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2</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0.8%</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3</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1.2%</w:t>
            </w:r>
          </w:p>
        </w:tc>
      </w:tr>
      <w:tr w:rsidR="00B331A1" w:rsidRPr="006B2FC4" w:rsidTr="00BA6AE5">
        <w:trPr>
          <w:trHeight w:val="279"/>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8"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8" w:space="0" w:color="auto"/>
              <w:right w:val="single" w:sz="4" w:space="0" w:color="auto"/>
            </w:tcBorders>
            <w:shd w:val="clear" w:color="000000" w:fill="FDE9D9"/>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Ponatanib</w:t>
            </w:r>
            <w:proofErr w:type="spellEnd"/>
          </w:p>
        </w:tc>
        <w:tc>
          <w:tcPr>
            <w:tcW w:w="1206" w:type="dxa"/>
            <w:tcBorders>
              <w:top w:val="nil"/>
              <w:left w:val="nil"/>
              <w:bottom w:val="single" w:sz="8"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8"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8"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8" w:space="0" w:color="auto"/>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8" w:space="0" w:color="auto"/>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3</w:t>
            </w:r>
          </w:p>
        </w:tc>
        <w:tc>
          <w:tcPr>
            <w:tcW w:w="99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B331A1" w:rsidRPr="006B2FC4" w:rsidRDefault="00B331A1" w:rsidP="00BA6AE5">
            <w:pPr>
              <w:spacing w:after="0" w:line="240" w:lineRule="auto"/>
              <w:jc w:val="center"/>
              <w:rPr>
                <w:rFonts w:ascii="Times New Roman" w:eastAsia="Times New Roman" w:hAnsi="Times New Roman" w:cs="Times New Roman"/>
                <w:bCs/>
                <w:iCs/>
                <w:color w:val="000000"/>
                <w:sz w:val="20"/>
                <w:szCs w:val="20"/>
              </w:rPr>
            </w:pPr>
            <w:r w:rsidRPr="006B2FC4">
              <w:rPr>
                <w:rFonts w:ascii="Times New Roman" w:eastAsia="Times New Roman" w:hAnsi="Times New Roman" w:cs="Times New Roman"/>
                <w:bCs/>
                <w:iCs/>
                <w:color w:val="000000"/>
                <w:sz w:val="20"/>
                <w:szCs w:val="20"/>
              </w:rPr>
              <w:t>35</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12</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4.7%</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8</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3.1%</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3</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1.2%</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2</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0.8%</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FDE9D9"/>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Ponatanib</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2</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0.8%</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2</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0.8%</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2</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0.8%</w:t>
            </w:r>
          </w:p>
        </w:tc>
      </w:tr>
      <w:tr w:rsidR="00B331A1" w:rsidRPr="006B2FC4" w:rsidTr="00BA6AE5">
        <w:trPr>
          <w:trHeight w:val="279"/>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8"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8"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8"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8" w:space="0" w:color="auto"/>
              <w:right w:val="single" w:sz="4" w:space="0" w:color="auto"/>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206" w:type="dxa"/>
            <w:tcBorders>
              <w:top w:val="nil"/>
              <w:left w:val="nil"/>
              <w:bottom w:val="single" w:sz="8"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8" w:space="0" w:color="auto"/>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8" w:space="0" w:color="auto"/>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4</w:t>
            </w:r>
          </w:p>
        </w:tc>
        <w:tc>
          <w:tcPr>
            <w:tcW w:w="99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B331A1" w:rsidRPr="006B2FC4" w:rsidRDefault="00B331A1" w:rsidP="00BA6AE5">
            <w:pPr>
              <w:spacing w:after="0" w:line="240" w:lineRule="auto"/>
              <w:jc w:val="center"/>
              <w:rPr>
                <w:rFonts w:ascii="Times New Roman" w:eastAsia="Times New Roman" w:hAnsi="Times New Roman" w:cs="Times New Roman"/>
                <w:bCs/>
                <w:iCs/>
                <w:color w:val="000000"/>
                <w:sz w:val="20"/>
                <w:szCs w:val="20"/>
              </w:rPr>
            </w:pPr>
            <w:r w:rsidRPr="006B2FC4">
              <w:rPr>
                <w:rFonts w:ascii="Times New Roman" w:eastAsia="Times New Roman" w:hAnsi="Times New Roman" w:cs="Times New Roman"/>
                <w:bCs/>
                <w:iCs/>
                <w:color w:val="000000"/>
                <w:sz w:val="20"/>
                <w:szCs w:val="20"/>
              </w:rPr>
              <w:t>16</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3</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1.2%</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FDE9D9"/>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Ponatinib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3</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1.2%</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000000" w:fill="FDE9D9"/>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Ponatinib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000000" w:fill="FDE9D9"/>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Ponatinib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79"/>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8"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8"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8"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8"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8" w:space="0" w:color="auto"/>
              <w:right w:val="nil"/>
            </w:tcBorders>
            <w:shd w:val="clear" w:color="auto" w:fill="auto"/>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 </w:t>
            </w:r>
          </w:p>
        </w:tc>
        <w:tc>
          <w:tcPr>
            <w:tcW w:w="1080" w:type="dxa"/>
            <w:tcBorders>
              <w:top w:val="nil"/>
              <w:left w:val="single" w:sz="8" w:space="0" w:color="auto"/>
              <w:bottom w:val="single" w:sz="8" w:space="0" w:color="auto"/>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8" w:space="0" w:color="auto"/>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val="restart"/>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jc w:val="center"/>
              <w:rPr>
                <w:rFonts w:ascii="Times New Roman" w:eastAsia="Times New Roman" w:hAnsi="Times New Roman" w:cs="Times New Roman"/>
                <w:bCs/>
                <w:color w:val="000000"/>
                <w:sz w:val="20"/>
                <w:szCs w:val="20"/>
              </w:rPr>
            </w:pPr>
            <w:r w:rsidRPr="006B2FC4">
              <w:rPr>
                <w:rFonts w:ascii="Times New Roman" w:eastAsia="Times New Roman" w:hAnsi="Times New Roman" w:cs="Times New Roman"/>
                <w:bCs/>
                <w:color w:val="000000"/>
                <w:sz w:val="20"/>
                <w:szCs w:val="20"/>
              </w:rPr>
              <w:t>5</w:t>
            </w:r>
          </w:p>
        </w:tc>
        <w:tc>
          <w:tcPr>
            <w:tcW w:w="990" w:type="dxa"/>
            <w:vMerge w:val="restart"/>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jc w:val="center"/>
              <w:rPr>
                <w:rFonts w:ascii="Times New Roman" w:eastAsia="Times New Roman" w:hAnsi="Times New Roman" w:cs="Times New Roman"/>
                <w:bCs/>
                <w:iCs/>
                <w:color w:val="000000"/>
                <w:sz w:val="20"/>
                <w:szCs w:val="20"/>
              </w:rPr>
            </w:pPr>
            <w:r w:rsidRPr="006B2FC4">
              <w:rPr>
                <w:rFonts w:ascii="Times New Roman" w:eastAsia="Times New Roman" w:hAnsi="Times New Roman" w:cs="Times New Roman"/>
                <w:bCs/>
                <w:iCs/>
                <w:color w:val="000000"/>
                <w:sz w:val="20"/>
                <w:szCs w:val="20"/>
              </w:rPr>
              <w:t>3</w:t>
            </w: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000000" w:fill="FDE9D9"/>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Ponatinib</w:t>
            </w:r>
          </w:p>
        </w:tc>
        <w:tc>
          <w:tcPr>
            <w:tcW w:w="1206" w:type="dxa"/>
            <w:tcBorders>
              <w:top w:val="nil"/>
              <w:left w:val="nil"/>
              <w:bottom w:val="single" w:sz="4" w:space="0" w:color="auto"/>
              <w:right w:val="nil"/>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267"/>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4"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single" w:sz="4" w:space="0" w:color="auto"/>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206" w:type="dxa"/>
            <w:tcBorders>
              <w:top w:val="nil"/>
              <w:left w:val="nil"/>
              <w:bottom w:val="single" w:sz="4"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4" w:space="0" w:color="auto"/>
              <w:right w:val="nil"/>
            </w:tcBorders>
            <w:shd w:val="clear" w:color="000000" w:fill="E4DFEC"/>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Bosutinib</w:t>
            </w:r>
          </w:p>
        </w:tc>
        <w:tc>
          <w:tcPr>
            <w:tcW w:w="1080" w:type="dxa"/>
            <w:tcBorders>
              <w:top w:val="nil"/>
              <w:left w:val="single" w:sz="8" w:space="0" w:color="auto"/>
              <w:bottom w:val="single" w:sz="4" w:space="0" w:color="7F7F7F"/>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4" w:space="0" w:color="7F7F7F"/>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r w:rsidR="00B331A1" w:rsidRPr="006B2FC4" w:rsidTr="00BA6AE5">
        <w:trPr>
          <w:trHeight w:val="49"/>
        </w:trPr>
        <w:tc>
          <w:tcPr>
            <w:tcW w:w="952" w:type="dxa"/>
            <w:vMerge/>
            <w:tcBorders>
              <w:top w:val="nil"/>
              <w:left w:val="single" w:sz="8"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color w:val="000000"/>
                <w:sz w:val="20"/>
                <w:szCs w:val="20"/>
              </w:rPr>
            </w:pPr>
          </w:p>
        </w:tc>
        <w:tc>
          <w:tcPr>
            <w:tcW w:w="990" w:type="dxa"/>
            <w:vMerge/>
            <w:tcBorders>
              <w:top w:val="nil"/>
              <w:left w:val="single" w:sz="4" w:space="0" w:color="auto"/>
              <w:bottom w:val="single" w:sz="8" w:space="0" w:color="000000"/>
              <w:right w:val="single" w:sz="4" w:space="0" w:color="auto"/>
            </w:tcBorders>
            <w:shd w:val="clear" w:color="auto" w:fill="auto"/>
            <w:vAlign w:val="center"/>
            <w:hideMark/>
          </w:tcPr>
          <w:p w:rsidR="00B331A1" w:rsidRPr="006B2FC4" w:rsidRDefault="00B331A1" w:rsidP="00BA6AE5">
            <w:pPr>
              <w:spacing w:after="0" w:line="240" w:lineRule="auto"/>
              <w:rPr>
                <w:rFonts w:ascii="Times New Roman" w:eastAsia="Times New Roman" w:hAnsi="Times New Roman" w:cs="Times New Roman"/>
                <w:bCs/>
                <w:i/>
                <w:iCs/>
                <w:color w:val="000000"/>
                <w:sz w:val="20"/>
                <w:szCs w:val="20"/>
              </w:rPr>
            </w:pPr>
          </w:p>
        </w:tc>
        <w:tc>
          <w:tcPr>
            <w:tcW w:w="1206" w:type="dxa"/>
            <w:tcBorders>
              <w:top w:val="nil"/>
              <w:left w:val="nil"/>
              <w:bottom w:val="single" w:sz="8" w:space="0" w:color="auto"/>
              <w:right w:val="single" w:sz="4" w:space="0" w:color="auto"/>
            </w:tcBorders>
            <w:shd w:val="clear" w:color="000000" w:fill="DCE6F1"/>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Imatinib</w:t>
            </w:r>
          </w:p>
        </w:tc>
        <w:tc>
          <w:tcPr>
            <w:tcW w:w="1206" w:type="dxa"/>
            <w:tcBorders>
              <w:top w:val="nil"/>
              <w:left w:val="nil"/>
              <w:bottom w:val="single" w:sz="8"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8" w:space="0" w:color="auto"/>
              <w:right w:val="single" w:sz="4" w:space="0" w:color="auto"/>
            </w:tcBorders>
            <w:shd w:val="clear" w:color="000000" w:fill="EBF1DE"/>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proofErr w:type="spellStart"/>
            <w:r w:rsidRPr="006B2FC4">
              <w:rPr>
                <w:rFonts w:ascii="Times New Roman" w:eastAsia="Times New Roman" w:hAnsi="Times New Roman" w:cs="Times New Roman"/>
                <w:color w:val="000000"/>
                <w:sz w:val="20"/>
                <w:szCs w:val="20"/>
              </w:rPr>
              <w:t>Dasatinib</w:t>
            </w:r>
            <w:proofErr w:type="spellEnd"/>
          </w:p>
        </w:tc>
        <w:tc>
          <w:tcPr>
            <w:tcW w:w="1206" w:type="dxa"/>
            <w:tcBorders>
              <w:top w:val="nil"/>
              <w:left w:val="nil"/>
              <w:bottom w:val="single" w:sz="8" w:space="0" w:color="auto"/>
              <w:right w:val="single" w:sz="4" w:space="0" w:color="auto"/>
            </w:tcBorders>
            <w:shd w:val="clear" w:color="000000" w:fill="F2DCDB"/>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Nilotinib</w:t>
            </w:r>
          </w:p>
        </w:tc>
        <w:tc>
          <w:tcPr>
            <w:tcW w:w="1206" w:type="dxa"/>
            <w:tcBorders>
              <w:top w:val="nil"/>
              <w:left w:val="nil"/>
              <w:bottom w:val="single" w:sz="8" w:space="0" w:color="auto"/>
              <w:right w:val="nil"/>
            </w:tcBorders>
            <w:shd w:val="clear" w:color="000000" w:fill="FDE9D9"/>
            <w:noWrap/>
            <w:vAlign w:val="bottom"/>
            <w:hideMark/>
          </w:tcPr>
          <w:p w:rsidR="00B331A1" w:rsidRPr="006B2FC4" w:rsidRDefault="00B331A1" w:rsidP="00BA6AE5">
            <w:pPr>
              <w:spacing w:after="0" w:line="240" w:lineRule="auto"/>
              <w:rPr>
                <w:rFonts w:ascii="Times New Roman" w:eastAsia="Times New Roman" w:hAnsi="Times New Roman" w:cs="Times New Roman"/>
                <w:color w:val="000000"/>
                <w:sz w:val="20"/>
                <w:szCs w:val="20"/>
              </w:rPr>
            </w:pPr>
            <w:r w:rsidRPr="006B2FC4">
              <w:rPr>
                <w:rFonts w:ascii="Times New Roman" w:eastAsia="Times New Roman" w:hAnsi="Times New Roman" w:cs="Times New Roman"/>
                <w:color w:val="000000"/>
                <w:sz w:val="20"/>
                <w:szCs w:val="20"/>
              </w:rPr>
              <w:t>Ponatinib</w:t>
            </w:r>
          </w:p>
        </w:tc>
        <w:tc>
          <w:tcPr>
            <w:tcW w:w="1080" w:type="dxa"/>
            <w:tcBorders>
              <w:top w:val="nil"/>
              <w:left w:val="single" w:sz="8" w:space="0" w:color="auto"/>
              <w:bottom w:val="single" w:sz="8" w:space="0" w:color="auto"/>
              <w:right w:val="single" w:sz="4" w:space="0" w:color="7F7F7F"/>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1</w:t>
            </w:r>
          </w:p>
        </w:tc>
        <w:tc>
          <w:tcPr>
            <w:tcW w:w="1350" w:type="dxa"/>
            <w:tcBorders>
              <w:top w:val="nil"/>
              <w:left w:val="nil"/>
              <w:bottom w:val="single" w:sz="8" w:space="0" w:color="auto"/>
              <w:right w:val="single" w:sz="8" w:space="0" w:color="auto"/>
            </w:tcBorders>
            <w:shd w:val="clear" w:color="auto" w:fill="auto"/>
            <w:noWrap/>
            <w:vAlign w:val="bottom"/>
            <w:hideMark/>
          </w:tcPr>
          <w:p w:rsidR="00B331A1" w:rsidRPr="006B2FC4" w:rsidRDefault="00B331A1" w:rsidP="00BA6AE5">
            <w:pPr>
              <w:spacing w:after="0" w:line="240" w:lineRule="auto"/>
              <w:jc w:val="center"/>
              <w:rPr>
                <w:rFonts w:ascii="Times New Roman" w:eastAsia="Times New Roman" w:hAnsi="Times New Roman" w:cs="Times New Roman"/>
                <w:bCs/>
                <w:sz w:val="20"/>
                <w:szCs w:val="20"/>
              </w:rPr>
            </w:pPr>
            <w:r w:rsidRPr="006B2FC4">
              <w:rPr>
                <w:rFonts w:ascii="Times New Roman" w:eastAsia="Times New Roman" w:hAnsi="Times New Roman" w:cs="Times New Roman"/>
                <w:bCs/>
                <w:sz w:val="20"/>
                <w:szCs w:val="20"/>
              </w:rPr>
              <w:t>0.4%</w:t>
            </w:r>
          </w:p>
        </w:tc>
      </w:tr>
    </w:tbl>
    <w:p w:rsidR="00B331A1" w:rsidRPr="00D93C13" w:rsidRDefault="00B331A1" w:rsidP="00B331A1">
      <w:pPr>
        <w:rPr>
          <w:rFonts w:asciiTheme="majorBidi" w:eastAsiaTheme="minorEastAsia" w:hAnsiTheme="majorBidi" w:cstheme="majorBidi"/>
          <w:sz w:val="20"/>
          <w:szCs w:val="20"/>
        </w:rPr>
      </w:pPr>
      <w:r w:rsidRPr="00D93C13">
        <w:rPr>
          <w:rFonts w:asciiTheme="majorBidi" w:eastAsiaTheme="minorEastAsia" w:hAnsiTheme="majorBidi" w:cstheme="majorBidi"/>
          <w:sz w:val="20"/>
          <w:szCs w:val="20"/>
        </w:rPr>
        <w:t>TKI, tyrosine kinase inhibitor.</w:t>
      </w:r>
    </w:p>
    <w:p w:rsidR="00B331A1" w:rsidRDefault="00B331A1" w:rsidP="00B331A1">
      <w:pPr>
        <w:rPr>
          <w:rFonts w:asciiTheme="majorBidi" w:eastAsiaTheme="minorEastAsia" w:hAnsiTheme="majorBidi" w:cstheme="majorBidi"/>
          <w:sz w:val="24"/>
          <w:szCs w:val="24"/>
        </w:rPr>
      </w:pPr>
    </w:p>
    <w:p w:rsidR="00B331A1"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br w:type="page"/>
      </w:r>
    </w:p>
    <w:p w:rsidR="00B331A1"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lastRenderedPageBreak/>
        <w:t xml:space="preserve">Supplementary Table V. Summary of molecular responses to </w:t>
      </w:r>
      <w:proofErr w:type="gramStart"/>
      <w:r>
        <w:rPr>
          <w:rFonts w:asciiTheme="majorBidi" w:eastAsiaTheme="minorEastAsia" w:hAnsiTheme="majorBidi" w:cstheme="majorBidi"/>
          <w:b/>
          <w:sz w:val="24"/>
          <w:szCs w:val="24"/>
        </w:rPr>
        <w:t>second-line</w:t>
      </w:r>
      <w:proofErr w:type="gramEnd"/>
      <w:r>
        <w:rPr>
          <w:rFonts w:asciiTheme="majorBidi" w:eastAsiaTheme="minorEastAsia" w:hAnsiTheme="majorBidi" w:cstheme="majorBidi"/>
          <w:b/>
          <w:sz w:val="24"/>
          <w:szCs w:val="24"/>
        </w:rPr>
        <w:t xml:space="preserve"> TKI therapy in </w:t>
      </w:r>
      <w:proofErr w:type="spellStart"/>
      <w:r>
        <w:rPr>
          <w:rFonts w:asciiTheme="majorBidi" w:eastAsiaTheme="minorEastAsia" w:hAnsiTheme="majorBidi" w:cstheme="majorBidi"/>
          <w:b/>
          <w:sz w:val="24"/>
          <w:szCs w:val="24"/>
        </w:rPr>
        <w:t>patients</w:t>
      </w:r>
      <w:r w:rsidRPr="00821C3A">
        <w:rPr>
          <w:rFonts w:asciiTheme="majorBidi" w:eastAsiaTheme="minorEastAsia" w:hAnsiTheme="majorBidi" w:cstheme="majorBidi"/>
          <w:b/>
          <w:sz w:val="24"/>
          <w:szCs w:val="24"/>
          <w:vertAlign w:val="superscript"/>
        </w:rPr>
        <w:t>a</w:t>
      </w:r>
      <w:proofErr w:type="spellEnd"/>
    </w:p>
    <w:tbl>
      <w:tblPr>
        <w:tblW w:w="9497" w:type="dxa"/>
        <w:tblInd w:w="279" w:type="dxa"/>
        <w:tblLook w:val="04A0" w:firstRow="1" w:lastRow="0" w:firstColumn="1" w:lastColumn="0" w:noHBand="0" w:noVBand="1"/>
      </w:tblPr>
      <w:tblGrid>
        <w:gridCol w:w="1672"/>
        <w:gridCol w:w="1134"/>
        <w:gridCol w:w="1021"/>
        <w:gridCol w:w="1112"/>
        <w:gridCol w:w="1411"/>
        <w:gridCol w:w="1559"/>
        <w:gridCol w:w="1588"/>
      </w:tblGrid>
      <w:tr w:rsidR="00B331A1" w:rsidRPr="00962249" w:rsidTr="00BA6AE5">
        <w:trPr>
          <w:trHeight w:val="1160"/>
        </w:trPr>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1A1" w:rsidRPr="00821C3A" w:rsidRDefault="00B331A1" w:rsidP="00BA6AE5">
            <w:pPr>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331A1" w:rsidRDefault="00B331A1" w:rsidP="00BA6AE5">
            <w:pPr>
              <w:jc w:val="center"/>
              <w:rPr>
                <w:rFonts w:ascii="Times New Roman" w:hAnsi="Times New Roman" w:cs="Times New Roman"/>
                <w:color w:val="000000"/>
                <w:sz w:val="20"/>
                <w:szCs w:val="20"/>
              </w:rPr>
            </w:pPr>
            <w:r w:rsidRPr="00821C3A">
              <w:rPr>
                <w:rFonts w:ascii="Times New Roman" w:hAnsi="Times New Roman" w:cs="Times New Roman"/>
                <w:color w:val="000000"/>
                <w:sz w:val="20"/>
                <w:szCs w:val="20"/>
              </w:rPr>
              <w:t>All patients</w:t>
            </w:r>
          </w:p>
          <w:p w:rsidR="00B331A1" w:rsidRPr="00821C3A" w:rsidRDefault="00B331A1" w:rsidP="00BA6AE5">
            <w:pPr>
              <w:jc w:val="center"/>
              <w:rPr>
                <w:rFonts w:ascii="Times New Roman" w:hAnsi="Times New Roman" w:cs="Times New Roman"/>
                <w:color w:val="000000"/>
                <w:sz w:val="20"/>
                <w:szCs w:val="20"/>
              </w:rPr>
            </w:pPr>
            <w:r>
              <w:rPr>
                <w:rFonts w:ascii="Times New Roman" w:hAnsi="Times New Roman" w:cs="Times New Roman"/>
                <w:color w:val="000000"/>
                <w:sz w:val="20"/>
                <w:szCs w:val="20"/>
              </w:rPr>
              <w:t>(n=113)</w:t>
            </w:r>
          </w:p>
        </w:tc>
        <w:tc>
          <w:tcPr>
            <w:tcW w:w="1021" w:type="dxa"/>
            <w:tcBorders>
              <w:top w:val="single" w:sz="4" w:space="0" w:color="auto"/>
              <w:left w:val="nil"/>
              <w:bottom w:val="single" w:sz="4" w:space="0" w:color="auto"/>
              <w:right w:val="single" w:sz="4" w:space="0" w:color="auto"/>
            </w:tcBorders>
            <w:shd w:val="clear" w:color="auto" w:fill="auto"/>
            <w:vAlign w:val="bottom"/>
            <w:hideMark/>
          </w:tcPr>
          <w:p w:rsidR="00B331A1" w:rsidRDefault="00B331A1" w:rsidP="00BA6AE5">
            <w:pPr>
              <w:jc w:val="center"/>
              <w:rPr>
                <w:rFonts w:ascii="Times New Roman" w:hAnsi="Times New Roman" w:cs="Times New Roman"/>
                <w:color w:val="000000"/>
                <w:sz w:val="20"/>
                <w:szCs w:val="20"/>
              </w:rPr>
            </w:pPr>
            <w:r w:rsidRPr="00821C3A">
              <w:rPr>
                <w:rFonts w:ascii="Times New Roman" w:hAnsi="Times New Roman" w:cs="Times New Roman"/>
                <w:color w:val="000000"/>
                <w:sz w:val="20"/>
                <w:szCs w:val="20"/>
              </w:rPr>
              <w:t>Imatinib 2L</w:t>
            </w:r>
          </w:p>
          <w:p w:rsidR="00B331A1" w:rsidRPr="00821C3A" w:rsidRDefault="00B331A1" w:rsidP="00BA6AE5">
            <w:pPr>
              <w:jc w:val="center"/>
              <w:rPr>
                <w:rFonts w:ascii="Times New Roman" w:hAnsi="Times New Roman" w:cs="Times New Roman"/>
                <w:color w:val="000000"/>
                <w:sz w:val="20"/>
                <w:szCs w:val="20"/>
              </w:rPr>
            </w:pPr>
            <w:r>
              <w:rPr>
                <w:rFonts w:ascii="Times New Roman" w:hAnsi="Times New Roman" w:cs="Times New Roman"/>
                <w:color w:val="000000"/>
                <w:sz w:val="20"/>
                <w:szCs w:val="20"/>
              </w:rPr>
              <w:t>(n=13)</w:t>
            </w:r>
          </w:p>
        </w:tc>
        <w:tc>
          <w:tcPr>
            <w:tcW w:w="1112" w:type="dxa"/>
            <w:tcBorders>
              <w:top w:val="single" w:sz="4" w:space="0" w:color="auto"/>
              <w:left w:val="nil"/>
              <w:bottom w:val="single" w:sz="4" w:space="0" w:color="auto"/>
              <w:right w:val="single" w:sz="4" w:space="0" w:color="auto"/>
            </w:tcBorders>
            <w:shd w:val="clear" w:color="auto" w:fill="auto"/>
            <w:vAlign w:val="bottom"/>
            <w:hideMark/>
          </w:tcPr>
          <w:p w:rsidR="00B331A1" w:rsidRDefault="00B331A1" w:rsidP="00BA6AE5">
            <w:pPr>
              <w:jc w:val="center"/>
              <w:rPr>
                <w:rFonts w:ascii="Times New Roman" w:hAnsi="Times New Roman" w:cs="Times New Roman"/>
                <w:color w:val="000000"/>
                <w:sz w:val="20"/>
                <w:szCs w:val="20"/>
              </w:rPr>
            </w:pPr>
            <w:r>
              <w:rPr>
                <w:rFonts w:ascii="Times New Roman" w:hAnsi="Times New Roman" w:cs="Times New Roman"/>
                <w:color w:val="000000"/>
                <w:sz w:val="20"/>
                <w:szCs w:val="20"/>
              </w:rPr>
              <w:t>2G-</w:t>
            </w:r>
            <w:r w:rsidRPr="00821C3A">
              <w:rPr>
                <w:rFonts w:ascii="Times New Roman" w:hAnsi="Times New Roman" w:cs="Times New Roman"/>
                <w:color w:val="000000"/>
                <w:sz w:val="20"/>
                <w:szCs w:val="20"/>
              </w:rPr>
              <w:t>TKI 2L</w:t>
            </w:r>
          </w:p>
          <w:p w:rsidR="00B331A1" w:rsidRPr="00821C3A" w:rsidRDefault="00B331A1" w:rsidP="00BA6AE5">
            <w:pPr>
              <w:jc w:val="center"/>
              <w:rPr>
                <w:rFonts w:ascii="Times New Roman" w:hAnsi="Times New Roman" w:cs="Times New Roman"/>
                <w:color w:val="000000"/>
                <w:sz w:val="20"/>
                <w:szCs w:val="20"/>
              </w:rPr>
            </w:pPr>
            <w:r>
              <w:rPr>
                <w:rFonts w:ascii="Times New Roman" w:hAnsi="Times New Roman" w:cs="Times New Roman"/>
                <w:color w:val="000000"/>
                <w:sz w:val="20"/>
                <w:szCs w:val="20"/>
              </w:rPr>
              <w:t>(n=100)</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B331A1" w:rsidRDefault="00B331A1" w:rsidP="00BA6AE5">
            <w:pPr>
              <w:jc w:val="center"/>
              <w:rPr>
                <w:rFonts w:ascii="Times New Roman" w:hAnsi="Times New Roman" w:cs="Times New Roman"/>
                <w:color w:val="000000"/>
                <w:sz w:val="20"/>
                <w:szCs w:val="20"/>
              </w:rPr>
            </w:pPr>
            <w:r w:rsidRPr="00821C3A">
              <w:rPr>
                <w:rFonts w:ascii="Times New Roman" w:hAnsi="Times New Roman" w:cs="Times New Roman"/>
                <w:color w:val="000000"/>
                <w:sz w:val="20"/>
                <w:szCs w:val="20"/>
              </w:rPr>
              <w:t>Nilotinib 2L</w:t>
            </w:r>
          </w:p>
          <w:p w:rsidR="00B331A1" w:rsidRPr="00821C3A" w:rsidRDefault="00B331A1" w:rsidP="00BA6AE5">
            <w:pPr>
              <w:jc w:val="center"/>
              <w:rPr>
                <w:rFonts w:ascii="Times New Roman" w:hAnsi="Times New Roman" w:cs="Times New Roman"/>
                <w:color w:val="000000"/>
                <w:sz w:val="20"/>
                <w:szCs w:val="20"/>
              </w:rPr>
            </w:pPr>
            <w:r>
              <w:rPr>
                <w:rFonts w:ascii="Times New Roman" w:hAnsi="Times New Roman" w:cs="Times New Roman"/>
                <w:color w:val="000000"/>
                <w:sz w:val="20"/>
                <w:szCs w:val="20"/>
              </w:rPr>
              <w:t>(n=68)</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331A1" w:rsidRDefault="00B331A1" w:rsidP="00BA6AE5">
            <w:pPr>
              <w:jc w:val="center"/>
              <w:rPr>
                <w:rFonts w:ascii="Times New Roman" w:hAnsi="Times New Roman" w:cs="Times New Roman"/>
                <w:color w:val="000000"/>
                <w:sz w:val="20"/>
                <w:szCs w:val="20"/>
              </w:rPr>
            </w:pPr>
            <w:r w:rsidRPr="00821C3A">
              <w:rPr>
                <w:rFonts w:ascii="Times New Roman" w:hAnsi="Times New Roman" w:cs="Times New Roman"/>
                <w:color w:val="000000"/>
                <w:sz w:val="20"/>
                <w:szCs w:val="20"/>
              </w:rPr>
              <w:t>Switched to 2L for resistance</w:t>
            </w:r>
          </w:p>
          <w:p w:rsidR="00B331A1" w:rsidRPr="00821C3A" w:rsidRDefault="00B331A1" w:rsidP="00BA6AE5">
            <w:pPr>
              <w:jc w:val="center"/>
              <w:rPr>
                <w:rFonts w:ascii="Times New Roman" w:hAnsi="Times New Roman" w:cs="Times New Roman"/>
                <w:color w:val="000000"/>
                <w:sz w:val="20"/>
                <w:szCs w:val="20"/>
              </w:rPr>
            </w:pPr>
            <w:r>
              <w:rPr>
                <w:rFonts w:ascii="Times New Roman" w:hAnsi="Times New Roman" w:cs="Times New Roman"/>
                <w:color w:val="000000"/>
                <w:sz w:val="20"/>
                <w:szCs w:val="20"/>
              </w:rPr>
              <w:t>(n=73)</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B331A1" w:rsidRDefault="00B331A1" w:rsidP="00BA6AE5">
            <w:pPr>
              <w:jc w:val="center"/>
              <w:rPr>
                <w:rFonts w:ascii="Times New Roman" w:hAnsi="Times New Roman" w:cs="Times New Roman"/>
                <w:color w:val="000000"/>
                <w:sz w:val="20"/>
                <w:szCs w:val="20"/>
              </w:rPr>
            </w:pPr>
            <w:r w:rsidRPr="00821C3A">
              <w:rPr>
                <w:rFonts w:ascii="Times New Roman" w:hAnsi="Times New Roman" w:cs="Times New Roman"/>
                <w:color w:val="000000"/>
                <w:sz w:val="20"/>
                <w:szCs w:val="20"/>
              </w:rPr>
              <w:t>Switched to 2L for intolerance/other</w:t>
            </w:r>
            <w:r>
              <w:rPr>
                <w:rFonts w:ascii="Times New Roman" w:hAnsi="Times New Roman" w:cs="Times New Roman"/>
                <w:color w:val="000000"/>
                <w:sz w:val="20"/>
                <w:szCs w:val="20"/>
              </w:rPr>
              <w:t xml:space="preserve"> reason</w:t>
            </w:r>
          </w:p>
          <w:p w:rsidR="00B331A1" w:rsidRPr="00821C3A" w:rsidRDefault="00B331A1" w:rsidP="00BA6AE5">
            <w:pPr>
              <w:jc w:val="center"/>
              <w:rPr>
                <w:rFonts w:ascii="Times New Roman" w:hAnsi="Times New Roman" w:cs="Times New Roman"/>
                <w:color w:val="000000"/>
                <w:sz w:val="20"/>
                <w:szCs w:val="20"/>
              </w:rPr>
            </w:pPr>
            <w:r>
              <w:rPr>
                <w:rFonts w:ascii="Times New Roman" w:hAnsi="Times New Roman" w:cs="Times New Roman"/>
                <w:color w:val="000000"/>
                <w:sz w:val="20"/>
                <w:szCs w:val="20"/>
              </w:rPr>
              <w:t>(n=40)</w:t>
            </w:r>
          </w:p>
        </w:tc>
      </w:tr>
      <w:tr w:rsidR="00B331A1" w:rsidRPr="00962249" w:rsidTr="00BA6AE5">
        <w:trPr>
          <w:trHeight w:val="870"/>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B331A1" w:rsidRPr="00821C3A" w:rsidRDefault="00B331A1" w:rsidP="00BA6AE5">
            <w:pPr>
              <w:spacing w:after="0" w:line="240" w:lineRule="auto"/>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Median follow</w:t>
            </w:r>
            <w:r>
              <w:rPr>
                <w:rFonts w:ascii="Times New Roman" w:eastAsia="Times New Roman" w:hAnsi="Times New Roman" w:cs="Times New Roman"/>
                <w:color w:val="000000"/>
                <w:sz w:val="20"/>
                <w:szCs w:val="20"/>
                <w:lang w:eastAsia="en-GB"/>
              </w:rPr>
              <w:t>-</w:t>
            </w:r>
            <w:r w:rsidRPr="00821C3A">
              <w:rPr>
                <w:rFonts w:ascii="Times New Roman" w:eastAsia="Times New Roman" w:hAnsi="Times New Roman" w:cs="Times New Roman"/>
                <w:color w:val="000000"/>
                <w:sz w:val="20"/>
                <w:szCs w:val="20"/>
                <w:lang w:eastAsia="en-GB"/>
              </w:rPr>
              <w:t>up on TKI</w:t>
            </w:r>
            <w:r>
              <w:rPr>
                <w:rFonts w:ascii="Times New Roman" w:eastAsia="Times New Roman" w:hAnsi="Times New Roman" w:cs="Times New Roman"/>
                <w:color w:val="000000"/>
                <w:sz w:val="20"/>
                <w:szCs w:val="20"/>
                <w:lang w:eastAsia="en-GB"/>
              </w:rPr>
              <w:t xml:space="preserve"> (range)</w:t>
            </w:r>
            <w:r w:rsidRPr="00821C3A">
              <w:rPr>
                <w:rFonts w:ascii="Times New Roman" w:eastAsia="Times New Roman" w:hAnsi="Times New Roman" w:cs="Times New Roman"/>
                <w:color w:val="000000"/>
                <w:sz w:val="20"/>
                <w:szCs w:val="20"/>
                <w:lang w:eastAsia="en-GB"/>
              </w:rPr>
              <w:t xml:space="preserve">, months </w:t>
            </w:r>
          </w:p>
        </w:tc>
        <w:tc>
          <w:tcPr>
            <w:tcW w:w="1134"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sz w:val="20"/>
                <w:szCs w:val="20"/>
                <w:lang w:eastAsia="en-GB"/>
              </w:rPr>
            </w:pPr>
            <w:r w:rsidRPr="00821C3A">
              <w:rPr>
                <w:rFonts w:ascii="Times New Roman" w:eastAsia="Times New Roman" w:hAnsi="Times New Roman" w:cs="Times New Roman"/>
                <w:sz w:val="20"/>
                <w:szCs w:val="20"/>
                <w:lang w:eastAsia="en-GB"/>
              </w:rPr>
              <w:t>11.1 (0.2</w:t>
            </w:r>
            <w:r>
              <w:rPr>
                <w:rFonts w:ascii="Times New Roman" w:eastAsia="Times New Roman" w:hAnsi="Times New Roman" w:cs="Times New Roman"/>
                <w:sz w:val="20"/>
                <w:szCs w:val="20"/>
                <w:lang w:eastAsia="en-GB"/>
              </w:rPr>
              <w:t>-</w:t>
            </w:r>
            <w:r w:rsidRPr="00821C3A">
              <w:rPr>
                <w:rFonts w:ascii="Times New Roman" w:eastAsia="Times New Roman" w:hAnsi="Times New Roman" w:cs="Times New Roman"/>
                <w:sz w:val="20"/>
                <w:szCs w:val="20"/>
                <w:lang w:eastAsia="en-GB"/>
              </w:rPr>
              <w:t>50.2)</w:t>
            </w:r>
          </w:p>
        </w:tc>
        <w:tc>
          <w:tcPr>
            <w:tcW w:w="1021"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sz w:val="20"/>
                <w:szCs w:val="20"/>
                <w:lang w:eastAsia="en-GB"/>
              </w:rPr>
            </w:pPr>
            <w:r w:rsidRPr="00821C3A">
              <w:rPr>
                <w:rFonts w:ascii="Times New Roman" w:eastAsia="Times New Roman" w:hAnsi="Times New Roman" w:cs="Times New Roman"/>
                <w:sz w:val="20"/>
                <w:szCs w:val="20"/>
                <w:lang w:eastAsia="en-GB"/>
              </w:rPr>
              <w:t>15.9 (0.9</w:t>
            </w:r>
            <w:r>
              <w:rPr>
                <w:rFonts w:ascii="Times New Roman" w:eastAsia="Times New Roman" w:hAnsi="Times New Roman" w:cs="Times New Roman"/>
                <w:sz w:val="20"/>
                <w:szCs w:val="20"/>
                <w:lang w:eastAsia="en-GB"/>
              </w:rPr>
              <w:t>-</w:t>
            </w:r>
            <w:r w:rsidRPr="00821C3A">
              <w:rPr>
                <w:rFonts w:ascii="Times New Roman" w:eastAsia="Times New Roman" w:hAnsi="Times New Roman" w:cs="Times New Roman"/>
                <w:sz w:val="20"/>
                <w:szCs w:val="20"/>
                <w:lang w:eastAsia="en-GB"/>
              </w:rPr>
              <w:t>43.0)</w:t>
            </w:r>
          </w:p>
        </w:tc>
        <w:tc>
          <w:tcPr>
            <w:tcW w:w="1112"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sz w:val="20"/>
                <w:szCs w:val="20"/>
                <w:lang w:eastAsia="en-GB"/>
              </w:rPr>
            </w:pPr>
            <w:r w:rsidRPr="00821C3A">
              <w:rPr>
                <w:rFonts w:ascii="Times New Roman" w:eastAsia="Times New Roman" w:hAnsi="Times New Roman" w:cs="Times New Roman"/>
                <w:sz w:val="20"/>
                <w:szCs w:val="20"/>
                <w:lang w:eastAsia="en-GB"/>
              </w:rPr>
              <w:t>10.9 (0.2</w:t>
            </w:r>
            <w:r>
              <w:rPr>
                <w:rFonts w:ascii="Times New Roman" w:eastAsia="Times New Roman" w:hAnsi="Times New Roman" w:cs="Times New Roman"/>
                <w:sz w:val="20"/>
                <w:szCs w:val="20"/>
                <w:lang w:eastAsia="en-GB"/>
              </w:rPr>
              <w:t>-</w:t>
            </w:r>
            <w:r w:rsidRPr="00821C3A">
              <w:rPr>
                <w:rFonts w:ascii="Times New Roman" w:eastAsia="Times New Roman" w:hAnsi="Times New Roman" w:cs="Times New Roman"/>
                <w:sz w:val="20"/>
                <w:szCs w:val="20"/>
                <w:lang w:eastAsia="en-GB"/>
              </w:rPr>
              <w:t>50.2)</w:t>
            </w:r>
          </w:p>
        </w:tc>
        <w:tc>
          <w:tcPr>
            <w:tcW w:w="1411"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sz w:val="20"/>
                <w:szCs w:val="20"/>
                <w:lang w:eastAsia="en-GB"/>
              </w:rPr>
            </w:pPr>
            <w:r w:rsidRPr="00821C3A">
              <w:rPr>
                <w:rFonts w:ascii="Times New Roman" w:eastAsia="Times New Roman" w:hAnsi="Times New Roman" w:cs="Times New Roman"/>
                <w:sz w:val="20"/>
                <w:szCs w:val="20"/>
                <w:lang w:eastAsia="en-GB"/>
              </w:rPr>
              <w:t>14.5 (0.2</w:t>
            </w:r>
            <w:r>
              <w:rPr>
                <w:rFonts w:ascii="Times New Roman" w:eastAsia="Times New Roman" w:hAnsi="Times New Roman" w:cs="Times New Roman"/>
                <w:sz w:val="20"/>
                <w:szCs w:val="20"/>
                <w:lang w:eastAsia="en-GB"/>
              </w:rPr>
              <w:t>-</w:t>
            </w:r>
            <w:r w:rsidRPr="00821C3A">
              <w:rPr>
                <w:rFonts w:ascii="Times New Roman" w:eastAsia="Times New Roman" w:hAnsi="Times New Roman" w:cs="Times New Roman"/>
                <w:sz w:val="20"/>
                <w:szCs w:val="20"/>
                <w:lang w:eastAsia="en-GB"/>
              </w:rPr>
              <w:t>50.2)</w:t>
            </w:r>
          </w:p>
        </w:tc>
        <w:tc>
          <w:tcPr>
            <w:tcW w:w="1559"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sz w:val="20"/>
                <w:szCs w:val="20"/>
                <w:lang w:eastAsia="en-GB"/>
              </w:rPr>
            </w:pPr>
            <w:r w:rsidRPr="00821C3A">
              <w:rPr>
                <w:rFonts w:ascii="Times New Roman" w:eastAsia="Times New Roman" w:hAnsi="Times New Roman" w:cs="Times New Roman"/>
                <w:sz w:val="20"/>
                <w:szCs w:val="20"/>
                <w:lang w:eastAsia="en-GB"/>
              </w:rPr>
              <w:t>27.4 (1.2</w:t>
            </w:r>
            <w:r>
              <w:rPr>
                <w:rFonts w:ascii="Times New Roman" w:eastAsia="Times New Roman" w:hAnsi="Times New Roman" w:cs="Times New Roman"/>
                <w:sz w:val="20"/>
                <w:szCs w:val="20"/>
                <w:lang w:eastAsia="en-GB"/>
              </w:rPr>
              <w:t>-</w:t>
            </w:r>
            <w:r w:rsidRPr="00821C3A">
              <w:rPr>
                <w:rFonts w:ascii="Times New Roman" w:eastAsia="Times New Roman" w:hAnsi="Times New Roman" w:cs="Times New Roman"/>
                <w:sz w:val="20"/>
                <w:szCs w:val="20"/>
                <w:lang w:eastAsia="en-GB"/>
              </w:rPr>
              <w:t>51.4)</w:t>
            </w:r>
          </w:p>
        </w:tc>
        <w:tc>
          <w:tcPr>
            <w:tcW w:w="1588"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sz w:val="20"/>
                <w:szCs w:val="20"/>
                <w:lang w:eastAsia="en-GB"/>
              </w:rPr>
            </w:pPr>
            <w:r w:rsidRPr="00821C3A">
              <w:rPr>
                <w:rFonts w:ascii="Times New Roman" w:eastAsia="Times New Roman" w:hAnsi="Times New Roman" w:cs="Times New Roman"/>
                <w:sz w:val="20"/>
                <w:szCs w:val="20"/>
                <w:lang w:eastAsia="en-GB"/>
              </w:rPr>
              <w:t>20.1 (2.8</w:t>
            </w:r>
            <w:r>
              <w:rPr>
                <w:rFonts w:ascii="Times New Roman" w:eastAsia="Times New Roman" w:hAnsi="Times New Roman" w:cs="Times New Roman"/>
                <w:sz w:val="20"/>
                <w:szCs w:val="20"/>
                <w:lang w:eastAsia="en-GB"/>
              </w:rPr>
              <w:t>-</w:t>
            </w:r>
            <w:r w:rsidRPr="00821C3A">
              <w:rPr>
                <w:rFonts w:ascii="Times New Roman" w:eastAsia="Times New Roman" w:hAnsi="Times New Roman" w:cs="Times New Roman"/>
                <w:sz w:val="20"/>
                <w:szCs w:val="20"/>
                <w:lang w:eastAsia="en-GB"/>
              </w:rPr>
              <w:t>54.1)</w:t>
            </w:r>
          </w:p>
        </w:tc>
      </w:tr>
      <w:tr w:rsidR="00B331A1" w:rsidRPr="00962249" w:rsidTr="00BA6AE5">
        <w:trPr>
          <w:trHeight w:val="870"/>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B331A1" w:rsidRPr="00821C3A" w:rsidRDefault="00B331A1" w:rsidP="00BA6AE5">
            <w:pPr>
              <w:spacing w:after="0" w:line="240" w:lineRule="auto"/>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 xml:space="preserve">EMR at 3 </w:t>
            </w:r>
            <w:r>
              <w:rPr>
                <w:rFonts w:ascii="Times New Roman" w:eastAsia="Times New Roman" w:hAnsi="Times New Roman" w:cs="Times New Roman"/>
                <w:color w:val="000000"/>
                <w:sz w:val="20"/>
                <w:szCs w:val="20"/>
                <w:lang w:eastAsia="en-GB"/>
              </w:rPr>
              <w:t xml:space="preserve">months </w:t>
            </w:r>
            <w:r w:rsidRPr="00821C3A">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821C3A">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 xml:space="preserve"> month</w:t>
            </w:r>
            <w:r w:rsidRPr="00821C3A">
              <w:rPr>
                <w:rFonts w:ascii="Times New Roman" w:eastAsia="Times New Roman" w:hAnsi="Times New Roman" w:cs="Times New Roman"/>
                <w:color w:val="000000"/>
                <w:sz w:val="20"/>
                <w:szCs w:val="20"/>
                <w:lang w:eastAsia="en-GB"/>
              </w:rPr>
              <w:t xml:space="preserve">) in patients with </w:t>
            </w:r>
            <w:r w:rsidRPr="005359E8">
              <w:rPr>
                <w:rFonts w:ascii="Times New Roman" w:eastAsia="Times New Roman" w:hAnsi="Times New Roman" w:cs="Times New Roman"/>
                <w:i/>
                <w:color w:val="000000"/>
                <w:sz w:val="20"/>
                <w:szCs w:val="20"/>
                <w:lang w:eastAsia="en-GB"/>
              </w:rPr>
              <w:t>BCR-ABL1</w:t>
            </w:r>
            <w:r w:rsidRPr="00821C3A">
              <w:rPr>
                <w:rFonts w:ascii="Times New Roman" w:eastAsia="Times New Roman" w:hAnsi="Times New Roman" w:cs="Times New Roman"/>
                <w:color w:val="000000"/>
                <w:sz w:val="20"/>
                <w:szCs w:val="20"/>
                <w:lang w:eastAsia="en-GB"/>
              </w:rPr>
              <w:t xml:space="preserve"> at 3</w:t>
            </w:r>
            <w:r>
              <w:rPr>
                <w:rFonts w:ascii="Times New Roman" w:eastAsia="Times New Roman" w:hAnsi="Times New Roman" w:cs="Times New Roman"/>
                <w:color w:val="000000"/>
                <w:sz w:val="20"/>
                <w:szCs w:val="20"/>
                <w:lang w:eastAsia="en-GB"/>
              </w:rPr>
              <w:t xml:space="preserve"> </w:t>
            </w:r>
            <w:r w:rsidRPr="00821C3A">
              <w:rPr>
                <w:rFonts w:ascii="Times New Roman" w:eastAsia="Times New Roman" w:hAnsi="Times New Roman" w:cs="Times New Roman"/>
                <w:color w:val="000000"/>
                <w:sz w:val="20"/>
                <w:szCs w:val="20"/>
                <w:lang w:eastAsia="en-GB"/>
              </w:rPr>
              <w:t>m</w:t>
            </w:r>
            <w:r>
              <w:rPr>
                <w:rFonts w:ascii="Times New Roman" w:eastAsia="Times New Roman" w:hAnsi="Times New Roman" w:cs="Times New Roman"/>
                <w:color w:val="000000"/>
                <w:sz w:val="20"/>
                <w:szCs w:val="20"/>
                <w:lang w:eastAsia="en-GB"/>
              </w:rPr>
              <w:t>onths</w:t>
            </w:r>
            <w:r w:rsidRPr="00821C3A">
              <w:rPr>
                <w:rFonts w:ascii="Times New Roman" w:eastAsia="Times New Roman" w:hAnsi="Times New Roman" w:cs="Times New Roman"/>
                <w:color w:val="000000"/>
                <w:sz w:val="20"/>
                <w:szCs w:val="20"/>
                <w:lang w:eastAsia="en-GB"/>
              </w:rPr>
              <w:t>, n (%)</w:t>
            </w:r>
          </w:p>
        </w:tc>
        <w:tc>
          <w:tcPr>
            <w:tcW w:w="1134"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59/70 (84)</w:t>
            </w:r>
          </w:p>
        </w:tc>
        <w:tc>
          <w:tcPr>
            <w:tcW w:w="1021"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10/10 (100)</w:t>
            </w:r>
          </w:p>
        </w:tc>
        <w:tc>
          <w:tcPr>
            <w:tcW w:w="1112"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49/60 (82)</w:t>
            </w:r>
          </w:p>
        </w:tc>
        <w:tc>
          <w:tcPr>
            <w:tcW w:w="1411"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38/45 (84)</w:t>
            </w:r>
          </w:p>
        </w:tc>
        <w:tc>
          <w:tcPr>
            <w:tcW w:w="1559"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sz w:val="20"/>
                <w:szCs w:val="20"/>
                <w:lang w:eastAsia="en-GB"/>
              </w:rPr>
            </w:pPr>
            <w:r w:rsidRPr="00821C3A">
              <w:rPr>
                <w:rFonts w:ascii="Times New Roman" w:eastAsia="Times New Roman" w:hAnsi="Times New Roman" w:cs="Times New Roman"/>
                <w:sz w:val="20"/>
                <w:szCs w:val="20"/>
                <w:lang w:eastAsia="en-GB"/>
              </w:rPr>
              <w:t>39/47 (83)</w:t>
            </w:r>
          </w:p>
        </w:tc>
        <w:tc>
          <w:tcPr>
            <w:tcW w:w="1588"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sz w:val="20"/>
                <w:szCs w:val="20"/>
                <w:lang w:eastAsia="en-GB"/>
              </w:rPr>
            </w:pPr>
            <w:r w:rsidRPr="00821C3A">
              <w:rPr>
                <w:rFonts w:ascii="Times New Roman" w:eastAsia="Times New Roman" w:hAnsi="Times New Roman" w:cs="Times New Roman"/>
                <w:sz w:val="20"/>
                <w:szCs w:val="20"/>
                <w:lang w:eastAsia="en-GB"/>
              </w:rPr>
              <w:t>20/23 (87)</w:t>
            </w:r>
          </w:p>
        </w:tc>
      </w:tr>
      <w:tr w:rsidR="00B331A1" w:rsidRPr="00962249" w:rsidTr="00BA6AE5">
        <w:trPr>
          <w:trHeight w:val="870"/>
        </w:trPr>
        <w:tc>
          <w:tcPr>
            <w:tcW w:w="1672" w:type="dxa"/>
            <w:tcBorders>
              <w:top w:val="nil"/>
              <w:left w:val="single" w:sz="4" w:space="0" w:color="auto"/>
              <w:bottom w:val="single" w:sz="4" w:space="0" w:color="auto"/>
              <w:right w:val="single" w:sz="4" w:space="0" w:color="auto"/>
            </w:tcBorders>
            <w:shd w:val="clear" w:color="auto" w:fill="auto"/>
            <w:hideMark/>
          </w:tcPr>
          <w:p w:rsidR="00B331A1" w:rsidRPr="00821C3A" w:rsidRDefault="00B331A1" w:rsidP="00BA6AE5">
            <w:pPr>
              <w:spacing w:after="0" w:line="240" w:lineRule="auto"/>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 xml:space="preserve">MMR by 12 </w:t>
            </w:r>
            <w:r>
              <w:rPr>
                <w:rFonts w:ascii="Times New Roman" w:eastAsia="Times New Roman" w:hAnsi="Times New Roman" w:cs="Times New Roman"/>
                <w:color w:val="000000"/>
                <w:sz w:val="20"/>
                <w:szCs w:val="20"/>
                <w:lang w:eastAsia="en-GB"/>
              </w:rPr>
              <w:t xml:space="preserve">months </w:t>
            </w:r>
            <w:r w:rsidRPr="00821C3A">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821C3A">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 xml:space="preserve"> month</w:t>
            </w:r>
            <w:r w:rsidRPr="00821C3A">
              <w:rPr>
                <w:rFonts w:ascii="Times New Roman" w:eastAsia="Times New Roman" w:hAnsi="Times New Roman" w:cs="Times New Roman"/>
                <w:color w:val="000000"/>
                <w:sz w:val="20"/>
                <w:szCs w:val="20"/>
                <w:lang w:eastAsia="en-GB"/>
              </w:rPr>
              <w:t xml:space="preserve">), </w:t>
            </w:r>
            <w:r w:rsidRPr="00821C3A">
              <w:rPr>
                <w:rFonts w:ascii="Times New Roman" w:eastAsia="Times New Roman" w:hAnsi="Times New Roman" w:cs="Times New Roman"/>
                <w:color w:val="000000"/>
                <w:sz w:val="20"/>
                <w:szCs w:val="20"/>
                <w:lang w:eastAsia="en-GB"/>
              </w:rPr>
              <w:br/>
              <w:t>n (%)</w:t>
            </w:r>
          </w:p>
        </w:tc>
        <w:tc>
          <w:tcPr>
            <w:tcW w:w="1134"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41/92 (45)</w:t>
            </w:r>
          </w:p>
        </w:tc>
        <w:tc>
          <w:tcPr>
            <w:tcW w:w="1021"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7/12 (58)</w:t>
            </w:r>
          </w:p>
        </w:tc>
        <w:tc>
          <w:tcPr>
            <w:tcW w:w="1112"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34/80 (43)</w:t>
            </w:r>
          </w:p>
        </w:tc>
        <w:tc>
          <w:tcPr>
            <w:tcW w:w="1411"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26/57 (46)</w:t>
            </w:r>
          </w:p>
        </w:tc>
        <w:tc>
          <w:tcPr>
            <w:tcW w:w="1559"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26/61 (43)</w:t>
            </w:r>
          </w:p>
        </w:tc>
        <w:tc>
          <w:tcPr>
            <w:tcW w:w="1588"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15/31 (48)</w:t>
            </w:r>
          </w:p>
        </w:tc>
      </w:tr>
      <w:tr w:rsidR="00B331A1" w:rsidRPr="00962249" w:rsidTr="00BA6AE5">
        <w:trPr>
          <w:trHeight w:val="580"/>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B331A1" w:rsidRPr="00821C3A" w:rsidRDefault="00B331A1" w:rsidP="00BA6AE5">
            <w:pPr>
              <w:spacing w:after="0" w:line="240" w:lineRule="auto"/>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MMR at any time, n (%)</w:t>
            </w:r>
          </w:p>
        </w:tc>
        <w:tc>
          <w:tcPr>
            <w:tcW w:w="1134"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48/94 (51)</w:t>
            </w:r>
          </w:p>
        </w:tc>
        <w:tc>
          <w:tcPr>
            <w:tcW w:w="1021"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7/13 (54)</w:t>
            </w:r>
          </w:p>
        </w:tc>
        <w:tc>
          <w:tcPr>
            <w:tcW w:w="1112"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41/81 (51)</w:t>
            </w:r>
          </w:p>
        </w:tc>
        <w:tc>
          <w:tcPr>
            <w:tcW w:w="1411"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31/58 (53)</w:t>
            </w:r>
          </w:p>
        </w:tc>
        <w:tc>
          <w:tcPr>
            <w:tcW w:w="1559"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32/62 (52)</w:t>
            </w:r>
          </w:p>
        </w:tc>
        <w:tc>
          <w:tcPr>
            <w:tcW w:w="1588"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16/32 (50)</w:t>
            </w:r>
          </w:p>
        </w:tc>
      </w:tr>
      <w:tr w:rsidR="00B331A1" w:rsidRPr="00962249" w:rsidTr="00BA6AE5">
        <w:trPr>
          <w:trHeight w:val="580"/>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B331A1" w:rsidRPr="00821C3A" w:rsidRDefault="00B331A1" w:rsidP="00BA6AE5">
            <w:pPr>
              <w:spacing w:after="0" w:line="240" w:lineRule="auto"/>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DMR at any time, n (%)</w:t>
            </w:r>
          </w:p>
        </w:tc>
        <w:tc>
          <w:tcPr>
            <w:tcW w:w="1134"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28/94 (30)</w:t>
            </w:r>
          </w:p>
        </w:tc>
        <w:tc>
          <w:tcPr>
            <w:tcW w:w="1021"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4/13 (31)</w:t>
            </w:r>
          </w:p>
        </w:tc>
        <w:tc>
          <w:tcPr>
            <w:tcW w:w="1112"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24/81 (30)</w:t>
            </w:r>
          </w:p>
        </w:tc>
        <w:tc>
          <w:tcPr>
            <w:tcW w:w="1411"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18/58 (31)</w:t>
            </w:r>
          </w:p>
        </w:tc>
        <w:tc>
          <w:tcPr>
            <w:tcW w:w="1559"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19/62 (31)</w:t>
            </w:r>
          </w:p>
        </w:tc>
        <w:tc>
          <w:tcPr>
            <w:tcW w:w="1588" w:type="dxa"/>
            <w:tcBorders>
              <w:top w:val="nil"/>
              <w:left w:val="nil"/>
              <w:bottom w:val="single" w:sz="4" w:space="0" w:color="auto"/>
              <w:right w:val="single" w:sz="4" w:space="0" w:color="auto"/>
            </w:tcBorders>
            <w:shd w:val="clear" w:color="auto" w:fill="auto"/>
            <w:vAlign w:val="center"/>
            <w:hideMark/>
          </w:tcPr>
          <w:p w:rsidR="00B331A1" w:rsidRPr="00821C3A" w:rsidRDefault="00B331A1" w:rsidP="00BA6AE5">
            <w:pPr>
              <w:spacing w:after="0" w:line="240" w:lineRule="auto"/>
              <w:jc w:val="center"/>
              <w:rPr>
                <w:rFonts w:ascii="Times New Roman" w:eastAsia="Times New Roman" w:hAnsi="Times New Roman" w:cs="Times New Roman"/>
                <w:color w:val="000000"/>
                <w:sz w:val="20"/>
                <w:szCs w:val="20"/>
                <w:lang w:eastAsia="en-GB"/>
              </w:rPr>
            </w:pPr>
            <w:r w:rsidRPr="00821C3A">
              <w:rPr>
                <w:rFonts w:ascii="Times New Roman" w:eastAsia="Times New Roman" w:hAnsi="Times New Roman" w:cs="Times New Roman"/>
                <w:color w:val="000000"/>
                <w:sz w:val="20"/>
                <w:szCs w:val="20"/>
                <w:lang w:eastAsia="en-GB"/>
              </w:rPr>
              <w:t>9/32 (28)</w:t>
            </w:r>
          </w:p>
        </w:tc>
      </w:tr>
      <w:tr w:rsidR="00B331A1" w:rsidRPr="00962249" w:rsidTr="00BA6AE5">
        <w:trPr>
          <w:trHeight w:val="290"/>
        </w:trPr>
        <w:tc>
          <w:tcPr>
            <w:tcW w:w="9497" w:type="dxa"/>
            <w:gridSpan w:val="7"/>
            <w:tcBorders>
              <w:top w:val="nil"/>
              <w:left w:val="nil"/>
              <w:bottom w:val="nil"/>
              <w:right w:val="nil"/>
            </w:tcBorders>
            <w:shd w:val="clear" w:color="auto" w:fill="auto"/>
            <w:noWrap/>
            <w:vAlign w:val="bottom"/>
            <w:hideMark/>
          </w:tcPr>
          <w:p w:rsidR="00B331A1" w:rsidRPr="0071298B" w:rsidRDefault="00B331A1" w:rsidP="00BA6AE5">
            <w:pPr>
              <w:spacing w:after="0" w:line="240" w:lineRule="auto"/>
              <w:rPr>
                <w:rFonts w:ascii="Times New Roman" w:eastAsia="Times New Roman" w:hAnsi="Times New Roman" w:cs="Times New Roman"/>
                <w:color w:val="000000"/>
                <w:sz w:val="20"/>
                <w:szCs w:val="20"/>
                <w:lang w:eastAsia="en-GB"/>
              </w:rPr>
            </w:pPr>
            <w:r w:rsidRPr="00FD56FC">
              <w:rPr>
                <w:rFonts w:ascii="Times New Roman" w:eastAsia="Times New Roman" w:hAnsi="Times New Roman" w:cs="Times New Roman"/>
                <w:color w:val="000000"/>
                <w:sz w:val="20"/>
                <w:szCs w:val="20"/>
                <w:lang w:eastAsia="en-GB"/>
              </w:rPr>
              <w:t>2G-TKI, second-generation tyrosine kinase inhibitor; 2L, second line; DMR, deep molecular response; EMR, early molecular response; MMR, major molecular response</w:t>
            </w:r>
            <w:r w:rsidRPr="0071298B">
              <w:rPr>
                <w:rFonts w:ascii="Times New Roman" w:eastAsia="Times New Roman" w:hAnsi="Times New Roman" w:cs="Times New Roman"/>
                <w:color w:val="000000"/>
                <w:sz w:val="20"/>
                <w:szCs w:val="20"/>
                <w:lang w:eastAsia="en-GB"/>
              </w:rPr>
              <w:t>; RQ-PCR, real-time quantitative polymerase chain reaction.</w:t>
            </w:r>
            <w:r w:rsidRPr="0071298B">
              <w:rPr>
                <w:rFonts w:ascii="Times New Roman" w:eastAsia="Times New Roman" w:hAnsi="Times New Roman" w:cs="Times New Roman"/>
                <w:color w:val="000000"/>
                <w:sz w:val="20"/>
                <w:szCs w:val="20"/>
                <w:vertAlign w:val="superscript"/>
                <w:lang w:eastAsia="en-GB"/>
              </w:rPr>
              <w:t xml:space="preserve"> </w:t>
            </w:r>
          </w:p>
          <w:p w:rsidR="00B331A1" w:rsidRPr="00D93C13" w:rsidRDefault="00B331A1" w:rsidP="00BA6AE5">
            <w:pPr>
              <w:spacing w:after="0" w:line="240" w:lineRule="auto"/>
              <w:rPr>
                <w:rFonts w:ascii="Times New Roman" w:eastAsia="Times New Roman" w:hAnsi="Times New Roman" w:cs="Times New Roman"/>
                <w:color w:val="000000"/>
                <w:sz w:val="20"/>
                <w:szCs w:val="20"/>
                <w:lang w:eastAsia="en-GB"/>
              </w:rPr>
            </w:pPr>
            <w:r w:rsidRPr="00D93C13">
              <w:rPr>
                <w:rFonts w:ascii="Times New Roman" w:eastAsia="Times New Roman" w:hAnsi="Times New Roman" w:cs="Times New Roman"/>
                <w:color w:val="000000"/>
                <w:sz w:val="20"/>
                <w:szCs w:val="20"/>
                <w:lang w:eastAsia="en-GB"/>
              </w:rPr>
              <w:t xml:space="preserve">For EMR, patient was required to have RQ-PCR at 3 months (±1 month). </w:t>
            </w:r>
          </w:p>
        </w:tc>
      </w:tr>
      <w:tr w:rsidR="00B331A1" w:rsidRPr="00962249" w:rsidTr="00BA6AE5">
        <w:trPr>
          <w:trHeight w:val="290"/>
        </w:trPr>
        <w:tc>
          <w:tcPr>
            <w:tcW w:w="9497" w:type="dxa"/>
            <w:gridSpan w:val="7"/>
            <w:tcBorders>
              <w:top w:val="nil"/>
              <w:left w:val="nil"/>
              <w:bottom w:val="nil"/>
              <w:right w:val="nil"/>
            </w:tcBorders>
            <w:shd w:val="clear" w:color="auto" w:fill="auto"/>
            <w:noWrap/>
            <w:vAlign w:val="bottom"/>
            <w:hideMark/>
          </w:tcPr>
          <w:p w:rsidR="00B331A1" w:rsidRPr="00FD56FC" w:rsidRDefault="00B331A1" w:rsidP="00BA6AE5">
            <w:pPr>
              <w:spacing w:after="0" w:line="240" w:lineRule="auto"/>
              <w:rPr>
                <w:rFonts w:ascii="Times New Roman" w:eastAsia="Times New Roman" w:hAnsi="Times New Roman" w:cs="Times New Roman"/>
                <w:color w:val="000000"/>
                <w:sz w:val="20"/>
                <w:szCs w:val="20"/>
                <w:lang w:eastAsia="en-GB"/>
              </w:rPr>
            </w:pPr>
            <w:r w:rsidRPr="00FD56FC">
              <w:rPr>
                <w:rFonts w:ascii="Times New Roman" w:eastAsia="Times New Roman" w:hAnsi="Times New Roman" w:cs="Times New Roman"/>
                <w:color w:val="000000"/>
                <w:sz w:val="20"/>
                <w:szCs w:val="20"/>
                <w:lang w:eastAsia="en-GB"/>
              </w:rPr>
              <w:t>Molecular response categories were not mutually exclusive; the same patient could appear in multiple response categories.</w:t>
            </w:r>
          </w:p>
        </w:tc>
      </w:tr>
      <w:tr w:rsidR="00B331A1" w:rsidRPr="00962249" w:rsidTr="00BA6AE5">
        <w:trPr>
          <w:trHeight w:val="290"/>
        </w:trPr>
        <w:tc>
          <w:tcPr>
            <w:tcW w:w="9497" w:type="dxa"/>
            <w:gridSpan w:val="7"/>
            <w:tcBorders>
              <w:top w:val="nil"/>
              <w:left w:val="nil"/>
              <w:bottom w:val="nil"/>
              <w:right w:val="nil"/>
            </w:tcBorders>
            <w:shd w:val="clear" w:color="auto" w:fill="auto"/>
            <w:noWrap/>
            <w:vAlign w:val="bottom"/>
            <w:hideMark/>
          </w:tcPr>
          <w:p w:rsidR="00B331A1" w:rsidRPr="00D93C13" w:rsidRDefault="00B331A1" w:rsidP="00BA6AE5">
            <w:pPr>
              <w:spacing w:after="0" w:line="240" w:lineRule="auto"/>
              <w:rPr>
                <w:rFonts w:ascii="Times New Roman" w:eastAsia="Times New Roman" w:hAnsi="Times New Roman" w:cs="Times New Roman"/>
                <w:color w:val="000000"/>
                <w:sz w:val="20"/>
                <w:szCs w:val="20"/>
                <w:vertAlign w:val="superscript"/>
                <w:lang w:eastAsia="en-GB"/>
              </w:rPr>
            </w:pPr>
            <w:r w:rsidRPr="00FD56FC">
              <w:rPr>
                <w:rFonts w:ascii="Times New Roman" w:eastAsia="Times New Roman" w:hAnsi="Times New Roman" w:cs="Times New Roman"/>
                <w:color w:val="000000"/>
                <w:sz w:val="20"/>
                <w:szCs w:val="20"/>
                <w:lang w:eastAsia="en-GB"/>
              </w:rPr>
              <w:t xml:space="preserve">For MMR/DMR responses, denominator included only those patients with ≥1 RQ-PCR on second line (and by 12 </w:t>
            </w:r>
            <w:r w:rsidRPr="00D93C13">
              <w:rPr>
                <w:rFonts w:ascii="Times New Roman" w:eastAsia="Times New Roman" w:hAnsi="Times New Roman" w:cs="Times New Roman"/>
                <w:color w:val="000000"/>
                <w:sz w:val="20"/>
                <w:szCs w:val="20"/>
                <w:lang w:eastAsia="en-GB"/>
              </w:rPr>
              <w:t>months [±1 month] on second line for the MMR by 12-month responses).</w:t>
            </w:r>
            <w:r w:rsidRPr="00D93C13">
              <w:rPr>
                <w:rFonts w:ascii="Times New Roman" w:eastAsia="Times New Roman" w:hAnsi="Times New Roman" w:cs="Times New Roman"/>
                <w:color w:val="000000"/>
                <w:sz w:val="20"/>
                <w:szCs w:val="20"/>
                <w:vertAlign w:val="superscript"/>
                <w:lang w:eastAsia="en-GB"/>
              </w:rPr>
              <w:t xml:space="preserve"> </w:t>
            </w:r>
          </w:p>
          <w:p w:rsidR="00B331A1" w:rsidRPr="00D93C13" w:rsidRDefault="00B331A1" w:rsidP="00BA6AE5">
            <w:pPr>
              <w:spacing w:after="0" w:line="240" w:lineRule="auto"/>
              <w:rPr>
                <w:rFonts w:asciiTheme="majorBidi" w:eastAsiaTheme="minorEastAsia" w:hAnsiTheme="majorBidi" w:cstheme="majorBidi"/>
                <w:sz w:val="20"/>
                <w:szCs w:val="20"/>
              </w:rPr>
            </w:pPr>
            <w:r w:rsidRPr="00D93C13">
              <w:rPr>
                <w:rFonts w:ascii="Times New Roman" w:eastAsia="Times New Roman" w:hAnsi="Times New Roman" w:cs="Times New Roman"/>
                <w:color w:val="000000"/>
                <w:sz w:val="20"/>
                <w:szCs w:val="20"/>
                <w:vertAlign w:val="superscript"/>
                <w:lang w:eastAsia="en-GB"/>
              </w:rPr>
              <w:t>a</w:t>
            </w:r>
            <w:r w:rsidRPr="00D93C13">
              <w:rPr>
                <w:rFonts w:ascii="Times New Roman" w:eastAsia="Times New Roman" w:hAnsi="Times New Roman" w:cs="Times New Roman"/>
                <w:color w:val="000000"/>
                <w:sz w:val="20"/>
                <w:szCs w:val="20"/>
                <w:lang w:eastAsia="en-GB"/>
              </w:rPr>
              <w:t xml:space="preserve"> Follow-up period was months from second TKI until switch in patients who switched to third TKI or, in those who did not switch, to data collection or death. </w:t>
            </w:r>
            <w:r w:rsidRPr="00D93C13">
              <w:rPr>
                <w:rFonts w:asciiTheme="majorBidi" w:hAnsiTheme="majorBidi" w:cstheme="majorBidi"/>
                <w:sz w:val="20"/>
                <w:szCs w:val="20"/>
              </w:rPr>
              <w:t xml:space="preserve">Molecular responses were assessed as early molecular response (EMR; </w:t>
            </w:r>
            <w:r w:rsidRPr="00D93C13">
              <w:rPr>
                <w:rFonts w:asciiTheme="majorBidi" w:hAnsiTheme="majorBidi" w:cstheme="majorBidi"/>
                <w:i/>
                <w:sz w:val="20"/>
                <w:szCs w:val="20"/>
              </w:rPr>
              <w:t>BCR-ABL1</w:t>
            </w:r>
            <w:r w:rsidRPr="00D93C13">
              <w:rPr>
                <w:rFonts w:asciiTheme="majorBidi" w:hAnsiTheme="majorBidi" w:cstheme="majorBidi"/>
                <w:sz w:val="20"/>
                <w:szCs w:val="20"/>
                <w:vertAlign w:val="superscript"/>
              </w:rPr>
              <w:t>IS</w:t>
            </w:r>
            <w:r w:rsidRPr="00D93C13">
              <w:rPr>
                <w:rFonts w:asciiTheme="majorBidi" w:hAnsiTheme="majorBidi" w:cstheme="majorBidi"/>
                <w:sz w:val="20"/>
                <w:szCs w:val="20"/>
              </w:rPr>
              <w:t xml:space="preserve"> ≤10% at 3 months), MMR (</w:t>
            </w:r>
            <w:r w:rsidRPr="00D93C13">
              <w:rPr>
                <w:rFonts w:asciiTheme="majorBidi" w:hAnsiTheme="majorBidi" w:cstheme="majorBidi"/>
                <w:i/>
                <w:sz w:val="20"/>
                <w:szCs w:val="20"/>
              </w:rPr>
              <w:t>BCR-ABL1</w:t>
            </w:r>
            <w:r w:rsidRPr="00D93C13">
              <w:rPr>
                <w:rFonts w:asciiTheme="majorBidi" w:hAnsiTheme="majorBidi" w:cstheme="majorBidi"/>
                <w:sz w:val="20"/>
                <w:szCs w:val="20"/>
                <w:vertAlign w:val="superscript"/>
              </w:rPr>
              <w:t>IS</w:t>
            </w:r>
            <w:r w:rsidRPr="00D93C13">
              <w:rPr>
                <w:rFonts w:asciiTheme="majorBidi" w:hAnsiTheme="majorBidi" w:cstheme="majorBidi"/>
                <w:sz w:val="20"/>
                <w:szCs w:val="20"/>
              </w:rPr>
              <w:t xml:space="preserve"> ≤0.1%) by 12 months, MMR at any time, and DMR (</w:t>
            </w:r>
            <w:r w:rsidRPr="00D93C13">
              <w:rPr>
                <w:rFonts w:asciiTheme="majorBidi" w:hAnsiTheme="majorBidi" w:cstheme="majorBidi"/>
                <w:i/>
                <w:sz w:val="20"/>
                <w:szCs w:val="20"/>
              </w:rPr>
              <w:t>BCR-ABL1</w:t>
            </w:r>
            <w:r w:rsidRPr="00D93C13">
              <w:rPr>
                <w:rFonts w:asciiTheme="majorBidi" w:hAnsiTheme="majorBidi" w:cstheme="majorBidi"/>
                <w:sz w:val="20"/>
                <w:szCs w:val="20"/>
                <w:vertAlign w:val="superscript"/>
              </w:rPr>
              <w:t>IS</w:t>
            </w:r>
            <w:r w:rsidRPr="00D93C13">
              <w:rPr>
                <w:rFonts w:asciiTheme="majorBidi" w:hAnsiTheme="majorBidi" w:cstheme="majorBidi"/>
                <w:sz w:val="20"/>
                <w:szCs w:val="20"/>
              </w:rPr>
              <w:t xml:space="preserve"> ≤0.01%) at any time. To account for variations in real-world appointment scheduling, a window of ±1 month was applied to ELN-defined time points; if multiple assessments were available within the window, the one closest to the time point was used.</w:t>
            </w:r>
          </w:p>
          <w:p w:rsidR="00B331A1" w:rsidRPr="00FD56FC" w:rsidRDefault="00B331A1" w:rsidP="00BA6AE5">
            <w:pPr>
              <w:spacing w:after="0" w:line="240" w:lineRule="auto"/>
              <w:rPr>
                <w:rFonts w:ascii="Times New Roman" w:eastAsia="Times New Roman" w:hAnsi="Times New Roman" w:cs="Times New Roman"/>
                <w:color w:val="000000"/>
                <w:sz w:val="20"/>
                <w:szCs w:val="20"/>
                <w:lang w:eastAsia="en-GB"/>
              </w:rPr>
            </w:pPr>
          </w:p>
        </w:tc>
      </w:tr>
    </w:tbl>
    <w:p w:rsidR="00B331A1" w:rsidRDefault="00B331A1" w:rsidP="00B331A1">
      <w:pPr>
        <w:rPr>
          <w:rFonts w:asciiTheme="majorBidi" w:eastAsiaTheme="minorEastAsia" w:hAnsiTheme="majorBidi" w:cstheme="majorBidi"/>
          <w:b/>
          <w:sz w:val="24"/>
          <w:szCs w:val="24"/>
        </w:rPr>
      </w:pPr>
    </w:p>
    <w:p w:rsidR="00B331A1" w:rsidRDefault="00B331A1" w:rsidP="00B331A1">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br w:type="page"/>
      </w:r>
    </w:p>
    <w:p w:rsidR="00B331A1" w:rsidRDefault="00B331A1" w:rsidP="00B331A1">
      <w:pPr>
        <w:rPr>
          <w:rFonts w:asciiTheme="majorBidi" w:eastAsiaTheme="minorEastAsia" w:hAnsiTheme="majorBidi" w:cstheme="majorBidi"/>
          <w:b/>
          <w:sz w:val="24"/>
          <w:szCs w:val="24"/>
        </w:rPr>
      </w:pPr>
      <w:r w:rsidRPr="006311E1">
        <w:rPr>
          <w:rFonts w:asciiTheme="majorBidi" w:eastAsiaTheme="minorEastAsia" w:hAnsiTheme="majorBidi" w:cstheme="majorBidi"/>
          <w:b/>
          <w:sz w:val="24"/>
          <w:szCs w:val="24"/>
        </w:rPr>
        <w:lastRenderedPageBreak/>
        <w:t>Supplementary Fig 1. TKI treatment pathways and molecular responses for patients with ELN</w:t>
      </w:r>
      <w:r>
        <w:rPr>
          <w:rFonts w:asciiTheme="majorBidi" w:eastAsiaTheme="minorEastAsia" w:hAnsiTheme="majorBidi" w:cstheme="majorBidi"/>
          <w:b/>
          <w:sz w:val="24"/>
          <w:szCs w:val="24"/>
        </w:rPr>
        <w:t>-defined</w:t>
      </w:r>
      <w:r w:rsidRPr="006311E1">
        <w:rPr>
          <w:rFonts w:asciiTheme="majorBidi" w:eastAsiaTheme="minorEastAsia" w:hAnsiTheme="majorBidi" w:cstheme="majorBidi"/>
          <w:b/>
          <w:sz w:val="24"/>
          <w:szCs w:val="24"/>
        </w:rPr>
        <w:t xml:space="preserve"> optimal, warning, or failure responses while on </w:t>
      </w:r>
      <w:proofErr w:type="gramStart"/>
      <w:r w:rsidRPr="006311E1">
        <w:rPr>
          <w:rFonts w:asciiTheme="majorBidi" w:eastAsiaTheme="minorEastAsia" w:hAnsiTheme="majorBidi" w:cstheme="majorBidi"/>
          <w:b/>
          <w:sz w:val="24"/>
          <w:szCs w:val="24"/>
        </w:rPr>
        <w:t>second-line</w:t>
      </w:r>
      <w:proofErr w:type="gramEnd"/>
      <w:r w:rsidRPr="006311E1">
        <w:rPr>
          <w:rFonts w:asciiTheme="majorBidi" w:eastAsiaTheme="minorEastAsia" w:hAnsiTheme="majorBidi" w:cstheme="majorBidi"/>
          <w:b/>
          <w:sz w:val="24"/>
          <w:szCs w:val="24"/>
        </w:rPr>
        <w:t xml:space="preserve"> TKI</w:t>
      </w:r>
    </w:p>
    <w:p w:rsidR="00B331A1" w:rsidRDefault="00B331A1" w:rsidP="00B331A1">
      <w:pPr>
        <w:rPr>
          <w:rFonts w:asciiTheme="majorBidi" w:eastAsiaTheme="minorEastAsia" w:hAnsiTheme="majorBidi" w:cstheme="majorBidi"/>
          <w:sz w:val="24"/>
          <w:szCs w:val="24"/>
        </w:rPr>
      </w:pPr>
      <w:r>
        <w:rPr>
          <w:rFonts w:asciiTheme="majorBidi" w:eastAsiaTheme="minorEastAsia" w:hAnsiTheme="majorBidi" w:cstheme="majorBidi"/>
          <w:noProof/>
          <w:sz w:val="24"/>
          <w:szCs w:val="24"/>
          <w:lang w:eastAsia="en-GB"/>
        </w:rPr>
        <w:drawing>
          <wp:inline distT="0" distB="0" distL="0" distR="0" wp14:anchorId="04FAED9E" wp14:editId="297A7B60">
            <wp:extent cx="5067560" cy="3041806"/>
            <wp:effectExtent l="0" t="0" r="0" b="635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50BF18.tmp"/>
                    <pic:cNvPicPr/>
                  </pic:nvPicPr>
                  <pic:blipFill>
                    <a:blip r:embed="rId10">
                      <a:extLst>
                        <a:ext uri="{28A0092B-C50C-407E-A947-70E740481C1C}">
                          <a14:useLocalDpi xmlns:a14="http://schemas.microsoft.com/office/drawing/2010/main" val="0"/>
                        </a:ext>
                      </a:extLst>
                    </a:blip>
                    <a:stretch>
                      <a:fillRect/>
                    </a:stretch>
                  </pic:blipFill>
                  <pic:spPr>
                    <a:xfrm>
                      <a:off x="0" y="0"/>
                      <a:ext cx="5067560" cy="3041806"/>
                    </a:xfrm>
                    <a:prstGeom prst="rect">
                      <a:avLst/>
                    </a:prstGeom>
                  </pic:spPr>
                </pic:pic>
              </a:graphicData>
            </a:graphic>
          </wp:inline>
        </w:drawing>
      </w:r>
    </w:p>
    <w:p w:rsidR="00B331A1" w:rsidRPr="00D93C13" w:rsidRDefault="00B331A1" w:rsidP="00B331A1">
      <w:pPr>
        <w:rPr>
          <w:rFonts w:asciiTheme="majorBidi" w:eastAsiaTheme="minorEastAsia" w:hAnsiTheme="majorBidi" w:cstheme="majorBidi"/>
          <w:sz w:val="20"/>
          <w:szCs w:val="20"/>
        </w:rPr>
      </w:pPr>
      <w:r w:rsidRPr="00D93C13">
        <w:rPr>
          <w:rFonts w:asciiTheme="majorBidi" w:eastAsiaTheme="minorEastAsia" w:hAnsiTheme="majorBidi" w:cstheme="majorBidi"/>
          <w:sz w:val="20"/>
          <w:szCs w:val="20"/>
        </w:rPr>
        <w:t>Both patients with a warning response switched after a warning at a single ELN-defined milestone. MMR or DMR response may have been observed at any time; duration of follow up varied; patient may have had ≥1 subsequent TKI switch.</w:t>
      </w:r>
    </w:p>
    <w:p w:rsidR="00B331A1" w:rsidRDefault="00B331A1" w:rsidP="00B331A1">
      <w:pPr>
        <w:spacing w:after="0"/>
        <w:rPr>
          <w:rFonts w:asciiTheme="majorBidi" w:eastAsiaTheme="minorEastAsia" w:hAnsiTheme="majorBidi" w:cstheme="majorBidi"/>
          <w:sz w:val="24"/>
          <w:szCs w:val="24"/>
        </w:rPr>
      </w:pPr>
    </w:p>
    <w:p w:rsidR="00B331A1" w:rsidRPr="006311E1" w:rsidRDefault="00B331A1" w:rsidP="00B331A1">
      <w:pPr>
        <w:rPr>
          <w:rFonts w:asciiTheme="majorBidi" w:eastAsiaTheme="minorEastAsia" w:hAnsiTheme="majorBidi" w:cstheme="majorBidi"/>
          <w:b/>
          <w:sz w:val="24"/>
          <w:szCs w:val="24"/>
        </w:rPr>
      </w:pPr>
    </w:p>
    <w:p w:rsidR="00B331A1" w:rsidRPr="00F31F85" w:rsidRDefault="00B331A1" w:rsidP="00B331A1"/>
    <w:p w:rsidR="00B331A1" w:rsidRPr="00F31F85" w:rsidRDefault="00B331A1" w:rsidP="00B331A1"/>
    <w:p w:rsidR="00B331A1" w:rsidRDefault="00B331A1" w:rsidP="00B331A1"/>
    <w:p w:rsidR="00B331A1" w:rsidRDefault="00B331A1" w:rsidP="00B331A1"/>
    <w:p w:rsidR="00FF5FC9" w:rsidRPr="00F31F85" w:rsidRDefault="00FF5FC9"/>
    <w:sectPr w:rsidR="00FF5FC9" w:rsidRPr="00F31F85" w:rsidSect="006128A9">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1A1" w:rsidRDefault="00B331A1" w:rsidP="00B331A1">
      <w:pPr>
        <w:spacing w:after="0" w:line="240" w:lineRule="auto"/>
      </w:pPr>
      <w:r>
        <w:separator/>
      </w:r>
    </w:p>
  </w:endnote>
  <w:endnote w:type="continuationSeparator" w:id="0">
    <w:p w:rsidR="00B331A1" w:rsidRDefault="00B331A1" w:rsidP="00B3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roid 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vOT46dcae81">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256698"/>
      <w:docPartObj>
        <w:docPartGallery w:val="Page Numbers (Bottom of Page)"/>
        <w:docPartUnique/>
      </w:docPartObj>
    </w:sdtPr>
    <w:sdtEndPr>
      <w:rPr>
        <w:noProof/>
      </w:rPr>
    </w:sdtEndPr>
    <w:sdtContent>
      <w:p w:rsidR="00AB4D9C" w:rsidRDefault="00B33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B4D9C" w:rsidRDefault="00A53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1A1" w:rsidRDefault="00B331A1" w:rsidP="00B331A1">
      <w:pPr>
        <w:spacing w:after="0" w:line="240" w:lineRule="auto"/>
      </w:pPr>
      <w:r>
        <w:separator/>
      </w:r>
    </w:p>
  </w:footnote>
  <w:footnote w:type="continuationSeparator" w:id="0">
    <w:p w:rsidR="00B331A1" w:rsidRDefault="00B331A1" w:rsidP="00B33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44271"/>
    <w:multiLevelType w:val="hybridMultilevel"/>
    <w:tmpl w:val="03B22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C0485"/>
    <w:multiLevelType w:val="hybridMultilevel"/>
    <w:tmpl w:val="413E6F24"/>
    <w:lvl w:ilvl="0" w:tplc="1EBC78A8">
      <w:start w:val="2"/>
      <w:numFmt w:val="bullet"/>
      <w:lvlText w:val="-"/>
      <w:lvlJc w:val="left"/>
      <w:pPr>
        <w:ind w:left="410" w:hanging="360"/>
      </w:pPr>
      <w:rPr>
        <w:rFonts w:ascii="Calibri" w:eastAsiaTheme="minorHAnsi" w:hAnsi="Calibri" w:cs="Calibri" w:hint="default"/>
        <w:i w:val="0"/>
        <w:color w:val="auto"/>
        <w:sz w:val="20"/>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9463B02"/>
    <w:multiLevelType w:val="hybridMultilevel"/>
    <w:tmpl w:val="39C6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4F0"/>
    <w:multiLevelType w:val="hybridMultilevel"/>
    <w:tmpl w:val="10029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A3632"/>
    <w:multiLevelType w:val="hybridMultilevel"/>
    <w:tmpl w:val="C69CF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42F74"/>
    <w:multiLevelType w:val="hybridMultilevel"/>
    <w:tmpl w:val="7A6AB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57F95"/>
    <w:multiLevelType w:val="hybridMultilevel"/>
    <w:tmpl w:val="7F58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2130E"/>
    <w:multiLevelType w:val="hybridMultilevel"/>
    <w:tmpl w:val="4DC28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A1C9C"/>
    <w:multiLevelType w:val="hybridMultilevel"/>
    <w:tmpl w:val="7CB4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66378"/>
    <w:multiLevelType w:val="hybridMultilevel"/>
    <w:tmpl w:val="70F03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A5C9B"/>
    <w:multiLevelType w:val="hybridMultilevel"/>
    <w:tmpl w:val="F59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E1576"/>
    <w:multiLevelType w:val="hybridMultilevel"/>
    <w:tmpl w:val="EDD48574"/>
    <w:lvl w:ilvl="0" w:tplc="2CB22296">
      <w:start w:val="52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3704F88A">
      <w:numFmt w:val="bullet"/>
      <w:lvlText w:val="•"/>
      <w:lvlJc w:val="left"/>
      <w:pPr>
        <w:ind w:left="2160" w:hanging="360"/>
      </w:pPr>
      <w:rPr>
        <w:rFonts w:ascii="Calibri" w:eastAsia="SimSun" w:hAnsi="Calibri" w:cstheme="minorBid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B2149"/>
    <w:multiLevelType w:val="hybridMultilevel"/>
    <w:tmpl w:val="693A6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E3D6B"/>
    <w:multiLevelType w:val="hybridMultilevel"/>
    <w:tmpl w:val="F74E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5"/>
  </w:num>
  <w:num w:numId="5">
    <w:abstractNumId w:val="9"/>
  </w:num>
  <w:num w:numId="6">
    <w:abstractNumId w:val="3"/>
  </w:num>
  <w:num w:numId="7">
    <w:abstractNumId w:val="13"/>
  </w:num>
  <w:num w:numId="8">
    <w:abstractNumId w:val="4"/>
  </w:num>
  <w:num w:numId="9">
    <w:abstractNumId w:val="7"/>
  </w:num>
  <w:num w:numId="10">
    <w:abstractNumId w:val="2"/>
  </w:num>
  <w:num w:numId="11">
    <w:abstractNumId w:val="12"/>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A1"/>
    <w:rsid w:val="000A6810"/>
    <w:rsid w:val="004D0E76"/>
    <w:rsid w:val="00631486"/>
    <w:rsid w:val="00A53B8B"/>
    <w:rsid w:val="00B331A1"/>
    <w:rsid w:val="00F31F8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5258E0B-4303-4AFA-BB18-B33AF295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31A1"/>
    <w:rPr>
      <w:rFonts w:asciiTheme="minorHAnsi" w:hAnsiTheme="minorHAnsi" w:cstheme="minorBidi"/>
      <w:sz w:val="22"/>
      <w:szCs w:val="22"/>
      <w:lang w:val="en-GB"/>
    </w:rPr>
  </w:style>
  <w:style w:type="paragraph" w:styleId="Heading1">
    <w:name w:val="heading 1"/>
    <w:basedOn w:val="Normal"/>
    <w:link w:val="Heading1Char"/>
    <w:uiPriority w:val="9"/>
    <w:qFormat/>
    <w:rsid w:val="00B331A1"/>
    <w:pPr>
      <w:spacing w:before="161" w:after="161" w:line="540" w:lineRule="atLeast"/>
      <w:outlineLvl w:val="0"/>
    </w:pPr>
    <w:rPr>
      <w:rFonts w:ascii="Droid Serif" w:eastAsia="Times New Roman" w:hAnsi="Droid Serif" w:cs="Times New Roman"/>
      <w:b/>
      <w:bCs/>
      <w:color w:val="333333"/>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1A1"/>
    <w:rPr>
      <w:rFonts w:ascii="Droid Serif" w:eastAsia="Times New Roman" w:hAnsi="Droid Serif" w:cs="Times New Roman"/>
      <w:b/>
      <w:bCs/>
      <w:color w:val="333333"/>
      <w:kern w:val="36"/>
      <w:sz w:val="48"/>
      <w:szCs w:val="48"/>
      <w:lang w:val="en-GB" w:eastAsia="en-GB"/>
    </w:rPr>
  </w:style>
  <w:style w:type="character" w:styleId="CommentReference">
    <w:name w:val="annotation reference"/>
    <w:basedOn w:val="DefaultParagraphFont"/>
    <w:uiPriority w:val="99"/>
    <w:semiHidden/>
    <w:unhideWhenUsed/>
    <w:rsid w:val="00B331A1"/>
    <w:rPr>
      <w:sz w:val="16"/>
      <w:szCs w:val="16"/>
    </w:rPr>
  </w:style>
  <w:style w:type="paragraph" w:styleId="CommentText">
    <w:name w:val="annotation text"/>
    <w:basedOn w:val="Normal"/>
    <w:link w:val="CommentTextChar"/>
    <w:uiPriority w:val="99"/>
    <w:unhideWhenUsed/>
    <w:rsid w:val="00B331A1"/>
    <w:pPr>
      <w:spacing w:line="240" w:lineRule="auto"/>
    </w:pPr>
    <w:rPr>
      <w:sz w:val="20"/>
      <w:szCs w:val="20"/>
    </w:rPr>
  </w:style>
  <w:style w:type="character" w:customStyle="1" w:styleId="CommentTextChar">
    <w:name w:val="Comment Text Char"/>
    <w:basedOn w:val="DefaultParagraphFont"/>
    <w:link w:val="CommentText"/>
    <w:uiPriority w:val="99"/>
    <w:rsid w:val="00B331A1"/>
    <w:rPr>
      <w:rFonts w:asciiTheme="minorHAnsi" w:hAnsiTheme="minorHAnsi" w:cstheme="minorBidi"/>
      <w:lang w:val="en-GB"/>
    </w:rPr>
  </w:style>
  <w:style w:type="character" w:customStyle="1" w:styleId="CommentSubjectChar">
    <w:name w:val="Comment Subject Char"/>
    <w:basedOn w:val="CommentTextChar"/>
    <w:link w:val="CommentSubject"/>
    <w:uiPriority w:val="99"/>
    <w:semiHidden/>
    <w:rsid w:val="00B331A1"/>
    <w:rPr>
      <w:rFonts w:asciiTheme="minorHAnsi" w:hAnsiTheme="minorHAnsi" w:cstheme="minorBidi"/>
      <w:b/>
      <w:bCs/>
      <w:lang w:val="en-GB"/>
    </w:rPr>
  </w:style>
  <w:style w:type="paragraph" w:styleId="CommentSubject">
    <w:name w:val="annotation subject"/>
    <w:basedOn w:val="CommentText"/>
    <w:next w:val="CommentText"/>
    <w:link w:val="CommentSubjectChar"/>
    <w:uiPriority w:val="99"/>
    <w:semiHidden/>
    <w:unhideWhenUsed/>
    <w:rsid w:val="00B331A1"/>
    <w:rPr>
      <w:b/>
      <w:bCs/>
    </w:rPr>
  </w:style>
  <w:style w:type="character" w:customStyle="1" w:styleId="CommentSubjectChar1">
    <w:name w:val="Comment Subject Char1"/>
    <w:basedOn w:val="CommentTextChar"/>
    <w:uiPriority w:val="99"/>
    <w:semiHidden/>
    <w:rsid w:val="00B331A1"/>
    <w:rPr>
      <w:rFonts w:asciiTheme="minorHAnsi" w:hAnsiTheme="minorHAnsi" w:cstheme="minorBidi"/>
      <w:b/>
      <w:bCs/>
      <w:lang w:val="en-GB"/>
    </w:rPr>
  </w:style>
  <w:style w:type="character" w:customStyle="1" w:styleId="BalloonTextChar">
    <w:name w:val="Balloon Text Char"/>
    <w:basedOn w:val="DefaultParagraphFont"/>
    <w:link w:val="BalloonText"/>
    <w:uiPriority w:val="99"/>
    <w:semiHidden/>
    <w:rsid w:val="00B331A1"/>
    <w:rPr>
      <w:rFonts w:ascii="Segoe UI" w:hAnsi="Segoe UI" w:cs="Segoe UI"/>
      <w:sz w:val="18"/>
      <w:szCs w:val="18"/>
      <w:lang w:val="en-GB"/>
    </w:rPr>
  </w:style>
  <w:style w:type="paragraph" w:styleId="BalloonText">
    <w:name w:val="Balloon Text"/>
    <w:basedOn w:val="Normal"/>
    <w:link w:val="BalloonTextChar"/>
    <w:uiPriority w:val="99"/>
    <w:semiHidden/>
    <w:unhideWhenUsed/>
    <w:rsid w:val="00B331A1"/>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331A1"/>
    <w:rPr>
      <w:rFonts w:ascii="Segoe UI" w:hAnsi="Segoe UI" w:cs="Segoe UI"/>
      <w:sz w:val="18"/>
      <w:szCs w:val="18"/>
      <w:lang w:val="en-GB"/>
    </w:rPr>
  </w:style>
  <w:style w:type="character" w:styleId="Hyperlink">
    <w:name w:val="Hyperlink"/>
    <w:basedOn w:val="DefaultParagraphFont"/>
    <w:uiPriority w:val="99"/>
    <w:unhideWhenUsed/>
    <w:rsid w:val="00B331A1"/>
    <w:rPr>
      <w:color w:val="0563C1" w:themeColor="hyperlink"/>
      <w:u w:val="single"/>
    </w:rPr>
  </w:style>
  <w:style w:type="paragraph" w:styleId="ListParagraph">
    <w:name w:val="List Paragraph"/>
    <w:basedOn w:val="Normal"/>
    <w:uiPriority w:val="34"/>
    <w:qFormat/>
    <w:rsid w:val="00B331A1"/>
    <w:pPr>
      <w:ind w:left="720"/>
      <w:contextualSpacing/>
    </w:pPr>
  </w:style>
  <w:style w:type="table" w:styleId="TableGrid">
    <w:name w:val="Table Grid"/>
    <w:basedOn w:val="TableNormal"/>
    <w:uiPriority w:val="59"/>
    <w:rsid w:val="00B331A1"/>
    <w:pPr>
      <w:spacing w:after="0" w:line="240" w:lineRule="auto"/>
    </w:pPr>
    <w:rPr>
      <w:rFonts w:asciiTheme="minorHAnsi" w:eastAsia="SimSu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31A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33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1A1"/>
    <w:rPr>
      <w:rFonts w:asciiTheme="minorHAnsi" w:hAnsiTheme="minorHAnsi" w:cstheme="minorBidi"/>
      <w:sz w:val="22"/>
      <w:szCs w:val="22"/>
      <w:lang w:val="en-GB"/>
    </w:rPr>
  </w:style>
  <w:style w:type="paragraph" w:styleId="Footer">
    <w:name w:val="footer"/>
    <w:basedOn w:val="Normal"/>
    <w:link w:val="FooterChar"/>
    <w:uiPriority w:val="99"/>
    <w:unhideWhenUsed/>
    <w:rsid w:val="00B33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1A1"/>
    <w:rPr>
      <w:rFonts w:asciiTheme="minorHAnsi" w:hAnsiTheme="minorHAnsi" w:cstheme="minorBidi"/>
      <w:sz w:val="22"/>
      <w:szCs w:val="22"/>
      <w:lang w:val="en-GB"/>
    </w:rPr>
  </w:style>
  <w:style w:type="paragraph" w:customStyle="1" w:styleId="Default">
    <w:name w:val="Default"/>
    <w:rsid w:val="00B331A1"/>
    <w:pPr>
      <w:autoSpaceDE w:val="0"/>
      <w:autoSpaceDN w:val="0"/>
      <w:adjustRightInd w:val="0"/>
      <w:spacing w:after="0" w:line="240" w:lineRule="auto"/>
    </w:pPr>
    <w:rPr>
      <w:color w:val="000000"/>
      <w:sz w:val="24"/>
      <w:szCs w:val="24"/>
    </w:rPr>
  </w:style>
  <w:style w:type="character" w:styleId="LineNumber">
    <w:name w:val="line number"/>
    <w:basedOn w:val="DefaultParagraphFont"/>
    <w:uiPriority w:val="99"/>
    <w:semiHidden/>
    <w:unhideWhenUsed/>
    <w:rsid w:val="00B331A1"/>
  </w:style>
  <w:style w:type="character" w:customStyle="1" w:styleId="jrnl">
    <w:name w:val="jrnl"/>
    <w:basedOn w:val="DefaultParagraphFont"/>
    <w:rsid w:val="00B331A1"/>
  </w:style>
  <w:style w:type="character" w:customStyle="1" w:styleId="nlmarticle-title">
    <w:name w:val="nlm_article-title"/>
    <w:basedOn w:val="DefaultParagraphFont"/>
    <w:rsid w:val="00B331A1"/>
  </w:style>
  <w:style w:type="character" w:customStyle="1" w:styleId="titledefault">
    <w:name w:val="title_default"/>
    <w:basedOn w:val="DefaultParagraphFont"/>
    <w:rsid w:val="00B331A1"/>
  </w:style>
  <w:style w:type="character" w:customStyle="1" w:styleId="author">
    <w:name w:val="author"/>
    <w:basedOn w:val="DefaultParagraphFont"/>
    <w:rsid w:val="00B331A1"/>
  </w:style>
  <w:style w:type="character" w:customStyle="1" w:styleId="articletitle">
    <w:name w:val="articletitle"/>
    <w:basedOn w:val="DefaultParagraphFont"/>
    <w:rsid w:val="00B331A1"/>
  </w:style>
  <w:style w:type="character" w:customStyle="1" w:styleId="journaltitle4">
    <w:name w:val="journaltitle4"/>
    <w:basedOn w:val="DefaultParagraphFont"/>
    <w:rsid w:val="00B331A1"/>
    <w:rPr>
      <w:i/>
      <w:iCs/>
    </w:rPr>
  </w:style>
  <w:style w:type="character" w:customStyle="1" w:styleId="pubyear">
    <w:name w:val="pubyear"/>
    <w:basedOn w:val="DefaultParagraphFont"/>
    <w:rsid w:val="00B331A1"/>
  </w:style>
  <w:style w:type="character" w:customStyle="1" w:styleId="vol3">
    <w:name w:val="vol3"/>
    <w:basedOn w:val="DefaultParagraphFont"/>
    <w:rsid w:val="00B331A1"/>
    <w:rPr>
      <w:b/>
      <w:bCs/>
    </w:rPr>
  </w:style>
  <w:style w:type="character" w:customStyle="1" w:styleId="pagefirst">
    <w:name w:val="pagefirst"/>
    <w:basedOn w:val="DefaultParagraphFont"/>
    <w:rsid w:val="00B331A1"/>
  </w:style>
  <w:style w:type="character" w:customStyle="1" w:styleId="pagelast">
    <w:name w:val="pagelast"/>
    <w:basedOn w:val="DefaultParagraphFont"/>
    <w:rsid w:val="00B331A1"/>
  </w:style>
  <w:style w:type="paragraph" w:styleId="Bibliography">
    <w:name w:val="Bibliography"/>
    <w:basedOn w:val="Normal"/>
    <w:next w:val="Normal"/>
    <w:uiPriority w:val="37"/>
    <w:unhideWhenUsed/>
    <w:rsid w:val="00B331A1"/>
  </w:style>
  <w:style w:type="paragraph" w:customStyle="1" w:styleId="Text">
    <w:name w:val="Text"/>
    <w:basedOn w:val="Normal"/>
    <w:link w:val="TextChar1"/>
    <w:rsid w:val="00B331A1"/>
    <w:pPr>
      <w:spacing w:before="120" w:after="0" w:line="240" w:lineRule="auto"/>
      <w:jc w:val="both"/>
    </w:pPr>
    <w:rPr>
      <w:rFonts w:ascii="Times New Roman" w:eastAsia="MS Mincho" w:hAnsi="Times New Roman" w:cs="Times New Roman"/>
      <w:sz w:val="24"/>
      <w:szCs w:val="20"/>
      <w:lang w:val="en-US" w:eastAsia="zh-CN"/>
    </w:rPr>
  </w:style>
  <w:style w:type="character" w:customStyle="1" w:styleId="TextChar1">
    <w:name w:val="Text Char1"/>
    <w:link w:val="Text"/>
    <w:rsid w:val="00B331A1"/>
    <w:rPr>
      <w:rFonts w:ascii="Times New Roman" w:eastAsia="MS Mincho" w:hAnsi="Times New Roman" w:cs="Times New Roman"/>
      <w:sz w:val="24"/>
      <w:lang w:eastAsia="zh-CN"/>
    </w:rPr>
  </w:style>
  <w:style w:type="paragraph" w:styleId="Revision">
    <w:name w:val="Revision"/>
    <w:hidden/>
    <w:uiPriority w:val="99"/>
    <w:semiHidden/>
    <w:rsid w:val="00B331A1"/>
    <w:pPr>
      <w:spacing w:after="0" w:line="240" w:lineRule="auto"/>
    </w:pPr>
    <w:rPr>
      <w:rFonts w:asciiTheme="minorHAnsi" w:hAnsiTheme="minorHAnsi" w:cstheme="minorBidi"/>
      <w:sz w:val="22"/>
      <w:szCs w:val="22"/>
      <w:lang w:val="en-GB"/>
    </w:rPr>
  </w:style>
  <w:style w:type="paragraph" w:customStyle="1" w:styleId="EndNoteBibliographyTitle">
    <w:name w:val="EndNote Bibliography Title"/>
    <w:basedOn w:val="Normal"/>
    <w:link w:val="EndNoteBibliographyTitleChar"/>
    <w:rsid w:val="00B331A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331A1"/>
    <w:rPr>
      <w:rFonts w:ascii="Calibri" w:hAnsi="Calibri" w:cs="Calibri"/>
      <w:noProof/>
      <w:sz w:val="22"/>
      <w:szCs w:val="22"/>
    </w:rPr>
  </w:style>
  <w:style w:type="paragraph" w:customStyle="1" w:styleId="EndNoteBibliography">
    <w:name w:val="EndNote Bibliography"/>
    <w:basedOn w:val="Normal"/>
    <w:link w:val="EndNoteBibliographyChar"/>
    <w:rsid w:val="00B331A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331A1"/>
    <w:rPr>
      <w:rFonts w:ascii="Calibr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15519</Words>
  <Characters>88464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103776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Jacqueline</dc:creator>
  <cp:keywords/>
  <dc:description/>
  <cp:lastModifiedBy>Wallis C.M.</cp:lastModifiedBy>
  <cp:revision>4</cp:revision>
  <cp:lastPrinted>2020-04-21T07:43:00Z</cp:lastPrinted>
  <dcterms:created xsi:type="dcterms:W3CDTF">2020-04-21T07:42:00Z</dcterms:created>
  <dcterms:modified xsi:type="dcterms:W3CDTF">2020-04-21T07:47:00Z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RYANJA5@novartis.net</vt:lpwstr>
  </property>
  <property fmtid="{D5CDD505-2E9C-101B-9397-08002B2CF9AE}" pid="5" name="MSIP_Label_4929bff8-5b33-42aa-95d2-28f72e792cb0_SetDate">
    <vt:lpwstr>2020-01-13T12:30:51.4035755Z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cd76cce7-aec2-40f1-aab3-f6258307b2ae</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