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4F" w:rsidRDefault="00DE4280" w:rsidP="00DE4280">
      <w:pPr>
        <w:pStyle w:val="Heading1"/>
      </w:pPr>
      <w:bookmarkStart w:id="0" w:name="_GoBack"/>
      <w:bookmarkEnd w:id="0"/>
      <w:r>
        <w:t>Tables</w:t>
      </w:r>
    </w:p>
    <w:p w:rsidR="00FC1747" w:rsidRDefault="00FC1747" w:rsidP="001E3F7F">
      <w:pPr>
        <w:pStyle w:val="Caption"/>
        <w:keepNext/>
        <w:keepLines/>
      </w:pPr>
    </w:p>
    <w:p w:rsidR="001E3F7F" w:rsidRDefault="001E3F7F" w:rsidP="001E3F7F">
      <w:pPr>
        <w:pStyle w:val="Caption"/>
        <w:keepNext/>
        <w:keepLines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 w:rsidR="00D75D08">
        <w:t xml:space="preserve"> Pharmacy diabetes i</w:t>
      </w:r>
      <w:r w:rsidRPr="008439A4">
        <w:t>nte</w:t>
      </w:r>
      <w:r w:rsidR="00D75D08">
        <w:t>rvention studies included in this</w:t>
      </w:r>
      <w:r w:rsidRPr="008439A4">
        <w:t xml:space="preserve"> review</w:t>
      </w:r>
    </w:p>
    <w:tbl>
      <w:tblPr>
        <w:tblStyle w:val="TableGrid"/>
        <w:tblW w:w="5539" w:type="pct"/>
        <w:tblInd w:w="-714" w:type="dxa"/>
        <w:tblLook w:val="04A0" w:firstRow="1" w:lastRow="0" w:firstColumn="1" w:lastColumn="0" w:noHBand="0" w:noVBand="1"/>
      </w:tblPr>
      <w:tblGrid>
        <w:gridCol w:w="3119"/>
        <w:gridCol w:w="1418"/>
        <w:gridCol w:w="1276"/>
        <w:gridCol w:w="2411"/>
        <w:gridCol w:w="1134"/>
        <w:gridCol w:w="6094"/>
      </w:tblGrid>
      <w:tr w:rsidR="001E3F7F" w:rsidTr="0053404F">
        <w:tc>
          <w:tcPr>
            <w:tcW w:w="1009" w:type="pct"/>
          </w:tcPr>
          <w:p w:rsidR="00447BCA" w:rsidRPr="008B7145" w:rsidRDefault="00447BCA" w:rsidP="001E3F7F">
            <w:pPr>
              <w:rPr>
                <w:b/>
                <w:sz w:val="16"/>
                <w:szCs w:val="16"/>
              </w:rPr>
            </w:pPr>
            <w:r w:rsidRPr="008B7145">
              <w:rPr>
                <w:b/>
                <w:sz w:val="16"/>
                <w:szCs w:val="16"/>
              </w:rPr>
              <w:t>Paper</w:t>
            </w:r>
          </w:p>
        </w:tc>
        <w:tc>
          <w:tcPr>
            <w:tcW w:w="459" w:type="pct"/>
          </w:tcPr>
          <w:p w:rsidR="00447BCA" w:rsidRPr="008B7145" w:rsidRDefault="00447BCA" w:rsidP="001E3F7F">
            <w:pPr>
              <w:rPr>
                <w:b/>
                <w:sz w:val="16"/>
                <w:szCs w:val="16"/>
              </w:rPr>
            </w:pPr>
            <w:r w:rsidRPr="008B7145">
              <w:rPr>
                <w:b/>
                <w:sz w:val="16"/>
                <w:szCs w:val="16"/>
              </w:rPr>
              <w:t>Type of Study</w:t>
            </w:r>
          </w:p>
        </w:tc>
        <w:tc>
          <w:tcPr>
            <w:tcW w:w="413" w:type="pct"/>
          </w:tcPr>
          <w:p w:rsidR="00447BCA" w:rsidRPr="008B7145" w:rsidRDefault="00447BCA" w:rsidP="001E3F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Participants</w:t>
            </w:r>
          </w:p>
        </w:tc>
        <w:tc>
          <w:tcPr>
            <w:tcW w:w="780" w:type="pct"/>
          </w:tcPr>
          <w:p w:rsidR="00447BCA" w:rsidRDefault="00447BCA" w:rsidP="001E3F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Intervention</w:t>
            </w:r>
          </w:p>
        </w:tc>
        <w:tc>
          <w:tcPr>
            <w:tcW w:w="367" w:type="pct"/>
          </w:tcPr>
          <w:p w:rsidR="00447BCA" w:rsidRDefault="00447BCA" w:rsidP="001E3F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Intervention Duration</w:t>
            </w:r>
          </w:p>
        </w:tc>
        <w:tc>
          <w:tcPr>
            <w:tcW w:w="1973" w:type="pct"/>
          </w:tcPr>
          <w:p w:rsidR="00447BCA" w:rsidRDefault="00447BCA" w:rsidP="001E3F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Results</w:t>
            </w:r>
          </w:p>
        </w:tc>
      </w:tr>
      <w:tr w:rsidR="001E3F7F" w:rsidTr="0053404F">
        <w:tc>
          <w:tcPr>
            <w:tcW w:w="1009" w:type="pct"/>
          </w:tcPr>
          <w:p w:rsidR="00447BCA" w:rsidRPr="008B7145" w:rsidRDefault="00447BCA" w:rsidP="001E3F7F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 xml:space="preserve">Ali M et al. Impact of community pharmacy diabetes monitoring and education programme on diabetes management: a randomized controlled study. </w:t>
            </w:r>
            <w:proofErr w:type="spellStart"/>
            <w:r w:rsidRPr="008B7145">
              <w:rPr>
                <w:sz w:val="16"/>
                <w:szCs w:val="16"/>
              </w:rPr>
              <w:t>Diabet</w:t>
            </w:r>
            <w:proofErr w:type="spellEnd"/>
            <w:r w:rsidRPr="008B7145">
              <w:rPr>
                <w:sz w:val="16"/>
                <w:szCs w:val="16"/>
              </w:rPr>
              <w:t xml:space="preserve"> Med. 2012</w:t>
            </w:r>
            <w:proofErr w:type="gramStart"/>
            <w:r w:rsidRPr="008B7145">
              <w:rPr>
                <w:sz w:val="16"/>
                <w:szCs w:val="16"/>
              </w:rPr>
              <w:t>;29</w:t>
            </w:r>
            <w:proofErr w:type="gramEnd"/>
            <w:r w:rsidRPr="008B7145">
              <w:rPr>
                <w:sz w:val="16"/>
                <w:szCs w:val="16"/>
              </w:rPr>
              <w:t>(9):e326-33.</w:t>
            </w:r>
          </w:p>
          <w:p w:rsidR="00447BCA" w:rsidRPr="007C7906" w:rsidRDefault="007C7906" w:rsidP="001E3F7F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[42]</w:t>
            </w:r>
          </w:p>
        </w:tc>
        <w:tc>
          <w:tcPr>
            <w:tcW w:w="459" w:type="pct"/>
          </w:tcPr>
          <w:p w:rsidR="00447BCA" w:rsidRPr="008B7145" w:rsidRDefault="00447BCA" w:rsidP="001E3F7F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Randomised Controlled Trial</w:t>
            </w:r>
          </w:p>
        </w:tc>
        <w:tc>
          <w:tcPr>
            <w:tcW w:w="413" w:type="pct"/>
          </w:tcPr>
          <w:p w:rsidR="00447BCA" w:rsidRDefault="00447BCA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Adults with </w:t>
            </w:r>
            <w:r w:rsidR="006B72EC">
              <w:rPr>
                <w:sz w:val="16"/>
                <w:szCs w:val="16"/>
              </w:rPr>
              <w:t xml:space="preserve">type </w:t>
            </w:r>
            <w:r>
              <w:rPr>
                <w:sz w:val="16"/>
                <w:szCs w:val="16"/>
              </w:rPr>
              <w:t>2 diabetes</w:t>
            </w:r>
          </w:p>
          <w:p w:rsidR="00447BCA" w:rsidRDefault="00447BCA" w:rsidP="001E3F7F">
            <w:pPr>
              <w:rPr>
                <w:sz w:val="16"/>
                <w:szCs w:val="16"/>
              </w:rPr>
            </w:pPr>
          </w:p>
          <w:p w:rsidR="00447BCA" w:rsidRPr="008B7145" w:rsidRDefault="00447BCA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participants</w:t>
            </w:r>
          </w:p>
        </w:tc>
        <w:tc>
          <w:tcPr>
            <w:tcW w:w="780" w:type="pct"/>
          </w:tcPr>
          <w:p w:rsidR="00447BCA" w:rsidRPr="00CE48CF" w:rsidRDefault="00447BCA" w:rsidP="001E3F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M</w:t>
            </w:r>
            <w:r w:rsidRPr="00CE48CF">
              <w:rPr>
                <w:rFonts w:cstheme="minorHAnsi"/>
                <w:sz w:val="16"/>
                <w:szCs w:val="16"/>
                <w:lang w:val="en"/>
              </w:rPr>
              <w:t>onitoring/counselling by a community pharmacist on six o</w:t>
            </w:r>
            <w:r>
              <w:rPr>
                <w:rFonts w:cstheme="minorHAnsi"/>
                <w:sz w:val="16"/>
                <w:szCs w:val="16"/>
                <w:lang w:val="en"/>
              </w:rPr>
              <w:t xml:space="preserve">ccasions over a 12-month period alongside an education </w:t>
            </w:r>
            <w:proofErr w:type="spellStart"/>
            <w:r>
              <w:rPr>
                <w:rFonts w:cstheme="minorHAnsi"/>
                <w:sz w:val="16"/>
                <w:szCs w:val="16"/>
                <w:lang w:val="en"/>
              </w:rPr>
              <w:t>programme</w:t>
            </w:r>
            <w:proofErr w:type="spellEnd"/>
            <w:r w:rsidRPr="00CE48CF">
              <w:rPr>
                <w:rFonts w:cstheme="minorHAnsi"/>
                <w:sz w:val="16"/>
                <w:szCs w:val="16"/>
                <w:lang w:val="en"/>
              </w:rPr>
              <w:t xml:space="preserve"> on diabetes, its treatment and associated cardiovascular risk factors.</w:t>
            </w:r>
          </w:p>
        </w:tc>
        <w:tc>
          <w:tcPr>
            <w:tcW w:w="367" w:type="pct"/>
          </w:tcPr>
          <w:p w:rsidR="00447BCA" w:rsidRPr="005D657F" w:rsidRDefault="00447BCA" w:rsidP="001E3F7F">
            <w:pPr>
              <w:rPr>
                <w:rFonts w:cstheme="minorHAnsi"/>
                <w:sz w:val="16"/>
                <w:szCs w:val="16"/>
                <w:lang w:val="en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12 months</w:t>
            </w:r>
          </w:p>
        </w:tc>
        <w:tc>
          <w:tcPr>
            <w:tcW w:w="1973" w:type="pct"/>
          </w:tcPr>
          <w:p w:rsidR="00447BCA" w:rsidRPr="005D657F" w:rsidRDefault="00447BCA">
            <w:pPr>
              <w:rPr>
                <w:rFonts w:cstheme="minorHAnsi"/>
                <w:sz w:val="16"/>
                <w:szCs w:val="16"/>
              </w:rPr>
            </w:pPr>
            <w:r w:rsidRPr="005D657F">
              <w:rPr>
                <w:rFonts w:cstheme="minorHAnsi"/>
                <w:sz w:val="16"/>
                <w:szCs w:val="16"/>
                <w:lang w:val="en"/>
              </w:rPr>
              <w:t>HbA</w:t>
            </w:r>
            <w:r w:rsidRPr="0053404F">
              <w:rPr>
                <w:rFonts w:cstheme="minorHAnsi"/>
                <w:sz w:val="16"/>
                <w:szCs w:val="16"/>
                <w:vertAlign w:val="subscript"/>
                <w:lang w:val="en"/>
              </w:rPr>
              <w:t>1c</w:t>
            </w:r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 fell from 66 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>/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 (8.2%) to 49 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>/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 (6.6%) (P &lt; 0.001) in </w:t>
            </w:r>
            <w:r w:rsidR="006B72EC">
              <w:rPr>
                <w:rFonts w:cstheme="minorHAnsi"/>
                <w:sz w:val="16"/>
                <w:szCs w:val="16"/>
                <w:lang w:val="en"/>
              </w:rPr>
              <w:t xml:space="preserve">the </w:t>
            </w:r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intervention group, compared with reduction from 65 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>/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 (8.1%) to 59 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>/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 (7.5%) in the control group (P = 0.03). Blood pressure fell from 146/87 to 126/81 mmHg in the intervention group (P = 0.01) compared with no significant change in the control group (136/86 to 139/82 mmHg). Significant reductions in BMI (30.8 to 27 kg/m</w:t>
            </w:r>
            <w:r w:rsidR="006B72EC" w:rsidRPr="0053404F">
              <w:rPr>
                <w:rFonts w:cstheme="minorHAnsi"/>
                <w:sz w:val="16"/>
                <w:szCs w:val="16"/>
                <w:vertAlign w:val="superscript"/>
                <w:lang w:val="en"/>
              </w:rPr>
              <w:t>2</w:t>
            </w:r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, P &lt; 0.001) and blood glucose (8.8 to 6.9 </w:t>
            </w:r>
            <w:proofErr w:type="spellStart"/>
            <w:r w:rsidRPr="005D657F">
              <w:rPr>
                <w:rFonts w:cstheme="minorHAnsi"/>
                <w:sz w:val="16"/>
                <w:szCs w:val="16"/>
                <w:lang w:val="en"/>
              </w:rPr>
              <w:t>mmol</w:t>
            </w:r>
            <w:proofErr w:type="spellEnd"/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/l, P &lt; 0.001) </w:t>
            </w:r>
            <w:proofErr w:type="gramStart"/>
            <w:r w:rsidRPr="005D657F">
              <w:rPr>
                <w:rFonts w:cstheme="minorHAnsi"/>
                <w:sz w:val="16"/>
                <w:szCs w:val="16"/>
                <w:lang w:val="en"/>
              </w:rPr>
              <w:t>were also observed</w:t>
            </w:r>
            <w:proofErr w:type="gramEnd"/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 in the intervention group as compared with no significant changes in the control group. Lipid profile changes were mixed. In the intervention group, improvements were seen in diabetes-related quality of life (P = 0.001), diabetes knowledge (P = 0.018), belief about the need for medication (P = 0.004) and reduced concerns regarding medication (P &lt; 0.001).</w:t>
            </w:r>
          </w:p>
        </w:tc>
      </w:tr>
      <w:tr w:rsidR="001E3F7F" w:rsidTr="0053404F">
        <w:tc>
          <w:tcPr>
            <w:tcW w:w="1009" w:type="pct"/>
          </w:tcPr>
          <w:p w:rsidR="00447BCA" w:rsidRDefault="00447BCA" w:rsidP="001E3F7F">
            <w:pPr>
              <w:rPr>
                <w:sz w:val="16"/>
                <w:szCs w:val="16"/>
              </w:rPr>
            </w:pPr>
            <w:proofErr w:type="spellStart"/>
            <w:r w:rsidRPr="008B7145">
              <w:rPr>
                <w:sz w:val="16"/>
                <w:szCs w:val="16"/>
              </w:rPr>
              <w:t>Obarcanin</w:t>
            </w:r>
            <w:proofErr w:type="spellEnd"/>
            <w:r w:rsidRPr="008B7145">
              <w:rPr>
                <w:sz w:val="16"/>
                <w:szCs w:val="16"/>
              </w:rPr>
              <w:t xml:space="preserve"> E et al, Pharmaceutical care of adolescents with diabetes mellitus type 1: the DIADEMA study, a randomized controlled trial. International Journal of Clinical Pharmacy. 2015</w:t>
            </w:r>
            <w:proofErr w:type="gramStart"/>
            <w:r w:rsidRPr="008B7145">
              <w:rPr>
                <w:sz w:val="16"/>
                <w:szCs w:val="16"/>
              </w:rPr>
              <w:t>;37</w:t>
            </w:r>
            <w:proofErr w:type="gramEnd"/>
            <w:r w:rsidRPr="008B7145">
              <w:rPr>
                <w:sz w:val="16"/>
                <w:szCs w:val="16"/>
              </w:rPr>
              <w:t>(5):790-8.</w:t>
            </w:r>
          </w:p>
          <w:p w:rsidR="007C7906" w:rsidRDefault="007C7906" w:rsidP="001E3F7F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[45]</w:t>
            </w:r>
          </w:p>
          <w:p w:rsidR="007C7906" w:rsidRPr="007C7906" w:rsidRDefault="007C7906" w:rsidP="001E3F7F">
            <w:pPr>
              <w:rPr>
                <w:b/>
                <w:sz w:val="16"/>
                <w:szCs w:val="16"/>
              </w:rPr>
            </w:pPr>
          </w:p>
        </w:tc>
        <w:tc>
          <w:tcPr>
            <w:tcW w:w="459" w:type="pct"/>
          </w:tcPr>
          <w:p w:rsidR="00447BCA" w:rsidRPr="008B7145" w:rsidRDefault="00447BCA" w:rsidP="001E3F7F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Randomised Controlled Trial</w:t>
            </w:r>
          </w:p>
        </w:tc>
        <w:tc>
          <w:tcPr>
            <w:tcW w:w="413" w:type="pct"/>
          </w:tcPr>
          <w:p w:rsidR="00447BCA" w:rsidRDefault="00447BCA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Adolescents with </w:t>
            </w:r>
            <w:r w:rsidR="00AF0C5A">
              <w:rPr>
                <w:sz w:val="16"/>
                <w:szCs w:val="16"/>
              </w:rPr>
              <w:t xml:space="preserve">type </w:t>
            </w:r>
            <w:r>
              <w:rPr>
                <w:sz w:val="16"/>
                <w:szCs w:val="16"/>
              </w:rPr>
              <w:t xml:space="preserve">1 diabetes </w:t>
            </w:r>
          </w:p>
          <w:p w:rsidR="00447BCA" w:rsidRDefault="00447BCA" w:rsidP="001E3F7F">
            <w:pPr>
              <w:rPr>
                <w:sz w:val="16"/>
                <w:szCs w:val="16"/>
              </w:rPr>
            </w:pPr>
          </w:p>
          <w:p w:rsidR="00447BCA" w:rsidRPr="008B7145" w:rsidRDefault="00447BCA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participants </w:t>
            </w:r>
          </w:p>
        </w:tc>
        <w:tc>
          <w:tcPr>
            <w:tcW w:w="780" w:type="pct"/>
          </w:tcPr>
          <w:p w:rsidR="00447BCA" w:rsidRPr="005D657F" w:rsidRDefault="00447BCA" w:rsidP="001E3F7F">
            <w:pPr>
              <w:rPr>
                <w:rFonts w:cstheme="minorHAnsi"/>
                <w:sz w:val="16"/>
                <w:szCs w:val="16"/>
              </w:rPr>
            </w:pPr>
            <w:r w:rsidRPr="005D657F">
              <w:rPr>
                <w:rFonts w:cstheme="minorHAnsi"/>
                <w:sz w:val="16"/>
                <w:szCs w:val="16"/>
                <w:lang w:val="en"/>
              </w:rPr>
              <w:t>Monthly structured pharmaceutical care visits delivered by pharmacists plus supplementary visits and phone calls on an as needed basis, for 6 months.</w:t>
            </w:r>
          </w:p>
        </w:tc>
        <w:tc>
          <w:tcPr>
            <w:tcW w:w="367" w:type="pct"/>
          </w:tcPr>
          <w:p w:rsidR="00447BCA" w:rsidRPr="005D657F" w:rsidRDefault="00447BCA" w:rsidP="001E3F7F">
            <w:pPr>
              <w:rPr>
                <w:rFonts w:cstheme="minorHAnsi"/>
                <w:sz w:val="16"/>
                <w:szCs w:val="16"/>
                <w:lang w:val="en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6 months</w:t>
            </w:r>
          </w:p>
        </w:tc>
        <w:tc>
          <w:tcPr>
            <w:tcW w:w="1973" w:type="pct"/>
          </w:tcPr>
          <w:p w:rsidR="00447BCA" w:rsidRPr="005D657F" w:rsidRDefault="00447BCA" w:rsidP="001E3F7F">
            <w:pPr>
              <w:rPr>
                <w:rFonts w:cstheme="minorHAnsi"/>
                <w:sz w:val="16"/>
                <w:szCs w:val="16"/>
              </w:rPr>
            </w:pPr>
            <w:r w:rsidRPr="005D657F">
              <w:rPr>
                <w:rFonts w:cstheme="minorHAnsi"/>
                <w:sz w:val="16"/>
                <w:szCs w:val="16"/>
                <w:lang w:val="en"/>
              </w:rPr>
              <w:t>The improvement from baseline in HbA</w:t>
            </w:r>
            <w:r w:rsidRPr="0053404F">
              <w:rPr>
                <w:rFonts w:cstheme="minorHAnsi"/>
                <w:sz w:val="16"/>
                <w:szCs w:val="16"/>
                <w:vertAlign w:val="subscript"/>
                <w:lang w:val="en"/>
              </w:rPr>
              <w:t>1c</w:t>
            </w:r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 was significantly greater in the intervention group than in the control group after 6 months (change from baseline −0.54 vs. +0.32 %, </w:t>
            </w:r>
            <w:r w:rsidRPr="005D657F">
              <w:rPr>
                <w:rFonts w:cstheme="minorHAnsi"/>
                <w:i/>
                <w:iCs/>
                <w:sz w:val="16"/>
                <w:szCs w:val="16"/>
                <w:lang w:val="en"/>
              </w:rPr>
              <w:t>p</w:t>
            </w:r>
            <w:r w:rsidRPr="005D657F">
              <w:rPr>
                <w:rFonts w:cstheme="minorHAnsi"/>
                <w:sz w:val="16"/>
                <w:szCs w:val="16"/>
                <w:lang w:val="en"/>
              </w:rPr>
              <w:t> = 0.0075), even after adjustment for country-specific variables (</w:t>
            </w:r>
            <w:r w:rsidRPr="005D657F">
              <w:rPr>
                <w:rFonts w:cstheme="minorHAnsi"/>
                <w:i/>
                <w:iCs/>
                <w:sz w:val="16"/>
                <w:szCs w:val="16"/>
                <w:lang w:val="en"/>
              </w:rPr>
              <w:t>p</w:t>
            </w:r>
            <w:r w:rsidRPr="005D657F">
              <w:rPr>
                <w:rFonts w:cstheme="minorHAnsi"/>
                <w:sz w:val="16"/>
                <w:szCs w:val="16"/>
                <w:lang w:val="en"/>
              </w:rPr>
              <w:t xml:space="preserve"> = 0.0078). However, the effect was more pronounced after only 3 months (−1.09 vs. +0.23 %, </w:t>
            </w:r>
            <w:r w:rsidRPr="005D657F">
              <w:rPr>
                <w:rFonts w:cstheme="minorHAnsi"/>
                <w:i/>
                <w:iCs/>
                <w:sz w:val="16"/>
                <w:szCs w:val="16"/>
                <w:lang w:val="en"/>
              </w:rPr>
              <w:t>p</w:t>
            </w:r>
            <w:r w:rsidRPr="005D657F">
              <w:rPr>
                <w:rFonts w:cstheme="minorHAnsi"/>
                <w:sz w:val="16"/>
                <w:szCs w:val="16"/>
                <w:lang w:val="en"/>
              </w:rPr>
              <w:t> = 0.00002). There was no significant between-group difference in the number of severe hypoglycemia events. (</w:t>
            </w:r>
            <w:r w:rsidRPr="005D657F">
              <w:rPr>
                <w:rFonts w:cstheme="minorHAnsi"/>
                <w:i/>
                <w:iCs/>
                <w:sz w:val="16"/>
                <w:szCs w:val="16"/>
                <w:lang w:val="en"/>
              </w:rPr>
              <w:t>p</w:t>
            </w:r>
            <w:r w:rsidRPr="005D657F">
              <w:rPr>
                <w:rFonts w:cstheme="minorHAnsi"/>
                <w:sz w:val="16"/>
                <w:szCs w:val="16"/>
                <w:lang w:val="en"/>
              </w:rPr>
              <w:t> = 0.1276).</w:t>
            </w:r>
          </w:p>
        </w:tc>
      </w:tr>
      <w:tr w:rsidR="001E3F7F" w:rsidTr="0053404F">
        <w:tc>
          <w:tcPr>
            <w:tcW w:w="1009" w:type="pct"/>
          </w:tcPr>
          <w:p w:rsidR="00447BCA" w:rsidRDefault="00447BCA" w:rsidP="001E3F7F">
            <w:pPr>
              <w:rPr>
                <w:sz w:val="16"/>
                <w:szCs w:val="16"/>
              </w:rPr>
            </w:pPr>
            <w:proofErr w:type="spellStart"/>
            <w:r w:rsidRPr="008B7145">
              <w:rPr>
                <w:sz w:val="16"/>
                <w:szCs w:val="16"/>
              </w:rPr>
              <w:t>Lauffenburger</w:t>
            </w:r>
            <w:proofErr w:type="spellEnd"/>
            <w:r w:rsidRPr="008B7145">
              <w:rPr>
                <w:sz w:val="16"/>
                <w:szCs w:val="16"/>
              </w:rPr>
              <w:t xml:space="preserve"> JC et al, Impact of a novel pharmacist-delivered </w:t>
            </w:r>
            <w:proofErr w:type="spellStart"/>
            <w:r w:rsidRPr="008B7145">
              <w:rPr>
                <w:sz w:val="16"/>
                <w:szCs w:val="16"/>
              </w:rPr>
              <w:t>behavioral</w:t>
            </w:r>
            <w:proofErr w:type="spellEnd"/>
            <w:r w:rsidRPr="008B7145">
              <w:rPr>
                <w:sz w:val="16"/>
                <w:szCs w:val="16"/>
              </w:rPr>
              <w:t xml:space="preserve"> intervention for patients with poorly-controlled diabetes: The </w:t>
            </w:r>
            <w:proofErr w:type="spellStart"/>
            <w:r w:rsidRPr="008B7145">
              <w:rPr>
                <w:sz w:val="16"/>
                <w:szCs w:val="16"/>
              </w:rPr>
              <w:t>ENhancing</w:t>
            </w:r>
            <w:proofErr w:type="spellEnd"/>
            <w:r w:rsidRPr="008B7145">
              <w:rPr>
                <w:sz w:val="16"/>
                <w:szCs w:val="16"/>
              </w:rPr>
              <w:t xml:space="preserve"> outcomes through Goal Assessment and Generating Engagement in Diabetes Mellitus (ENGAGE-DM) pragmatic randomized trial. PLOS ONE. 2019</w:t>
            </w:r>
            <w:proofErr w:type="gramStart"/>
            <w:r w:rsidRPr="008B7145">
              <w:rPr>
                <w:sz w:val="16"/>
                <w:szCs w:val="16"/>
              </w:rPr>
              <w:t>;14</w:t>
            </w:r>
            <w:proofErr w:type="gramEnd"/>
            <w:r w:rsidRPr="008B7145">
              <w:rPr>
                <w:sz w:val="16"/>
                <w:szCs w:val="16"/>
              </w:rPr>
              <w:t>(4):e0214754.</w:t>
            </w:r>
          </w:p>
          <w:p w:rsidR="007C7906" w:rsidRPr="007C7906" w:rsidRDefault="007C7906" w:rsidP="001E3F7F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[49]</w:t>
            </w:r>
          </w:p>
          <w:p w:rsidR="007C7906" w:rsidRPr="008B7145" w:rsidRDefault="007C7906" w:rsidP="001E3F7F">
            <w:pPr>
              <w:rPr>
                <w:sz w:val="16"/>
                <w:szCs w:val="16"/>
              </w:rPr>
            </w:pPr>
          </w:p>
        </w:tc>
        <w:tc>
          <w:tcPr>
            <w:tcW w:w="459" w:type="pct"/>
          </w:tcPr>
          <w:p w:rsidR="00447BCA" w:rsidRDefault="00447BCA" w:rsidP="001E3F7F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Randomised Controlled Trial</w:t>
            </w:r>
          </w:p>
          <w:p w:rsidR="005A60C8" w:rsidRPr="008B7145" w:rsidRDefault="005A60C8" w:rsidP="001E3F7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</w:tcPr>
          <w:p w:rsidR="00447BCA" w:rsidRPr="008B7145" w:rsidRDefault="00447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1400 </w:t>
            </w:r>
            <w:r w:rsidR="00AF0C5A">
              <w:rPr>
                <w:sz w:val="16"/>
                <w:szCs w:val="16"/>
              </w:rPr>
              <w:t xml:space="preserve">adults (age 18-64 </w:t>
            </w:r>
            <w:proofErr w:type="spellStart"/>
            <w:r w:rsidR="00AF0C5A">
              <w:rPr>
                <w:sz w:val="16"/>
                <w:szCs w:val="16"/>
              </w:rPr>
              <w:t>yr</w:t>
            </w:r>
            <w:proofErr w:type="spellEnd"/>
            <w:r w:rsidR="00AF0C5A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with type 2 diabetes</w:t>
            </w:r>
          </w:p>
        </w:tc>
        <w:tc>
          <w:tcPr>
            <w:tcW w:w="780" w:type="pct"/>
          </w:tcPr>
          <w:p w:rsidR="00447BCA" w:rsidRPr="00663345" w:rsidRDefault="00447BCA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"/>
              </w:rPr>
              <w:t>A t</w:t>
            </w:r>
            <w:r w:rsidRPr="00663345">
              <w:rPr>
                <w:sz w:val="16"/>
                <w:szCs w:val="16"/>
                <w:lang w:val="en"/>
              </w:rPr>
              <w:t xml:space="preserve">elephone </w:t>
            </w:r>
            <w:r>
              <w:rPr>
                <w:sz w:val="16"/>
                <w:szCs w:val="16"/>
                <w:lang w:val="en"/>
              </w:rPr>
              <w:t xml:space="preserve">intervention </w:t>
            </w:r>
            <w:r w:rsidRPr="00663345">
              <w:rPr>
                <w:sz w:val="16"/>
                <w:szCs w:val="16"/>
                <w:lang w:val="en"/>
              </w:rPr>
              <w:t xml:space="preserve">by a clinical pharmacist </w:t>
            </w:r>
            <w:r>
              <w:rPr>
                <w:sz w:val="16"/>
                <w:szCs w:val="16"/>
                <w:lang w:val="en"/>
              </w:rPr>
              <w:t>consisting</w:t>
            </w:r>
            <w:r w:rsidRPr="00663345">
              <w:rPr>
                <w:sz w:val="16"/>
                <w:szCs w:val="16"/>
                <w:lang w:val="en"/>
              </w:rPr>
              <w:t xml:space="preserve"> of a 2-step process that integrated brief negotiated interviewing and shared decision-making to identify patient goals and options for enhancing diabetes management.</w:t>
            </w:r>
          </w:p>
        </w:tc>
        <w:tc>
          <w:tcPr>
            <w:tcW w:w="367" w:type="pct"/>
          </w:tcPr>
          <w:p w:rsidR="00447BCA" w:rsidRPr="00F61C8A" w:rsidRDefault="005A60C8" w:rsidP="001E3F7F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12 months</w:t>
            </w:r>
          </w:p>
        </w:tc>
        <w:tc>
          <w:tcPr>
            <w:tcW w:w="1973" w:type="pct"/>
          </w:tcPr>
          <w:p w:rsidR="00447BCA" w:rsidRPr="00F61C8A" w:rsidRDefault="00447BCA" w:rsidP="001E3F7F">
            <w:pPr>
              <w:rPr>
                <w:rFonts w:cstheme="minorHAnsi"/>
                <w:sz w:val="16"/>
                <w:szCs w:val="16"/>
              </w:rPr>
            </w:pPr>
            <w:r w:rsidRPr="00F61C8A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Change in HbA</w:t>
            </w:r>
            <w:r w:rsidRPr="0053404F">
              <w:rPr>
                <w:rFonts w:cstheme="minorHAnsi"/>
                <w:color w:val="000000"/>
                <w:sz w:val="16"/>
                <w:szCs w:val="16"/>
                <w:shd w:val="clear" w:color="auto" w:fill="FFFFFF"/>
                <w:vertAlign w:val="subscript"/>
              </w:rPr>
              <w:t>1c</w:t>
            </w:r>
            <w:r w:rsidRPr="00F61C8A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from baseline was -0.79 (SD</w:t>
            </w:r>
            <w:proofErr w:type="gramStart"/>
            <w:r w:rsidRPr="00F61C8A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:2.01</w:t>
            </w:r>
            <w:proofErr w:type="gramEnd"/>
            <w:r w:rsidRPr="00F61C8A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) in the control arm and -0.75 (SD:1.76) in the intervention arm (difference:+0.04, 95%CI: -0.22, 0.30). There were no significant differences in adherence. In as-treated analyses, the intervention significantly improved diabetes control (-0.48, 95%CI: -0.91, -0.05). </w:t>
            </w:r>
          </w:p>
        </w:tc>
      </w:tr>
      <w:tr w:rsidR="001E3F7F" w:rsidTr="0053404F">
        <w:tc>
          <w:tcPr>
            <w:tcW w:w="1009" w:type="pct"/>
          </w:tcPr>
          <w:p w:rsidR="00447BCA" w:rsidRDefault="00447BCA" w:rsidP="001E3F7F">
            <w:pPr>
              <w:pStyle w:val="EndNoteBibliography"/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Syarifuddin S et al, Impact of Pharmacist Intervention on Improving the Quality of Life of Patients with Type 2 Diabetes Mellitus. Open Access Macedonian Journal Of Medical Sciences. 2019;7(8):1401-5.</w:t>
            </w:r>
          </w:p>
          <w:p w:rsidR="007C7906" w:rsidRPr="007C7906" w:rsidRDefault="007C7906" w:rsidP="001E3F7F">
            <w:pPr>
              <w:pStyle w:val="EndNoteBibliography"/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[41]</w:t>
            </w:r>
          </w:p>
          <w:p w:rsidR="00447BCA" w:rsidRPr="008B7145" w:rsidRDefault="00447BCA" w:rsidP="001E3F7F">
            <w:pPr>
              <w:rPr>
                <w:sz w:val="16"/>
                <w:szCs w:val="16"/>
              </w:rPr>
            </w:pPr>
          </w:p>
        </w:tc>
        <w:tc>
          <w:tcPr>
            <w:tcW w:w="459" w:type="pct"/>
          </w:tcPr>
          <w:p w:rsidR="00447BCA" w:rsidRPr="008B7145" w:rsidRDefault="00447BCA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Cohort Study</w:t>
            </w:r>
          </w:p>
        </w:tc>
        <w:tc>
          <w:tcPr>
            <w:tcW w:w="413" w:type="pct"/>
          </w:tcPr>
          <w:p w:rsidR="00447BCA" w:rsidRDefault="00447BCA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Adults with </w:t>
            </w:r>
            <w:r w:rsidR="00AF0C5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ype 2 diabetes</w:t>
            </w:r>
          </w:p>
          <w:p w:rsidR="00447BCA" w:rsidRDefault="00447BCA" w:rsidP="001E3F7F">
            <w:pPr>
              <w:rPr>
                <w:sz w:val="16"/>
                <w:szCs w:val="16"/>
              </w:rPr>
            </w:pPr>
          </w:p>
          <w:p w:rsidR="00447BCA" w:rsidRPr="008B7145" w:rsidRDefault="00447BCA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participants</w:t>
            </w:r>
          </w:p>
        </w:tc>
        <w:tc>
          <w:tcPr>
            <w:tcW w:w="780" w:type="pct"/>
          </w:tcPr>
          <w:p w:rsidR="00447BCA" w:rsidRPr="00662CA1" w:rsidRDefault="00447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"/>
              </w:rPr>
              <w:t>E</w:t>
            </w:r>
            <w:r w:rsidRPr="00662CA1">
              <w:rPr>
                <w:sz w:val="16"/>
                <w:szCs w:val="16"/>
                <w:lang w:val="en"/>
              </w:rPr>
              <w:t xml:space="preserve">ducation provided to the </w:t>
            </w:r>
            <w:r w:rsidR="00EB2998">
              <w:rPr>
                <w:sz w:val="16"/>
                <w:szCs w:val="16"/>
                <w:lang w:val="en"/>
              </w:rPr>
              <w:t>participants</w:t>
            </w:r>
            <w:r w:rsidR="00EB2998" w:rsidRPr="00662CA1">
              <w:rPr>
                <w:sz w:val="16"/>
                <w:szCs w:val="16"/>
                <w:lang w:val="en"/>
              </w:rPr>
              <w:t xml:space="preserve"> </w:t>
            </w:r>
            <w:r w:rsidRPr="00662CA1">
              <w:rPr>
                <w:sz w:val="16"/>
                <w:szCs w:val="16"/>
                <w:lang w:val="en"/>
              </w:rPr>
              <w:t xml:space="preserve">comprised </w:t>
            </w:r>
            <w:proofErr w:type="gramStart"/>
            <w:r w:rsidRPr="00662CA1">
              <w:rPr>
                <w:sz w:val="16"/>
                <w:szCs w:val="16"/>
                <w:lang w:val="en"/>
              </w:rPr>
              <w:t>lifestyle changes (physical activity and eating habit), adherence to the prescribed medications, and how to use and to store the medications</w:t>
            </w:r>
            <w:proofErr w:type="gramEnd"/>
            <w:r w:rsidRPr="00662CA1">
              <w:rPr>
                <w:sz w:val="16"/>
                <w:szCs w:val="16"/>
                <w:lang w:val="en"/>
              </w:rPr>
              <w:t>.</w:t>
            </w:r>
          </w:p>
        </w:tc>
        <w:tc>
          <w:tcPr>
            <w:tcW w:w="367" w:type="pct"/>
          </w:tcPr>
          <w:p w:rsidR="00447BCA" w:rsidRPr="00662CA1" w:rsidRDefault="00447BCA" w:rsidP="001E3F7F">
            <w:pPr>
              <w:rPr>
                <w:sz w:val="16"/>
                <w:szCs w:val="16"/>
                <w:lang w:val="en"/>
              </w:rPr>
            </w:pPr>
            <w:r>
              <w:rPr>
                <w:sz w:val="16"/>
                <w:szCs w:val="16"/>
                <w:lang w:val="en"/>
              </w:rPr>
              <w:t>3 months</w:t>
            </w:r>
          </w:p>
        </w:tc>
        <w:tc>
          <w:tcPr>
            <w:tcW w:w="1973" w:type="pct"/>
          </w:tcPr>
          <w:p w:rsidR="00447BCA" w:rsidRPr="00662CA1" w:rsidRDefault="00447BCA">
            <w:pPr>
              <w:rPr>
                <w:sz w:val="16"/>
                <w:szCs w:val="16"/>
              </w:rPr>
            </w:pPr>
            <w:r w:rsidRPr="00662CA1">
              <w:rPr>
                <w:sz w:val="16"/>
                <w:szCs w:val="16"/>
                <w:lang w:val="en"/>
              </w:rPr>
              <w:t xml:space="preserve">The mean QOL (in the score) of the </w:t>
            </w:r>
            <w:r w:rsidR="00AF0C5A">
              <w:rPr>
                <w:sz w:val="16"/>
                <w:szCs w:val="16"/>
                <w:lang w:val="en"/>
              </w:rPr>
              <w:t>participants</w:t>
            </w:r>
            <w:r w:rsidRPr="00662CA1">
              <w:rPr>
                <w:sz w:val="16"/>
                <w:szCs w:val="16"/>
                <w:lang w:val="en"/>
              </w:rPr>
              <w:t>: before the intervention, 61.07 ± 15.13</w:t>
            </w:r>
            <w:proofErr w:type="gramStart"/>
            <w:r w:rsidRPr="00662CA1">
              <w:rPr>
                <w:sz w:val="16"/>
                <w:szCs w:val="16"/>
                <w:lang w:val="en"/>
              </w:rPr>
              <w:t>;</w:t>
            </w:r>
            <w:proofErr w:type="gramEnd"/>
            <w:r w:rsidRPr="00662CA1">
              <w:rPr>
                <w:sz w:val="16"/>
                <w:szCs w:val="16"/>
                <w:lang w:val="en"/>
              </w:rPr>
              <w:t xml:space="preserve"> after the intervention, 70.15 ± 14.23, there was a significant difference between groups with and without interventions, p &lt; 0.001.</w:t>
            </w:r>
          </w:p>
        </w:tc>
      </w:tr>
      <w:tr w:rsidR="001E3F7F" w:rsidTr="0053404F">
        <w:trPr>
          <w:trHeight w:val="780"/>
        </w:trPr>
        <w:tc>
          <w:tcPr>
            <w:tcW w:w="1009" w:type="pct"/>
          </w:tcPr>
          <w:p w:rsidR="00447BCA" w:rsidRDefault="00447BCA" w:rsidP="001E3F7F">
            <w:pPr>
              <w:rPr>
                <w:sz w:val="16"/>
                <w:szCs w:val="16"/>
              </w:rPr>
            </w:pPr>
            <w:proofErr w:type="spellStart"/>
            <w:r w:rsidRPr="008B7145">
              <w:rPr>
                <w:sz w:val="16"/>
                <w:szCs w:val="16"/>
              </w:rPr>
              <w:lastRenderedPageBreak/>
              <w:t>Withidpanyawong</w:t>
            </w:r>
            <w:proofErr w:type="spellEnd"/>
            <w:r w:rsidRPr="008B7145">
              <w:rPr>
                <w:sz w:val="16"/>
                <w:szCs w:val="16"/>
              </w:rPr>
              <w:t xml:space="preserve"> U et al, Family-based intervention by pharmacists for type 2 diabetes: A randomised controlled trial. Patient education and </w:t>
            </w:r>
            <w:r w:rsidR="00A518F6" w:rsidRPr="008B7145">
              <w:rPr>
                <w:sz w:val="16"/>
                <w:szCs w:val="16"/>
              </w:rPr>
              <w:t>counselling</w:t>
            </w:r>
            <w:r w:rsidRPr="008B7145">
              <w:rPr>
                <w:sz w:val="16"/>
                <w:szCs w:val="16"/>
              </w:rPr>
              <w:t>. 2019</w:t>
            </w:r>
            <w:proofErr w:type="gramStart"/>
            <w:r w:rsidRPr="008B7145">
              <w:rPr>
                <w:sz w:val="16"/>
                <w:szCs w:val="16"/>
              </w:rPr>
              <w:t>;102</w:t>
            </w:r>
            <w:proofErr w:type="gramEnd"/>
            <w:r w:rsidRPr="008B7145">
              <w:rPr>
                <w:sz w:val="16"/>
                <w:szCs w:val="16"/>
              </w:rPr>
              <w:t>(1):85-92.</w:t>
            </w:r>
          </w:p>
          <w:p w:rsidR="007C7906" w:rsidRPr="007C7906" w:rsidRDefault="007C7906" w:rsidP="001E3F7F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[44]</w:t>
            </w:r>
          </w:p>
        </w:tc>
        <w:tc>
          <w:tcPr>
            <w:tcW w:w="459" w:type="pct"/>
          </w:tcPr>
          <w:p w:rsidR="00447BCA" w:rsidRPr="008B7145" w:rsidRDefault="00447BCA" w:rsidP="001E3F7F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Randomised Controlled Trial</w:t>
            </w:r>
          </w:p>
        </w:tc>
        <w:tc>
          <w:tcPr>
            <w:tcW w:w="413" w:type="pct"/>
          </w:tcPr>
          <w:p w:rsidR="00447BCA" w:rsidRDefault="00A518F6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Adults with </w:t>
            </w:r>
            <w:r w:rsidR="00BB1B5D">
              <w:rPr>
                <w:sz w:val="16"/>
                <w:szCs w:val="16"/>
              </w:rPr>
              <w:t xml:space="preserve">type </w:t>
            </w:r>
            <w:r>
              <w:rPr>
                <w:sz w:val="16"/>
                <w:szCs w:val="16"/>
              </w:rPr>
              <w:t>2 diabetes</w:t>
            </w:r>
          </w:p>
          <w:p w:rsidR="00A518F6" w:rsidRDefault="00A518F6" w:rsidP="001E3F7F">
            <w:pPr>
              <w:rPr>
                <w:sz w:val="16"/>
                <w:szCs w:val="16"/>
              </w:rPr>
            </w:pPr>
          </w:p>
          <w:p w:rsidR="00A518F6" w:rsidRPr="008B7145" w:rsidRDefault="00A518F6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participants</w:t>
            </w:r>
          </w:p>
        </w:tc>
        <w:tc>
          <w:tcPr>
            <w:tcW w:w="780" w:type="pct"/>
          </w:tcPr>
          <w:p w:rsidR="00447BCA" w:rsidRPr="00A518F6" w:rsidRDefault="00A518F6" w:rsidP="00A518F6">
            <w:pPr>
              <w:rPr>
                <w:rFonts w:cstheme="minorHAnsi"/>
                <w:sz w:val="16"/>
                <w:szCs w:val="16"/>
              </w:rPr>
            </w:pPr>
            <w:r w:rsidRPr="00A518F6">
              <w:rPr>
                <w:rFonts w:cstheme="minorHAnsi"/>
                <w:sz w:val="16"/>
                <w:szCs w:val="16"/>
                <w:lang w:val="en"/>
              </w:rPr>
              <w:t xml:space="preserve">A </w:t>
            </w:r>
            <w:r>
              <w:rPr>
                <w:rFonts w:cstheme="minorHAnsi"/>
                <w:sz w:val="16"/>
                <w:szCs w:val="16"/>
                <w:lang w:val="en"/>
              </w:rPr>
              <w:t xml:space="preserve">pharmacist delivered </w:t>
            </w:r>
            <w:r w:rsidRPr="00A518F6">
              <w:rPr>
                <w:rFonts w:cstheme="minorHAnsi"/>
                <w:sz w:val="16"/>
                <w:szCs w:val="16"/>
                <w:lang w:val="en"/>
              </w:rPr>
              <w:t>educational sessions and encouraged family members to take an active role in self-management practices.</w:t>
            </w:r>
          </w:p>
        </w:tc>
        <w:tc>
          <w:tcPr>
            <w:tcW w:w="367" w:type="pct"/>
          </w:tcPr>
          <w:p w:rsidR="00447BCA" w:rsidRPr="008B7145" w:rsidRDefault="00877805" w:rsidP="001E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months</w:t>
            </w:r>
          </w:p>
        </w:tc>
        <w:tc>
          <w:tcPr>
            <w:tcW w:w="1973" w:type="pct"/>
          </w:tcPr>
          <w:p w:rsidR="00447BCA" w:rsidRPr="00A518F6" w:rsidRDefault="00A518F6">
            <w:pPr>
              <w:rPr>
                <w:rFonts w:cstheme="minorHAnsi"/>
                <w:sz w:val="16"/>
                <w:szCs w:val="16"/>
              </w:rPr>
            </w:pPr>
            <w:r w:rsidRPr="00A518F6">
              <w:rPr>
                <w:rFonts w:cstheme="minorHAnsi"/>
                <w:sz w:val="16"/>
                <w:szCs w:val="16"/>
                <w:lang w:val="en"/>
              </w:rPr>
              <w:t xml:space="preserve">There was a greater reduction in glycated </w:t>
            </w:r>
            <w:proofErr w:type="spellStart"/>
            <w:r w:rsidRPr="00A518F6">
              <w:rPr>
                <w:rFonts w:cstheme="minorHAnsi"/>
                <w:sz w:val="16"/>
                <w:szCs w:val="16"/>
                <w:lang w:val="en"/>
              </w:rPr>
              <w:t>haemoglobin</w:t>
            </w:r>
            <w:proofErr w:type="spellEnd"/>
            <w:r w:rsidRPr="00A518F6">
              <w:rPr>
                <w:rFonts w:cstheme="minorHAnsi"/>
                <w:sz w:val="16"/>
                <w:szCs w:val="16"/>
                <w:lang w:val="en"/>
              </w:rPr>
              <w:t xml:space="preserve"> (HbA</w:t>
            </w:r>
            <w:r w:rsidRPr="00A518F6">
              <w:rPr>
                <w:rFonts w:cstheme="minorHAnsi"/>
                <w:sz w:val="16"/>
                <w:szCs w:val="16"/>
                <w:vertAlign w:val="subscript"/>
                <w:lang w:val="en"/>
              </w:rPr>
              <w:t>1c</w:t>
            </w:r>
            <w:r w:rsidRPr="00A518F6">
              <w:rPr>
                <w:rFonts w:cstheme="minorHAnsi"/>
                <w:sz w:val="16"/>
                <w:szCs w:val="16"/>
                <w:lang w:val="en"/>
              </w:rPr>
              <w:t xml:space="preserve">) in the intervention group than in the control group (−1.37% and −0.21%, respectively; P &lt; 0.001). Between-group differences in the improvements of low-density lipoprotein cholesterol (LDL-C) and blood pressure were found (P &lt; 0.05). Higher scores in diabetes knowledge of patients, family support, medication adherence, self-management and self-efficacy were seen in the intervention group than in the control group (P &lt; 0.05). Multivariable analysis showed family members who were spouses or women were strong predictors of improved </w:t>
            </w:r>
            <w:proofErr w:type="spellStart"/>
            <w:r w:rsidRPr="00A518F6">
              <w:rPr>
                <w:rFonts w:cstheme="minorHAnsi"/>
                <w:sz w:val="16"/>
                <w:szCs w:val="16"/>
                <w:lang w:val="en"/>
              </w:rPr>
              <w:t>glycaemic</w:t>
            </w:r>
            <w:proofErr w:type="spellEnd"/>
            <w:r w:rsidRPr="00A518F6">
              <w:rPr>
                <w:rFonts w:cstheme="minorHAnsi"/>
                <w:sz w:val="16"/>
                <w:szCs w:val="16"/>
                <w:lang w:val="en"/>
              </w:rPr>
              <w:t xml:space="preserve"> control.</w:t>
            </w:r>
          </w:p>
        </w:tc>
      </w:tr>
    </w:tbl>
    <w:p w:rsidR="002F2F36" w:rsidRDefault="002F2F36"/>
    <w:p w:rsidR="00CE48CF" w:rsidRDefault="00CE48CF" w:rsidP="00CE48CF">
      <w:pPr>
        <w:pStyle w:val="Caption"/>
        <w:keepNext/>
      </w:pPr>
      <w:r>
        <w:t xml:space="preserve">Table </w:t>
      </w:r>
      <w:fldSimple w:instr=" SEQ Table \* ARABIC ">
        <w:r w:rsidR="001E3F7F">
          <w:rPr>
            <w:noProof/>
          </w:rPr>
          <w:t>2</w:t>
        </w:r>
      </w:fldSimple>
      <w:r>
        <w:t>: Table of review articles included in this review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3841"/>
        <w:gridCol w:w="1121"/>
        <w:gridCol w:w="2456"/>
        <w:gridCol w:w="8033"/>
      </w:tblGrid>
      <w:tr w:rsidR="00CE48CF" w:rsidTr="00D762F1">
        <w:tc>
          <w:tcPr>
            <w:tcW w:w="3841" w:type="dxa"/>
          </w:tcPr>
          <w:p w:rsidR="00CE48CF" w:rsidRPr="008B7145" w:rsidRDefault="00CE48CF">
            <w:pPr>
              <w:rPr>
                <w:b/>
                <w:sz w:val="16"/>
                <w:szCs w:val="16"/>
              </w:rPr>
            </w:pPr>
            <w:r w:rsidRPr="008B7145">
              <w:rPr>
                <w:b/>
                <w:sz w:val="16"/>
                <w:szCs w:val="16"/>
              </w:rPr>
              <w:t>Study</w:t>
            </w:r>
          </w:p>
        </w:tc>
        <w:tc>
          <w:tcPr>
            <w:tcW w:w="1121" w:type="dxa"/>
          </w:tcPr>
          <w:p w:rsidR="00CE48CF" w:rsidRPr="008B7145" w:rsidRDefault="00CE48CF">
            <w:pPr>
              <w:rPr>
                <w:b/>
                <w:sz w:val="16"/>
                <w:szCs w:val="16"/>
              </w:rPr>
            </w:pPr>
            <w:r w:rsidRPr="008B7145">
              <w:rPr>
                <w:b/>
                <w:sz w:val="16"/>
                <w:szCs w:val="16"/>
              </w:rPr>
              <w:t>Type of Review</w:t>
            </w:r>
          </w:p>
        </w:tc>
        <w:tc>
          <w:tcPr>
            <w:tcW w:w="2456" w:type="dxa"/>
          </w:tcPr>
          <w:p w:rsidR="00CE48CF" w:rsidRPr="008B7145" w:rsidRDefault="00CE48CF">
            <w:pPr>
              <w:rPr>
                <w:b/>
                <w:sz w:val="16"/>
                <w:szCs w:val="16"/>
              </w:rPr>
            </w:pPr>
            <w:r w:rsidRPr="008B7145">
              <w:rPr>
                <w:b/>
                <w:sz w:val="16"/>
                <w:szCs w:val="16"/>
              </w:rPr>
              <w:t>Number of studies included</w:t>
            </w:r>
          </w:p>
        </w:tc>
        <w:tc>
          <w:tcPr>
            <w:tcW w:w="8033" w:type="dxa"/>
          </w:tcPr>
          <w:p w:rsidR="00CE48CF" w:rsidRPr="008B7145" w:rsidRDefault="00CE48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Results</w:t>
            </w:r>
          </w:p>
        </w:tc>
      </w:tr>
      <w:tr w:rsidR="00CE48CF" w:rsidTr="00D762F1">
        <w:tc>
          <w:tcPr>
            <w:tcW w:w="3841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Machado M et al, Sensitivity of Patient Outcomes to Pharmacist Interventions. Part I: Systematic Review and Meta-Analysis in Diabetes Management, Annals of Pharmacotherapy, 2007. 1569-82 p.</w:t>
            </w:r>
          </w:p>
          <w:p w:rsidR="00CE48CF" w:rsidRPr="007C7906" w:rsidRDefault="007C7906" w:rsidP="008B7145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[30]</w:t>
            </w:r>
          </w:p>
        </w:tc>
        <w:tc>
          <w:tcPr>
            <w:tcW w:w="1121" w:type="dxa"/>
          </w:tcPr>
          <w:p w:rsidR="00CE48CF" w:rsidRPr="008B7145" w:rsidRDefault="00710F80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 Review and </w:t>
            </w:r>
            <w:r w:rsidRPr="008B7145">
              <w:rPr>
                <w:sz w:val="16"/>
                <w:szCs w:val="16"/>
              </w:rPr>
              <w:t>Meta-analysis</w:t>
            </w:r>
          </w:p>
        </w:tc>
        <w:tc>
          <w:tcPr>
            <w:tcW w:w="2456" w:type="dxa"/>
          </w:tcPr>
          <w:p w:rsidR="00CE48CF" w:rsidRPr="00D80649" w:rsidRDefault="00CE48CF" w:rsidP="00D80649">
            <w:pPr>
              <w:rPr>
                <w:rFonts w:cstheme="minorHAnsi"/>
                <w:color w:val="545454"/>
                <w:sz w:val="16"/>
                <w:szCs w:val="16"/>
                <w:lang w:val="en"/>
              </w:rPr>
            </w:pPr>
            <w:r w:rsidRPr="00D80649">
              <w:rPr>
                <w:rFonts w:cstheme="minorHAnsi"/>
                <w:sz w:val="16"/>
                <w:szCs w:val="16"/>
              </w:rPr>
              <w:t xml:space="preserve">36 </w:t>
            </w:r>
            <w:r>
              <w:rPr>
                <w:rFonts w:cstheme="minorHAnsi"/>
                <w:sz w:val="16"/>
                <w:szCs w:val="16"/>
              </w:rPr>
              <w:t xml:space="preserve">in total: </w:t>
            </w:r>
          </w:p>
          <w:p w:rsidR="00CE48CF" w:rsidRPr="00D80649" w:rsidRDefault="00CE48CF" w:rsidP="00D80649">
            <w:pPr>
              <w:rPr>
                <w:rFonts w:cstheme="minorHAnsi"/>
                <w:sz w:val="16"/>
                <w:szCs w:val="16"/>
                <w:lang w:val="en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-</w:t>
            </w:r>
            <w:r w:rsidRPr="00D80649">
              <w:rPr>
                <w:rFonts w:cstheme="minorHAnsi"/>
                <w:sz w:val="16"/>
                <w:szCs w:val="16"/>
                <w:lang w:val="en"/>
              </w:rPr>
              <w:t xml:space="preserve">18 </w:t>
            </w:r>
            <w:proofErr w:type="spellStart"/>
            <w:r w:rsidRPr="00D80649">
              <w:rPr>
                <w:rFonts w:cstheme="minorHAnsi"/>
                <w:sz w:val="16"/>
                <w:szCs w:val="16"/>
                <w:lang w:val="en"/>
              </w:rPr>
              <w:t>randomised</w:t>
            </w:r>
            <w:proofErr w:type="spellEnd"/>
            <w:r w:rsidRPr="00D80649">
              <w:rPr>
                <w:rFonts w:cstheme="minorHAnsi"/>
                <w:sz w:val="16"/>
                <w:szCs w:val="16"/>
                <w:lang w:val="en"/>
              </w:rPr>
              <w:t xml:space="preserve"> controlled trials</w:t>
            </w:r>
          </w:p>
          <w:p w:rsidR="00CE48CF" w:rsidRPr="00D80649" w:rsidRDefault="00CE48CF" w:rsidP="00D80649">
            <w:pPr>
              <w:rPr>
                <w:rFonts w:cstheme="minorHAnsi"/>
                <w:sz w:val="16"/>
                <w:szCs w:val="16"/>
                <w:lang w:val="en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-</w:t>
            </w:r>
            <w:r w:rsidRPr="00D80649">
              <w:rPr>
                <w:rFonts w:cstheme="minorHAnsi"/>
                <w:sz w:val="16"/>
                <w:szCs w:val="16"/>
                <w:lang w:val="en"/>
              </w:rPr>
              <w:t>9 non-</w:t>
            </w:r>
            <w:proofErr w:type="spellStart"/>
            <w:r w:rsidRPr="00D80649">
              <w:rPr>
                <w:rFonts w:cstheme="minorHAnsi"/>
                <w:sz w:val="16"/>
                <w:szCs w:val="16"/>
                <w:lang w:val="en"/>
              </w:rPr>
              <w:t>randomised</w:t>
            </w:r>
            <w:proofErr w:type="spellEnd"/>
            <w:r w:rsidRPr="00D80649">
              <w:rPr>
                <w:rFonts w:cstheme="minorHAnsi"/>
                <w:sz w:val="16"/>
                <w:szCs w:val="16"/>
                <w:lang w:val="en"/>
              </w:rPr>
              <w:t xml:space="preserve"> controlled trials  </w:t>
            </w:r>
          </w:p>
          <w:p w:rsidR="00CE48CF" w:rsidRPr="00D80649" w:rsidRDefault="00CE48CF" w:rsidP="00D80649">
            <w:pPr>
              <w:rPr>
                <w:rFonts w:cstheme="minorHAnsi"/>
                <w:sz w:val="16"/>
                <w:szCs w:val="16"/>
                <w:lang w:val="en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-</w:t>
            </w:r>
            <w:r w:rsidRPr="00D80649">
              <w:rPr>
                <w:rFonts w:cstheme="minorHAnsi"/>
                <w:sz w:val="16"/>
                <w:szCs w:val="16"/>
                <w:lang w:val="en"/>
              </w:rPr>
              <w:t xml:space="preserve">2 pre- and </w:t>
            </w:r>
            <w:proofErr w:type="spellStart"/>
            <w:r w:rsidRPr="00D80649">
              <w:rPr>
                <w:rFonts w:cstheme="minorHAnsi"/>
                <w:sz w:val="16"/>
                <w:szCs w:val="16"/>
                <w:lang w:val="en"/>
              </w:rPr>
              <w:t>post observational</w:t>
            </w:r>
            <w:proofErr w:type="spellEnd"/>
            <w:r w:rsidRPr="00D80649">
              <w:rPr>
                <w:rFonts w:cstheme="minorHAnsi"/>
                <w:sz w:val="16"/>
                <w:szCs w:val="16"/>
                <w:lang w:val="en"/>
              </w:rPr>
              <w:t xml:space="preserve"> cohorts </w:t>
            </w:r>
          </w:p>
          <w:p w:rsidR="00CE48CF" w:rsidRPr="00D80649" w:rsidRDefault="00CE48CF" w:rsidP="00D80649">
            <w:pPr>
              <w:rPr>
                <w:rFonts w:cstheme="minorHAnsi"/>
                <w:sz w:val="16"/>
                <w:szCs w:val="16"/>
                <w:lang w:val="en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-</w:t>
            </w:r>
            <w:r w:rsidRPr="00D80649">
              <w:rPr>
                <w:rFonts w:cstheme="minorHAnsi"/>
                <w:sz w:val="16"/>
                <w:szCs w:val="16"/>
                <w:lang w:val="en"/>
              </w:rPr>
              <w:t xml:space="preserve">1 retrospective cohort study </w:t>
            </w:r>
          </w:p>
          <w:p w:rsidR="00CE48CF" w:rsidRPr="00D80649" w:rsidRDefault="00CE48CF" w:rsidP="00D80649">
            <w:pPr>
              <w:rPr>
                <w:rFonts w:cstheme="minorHAnsi"/>
                <w:sz w:val="16"/>
                <w:szCs w:val="16"/>
                <w:lang w:val="en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-</w:t>
            </w:r>
            <w:r w:rsidRPr="00D80649">
              <w:rPr>
                <w:rFonts w:cstheme="minorHAnsi"/>
                <w:sz w:val="16"/>
                <w:szCs w:val="16"/>
                <w:lang w:val="en"/>
              </w:rPr>
              <w:t>5 chart reviews and</w:t>
            </w:r>
          </w:p>
          <w:p w:rsidR="00CE48CF" w:rsidRPr="00D80649" w:rsidRDefault="00CE48CF" w:rsidP="00D8064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-</w:t>
            </w:r>
            <w:r w:rsidRPr="00D80649">
              <w:rPr>
                <w:rFonts w:cstheme="minorHAnsi"/>
                <w:sz w:val="16"/>
                <w:szCs w:val="16"/>
                <w:lang w:val="en"/>
              </w:rPr>
              <w:t xml:space="preserve">1 database study </w:t>
            </w:r>
          </w:p>
        </w:tc>
        <w:tc>
          <w:tcPr>
            <w:tcW w:w="8033" w:type="dxa"/>
          </w:tcPr>
          <w:p w:rsidR="00CE48CF" w:rsidRPr="00BC4332" w:rsidRDefault="00CE48CF" w:rsidP="00BC4332">
            <w:pPr>
              <w:rPr>
                <w:sz w:val="16"/>
                <w:szCs w:val="16"/>
                <w:lang w:val="en" w:eastAsia="en-GB"/>
              </w:rPr>
            </w:pPr>
            <w:r w:rsidRPr="00BC4332">
              <w:rPr>
                <w:sz w:val="16"/>
                <w:szCs w:val="16"/>
                <w:lang w:val="en" w:eastAsia="en-GB"/>
              </w:rPr>
              <w:t xml:space="preserve">Diabetes education (69%) and medication management (61%) were the most frequently used Interventions. Mean ± SD quality was 62 ± 11% (fair). Fifty-one (69%) study results were sensitive, Meta-analysis of data from 2247 </w:t>
            </w:r>
            <w:r w:rsidR="00EB2998">
              <w:rPr>
                <w:sz w:val="16"/>
                <w:szCs w:val="16"/>
                <w:lang w:val="en" w:eastAsia="en-GB"/>
              </w:rPr>
              <w:t>participants</w:t>
            </w:r>
            <w:r w:rsidR="00EB2998" w:rsidRPr="00BC4332">
              <w:rPr>
                <w:sz w:val="16"/>
                <w:szCs w:val="16"/>
                <w:lang w:val="en" w:eastAsia="en-GB"/>
              </w:rPr>
              <w:t xml:space="preserve"> </w:t>
            </w:r>
            <w:r w:rsidRPr="00BC4332">
              <w:rPr>
                <w:sz w:val="16"/>
                <w:szCs w:val="16"/>
                <w:lang w:val="en" w:eastAsia="en-GB"/>
              </w:rPr>
              <w:t>in 16 studies found a significant reduction in hemoglobin A</w:t>
            </w:r>
            <w:r w:rsidRPr="00BC4332">
              <w:rPr>
                <w:sz w:val="16"/>
                <w:szCs w:val="16"/>
                <w:vertAlign w:val="subscript"/>
                <w:lang w:val="en" w:eastAsia="en-GB"/>
              </w:rPr>
              <w:t>1C</w:t>
            </w:r>
            <w:r w:rsidRPr="00BC4332">
              <w:rPr>
                <w:sz w:val="16"/>
                <w:szCs w:val="16"/>
                <w:lang w:val="en" w:eastAsia="en-GB"/>
              </w:rPr>
              <w:t xml:space="preserve">  levels in the pharmacists' intervention group (1.00 ± 0.28%; p &lt; 0.001) but not in controls (0.28 ± 0.29%; p = 0.335). Pharmacists' interventions further reduced</w:t>
            </w:r>
            <w:r w:rsidR="00EB2998">
              <w:rPr>
                <w:sz w:val="16"/>
                <w:szCs w:val="16"/>
                <w:lang w:val="en" w:eastAsia="en-GB"/>
              </w:rPr>
              <w:t xml:space="preserve"> Hb</w:t>
            </w:r>
            <w:r w:rsidRPr="00BC4332">
              <w:rPr>
                <w:sz w:val="16"/>
                <w:szCs w:val="16"/>
                <w:lang w:val="en" w:eastAsia="en-GB"/>
              </w:rPr>
              <w:t>A</w:t>
            </w:r>
            <w:r w:rsidR="00EB2998">
              <w:rPr>
                <w:sz w:val="16"/>
                <w:szCs w:val="16"/>
                <w:vertAlign w:val="subscript"/>
                <w:lang w:val="en" w:eastAsia="en-GB"/>
              </w:rPr>
              <w:t>1c</w:t>
            </w:r>
            <w:r w:rsidRPr="00BC4332">
              <w:rPr>
                <w:sz w:val="16"/>
                <w:szCs w:val="16"/>
                <w:lang w:val="en" w:eastAsia="en-GB"/>
              </w:rPr>
              <w:t xml:space="preserve"> values 0.62 ± 0.29% (p = 0.03) over controls.</w:t>
            </w:r>
          </w:p>
          <w:p w:rsidR="00CE48CF" w:rsidRPr="00BC4332" w:rsidRDefault="00CE48CF" w:rsidP="00CE48CF">
            <w:bookmarkStart w:id="1" w:name="_i5"/>
            <w:bookmarkEnd w:id="1"/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 xml:space="preserve">Collins C et al, Effect of pharmacist intervention on </w:t>
            </w:r>
            <w:proofErr w:type="spellStart"/>
            <w:r w:rsidRPr="008B7145">
              <w:rPr>
                <w:sz w:val="16"/>
                <w:szCs w:val="16"/>
              </w:rPr>
              <w:t>glycemic</w:t>
            </w:r>
            <w:proofErr w:type="spellEnd"/>
            <w:r w:rsidRPr="008B7145">
              <w:rPr>
                <w:sz w:val="16"/>
                <w:szCs w:val="16"/>
              </w:rPr>
              <w:t xml:space="preserve"> control in diabetes. Diabetes Research and Clinical Practice. 2011</w:t>
            </w:r>
            <w:proofErr w:type="gramStart"/>
            <w:r w:rsidRPr="008B7145">
              <w:rPr>
                <w:sz w:val="16"/>
                <w:szCs w:val="16"/>
              </w:rPr>
              <w:t>;92</w:t>
            </w:r>
            <w:proofErr w:type="gramEnd"/>
            <w:r w:rsidRPr="008B7145">
              <w:rPr>
                <w:sz w:val="16"/>
                <w:szCs w:val="16"/>
              </w:rPr>
              <w:t>(2):145-52.</w:t>
            </w:r>
          </w:p>
          <w:p w:rsidR="007C7906" w:rsidRPr="007C7906" w:rsidRDefault="007C7906" w:rsidP="008B7145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[28]</w:t>
            </w:r>
          </w:p>
          <w:p w:rsidR="00CE48CF" w:rsidRPr="008B7145" w:rsidRDefault="00CE48CF" w:rsidP="008B7145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CE48CF" w:rsidRPr="008B7145" w:rsidRDefault="00710F80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 Review and </w:t>
            </w:r>
            <w:r w:rsidRPr="008B7145">
              <w:rPr>
                <w:sz w:val="16"/>
                <w:szCs w:val="16"/>
              </w:rPr>
              <w:t>Meta-analysis</w:t>
            </w:r>
          </w:p>
        </w:tc>
        <w:tc>
          <w:tcPr>
            <w:tcW w:w="2456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randomised controlled trials</w:t>
            </w:r>
          </w:p>
        </w:tc>
        <w:tc>
          <w:tcPr>
            <w:tcW w:w="8033" w:type="dxa"/>
          </w:tcPr>
          <w:p w:rsidR="00CE48CF" w:rsidRPr="004471A5" w:rsidRDefault="00CE48CF" w:rsidP="004471A5">
            <w:pPr>
              <w:rPr>
                <w:rFonts w:cstheme="minorHAnsi"/>
                <w:sz w:val="16"/>
                <w:szCs w:val="16"/>
              </w:rPr>
            </w:pPr>
            <w:r w:rsidRPr="004471A5">
              <w:rPr>
                <w:rFonts w:cstheme="minorHAnsi"/>
                <w:sz w:val="16"/>
                <w:szCs w:val="16"/>
                <w:lang w:val="en"/>
              </w:rPr>
              <w:t xml:space="preserve">Pharmacist intervention significantly lowered </w:t>
            </w:r>
            <w:r w:rsidR="00EB2998">
              <w:rPr>
                <w:rFonts w:cstheme="minorHAnsi"/>
                <w:sz w:val="16"/>
                <w:szCs w:val="16"/>
                <w:lang w:val="en"/>
              </w:rPr>
              <w:t>Hb</w:t>
            </w:r>
            <w:r w:rsidRPr="004471A5">
              <w:rPr>
                <w:rFonts w:cstheme="minorHAnsi"/>
                <w:sz w:val="16"/>
                <w:szCs w:val="16"/>
                <w:lang w:val="en"/>
              </w:rPr>
              <w:t>A</w:t>
            </w:r>
            <w:r w:rsidRPr="0053404F">
              <w:rPr>
                <w:rFonts w:cstheme="minorHAnsi"/>
                <w:sz w:val="16"/>
                <w:szCs w:val="16"/>
                <w:vertAlign w:val="subscript"/>
                <w:lang w:val="en"/>
              </w:rPr>
              <w:t>1C</w:t>
            </w:r>
            <w:r w:rsidRPr="004471A5">
              <w:rPr>
                <w:rFonts w:cstheme="minorHAnsi"/>
                <w:sz w:val="16"/>
                <w:szCs w:val="16"/>
                <w:lang w:val="en"/>
              </w:rPr>
              <w:t xml:space="preserve"> (</w:t>
            </w:r>
            <w:r w:rsidRPr="004471A5">
              <w:rPr>
                <w:rStyle w:val="Emphasis"/>
                <w:rFonts w:cstheme="minorHAnsi"/>
                <w:sz w:val="16"/>
                <w:szCs w:val="16"/>
                <w:lang w:val="en"/>
              </w:rPr>
              <w:t>n</w:t>
            </w:r>
            <w:r w:rsidRPr="004471A5">
              <w:rPr>
                <w:rFonts w:cstheme="minorHAnsi"/>
                <w:sz w:val="16"/>
                <w:szCs w:val="16"/>
                <w:lang w:val="en"/>
              </w:rPr>
              <w:t xml:space="preserve"> = 14 trials, WMD −0.76%, 95%CI −1.06 to −0.47) and fasting </w:t>
            </w:r>
            <w:hyperlink r:id="rId5" w:tooltip="Learn more about Glucose Blood Level from ScienceDirect's AI-generated Topic Pages" w:history="1">
              <w:r w:rsidRPr="004471A5">
                <w:rPr>
                  <w:rStyle w:val="Hyperlink"/>
                  <w:rFonts w:cstheme="minorHAnsi"/>
                  <w:color w:val="auto"/>
                  <w:sz w:val="16"/>
                  <w:szCs w:val="16"/>
                  <w:lang w:val="en"/>
                </w:rPr>
                <w:t>blood glucose</w:t>
              </w:r>
            </w:hyperlink>
            <w:r w:rsidRPr="004471A5">
              <w:rPr>
                <w:rFonts w:cstheme="minorHAnsi"/>
                <w:sz w:val="16"/>
                <w:szCs w:val="16"/>
                <w:lang w:val="en"/>
              </w:rPr>
              <w:t xml:space="preserve"> (FBG) (</w:t>
            </w:r>
            <w:r w:rsidRPr="004471A5">
              <w:rPr>
                <w:rStyle w:val="Emphasis"/>
                <w:rFonts w:cstheme="minorHAnsi"/>
                <w:sz w:val="16"/>
                <w:szCs w:val="16"/>
                <w:lang w:val="en"/>
              </w:rPr>
              <w:t>n</w:t>
            </w:r>
            <w:r w:rsidRPr="004471A5">
              <w:rPr>
                <w:rFonts w:cstheme="minorHAnsi"/>
                <w:sz w:val="16"/>
                <w:szCs w:val="16"/>
                <w:lang w:val="en"/>
              </w:rPr>
              <w:t> = 4 trials, WMD −29.32 mg/</w:t>
            </w:r>
            <w:proofErr w:type="spellStart"/>
            <w:r w:rsidRPr="004471A5">
              <w:rPr>
                <w:rFonts w:cstheme="minorHAnsi"/>
                <w:sz w:val="16"/>
                <w:szCs w:val="16"/>
                <w:lang w:val="en"/>
              </w:rPr>
              <w:t>dL</w:t>
            </w:r>
            <w:proofErr w:type="spellEnd"/>
            <w:r w:rsidRPr="004471A5">
              <w:rPr>
                <w:rFonts w:cstheme="minorHAnsi"/>
                <w:sz w:val="16"/>
                <w:szCs w:val="16"/>
                <w:lang w:val="en"/>
              </w:rPr>
              <w:t>, 95%CI −39.54 to −19.10). A moderate to high degree of statistical heterogeneity was observed in these analyses (</w:t>
            </w:r>
            <w:r w:rsidRPr="004471A5">
              <w:rPr>
                <w:rStyle w:val="Emphasis"/>
                <w:rFonts w:cstheme="minorHAnsi"/>
                <w:sz w:val="16"/>
                <w:szCs w:val="16"/>
                <w:lang w:val="en"/>
              </w:rPr>
              <w:t>I</w:t>
            </w:r>
            <w:r w:rsidRPr="004471A5">
              <w:rPr>
                <w:rFonts w:cstheme="minorHAnsi"/>
                <w:sz w:val="16"/>
                <w:szCs w:val="16"/>
                <w:vertAlign w:val="superscript"/>
                <w:lang w:val="en"/>
              </w:rPr>
              <w:t>2</w:t>
            </w:r>
            <w:r w:rsidRPr="004471A5">
              <w:rPr>
                <w:rFonts w:cstheme="minorHAnsi"/>
                <w:sz w:val="16"/>
                <w:szCs w:val="16"/>
                <w:lang w:val="en"/>
              </w:rPr>
              <w:t> ≥ 44.1% for both).</w:t>
            </w:r>
          </w:p>
        </w:tc>
      </w:tr>
      <w:tr w:rsidR="00CE48CF" w:rsidTr="00D762F1">
        <w:tc>
          <w:tcPr>
            <w:tcW w:w="3841" w:type="dxa"/>
          </w:tcPr>
          <w:p w:rsidR="00CE48CF" w:rsidRPr="008B7145" w:rsidRDefault="00CE48CF" w:rsidP="00116644">
            <w:pPr>
              <w:rPr>
                <w:sz w:val="16"/>
                <w:szCs w:val="16"/>
              </w:rPr>
            </w:pPr>
            <w:proofErr w:type="spellStart"/>
            <w:r w:rsidRPr="008B7145">
              <w:rPr>
                <w:sz w:val="16"/>
                <w:szCs w:val="16"/>
              </w:rPr>
              <w:t>Santschi</w:t>
            </w:r>
            <w:proofErr w:type="spellEnd"/>
            <w:r w:rsidRPr="008B7145">
              <w:rPr>
                <w:sz w:val="16"/>
                <w:szCs w:val="16"/>
              </w:rPr>
              <w:t xml:space="preserve"> V et al, Pharmacist Interventions to Improve Cardiovascular Disease Risk Factors in Diabetes. Diabetes Care. 2012</w:t>
            </w:r>
            <w:proofErr w:type="gramStart"/>
            <w:r w:rsidRPr="008B7145">
              <w:rPr>
                <w:sz w:val="16"/>
                <w:szCs w:val="16"/>
              </w:rPr>
              <w:t>;35</w:t>
            </w:r>
            <w:proofErr w:type="gramEnd"/>
            <w:r w:rsidRPr="008B7145">
              <w:rPr>
                <w:sz w:val="16"/>
                <w:szCs w:val="16"/>
              </w:rPr>
              <w:t>(12):2706.</w:t>
            </w:r>
          </w:p>
          <w:p w:rsidR="00CE48CF" w:rsidRPr="007C7906" w:rsidRDefault="007C7906" w:rsidP="008B7145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[31]</w:t>
            </w:r>
          </w:p>
        </w:tc>
        <w:tc>
          <w:tcPr>
            <w:tcW w:w="1121" w:type="dxa"/>
          </w:tcPr>
          <w:p w:rsidR="00CE48CF" w:rsidRPr="008B7145" w:rsidRDefault="00710F80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 Review and </w:t>
            </w:r>
            <w:r w:rsidRPr="008B7145">
              <w:rPr>
                <w:sz w:val="16"/>
                <w:szCs w:val="16"/>
              </w:rPr>
              <w:t>Meta-analysis</w:t>
            </w:r>
          </w:p>
        </w:tc>
        <w:tc>
          <w:tcPr>
            <w:tcW w:w="2456" w:type="dxa"/>
          </w:tcPr>
          <w:p w:rsidR="00CE48CF" w:rsidRDefault="00CE48CF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randomised controlled trials.</w:t>
            </w:r>
          </w:p>
          <w:p w:rsidR="00CE48CF" w:rsidRDefault="00CE48CF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 pharmacy only interventions</w:t>
            </w:r>
          </w:p>
          <w:p w:rsidR="00CE48CF" w:rsidRPr="008B7145" w:rsidRDefault="00CE48CF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 interventions with pharmacists in collaboration with other HCPs.</w:t>
            </w:r>
          </w:p>
        </w:tc>
        <w:tc>
          <w:tcPr>
            <w:tcW w:w="8033" w:type="dxa"/>
          </w:tcPr>
          <w:p w:rsidR="00CE48CF" w:rsidRPr="00116644" w:rsidRDefault="00CE48CF">
            <w:pPr>
              <w:rPr>
                <w:sz w:val="16"/>
                <w:szCs w:val="16"/>
              </w:rPr>
            </w:pPr>
            <w:r w:rsidRPr="00116644">
              <w:rPr>
                <w:sz w:val="16"/>
                <w:szCs w:val="16"/>
                <w:lang w:val="en"/>
              </w:rPr>
              <w:t xml:space="preserve">Pharmacist interventions included medication management, educational interventions, feedback to physicians, measurement of CVD risk factors, or patient-reminder systems. </w:t>
            </w:r>
            <w:proofErr w:type="gramStart"/>
            <w:r w:rsidRPr="00116644">
              <w:rPr>
                <w:sz w:val="16"/>
                <w:szCs w:val="16"/>
                <w:lang w:val="en"/>
              </w:rPr>
              <w:t xml:space="preserve">Compared with usual care, pharmacist care was associated with significant reductions for systolic BP (12 studies with 1,894 </w:t>
            </w:r>
            <w:r w:rsidR="00EB2998">
              <w:rPr>
                <w:sz w:val="16"/>
                <w:szCs w:val="16"/>
                <w:lang w:val="en"/>
              </w:rPr>
              <w:t>participants</w:t>
            </w:r>
            <w:r w:rsidRPr="00116644">
              <w:rPr>
                <w:sz w:val="16"/>
                <w:szCs w:val="16"/>
                <w:lang w:val="en"/>
              </w:rPr>
              <w:t>; −6.2 mmHg [95% CI −7.8 to −4.6]); diastolic BP (9 studies with 1,496 patients; −4.5 mmHg [−6.2 to −2.8]); TC (8 studies with 1,280 patients; −15.2 mg/</w:t>
            </w:r>
            <w:proofErr w:type="spellStart"/>
            <w:r w:rsidRPr="00116644">
              <w:rPr>
                <w:sz w:val="16"/>
                <w:szCs w:val="16"/>
                <w:lang w:val="en"/>
              </w:rPr>
              <w:t>dL</w:t>
            </w:r>
            <w:proofErr w:type="spellEnd"/>
            <w:r w:rsidRPr="00116644">
              <w:rPr>
                <w:sz w:val="16"/>
                <w:szCs w:val="16"/>
                <w:lang w:val="en"/>
              </w:rPr>
              <w:t xml:space="preserve"> [−24.7 to −5.7]); LDL cholesterol (9 studies with 8,084 patients; −11.7 mg/</w:t>
            </w:r>
            <w:proofErr w:type="spellStart"/>
            <w:r w:rsidRPr="00116644">
              <w:rPr>
                <w:sz w:val="16"/>
                <w:szCs w:val="16"/>
                <w:lang w:val="en"/>
              </w:rPr>
              <w:t>dL</w:t>
            </w:r>
            <w:proofErr w:type="spellEnd"/>
            <w:r w:rsidRPr="00116644">
              <w:rPr>
                <w:sz w:val="16"/>
                <w:szCs w:val="16"/>
                <w:lang w:val="en"/>
              </w:rPr>
              <w:t xml:space="preserve"> [−15.8 to −7.6]); and BMI (5 studies with 751 patients; −0.9 kg/m</w:t>
            </w:r>
            <w:r w:rsidRPr="00116644">
              <w:rPr>
                <w:sz w:val="16"/>
                <w:szCs w:val="16"/>
                <w:vertAlign w:val="superscript"/>
                <w:lang w:val="en"/>
              </w:rPr>
              <w:t>2</w:t>
            </w:r>
            <w:r w:rsidRPr="00116644">
              <w:rPr>
                <w:sz w:val="16"/>
                <w:szCs w:val="16"/>
                <w:lang w:val="en"/>
              </w:rPr>
              <w:t xml:space="preserve"> [−1.7 to −0.1]).</w:t>
            </w:r>
            <w:proofErr w:type="gramEnd"/>
            <w:r w:rsidRPr="00116644">
              <w:rPr>
                <w:sz w:val="16"/>
                <w:szCs w:val="16"/>
                <w:lang w:val="en"/>
              </w:rPr>
              <w:t xml:space="preserve"> Pharmacist care was not associated with a significant change in HDL cholesterol (6 studies with 826 patients; 0.2 mg/</w:t>
            </w:r>
            <w:proofErr w:type="spellStart"/>
            <w:r w:rsidRPr="00116644">
              <w:rPr>
                <w:sz w:val="16"/>
                <w:szCs w:val="16"/>
                <w:lang w:val="en"/>
              </w:rPr>
              <w:t>dL</w:t>
            </w:r>
            <w:proofErr w:type="spellEnd"/>
            <w:r w:rsidRPr="00116644">
              <w:rPr>
                <w:sz w:val="16"/>
                <w:szCs w:val="16"/>
                <w:lang w:val="en"/>
              </w:rPr>
              <w:t xml:space="preserve"> [−1.9 to 2.4]).</w:t>
            </w:r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Antoine S-L et al, Improving the adherence of type 2 diabetes mellitus patients with pharmacy care: a systematic review of randomized controlled trials. BMC Endocrine Disorders. 2014</w:t>
            </w:r>
            <w:proofErr w:type="gramStart"/>
            <w:r w:rsidRPr="008B7145">
              <w:rPr>
                <w:sz w:val="16"/>
                <w:szCs w:val="16"/>
              </w:rPr>
              <w:t>;14</w:t>
            </w:r>
            <w:proofErr w:type="gramEnd"/>
            <w:r w:rsidRPr="008B7145">
              <w:rPr>
                <w:sz w:val="16"/>
                <w:szCs w:val="16"/>
              </w:rPr>
              <w:t>(1):53.</w:t>
            </w:r>
          </w:p>
          <w:p w:rsidR="007C7906" w:rsidRPr="007C7906" w:rsidRDefault="007C7906" w:rsidP="008B7145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[27]</w:t>
            </w:r>
          </w:p>
          <w:p w:rsidR="00CE48CF" w:rsidRPr="008B7145" w:rsidRDefault="00CE48CF" w:rsidP="008B7145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Systematic Review</w:t>
            </w:r>
          </w:p>
        </w:tc>
        <w:tc>
          <w:tcPr>
            <w:tcW w:w="2456" w:type="dxa"/>
          </w:tcPr>
          <w:p w:rsidR="00CE48CF" w:rsidRPr="008B7145" w:rsidRDefault="001D5376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randomised controlled trials</w:t>
            </w:r>
          </w:p>
        </w:tc>
        <w:tc>
          <w:tcPr>
            <w:tcW w:w="8033" w:type="dxa"/>
          </w:tcPr>
          <w:p w:rsidR="00CE48CF" w:rsidRPr="002C475D" w:rsidRDefault="002C475D" w:rsidP="002C475D">
            <w:pPr>
              <w:rPr>
                <w:sz w:val="16"/>
                <w:szCs w:val="16"/>
              </w:rPr>
            </w:pPr>
            <w:r w:rsidRPr="002C475D">
              <w:rPr>
                <w:sz w:val="16"/>
                <w:szCs w:val="16"/>
                <w:lang w:val="en"/>
              </w:rPr>
              <w:t xml:space="preserve">The outcomes of the </w:t>
            </w:r>
            <w:proofErr w:type="spellStart"/>
            <w:r w:rsidRPr="002C475D">
              <w:rPr>
                <w:sz w:val="16"/>
                <w:szCs w:val="16"/>
                <w:lang w:val="en"/>
              </w:rPr>
              <w:t>analysed</w:t>
            </w:r>
            <w:proofErr w:type="spellEnd"/>
            <w:r w:rsidRPr="002C475D">
              <w:rPr>
                <w:sz w:val="16"/>
                <w:szCs w:val="16"/>
                <w:lang w:val="en"/>
              </w:rPr>
              <w:t xml:space="preserve"> studies indicate that pharmacists could have an influential and important role in the respective health care system to improve adherence in patients taking oral type 2 diabetes mellitus medication. However, the heterogeneity of study populations interventions, adherence measures and outcomes in the included studies prevents a comparison as well as a generalization.</w:t>
            </w:r>
          </w:p>
        </w:tc>
      </w:tr>
      <w:tr w:rsidR="00CE48CF" w:rsidTr="00D762F1">
        <w:tc>
          <w:tcPr>
            <w:tcW w:w="3841" w:type="dxa"/>
          </w:tcPr>
          <w:p w:rsidR="00CE48CF" w:rsidRPr="008B7145" w:rsidRDefault="00CE48CF" w:rsidP="008B7145">
            <w:pPr>
              <w:rPr>
                <w:noProof/>
                <w:sz w:val="16"/>
                <w:szCs w:val="16"/>
              </w:rPr>
            </w:pPr>
            <w:r w:rsidRPr="008B7145">
              <w:rPr>
                <w:noProof/>
                <w:sz w:val="16"/>
                <w:szCs w:val="16"/>
              </w:rPr>
              <w:t xml:space="preserve">Pousinho S et al, Pharmacist Interventions in the Management of Type 2 Diabetes Mellitus: A Systematic Review of Randomized Controlled Trials. Journal of </w:t>
            </w:r>
            <w:r w:rsidRPr="008B7145">
              <w:rPr>
                <w:noProof/>
                <w:sz w:val="16"/>
                <w:szCs w:val="16"/>
              </w:rPr>
              <w:lastRenderedPageBreak/>
              <w:t>Managed Care &amp; Specialty Pharmacy. 2016;22(5):493-515.</w:t>
            </w:r>
          </w:p>
          <w:p w:rsidR="00CE48CF" w:rsidRPr="007C7906" w:rsidRDefault="007C7906" w:rsidP="008B7145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[36]</w:t>
            </w:r>
          </w:p>
        </w:tc>
        <w:tc>
          <w:tcPr>
            <w:tcW w:w="1121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lastRenderedPageBreak/>
              <w:t>Systematic Review</w:t>
            </w:r>
          </w:p>
        </w:tc>
        <w:tc>
          <w:tcPr>
            <w:tcW w:w="2456" w:type="dxa"/>
          </w:tcPr>
          <w:p w:rsidR="00CE48CF" w:rsidRPr="008B7145" w:rsidRDefault="002C475D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randomised controlled trials.</w:t>
            </w:r>
          </w:p>
        </w:tc>
        <w:tc>
          <w:tcPr>
            <w:tcW w:w="8033" w:type="dxa"/>
          </w:tcPr>
          <w:p w:rsidR="00CE48CF" w:rsidRPr="002C475D" w:rsidRDefault="00EB299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Hb</w:t>
            </w:r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</w:t>
            </w:r>
            <w:r w:rsidRPr="0053404F">
              <w:rPr>
                <w:rFonts w:cstheme="minorHAnsi"/>
                <w:color w:val="000000"/>
                <w:sz w:val="16"/>
                <w:szCs w:val="16"/>
                <w:shd w:val="clear" w:color="auto" w:fill="FFFFFF"/>
                <w:vertAlign w:val="subscript"/>
              </w:rPr>
              <w:t>1c</w:t>
            </w:r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was evaluated in 26 studies, of which 24 reported a greater reduction in this outcome in the intervention group compared with the control group, with the difference in change between groups ranging from -0.18% to -2.1%. Eighteen studies assessed change in systolic blood pressure, of which 17 studies reported a greater improvement in this outcome in the intervention group, with the difference in change between groups varying between -3.3 mmHg and -</w:t>
            </w:r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23.05 mmHg. For diastolic blood pressure, a greater effect was also observed in the intervention group in 14 out of 15 studies, with the difference in change between groups varying between -0.21 mmHg and -9.1 mmHg. Thirteen studies described total cholesterol as an outcome measure, of which 10 reported a greater improvement in this outcome in the intervention group, with the difference in change between groups ranging from +18.95 mg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to -32.48 mg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. With regard to low-density lipoprotein cholesterol, a greater reduction in this parameter in the intervention group </w:t>
            </w:r>
            <w:proofErr w:type="gram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was documented</w:t>
            </w:r>
            <w:proofErr w:type="gram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in 12 out of 15 studies, with the difference in change between groups varying between +7.35 mg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and -30 mg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. Similarly, favo</w:t>
            </w:r>
            <w:r w:rsidR="00386F35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u</w:t>
            </w:r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rable data </w:t>
            </w:r>
            <w:proofErr w:type="gram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were reported</w:t>
            </w:r>
            <w:proofErr w:type="gram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on high-density lipoprotein cholesterol in the intervention group in 9 out of 12 studies that assessed this outcome, with the difference in change between groups ranging from -5.8 mg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to +11 mg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. Data on triglycerides </w:t>
            </w:r>
            <w:proofErr w:type="gram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were also reported</w:t>
            </w:r>
            <w:proofErr w:type="gram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in 12 studies, of which 9 reported a greater reduction in triglycerides levels in the intervention group, with the difference in change between groups varying between +12 mg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and -62 mg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. Overall, a beneficial effect on BMI was also described in the intervention group in 12 out of 14 studies. Of note, in all 6 studies that estimated the 10-year CHD risk among study patients, a greater improvement in the intervention group versus the control group was found. In addition, pharmacist interventions also had a positive impact on medication adherence and </w:t>
            </w:r>
            <w:proofErr w:type="spellStart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HRQoL</w:t>
            </w:r>
            <w:proofErr w:type="spellEnd"/>
            <w:r w:rsidR="002C475D"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in most studies that ascertained these outcomes. Finally, although only 3 studies conducted a cost-effectiveness analysis, pharmacist interventions proved to be cost-effective.</w:t>
            </w:r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lastRenderedPageBreak/>
              <w:t>Deters MA et al, Effective Interventions for Diabetes Patients by Community Pharmacists: A Meta-analysis of Pharmaceutical Care Components. Annals of Pharmacotherapy. 2017</w:t>
            </w:r>
            <w:proofErr w:type="gramStart"/>
            <w:r w:rsidRPr="008B7145">
              <w:rPr>
                <w:sz w:val="16"/>
                <w:szCs w:val="16"/>
              </w:rPr>
              <w:t>;52</w:t>
            </w:r>
            <w:proofErr w:type="gramEnd"/>
            <w:r w:rsidRPr="008B7145">
              <w:rPr>
                <w:sz w:val="16"/>
                <w:szCs w:val="16"/>
              </w:rPr>
              <w:t>(2):198-211.</w:t>
            </w:r>
          </w:p>
          <w:p w:rsidR="007C7906" w:rsidRPr="007C7906" w:rsidRDefault="007C7906" w:rsidP="008B7145">
            <w:pPr>
              <w:rPr>
                <w:b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[32]</w:t>
            </w:r>
          </w:p>
          <w:p w:rsidR="00CE48CF" w:rsidRPr="008B7145" w:rsidRDefault="00CE48CF" w:rsidP="008B7145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CE48CF" w:rsidRPr="008B7145" w:rsidRDefault="00710F80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 Review and </w:t>
            </w:r>
            <w:r w:rsidRPr="008B7145">
              <w:rPr>
                <w:sz w:val="16"/>
                <w:szCs w:val="16"/>
              </w:rPr>
              <w:t>Meta-analysis</w:t>
            </w:r>
          </w:p>
        </w:tc>
        <w:tc>
          <w:tcPr>
            <w:tcW w:w="2456" w:type="dxa"/>
          </w:tcPr>
          <w:p w:rsidR="00CE48CF" w:rsidRPr="008B7145" w:rsidRDefault="002C475D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randomised controlled trials</w:t>
            </w:r>
          </w:p>
        </w:tc>
        <w:tc>
          <w:tcPr>
            <w:tcW w:w="8033" w:type="dxa"/>
          </w:tcPr>
          <w:p w:rsidR="00CE48CF" w:rsidRPr="002C475D" w:rsidRDefault="002C475D">
            <w:pPr>
              <w:rPr>
                <w:rFonts w:cstheme="minorHAnsi"/>
                <w:sz w:val="16"/>
                <w:szCs w:val="16"/>
              </w:rPr>
            </w:pPr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The calculated meta</w:t>
            </w:r>
            <w:r w:rsidR="00D75D08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-analytical effect of 640 analys</w:t>
            </w:r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ed patients was </w:t>
            </w:r>
            <w:proofErr w:type="gramStart"/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</w:t>
            </w:r>
            <w:proofErr w:type="gramEnd"/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EB2998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Hb</w:t>
            </w:r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</w:t>
            </w:r>
            <w:r w:rsidRPr="0053404F">
              <w:rPr>
                <w:rFonts w:cstheme="minorHAnsi"/>
                <w:color w:val="000000"/>
                <w:sz w:val="16"/>
                <w:szCs w:val="16"/>
                <w:shd w:val="clear" w:color="auto" w:fill="FFFFFF"/>
                <w:vertAlign w:val="subscript"/>
              </w:rPr>
              <w:t>1C</w:t>
            </w:r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difference of -0.66%, with a 95% CI of -0.86% to -0.45%. The analysis revealed that most intervention elements had a significant positive meta-analytical effect on the </w:t>
            </w:r>
            <w:r w:rsidR="00EB2998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Hb</w:t>
            </w:r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</w:t>
            </w:r>
            <w:r w:rsidRPr="0053404F">
              <w:rPr>
                <w:rFonts w:cstheme="minorHAnsi"/>
                <w:color w:val="000000"/>
                <w:sz w:val="16"/>
                <w:szCs w:val="16"/>
                <w:shd w:val="clear" w:color="auto" w:fill="FFFFFF"/>
                <w:vertAlign w:val="subscript"/>
              </w:rPr>
              <w:t>1C</w:t>
            </w:r>
            <w:r w:rsidRPr="002C475D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values.</w:t>
            </w:r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rPr>
                <w:noProof/>
                <w:sz w:val="16"/>
                <w:szCs w:val="16"/>
              </w:rPr>
            </w:pPr>
            <w:r w:rsidRPr="008B7145">
              <w:rPr>
                <w:noProof/>
                <w:sz w:val="16"/>
                <w:szCs w:val="16"/>
              </w:rPr>
              <w:t>Fazel MT et al, Impact of Diabetes Care by Pharmacists as Part of Health Care Team in Ambulatory Settings: A Systematic Review and Meta-analysis. Annals of Pharmacotherapy. 2017;51(10):890-907.</w:t>
            </w:r>
          </w:p>
          <w:p w:rsidR="007C7906" w:rsidRPr="007C7906" w:rsidRDefault="007C7906" w:rsidP="008B7145">
            <w:pPr>
              <w:rPr>
                <w:b/>
                <w:noProof/>
                <w:sz w:val="16"/>
                <w:szCs w:val="16"/>
              </w:rPr>
            </w:pPr>
            <w:r w:rsidRPr="007C7906">
              <w:rPr>
                <w:b/>
                <w:noProof/>
                <w:sz w:val="16"/>
                <w:szCs w:val="16"/>
              </w:rPr>
              <w:t>[38]</w:t>
            </w:r>
          </w:p>
          <w:p w:rsidR="00CE48CF" w:rsidRPr="008B7145" w:rsidRDefault="00CE48CF" w:rsidP="008B7145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CE48CF" w:rsidRPr="008B7145" w:rsidRDefault="00710F80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 Review and </w:t>
            </w:r>
            <w:r w:rsidR="00CE48CF" w:rsidRPr="008B7145">
              <w:rPr>
                <w:sz w:val="16"/>
                <w:szCs w:val="16"/>
              </w:rPr>
              <w:t>Meta-analysis</w:t>
            </w:r>
          </w:p>
        </w:tc>
        <w:tc>
          <w:tcPr>
            <w:tcW w:w="2456" w:type="dxa"/>
          </w:tcPr>
          <w:p w:rsidR="00CE48CF" w:rsidRPr="008B7145" w:rsidRDefault="00437853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randomised controlled trials ( 35 included in the meta-analysis)</w:t>
            </w:r>
          </w:p>
        </w:tc>
        <w:tc>
          <w:tcPr>
            <w:tcW w:w="8033" w:type="dxa"/>
          </w:tcPr>
          <w:p w:rsidR="00CE48CF" w:rsidRPr="00437853" w:rsidRDefault="00437853" w:rsidP="008B7145">
            <w:pPr>
              <w:rPr>
                <w:rFonts w:cstheme="minorHAnsi"/>
                <w:sz w:val="16"/>
                <w:szCs w:val="16"/>
              </w:rPr>
            </w:pPr>
            <w:r w:rsidRPr="00437853">
              <w:rPr>
                <w:rFonts w:cstheme="minorHAnsi"/>
                <w:sz w:val="16"/>
                <w:szCs w:val="16"/>
                <w:lang w:val="en"/>
              </w:rPr>
              <w:t>The overall standardized mean difference (SMD) for A1C for pharmacist care versus comparison was 0.57 (</w:t>
            </w:r>
            <w:r w:rsidRPr="00437853">
              <w:rPr>
                <w:rFonts w:cstheme="minorHAnsi"/>
                <w:i/>
                <w:iCs/>
                <w:sz w:val="16"/>
                <w:szCs w:val="16"/>
                <w:lang w:val="en"/>
              </w:rPr>
              <w:t>P</w:t>
            </w:r>
            <w:r w:rsidRPr="00437853">
              <w:rPr>
                <w:rFonts w:cstheme="minorHAnsi"/>
                <w:sz w:val="16"/>
                <w:szCs w:val="16"/>
                <w:lang w:val="en"/>
              </w:rPr>
              <w:t xml:space="preserve"> &lt; 0.01), a moderate effect representing a mean difference of 1.1% (95% CI = 0.88-1.27). The effects for systolic blood pressure and low-density lipoprotein cholesterol were between small and moderate (SMD = 0.31 and 0.32; </w:t>
            </w:r>
            <w:r w:rsidRPr="00437853">
              <w:rPr>
                <w:rFonts w:cstheme="minorHAnsi"/>
                <w:i/>
                <w:iCs/>
                <w:sz w:val="16"/>
                <w:szCs w:val="16"/>
                <w:lang w:val="en"/>
              </w:rPr>
              <w:t>P</w:t>
            </w:r>
            <w:r w:rsidRPr="00437853">
              <w:rPr>
                <w:rFonts w:cstheme="minorHAnsi"/>
                <w:sz w:val="16"/>
                <w:szCs w:val="16"/>
                <w:lang w:val="en"/>
              </w:rPr>
              <w:t xml:space="preserve"> &lt; 0.01). The heterogeneity was high for all outcomes (&gt;83%), indicating functional differences among the studies.</w:t>
            </w:r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rPr>
                <w:sz w:val="16"/>
                <w:szCs w:val="16"/>
              </w:rPr>
            </w:pPr>
            <w:proofErr w:type="gramStart"/>
            <w:r w:rsidRPr="008B7145">
              <w:rPr>
                <w:sz w:val="16"/>
                <w:szCs w:val="16"/>
              </w:rPr>
              <w:t>van</w:t>
            </w:r>
            <w:proofErr w:type="gramEnd"/>
            <w:r w:rsidRPr="008B7145">
              <w:rPr>
                <w:sz w:val="16"/>
                <w:szCs w:val="16"/>
              </w:rPr>
              <w:t xml:space="preserve"> </w:t>
            </w:r>
            <w:proofErr w:type="spellStart"/>
            <w:r w:rsidRPr="008B7145">
              <w:rPr>
                <w:sz w:val="16"/>
                <w:szCs w:val="16"/>
              </w:rPr>
              <w:t>Eikenhorst</w:t>
            </w:r>
            <w:proofErr w:type="spellEnd"/>
            <w:r w:rsidRPr="008B7145">
              <w:rPr>
                <w:sz w:val="16"/>
                <w:szCs w:val="16"/>
              </w:rPr>
              <w:t xml:space="preserve"> L et al, Pharmacist-Led Self-management Interventions to Improve Diabetes Outcomes. A Systematic Literature Review and Meta-Analysis. Frontiers in pharmacology. 2017</w:t>
            </w:r>
            <w:proofErr w:type="gramStart"/>
            <w:r w:rsidRPr="008B7145">
              <w:rPr>
                <w:sz w:val="16"/>
                <w:szCs w:val="16"/>
              </w:rPr>
              <w:t>;8:891</w:t>
            </w:r>
            <w:proofErr w:type="gramEnd"/>
            <w:r w:rsidRPr="008B7145">
              <w:rPr>
                <w:sz w:val="16"/>
                <w:szCs w:val="16"/>
              </w:rPr>
              <w:t>-.</w:t>
            </w:r>
          </w:p>
          <w:p w:rsidR="007C7906" w:rsidRPr="007C7906" w:rsidRDefault="007C7906" w:rsidP="008B7145">
            <w:pPr>
              <w:rPr>
                <w:b/>
                <w:noProof/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[39]</w:t>
            </w:r>
          </w:p>
        </w:tc>
        <w:tc>
          <w:tcPr>
            <w:tcW w:w="1121" w:type="dxa"/>
          </w:tcPr>
          <w:p w:rsidR="00CE48CF" w:rsidRPr="008B7145" w:rsidRDefault="00710F80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 Review and </w:t>
            </w:r>
            <w:r w:rsidRPr="008B7145">
              <w:rPr>
                <w:sz w:val="16"/>
                <w:szCs w:val="16"/>
              </w:rPr>
              <w:t>Meta-analysis</w:t>
            </w:r>
          </w:p>
        </w:tc>
        <w:tc>
          <w:tcPr>
            <w:tcW w:w="2456" w:type="dxa"/>
          </w:tcPr>
          <w:p w:rsidR="00CE48CF" w:rsidRPr="008B7145" w:rsidRDefault="00710F80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randomised controlled trials</w:t>
            </w:r>
          </w:p>
        </w:tc>
        <w:tc>
          <w:tcPr>
            <w:tcW w:w="8033" w:type="dxa"/>
          </w:tcPr>
          <w:p w:rsidR="00CE48CF" w:rsidRPr="00710F80" w:rsidRDefault="00710F80" w:rsidP="00710F80">
            <w:pPr>
              <w:rPr>
                <w:rFonts w:cstheme="minorHAnsi"/>
                <w:sz w:val="16"/>
                <w:szCs w:val="16"/>
              </w:rPr>
            </w:pPr>
            <w:r w:rsidRPr="00710F80">
              <w:rPr>
                <w:rFonts w:cstheme="minorHAnsi"/>
                <w:color w:val="111111"/>
                <w:sz w:val="16"/>
                <w:szCs w:val="16"/>
                <w:lang w:val="en"/>
              </w:rPr>
              <w:t>Pharmacist-led self-management interventions included education on diabetes complications, medication, lifestyle, and teaching of self-management skills. Some studies focused on patient needs through a tailored intervention. No key components for a successful self-management intervention could be identified. Pharmacist-led self-management interventions improve HbA</w:t>
            </w:r>
            <w:r w:rsidRPr="0053404F">
              <w:rPr>
                <w:rFonts w:cstheme="minorHAnsi"/>
                <w:color w:val="111111"/>
                <w:sz w:val="16"/>
                <w:szCs w:val="16"/>
                <w:vertAlign w:val="subscript"/>
                <w:lang w:val="en"/>
              </w:rPr>
              <w:t>1c</w:t>
            </w:r>
            <w:r w:rsidRPr="00710F80">
              <w:rPr>
                <w:rFonts w:cstheme="minorHAnsi"/>
                <w:color w:val="111111"/>
                <w:sz w:val="16"/>
                <w:szCs w:val="16"/>
                <w:lang w:val="en"/>
              </w:rPr>
              <w:t xml:space="preserve"> levels with a mean of 0.71% (CI −0.91, −0.51; overall effect P &lt; 0.0001) and had a positive effect on blood pressure (SBP −5.20 mm Hg [−7.58; −2.92], DBP −3.51 mmHg [−6.00; −1.01]), BMI (−0.49 kg/m2 [−0.79; −0.19]), lipids (total cholesterol −0.19 </w:t>
            </w:r>
            <w:proofErr w:type="spellStart"/>
            <w:r w:rsidRPr="00710F80">
              <w:rPr>
                <w:rFonts w:cstheme="minorHAnsi"/>
                <w:color w:val="111111"/>
                <w:sz w:val="16"/>
                <w:szCs w:val="16"/>
                <w:lang w:val="en"/>
              </w:rPr>
              <w:t>mmol</w:t>
            </w:r>
            <w:proofErr w:type="spellEnd"/>
            <w:r w:rsidRPr="00710F80">
              <w:rPr>
                <w:rFonts w:cstheme="minorHAnsi"/>
                <w:color w:val="111111"/>
                <w:sz w:val="16"/>
                <w:szCs w:val="16"/>
                <w:lang w:val="en"/>
              </w:rPr>
              <w:t xml:space="preserve">/l [−0.33; −0.05], LDL-C </w:t>
            </w:r>
            <w:proofErr w:type="spellStart"/>
            <w:r w:rsidRPr="00710F80">
              <w:rPr>
                <w:rFonts w:cstheme="minorHAnsi"/>
                <w:color w:val="111111"/>
                <w:sz w:val="16"/>
                <w:szCs w:val="16"/>
                <w:lang w:val="en"/>
              </w:rPr>
              <w:t>mmol</w:t>
            </w:r>
            <w:proofErr w:type="spellEnd"/>
            <w:r w:rsidRPr="00710F80">
              <w:rPr>
                <w:rFonts w:cstheme="minorHAnsi"/>
                <w:color w:val="111111"/>
                <w:sz w:val="16"/>
                <w:szCs w:val="16"/>
                <w:lang w:val="en"/>
              </w:rPr>
              <w:t xml:space="preserve">/l −0.16 [−0.26; −0.06], HDL-C 0.32 </w:t>
            </w:r>
            <w:proofErr w:type="spellStart"/>
            <w:r w:rsidRPr="00710F80">
              <w:rPr>
                <w:rFonts w:cstheme="minorHAnsi"/>
                <w:color w:val="111111"/>
                <w:sz w:val="16"/>
                <w:szCs w:val="16"/>
                <w:lang w:val="en"/>
              </w:rPr>
              <w:t>mmol</w:t>
            </w:r>
            <w:proofErr w:type="spellEnd"/>
            <w:r w:rsidRPr="00710F80">
              <w:rPr>
                <w:rFonts w:cstheme="minorHAnsi"/>
                <w:color w:val="111111"/>
                <w:sz w:val="16"/>
                <w:szCs w:val="16"/>
                <w:lang w:val="en"/>
              </w:rPr>
              <w:t>/l [0.02; 0.61]), self-management skill development</w:t>
            </w:r>
            <w:r>
              <w:rPr>
                <w:rFonts w:cstheme="minorHAnsi"/>
                <w:color w:val="111111"/>
                <w:sz w:val="16"/>
                <w:szCs w:val="16"/>
                <w:lang w:val="en"/>
              </w:rPr>
              <w:t xml:space="preserve">, and adherence to medication. </w:t>
            </w:r>
          </w:p>
        </w:tc>
      </w:tr>
      <w:tr w:rsidR="00CE48CF" w:rsidTr="00D762F1">
        <w:tc>
          <w:tcPr>
            <w:tcW w:w="3841" w:type="dxa"/>
          </w:tcPr>
          <w:p w:rsidR="00CE48CF" w:rsidRPr="008B7145" w:rsidRDefault="007C7906" w:rsidP="008B7145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Bukhsh A et al, Efficacy</w:t>
            </w:r>
            <w:r w:rsidR="00CE48CF" w:rsidRPr="008B7145">
              <w:rPr>
                <w:noProof/>
                <w:sz w:val="16"/>
                <w:szCs w:val="16"/>
              </w:rPr>
              <w:t xml:space="preserve"> of Pharmacist Based Diabetes Educational Interventions on Clinical Outcomes of Adults With Type 2 Diabetes Mellitus: A Network Meta-Analysis. Frontiers in pharmacology. 2018;9:339-.</w:t>
            </w:r>
          </w:p>
          <w:p w:rsidR="00CE48CF" w:rsidRPr="007C7906" w:rsidRDefault="007C7906" w:rsidP="008B71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[37</w:t>
            </w:r>
            <w:r w:rsidRPr="007C7906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1121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Network meta-analysis</w:t>
            </w:r>
          </w:p>
        </w:tc>
        <w:tc>
          <w:tcPr>
            <w:tcW w:w="2456" w:type="dxa"/>
          </w:tcPr>
          <w:p w:rsidR="00CE48CF" w:rsidRPr="008B7145" w:rsidRDefault="00710F80" w:rsidP="00710F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randomised controlled trials</w:t>
            </w:r>
          </w:p>
        </w:tc>
        <w:tc>
          <w:tcPr>
            <w:tcW w:w="8033" w:type="dxa"/>
          </w:tcPr>
          <w:p w:rsidR="00CE48CF" w:rsidRPr="00710F80" w:rsidRDefault="00710F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"/>
              </w:rPr>
              <w:t>Network meta-analysis</w:t>
            </w:r>
            <w:r w:rsidRPr="00710F80">
              <w:rPr>
                <w:rFonts w:cstheme="minorHAnsi"/>
                <w:sz w:val="16"/>
                <w:szCs w:val="16"/>
                <w:lang w:val="en"/>
              </w:rPr>
              <w:t xml:space="preserve"> demonstrated that all interventions significantly lowered HbA</w:t>
            </w:r>
            <w:r w:rsidRPr="0053404F">
              <w:rPr>
                <w:rFonts w:cstheme="minorHAnsi"/>
                <w:sz w:val="16"/>
                <w:szCs w:val="16"/>
                <w:vertAlign w:val="subscript"/>
                <w:lang w:val="en"/>
              </w:rPr>
              <w:t>1c</w:t>
            </w:r>
            <w:r w:rsidRPr="00710F80">
              <w:rPr>
                <w:rFonts w:cstheme="minorHAnsi"/>
                <w:sz w:val="16"/>
                <w:szCs w:val="16"/>
                <w:lang w:val="en"/>
              </w:rPr>
              <w:t xml:space="preserve"> compared to usual care, but there was no statistical evidence from this study that one intervention was significantly better than the </w:t>
            </w:r>
            <w:proofErr w:type="gramStart"/>
            <w:r w:rsidRPr="00710F80">
              <w:rPr>
                <w:rFonts w:cstheme="minorHAnsi"/>
                <w:sz w:val="16"/>
                <w:szCs w:val="16"/>
                <w:lang w:val="en"/>
              </w:rPr>
              <w:t>other</w:t>
            </w:r>
            <w:proofErr w:type="gramEnd"/>
            <w:r w:rsidRPr="00710F80">
              <w:rPr>
                <w:rFonts w:cstheme="minorHAnsi"/>
                <w:sz w:val="16"/>
                <w:szCs w:val="16"/>
                <w:lang w:val="en"/>
              </w:rPr>
              <w:t xml:space="preserve"> for reducing HbA</w:t>
            </w:r>
            <w:r w:rsidRPr="0053404F">
              <w:rPr>
                <w:rFonts w:cstheme="minorHAnsi"/>
                <w:sz w:val="16"/>
                <w:szCs w:val="16"/>
                <w:vertAlign w:val="subscript"/>
                <w:lang w:val="en"/>
              </w:rPr>
              <w:t>1c</w:t>
            </w:r>
            <w:r w:rsidRPr="00710F80">
              <w:rPr>
                <w:rFonts w:cstheme="minorHAnsi"/>
                <w:sz w:val="16"/>
                <w:szCs w:val="16"/>
                <w:lang w:val="en"/>
              </w:rPr>
              <w:t>. Pharmacist based diabetes education plus pharmaceutical care showed maximum efficacy for reducing HbA</w:t>
            </w:r>
            <w:r w:rsidRPr="0053404F">
              <w:rPr>
                <w:rFonts w:cstheme="minorHAnsi"/>
                <w:sz w:val="16"/>
                <w:szCs w:val="16"/>
                <w:vertAlign w:val="subscript"/>
                <w:lang w:val="en"/>
              </w:rPr>
              <w:t>1c</w:t>
            </w:r>
            <w:r w:rsidRPr="00710F80">
              <w:rPr>
                <w:rFonts w:cstheme="minorHAnsi"/>
                <w:sz w:val="16"/>
                <w:szCs w:val="16"/>
                <w:lang w:val="en"/>
              </w:rPr>
              <w:t xml:space="preserve"> [-0.86, 95% CI -0.983, -0.727</w:t>
            </w:r>
            <w:proofErr w:type="gramStart"/>
            <w:r w:rsidRPr="00710F80">
              <w:rPr>
                <w:rFonts w:cstheme="minorHAnsi"/>
                <w:sz w:val="16"/>
                <w:szCs w:val="16"/>
                <w:lang w:val="en"/>
              </w:rPr>
              <w:t>;</w:t>
            </w:r>
            <w:proofErr w:type="gramEnd"/>
            <w:r w:rsidRPr="00710F80">
              <w:rPr>
                <w:rFonts w:cstheme="minorHAnsi"/>
                <w:sz w:val="16"/>
                <w:szCs w:val="16"/>
                <w:lang w:val="en"/>
              </w:rPr>
              <w:t xml:space="preserve"> </w:t>
            </w:r>
            <w:r w:rsidRPr="00710F80">
              <w:rPr>
                <w:rFonts w:cstheme="minorHAnsi"/>
                <w:i/>
                <w:iCs/>
                <w:sz w:val="16"/>
                <w:szCs w:val="16"/>
                <w:lang w:val="en"/>
              </w:rPr>
              <w:t>p</w:t>
            </w:r>
            <w:r w:rsidRPr="00710F80">
              <w:rPr>
                <w:rFonts w:cstheme="minorHAnsi"/>
                <w:sz w:val="16"/>
                <w:szCs w:val="16"/>
                <w:lang w:val="en"/>
              </w:rPr>
              <w:t xml:space="preserve"> &lt; 0.001]. Pharmacist based diabetes education plus pharmaceutical care was observed to be statistically significant in lowering levels of systolic blood pressure [-4.94; 95%CI -8.65, -1.23] and triglycerides levels [-0.26, 95%CI -0.51, -0.01], as compared to the interventions which involved diabetes education by pharmacist, and for body mass index (BMI) [-0.57; 95%CI -1.25, -0.12] in comparison to diabetes education by health care team involving pharmacist as member.</w:t>
            </w:r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pStyle w:val="EndNoteBibliography"/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Bukhsh A</w:t>
            </w:r>
            <w:r w:rsidR="007C7906">
              <w:rPr>
                <w:sz w:val="16"/>
                <w:szCs w:val="16"/>
              </w:rPr>
              <w:t xml:space="preserve"> et al,</w:t>
            </w:r>
            <w:r w:rsidRPr="008B7145">
              <w:rPr>
                <w:sz w:val="16"/>
                <w:szCs w:val="16"/>
              </w:rPr>
              <w:t xml:space="preserve"> Effectiveness of pharmacist-led educational interventions on self-care activities and glycemic control of type 2 diabetes patients: a systematic review and meta-analysis. Patient preference and adherence. 2018;12:2457-74.</w:t>
            </w:r>
          </w:p>
          <w:p w:rsidR="007C7906" w:rsidRPr="008B7145" w:rsidRDefault="007C7906" w:rsidP="008B7145">
            <w:pPr>
              <w:pStyle w:val="EndNoteBibliography"/>
              <w:rPr>
                <w:sz w:val="16"/>
                <w:szCs w:val="16"/>
              </w:rPr>
            </w:pPr>
            <w:r w:rsidRPr="007C7906">
              <w:rPr>
                <w:b/>
                <w:sz w:val="16"/>
                <w:szCs w:val="16"/>
              </w:rPr>
              <w:t>[40]</w:t>
            </w:r>
          </w:p>
          <w:p w:rsidR="00CE48CF" w:rsidRPr="008B7145" w:rsidRDefault="00CE48CF" w:rsidP="008B7145">
            <w:pPr>
              <w:pStyle w:val="EndNoteBibliography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Meta-analysis</w:t>
            </w:r>
          </w:p>
        </w:tc>
        <w:tc>
          <w:tcPr>
            <w:tcW w:w="2456" w:type="dxa"/>
          </w:tcPr>
          <w:p w:rsidR="00CE48CF" w:rsidRPr="008B7145" w:rsidRDefault="00BF2759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randomised controlled trials</w:t>
            </w:r>
          </w:p>
        </w:tc>
        <w:tc>
          <w:tcPr>
            <w:tcW w:w="8033" w:type="dxa"/>
          </w:tcPr>
          <w:p w:rsidR="00CE48CF" w:rsidRPr="00BF2759" w:rsidRDefault="00BF2759">
            <w:pPr>
              <w:rPr>
                <w:sz w:val="16"/>
                <w:szCs w:val="16"/>
              </w:rPr>
            </w:pPr>
            <w:r w:rsidRPr="00BF2759">
              <w:rPr>
                <w:sz w:val="16"/>
                <w:szCs w:val="16"/>
                <w:lang w:val="en"/>
              </w:rPr>
              <w:t xml:space="preserve">Meta-analysis demonstrated that pharmacist-led interventions had a significant effect on lowering </w:t>
            </w:r>
            <w:r w:rsidR="00EB2998">
              <w:rPr>
                <w:sz w:val="16"/>
                <w:szCs w:val="16"/>
                <w:lang w:val="en"/>
              </w:rPr>
              <w:t>HbA</w:t>
            </w:r>
            <w:r w:rsidR="00EB2998" w:rsidRPr="0053404F">
              <w:rPr>
                <w:sz w:val="16"/>
                <w:szCs w:val="16"/>
                <w:vertAlign w:val="subscript"/>
                <w:lang w:val="en"/>
              </w:rPr>
              <w:t>1c</w:t>
            </w:r>
            <w:r w:rsidRPr="00BF2759">
              <w:rPr>
                <w:sz w:val="16"/>
                <w:szCs w:val="16"/>
                <w:lang w:val="en"/>
              </w:rPr>
              <w:t xml:space="preserve"> (−0.66; 95% CI [−0.83, −0.50]; </w:t>
            </w:r>
            <w:r w:rsidRPr="00BF2759">
              <w:rPr>
                <w:rStyle w:val="Emphasis"/>
                <w:sz w:val="16"/>
                <w:szCs w:val="16"/>
                <w:lang w:val="en"/>
              </w:rPr>
              <w:t>I</w:t>
            </w:r>
            <w:r w:rsidRPr="00BF2759">
              <w:rPr>
                <w:sz w:val="16"/>
                <w:szCs w:val="16"/>
                <w:vertAlign w:val="superscript"/>
                <w:lang w:val="en"/>
              </w:rPr>
              <w:t>2</w:t>
            </w:r>
            <w:r w:rsidRPr="00BF2759">
              <w:rPr>
                <w:sz w:val="16"/>
                <w:szCs w:val="16"/>
                <w:lang w:val="en"/>
              </w:rPr>
              <w:t xml:space="preserve">=58.3%; </w:t>
            </w:r>
            <w:r w:rsidRPr="00BF2759">
              <w:rPr>
                <w:rStyle w:val="Emphasis"/>
                <w:sz w:val="16"/>
                <w:szCs w:val="16"/>
                <w:lang w:val="en"/>
              </w:rPr>
              <w:t>P</w:t>
            </w:r>
            <w:r w:rsidRPr="00BF2759">
              <w:rPr>
                <w:sz w:val="16"/>
                <w:szCs w:val="16"/>
                <w:lang w:val="en"/>
              </w:rPr>
              <w:t xml:space="preserve">=0.008), in comparison to usual care. Self-care activities were assessed by using Summary of Diabetes Self-care Activities tool in eight studies. Overall meta-analysis of self-care activities for included studies demonstrated a significant effect of pharmacist-led interventions on improvement of self-monitoring of blood glucose (1.62; 95% CI [0.92, 2.32]; </w:t>
            </w:r>
            <w:r w:rsidRPr="00BF2759">
              <w:rPr>
                <w:rStyle w:val="Emphasis"/>
                <w:sz w:val="16"/>
                <w:szCs w:val="16"/>
                <w:lang w:val="en"/>
              </w:rPr>
              <w:t>I</w:t>
            </w:r>
            <w:r w:rsidRPr="00BF2759">
              <w:rPr>
                <w:sz w:val="16"/>
                <w:szCs w:val="16"/>
                <w:vertAlign w:val="superscript"/>
                <w:lang w:val="en"/>
              </w:rPr>
              <w:t>2</w:t>
            </w:r>
            <w:r w:rsidRPr="00BF2759">
              <w:rPr>
                <w:sz w:val="16"/>
                <w:szCs w:val="16"/>
                <w:lang w:val="en"/>
              </w:rPr>
              <w:t xml:space="preserve">=70.5%; </w:t>
            </w:r>
            <w:r w:rsidRPr="00BF2759">
              <w:rPr>
                <w:rStyle w:val="Emphasis"/>
                <w:sz w:val="16"/>
                <w:szCs w:val="16"/>
                <w:lang w:val="en"/>
              </w:rPr>
              <w:t>P</w:t>
            </w:r>
            <w:r w:rsidRPr="00BF2759">
              <w:rPr>
                <w:sz w:val="16"/>
                <w:szCs w:val="16"/>
                <w:lang w:val="en"/>
              </w:rPr>
              <w:t xml:space="preserve">=0.005), foot care (1.20; 95% CI [0.49, 1.90]; </w:t>
            </w:r>
            <w:r w:rsidRPr="00BF2759">
              <w:rPr>
                <w:rStyle w:val="Emphasis"/>
                <w:sz w:val="16"/>
                <w:szCs w:val="16"/>
                <w:lang w:val="en"/>
              </w:rPr>
              <w:t>I</w:t>
            </w:r>
            <w:r w:rsidRPr="00BF2759">
              <w:rPr>
                <w:sz w:val="16"/>
                <w:szCs w:val="16"/>
                <w:vertAlign w:val="superscript"/>
                <w:lang w:val="en"/>
              </w:rPr>
              <w:t>2</w:t>
            </w:r>
            <w:r w:rsidRPr="00BF2759">
              <w:rPr>
                <w:sz w:val="16"/>
                <w:szCs w:val="16"/>
                <w:lang w:val="en"/>
              </w:rPr>
              <w:t xml:space="preserve">=95.0%; </w:t>
            </w:r>
            <w:r w:rsidRPr="00BF2759">
              <w:rPr>
                <w:rStyle w:val="Emphasis"/>
                <w:sz w:val="16"/>
                <w:szCs w:val="16"/>
                <w:lang w:val="en"/>
              </w:rPr>
              <w:t>P</w:t>
            </w:r>
            <w:r w:rsidRPr="00BF2759">
              <w:rPr>
                <w:sz w:val="16"/>
                <w:szCs w:val="16"/>
                <w:lang w:val="en"/>
              </w:rPr>
              <w:t xml:space="preserve">&lt;0.001), and overall diet (1.16; 95% CI [0.38, 1.93]; </w:t>
            </w:r>
            <w:r w:rsidRPr="00BF2759">
              <w:rPr>
                <w:rStyle w:val="Emphasis"/>
                <w:sz w:val="16"/>
                <w:szCs w:val="16"/>
                <w:lang w:val="en"/>
              </w:rPr>
              <w:t>I</w:t>
            </w:r>
            <w:r w:rsidRPr="00BF2759">
              <w:rPr>
                <w:sz w:val="16"/>
                <w:szCs w:val="16"/>
                <w:vertAlign w:val="superscript"/>
                <w:lang w:val="en"/>
              </w:rPr>
              <w:t>2</w:t>
            </w:r>
            <w:r w:rsidRPr="00BF2759">
              <w:rPr>
                <w:sz w:val="16"/>
                <w:szCs w:val="16"/>
                <w:lang w:val="en"/>
              </w:rPr>
              <w:t xml:space="preserve">=64.2%; </w:t>
            </w:r>
            <w:r w:rsidRPr="00BF2759">
              <w:rPr>
                <w:rStyle w:val="Emphasis"/>
                <w:sz w:val="16"/>
                <w:szCs w:val="16"/>
                <w:lang w:val="en"/>
              </w:rPr>
              <w:t>P</w:t>
            </w:r>
            <w:r w:rsidRPr="00BF2759">
              <w:rPr>
                <w:sz w:val="16"/>
                <w:szCs w:val="16"/>
                <w:lang w:val="en"/>
              </w:rPr>
              <w:t>=0.094).</w:t>
            </w:r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rPr>
                <w:noProof/>
                <w:sz w:val="16"/>
                <w:szCs w:val="16"/>
              </w:rPr>
            </w:pPr>
            <w:r w:rsidRPr="008B7145">
              <w:rPr>
                <w:noProof/>
                <w:sz w:val="16"/>
                <w:szCs w:val="16"/>
              </w:rPr>
              <w:t>Babar ZUD et al,  Glycemic control through pharmaceutical care: a meta-analysis of randomized controlled trials. Journal of Pharmaceutical Health Services Research. 2019;10(1):35-44.</w:t>
            </w:r>
          </w:p>
          <w:p w:rsidR="003F6749" w:rsidRPr="003F6749" w:rsidRDefault="003F6749" w:rsidP="008B7145">
            <w:pPr>
              <w:rPr>
                <w:b/>
                <w:noProof/>
                <w:sz w:val="16"/>
                <w:szCs w:val="16"/>
              </w:rPr>
            </w:pPr>
            <w:r w:rsidRPr="003F6749">
              <w:rPr>
                <w:b/>
                <w:noProof/>
                <w:sz w:val="16"/>
                <w:szCs w:val="16"/>
              </w:rPr>
              <w:t>[34]</w:t>
            </w:r>
          </w:p>
          <w:p w:rsidR="00CE48CF" w:rsidRPr="008B7145" w:rsidRDefault="00CE48CF" w:rsidP="008B7145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Systematic Review</w:t>
            </w:r>
          </w:p>
        </w:tc>
        <w:tc>
          <w:tcPr>
            <w:tcW w:w="2456" w:type="dxa"/>
          </w:tcPr>
          <w:p w:rsidR="00CE48CF" w:rsidRPr="00E3014D" w:rsidRDefault="00E3014D" w:rsidP="008B7145">
            <w:pPr>
              <w:rPr>
                <w:sz w:val="16"/>
                <w:szCs w:val="16"/>
              </w:rPr>
            </w:pPr>
            <w:r w:rsidRPr="00E3014D">
              <w:rPr>
                <w:sz w:val="16"/>
                <w:szCs w:val="16"/>
              </w:rPr>
              <w:t>13 randomised controlled trials</w:t>
            </w:r>
          </w:p>
        </w:tc>
        <w:tc>
          <w:tcPr>
            <w:tcW w:w="8033" w:type="dxa"/>
          </w:tcPr>
          <w:p w:rsidR="00CE48CF" w:rsidRPr="00E3014D" w:rsidRDefault="00E3014D" w:rsidP="008B7145">
            <w:pPr>
              <w:rPr>
                <w:rFonts w:cstheme="minorHAnsi"/>
                <w:sz w:val="16"/>
                <w:szCs w:val="16"/>
              </w:rPr>
            </w:pPr>
            <w:r w:rsidRPr="00E3014D">
              <w:rPr>
                <w:rFonts w:cstheme="minorHAnsi"/>
                <w:sz w:val="16"/>
                <w:szCs w:val="16"/>
                <w:shd w:val="clear" w:color="auto" w:fill="FFFFFF"/>
              </w:rPr>
              <w:t>The interventions included care plan development, medication reviews, patient education and counselling of patients with follow‐up. All RCTs reported statistically significant reductions in HbA</w:t>
            </w:r>
            <w:r w:rsidRPr="0053404F">
              <w:rPr>
                <w:rFonts w:cstheme="minorHAnsi"/>
                <w:sz w:val="16"/>
                <w:szCs w:val="16"/>
                <w:shd w:val="clear" w:color="auto" w:fill="FFFFFF"/>
                <w:vertAlign w:val="subscript"/>
              </w:rPr>
              <w:t>1c</w:t>
            </w:r>
            <w:r w:rsidRPr="00E3014D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in the intervention group (SMD = −0.97; 95% CI −1.21 to −0.73; </w:t>
            </w:r>
            <w:r w:rsidRPr="00E3014D">
              <w:rPr>
                <w:rFonts w:cstheme="minorHAnsi"/>
                <w:i/>
                <w:iCs/>
                <w:sz w:val="16"/>
                <w:szCs w:val="16"/>
              </w:rPr>
              <w:t>P </w:t>
            </w:r>
            <w:r w:rsidRPr="00E3014D">
              <w:rPr>
                <w:rFonts w:cstheme="minorHAnsi"/>
                <w:sz w:val="16"/>
                <w:szCs w:val="16"/>
                <w:shd w:val="clear" w:color="auto" w:fill="FFFFFF"/>
              </w:rPr>
              <w:t>=</w:t>
            </w:r>
            <w:r w:rsidRPr="00E3014D">
              <w:rPr>
                <w:rFonts w:cstheme="minorHAnsi"/>
                <w:i/>
                <w:iCs/>
                <w:sz w:val="16"/>
                <w:szCs w:val="16"/>
              </w:rPr>
              <w:t> </w:t>
            </w:r>
            <w:r w:rsidRPr="00E3014D">
              <w:rPr>
                <w:rFonts w:cstheme="minorHAnsi"/>
                <w:sz w:val="16"/>
                <w:szCs w:val="16"/>
                <w:shd w:val="clear" w:color="auto" w:fill="FFFFFF"/>
              </w:rPr>
              <w:t>0.00001) as compared to the control group. Significant heterogeneity in SMD (χ</w:t>
            </w:r>
            <w:r w:rsidRPr="00E3014D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E3014D">
              <w:rPr>
                <w:rFonts w:cstheme="minorHAnsi"/>
                <w:sz w:val="16"/>
                <w:szCs w:val="16"/>
                <w:shd w:val="clear" w:color="auto" w:fill="FFFFFF"/>
              </w:rPr>
              <w:t> = 68.96) was observed.</w:t>
            </w:r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rPr>
                <w:noProof/>
                <w:sz w:val="16"/>
                <w:szCs w:val="16"/>
              </w:rPr>
            </w:pPr>
            <w:r w:rsidRPr="008B7145">
              <w:rPr>
                <w:noProof/>
                <w:sz w:val="16"/>
                <w:szCs w:val="16"/>
              </w:rPr>
              <w:t>Presley B et al, Pharmacy-led interventions to improve medication adherence among adults with diabetes: A systematic review and meta-analysis. Research In Social &amp; Administrative Pharmacy: RSAP. 2019;15(9):1057-67.</w:t>
            </w:r>
          </w:p>
          <w:p w:rsidR="003F6749" w:rsidRPr="003F6749" w:rsidRDefault="003F6749" w:rsidP="008B7145">
            <w:pPr>
              <w:rPr>
                <w:b/>
                <w:noProof/>
                <w:sz w:val="16"/>
                <w:szCs w:val="16"/>
              </w:rPr>
            </w:pPr>
            <w:r w:rsidRPr="003F6749">
              <w:rPr>
                <w:b/>
                <w:noProof/>
                <w:sz w:val="16"/>
                <w:szCs w:val="16"/>
              </w:rPr>
              <w:t>[35]</w:t>
            </w:r>
          </w:p>
          <w:p w:rsidR="00CE48CF" w:rsidRPr="008B7145" w:rsidRDefault="00CE48CF" w:rsidP="008B7145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121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Meta-analysis</w:t>
            </w:r>
          </w:p>
        </w:tc>
        <w:tc>
          <w:tcPr>
            <w:tcW w:w="2456" w:type="dxa"/>
          </w:tcPr>
          <w:p w:rsidR="00CE48CF" w:rsidRPr="008B7145" w:rsidRDefault="00BF2759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randomised controlled trials</w:t>
            </w:r>
          </w:p>
        </w:tc>
        <w:tc>
          <w:tcPr>
            <w:tcW w:w="8033" w:type="dxa"/>
          </w:tcPr>
          <w:p w:rsidR="00CE48CF" w:rsidRPr="00BF2759" w:rsidRDefault="00BF2759" w:rsidP="008B7145">
            <w:pPr>
              <w:rPr>
                <w:rFonts w:cstheme="minorHAnsi"/>
                <w:sz w:val="16"/>
                <w:szCs w:val="16"/>
              </w:rPr>
            </w:pPr>
            <w:r w:rsidRPr="00BF275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Pharmacist-led interventions enhanced outcomes in patients with diabetes (standardized mean difference (SMD) -0.68; 95% CI -0.79, -0.58; p &lt; 0.001). Sub-group analysis by intervention strategy, the type of intervention and outcome measures produced similar results. Further analysis showed that education, printed/digital material, training/group discussion, were more effective than other interventions.</w:t>
            </w:r>
          </w:p>
        </w:tc>
      </w:tr>
      <w:tr w:rsidR="00CE48CF" w:rsidTr="00D762F1">
        <w:tc>
          <w:tcPr>
            <w:tcW w:w="3841" w:type="dxa"/>
          </w:tcPr>
          <w:p w:rsidR="00CE48CF" w:rsidRDefault="00CE48CF" w:rsidP="008B7145">
            <w:pPr>
              <w:rPr>
                <w:sz w:val="16"/>
                <w:szCs w:val="16"/>
              </w:rPr>
            </w:pPr>
            <w:proofErr w:type="spellStart"/>
            <w:r w:rsidRPr="008B7145">
              <w:rPr>
                <w:sz w:val="16"/>
                <w:szCs w:val="16"/>
              </w:rPr>
              <w:t>Soprovich</w:t>
            </w:r>
            <w:proofErr w:type="spellEnd"/>
            <w:r w:rsidRPr="008B7145">
              <w:rPr>
                <w:sz w:val="16"/>
                <w:szCs w:val="16"/>
              </w:rPr>
              <w:t xml:space="preserve"> AL et al, Systematic review of community pharmacy–based and pharmacist-led foot care interventions for adults with type 2 diabetes. Canadian Pharmacists Journal. 2019</w:t>
            </w:r>
            <w:proofErr w:type="gramStart"/>
            <w:r w:rsidRPr="008B7145">
              <w:rPr>
                <w:sz w:val="16"/>
                <w:szCs w:val="16"/>
              </w:rPr>
              <w:t>;152</w:t>
            </w:r>
            <w:proofErr w:type="gramEnd"/>
            <w:r w:rsidRPr="008B7145">
              <w:rPr>
                <w:sz w:val="16"/>
                <w:szCs w:val="16"/>
              </w:rPr>
              <w:t>(2):109-16.</w:t>
            </w:r>
          </w:p>
          <w:p w:rsidR="003F6749" w:rsidRPr="003F6749" w:rsidRDefault="003F6749" w:rsidP="008B7145">
            <w:pPr>
              <w:rPr>
                <w:b/>
                <w:noProof/>
                <w:sz w:val="16"/>
                <w:szCs w:val="16"/>
              </w:rPr>
            </w:pPr>
            <w:r w:rsidRPr="003F6749">
              <w:rPr>
                <w:b/>
                <w:sz w:val="16"/>
                <w:szCs w:val="16"/>
              </w:rPr>
              <w:t>[43]</w:t>
            </w:r>
          </w:p>
        </w:tc>
        <w:tc>
          <w:tcPr>
            <w:tcW w:w="1121" w:type="dxa"/>
          </w:tcPr>
          <w:p w:rsidR="00CE48CF" w:rsidRPr="008B7145" w:rsidRDefault="00CE48CF" w:rsidP="008B7145">
            <w:pPr>
              <w:rPr>
                <w:sz w:val="16"/>
                <w:szCs w:val="16"/>
              </w:rPr>
            </w:pPr>
            <w:r w:rsidRPr="008B7145">
              <w:rPr>
                <w:sz w:val="16"/>
                <w:szCs w:val="16"/>
              </w:rPr>
              <w:t>Systematic Review</w:t>
            </w:r>
          </w:p>
        </w:tc>
        <w:tc>
          <w:tcPr>
            <w:tcW w:w="2456" w:type="dxa"/>
          </w:tcPr>
          <w:p w:rsidR="00CE48CF" w:rsidRPr="008B7145" w:rsidRDefault="00BF2759" w:rsidP="008B7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studies ( 2 were randomised controlled trials)</w:t>
            </w:r>
          </w:p>
        </w:tc>
        <w:tc>
          <w:tcPr>
            <w:tcW w:w="8033" w:type="dxa"/>
          </w:tcPr>
          <w:p w:rsidR="00CE48CF" w:rsidRPr="00BF2759" w:rsidRDefault="00BF2759" w:rsidP="008B7145">
            <w:pPr>
              <w:rPr>
                <w:sz w:val="16"/>
                <w:szCs w:val="16"/>
              </w:rPr>
            </w:pPr>
            <w:r w:rsidRPr="00BF2759">
              <w:rPr>
                <w:color w:val="000000"/>
                <w:sz w:val="16"/>
                <w:szCs w:val="16"/>
                <w:shd w:val="clear" w:color="auto" w:fill="FFFFFF"/>
              </w:rPr>
              <w:t>Six out of 7 studies reported significantly positive findings related to foot care practices.</w:t>
            </w:r>
          </w:p>
        </w:tc>
      </w:tr>
    </w:tbl>
    <w:p w:rsidR="00927CCA" w:rsidRDefault="00927CCA"/>
    <w:sectPr w:rsidR="00927CCA" w:rsidSect="00DA2D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13"/>
    <w:rsid w:val="00116644"/>
    <w:rsid w:val="00126870"/>
    <w:rsid w:val="001D5376"/>
    <w:rsid w:val="001E3F7F"/>
    <w:rsid w:val="00202FD4"/>
    <w:rsid w:val="00255E08"/>
    <w:rsid w:val="002C475D"/>
    <w:rsid w:val="002F2F36"/>
    <w:rsid w:val="00386F35"/>
    <w:rsid w:val="003F0CAA"/>
    <w:rsid w:val="003F6749"/>
    <w:rsid w:val="004062B2"/>
    <w:rsid w:val="00437853"/>
    <w:rsid w:val="004471A5"/>
    <w:rsid w:val="00447BCA"/>
    <w:rsid w:val="0053404F"/>
    <w:rsid w:val="005401A1"/>
    <w:rsid w:val="005A60C8"/>
    <w:rsid w:val="005D657F"/>
    <w:rsid w:val="00662CA1"/>
    <w:rsid w:val="00663345"/>
    <w:rsid w:val="006B72EC"/>
    <w:rsid w:val="006D2A21"/>
    <w:rsid w:val="00710F80"/>
    <w:rsid w:val="007201DF"/>
    <w:rsid w:val="00755577"/>
    <w:rsid w:val="007C114A"/>
    <w:rsid w:val="007C668A"/>
    <w:rsid w:val="007C7906"/>
    <w:rsid w:val="00877805"/>
    <w:rsid w:val="008B7145"/>
    <w:rsid w:val="009137AA"/>
    <w:rsid w:val="00927CCA"/>
    <w:rsid w:val="0099736E"/>
    <w:rsid w:val="00A518F6"/>
    <w:rsid w:val="00A963DE"/>
    <w:rsid w:val="00AF0C5A"/>
    <w:rsid w:val="00B40481"/>
    <w:rsid w:val="00B73094"/>
    <w:rsid w:val="00BB1B5D"/>
    <w:rsid w:val="00BC4332"/>
    <w:rsid w:val="00BF2759"/>
    <w:rsid w:val="00C342B5"/>
    <w:rsid w:val="00C84EFF"/>
    <w:rsid w:val="00CD4315"/>
    <w:rsid w:val="00CE48CF"/>
    <w:rsid w:val="00CF3CA0"/>
    <w:rsid w:val="00D75D08"/>
    <w:rsid w:val="00D762F1"/>
    <w:rsid w:val="00D80649"/>
    <w:rsid w:val="00DA2D13"/>
    <w:rsid w:val="00DC0B18"/>
    <w:rsid w:val="00DE4280"/>
    <w:rsid w:val="00E3014D"/>
    <w:rsid w:val="00EB2998"/>
    <w:rsid w:val="00EE1BA2"/>
    <w:rsid w:val="00F41D44"/>
    <w:rsid w:val="00F61C8A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88EF4-EF0A-47D1-BF2A-C21C27B0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7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9137A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137AA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471A5"/>
    <w:rPr>
      <w:strike w:val="0"/>
      <w:dstrike w:val="0"/>
      <w:color w:val="007398"/>
      <w:u w:val="none"/>
      <w:effect w:val="none"/>
      <w:shd w:val="clear" w:color="auto" w:fill="auto"/>
    </w:rPr>
  </w:style>
  <w:style w:type="character" w:styleId="Emphasis">
    <w:name w:val="Emphasis"/>
    <w:basedOn w:val="DefaultParagraphFont"/>
    <w:uiPriority w:val="20"/>
    <w:qFormat/>
    <w:rsid w:val="004471A5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CE48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C17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17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3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647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8735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7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962253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2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19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9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8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251345">
                                                                          <w:marLeft w:val="105"/>
                                                                          <w:marRight w:val="105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599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58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22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33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520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184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887126">
                                                                                                      <w:marLeft w:val="105"/>
                                                                                                      <w:marRight w:val="105"/>
                                                                                                      <w:marTop w:val="105"/>
                                                                                                      <w:marBottom w:val="10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07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2902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680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6845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4694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7133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2663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737551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2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7729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3339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7666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9237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306833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34352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topics/biochemistry-genetics-and-molecular-biology/glucose-blood-le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B266-ED99-41F8-A907-0A7473C3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2534</Words>
  <Characters>14444</Characters>
  <Application>Microsoft Office Word</Application>
  <DocSecurity>4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Brewster, Sarah</dc:creator>
  <cp:keywords/>
  <dc:description/>
  <cp:lastModifiedBy>Hickman J. (Medicine)</cp:lastModifiedBy>
  <cp:revision>2</cp:revision>
  <dcterms:created xsi:type="dcterms:W3CDTF">2020-04-21T11:47:00Z</dcterms:created>
  <dcterms:modified xsi:type="dcterms:W3CDTF">2020-04-21T11:47:00Z</dcterms:modified>
</cp:coreProperties>
</file>