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C603A" w14:textId="77777777" w:rsidR="008C607B" w:rsidRDefault="00F00DC2" w:rsidP="008E15B7">
      <w:pPr>
        <w:pStyle w:val="NoSpacing"/>
        <w:spacing w:after="120" w:line="480" w:lineRule="auto"/>
        <w:ind w:firstLine="720"/>
        <w:jc w:val="center"/>
        <w:rPr>
          <w:rFonts w:cs="Times New Roman"/>
          <w:b/>
          <w:sz w:val="32"/>
          <w:szCs w:val="24"/>
          <w:lang w:val="en-GB"/>
        </w:rPr>
      </w:pPr>
      <w:bookmarkStart w:id="0" w:name="_GoBack"/>
      <w:bookmarkEnd w:id="0"/>
      <w:r w:rsidRPr="008C607B">
        <w:rPr>
          <w:rFonts w:cs="Times New Roman"/>
          <w:b/>
          <w:sz w:val="32"/>
          <w:szCs w:val="24"/>
          <w:lang w:val="en-GB"/>
        </w:rPr>
        <w:t xml:space="preserve">Mutational mechanisms of </w:t>
      </w:r>
      <w:r w:rsidRPr="008C607B">
        <w:rPr>
          <w:rFonts w:cs="Times New Roman"/>
          <w:b/>
          <w:i/>
          <w:sz w:val="32"/>
          <w:szCs w:val="24"/>
          <w:lang w:val="en-GB"/>
        </w:rPr>
        <w:t>EZH2</w:t>
      </w:r>
      <w:r w:rsidRPr="008C607B">
        <w:rPr>
          <w:rFonts w:cs="Times New Roman"/>
          <w:b/>
          <w:sz w:val="32"/>
          <w:szCs w:val="24"/>
          <w:lang w:val="en-GB"/>
        </w:rPr>
        <w:t xml:space="preserve"> inactivation in </w:t>
      </w:r>
    </w:p>
    <w:p w14:paraId="17BC603B" w14:textId="77777777" w:rsidR="00F00DC2" w:rsidRPr="008C607B" w:rsidRDefault="00F00DC2" w:rsidP="008E15B7">
      <w:pPr>
        <w:pStyle w:val="NoSpacing"/>
        <w:spacing w:after="120" w:line="480" w:lineRule="auto"/>
        <w:ind w:firstLine="720"/>
        <w:jc w:val="center"/>
        <w:rPr>
          <w:rFonts w:cs="Times New Roman"/>
          <w:b/>
          <w:sz w:val="32"/>
          <w:szCs w:val="24"/>
          <w:lang w:val="en-GB"/>
        </w:rPr>
      </w:pPr>
      <w:r w:rsidRPr="008C607B">
        <w:rPr>
          <w:rFonts w:cs="Times New Roman"/>
          <w:b/>
          <w:sz w:val="32"/>
          <w:szCs w:val="24"/>
          <w:lang w:val="en-GB"/>
        </w:rPr>
        <w:t>myeloid neoplasms</w:t>
      </w:r>
    </w:p>
    <w:p w14:paraId="17BC603C" w14:textId="77777777" w:rsidR="00F00DC2" w:rsidRPr="003E3A93" w:rsidRDefault="00F00DC2" w:rsidP="008E15B7">
      <w:pPr>
        <w:pStyle w:val="NoSpacing"/>
        <w:spacing w:after="120" w:line="480" w:lineRule="auto"/>
        <w:ind w:firstLine="720"/>
        <w:jc w:val="center"/>
        <w:rPr>
          <w:rFonts w:cs="Times New Roman"/>
          <w:b/>
          <w:sz w:val="24"/>
          <w:szCs w:val="24"/>
          <w:lang w:val="en-GB"/>
        </w:rPr>
      </w:pPr>
    </w:p>
    <w:p w14:paraId="17BC603D" w14:textId="77777777" w:rsidR="00F00DC2" w:rsidRDefault="00F00DC2" w:rsidP="00497375">
      <w:pPr>
        <w:pStyle w:val="NoSpacing"/>
        <w:spacing w:after="120" w:line="480" w:lineRule="auto"/>
        <w:jc w:val="center"/>
        <w:rPr>
          <w:rFonts w:cs="Times New Roman"/>
          <w:sz w:val="24"/>
          <w:szCs w:val="24"/>
          <w:lang w:val="en-GB"/>
        </w:rPr>
      </w:pPr>
      <w:r w:rsidRPr="00497375">
        <w:rPr>
          <w:rFonts w:cs="Times New Roman"/>
          <w:b/>
          <w:sz w:val="24"/>
          <w:szCs w:val="24"/>
          <w:lang w:val="en-GB"/>
        </w:rPr>
        <w:t>Running title:</w:t>
      </w:r>
      <w:r>
        <w:rPr>
          <w:rFonts w:cs="Times New Roman"/>
          <w:sz w:val="24"/>
          <w:szCs w:val="24"/>
          <w:lang w:val="en-GB"/>
        </w:rPr>
        <w:t xml:space="preserve"> </w:t>
      </w:r>
      <w:r w:rsidRPr="00497375">
        <w:rPr>
          <w:rFonts w:cs="Times New Roman"/>
          <w:i/>
          <w:sz w:val="24"/>
          <w:szCs w:val="24"/>
          <w:lang w:val="en-GB"/>
        </w:rPr>
        <w:t>EZH2</w:t>
      </w:r>
      <w:r>
        <w:rPr>
          <w:rFonts w:cs="Times New Roman"/>
          <w:sz w:val="24"/>
          <w:szCs w:val="24"/>
          <w:lang w:val="en-GB"/>
        </w:rPr>
        <w:t xml:space="preserve"> missense mutations in myeloid neoplasia</w:t>
      </w:r>
    </w:p>
    <w:p w14:paraId="17BC603E" w14:textId="77777777" w:rsidR="00F00DC2" w:rsidRDefault="00F00DC2" w:rsidP="00497375">
      <w:pPr>
        <w:pStyle w:val="NoSpacing"/>
        <w:spacing w:after="120" w:line="480" w:lineRule="auto"/>
        <w:jc w:val="center"/>
        <w:rPr>
          <w:rFonts w:cs="Times New Roman"/>
          <w:sz w:val="24"/>
          <w:szCs w:val="24"/>
          <w:lang w:val="en-GB"/>
        </w:rPr>
      </w:pPr>
    </w:p>
    <w:p w14:paraId="17BC603F" w14:textId="77777777" w:rsidR="00C47896" w:rsidRPr="003E3A93" w:rsidRDefault="00C47896" w:rsidP="00497375">
      <w:pPr>
        <w:pStyle w:val="NoSpacing"/>
        <w:spacing w:after="120" w:line="480" w:lineRule="auto"/>
        <w:jc w:val="center"/>
        <w:rPr>
          <w:rFonts w:cs="Times New Roman"/>
          <w:sz w:val="24"/>
          <w:szCs w:val="24"/>
          <w:lang w:val="en-GB"/>
        </w:rPr>
      </w:pPr>
    </w:p>
    <w:p w14:paraId="17BC6040" w14:textId="77777777" w:rsidR="00F00DC2" w:rsidRPr="00F5492F" w:rsidRDefault="00F00DC2" w:rsidP="008E15B7">
      <w:pPr>
        <w:spacing w:line="480" w:lineRule="auto"/>
        <w:jc w:val="center"/>
        <w:rPr>
          <w:sz w:val="24"/>
          <w:szCs w:val="24"/>
        </w:rPr>
      </w:pPr>
      <w:r w:rsidRPr="003E3A93">
        <w:rPr>
          <w:sz w:val="24"/>
          <w:szCs w:val="24"/>
        </w:rPr>
        <w:t>Andrew Chase</w:t>
      </w:r>
      <w:r w:rsidRPr="003E3A93">
        <w:rPr>
          <w:sz w:val="24"/>
          <w:szCs w:val="24"/>
          <w:vertAlign w:val="superscript"/>
        </w:rPr>
        <w:t>1,2</w:t>
      </w:r>
      <w:r w:rsidRPr="003E3A93">
        <w:rPr>
          <w:sz w:val="24"/>
          <w:szCs w:val="24"/>
        </w:rPr>
        <w:t xml:space="preserve">, </w:t>
      </w:r>
      <w:proofErr w:type="spellStart"/>
      <w:r>
        <w:rPr>
          <w:sz w:val="24"/>
          <w:szCs w:val="24"/>
        </w:rPr>
        <w:t>Jo</w:t>
      </w:r>
      <w:r w:rsidRPr="003E3A93">
        <w:rPr>
          <w:sz w:val="24"/>
          <w:szCs w:val="24"/>
        </w:rPr>
        <w:t>anna</w:t>
      </w:r>
      <w:r>
        <w:rPr>
          <w:sz w:val="24"/>
          <w:szCs w:val="24"/>
        </w:rPr>
        <w:t>h</w:t>
      </w:r>
      <w:proofErr w:type="spellEnd"/>
      <w:r w:rsidRPr="003E3A93">
        <w:rPr>
          <w:sz w:val="24"/>
          <w:szCs w:val="24"/>
        </w:rPr>
        <w:t xml:space="preserve"> Score</w:t>
      </w:r>
      <w:r w:rsidRPr="003E3A93">
        <w:rPr>
          <w:sz w:val="24"/>
          <w:szCs w:val="24"/>
          <w:vertAlign w:val="superscript"/>
        </w:rPr>
        <w:t>1,2</w:t>
      </w:r>
      <w:r w:rsidRPr="003E3A93">
        <w:rPr>
          <w:sz w:val="24"/>
          <w:szCs w:val="24"/>
        </w:rPr>
        <w:t>, Feng Lin</w:t>
      </w:r>
      <w:r w:rsidRPr="003E3A93">
        <w:rPr>
          <w:sz w:val="24"/>
          <w:szCs w:val="24"/>
          <w:vertAlign w:val="superscript"/>
        </w:rPr>
        <w:t>1,2</w:t>
      </w:r>
      <w:r w:rsidRPr="003E3A93">
        <w:rPr>
          <w:sz w:val="24"/>
          <w:szCs w:val="24"/>
        </w:rPr>
        <w:t xml:space="preserve">, </w:t>
      </w:r>
      <w:r>
        <w:rPr>
          <w:sz w:val="24"/>
          <w:szCs w:val="24"/>
        </w:rPr>
        <w:t>Catherine Bryant</w:t>
      </w:r>
      <w:r w:rsidRPr="00CE4A1B">
        <w:rPr>
          <w:sz w:val="24"/>
          <w:szCs w:val="24"/>
          <w:vertAlign w:val="superscript"/>
        </w:rPr>
        <w:t>1,</w:t>
      </w:r>
      <w:r w:rsidRPr="003E3A93">
        <w:rPr>
          <w:sz w:val="24"/>
          <w:szCs w:val="24"/>
          <w:vertAlign w:val="superscript"/>
        </w:rPr>
        <w:t>2</w:t>
      </w:r>
      <w:r w:rsidRPr="003E3A93">
        <w:rPr>
          <w:sz w:val="24"/>
          <w:szCs w:val="24"/>
        </w:rPr>
        <w:t xml:space="preserve">, </w:t>
      </w:r>
      <w:r>
        <w:rPr>
          <w:sz w:val="24"/>
          <w:szCs w:val="24"/>
        </w:rPr>
        <w:t>Katherine Waghorn</w:t>
      </w:r>
      <w:r w:rsidRPr="003E3A93">
        <w:rPr>
          <w:sz w:val="24"/>
          <w:szCs w:val="24"/>
          <w:vertAlign w:val="superscript"/>
        </w:rPr>
        <w:t>1,2</w:t>
      </w:r>
      <w:r w:rsidRPr="003E3A93">
        <w:rPr>
          <w:sz w:val="24"/>
          <w:szCs w:val="24"/>
        </w:rPr>
        <w:t xml:space="preserve">, </w:t>
      </w:r>
      <w:r w:rsidR="00F12024" w:rsidRPr="0098344C">
        <w:rPr>
          <w:sz w:val="24"/>
          <w:szCs w:val="24"/>
        </w:rPr>
        <w:t>Sarah Yapp</w:t>
      </w:r>
      <w:r w:rsidR="00F12024" w:rsidRPr="0098344C">
        <w:rPr>
          <w:sz w:val="24"/>
          <w:szCs w:val="24"/>
          <w:vertAlign w:val="superscript"/>
        </w:rPr>
        <w:t>1,2</w:t>
      </w:r>
      <w:r w:rsidR="00F12024" w:rsidRPr="0098344C">
        <w:rPr>
          <w:sz w:val="24"/>
          <w:szCs w:val="24"/>
        </w:rPr>
        <w:t xml:space="preserve">, </w:t>
      </w:r>
      <w:r w:rsidRPr="0098344C">
        <w:rPr>
          <w:sz w:val="24"/>
          <w:szCs w:val="24"/>
        </w:rPr>
        <w:t>Gonzalo Carreno-Tarragona</w:t>
      </w:r>
      <w:r w:rsidRPr="0098344C">
        <w:rPr>
          <w:sz w:val="24"/>
          <w:szCs w:val="24"/>
          <w:vertAlign w:val="superscript"/>
        </w:rPr>
        <w:t>3</w:t>
      </w:r>
      <w:r w:rsidRPr="0098344C">
        <w:rPr>
          <w:sz w:val="24"/>
          <w:szCs w:val="24"/>
        </w:rPr>
        <w:t>, Paula Aranaz</w:t>
      </w:r>
      <w:r w:rsidRPr="0098344C">
        <w:rPr>
          <w:sz w:val="24"/>
          <w:szCs w:val="24"/>
          <w:vertAlign w:val="superscript"/>
        </w:rPr>
        <w:t>4</w:t>
      </w:r>
      <w:r w:rsidRPr="0098344C">
        <w:rPr>
          <w:sz w:val="24"/>
          <w:szCs w:val="24"/>
        </w:rPr>
        <w:t xml:space="preserve">, </w:t>
      </w:r>
      <w:proofErr w:type="spellStart"/>
      <w:r w:rsidRPr="0098344C">
        <w:rPr>
          <w:sz w:val="24"/>
          <w:szCs w:val="24"/>
        </w:rPr>
        <w:t>Aranzazu</w:t>
      </w:r>
      <w:proofErr w:type="spellEnd"/>
      <w:r w:rsidRPr="0098344C">
        <w:rPr>
          <w:sz w:val="24"/>
          <w:szCs w:val="24"/>
        </w:rPr>
        <w:t xml:space="preserve"> Villasante</w:t>
      </w:r>
      <w:r w:rsidRPr="0098344C">
        <w:rPr>
          <w:sz w:val="24"/>
          <w:szCs w:val="24"/>
          <w:vertAlign w:val="superscript"/>
        </w:rPr>
        <w:t>5,6</w:t>
      </w:r>
      <w:r w:rsidRPr="0098344C">
        <w:rPr>
          <w:sz w:val="24"/>
          <w:szCs w:val="24"/>
        </w:rPr>
        <w:t>, Thomas</w:t>
      </w:r>
      <w:r>
        <w:rPr>
          <w:sz w:val="24"/>
          <w:szCs w:val="24"/>
        </w:rPr>
        <w:t xml:space="preserve"> Ernst</w:t>
      </w:r>
      <w:r>
        <w:rPr>
          <w:sz w:val="24"/>
          <w:szCs w:val="24"/>
          <w:vertAlign w:val="superscript"/>
        </w:rPr>
        <w:t>7</w:t>
      </w:r>
      <w:r w:rsidR="00F12024">
        <w:rPr>
          <w:sz w:val="24"/>
          <w:szCs w:val="24"/>
        </w:rPr>
        <w:t xml:space="preserve">, </w:t>
      </w:r>
      <w:r>
        <w:rPr>
          <w:sz w:val="24"/>
          <w:szCs w:val="24"/>
        </w:rPr>
        <w:t>Nicholas C. P. Cross</w:t>
      </w:r>
      <w:r w:rsidRPr="003E3A93">
        <w:rPr>
          <w:sz w:val="24"/>
          <w:szCs w:val="24"/>
          <w:vertAlign w:val="superscript"/>
        </w:rPr>
        <w:t>1,2</w:t>
      </w:r>
    </w:p>
    <w:p w14:paraId="17BC6041" w14:textId="77777777" w:rsidR="00C47896" w:rsidRDefault="00C47896" w:rsidP="008E15B7">
      <w:pPr>
        <w:pStyle w:val="NoSpacing"/>
        <w:spacing w:after="240" w:line="480" w:lineRule="auto"/>
        <w:contextualSpacing/>
        <w:jc w:val="both"/>
        <w:rPr>
          <w:rFonts w:cstheme="minorHAnsi"/>
          <w:sz w:val="24"/>
          <w:szCs w:val="24"/>
          <w:vertAlign w:val="superscript"/>
        </w:rPr>
      </w:pPr>
    </w:p>
    <w:p w14:paraId="17BC6042" w14:textId="77777777" w:rsidR="00F00DC2" w:rsidRPr="003E3A93" w:rsidRDefault="00F00DC2" w:rsidP="008E15B7">
      <w:pPr>
        <w:pStyle w:val="NoSpacing"/>
        <w:spacing w:after="240" w:line="480" w:lineRule="auto"/>
        <w:contextualSpacing/>
        <w:jc w:val="both"/>
        <w:rPr>
          <w:rFonts w:cstheme="minorHAnsi"/>
          <w:sz w:val="24"/>
          <w:szCs w:val="24"/>
        </w:rPr>
      </w:pPr>
      <w:r w:rsidRPr="003E3A93">
        <w:rPr>
          <w:rFonts w:cstheme="minorHAnsi"/>
          <w:sz w:val="24"/>
          <w:szCs w:val="24"/>
          <w:vertAlign w:val="superscript"/>
        </w:rPr>
        <w:t>1</w:t>
      </w:r>
      <w:r w:rsidRPr="003E3A93">
        <w:rPr>
          <w:rFonts w:cstheme="minorHAnsi"/>
          <w:sz w:val="24"/>
          <w:szCs w:val="24"/>
        </w:rPr>
        <w:t xml:space="preserve"> Faculty of Medicine, University of Southampton, Southampton, UK</w:t>
      </w:r>
    </w:p>
    <w:p w14:paraId="17BC6043" w14:textId="77777777" w:rsidR="00F00DC2" w:rsidRPr="003E3A93" w:rsidRDefault="00F00DC2" w:rsidP="008E15B7">
      <w:pPr>
        <w:pStyle w:val="NoSpacing"/>
        <w:spacing w:after="240" w:line="480" w:lineRule="auto"/>
        <w:contextualSpacing/>
        <w:jc w:val="both"/>
        <w:rPr>
          <w:rFonts w:cstheme="minorHAnsi"/>
          <w:sz w:val="24"/>
          <w:szCs w:val="24"/>
        </w:rPr>
      </w:pPr>
      <w:r w:rsidRPr="003E3A93">
        <w:rPr>
          <w:rFonts w:cstheme="minorHAnsi"/>
          <w:sz w:val="24"/>
          <w:szCs w:val="24"/>
          <w:vertAlign w:val="superscript"/>
        </w:rPr>
        <w:t>2</w:t>
      </w:r>
      <w:r w:rsidRPr="003E3A93">
        <w:rPr>
          <w:rFonts w:cstheme="minorHAnsi"/>
          <w:sz w:val="24"/>
          <w:szCs w:val="24"/>
        </w:rPr>
        <w:t xml:space="preserve"> Wessex Regional Genetics Laboratory, Salisbury NHS Foundation Trust, Salisbury, UK</w:t>
      </w:r>
    </w:p>
    <w:p w14:paraId="17BC6044" w14:textId="77777777" w:rsidR="00F00DC2" w:rsidRPr="00C47896" w:rsidRDefault="00F00DC2" w:rsidP="00C47896">
      <w:pPr>
        <w:pStyle w:val="NoSpacing"/>
        <w:spacing w:after="240" w:line="480" w:lineRule="auto"/>
        <w:contextualSpacing/>
        <w:rPr>
          <w:rFonts w:cstheme="minorHAnsi"/>
          <w:sz w:val="24"/>
          <w:szCs w:val="24"/>
        </w:rPr>
      </w:pPr>
      <w:r w:rsidRPr="00953CFA">
        <w:rPr>
          <w:rFonts w:cstheme="minorHAnsi"/>
          <w:sz w:val="24"/>
          <w:szCs w:val="24"/>
          <w:vertAlign w:val="superscript"/>
        </w:rPr>
        <w:t>3</w:t>
      </w:r>
      <w:r w:rsidR="00953CFA">
        <w:rPr>
          <w:rFonts w:cstheme="minorHAnsi"/>
          <w:sz w:val="24"/>
          <w:szCs w:val="24"/>
        </w:rPr>
        <w:t xml:space="preserve"> </w:t>
      </w:r>
      <w:proofErr w:type="spellStart"/>
      <w:r w:rsidRPr="00953CFA">
        <w:rPr>
          <w:rFonts w:cstheme="minorHAnsi"/>
          <w:sz w:val="24"/>
          <w:szCs w:val="24"/>
        </w:rPr>
        <w:t>Servicio</w:t>
      </w:r>
      <w:proofErr w:type="spellEnd"/>
      <w:r w:rsidRPr="00336BCA">
        <w:rPr>
          <w:rFonts w:cstheme="minorHAnsi"/>
          <w:sz w:val="24"/>
          <w:szCs w:val="24"/>
        </w:rPr>
        <w:t xml:space="preserve"> de </w:t>
      </w:r>
      <w:proofErr w:type="spellStart"/>
      <w:r w:rsidRPr="00336BCA">
        <w:rPr>
          <w:rFonts w:cstheme="minorHAnsi"/>
          <w:sz w:val="24"/>
          <w:szCs w:val="24"/>
        </w:rPr>
        <w:t>Hematología</w:t>
      </w:r>
      <w:proofErr w:type="spellEnd"/>
      <w:r w:rsidRPr="00336BCA">
        <w:rPr>
          <w:rFonts w:cstheme="minorHAnsi"/>
          <w:sz w:val="24"/>
          <w:szCs w:val="24"/>
        </w:rPr>
        <w:t xml:space="preserve"> y </w:t>
      </w:r>
      <w:proofErr w:type="spellStart"/>
      <w:r w:rsidRPr="00336BCA">
        <w:rPr>
          <w:rFonts w:cstheme="minorHAnsi"/>
          <w:sz w:val="24"/>
          <w:szCs w:val="24"/>
        </w:rPr>
        <w:t>Hemoterapia</w:t>
      </w:r>
      <w:proofErr w:type="spellEnd"/>
      <w:r w:rsidRPr="00336BCA">
        <w:rPr>
          <w:rFonts w:cstheme="minorHAnsi"/>
          <w:sz w:val="24"/>
          <w:szCs w:val="24"/>
        </w:rPr>
        <w:t xml:space="preserve">, Hospital Universitario 12 de </w:t>
      </w:r>
      <w:proofErr w:type="spellStart"/>
      <w:r w:rsidRPr="00336BCA">
        <w:rPr>
          <w:rFonts w:cstheme="minorHAnsi"/>
          <w:sz w:val="24"/>
          <w:szCs w:val="24"/>
        </w:rPr>
        <w:t>Octubre</w:t>
      </w:r>
      <w:proofErr w:type="spellEnd"/>
      <w:r>
        <w:rPr>
          <w:rFonts w:cstheme="minorHAnsi"/>
          <w:sz w:val="24"/>
          <w:szCs w:val="24"/>
        </w:rPr>
        <w:t xml:space="preserve">, </w:t>
      </w:r>
      <w:r w:rsidRPr="00F5492F">
        <w:rPr>
          <w:rFonts w:cstheme="minorHAnsi"/>
          <w:sz w:val="24"/>
          <w:szCs w:val="24"/>
        </w:rPr>
        <w:t>Madrid, Spain,</w:t>
      </w:r>
    </w:p>
    <w:p w14:paraId="17BC6045" w14:textId="77777777" w:rsidR="00F00DC2" w:rsidRPr="003E3A93" w:rsidRDefault="00F00DC2" w:rsidP="008E15B7">
      <w:pPr>
        <w:pStyle w:val="NoSpacing"/>
        <w:spacing w:after="240" w:line="480" w:lineRule="auto"/>
        <w:contextualSpacing/>
        <w:jc w:val="both"/>
        <w:rPr>
          <w:rFonts w:cstheme="minorHAnsi"/>
          <w:sz w:val="24"/>
          <w:szCs w:val="24"/>
          <w:vertAlign w:val="superscript"/>
        </w:rPr>
      </w:pPr>
      <w:r>
        <w:rPr>
          <w:rFonts w:cstheme="minorHAnsi"/>
          <w:sz w:val="24"/>
          <w:szCs w:val="24"/>
          <w:vertAlign w:val="superscript"/>
        </w:rPr>
        <w:t>4</w:t>
      </w:r>
      <w:r w:rsidRPr="00953CFA">
        <w:rPr>
          <w:rFonts w:cstheme="minorHAnsi"/>
          <w:sz w:val="24"/>
          <w:szCs w:val="24"/>
        </w:rPr>
        <w:t xml:space="preserve"> </w:t>
      </w:r>
      <w:r w:rsidRPr="00F5492F">
        <w:rPr>
          <w:rFonts w:cstheme="minorHAnsi"/>
          <w:sz w:val="24"/>
          <w:szCs w:val="24"/>
        </w:rPr>
        <w:t>Centre for Nutrition Research, University of Navarra, Pamplona, Spain</w:t>
      </w:r>
    </w:p>
    <w:p w14:paraId="17BC6046" w14:textId="77777777" w:rsidR="00F00DC2" w:rsidRDefault="00F00DC2" w:rsidP="008E15B7">
      <w:pPr>
        <w:pStyle w:val="NoSpacing"/>
        <w:spacing w:after="240" w:line="480" w:lineRule="auto"/>
        <w:contextualSpacing/>
        <w:jc w:val="both"/>
        <w:rPr>
          <w:rFonts w:cstheme="minorHAnsi"/>
          <w:sz w:val="24"/>
          <w:szCs w:val="24"/>
        </w:rPr>
      </w:pPr>
      <w:r>
        <w:rPr>
          <w:rFonts w:cstheme="minorHAnsi"/>
          <w:sz w:val="24"/>
          <w:szCs w:val="24"/>
          <w:vertAlign w:val="superscript"/>
        </w:rPr>
        <w:t>5</w:t>
      </w:r>
      <w:r w:rsidRPr="00953CFA">
        <w:rPr>
          <w:rFonts w:cstheme="minorHAnsi"/>
          <w:sz w:val="24"/>
          <w:szCs w:val="24"/>
        </w:rPr>
        <w:t xml:space="preserve"> </w:t>
      </w:r>
      <w:r w:rsidRPr="003F3BE0">
        <w:rPr>
          <w:rFonts w:cstheme="minorHAnsi"/>
          <w:sz w:val="24"/>
          <w:szCs w:val="24"/>
        </w:rPr>
        <w:t>Institute for Bioengineering of Catalonia (IBEC), Barcelona, Spain</w:t>
      </w:r>
    </w:p>
    <w:p w14:paraId="17BC6047" w14:textId="77777777" w:rsidR="00F00DC2" w:rsidRPr="005C7721" w:rsidRDefault="00F00DC2" w:rsidP="008E15B7">
      <w:pPr>
        <w:pStyle w:val="NoSpacing"/>
        <w:spacing w:after="240" w:line="480" w:lineRule="auto"/>
        <w:contextualSpacing/>
        <w:jc w:val="both"/>
        <w:rPr>
          <w:rFonts w:cstheme="minorHAnsi"/>
          <w:sz w:val="24"/>
          <w:szCs w:val="24"/>
        </w:rPr>
      </w:pPr>
      <w:r w:rsidRPr="00953CFA">
        <w:rPr>
          <w:rFonts w:cstheme="minorHAnsi"/>
          <w:sz w:val="24"/>
          <w:szCs w:val="24"/>
          <w:vertAlign w:val="superscript"/>
        </w:rPr>
        <w:t>6</w:t>
      </w:r>
      <w:r w:rsidR="00953CFA">
        <w:rPr>
          <w:rFonts w:cstheme="minorHAnsi"/>
          <w:sz w:val="24"/>
          <w:szCs w:val="24"/>
        </w:rPr>
        <w:t xml:space="preserve"> </w:t>
      </w:r>
      <w:r w:rsidRPr="00953CFA">
        <w:rPr>
          <w:rFonts w:cstheme="minorHAnsi"/>
          <w:sz w:val="24"/>
          <w:szCs w:val="24"/>
        </w:rPr>
        <w:t>Department</w:t>
      </w:r>
      <w:r w:rsidRPr="003F3BE0">
        <w:rPr>
          <w:rFonts w:cstheme="minorHAnsi"/>
          <w:sz w:val="24"/>
          <w:szCs w:val="24"/>
        </w:rPr>
        <w:t xml:space="preserve"> of Electronics and Biomedical Engineering, Uni</w:t>
      </w:r>
      <w:r>
        <w:rPr>
          <w:rFonts w:cstheme="minorHAnsi"/>
          <w:sz w:val="24"/>
          <w:szCs w:val="24"/>
        </w:rPr>
        <w:t>versity of Barcelona, Barcelona,</w:t>
      </w:r>
      <w:r w:rsidRPr="003F3BE0">
        <w:rPr>
          <w:rFonts w:cstheme="minorHAnsi"/>
          <w:sz w:val="24"/>
          <w:szCs w:val="24"/>
        </w:rPr>
        <w:t xml:space="preserve"> Spain</w:t>
      </w:r>
    </w:p>
    <w:p w14:paraId="17BC6048" w14:textId="77777777" w:rsidR="00F00DC2" w:rsidRPr="003E3A93" w:rsidRDefault="00F00DC2" w:rsidP="008E15B7">
      <w:pPr>
        <w:pStyle w:val="NoSpacing"/>
        <w:spacing w:after="240" w:line="480" w:lineRule="auto"/>
        <w:contextualSpacing/>
        <w:jc w:val="both"/>
        <w:rPr>
          <w:rFonts w:cstheme="minorHAnsi"/>
          <w:sz w:val="24"/>
          <w:szCs w:val="24"/>
        </w:rPr>
      </w:pPr>
      <w:r>
        <w:rPr>
          <w:rFonts w:cstheme="minorHAnsi"/>
          <w:sz w:val="24"/>
          <w:szCs w:val="24"/>
          <w:vertAlign w:val="superscript"/>
        </w:rPr>
        <w:t>7</w:t>
      </w:r>
      <w:r w:rsidR="00953CFA">
        <w:rPr>
          <w:rFonts w:cstheme="minorHAnsi"/>
          <w:sz w:val="24"/>
          <w:szCs w:val="24"/>
        </w:rPr>
        <w:t xml:space="preserve"> </w:t>
      </w:r>
      <w:proofErr w:type="spellStart"/>
      <w:r w:rsidRPr="00F5492F">
        <w:rPr>
          <w:rFonts w:cstheme="minorHAnsi"/>
          <w:sz w:val="24"/>
          <w:szCs w:val="24"/>
        </w:rPr>
        <w:t>Abteilung</w:t>
      </w:r>
      <w:proofErr w:type="spellEnd"/>
      <w:r w:rsidRPr="00F5492F">
        <w:rPr>
          <w:rFonts w:cstheme="minorHAnsi"/>
          <w:sz w:val="24"/>
          <w:szCs w:val="24"/>
        </w:rPr>
        <w:t xml:space="preserve"> </w:t>
      </w:r>
      <w:proofErr w:type="spellStart"/>
      <w:r w:rsidRPr="00F5492F">
        <w:rPr>
          <w:rFonts w:cstheme="minorHAnsi"/>
          <w:sz w:val="24"/>
          <w:szCs w:val="24"/>
        </w:rPr>
        <w:t>Hämatologie</w:t>
      </w:r>
      <w:proofErr w:type="spellEnd"/>
      <w:r w:rsidRPr="00F5492F">
        <w:rPr>
          <w:rFonts w:cstheme="minorHAnsi"/>
          <w:sz w:val="24"/>
          <w:szCs w:val="24"/>
        </w:rPr>
        <w:t>/</w:t>
      </w:r>
      <w:proofErr w:type="spellStart"/>
      <w:r w:rsidRPr="00F5492F">
        <w:rPr>
          <w:rFonts w:cstheme="minorHAnsi"/>
          <w:sz w:val="24"/>
          <w:szCs w:val="24"/>
        </w:rPr>
        <w:t>Onkologie</w:t>
      </w:r>
      <w:proofErr w:type="spellEnd"/>
      <w:r w:rsidRPr="00F5492F">
        <w:rPr>
          <w:rFonts w:cstheme="minorHAnsi"/>
          <w:sz w:val="24"/>
          <w:szCs w:val="24"/>
        </w:rPr>
        <w:t xml:space="preserve">, </w:t>
      </w:r>
      <w:proofErr w:type="spellStart"/>
      <w:r w:rsidRPr="00F5492F">
        <w:rPr>
          <w:rFonts w:cstheme="minorHAnsi"/>
          <w:sz w:val="24"/>
          <w:szCs w:val="24"/>
        </w:rPr>
        <w:t>Klinik</w:t>
      </w:r>
      <w:proofErr w:type="spellEnd"/>
      <w:r w:rsidRPr="00F5492F">
        <w:rPr>
          <w:rFonts w:cstheme="minorHAnsi"/>
          <w:sz w:val="24"/>
          <w:szCs w:val="24"/>
        </w:rPr>
        <w:t xml:space="preserve"> </w:t>
      </w:r>
      <w:proofErr w:type="spellStart"/>
      <w:r w:rsidRPr="00F5492F">
        <w:rPr>
          <w:rFonts w:cstheme="minorHAnsi"/>
          <w:sz w:val="24"/>
          <w:szCs w:val="24"/>
        </w:rPr>
        <w:t>für</w:t>
      </w:r>
      <w:proofErr w:type="spellEnd"/>
      <w:r w:rsidRPr="00F5492F">
        <w:rPr>
          <w:rFonts w:cstheme="minorHAnsi"/>
          <w:sz w:val="24"/>
          <w:szCs w:val="24"/>
        </w:rPr>
        <w:t xml:space="preserve"> </w:t>
      </w:r>
      <w:proofErr w:type="spellStart"/>
      <w:r w:rsidRPr="00F5492F">
        <w:rPr>
          <w:rFonts w:cstheme="minorHAnsi"/>
          <w:sz w:val="24"/>
          <w:szCs w:val="24"/>
        </w:rPr>
        <w:t>Innere</w:t>
      </w:r>
      <w:proofErr w:type="spellEnd"/>
      <w:r w:rsidRPr="00F5492F">
        <w:rPr>
          <w:rFonts w:cstheme="minorHAnsi"/>
          <w:sz w:val="24"/>
          <w:szCs w:val="24"/>
        </w:rPr>
        <w:t xml:space="preserve"> </w:t>
      </w:r>
      <w:proofErr w:type="spellStart"/>
      <w:r w:rsidRPr="00F5492F">
        <w:rPr>
          <w:rFonts w:cstheme="minorHAnsi"/>
          <w:sz w:val="24"/>
          <w:szCs w:val="24"/>
        </w:rPr>
        <w:t>Medizin</w:t>
      </w:r>
      <w:proofErr w:type="spellEnd"/>
      <w:r w:rsidRPr="00F5492F">
        <w:rPr>
          <w:rFonts w:cstheme="minorHAnsi"/>
          <w:sz w:val="24"/>
          <w:szCs w:val="24"/>
        </w:rPr>
        <w:t xml:space="preserve"> II,</w:t>
      </w:r>
      <w:r>
        <w:rPr>
          <w:rFonts w:cstheme="minorHAnsi"/>
          <w:sz w:val="24"/>
          <w:szCs w:val="24"/>
        </w:rPr>
        <w:t xml:space="preserve"> </w:t>
      </w:r>
      <w:proofErr w:type="spellStart"/>
      <w:r w:rsidRPr="00F5492F">
        <w:rPr>
          <w:rFonts w:cstheme="minorHAnsi"/>
          <w:sz w:val="24"/>
          <w:szCs w:val="24"/>
        </w:rPr>
        <w:t>Universitätsklinikum</w:t>
      </w:r>
      <w:proofErr w:type="spellEnd"/>
      <w:r w:rsidRPr="00F5492F">
        <w:rPr>
          <w:rFonts w:cstheme="minorHAnsi"/>
          <w:sz w:val="24"/>
          <w:szCs w:val="24"/>
        </w:rPr>
        <w:t xml:space="preserve"> Jena, Jena, Germany</w:t>
      </w:r>
    </w:p>
    <w:p w14:paraId="17BC6049" w14:textId="77777777" w:rsidR="00C47896" w:rsidRDefault="00C47896">
      <w:pPr>
        <w:spacing w:after="160" w:line="259" w:lineRule="auto"/>
        <w:rPr>
          <w:rFonts w:eastAsiaTheme="minorEastAsia"/>
          <w:sz w:val="24"/>
          <w:szCs w:val="24"/>
          <w:lang w:eastAsia="zh-CN"/>
        </w:rPr>
      </w:pPr>
      <w:r>
        <w:rPr>
          <w:sz w:val="24"/>
          <w:szCs w:val="24"/>
        </w:rPr>
        <w:br w:type="page"/>
      </w:r>
    </w:p>
    <w:p w14:paraId="17BC604A" w14:textId="77777777" w:rsidR="00F00DC2" w:rsidRDefault="00F00DC2" w:rsidP="008E15B7">
      <w:pPr>
        <w:pStyle w:val="NoSpacing"/>
        <w:spacing w:after="120" w:line="480" w:lineRule="auto"/>
        <w:jc w:val="both"/>
        <w:rPr>
          <w:rFonts w:cs="Times New Roman"/>
          <w:sz w:val="24"/>
          <w:szCs w:val="24"/>
          <w:lang w:val="en-GB"/>
        </w:rPr>
      </w:pPr>
    </w:p>
    <w:p w14:paraId="17BC604B"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Correspondence to:</w:t>
      </w:r>
    </w:p>
    <w:p w14:paraId="17BC604C"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Andrew Chase</w:t>
      </w:r>
    </w:p>
    <w:p w14:paraId="17BC604D"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Wessex Regional Genetics Laboratory</w:t>
      </w:r>
    </w:p>
    <w:p w14:paraId="17BC604E" w14:textId="77777777" w:rsidR="00F00DC2" w:rsidRPr="00015429" w:rsidRDefault="00F00DC2" w:rsidP="008E15B7">
      <w:pPr>
        <w:pStyle w:val="NoSpacing"/>
        <w:spacing w:after="120" w:line="480" w:lineRule="auto"/>
        <w:jc w:val="both"/>
        <w:rPr>
          <w:rFonts w:cs="Times New Roman"/>
          <w:sz w:val="24"/>
          <w:szCs w:val="24"/>
          <w:lang w:val="en-GB"/>
        </w:rPr>
      </w:pPr>
      <w:r w:rsidRPr="00015429">
        <w:rPr>
          <w:rFonts w:cs="Times New Roman"/>
          <w:sz w:val="24"/>
          <w:szCs w:val="24"/>
          <w:lang w:val="en-GB"/>
        </w:rPr>
        <w:t>Salisbury NHS Foundation Trust</w:t>
      </w:r>
    </w:p>
    <w:p w14:paraId="17BC604F" w14:textId="77777777" w:rsidR="00F00DC2" w:rsidRPr="00015429" w:rsidRDefault="00F00DC2" w:rsidP="008E15B7">
      <w:pPr>
        <w:pStyle w:val="NoSpacing"/>
        <w:spacing w:after="120" w:line="480" w:lineRule="auto"/>
        <w:jc w:val="both"/>
        <w:rPr>
          <w:rFonts w:cs="Times New Roman"/>
          <w:sz w:val="24"/>
          <w:szCs w:val="24"/>
          <w:lang w:val="en-GB"/>
        </w:rPr>
      </w:pPr>
      <w:r w:rsidRPr="00015429">
        <w:rPr>
          <w:rFonts w:cs="Times New Roman"/>
          <w:sz w:val="24"/>
          <w:szCs w:val="24"/>
          <w:lang w:val="en-GB"/>
        </w:rPr>
        <w:t xml:space="preserve">Salisbury SP2 8BJ, UK </w:t>
      </w:r>
    </w:p>
    <w:p w14:paraId="17BC6050" w14:textId="77777777" w:rsidR="00F00DC2" w:rsidRPr="00015429"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Tel: </w:t>
      </w:r>
      <w:r>
        <w:rPr>
          <w:rFonts w:cs="Times New Roman"/>
          <w:sz w:val="24"/>
          <w:szCs w:val="24"/>
          <w:lang w:val="en-GB"/>
        </w:rPr>
        <w:tab/>
        <w:t>+(44) 1722 425193</w:t>
      </w:r>
    </w:p>
    <w:p w14:paraId="17BC6051" w14:textId="77777777" w:rsidR="00F00DC2" w:rsidRPr="00015429" w:rsidRDefault="00F00DC2" w:rsidP="008E15B7">
      <w:pPr>
        <w:pStyle w:val="NoSpacing"/>
        <w:spacing w:after="120" w:line="480" w:lineRule="auto"/>
        <w:jc w:val="both"/>
        <w:rPr>
          <w:rFonts w:cs="Times New Roman"/>
          <w:sz w:val="24"/>
          <w:szCs w:val="24"/>
          <w:lang w:val="en-GB"/>
        </w:rPr>
      </w:pPr>
      <w:r w:rsidRPr="00015429">
        <w:rPr>
          <w:rFonts w:cs="Times New Roman"/>
          <w:sz w:val="24"/>
          <w:szCs w:val="24"/>
          <w:lang w:val="en-GB"/>
        </w:rPr>
        <w:t xml:space="preserve">Fax: </w:t>
      </w:r>
      <w:r w:rsidRPr="00015429">
        <w:rPr>
          <w:rFonts w:cs="Times New Roman"/>
          <w:sz w:val="24"/>
          <w:szCs w:val="24"/>
          <w:lang w:val="en-GB"/>
        </w:rPr>
        <w:tab/>
        <w:t>+(44) 1722 338095</w:t>
      </w:r>
      <w:r w:rsidRPr="00015429">
        <w:rPr>
          <w:rFonts w:cs="Times New Roman"/>
          <w:sz w:val="24"/>
          <w:szCs w:val="24"/>
          <w:lang w:val="en-GB"/>
        </w:rPr>
        <w:tab/>
      </w:r>
    </w:p>
    <w:p w14:paraId="17BC6052" w14:textId="77777777" w:rsidR="00F00DC2" w:rsidRPr="003E3A93" w:rsidRDefault="00F00DC2" w:rsidP="008E15B7">
      <w:pPr>
        <w:pStyle w:val="NoSpacing"/>
        <w:spacing w:after="120" w:line="480" w:lineRule="auto"/>
        <w:jc w:val="both"/>
        <w:rPr>
          <w:rFonts w:cs="Times New Roman"/>
          <w:sz w:val="24"/>
          <w:szCs w:val="24"/>
          <w:lang w:val="en-GB"/>
        </w:rPr>
      </w:pPr>
      <w:r w:rsidRPr="00015429">
        <w:rPr>
          <w:rFonts w:cs="Times New Roman"/>
          <w:sz w:val="24"/>
          <w:szCs w:val="24"/>
          <w:lang w:val="en-GB"/>
        </w:rPr>
        <w:t xml:space="preserve">email: </w:t>
      </w:r>
      <w:r>
        <w:rPr>
          <w:rFonts w:cs="Times New Roman"/>
          <w:sz w:val="24"/>
          <w:szCs w:val="24"/>
          <w:lang w:val="en-GB"/>
        </w:rPr>
        <w:t>achase@soton.ac.uk</w:t>
      </w:r>
    </w:p>
    <w:p w14:paraId="17BC6053" w14:textId="77777777" w:rsidR="00F00DC2" w:rsidRPr="00497375" w:rsidRDefault="00F00DC2" w:rsidP="00497375">
      <w:pPr>
        <w:spacing w:line="480" w:lineRule="auto"/>
        <w:rPr>
          <w:rFonts w:eastAsiaTheme="minorEastAsia"/>
          <w:b/>
          <w:sz w:val="24"/>
          <w:szCs w:val="24"/>
          <w:lang w:eastAsia="zh-CN"/>
        </w:rPr>
      </w:pPr>
      <w:r>
        <w:rPr>
          <w:b/>
          <w:sz w:val="24"/>
          <w:szCs w:val="24"/>
        </w:rPr>
        <w:br w:type="page"/>
      </w:r>
      <w:r w:rsidRPr="00BF696B">
        <w:rPr>
          <w:b/>
          <w:sz w:val="28"/>
          <w:szCs w:val="24"/>
        </w:rPr>
        <w:lastRenderedPageBreak/>
        <w:t>Abstract</w:t>
      </w:r>
    </w:p>
    <w:p w14:paraId="17BC6054"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EZH2, a component of the </w:t>
      </w:r>
      <w:proofErr w:type="spellStart"/>
      <w:r w:rsidRPr="00C522D4">
        <w:rPr>
          <w:rFonts w:cs="Times New Roman"/>
          <w:sz w:val="24"/>
          <w:szCs w:val="24"/>
          <w:lang w:val="en-GB"/>
        </w:rPr>
        <w:t>poly</w:t>
      </w:r>
      <w:r>
        <w:rPr>
          <w:rFonts w:cs="Times New Roman"/>
          <w:sz w:val="24"/>
          <w:szCs w:val="24"/>
          <w:lang w:val="en-GB"/>
        </w:rPr>
        <w:t>comb</w:t>
      </w:r>
      <w:proofErr w:type="spellEnd"/>
      <w:r>
        <w:rPr>
          <w:rFonts w:cs="Times New Roman"/>
          <w:sz w:val="24"/>
          <w:szCs w:val="24"/>
          <w:lang w:val="en-GB"/>
        </w:rPr>
        <w:t xml:space="preserve"> repressive complex 2, </w:t>
      </w:r>
      <w:r w:rsidRPr="00C522D4">
        <w:rPr>
          <w:rFonts w:cs="Times New Roman"/>
          <w:sz w:val="24"/>
          <w:szCs w:val="24"/>
          <w:lang w:val="en-GB"/>
        </w:rPr>
        <w:t xml:space="preserve">catalyses the trimethylation </w:t>
      </w:r>
      <w:r>
        <w:rPr>
          <w:rFonts w:cs="Times New Roman"/>
          <w:sz w:val="24"/>
          <w:szCs w:val="24"/>
          <w:lang w:val="en-GB"/>
        </w:rPr>
        <w:t xml:space="preserve">of histone H3 lysine 27, a chromatin mark associated with transcriptional repression. </w:t>
      </w:r>
      <w:r w:rsidRPr="00CE4A1B">
        <w:rPr>
          <w:rFonts w:cs="Times New Roman"/>
          <w:i/>
          <w:sz w:val="24"/>
          <w:szCs w:val="24"/>
          <w:lang w:val="en-GB"/>
        </w:rPr>
        <w:t>EZH2</w:t>
      </w:r>
      <w:r>
        <w:rPr>
          <w:rFonts w:cs="Times New Roman"/>
          <w:sz w:val="24"/>
          <w:szCs w:val="24"/>
          <w:lang w:val="en-GB"/>
        </w:rPr>
        <w:t xml:space="preserve"> loss-of-function mutations are seen in myeloid neoplasms and are associated with an adverse prognosis. Missense mutations in the SET/</w:t>
      </w:r>
      <w:r w:rsidRPr="00C522D4">
        <w:rPr>
          <w:rFonts w:cs="Times New Roman"/>
          <w:sz w:val="24"/>
          <w:szCs w:val="24"/>
          <w:lang w:val="en-GB"/>
        </w:rPr>
        <w:t>CXC</w:t>
      </w:r>
      <w:r>
        <w:rPr>
          <w:rFonts w:cs="Times New Roman"/>
          <w:sz w:val="24"/>
          <w:szCs w:val="24"/>
          <w:lang w:val="en-GB"/>
        </w:rPr>
        <w:t xml:space="preserve"> domain abrogate catalytic activity as assessed by </w:t>
      </w:r>
      <w:r w:rsidRPr="008569DE">
        <w:rPr>
          <w:rFonts w:cs="Times New Roman"/>
          <w:i/>
          <w:iCs/>
          <w:sz w:val="24"/>
          <w:szCs w:val="24"/>
          <w:lang w:val="en-GB"/>
        </w:rPr>
        <w:t>in vitro</w:t>
      </w:r>
      <w:r>
        <w:rPr>
          <w:rFonts w:cs="Times New Roman"/>
          <w:sz w:val="24"/>
          <w:szCs w:val="24"/>
          <w:lang w:val="en-GB"/>
        </w:rPr>
        <w:t xml:space="preserve"> </w:t>
      </w:r>
      <w:r w:rsidRPr="00C522D4">
        <w:rPr>
          <w:rFonts w:cs="Times New Roman"/>
          <w:sz w:val="24"/>
          <w:szCs w:val="24"/>
          <w:lang w:val="en-GB"/>
        </w:rPr>
        <w:t xml:space="preserve">histone methylation </w:t>
      </w:r>
      <w:r>
        <w:rPr>
          <w:rFonts w:cs="Times New Roman"/>
          <w:sz w:val="24"/>
          <w:szCs w:val="24"/>
          <w:lang w:val="en-GB"/>
        </w:rPr>
        <w:t>assays, but missense mutations clustering in the conserved DI and DII regions retain activity. To understand the role of DI and DII mutations, w</w:t>
      </w:r>
      <w:r w:rsidRPr="00C522D4">
        <w:rPr>
          <w:rFonts w:cs="Times New Roman"/>
          <w:sz w:val="24"/>
          <w:szCs w:val="24"/>
          <w:lang w:val="en-GB"/>
        </w:rPr>
        <w:t xml:space="preserve">e </w:t>
      </w:r>
      <w:r>
        <w:rPr>
          <w:rFonts w:cs="Times New Roman"/>
          <w:sz w:val="24"/>
          <w:szCs w:val="24"/>
          <w:lang w:val="en-GB"/>
        </w:rPr>
        <w:t xml:space="preserve">initially </w:t>
      </w:r>
      <w:r w:rsidRPr="00C522D4">
        <w:rPr>
          <w:rFonts w:cs="Times New Roman"/>
          <w:sz w:val="24"/>
          <w:szCs w:val="24"/>
          <w:lang w:val="en-GB"/>
        </w:rPr>
        <w:t>developed a cell-based histone meth</w:t>
      </w:r>
      <w:r>
        <w:rPr>
          <w:rFonts w:cs="Times New Roman"/>
          <w:sz w:val="24"/>
          <w:szCs w:val="24"/>
          <w:lang w:val="en-GB"/>
        </w:rPr>
        <w:t xml:space="preserve">ylation assay to test activity </w:t>
      </w:r>
      <w:r w:rsidRPr="00C522D4">
        <w:rPr>
          <w:rFonts w:cs="Times New Roman"/>
          <w:sz w:val="24"/>
          <w:szCs w:val="24"/>
          <w:lang w:val="en-GB"/>
        </w:rPr>
        <w:t xml:space="preserve">in a cellular context. Murine induced pluripotent stem cells lacking </w:t>
      </w:r>
      <w:r w:rsidRPr="00A83D02">
        <w:rPr>
          <w:rFonts w:cs="Times New Roman"/>
          <w:i/>
          <w:sz w:val="24"/>
          <w:szCs w:val="24"/>
          <w:lang w:val="en-GB"/>
        </w:rPr>
        <w:t>EZH2</w:t>
      </w:r>
      <w:r w:rsidRPr="00C522D4">
        <w:rPr>
          <w:rFonts w:cs="Times New Roman"/>
          <w:sz w:val="24"/>
          <w:szCs w:val="24"/>
          <w:lang w:val="en-GB"/>
        </w:rPr>
        <w:t xml:space="preserve"> </w:t>
      </w:r>
      <w:r>
        <w:rPr>
          <w:rFonts w:cs="Times New Roman"/>
          <w:sz w:val="24"/>
          <w:szCs w:val="24"/>
          <w:lang w:val="en-GB"/>
        </w:rPr>
        <w:t xml:space="preserve">were transiently transfected with wild type </w:t>
      </w:r>
      <w:r w:rsidRPr="00C522D4">
        <w:rPr>
          <w:rFonts w:cs="Times New Roman"/>
          <w:sz w:val="24"/>
          <w:szCs w:val="24"/>
          <w:lang w:val="en-GB"/>
        </w:rPr>
        <w:t xml:space="preserve">or mutant </w:t>
      </w:r>
      <w:r w:rsidRPr="00A83D02">
        <w:rPr>
          <w:rFonts w:cs="Times New Roman"/>
          <w:i/>
          <w:sz w:val="24"/>
          <w:szCs w:val="24"/>
          <w:lang w:val="en-GB"/>
        </w:rPr>
        <w:t>EZH2</w:t>
      </w:r>
      <w:r w:rsidRPr="00C522D4">
        <w:rPr>
          <w:rFonts w:cs="Times New Roman"/>
          <w:sz w:val="24"/>
          <w:szCs w:val="24"/>
          <w:lang w:val="en-GB"/>
        </w:rPr>
        <w:t xml:space="preserve"> </w:t>
      </w:r>
      <w:r w:rsidRPr="0054040E">
        <w:rPr>
          <w:rFonts w:cs="Times New Roman"/>
          <w:sz w:val="24"/>
          <w:szCs w:val="24"/>
          <w:lang w:val="en-GB"/>
        </w:rPr>
        <w:t>(n=15) and</w:t>
      </w:r>
      <w:r w:rsidRPr="00C522D4">
        <w:rPr>
          <w:rFonts w:cs="Times New Roman"/>
          <w:sz w:val="24"/>
          <w:szCs w:val="24"/>
          <w:lang w:val="en-GB"/>
        </w:rPr>
        <w:t xml:space="preserve"> any resulting histone methylation </w:t>
      </w:r>
      <w:r>
        <w:rPr>
          <w:rFonts w:cs="Times New Roman"/>
          <w:sz w:val="24"/>
          <w:szCs w:val="24"/>
          <w:lang w:val="en-GB"/>
        </w:rPr>
        <w:t>was</w:t>
      </w:r>
      <w:r w:rsidRPr="00C522D4">
        <w:rPr>
          <w:rFonts w:cs="Times New Roman"/>
          <w:sz w:val="24"/>
          <w:szCs w:val="24"/>
          <w:lang w:val="en-GB"/>
        </w:rPr>
        <w:t xml:space="preserve"> measured by flow cytometry. All DI mutations </w:t>
      </w:r>
      <w:r w:rsidRPr="0054040E">
        <w:rPr>
          <w:rFonts w:cs="Times New Roman"/>
          <w:sz w:val="24"/>
          <w:szCs w:val="24"/>
          <w:lang w:val="en-GB"/>
        </w:rPr>
        <w:t xml:space="preserve">(n=5) resulted in complete or partial loss of methylation activity whilst </w:t>
      </w:r>
      <w:r>
        <w:rPr>
          <w:rFonts w:cs="Times New Roman"/>
          <w:sz w:val="24"/>
          <w:szCs w:val="24"/>
          <w:lang w:val="en-GB"/>
        </w:rPr>
        <w:t>5/6</w:t>
      </w:r>
      <w:r w:rsidRPr="0054040E">
        <w:rPr>
          <w:rFonts w:cs="Times New Roman"/>
          <w:sz w:val="24"/>
          <w:szCs w:val="24"/>
          <w:lang w:val="en-GB"/>
        </w:rPr>
        <w:t xml:space="preserve"> DII mutations</w:t>
      </w:r>
      <w:r w:rsidRPr="00C522D4">
        <w:rPr>
          <w:rFonts w:cs="Times New Roman"/>
          <w:sz w:val="24"/>
          <w:szCs w:val="24"/>
          <w:lang w:val="en-GB"/>
        </w:rPr>
        <w:t xml:space="preserve"> retained activity. </w:t>
      </w:r>
      <w:r>
        <w:rPr>
          <w:rFonts w:cs="Times New Roman"/>
          <w:sz w:val="24"/>
          <w:szCs w:val="24"/>
          <w:lang w:val="en-GB"/>
        </w:rPr>
        <w:t>Next, we assessed the possibility of splicing</w:t>
      </w:r>
      <w:r w:rsidRPr="00C522D4">
        <w:rPr>
          <w:rFonts w:cs="Times New Roman"/>
          <w:sz w:val="24"/>
          <w:szCs w:val="24"/>
          <w:lang w:val="en-GB"/>
        </w:rPr>
        <w:t xml:space="preserve"> </w:t>
      </w:r>
      <w:r>
        <w:rPr>
          <w:rFonts w:cs="Times New Roman"/>
          <w:sz w:val="24"/>
          <w:szCs w:val="24"/>
          <w:lang w:val="en-GB"/>
        </w:rPr>
        <w:t xml:space="preserve">abnormalities induced by exon 8 mutations (encoding DII) using RT-PCR from primary patient samples and mini-gene assays. </w:t>
      </w:r>
      <w:r w:rsidRPr="00C522D4">
        <w:rPr>
          <w:rFonts w:cs="Times New Roman"/>
          <w:sz w:val="24"/>
          <w:szCs w:val="24"/>
          <w:lang w:val="en-GB"/>
        </w:rPr>
        <w:t xml:space="preserve">Exon 8 mutations </w:t>
      </w:r>
      <w:r>
        <w:rPr>
          <w:rFonts w:cs="Times New Roman"/>
          <w:sz w:val="24"/>
          <w:szCs w:val="24"/>
          <w:lang w:val="en-GB"/>
        </w:rPr>
        <w:t>resulted in skipping of exon 8 and an out-of-frame transcript</w:t>
      </w:r>
      <w:r w:rsidRPr="00C522D4">
        <w:rPr>
          <w:rFonts w:cs="Times New Roman"/>
          <w:sz w:val="24"/>
          <w:szCs w:val="24"/>
          <w:lang w:val="en-GB"/>
        </w:rPr>
        <w:t>.</w:t>
      </w:r>
      <w:r>
        <w:rPr>
          <w:rFonts w:cs="Times New Roman"/>
          <w:sz w:val="24"/>
          <w:szCs w:val="24"/>
          <w:lang w:val="en-GB"/>
        </w:rPr>
        <w:t xml:space="preserve"> We have therefore shown that mutations within regions encoding EZH2 domains DI and DII are pathogenic by loss of function and exon skipping, respectively. </w:t>
      </w:r>
    </w:p>
    <w:p w14:paraId="17BC6055" w14:textId="77777777" w:rsidR="00F00DC2" w:rsidRDefault="00F00DC2" w:rsidP="008E15B7">
      <w:pPr>
        <w:spacing w:line="480" w:lineRule="auto"/>
        <w:rPr>
          <w:rFonts w:eastAsiaTheme="minorEastAsia"/>
          <w:b/>
          <w:sz w:val="28"/>
          <w:szCs w:val="24"/>
          <w:lang w:eastAsia="zh-CN"/>
        </w:rPr>
      </w:pPr>
      <w:r>
        <w:rPr>
          <w:b/>
          <w:sz w:val="28"/>
          <w:szCs w:val="24"/>
        </w:rPr>
        <w:br w:type="page"/>
      </w:r>
    </w:p>
    <w:p w14:paraId="17BC6056" w14:textId="77777777" w:rsidR="00F00DC2" w:rsidRPr="00BF696B" w:rsidRDefault="00F00DC2" w:rsidP="008E15B7">
      <w:pPr>
        <w:pStyle w:val="NoSpacing"/>
        <w:spacing w:after="120" w:line="480" w:lineRule="auto"/>
        <w:jc w:val="both"/>
        <w:rPr>
          <w:rFonts w:cs="Times New Roman"/>
          <w:b/>
          <w:sz w:val="28"/>
          <w:szCs w:val="24"/>
          <w:lang w:val="en-GB"/>
        </w:rPr>
      </w:pPr>
      <w:r w:rsidRPr="00BF696B">
        <w:rPr>
          <w:rFonts w:cs="Times New Roman"/>
          <w:b/>
          <w:sz w:val="28"/>
          <w:szCs w:val="24"/>
          <w:lang w:val="en-GB"/>
        </w:rPr>
        <w:lastRenderedPageBreak/>
        <w:t>Introduction</w:t>
      </w:r>
    </w:p>
    <w:p w14:paraId="17BC6057" w14:textId="77777777" w:rsidR="00F00DC2" w:rsidRDefault="00F00DC2" w:rsidP="008E15B7">
      <w:pPr>
        <w:pStyle w:val="NoSpacing"/>
        <w:spacing w:after="120" w:line="480" w:lineRule="auto"/>
        <w:jc w:val="both"/>
        <w:rPr>
          <w:rFonts w:cs="Times New Roman"/>
          <w:sz w:val="24"/>
          <w:szCs w:val="24"/>
          <w:lang w:val="en-GB"/>
        </w:rPr>
      </w:pPr>
      <w:r w:rsidRPr="00D55A2B">
        <w:rPr>
          <w:rFonts w:cs="Times New Roman"/>
          <w:sz w:val="24"/>
          <w:szCs w:val="24"/>
          <w:lang w:val="en-GB"/>
        </w:rPr>
        <w:t xml:space="preserve">The last </w:t>
      </w:r>
      <w:r>
        <w:rPr>
          <w:rFonts w:cs="Times New Roman"/>
          <w:sz w:val="24"/>
          <w:szCs w:val="24"/>
          <w:lang w:val="en-GB"/>
        </w:rPr>
        <w:t xml:space="preserve">several </w:t>
      </w:r>
      <w:r w:rsidRPr="00D55A2B">
        <w:rPr>
          <w:rFonts w:cs="Times New Roman"/>
          <w:sz w:val="24"/>
          <w:szCs w:val="24"/>
          <w:lang w:val="en-GB"/>
        </w:rPr>
        <w:t xml:space="preserve">years </w:t>
      </w:r>
      <w:r>
        <w:rPr>
          <w:rFonts w:cs="Times New Roman"/>
          <w:sz w:val="24"/>
          <w:szCs w:val="24"/>
          <w:lang w:val="en-GB"/>
        </w:rPr>
        <w:t>have</w:t>
      </w:r>
      <w:r w:rsidRPr="00D55A2B">
        <w:rPr>
          <w:rFonts w:cs="Times New Roman"/>
          <w:sz w:val="24"/>
          <w:szCs w:val="24"/>
          <w:lang w:val="en-GB"/>
        </w:rPr>
        <w:t xml:space="preserve"> seen enormous success in understanding the mutational </w:t>
      </w:r>
      <w:r>
        <w:rPr>
          <w:rFonts w:cs="Times New Roman"/>
          <w:sz w:val="24"/>
          <w:szCs w:val="24"/>
          <w:lang w:val="en-GB"/>
        </w:rPr>
        <w:t>landscape of myeloid malignancies</w:t>
      </w:r>
      <w:r w:rsidRPr="00D55A2B">
        <w:rPr>
          <w:rFonts w:cs="Times New Roman"/>
          <w:sz w:val="24"/>
          <w:szCs w:val="24"/>
          <w:lang w:val="en-GB"/>
        </w:rPr>
        <w:t xml:space="preserve"> although much remains to be understood about the functional and pathogenic conseq</w:t>
      </w:r>
      <w:r>
        <w:rPr>
          <w:rFonts w:cs="Times New Roman"/>
          <w:sz w:val="24"/>
          <w:szCs w:val="24"/>
          <w:lang w:val="en-GB"/>
        </w:rPr>
        <w:t>uences of these changes. D</w:t>
      </w:r>
      <w:r w:rsidRPr="00D55A2B">
        <w:rPr>
          <w:rFonts w:cs="Times New Roman"/>
          <w:sz w:val="24"/>
          <w:szCs w:val="24"/>
          <w:lang w:val="en-GB"/>
        </w:rPr>
        <w:t xml:space="preserve">espite this new knowledge, discriminating mutations that are true drivers of disease from passenger mutations can still be problematic. </w:t>
      </w:r>
      <w:r>
        <w:rPr>
          <w:rFonts w:cs="Times New Roman"/>
          <w:sz w:val="24"/>
          <w:szCs w:val="24"/>
          <w:lang w:val="en-GB"/>
        </w:rPr>
        <w:t xml:space="preserve">For example, nonsense or frameshift mutations in epigenetic regulator genes such as </w:t>
      </w:r>
      <w:r w:rsidRPr="002E09F6">
        <w:rPr>
          <w:rFonts w:cs="Times New Roman"/>
          <w:i/>
          <w:iCs/>
          <w:sz w:val="24"/>
          <w:szCs w:val="24"/>
          <w:lang w:val="en-GB"/>
        </w:rPr>
        <w:t>EZH2</w:t>
      </w:r>
      <w:r>
        <w:rPr>
          <w:rFonts w:cs="Times New Roman"/>
          <w:sz w:val="24"/>
          <w:szCs w:val="24"/>
          <w:lang w:val="en-GB"/>
        </w:rPr>
        <w:t xml:space="preserve">, </w:t>
      </w:r>
      <w:r w:rsidRPr="002E09F6">
        <w:rPr>
          <w:rFonts w:cs="Times New Roman"/>
          <w:i/>
          <w:iCs/>
          <w:sz w:val="24"/>
          <w:szCs w:val="24"/>
          <w:lang w:val="en-GB"/>
        </w:rPr>
        <w:t>TET2</w:t>
      </w:r>
      <w:r>
        <w:rPr>
          <w:rFonts w:cs="Times New Roman"/>
          <w:sz w:val="24"/>
          <w:szCs w:val="24"/>
          <w:lang w:val="en-GB"/>
        </w:rPr>
        <w:t xml:space="preserve">, </w:t>
      </w:r>
      <w:r w:rsidRPr="002E09F6">
        <w:rPr>
          <w:rFonts w:cs="Times New Roman"/>
          <w:i/>
          <w:iCs/>
          <w:sz w:val="24"/>
          <w:szCs w:val="24"/>
          <w:lang w:val="en-GB"/>
        </w:rPr>
        <w:t>ASXL1</w:t>
      </w:r>
      <w:r>
        <w:rPr>
          <w:rFonts w:cs="Times New Roman"/>
          <w:sz w:val="24"/>
          <w:szCs w:val="24"/>
          <w:lang w:val="en-GB"/>
        </w:rPr>
        <w:t xml:space="preserve">, </w:t>
      </w:r>
      <w:r w:rsidRPr="002E09F6">
        <w:rPr>
          <w:rFonts w:cs="Times New Roman"/>
          <w:i/>
          <w:iCs/>
          <w:sz w:val="24"/>
          <w:szCs w:val="24"/>
          <w:lang w:val="en-GB"/>
        </w:rPr>
        <w:t>DNMT3A</w:t>
      </w:r>
      <w:r>
        <w:rPr>
          <w:rFonts w:cs="Times New Roman"/>
          <w:sz w:val="24"/>
          <w:szCs w:val="24"/>
          <w:lang w:val="en-GB"/>
        </w:rPr>
        <w:t xml:space="preserve"> are generally clearly inactivating but the pathogenic consequences of missense mutations is usually uncertain. The increasing use of sequencing panels as part of the routine work up for patients with </w:t>
      </w:r>
      <w:proofErr w:type="spellStart"/>
      <w:r>
        <w:rPr>
          <w:rFonts w:cs="Times New Roman"/>
          <w:sz w:val="24"/>
          <w:szCs w:val="24"/>
          <w:lang w:val="en-GB"/>
        </w:rPr>
        <w:t>hematological</w:t>
      </w:r>
      <w:proofErr w:type="spellEnd"/>
      <w:r>
        <w:rPr>
          <w:rFonts w:cs="Times New Roman"/>
          <w:sz w:val="24"/>
          <w:szCs w:val="24"/>
          <w:lang w:val="en-GB"/>
        </w:rPr>
        <w:t xml:space="preserve"> malignancies frequently creates dilemmas with respect to diagnosis and prognosis when missense mutations are found.</w:t>
      </w:r>
    </w:p>
    <w:p w14:paraId="17BC6058" w14:textId="77777777" w:rsidR="00F00DC2" w:rsidRDefault="00F00DC2" w:rsidP="008E15B7">
      <w:pPr>
        <w:pStyle w:val="NoSpacing"/>
        <w:spacing w:after="120" w:line="480" w:lineRule="auto"/>
        <w:jc w:val="both"/>
        <w:rPr>
          <w:rFonts w:cs="Times New Roman"/>
          <w:sz w:val="24"/>
          <w:szCs w:val="24"/>
          <w:lang w:val="en-GB"/>
        </w:rPr>
      </w:pPr>
    </w:p>
    <w:p w14:paraId="17BC6059" w14:textId="77777777" w:rsidR="00F00DC2" w:rsidRDefault="00F00DC2" w:rsidP="008E15B7">
      <w:pPr>
        <w:pStyle w:val="NoSpacing"/>
        <w:spacing w:after="120" w:line="480" w:lineRule="auto"/>
        <w:jc w:val="both"/>
        <w:rPr>
          <w:rFonts w:cs="Times New Roman"/>
          <w:sz w:val="24"/>
          <w:szCs w:val="24"/>
          <w:lang w:val="en-GB"/>
        </w:rPr>
      </w:pPr>
      <w:r w:rsidRPr="001F345E">
        <w:rPr>
          <w:rFonts w:cs="Times New Roman"/>
          <w:i/>
          <w:iCs/>
          <w:sz w:val="24"/>
          <w:szCs w:val="24"/>
          <w:lang w:val="en-GB"/>
        </w:rPr>
        <w:t>EZH2</w:t>
      </w:r>
      <w:r>
        <w:rPr>
          <w:rFonts w:cs="Times New Roman"/>
          <w:sz w:val="24"/>
          <w:szCs w:val="24"/>
          <w:lang w:val="en-GB"/>
        </w:rPr>
        <w:t xml:space="preserve"> loss of function mutations are frequently seen in myeloid neoplasms and are associated with an adverse prognosis</w:t>
      </w:r>
      <w:r w:rsidRPr="00D50AE6">
        <w:rPr>
          <w:rFonts w:cs="Times New Roman"/>
          <w:noProof/>
          <w:sz w:val="24"/>
          <w:szCs w:val="24"/>
          <w:vertAlign w:val="superscript"/>
          <w:lang w:val="en-GB"/>
        </w:rPr>
        <w:t>1, 2</w:t>
      </w:r>
      <w:r>
        <w:rPr>
          <w:rFonts w:cs="Times New Roman"/>
          <w:sz w:val="24"/>
          <w:szCs w:val="24"/>
          <w:lang w:val="en-GB"/>
        </w:rPr>
        <w:t xml:space="preserve">. EZH2 is a highly conserved component of the </w:t>
      </w:r>
      <w:proofErr w:type="spellStart"/>
      <w:r>
        <w:rPr>
          <w:rFonts w:cs="Times New Roman"/>
          <w:sz w:val="24"/>
          <w:szCs w:val="24"/>
          <w:lang w:val="en-GB"/>
        </w:rPr>
        <w:t>polycomb</w:t>
      </w:r>
      <w:proofErr w:type="spellEnd"/>
      <w:r>
        <w:rPr>
          <w:rFonts w:cs="Times New Roman"/>
          <w:sz w:val="24"/>
          <w:szCs w:val="24"/>
          <w:lang w:val="en-GB"/>
        </w:rPr>
        <w:t xml:space="preserve"> repressive complex 2 (PRC2), which </w:t>
      </w:r>
      <w:r w:rsidRPr="00C522D4">
        <w:rPr>
          <w:rFonts w:cs="Times New Roman"/>
          <w:sz w:val="24"/>
          <w:szCs w:val="24"/>
          <w:lang w:val="en-GB"/>
        </w:rPr>
        <w:t xml:space="preserve">catalyses the trimethylation </w:t>
      </w:r>
      <w:r>
        <w:rPr>
          <w:rFonts w:cs="Times New Roman"/>
          <w:sz w:val="24"/>
          <w:szCs w:val="24"/>
          <w:lang w:val="en-GB"/>
        </w:rPr>
        <w:t xml:space="preserve">of histone H3 lysine 27 (H3K27). We have previously shown that several missense mutations in the SET/CXC domains of EZH2 abrogate catalytic activity using an </w:t>
      </w:r>
      <w:r w:rsidRPr="00794F5E">
        <w:rPr>
          <w:rFonts w:cs="Times New Roman"/>
          <w:i/>
          <w:iCs/>
          <w:sz w:val="24"/>
          <w:szCs w:val="24"/>
          <w:lang w:val="en-GB"/>
        </w:rPr>
        <w:t>in vitro</w:t>
      </w:r>
      <w:r>
        <w:rPr>
          <w:rFonts w:cs="Times New Roman"/>
          <w:sz w:val="24"/>
          <w:szCs w:val="24"/>
          <w:lang w:val="en-GB"/>
        </w:rPr>
        <w:t xml:space="preserve"> histone methylase transferase (HMT) assay</w:t>
      </w:r>
      <w:r w:rsidRPr="00D50AE6">
        <w:rPr>
          <w:rFonts w:cs="Times New Roman"/>
          <w:noProof/>
          <w:sz w:val="24"/>
          <w:szCs w:val="24"/>
          <w:vertAlign w:val="superscript"/>
          <w:lang w:val="en-GB"/>
        </w:rPr>
        <w:t>1</w:t>
      </w:r>
      <w:r>
        <w:rPr>
          <w:rFonts w:cs="Times New Roman"/>
          <w:sz w:val="24"/>
          <w:szCs w:val="24"/>
          <w:lang w:val="en-GB"/>
        </w:rPr>
        <w:t>, a finding that is further supported by more recent structural analysis</w:t>
      </w:r>
      <w:r w:rsidRPr="00D50AE6">
        <w:rPr>
          <w:rFonts w:cs="Times New Roman"/>
          <w:noProof/>
          <w:sz w:val="24"/>
          <w:szCs w:val="24"/>
          <w:vertAlign w:val="superscript"/>
          <w:lang w:val="en-GB"/>
        </w:rPr>
        <w:t>3-5</w:t>
      </w:r>
      <w:r w:rsidRPr="00794F5E">
        <w:rPr>
          <w:rFonts w:cs="Times New Roman"/>
          <w:sz w:val="24"/>
          <w:szCs w:val="24"/>
          <w:lang w:val="en-GB"/>
        </w:rPr>
        <w:t>. Missense</w:t>
      </w:r>
      <w:r>
        <w:rPr>
          <w:rFonts w:cs="Times New Roman"/>
          <w:sz w:val="24"/>
          <w:szCs w:val="24"/>
          <w:lang w:val="en-GB"/>
        </w:rPr>
        <w:t xml:space="preserve"> mutations outside the SET/CXC domains cluster in two regions known as DI and DII, suggesting that they are also likely to be functional. Unexpectedly, however, </w:t>
      </w:r>
      <w:r w:rsidRPr="00592CD5">
        <w:rPr>
          <w:rFonts w:cs="Times New Roman"/>
          <w:sz w:val="24"/>
          <w:szCs w:val="24"/>
          <w:lang w:val="en-GB"/>
        </w:rPr>
        <w:t xml:space="preserve">we found that </w:t>
      </w:r>
      <w:r>
        <w:rPr>
          <w:rFonts w:cs="Times New Roman"/>
          <w:sz w:val="24"/>
          <w:szCs w:val="24"/>
          <w:lang w:val="en-GB"/>
        </w:rPr>
        <w:t>DI and DII</w:t>
      </w:r>
      <w:r w:rsidRPr="00592CD5">
        <w:rPr>
          <w:rFonts w:cs="Times New Roman"/>
          <w:sz w:val="24"/>
          <w:szCs w:val="24"/>
          <w:lang w:val="en-GB"/>
        </w:rPr>
        <w:t xml:space="preserve"> </w:t>
      </w:r>
      <w:r>
        <w:rPr>
          <w:rFonts w:cs="Times New Roman"/>
          <w:sz w:val="24"/>
          <w:szCs w:val="24"/>
          <w:lang w:val="en-GB"/>
        </w:rPr>
        <w:t xml:space="preserve">missense mutants </w:t>
      </w:r>
      <w:r w:rsidRPr="00592CD5">
        <w:rPr>
          <w:rFonts w:cs="Times New Roman"/>
          <w:sz w:val="24"/>
          <w:szCs w:val="24"/>
          <w:lang w:val="en-GB"/>
        </w:rPr>
        <w:t>retained catalytic activity</w:t>
      </w:r>
      <w:r>
        <w:rPr>
          <w:rFonts w:cs="Times New Roman"/>
          <w:sz w:val="24"/>
          <w:szCs w:val="24"/>
          <w:lang w:val="en-GB"/>
        </w:rPr>
        <w:t xml:space="preserve"> using the </w:t>
      </w:r>
      <w:r w:rsidRPr="00285472">
        <w:rPr>
          <w:rFonts w:cs="Times New Roman"/>
          <w:i/>
          <w:iCs/>
          <w:sz w:val="24"/>
          <w:szCs w:val="24"/>
          <w:lang w:val="en-GB"/>
        </w:rPr>
        <w:t>in vitro</w:t>
      </w:r>
      <w:r>
        <w:rPr>
          <w:rFonts w:cs="Times New Roman"/>
          <w:sz w:val="24"/>
          <w:szCs w:val="24"/>
          <w:lang w:val="en-GB"/>
        </w:rPr>
        <w:t xml:space="preserve"> HMT assay. We hypothesised that the cellular context, such as interaction with accessory proteins or chromatin, might also be relevant to the pathogenicity of DI and DII mutations. We </w:t>
      </w:r>
      <w:r>
        <w:rPr>
          <w:rFonts w:cs="Times New Roman"/>
          <w:sz w:val="24"/>
          <w:szCs w:val="24"/>
          <w:lang w:val="en-GB"/>
        </w:rPr>
        <w:lastRenderedPageBreak/>
        <w:t xml:space="preserve">therefore developed a cell-based H3K27 methylation (HM) assay, which revealed that DI mutations also abrogated HMT activity. DII mutants retained activity but further investigations revealed that they affected splicing, resulting in skipping of exon 8 and production of an out of frame </w:t>
      </w:r>
      <w:r w:rsidRPr="00285472">
        <w:rPr>
          <w:rFonts w:cs="Times New Roman"/>
          <w:i/>
          <w:iCs/>
          <w:sz w:val="24"/>
          <w:szCs w:val="24"/>
          <w:lang w:val="en-GB"/>
        </w:rPr>
        <w:t>EZH2</w:t>
      </w:r>
      <w:r>
        <w:rPr>
          <w:rFonts w:cs="Times New Roman"/>
          <w:sz w:val="24"/>
          <w:szCs w:val="24"/>
          <w:lang w:val="en-GB"/>
        </w:rPr>
        <w:t xml:space="preserve"> mRNA.</w:t>
      </w:r>
    </w:p>
    <w:p w14:paraId="17BC605A" w14:textId="77777777" w:rsidR="00F00DC2" w:rsidRPr="00497375" w:rsidRDefault="00F00DC2" w:rsidP="008E15B7">
      <w:pPr>
        <w:pStyle w:val="NoSpacing"/>
        <w:spacing w:after="120" w:line="480" w:lineRule="auto"/>
        <w:jc w:val="both"/>
        <w:rPr>
          <w:rFonts w:cs="Times New Roman"/>
          <w:sz w:val="24"/>
          <w:szCs w:val="24"/>
          <w:lang w:val="en-GB"/>
        </w:rPr>
      </w:pPr>
    </w:p>
    <w:p w14:paraId="17BC605B" w14:textId="77777777" w:rsidR="00F00DC2" w:rsidRPr="00BF696B" w:rsidRDefault="00F00DC2" w:rsidP="008E15B7">
      <w:pPr>
        <w:pStyle w:val="NoSpacing"/>
        <w:spacing w:after="120" w:line="480" w:lineRule="auto"/>
        <w:jc w:val="both"/>
        <w:rPr>
          <w:rFonts w:cs="Times New Roman"/>
          <w:b/>
          <w:sz w:val="28"/>
          <w:szCs w:val="24"/>
          <w:lang w:val="en-GB"/>
        </w:rPr>
      </w:pPr>
      <w:r>
        <w:rPr>
          <w:rFonts w:cs="Times New Roman"/>
          <w:b/>
          <w:sz w:val="28"/>
          <w:szCs w:val="24"/>
          <w:lang w:val="en-GB"/>
        </w:rPr>
        <w:t xml:space="preserve">Materials and </w:t>
      </w:r>
      <w:r w:rsidRPr="00BF696B">
        <w:rPr>
          <w:rFonts w:cs="Times New Roman"/>
          <w:b/>
          <w:sz w:val="28"/>
          <w:szCs w:val="24"/>
          <w:lang w:val="en-GB"/>
        </w:rPr>
        <w:t>Methods</w:t>
      </w:r>
    </w:p>
    <w:p w14:paraId="17BC605C" w14:textId="77777777" w:rsidR="00F00DC2" w:rsidRDefault="00F00DC2" w:rsidP="008E15B7">
      <w:pPr>
        <w:pStyle w:val="NoSpacing"/>
        <w:spacing w:after="120" w:line="480" w:lineRule="auto"/>
        <w:jc w:val="both"/>
        <w:rPr>
          <w:sz w:val="24"/>
          <w:szCs w:val="24"/>
        </w:rPr>
      </w:pPr>
      <w:r w:rsidRPr="00035BC3">
        <w:rPr>
          <w:rFonts w:cs="Times New Roman"/>
          <w:i/>
          <w:sz w:val="24"/>
          <w:szCs w:val="24"/>
        </w:rPr>
        <w:t>Patient samples</w:t>
      </w:r>
      <w:r w:rsidRPr="00C522D4">
        <w:rPr>
          <w:rFonts w:cs="Times New Roman"/>
          <w:sz w:val="24"/>
          <w:szCs w:val="24"/>
        </w:rPr>
        <w:t xml:space="preserve">. </w:t>
      </w:r>
      <w:r>
        <w:rPr>
          <w:rFonts w:cs="Times New Roman"/>
          <w:sz w:val="24"/>
          <w:szCs w:val="24"/>
        </w:rPr>
        <w:t xml:space="preserve">Use of samples from patients diagnosed with myeloid neoplasms was approved by the </w:t>
      </w:r>
      <w:r w:rsidRPr="002A0C1E">
        <w:rPr>
          <w:sz w:val="24"/>
          <w:szCs w:val="24"/>
        </w:rPr>
        <w:t>National Research Ethics Se</w:t>
      </w:r>
      <w:r>
        <w:rPr>
          <w:sz w:val="24"/>
          <w:szCs w:val="24"/>
        </w:rPr>
        <w:t>rvice (UK) Committee South West and informed consent was obtained according to the principles of the Declaration of Helsinki. The s</w:t>
      </w:r>
      <w:r w:rsidRPr="00437748">
        <w:rPr>
          <w:sz w:val="24"/>
          <w:szCs w:val="24"/>
        </w:rPr>
        <w:t xml:space="preserve">ource and diagnosis of all </w:t>
      </w:r>
      <w:r w:rsidRPr="00437748">
        <w:rPr>
          <w:i/>
          <w:sz w:val="24"/>
          <w:szCs w:val="24"/>
        </w:rPr>
        <w:t>EZH2</w:t>
      </w:r>
      <w:r w:rsidRPr="00437748">
        <w:rPr>
          <w:sz w:val="24"/>
          <w:szCs w:val="24"/>
        </w:rPr>
        <w:t xml:space="preserve"> variants studied </w:t>
      </w:r>
      <w:r>
        <w:rPr>
          <w:sz w:val="24"/>
          <w:szCs w:val="24"/>
        </w:rPr>
        <w:t xml:space="preserve">is given in Supplementary Table 1. Most of these variants were detected by Sanger sequencing, and thus variant allele frequencies are </w:t>
      </w:r>
      <w:r w:rsidR="00883134">
        <w:rPr>
          <w:sz w:val="24"/>
          <w:szCs w:val="24"/>
        </w:rPr>
        <w:t xml:space="preserve">mostly </w:t>
      </w:r>
      <w:r>
        <w:rPr>
          <w:sz w:val="24"/>
          <w:szCs w:val="24"/>
        </w:rPr>
        <w:t xml:space="preserve">not available. </w:t>
      </w:r>
    </w:p>
    <w:p w14:paraId="17BC605D" w14:textId="77777777" w:rsidR="00F00DC2" w:rsidRDefault="00F00DC2" w:rsidP="008E15B7">
      <w:pPr>
        <w:pStyle w:val="NoSpacing"/>
        <w:spacing w:after="120" w:line="480" w:lineRule="auto"/>
        <w:jc w:val="both"/>
        <w:rPr>
          <w:sz w:val="24"/>
          <w:szCs w:val="24"/>
        </w:rPr>
      </w:pPr>
    </w:p>
    <w:p w14:paraId="17BC605E" w14:textId="77777777" w:rsidR="00F00DC2" w:rsidRDefault="00F00DC2" w:rsidP="008E15B7">
      <w:pPr>
        <w:pStyle w:val="NoSpacing"/>
        <w:spacing w:after="120" w:line="480" w:lineRule="auto"/>
        <w:jc w:val="both"/>
        <w:rPr>
          <w:rFonts w:cs="Times New Roman"/>
          <w:sz w:val="24"/>
          <w:szCs w:val="24"/>
        </w:rPr>
      </w:pPr>
      <w:proofErr w:type="spellStart"/>
      <w:r w:rsidRPr="00C522D4">
        <w:rPr>
          <w:rFonts w:cs="Times New Roman"/>
          <w:i/>
          <w:sz w:val="24"/>
          <w:szCs w:val="24"/>
        </w:rPr>
        <w:t>Baculovirus</w:t>
      </w:r>
      <w:proofErr w:type="spellEnd"/>
      <w:r w:rsidRPr="00C522D4">
        <w:rPr>
          <w:rFonts w:cs="Times New Roman"/>
          <w:i/>
          <w:sz w:val="24"/>
          <w:szCs w:val="24"/>
        </w:rPr>
        <w:t xml:space="preserve"> expression, PRC2 purification and HMT assay</w:t>
      </w:r>
      <w:r w:rsidRPr="00C522D4">
        <w:rPr>
          <w:rFonts w:cs="Times New Roman"/>
          <w:sz w:val="24"/>
          <w:szCs w:val="24"/>
        </w:rPr>
        <w:t xml:space="preserve">. The expression of murine PRC2 components Ezh2, </w:t>
      </w:r>
      <w:proofErr w:type="spellStart"/>
      <w:r w:rsidRPr="00C522D4">
        <w:rPr>
          <w:rFonts w:cs="Times New Roman"/>
          <w:sz w:val="24"/>
          <w:szCs w:val="24"/>
        </w:rPr>
        <w:t>Eed</w:t>
      </w:r>
      <w:proofErr w:type="spellEnd"/>
      <w:r w:rsidRPr="00C522D4">
        <w:rPr>
          <w:rFonts w:cs="Times New Roman"/>
          <w:sz w:val="24"/>
          <w:szCs w:val="24"/>
        </w:rPr>
        <w:t xml:space="preserve"> and Suz12, purification and assay for histone methylation activity </w:t>
      </w:r>
      <w:r>
        <w:rPr>
          <w:rFonts w:cs="Times New Roman"/>
          <w:sz w:val="24"/>
          <w:szCs w:val="24"/>
        </w:rPr>
        <w:t>were</w:t>
      </w:r>
      <w:r w:rsidRPr="00C522D4">
        <w:rPr>
          <w:rFonts w:cs="Times New Roman"/>
          <w:sz w:val="24"/>
          <w:szCs w:val="24"/>
        </w:rPr>
        <w:t xml:space="preserve"> performed as previously described</w:t>
      </w:r>
      <w:r w:rsidRPr="00D50AE6">
        <w:rPr>
          <w:rFonts w:cs="Times New Roman"/>
          <w:noProof/>
          <w:sz w:val="24"/>
          <w:szCs w:val="24"/>
          <w:vertAlign w:val="superscript"/>
        </w:rPr>
        <w:t>1</w:t>
      </w:r>
      <w:r w:rsidRPr="00C522D4">
        <w:rPr>
          <w:rFonts w:cs="Times New Roman"/>
          <w:sz w:val="24"/>
          <w:szCs w:val="24"/>
        </w:rPr>
        <w:t xml:space="preserve">. </w:t>
      </w:r>
    </w:p>
    <w:p w14:paraId="17BC605F" w14:textId="77777777" w:rsidR="00F00DC2" w:rsidRPr="00C522D4" w:rsidRDefault="00F00DC2" w:rsidP="008E15B7">
      <w:pPr>
        <w:pStyle w:val="NoSpacing"/>
        <w:spacing w:after="120" w:line="480" w:lineRule="auto"/>
        <w:jc w:val="both"/>
        <w:rPr>
          <w:rFonts w:cs="Times New Roman"/>
          <w:sz w:val="24"/>
          <w:szCs w:val="24"/>
        </w:rPr>
      </w:pPr>
    </w:p>
    <w:p w14:paraId="17BC6060" w14:textId="77777777" w:rsidR="00F00DC2" w:rsidRPr="000040EC" w:rsidRDefault="00F00DC2" w:rsidP="008E15B7">
      <w:pPr>
        <w:spacing w:after="120" w:line="480" w:lineRule="auto"/>
        <w:jc w:val="both"/>
        <w:rPr>
          <w:rFonts w:ascii="Times New Roman" w:hAnsi="Times New Roman"/>
          <w:sz w:val="24"/>
          <w:szCs w:val="24"/>
        </w:rPr>
      </w:pPr>
      <w:r w:rsidRPr="00C522D4">
        <w:rPr>
          <w:i/>
          <w:sz w:val="24"/>
          <w:szCs w:val="24"/>
        </w:rPr>
        <w:t>Cell lines and expression constructs</w:t>
      </w:r>
      <w:r w:rsidRPr="00C522D4">
        <w:rPr>
          <w:sz w:val="24"/>
          <w:szCs w:val="24"/>
        </w:rPr>
        <w:t xml:space="preserve">. The murine </w:t>
      </w:r>
      <w:r w:rsidRPr="002B1405">
        <w:rPr>
          <w:i/>
          <w:sz w:val="24"/>
          <w:szCs w:val="24"/>
        </w:rPr>
        <w:t>Ezh2</w:t>
      </w:r>
      <w:r w:rsidRPr="00C522D4">
        <w:rPr>
          <w:sz w:val="24"/>
          <w:szCs w:val="24"/>
        </w:rPr>
        <w:t>-null induced pluripotent stem cell (iPS) line</w:t>
      </w:r>
      <w:r>
        <w:rPr>
          <w:sz w:val="24"/>
          <w:szCs w:val="24"/>
        </w:rPr>
        <w:t xml:space="preserve">, </w:t>
      </w:r>
      <w:r w:rsidRPr="002B1405">
        <w:rPr>
          <w:i/>
          <w:sz w:val="24"/>
          <w:szCs w:val="24"/>
        </w:rPr>
        <w:t>Ezh2</w:t>
      </w:r>
      <w:r>
        <w:rPr>
          <w:sz w:val="24"/>
          <w:szCs w:val="24"/>
        </w:rPr>
        <w:t xml:space="preserve"> Δ/Δ</w:t>
      </w:r>
      <w:r w:rsidRPr="00C522D4">
        <w:rPr>
          <w:sz w:val="24"/>
          <w:szCs w:val="24"/>
        </w:rPr>
        <w:t xml:space="preserve"> </w:t>
      </w:r>
      <w:r>
        <w:rPr>
          <w:sz w:val="24"/>
          <w:szCs w:val="24"/>
        </w:rPr>
        <w:t>clone 10</w:t>
      </w:r>
      <w:r w:rsidRPr="00D50AE6">
        <w:rPr>
          <w:noProof/>
          <w:sz w:val="24"/>
          <w:szCs w:val="24"/>
          <w:vertAlign w:val="superscript"/>
        </w:rPr>
        <w:t>6</w:t>
      </w:r>
      <w:r>
        <w:rPr>
          <w:sz w:val="24"/>
          <w:szCs w:val="24"/>
        </w:rPr>
        <w:t xml:space="preserve">, </w:t>
      </w:r>
      <w:r w:rsidRPr="00C522D4">
        <w:rPr>
          <w:sz w:val="24"/>
          <w:szCs w:val="24"/>
        </w:rPr>
        <w:t xml:space="preserve">was kindly provided by </w:t>
      </w:r>
      <w:r w:rsidRPr="00720FEC">
        <w:rPr>
          <w:sz w:val="24"/>
          <w:szCs w:val="24"/>
        </w:rPr>
        <w:t>P</w:t>
      </w:r>
      <w:r>
        <w:rPr>
          <w:sz w:val="24"/>
          <w:szCs w:val="24"/>
        </w:rPr>
        <w:t>rofessor Manuel Serrano, Barcelona</w:t>
      </w:r>
      <w:r w:rsidRPr="00C522D4">
        <w:rPr>
          <w:sz w:val="24"/>
          <w:szCs w:val="24"/>
        </w:rPr>
        <w:t xml:space="preserve">. Cells were grown on </w:t>
      </w:r>
      <w:proofErr w:type="spellStart"/>
      <w:r w:rsidRPr="00C522D4">
        <w:rPr>
          <w:sz w:val="24"/>
          <w:szCs w:val="24"/>
        </w:rPr>
        <w:t>Geltrex</w:t>
      </w:r>
      <w:proofErr w:type="spellEnd"/>
      <w:r w:rsidRPr="00C522D4">
        <w:rPr>
          <w:sz w:val="24"/>
          <w:szCs w:val="24"/>
        </w:rPr>
        <w:t xml:space="preserve"> </w:t>
      </w:r>
      <w:proofErr w:type="spellStart"/>
      <w:r w:rsidRPr="00C522D4">
        <w:rPr>
          <w:sz w:val="24"/>
          <w:szCs w:val="24"/>
        </w:rPr>
        <w:t>hESC</w:t>
      </w:r>
      <w:proofErr w:type="spellEnd"/>
      <w:r w:rsidRPr="00C522D4">
        <w:rPr>
          <w:sz w:val="24"/>
          <w:szCs w:val="24"/>
        </w:rPr>
        <w:t>-qualified Ready-To-Use (</w:t>
      </w:r>
      <w:r>
        <w:rPr>
          <w:sz w:val="24"/>
          <w:szCs w:val="24"/>
        </w:rPr>
        <w:t>Thermo Fisher Scientific, Waltham, MA</w:t>
      </w:r>
      <w:r w:rsidRPr="00C522D4">
        <w:rPr>
          <w:sz w:val="24"/>
          <w:szCs w:val="24"/>
        </w:rPr>
        <w:t xml:space="preserve">) in </w:t>
      </w:r>
      <w:proofErr w:type="spellStart"/>
      <w:r w:rsidRPr="00C522D4">
        <w:rPr>
          <w:sz w:val="24"/>
          <w:szCs w:val="24"/>
        </w:rPr>
        <w:t>KnockOut</w:t>
      </w:r>
      <w:proofErr w:type="spellEnd"/>
      <w:r w:rsidRPr="00C522D4">
        <w:rPr>
          <w:sz w:val="24"/>
          <w:szCs w:val="24"/>
        </w:rPr>
        <w:t xml:space="preserve"> DMEM (Thermo Fisher</w:t>
      </w:r>
      <w:r>
        <w:rPr>
          <w:sz w:val="24"/>
          <w:szCs w:val="24"/>
        </w:rPr>
        <w:t xml:space="preserve"> </w:t>
      </w:r>
      <w:r w:rsidRPr="00C522D4">
        <w:rPr>
          <w:sz w:val="24"/>
          <w:szCs w:val="24"/>
        </w:rPr>
        <w:t xml:space="preserve">Scientific) supplemented with </w:t>
      </w:r>
      <w:r>
        <w:rPr>
          <w:sz w:val="24"/>
          <w:szCs w:val="24"/>
        </w:rPr>
        <w:t xml:space="preserve">1 mM sodium pyruvate, non-essential amino acids (1x), 2 mM L-glutamine, 100 U/ml </w:t>
      </w:r>
      <w:r>
        <w:rPr>
          <w:sz w:val="24"/>
          <w:szCs w:val="24"/>
        </w:rPr>
        <w:lastRenderedPageBreak/>
        <w:t xml:space="preserve">Penicillin/Streptomycin, 15% Knockout serum replacement (all from Thermo Fisher Scientific), 2,000 U/ml </w:t>
      </w:r>
      <w:r w:rsidRPr="000C1A0E">
        <w:rPr>
          <w:sz w:val="24"/>
          <w:szCs w:val="24"/>
        </w:rPr>
        <w:t>E</w:t>
      </w:r>
      <w:r>
        <w:rPr>
          <w:sz w:val="24"/>
          <w:szCs w:val="24"/>
        </w:rPr>
        <w:t>SGRO Leukemia Inhibitory Factor (Millipore/Merck, Darmstadt, Germany),</w:t>
      </w:r>
      <w:r w:rsidRPr="000C1A0E">
        <w:rPr>
          <w:sz w:val="24"/>
          <w:szCs w:val="24"/>
        </w:rPr>
        <w:t xml:space="preserve"> </w:t>
      </w:r>
      <w:r>
        <w:rPr>
          <w:sz w:val="24"/>
          <w:szCs w:val="24"/>
        </w:rPr>
        <w:t>0.001% β2-mercaptoethanol (Sigma-Aldrich, St. Louis, MO). HEK293</w:t>
      </w:r>
      <w:r w:rsidRPr="00C522D4">
        <w:rPr>
          <w:sz w:val="24"/>
          <w:szCs w:val="24"/>
        </w:rPr>
        <w:t>F (Thermo Fisher Scientific)</w:t>
      </w:r>
      <w:r>
        <w:rPr>
          <w:sz w:val="24"/>
          <w:szCs w:val="24"/>
        </w:rPr>
        <w:t>,</w:t>
      </w:r>
      <w:r w:rsidRPr="00C522D4">
        <w:rPr>
          <w:sz w:val="24"/>
          <w:szCs w:val="24"/>
        </w:rPr>
        <w:t xml:space="preserve"> </w:t>
      </w:r>
      <w:r>
        <w:rPr>
          <w:sz w:val="24"/>
          <w:szCs w:val="24"/>
        </w:rPr>
        <w:t xml:space="preserve">grown as adherent cultures, and HeLa cells </w:t>
      </w:r>
      <w:r w:rsidRPr="00C522D4">
        <w:rPr>
          <w:sz w:val="24"/>
          <w:szCs w:val="24"/>
        </w:rPr>
        <w:t>were grown in DMEM (</w:t>
      </w:r>
      <w:proofErr w:type="spellStart"/>
      <w:r w:rsidRPr="00C522D4">
        <w:rPr>
          <w:sz w:val="24"/>
          <w:szCs w:val="24"/>
        </w:rPr>
        <w:t>Biosera</w:t>
      </w:r>
      <w:proofErr w:type="spellEnd"/>
      <w:r w:rsidRPr="00C522D4">
        <w:rPr>
          <w:sz w:val="24"/>
          <w:szCs w:val="24"/>
        </w:rPr>
        <w:t xml:space="preserve">) supplemented with 10% </w:t>
      </w:r>
      <w:proofErr w:type="spellStart"/>
      <w:r w:rsidRPr="00C522D4">
        <w:rPr>
          <w:sz w:val="24"/>
          <w:szCs w:val="24"/>
        </w:rPr>
        <w:t>fetal</w:t>
      </w:r>
      <w:proofErr w:type="spellEnd"/>
      <w:r w:rsidRPr="00C522D4">
        <w:rPr>
          <w:sz w:val="24"/>
          <w:szCs w:val="24"/>
        </w:rPr>
        <w:t xml:space="preserve"> calf serum.</w:t>
      </w:r>
      <w:r>
        <w:rPr>
          <w:sz w:val="24"/>
          <w:szCs w:val="24"/>
        </w:rPr>
        <w:t xml:space="preserve"> Mutations were introduced by site-directed mutagenesis into wild type </w:t>
      </w:r>
      <w:r w:rsidRPr="009721A5">
        <w:rPr>
          <w:i/>
          <w:sz w:val="24"/>
          <w:szCs w:val="24"/>
        </w:rPr>
        <w:t>EZH2</w:t>
      </w:r>
      <w:r>
        <w:rPr>
          <w:sz w:val="24"/>
          <w:szCs w:val="24"/>
        </w:rPr>
        <w:t xml:space="preserve"> in pCMV</w:t>
      </w:r>
      <w:r w:rsidRPr="00C522D4">
        <w:rPr>
          <w:sz w:val="24"/>
          <w:szCs w:val="24"/>
        </w:rPr>
        <w:t>6-AN-HA (</w:t>
      </w:r>
      <w:proofErr w:type="spellStart"/>
      <w:r w:rsidRPr="00C522D4">
        <w:rPr>
          <w:sz w:val="24"/>
          <w:szCs w:val="24"/>
        </w:rPr>
        <w:t>Origene</w:t>
      </w:r>
      <w:proofErr w:type="spellEnd"/>
      <w:r>
        <w:rPr>
          <w:sz w:val="24"/>
          <w:szCs w:val="24"/>
        </w:rPr>
        <w:t xml:space="preserve">, </w:t>
      </w:r>
      <w:r w:rsidRPr="004C53EE">
        <w:rPr>
          <w:sz w:val="24"/>
          <w:szCs w:val="24"/>
        </w:rPr>
        <w:t>Rockville, MD</w:t>
      </w:r>
      <w:r>
        <w:rPr>
          <w:sz w:val="24"/>
          <w:szCs w:val="24"/>
        </w:rPr>
        <w:t>, USA</w:t>
      </w:r>
      <w:r w:rsidRPr="00C522D4">
        <w:rPr>
          <w:sz w:val="24"/>
          <w:szCs w:val="24"/>
        </w:rPr>
        <w:t>)</w:t>
      </w:r>
      <w:r>
        <w:rPr>
          <w:sz w:val="24"/>
          <w:szCs w:val="24"/>
        </w:rPr>
        <w:t xml:space="preserve">. </w:t>
      </w:r>
      <w:r w:rsidRPr="00C522D4">
        <w:rPr>
          <w:sz w:val="24"/>
          <w:szCs w:val="24"/>
        </w:rPr>
        <w:t xml:space="preserve">WT and mutant </w:t>
      </w:r>
      <w:r w:rsidRPr="00F06250">
        <w:rPr>
          <w:i/>
          <w:sz w:val="24"/>
          <w:szCs w:val="24"/>
        </w:rPr>
        <w:t>EZH2</w:t>
      </w:r>
      <w:r w:rsidRPr="00C522D4">
        <w:rPr>
          <w:sz w:val="24"/>
          <w:szCs w:val="24"/>
        </w:rPr>
        <w:t xml:space="preserve"> were</w:t>
      </w:r>
      <w:r>
        <w:rPr>
          <w:sz w:val="24"/>
          <w:szCs w:val="24"/>
        </w:rPr>
        <w:t xml:space="preserve"> then</w:t>
      </w:r>
      <w:r w:rsidRPr="00C522D4">
        <w:rPr>
          <w:sz w:val="24"/>
          <w:szCs w:val="24"/>
        </w:rPr>
        <w:t xml:space="preserve"> transferred to pCAGIG</w:t>
      </w:r>
      <w:r w:rsidRPr="00D50AE6">
        <w:rPr>
          <w:noProof/>
          <w:sz w:val="24"/>
          <w:szCs w:val="24"/>
          <w:vertAlign w:val="superscript"/>
        </w:rPr>
        <w:t>7</w:t>
      </w:r>
      <w:r w:rsidRPr="00C522D4">
        <w:rPr>
          <w:sz w:val="24"/>
          <w:szCs w:val="24"/>
        </w:rPr>
        <w:t xml:space="preserve"> (</w:t>
      </w:r>
      <w:r>
        <w:rPr>
          <w:sz w:val="24"/>
          <w:szCs w:val="24"/>
        </w:rPr>
        <w:t xml:space="preserve">a gift from Connie </w:t>
      </w:r>
      <w:proofErr w:type="spellStart"/>
      <w:r>
        <w:rPr>
          <w:sz w:val="24"/>
          <w:szCs w:val="24"/>
        </w:rPr>
        <w:t>Cepko</w:t>
      </w:r>
      <w:proofErr w:type="spellEnd"/>
      <w:r>
        <w:rPr>
          <w:sz w:val="24"/>
          <w:szCs w:val="24"/>
        </w:rPr>
        <w:t xml:space="preserve">, </w:t>
      </w:r>
      <w:proofErr w:type="spellStart"/>
      <w:r>
        <w:rPr>
          <w:sz w:val="24"/>
          <w:szCs w:val="24"/>
        </w:rPr>
        <w:t>Addgene</w:t>
      </w:r>
      <w:proofErr w:type="spellEnd"/>
      <w:r>
        <w:rPr>
          <w:sz w:val="24"/>
          <w:szCs w:val="24"/>
        </w:rPr>
        <w:t xml:space="preserve"> plasmid #11159</w:t>
      </w:r>
      <w:r w:rsidRPr="00C522D4">
        <w:rPr>
          <w:sz w:val="24"/>
          <w:szCs w:val="24"/>
        </w:rPr>
        <w:t>) which expresses GFP via an internal ribosome entry site.</w:t>
      </w:r>
    </w:p>
    <w:p w14:paraId="17BC6061" w14:textId="77777777" w:rsidR="00F00DC2" w:rsidRDefault="00F00DC2" w:rsidP="0023019A">
      <w:pPr>
        <w:pStyle w:val="NoSpacing"/>
        <w:spacing w:after="120" w:line="480" w:lineRule="auto"/>
        <w:jc w:val="both"/>
        <w:rPr>
          <w:rFonts w:cs="Times New Roman"/>
          <w:i/>
          <w:sz w:val="24"/>
          <w:szCs w:val="24"/>
          <w:lang w:val="en-GB"/>
        </w:rPr>
      </w:pPr>
    </w:p>
    <w:p w14:paraId="17BC6062" w14:textId="77777777" w:rsidR="00F00DC2" w:rsidRPr="0023019A" w:rsidRDefault="00F00DC2" w:rsidP="0023019A">
      <w:pPr>
        <w:spacing w:after="120" w:line="480" w:lineRule="auto"/>
        <w:jc w:val="both"/>
        <w:rPr>
          <w:rFonts w:ascii="Calibri" w:hAnsi="Calibri"/>
          <w:color w:val="000000"/>
          <w:sz w:val="24"/>
          <w:szCs w:val="24"/>
          <w:lang w:eastAsia="en-GB"/>
        </w:rPr>
      </w:pPr>
      <w:r w:rsidRPr="00C522D4">
        <w:rPr>
          <w:i/>
          <w:sz w:val="24"/>
          <w:szCs w:val="24"/>
        </w:rPr>
        <w:t>Cell-based H3K27 methylation assay.</w:t>
      </w:r>
      <w:r>
        <w:rPr>
          <w:sz w:val="24"/>
          <w:szCs w:val="24"/>
        </w:rPr>
        <w:t xml:space="preserve"> </w:t>
      </w:r>
      <w:r>
        <w:rPr>
          <w:i/>
          <w:sz w:val="24"/>
          <w:szCs w:val="24"/>
        </w:rPr>
        <w:t>Ezh2</w:t>
      </w:r>
      <w:r>
        <w:rPr>
          <w:sz w:val="24"/>
          <w:szCs w:val="24"/>
        </w:rPr>
        <w:t xml:space="preserve">-null iPS cells </w:t>
      </w:r>
      <w:r w:rsidRPr="00C522D4">
        <w:rPr>
          <w:sz w:val="24"/>
          <w:szCs w:val="24"/>
        </w:rPr>
        <w:t>were transfecte</w:t>
      </w:r>
      <w:r>
        <w:rPr>
          <w:sz w:val="24"/>
          <w:szCs w:val="24"/>
        </w:rPr>
        <w:t xml:space="preserve">d with wild type </w:t>
      </w:r>
      <w:r w:rsidRPr="00C522D4">
        <w:rPr>
          <w:sz w:val="24"/>
          <w:szCs w:val="24"/>
        </w:rPr>
        <w:t>or mutant pCAGIG-</w:t>
      </w:r>
      <w:r w:rsidRPr="009721A5">
        <w:rPr>
          <w:i/>
          <w:sz w:val="24"/>
          <w:szCs w:val="24"/>
        </w:rPr>
        <w:t>EZH2</w:t>
      </w:r>
      <w:r w:rsidRPr="00C522D4">
        <w:rPr>
          <w:sz w:val="24"/>
          <w:szCs w:val="24"/>
        </w:rPr>
        <w:t xml:space="preserve"> constructs by reverse transfection using </w:t>
      </w:r>
      <w:r>
        <w:rPr>
          <w:sz w:val="24"/>
          <w:szCs w:val="24"/>
        </w:rPr>
        <w:t>Lipofectamine 2000 (Invitrogen, Carlsbad, CA).</w:t>
      </w:r>
      <w:r w:rsidRPr="00C522D4">
        <w:rPr>
          <w:sz w:val="24"/>
          <w:szCs w:val="24"/>
        </w:rPr>
        <w:t xml:space="preserve"> </w:t>
      </w:r>
      <w:r>
        <w:rPr>
          <w:sz w:val="24"/>
          <w:szCs w:val="24"/>
        </w:rPr>
        <w:t xml:space="preserve">Briefly, Geltrex was applied to a 6-well plate and incubated at 37 °C for 10 minutes. Three </w:t>
      </w:r>
      <w:proofErr w:type="spellStart"/>
      <w:r>
        <w:rPr>
          <w:sz w:val="24"/>
          <w:szCs w:val="24"/>
        </w:rPr>
        <w:t>μg</w:t>
      </w:r>
      <w:proofErr w:type="spellEnd"/>
      <w:r>
        <w:rPr>
          <w:sz w:val="24"/>
          <w:szCs w:val="24"/>
        </w:rPr>
        <w:t xml:space="preserve"> of plasmid DNA and 9 </w:t>
      </w:r>
      <w:proofErr w:type="spellStart"/>
      <w:r>
        <w:rPr>
          <w:sz w:val="24"/>
          <w:szCs w:val="24"/>
        </w:rPr>
        <w:t>μl</w:t>
      </w:r>
      <w:proofErr w:type="spellEnd"/>
      <w:r>
        <w:rPr>
          <w:sz w:val="24"/>
          <w:szCs w:val="24"/>
        </w:rPr>
        <w:t xml:space="preserve"> of </w:t>
      </w:r>
      <w:r w:rsidRPr="003F0FE0">
        <w:rPr>
          <w:color w:val="000000" w:themeColor="text1"/>
          <w:sz w:val="24"/>
          <w:szCs w:val="24"/>
        </w:rPr>
        <w:t xml:space="preserve">Lipofectamine </w:t>
      </w:r>
      <w:r>
        <w:rPr>
          <w:sz w:val="24"/>
          <w:szCs w:val="24"/>
        </w:rPr>
        <w:t xml:space="preserve">2000 were each separately diluted in </w:t>
      </w:r>
      <w:r w:rsidRPr="006B53C2">
        <w:rPr>
          <w:color w:val="000000" w:themeColor="text1"/>
          <w:sz w:val="24"/>
          <w:szCs w:val="24"/>
        </w:rPr>
        <w:t>1</w:t>
      </w:r>
      <w:r>
        <w:rPr>
          <w:color w:val="000000" w:themeColor="text1"/>
          <w:sz w:val="24"/>
          <w:szCs w:val="24"/>
        </w:rPr>
        <w:t xml:space="preserve">50 </w:t>
      </w:r>
      <w:proofErr w:type="spellStart"/>
      <w:r>
        <w:rPr>
          <w:sz w:val="24"/>
          <w:szCs w:val="24"/>
        </w:rPr>
        <w:t>μ</w:t>
      </w:r>
      <w:r w:rsidRPr="006B53C2">
        <w:rPr>
          <w:color w:val="000000" w:themeColor="text1"/>
          <w:sz w:val="24"/>
          <w:szCs w:val="24"/>
        </w:rPr>
        <w:t>l</w:t>
      </w:r>
      <w:proofErr w:type="spellEnd"/>
      <w:r w:rsidRPr="006B53C2">
        <w:rPr>
          <w:color w:val="000000" w:themeColor="text1"/>
          <w:sz w:val="24"/>
          <w:szCs w:val="24"/>
        </w:rPr>
        <w:t xml:space="preserve"> of </w:t>
      </w:r>
      <w:proofErr w:type="spellStart"/>
      <w:r w:rsidRPr="006B53C2">
        <w:rPr>
          <w:color w:val="000000" w:themeColor="text1"/>
          <w:sz w:val="24"/>
          <w:szCs w:val="24"/>
        </w:rPr>
        <w:t>Optimem</w:t>
      </w:r>
      <w:proofErr w:type="spellEnd"/>
      <w:r w:rsidRPr="006B53C2">
        <w:rPr>
          <w:color w:val="000000" w:themeColor="text1"/>
          <w:sz w:val="24"/>
          <w:szCs w:val="24"/>
        </w:rPr>
        <w:t xml:space="preserve"> (Thermo Fisher Scientific)</w:t>
      </w:r>
      <w:r>
        <w:rPr>
          <w:color w:val="000000" w:themeColor="text1"/>
          <w:sz w:val="24"/>
          <w:szCs w:val="24"/>
        </w:rPr>
        <w:t xml:space="preserve"> then combined</w:t>
      </w:r>
      <w:r>
        <w:rPr>
          <w:sz w:val="24"/>
          <w:szCs w:val="24"/>
        </w:rPr>
        <w:t xml:space="preserve"> and incubated at room temperature for 5 minutes. The Geltrex was removed from the plate and the DNA/Lipofectamine mix was added in a total of 800 </w:t>
      </w:r>
      <w:proofErr w:type="spellStart"/>
      <w:r>
        <w:rPr>
          <w:sz w:val="24"/>
          <w:szCs w:val="24"/>
        </w:rPr>
        <w:t>μl</w:t>
      </w:r>
      <w:proofErr w:type="spellEnd"/>
      <w:r>
        <w:rPr>
          <w:sz w:val="24"/>
          <w:szCs w:val="24"/>
        </w:rPr>
        <w:t xml:space="preserve"> complete medium. After 10 minutes 1x10</w:t>
      </w:r>
      <w:r>
        <w:rPr>
          <w:sz w:val="24"/>
          <w:szCs w:val="24"/>
          <w:vertAlign w:val="superscript"/>
        </w:rPr>
        <w:t>6</w:t>
      </w:r>
      <w:r>
        <w:rPr>
          <w:sz w:val="24"/>
          <w:szCs w:val="24"/>
        </w:rPr>
        <w:t xml:space="preserve"> iPS cells were added per well in 200 </w:t>
      </w:r>
      <w:proofErr w:type="spellStart"/>
      <w:r>
        <w:rPr>
          <w:sz w:val="24"/>
          <w:szCs w:val="24"/>
        </w:rPr>
        <w:t>μl</w:t>
      </w:r>
      <w:proofErr w:type="spellEnd"/>
      <w:r>
        <w:rPr>
          <w:sz w:val="24"/>
          <w:szCs w:val="24"/>
        </w:rPr>
        <w:t xml:space="preserve"> medium. </w:t>
      </w:r>
      <w:r w:rsidRPr="00C522D4">
        <w:rPr>
          <w:sz w:val="24"/>
          <w:szCs w:val="24"/>
        </w:rPr>
        <w:t xml:space="preserve">After 48 hours, the cells were harvested, fixed in 4% paraformaldehyde in PBS for 10 mins, washed twice in PBS then permeabilized in ice cold 90% methanol overnight. The cells were rehydrated with PBS, blocked in FACS buffer (0.3% BSA in PBS, 0.1% </w:t>
      </w:r>
      <w:proofErr w:type="spellStart"/>
      <w:r w:rsidRPr="00C522D4">
        <w:rPr>
          <w:sz w:val="24"/>
          <w:szCs w:val="24"/>
        </w:rPr>
        <w:t>Proclin</w:t>
      </w:r>
      <w:proofErr w:type="spellEnd"/>
      <w:r w:rsidRPr="00C522D4">
        <w:rPr>
          <w:sz w:val="24"/>
          <w:szCs w:val="24"/>
        </w:rPr>
        <w:t xml:space="preserve"> 300 (Sigma)</w:t>
      </w:r>
      <w:r>
        <w:rPr>
          <w:sz w:val="24"/>
          <w:szCs w:val="24"/>
        </w:rPr>
        <w:t>)</w:t>
      </w:r>
      <w:r w:rsidRPr="00C522D4">
        <w:rPr>
          <w:sz w:val="24"/>
          <w:szCs w:val="24"/>
        </w:rPr>
        <w:t xml:space="preserve"> for 1 hour, stained with a primary antibody against H3K27me3 for one hour</w:t>
      </w:r>
      <w:r>
        <w:rPr>
          <w:sz w:val="24"/>
          <w:szCs w:val="24"/>
        </w:rPr>
        <w:t xml:space="preserve"> (Cell </w:t>
      </w:r>
      <w:proofErr w:type="spellStart"/>
      <w:r>
        <w:rPr>
          <w:sz w:val="24"/>
          <w:szCs w:val="24"/>
        </w:rPr>
        <w:t>Signaling</w:t>
      </w:r>
      <w:proofErr w:type="spellEnd"/>
      <w:r>
        <w:rPr>
          <w:sz w:val="24"/>
          <w:szCs w:val="24"/>
        </w:rPr>
        <w:t xml:space="preserve"> Technology, Danvers, MA;</w:t>
      </w:r>
      <w:r w:rsidRPr="00C522D4">
        <w:rPr>
          <w:sz w:val="24"/>
          <w:szCs w:val="24"/>
        </w:rPr>
        <w:t xml:space="preserve"> #9733) and a secondary Alexa Fluor 647 antibody (Cell </w:t>
      </w:r>
      <w:proofErr w:type="spellStart"/>
      <w:r w:rsidRPr="00C522D4">
        <w:rPr>
          <w:sz w:val="24"/>
          <w:szCs w:val="24"/>
        </w:rPr>
        <w:t>Signaling</w:t>
      </w:r>
      <w:proofErr w:type="spellEnd"/>
      <w:r w:rsidRPr="00C522D4">
        <w:rPr>
          <w:sz w:val="24"/>
          <w:szCs w:val="24"/>
        </w:rPr>
        <w:t xml:space="preserve"> Technology; #4414) for one hour. </w:t>
      </w:r>
      <w:r>
        <w:rPr>
          <w:sz w:val="24"/>
          <w:szCs w:val="24"/>
        </w:rPr>
        <w:t>Levels of H3K</w:t>
      </w:r>
      <w:r w:rsidRPr="00C522D4">
        <w:rPr>
          <w:sz w:val="24"/>
          <w:szCs w:val="24"/>
        </w:rPr>
        <w:t xml:space="preserve">27 methylation were </w:t>
      </w:r>
      <w:r>
        <w:rPr>
          <w:sz w:val="24"/>
          <w:szCs w:val="24"/>
        </w:rPr>
        <w:t xml:space="preserve">then </w:t>
      </w:r>
      <w:r w:rsidRPr="00C522D4">
        <w:rPr>
          <w:sz w:val="24"/>
          <w:szCs w:val="24"/>
        </w:rPr>
        <w:t xml:space="preserve">analysed by flow cytometry (Accuri C6; Becton </w:t>
      </w:r>
      <w:r w:rsidRPr="00C522D4">
        <w:rPr>
          <w:sz w:val="24"/>
          <w:szCs w:val="24"/>
        </w:rPr>
        <w:lastRenderedPageBreak/>
        <w:t>Dickinson</w:t>
      </w:r>
      <w:r>
        <w:rPr>
          <w:sz w:val="24"/>
          <w:szCs w:val="24"/>
        </w:rPr>
        <w:t>, Franklin Lakes, NJ</w:t>
      </w:r>
      <w:r w:rsidRPr="00C522D4">
        <w:rPr>
          <w:sz w:val="24"/>
          <w:szCs w:val="24"/>
        </w:rPr>
        <w:t>). Transfected cells were selected by gating for GFP positivity</w:t>
      </w:r>
      <w:r>
        <w:rPr>
          <w:sz w:val="24"/>
          <w:szCs w:val="24"/>
        </w:rPr>
        <w:t>,</w:t>
      </w:r>
      <w:r w:rsidRPr="00C522D4">
        <w:rPr>
          <w:sz w:val="24"/>
          <w:szCs w:val="24"/>
        </w:rPr>
        <w:t xml:space="preserve"> and </w:t>
      </w:r>
      <w:r>
        <w:rPr>
          <w:sz w:val="24"/>
          <w:szCs w:val="24"/>
        </w:rPr>
        <w:t>H3K</w:t>
      </w:r>
      <w:r w:rsidRPr="00C522D4">
        <w:rPr>
          <w:sz w:val="24"/>
          <w:szCs w:val="24"/>
        </w:rPr>
        <w:t xml:space="preserve">27 </w:t>
      </w:r>
      <w:r>
        <w:rPr>
          <w:sz w:val="24"/>
          <w:szCs w:val="24"/>
        </w:rPr>
        <w:t>tri</w:t>
      </w:r>
      <w:r w:rsidRPr="00C522D4">
        <w:rPr>
          <w:sz w:val="24"/>
          <w:szCs w:val="24"/>
        </w:rPr>
        <w:t>m</w:t>
      </w:r>
      <w:r>
        <w:rPr>
          <w:sz w:val="24"/>
          <w:szCs w:val="24"/>
        </w:rPr>
        <w:t>ethylation levels were measured</w:t>
      </w:r>
      <w:r w:rsidRPr="00C522D4">
        <w:rPr>
          <w:sz w:val="24"/>
          <w:szCs w:val="24"/>
        </w:rPr>
        <w:t xml:space="preserve"> by median Alexa Fluor 647 intensity in GFP positive cells. H3K27me3 intensity measurements in </w:t>
      </w:r>
      <w:r>
        <w:rPr>
          <w:sz w:val="24"/>
          <w:szCs w:val="24"/>
        </w:rPr>
        <w:t>pCAGIG-</w:t>
      </w:r>
      <w:r w:rsidRPr="00F06250">
        <w:rPr>
          <w:i/>
          <w:sz w:val="24"/>
          <w:szCs w:val="24"/>
        </w:rPr>
        <w:t>EZH2</w:t>
      </w:r>
      <w:r w:rsidRPr="00C522D4">
        <w:rPr>
          <w:sz w:val="24"/>
          <w:szCs w:val="24"/>
        </w:rPr>
        <w:t>-mutant transfected cells were compared to intensity in pCAGIG vector and pCAGIG-</w:t>
      </w:r>
      <w:r w:rsidRPr="00F06250">
        <w:rPr>
          <w:i/>
          <w:sz w:val="24"/>
          <w:szCs w:val="24"/>
        </w:rPr>
        <w:t>EZH2</w:t>
      </w:r>
      <w:r w:rsidRPr="00C522D4">
        <w:rPr>
          <w:sz w:val="24"/>
          <w:szCs w:val="24"/>
        </w:rPr>
        <w:t>-WT transfected cells which were normalised to 0 and 1 respectively.</w:t>
      </w:r>
      <w:r>
        <w:rPr>
          <w:sz w:val="24"/>
          <w:szCs w:val="24"/>
        </w:rPr>
        <w:t xml:space="preserve"> For all mutations, the assay was performed on two independent pCAGIG clones.</w:t>
      </w:r>
      <w:r w:rsidR="00883134">
        <w:rPr>
          <w:sz w:val="24"/>
          <w:szCs w:val="24"/>
        </w:rPr>
        <w:t xml:space="preserve"> For immunocytochemistry, cells were cytospun on to glass slides, fixed in 4% paraformaldehyde in phosphate buffered saline (PBS)</w:t>
      </w:r>
      <w:r w:rsidR="00A174DA">
        <w:rPr>
          <w:sz w:val="24"/>
          <w:szCs w:val="24"/>
        </w:rPr>
        <w:t xml:space="preserve"> and </w:t>
      </w:r>
      <w:r w:rsidR="00883134">
        <w:rPr>
          <w:sz w:val="24"/>
          <w:szCs w:val="24"/>
        </w:rPr>
        <w:t xml:space="preserve">permeabilized in 0.1% Triton-X 100 in PBS. Cells were simultaneously stained for H3K27me3 and green </w:t>
      </w:r>
      <w:r w:rsidR="00883134" w:rsidRPr="0023019A">
        <w:rPr>
          <w:sz w:val="24"/>
          <w:szCs w:val="24"/>
        </w:rPr>
        <w:t xml:space="preserve">fluorescent protein (Abcam, Cambridge, UK; </w:t>
      </w:r>
      <w:r w:rsidR="00883134" w:rsidRPr="0023019A">
        <w:rPr>
          <w:rFonts w:ascii="Calibri" w:hAnsi="Calibri"/>
          <w:color w:val="000000"/>
          <w:sz w:val="24"/>
          <w:szCs w:val="24"/>
          <w:lang w:eastAsia="en-GB"/>
        </w:rPr>
        <w:t>ab13970) with secondary antibodies</w:t>
      </w:r>
      <w:r w:rsidR="00A174DA" w:rsidRPr="0023019A">
        <w:rPr>
          <w:rFonts w:ascii="Calibri" w:hAnsi="Calibri"/>
          <w:color w:val="000000"/>
          <w:sz w:val="24"/>
          <w:szCs w:val="24"/>
          <w:lang w:eastAsia="en-GB"/>
        </w:rPr>
        <w:t xml:space="preserve"> tagged with </w:t>
      </w:r>
      <w:proofErr w:type="spellStart"/>
      <w:r w:rsidR="0023019A" w:rsidRPr="0023019A">
        <w:rPr>
          <w:rFonts w:ascii="Calibri" w:hAnsi="Calibri"/>
          <w:color w:val="000000"/>
          <w:sz w:val="24"/>
          <w:szCs w:val="24"/>
          <w:lang w:eastAsia="en-GB"/>
        </w:rPr>
        <w:t>Dylight</w:t>
      </w:r>
      <w:proofErr w:type="spellEnd"/>
      <w:r w:rsidR="0023019A" w:rsidRPr="0023019A">
        <w:rPr>
          <w:rFonts w:ascii="Calibri" w:hAnsi="Calibri"/>
          <w:color w:val="000000"/>
          <w:sz w:val="24"/>
          <w:szCs w:val="24"/>
          <w:lang w:eastAsia="en-GB"/>
        </w:rPr>
        <w:t xml:space="preserve"> 594 (</w:t>
      </w:r>
      <w:proofErr w:type="spellStart"/>
      <w:r w:rsidR="0023019A" w:rsidRPr="0023019A">
        <w:rPr>
          <w:rFonts w:ascii="Calibri" w:hAnsi="Calibri"/>
          <w:color w:val="000000"/>
          <w:sz w:val="24"/>
          <w:szCs w:val="24"/>
          <w:lang w:eastAsia="en-GB"/>
        </w:rPr>
        <w:t>SeraCare</w:t>
      </w:r>
      <w:proofErr w:type="spellEnd"/>
      <w:r w:rsidR="0023019A" w:rsidRPr="0023019A">
        <w:rPr>
          <w:rFonts w:ascii="Calibri" w:hAnsi="Calibri"/>
          <w:color w:val="000000"/>
          <w:sz w:val="24"/>
          <w:szCs w:val="24"/>
          <w:lang w:eastAsia="en-GB"/>
        </w:rPr>
        <w:t xml:space="preserve"> Life Sciences</w:t>
      </w:r>
      <w:r w:rsidR="0023019A">
        <w:rPr>
          <w:rFonts w:ascii="Calibri" w:hAnsi="Calibri"/>
          <w:color w:val="000000"/>
          <w:sz w:val="24"/>
          <w:szCs w:val="24"/>
          <w:lang w:eastAsia="en-GB"/>
        </w:rPr>
        <w:t xml:space="preserve">, MA, USA; #042-09-15-06) </w:t>
      </w:r>
      <w:r w:rsidR="00A174DA" w:rsidRPr="0023019A">
        <w:rPr>
          <w:rFonts w:ascii="Calibri" w:hAnsi="Calibri"/>
          <w:color w:val="000000"/>
          <w:sz w:val="24"/>
          <w:szCs w:val="24"/>
          <w:lang w:eastAsia="en-GB"/>
        </w:rPr>
        <w:t>and Alex Fluor 488 (Abcam; ab150173</w:t>
      </w:r>
      <w:r w:rsidR="0023019A">
        <w:rPr>
          <w:rFonts w:ascii="Calibri" w:hAnsi="Calibri"/>
          <w:color w:val="000000"/>
          <w:sz w:val="24"/>
          <w:szCs w:val="24"/>
          <w:lang w:eastAsia="en-GB"/>
        </w:rPr>
        <w:t>) respectively.</w:t>
      </w:r>
    </w:p>
    <w:p w14:paraId="17BC6063" w14:textId="77777777" w:rsidR="00F00DC2" w:rsidRPr="00C522D4" w:rsidRDefault="00F00DC2" w:rsidP="0023019A">
      <w:pPr>
        <w:pStyle w:val="NoSpacing"/>
        <w:spacing w:after="120" w:line="480" w:lineRule="auto"/>
        <w:jc w:val="both"/>
        <w:rPr>
          <w:rFonts w:cs="Times New Roman"/>
          <w:sz w:val="24"/>
          <w:szCs w:val="24"/>
          <w:lang w:val="en-GB"/>
        </w:rPr>
      </w:pPr>
    </w:p>
    <w:p w14:paraId="17BC6064" w14:textId="77777777" w:rsidR="00D76F66" w:rsidRDefault="00F00DC2" w:rsidP="008E15B7">
      <w:pPr>
        <w:spacing w:line="480" w:lineRule="auto"/>
        <w:rPr>
          <w:rFonts w:eastAsiaTheme="minorEastAsia"/>
          <w:sz w:val="24"/>
          <w:szCs w:val="24"/>
          <w:lang w:eastAsia="zh-CN"/>
        </w:rPr>
      </w:pPr>
      <w:r w:rsidRPr="00B70B36">
        <w:rPr>
          <w:i/>
          <w:sz w:val="24"/>
          <w:szCs w:val="24"/>
        </w:rPr>
        <w:t>Splicing assays</w:t>
      </w:r>
      <w:r>
        <w:rPr>
          <w:sz w:val="24"/>
          <w:szCs w:val="24"/>
        </w:rPr>
        <w:t xml:space="preserve">. Changes to splicing were assessed by RT-PCR on cDNA prepared from patient leukocytes (where available) and using the </w:t>
      </w:r>
      <w:r w:rsidRPr="00035BC3">
        <w:rPr>
          <w:sz w:val="24"/>
          <w:szCs w:val="24"/>
        </w:rPr>
        <w:t>pSpliceExpress</w:t>
      </w:r>
      <w:r>
        <w:rPr>
          <w:sz w:val="24"/>
          <w:szCs w:val="24"/>
        </w:rPr>
        <w:t xml:space="preserve"> (pSE)</w:t>
      </w:r>
      <w:r w:rsidRPr="00035BC3">
        <w:rPr>
          <w:sz w:val="24"/>
          <w:szCs w:val="24"/>
        </w:rPr>
        <w:t xml:space="preserve"> minigene </w:t>
      </w:r>
      <w:r w:rsidRPr="006A66BD">
        <w:rPr>
          <w:sz w:val="24"/>
          <w:szCs w:val="24"/>
        </w:rPr>
        <w:t>system</w:t>
      </w:r>
      <w:r w:rsidRPr="00D50AE6">
        <w:rPr>
          <w:noProof/>
          <w:sz w:val="24"/>
          <w:szCs w:val="24"/>
          <w:vertAlign w:val="superscript"/>
        </w:rPr>
        <w:t>8</w:t>
      </w:r>
      <w:r w:rsidRPr="006A66BD">
        <w:rPr>
          <w:sz w:val="24"/>
          <w:szCs w:val="24"/>
        </w:rPr>
        <w:t xml:space="preserve">. </w:t>
      </w:r>
      <w:r>
        <w:rPr>
          <w:sz w:val="24"/>
          <w:szCs w:val="24"/>
        </w:rPr>
        <w:t>RT-PCR used the following primers in exons flanking the exon with the mutation: reverse and forward primers of exon 5: 5’-CCAACACAAGTCATCCCATTAAA and 5’-</w:t>
      </w:r>
      <w:r w:rsidRPr="00EF7547">
        <w:rPr>
          <w:sz w:val="24"/>
          <w:szCs w:val="24"/>
        </w:rPr>
        <w:t>GTCTCCATCATCATCATCGTCA</w:t>
      </w:r>
      <w:r>
        <w:rPr>
          <w:sz w:val="24"/>
          <w:szCs w:val="24"/>
        </w:rPr>
        <w:t>; exon 6: 5’-TGGGAAAGTACACGGGGATAG and 5’-</w:t>
      </w:r>
      <w:r w:rsidRPr="00EF7547">
        <w:rPr>
          <w:sz w:val="24"/>
          <w:szCs w:val="24"/>
        </w:rPr>
        <w:t>TGCTGTGCCCTTATCTGGAA</w:t>
      </w:r>
      <w:r>
        <w:rPr>
          <w:sz w:val="24"/>
          <w:szCs w:val="24"/>
        </w:rPr>
        <w:t>; exon 7: 5’-GAGTTGGTGAATGCCCTTGG and 5’-</w:t>
      </w:r>
      <w:r w:rsidRPr="00EF7547">
        <w:rPr>
          <w:sz w:val="24"/>
          <w:szCs w:val="24"/>
        </w:rPr>
        <w:t>GCACTTACGATGTAGGAAGCA</w:t>
      </w:r>
      <w:r>
        <w:rPr>
          <w:sz w:val="24"/>
          <w:szCs w:val="24"/>
        </w:rPr>
        <w:t>; exon 8: 5’-CGATGATGATGATGGAGAC and 5’-</w:t>
      </w:r>
      <w:r w:rsidRPr="00EF7547">
        <w:rPr>
          <w:sz w:val="24"/>
          <w:szCs w:val="24"/>
        </w:rPr>
        <w:t>AGCTGTTTCTGTGTTCTTCCG</w:t>
      </w:r>
      <w:r>
        <w:rPr>
          <w:sz w:val="24"/>
          <w:szCs w:val="24"/>
        </w:rPr>
        <w:t xml:space="preserve"> and exon 14: 5’-TTGTGGGCTGCACACTGCAG and 5’-TTGGAGCCCCGCTGAATACT. To create the pSE</w:t>
      </w:r>
      <w:r w:rsidRPr="006A66BD">
        <w:rPr>
          <w:sz w:val="24"/>
          <w:szCs w:val="24"/>
        </w:rPr>
        <w:t xml:space="preserve"> construct, a genomic fragment containing </w:t>
      </w:r>
      <w:r w:rsidRPr="006A66BD">
        <w:rPr>
          <w:i/>
          <w:sz w:val="24"/>
          <w:szCs w:val="24"/>
        </w:rPr>
        <w:t>EZH2</w:t>
      </w:r>
      <w:r w:rsidRPr="006A66BD">
        <w:rPr>
          <w:sz w:val="24"/>
          <w:szCs w:val="24"/>
        </w:rPr>
        <w:t xml:space="preserve"> exon 8 and portions of flanking introns 7 and 8 (hg19; chr7:148522642-148524184) was amplified from a bacterial artificial chromosome RP11-81I21 using primers containing </w:t>
      </w:r>
      <w:r w:rsidRPr="006A66BD">
        <w:rPr>
          <w:sz w:val="24"/>
          <w:szCs w:val="24"/>
        </w:rPr>
        <w:lastRenderedPageBreak/>
        <w:t>the attB1 attB2 adapter recombination sites (</w:t>
      </w:r>
      <w:r w:rsidRPr="006A66BD">
        <w:rPr>
          <w:sz w:val="24"/>
          <w:szCs w:val="24"/>
          <w:lang w:eastAsia="en-GB"/>
        </w:rPr>
        <w:t xml:space="preserve">Forward primer 5'- </w:t>
      </w:r>
      <w:proofErr w:type="spellStart"/>
      <w:r w:rsidRPr="006A66BD">
        <w:rPr>
          <w:sz w:val="24"/>
          <w:szCs w:val="24"/>
          <w:lang w:eastAsia="en-GB"/>
        </w:rPr>
        <w:t>ggggacaagtttctacaaaaaagcaggctTGGAATCAATGTAGCGGATGAG</w:t>
      </w:r>
      <w:proofErr w:type="spellEnd"/>
      <w:r w:rsidRPr="006A66BD">
        <w:rPr>
          <w:sz w:val="24"/>
          <w:szCs w:val="24"/>
          <w:lang w:eastAsia="en-GB"/>
        </w:rPr>
        <w:t xml:space="preserve">; reverse primer 5'-ggggaccactttgtacaagaaagctgggtTGAGGTACAGCTGCTTGGG; </w:t>
      </w:r>
      <w:r w:rsidRPr="00F06250">
        <w:rPr>
          <w:i/>
          <w:sz w:val="24"/>
          <w:szCs w:val="24"/>
          <w:lang w:eastAsia="en-GB"/>
        </w:rPr>
        <w:t>EZH2</w:t>
      </w:r>
      <w:r w:rsidRPr="006A66BD">
        <w:rPr>
          <w:sz w:val="24"/>
          <w:szCs w:val="24"/>
          <w:lang w:eastAsia="en-GB"/>
        </w:rPr>
        <w:t xml:space="preserve"> specific sequences are in capitals) followed by clonase-mediated recombination into the </w:t>
      </w:r>
      <w:r>
        <w:rPr>
          <w:sz w:val="24"/>
          <w:szCs w:val="24"/>
        </w:rPr>
        <w:t>pSE</w:t>
      </w:r>
      <w:r w:rsidRPr="006A66BD">
        <w:rPr>
          <w:sz w:val="24"/>
          <w:szCs w:val="24"/>
        </w:rPr>
        <w:t xml:space="preserve"> vector. Exon 8 mutations were introduced by site-directed mutagenesis. </w:t>
      </w:r>
      <w:r>
        <w:rPr>
          <w:sz w:val="24"/>
          <w:szCs w:val="24"/>
        </w:rPr>
        <w:t xml:space="preserve">The </w:t>
      </w:r>
      <w:r w:rsidRPr="006A66BD">
        <w:rPr>
          <w:sz w:val="24"/>
          <w:szCs w:val="24"/>
        </w:rPr>
        <w:t>pSE constructs containing wild</w:t>
      </w:r>
      <w:r>
        <w:rPr>
          <w:sz w:val="24"/>
          <w:szCs w:val="24"/>
        </w:rPr>
        <w:t xml:space="preserve"> </w:t>
      </w:r>
      <w:r w:rsidRPr="006A66BD">
        <w:rPr>
          <w:sz w:val="24"/>
          <w:szCs w:val="24"/>
        </w:rPr>
        <w:t xml:space="preserve">type or mutated </w:t>
      </w:r>
      <w:r w:rsidRPr="00F06250">
        <w:rPr>
          <w:i/>
          <w:sz w:val="24"/>
          <w:szCs w:val="24"/>
        </w:rPr>
        <w:t>EZH2</w:t>
      </w:r>
      <w:r w:rsidRPr="006A66BD">
        <w:rPr>
          <w:sz w:val="24"/>
          <w:szCs w:val="24"/>
        </w:rPr>
        <w:t xml:space="preserve"> exon 8 were transiently transfected into </w:t>
      </w:r>
      <w:r w:rsidRPr="006A66BD">
        <w:rPr>
          <w:rFonts w:eastAsiaTheme="minorEastAsia"/>
          <w:sz w:val="24"/>
          <w:szCs w:val="24"/>
          <w:lang w:eastAsia="zh-CN"/>
        </w:rPr>
        <w:t xml:space="preserve">HEK293F </w:t>
      </w:r>
      <w:r>
        <w:rPr>
          <w:rFonts w:eastAsiaTheme="minorEastAsia"/>
          <w:sz w:val="24"/>
          <w:szCs w:val="24"/>
          <w:lang w:eastAsia="zh-CN"/>
        </w:rPr>
        <w:t xml:space="preserve">or HeLa cells </w:t>
      </w:r>
      <w:r w:rsidRPr="00C522D4">
        <w:rPr>
          <w:rFonts w:eastAsiaTheme="minorEastAsia"/>
          <w:sz w:val="24"/>
          <w:szCs w:val="24"/>
          <w:lang w:eastAsia="zh-CN"/>
        </w:rPr>
        <w:t>with Lipofectamine 2000. At 48 hours, cells w</w:t>
      </w:r>
      <w:r>
        <w:rPr>
          <w:rFonts w:eastAsiaTheme="minorEastAsia"/>
          <w:sz w:val="24"/>
          <w:szCs w:val="24"/>
          <w:lang w:eastAsia="zh-CN"/>
        </w:rPr>
        <w:t xml:space="preserve">ere lysed in </w:t>
      </w:r>
      <w:proofErr w:type="spellStart"/>
      <w:r>
        <w:rPr>
          <w:rFonts w:eastAsiaTheme="minorEastAsia"/>
          <w:sz w:val="24"/>
          <w:szCs w:val="24"/>
          <w:lang w:eastAsia="zh-CN"/>
        </w:rPr>
        <w:t>T</w:t>
      </w:r>
      <w:r w:rsidRPr="00C522D4">
        <w:rPr>
          <w:rFonts w:eastAsiaTheme="minorEastAsia"/>
          <w:sz w:val="24"/>
          <w:szCs w:val="24"/>
          <w:lang w:eastAsia="zh-CN"/>
        </w:rPr>
        <w:t>rizol</w:t>
      </w:r>
      <w:proofErr w:type="spellEnd"/>
      <w:r>
        <w:rPr>
          <w:rFonts w:eastAsiaTheme="minorEastAsia"/>
          <w:sz w:val="24"/>
          <w:szCs w:val="24"/>
          <w:lang w:eastAsia="zh-CN"/>
        </w:rPr>
        <w:t xml:space="preserve"> (Thermo Fisher Scientific)</w:t>
      </w:r>
      <w:r w:rsidRPr="00C522D4">
        <w:rPr>
          <w:rFonts w:eastAsiaTheme="minorEastAsia"/>
          <w:sz w:val="24"/>
          <w:szCs w:val="24"/>
          <w:lang w:eastAsia="zh-CN"/>
        </w:rPr>
        <w:t xml:space="preserve">, RNA extracted, and cDNA synthesized </w:t>
      </w:r>
      <w:r>
        <w:rPr>
          <w:rFonts w:eastAsiaTheme="minorEastAsia"/>
          <w:sz w:val="24"/>
          <w:szCs w:val="24"/>
          <w:lang w:eastAsia="zh-CN"/>
        </w:rPr>
        <w:t>according to standard protocols</w:t>
      </w:r>
      <w:r w:rsidRPr="00D50AE6">
        <w:rPr>
          <w:rFonts w:eastAsiaTheme="minorEastAsia"/>
          <w:noProof/>
          <w:sz w:val="24"/>
          <w:szCs w:val="24"/>
          <w:vertAlign w:val="superscript"/>
          <w:lang w:eastAsia="zh-CN"/>
        </w:rPr>
        <w:t>9</w:t>
      </w:r>
      <w:r>
        <w:rPr>
          <w:rFonts w:eastAsiaTheme="minorEastAsia"/>
          <w:sz w:val="24"/>
          <w:szCs w:val="24"/>
          <w:lang w:eastAsia="zh-CN"/>
        </w:rPr>
        <w:t xml:space="preserve">. </w:t>
      </w:r>
      <w:r w:rsidRPr="00C522D4">
        <w:rPr>
          <w:rFonts w:eastAsiaTheme="minorEastAsia"/>
          <w:sz w:val="24"/>
          <w:szCs w:val="24"/>
          <w:lang w:eastAsia="zh-CN"/>
        </w:rPr>
        <w:t xml:space="preserve">Primers within the </w:t>
      </w:r>
      <w:proofErr w:type="spellStart"/>
      <w:r w:rsidRPr="00C522D4">
        <w:rPr>
          <w:rFonts w:eastAsiaTheme="minorEastAsia"/>
          <w:sz w:val="24"/>
          <w:szCs w:val="24"/>
          <w:lang w:eastAsia="zh-CN"/>
        </w:rPr>
        <w:t>pSliceExpress</w:t>
      </w:r>
      <w:proofErr w:type="spellEnd"/>
      <w:r w:rsidRPr="00C522D4">
        <w:rPr>
          <w:rFonts w:eastAsiaTheme="minorEastAsia"/>
          <w:sz w:val="24"/>
          <w:szCs w:val="24"/>
          <w:lang w:eastAsia="zh-CN"/>
        </w:rPr>
        <w:t xml:space="preserve"> rat insulin genes which flank the introduced </w:t>
      </w:r>
      <w:r w:rsidRPr="00C522D4">
        <w:rPr>
          <w:rFonts w:eastAsiaTheme="minorEastAsia"/>
          <w:i/>
          <w:sz w:val="24"/>
          <w:szCs w:val="24"/>
          <w:lang w:eastAsia="zh-CN"/>
        </w:rPr>
        <w:t>EZH2</w:t>
      </w:r>
      <w:r w:rsidRPr="00C522D4">
        <w:rPr>
          <w:rFonts w:eastAsiaTheme="minorEastAsia"/>
          <w:sz w:val="24"/>
          <w:szCs w:val="24"/>
          <w:lang w:eastAsia="zh-CN"/>
        </w:rPr>
        <w:t xml:space="preserve"> sequence were used to amplify the transcribed minigene (pSE-RTPCR_F: 5'-CAGCACCTTTGTGGTTCTCA; pSE-RTPCR-R: 5'-CAGTGCCAAGGTCTGAAGGT).</w:t>
      </w:r>
      <w:r>
        <w:rPr>
          <w:rFonts w:eastAsiaTheme="minorEastAsia"/>
          <w:sz w:val="24"/>
          <w:szCs w:val="24"/>
          <w:lang w:eastAsia="zh-CN"/>
        </w:rPr>
        <w:t xml:space="preserve"> Alternatively, PCR with a FAM labelled forward primer was used to allow quantification of band intensity after running on an ABI 3130 Genetic Analyzer (</w:t>
      </w:r>
      <w:r w:rsidRPr="00ED2CEC">
        <w:rPr>
          <w:rFonts w:eastAsiaTheme="minorEastAsia"/>
          <w:sz w:val="24"/>
          <w:szCs w:val="24"/>
          <w:lang w:eastAsia="zh-CN"/>
        </w:rPr>
        <w:t xml:space="preserve">Applied </w:t>
      </w:r>
      <w:r>
        <w:rPr>
          <w:rFonts w:eastAsiaTheme="minorEastAsia"/>
          <w:sz w:val="24"/>
          <w:szCs w:val="24"/>
          <w:lang w:eastAsia="zh-CN"/>
        </w:rPr>
        <w:t>Biosystems, Foster City, CA</w:t>
      </w:r>
      <w:r w:rsidRPr="00ED2CEC">
        <w:rPr>
          <w:rFonts w:eastAsiaTheme="minorEastAsia"/>
          <w:sz w:val="24"/>
          <w:szCs w:val="24"/>
          <w:lang w:eastAsia="zh-CN"/>
        </w:rPr>
        <w:t xml:space="preserve">). </w:t>
      </w:r>
      <w:r>
        <w:rPr>
          <w:rFonts w:eastAsiaTheme="minorEastAsia"/>
          <w:sz w:val="24"/>
          <w:szCs w:val="24"/>
          <w:lang w:eastAsia="zh-CN"/>
        </w:rPr>
        <w:t xml:space="preserve">Band intensity was measured using </w:t>
      </w:r>
      <w:proofErr w:type="spellStart"/>
      <w:r>
        <w:rPr>
          <w:rFonts w:eastAsiaTheme="minorEastAsia"/>
          <w:sz w:val="24"/>
          <w:szCs w:val="24"/>
          <w:lang w:eastAsia="zh-CN"/>
        </w:rPr>
        <w:t>Genemarker</w:t>
      </w:r>
      <w:proofErr w:type="spellEnd"/>
      <w:r>
        <w:rPr>
          <w:rFonts w:eastAsiaTheme="minorEastAsia"/>
          <w:sz w:val="24"/>
          <w:szCs w:val="24"/>
          <w:lang w:eastAsia="zh-CN"/>
        </w:rPr>
        <w:t xml:space="preserve"> (</w:t>
      </w:r>
      <w:proofErr w:type="spellStart"/>
      <w:r>
        <w:rPr>
          <w:rFonts w:eastAsiaTheme="minorEastAsia"/>
          <w:sz w:val="24"/>
          <w:szCs w:val="24"/>
          <w:lang w:eastAsia="zh-CN"/>
        </w:rPr>
        <w:t>SoftGenetics</w:t>
      </w:r>
      <w:proofErr w:type="spellEnd"/>
      <w:r>
        <w:rPr>
          <w:rFonts w:eastAsiaTheme="minorEastAsia"/>
          <w:sz w:val="24"/>
          <w:szCs w:val="24"/>
          <w:lang w:eastAsia="zh-CN"/>
        </w:rPr>
        <w:t>, State College, PA) and ratio of intensity of spliced to unspliced PCR fragments was used as the measure of exon skipping.</w:t>
      </w:r>
    </w:p>
    <w:p w14:paraId="17BC6065" w14:textId="77777777" w:rsidR="00D76F66" w:rsidRDefault="00D76F66" w:rsidP="008E15B7">
      <w:pPr>
        <w:spacing w:line="480" w:lineRule="auto"/>
        <w:rPr>
          <w:rFonts w:eastAsiaTheme="minorEastAsia"/>
          <w:sz w:val="24"/>
          <w:szCs w:val="24"/>
          <w:lang w:eastAsia="zh-CN"/>
        </w:rPr>
      </w:pPr>
      <w:r w:rsidRPr="0098344C">
        <w:rPr>
          <w:rFonts w:eastAsiaTheme="minorEastAsia"/>
          <w:sz w:val="24"/>
          <w:szCs w:val="24"/>
          <w:lang w:eastAsia="zh-CN"/>
        </w:rPr>
        <w:t xml:space="preserve">Aberrant splicing was </w:t>
      </w:r>
      <w:r w:rsidR="00B5135A" w:rsidRPr="0098344C">
        <w:rPr>
          <w:rFonts w:eastAsiaTheme="minorEastAsia"/>
          <w:sz w:val="24"/>
          <w:szCs w:val="24"/>
          <w:lang w:eastAsia="zh-CN"/>
        </w:rPr>
        <w:t>examined</w:t>
      </w:r>
      <w:r w:rsidRPr="0098344C">
        <w:rPr>
          <w:rFonts w:eastAsiaTheme="minorEastAsia"/>
          <w:sz w:val="24"/>
          <w:szCs w:val="24"/>
          <w:lang w:eastAsia="zh-CN"/>
        </w:rPr>
        <w:t xml:space="preserve"> by western blotting using antibodies against N-</w:t>
      </w:r>
      <w:r w:rsidR="00B5135A" w:rsidRPr="0098344C">
        <w:rPr>
          <w:rFonts w:eastAsiaTheme="minorEastAsia"/>
          <w:sz w:val="24"/>
          <w:szCs w:val="24"/>
          <w:lang w:eastAsia="zh-CN"/>
        </w:rPr>
        <w:t>terminal</w:t>
      </w:r>
      <w:r w:rsidRPr="0098344C">
        <w:rPr>
          <w:rFonts w:eastAsiaTheme="minorEastAsia"/>
          <w:sz w:val="24"/>
          <w:szCs w:val="24"/>
          <w:lang w:eastAsia="zh-CN"/>
        </w:rPr>
        <w:t xml:space="preserve"> (Abcam; ab191080) and C-terminal EZH2 (Abcam; ab186006) with beta-actin (Sigma-Aldrich, MI, USA; A5441) as loading control.</w:t>
      </w:r>
    </w:p>
    <w:p w14:paraId="17BC6066" w14:textId="77777777" w:rsidR="00F00DC2" w:rsidRDefault="00F00DC2" w:rsidP="008E15B7">
      <w:pPr>
        <w:spacing w:line="480" w:lineRule="auto"/>
        <w:rPr>
          <w:rFonts w:eastAsiaTheme="minorEastAsia"/>
          <w:sz w:val="24"/>
          <w:szCs w:val="24"/>
          <w:lang w:eastAsia="zh-CN"/>
        </w:rPr>
      </w:pPr>
    </w:p>
    <w:p w14:paraId="17BC6067" w14:textId="77777777" w:rsidR="00F00DC2" w:rsidRDefault="00F00DC2" w:rsidP="00497375">
      <w:pPr>
        <w:spacing w:line="480" w:lineRule="auto"/>
        <w:rPr>
          <w:rFonts w:eastAsiaTheme="minorEastAsia"/>
          <w:sz w:val="24"/>
          <w:szCs w:val="24"/>
          <w:lang w:eastAsia="zh-CN"/>
        </w:rPr>
      </w:pPr>
      <w:r w:rsidRPr="005C0CCA">
        <w:rPr>
          <w:rFonts w:eastAsiaTheme="minorEastAsia"/>
          <w:i/>
          <w:sz w:val="24"/>
          <w:szCs w:val="24"/>
          <w:lang w:eastAsia="zh-CN"/>
        </w:rPr>
        <w:t>In silico analysis</w:t>
      </w:r>
      <w:r>
        <w:rPr>
          <w:rFonts w:eastAsiaTheme="minorEastAsia"/>
          <w:sz w:val="24"/>
          <w:szCs w:val="24"/>
          <w:lang w:eastAsia="zh-CN"/>
        </w:rPr>
        <w:t xml:space="preserve">. Variants were assessed for damage scores using </w:t>
      </w:r>
      <w:proofErr w:type="spellStart"/>
      <w:r>
        <w:rPr>
          <w:rFonts w:eastAsiaTheme="minorEastAsia"/>
          <w:sz w:val="24"/>
          <w:szCs w:val="24"/>
          <w:lang w:eastAsia="zh-CN"/>
        </w:rPr>
        <w:t>Polyphen</w:t>
      </w:r>
      <w:proofErr w:type="spellEnd"/>
      <w:r>
        <w:rPr>
          <w:rFonts w:eastAsiaTheme="minorEastAsia"/>
          <w:sz w:val="24"/>
          <w:szCs w:val="24"/>
          <w:lang w:eastAsia="zh-CN"/>
        </w:rPr>
        <w:t xml:space="preserve">, GERP++, LRT, SIFT, </w:t>
      </w:r>
      <w:proofErr w:type="spellStart"/>
      <w:r>
        <w:rPr>
          <w:rFonts w:eastAsiaTheme="minorEastAsia"/>
          <w:sz w:val="24"/>
          <w:szCs w:val="24"/>
          <w:lang w:eastAsia="zh-CN"/>
        </w:rPr>
        <w:t>Phylop</w:t>
      </w:r>
      <w:proofErr w:type="spellEnd"/>
      <w:r>
        <w:rPr>
          <w:rFonts w:eastAsiaTheme="minorEastAsia"/>
          <w:sz w:val="24"/>
          <w:szCs w:val="24"/>
          <w:lang w:eastAsia="zh-CN"/>
        </w:rPr>
        <w:t xml:space="preserve">, </w:t>
      </w:r>
      <w:proofErr w:type="spellStart"/>
      <w:r>
        <w:rPr>
          <w:rFonts w:eastAsiaTheme="minorEastAsia"/>
          <w:sz w:val="24"/>
          <w:szCs w:val="24"/>
          <w:lang w:eastAsia="zh-CN"/>
        </w:rPr>
        <w:t>SiPhy</w:t>
      </w:r>
      <w:proofErr w:type="spellEnd"/>
      <w:r>
        <w:rPr>
          <w:rFonts w:eastAsiaTheme="minorEastAsia"/>
          <w:sz w:val="24"/>
          <w:szCs w:val="24"/>
          <w:lang w:eastAsia="zh-CN"/>
        </w:rPr>
        <w:t>, Mutation Assessor, Mutation Taster, FATHMM and PROVEAN from within Alissa Interpret (Agilent Technologies, Belgium) and for predicted splicing abnormalities using Ex-skip</w:t>
      </w:r>
      <w:r w:rsidRPr="00D50AE6">
        <w:rPr>
          <w:rFonts w:eastAsiaTheme="minorEastAsia"/>
          <w:noProof/>
          <w:sz w:val="24"/>
          <w:szCs w:val="24"/>
          <w:vertAlign w:val="superscript"/>
          <w:lang w:eastAsia="zh-CN"/>
        </w:rPr>
        <w:t>10</w:t>
      </w:r>
      <w:r>
        <w:rPr>
          <w:rFonts w:eastAsiaTheme="minorEastAsia"/>
          <w:sz w:val="24"/>
          <w:szCs w:val="24"/>
          <w:lang w:eastAsia="zh-CN"/>
        </w:rPr>
        <w:t xml:space="preserve"> (</w:t>
      </w:r>
      <w:hyperlink r:id="rId10" w:history="1">
        <w:r w:rsidRPr="00E80574">
          <w:rPr>
            <w:rStyle w:val="Hyperlink"/>
            <w:rFonts w:eastAsiaTheme="minorEastAsia"/>
            <w:sz w:val="24"/>
            <w:szCs w:val="24"/>
            <w:lang w:eastAsia="zh-CN"/>
          </w:rPr>
          <w:t>http://ex-skip.img.cas.cz/</w:t>
        </w:r>
      </w:hyperlink>
      <w:r>
        <w:rPr>
          <w:rFonts w:eastAsiaTheme="minorEastAsia"/>
          <w:sz w:val="24"/>
          <w:szCs w:val="24"/>
          <w:lang w:eastAsia="zh-CN"/>
        </w:rPr>
        <w:t>).</w:t>
      </w:r>
    </w:p>
    <w:p w14:paraId="17BC6068" w14:textId="77777777" w:rsidR="00F00DC2" w:rsidRPr="00497375" w:rsidRDefault="00F00DC2" w:rsidP="00497375">
      <w:pPr>
        <w:spacing w:line="480" w:lineRule="auto"/>
        <w:rPr>
          <w:rFonts w:eastAsiaTheme="minorEastAsia"/>
          <w:sz w:val="24"/>
          <w:szCs w:val="24"/>
          <w:lang w:eastAsia="zh-CN"/>
        </w:rPr>
      </w:pPr>
    </w:p>
    <w:p w14:paraId="17BC6069" w14:textId="77777777" w:rsidR="00F00DC2" w:rsidRPr="00035BC3" w:rsidRDefault="00F00DC2" w:rsidP="008E15B7">
      <w:pPr>
        <w:pStyle w:val="NoSpacing"/>
        <w:spacing w:after="120" w:line="480" w:lineRule="auto"/>
        <w:jc w:val="both"/>
        <w:rPr>
          <w:rFonts w:cs="Times New Roman"/>
          <w:b/>
          <w:sz w:val="28"/>
          <w:szCs w:val="24"/>
          <w:lang w:val="en-GB"/>
        </w:rPr>
      </w:pPr>
      <w:r w:rsidRPr="00035BC3">
        <w:rPr>
          <w:rFonts w:cs="Times New Roman"/>
          <w:b/>
          <w:sz w:val="28"/>
          <w:szCs w:val="24"/>
          <w:lang w:val="en-GB"/>
        </w:rPr>
        <w:t>Results</w:t>
      </w:r>
    </w:p>
    <w:p w14:paraId="17BC606A" w14:textId="77777777" w:rsidR="00F00DC2" w:rsidRDefault="00F00DC2" w:rsidP="008E15B7">
      <w:pPr>
        <w:pStyle w:val="NoSpacing"/>
        <w:spacing w:after="120" w:line="480" w:lineRule="auto"/>
        <w:jc w:val="both"/>
        <w:rPr>
          <w:rFonts w:cs="Times New Roman"/>
          <w:sz w:val="24"/>
          <w:szCs w:val="24"/>
          <w:lang w:val="en-GB"/>
        </w:rPr>
      </w:pPr>
      <w:r w:rsidRPr="00BF696B">
        <w:rPr>
          <w:rFonts w:cs="Times New Roman"/>
          <w:i/>
          <w:sz w:val="24"/>
          <w:szCs w:val="24"/>
          <w:lang w:val="en-GB"/>
        </w:rPr>
        <w:t xml:space="preserve">Non-SET/CXC missense variants are clustered within </w:t>
      </w:r>
      <w:r>
        <w:rPr>
          <w:rFonts w:cs="Times New Roman"/>
          <w:i/>
          <w:sz w:val="24"/>
          <w:szCs w:val="24"/>
          <w:lang w:val="en-GB"/>
        </w:rPr>
        <w:t>domains</w:t>
      </w:r>
      <w:r w:rsidRPr="00BF696B">
        <w:rPr>
          <w:rFonts w:cs="Times New Roman"/>
          <w:i/>
          <w:sz w:val="24"/>
          <w:szCs w:val="24"/>
          <w:lang w:val="en-GB"/>
        </w:rPr>
        <w:t xml:space="preserve"> DI and DII</w:t>
      </w:r>
      <w:r>
        <w:rPr>
          <w:rFonts w:cs="Times New Roman"/>
          <w:i/>
          <w:sz w:val="24"/>
          <w:szCs w:val="24"/>
          <w:lang w:val="en-GB"/>
        </w:rPr>
        <w:t xml:space="preserve">: </w:t>
      </w:r>
      <w:r w:rsidRPr="00F55328">
        <w:rPr>
          <w:rFonts w:cs="Times New Roman"/>
          <w:i/>
          <w:sz w:val="24"/>
          <w:szCs w:val="24"/>
          <w:lang w:val="en-GB"/>
        </w:rPr>
        <w:t>EZH2</w:t>
      </w:r>
      <w:r>
        <w:rPr>
          <w:rFonts w:cs="Times New Roman"/>
          <w:sz w:val="24"/>
          <w:szCs w:val="24"/>
          <w:lang w:val="en-GB"/>
        </w:rPr>
        <w:t xml:space="preserve"> variants from the COSMIC database release 87 (</w:t>
      </w:r>
      <w:hyperlink r:id="rId11" w:history="1">
        <w:r w:rsidRPr="002D1B9F">
          <w:rPr>
            <w:rStyle w:val="Hyperlink"/>
            <w:rFonts w:cs="Times New Roman"/>
            <w:color w:val="000000" w:themeColor="text1"/>
            <w:sz w:val="24"/>
            <w:szCs w:val="24"/>
            <w:lang w:val="en-GB"/>
          </w:rPr>
          <w:t>https://cancer.sanger.ac.uk/cosmic</w:t>
        </w:r>
      </w:hyperlink>
      <w:r w:rsidRPr="002D1B9F">
        <w:rPr>
          <w:rFonts w:cs="Times New Roman"/>
          <w:color w:val="000000" w:themeColor="text1"/>
          <w:sz w:val="24"/>
          <w:szCs w:val="24"/>
          <w:lang w:val="en-GB"/>
        </w:rPr>
        <w:t xml:space="preserve">; </w:t>
      </w:r>
      <w:r>
        <w:rPr>
          <w:rFonts w:cs="Times New Roman"/>
          <w:sz w:val="24"/>
          <w:szCs w:val="24"/>
          <w:lang w:val="en-GB"/>
        </w:rPr>
        <w:t xml:space="preserve">November 2018) were filtered to include only hematopoietic, non-lymphoid neoplasms and then further selected for missense variants, or nonsense and frameshift variants (Figure 1). Frameshift and nonsense variants showed little or no clustering within </w:t>
      </w:r>
      <w:r w:rsidRPr="00F06250">
        <w:rPr>
          <w:rFonts w:cs="Times New Roman"/>
          <w:i/>
          <w:sz w:val="24"/>
          <w:szCs w:val="24"/>
          <w:lang w:val="en-GB"/>
        </w:rPr>
        <w:t>EZH2</w:t>
      </w:r>
      <w:r>
        <w:rPr>
          <w:rFonts w:cs="Times New Roman"/>
          <w:sz w:val="24"/>
          <w:szCs w:val="24"/>
          <w:lang w:val="en-GB"/>
        </w:rPr>
        <w:t xml:space="preserve">; this is expected since it is believed that loss of the C-terminal SET domain and its H3K27 methylation activity is the primary target of these mutations. In contrast, missense variants showed marked clustering within the DI, DII and SET/CXC regions. </w:t>
      </w:r>
    </w:p>
    <w:p w14:paraId="17BC606B" w14:textId="77777777" w:rsidR="00F00DC2" w:rsidRPr="00560E89" w:rsidRDefault="00F00DC2" w:rsidP="008E15B7">
      <w:pPr>
        <w:pStyle w:val="NoSpacing"/>
        <w:spacing w:after="120" w:line="480" w:lineRule="auto"/>
        <w:jc w:val="both"/>
        <w:rPr>
          <w:rFonts w:cs="Times New Roman"/>
          <w:sz w:val="24"/>
          <w:szCs w:val="24"/>
          <w:lang w:val="en-GB"/>
        </w:rPr>
      </w:pPr>
    </w:p>
    <w:p w14:paraId="17BC606C" w14:textId="77777777" w:rsidR="00F00DC2" w:rsidRDefault="00BA44C1" w:rsidP="008E15B7">
      <w:pPr>
        <w:pStyle w:val="NoSpacing"/>
        <w:spacing w:after="120" w:line="480" w:lineRule="auto"/>
        <w:jc w:val="both"/>
        <w:rPr>
          <w:rFonts w:cs="Times New Roman"/>
          <w:sz w:val="24"/>
          <w:szCs w:val="24"/>
          <w:lang w:val="en-GB"/>
        </w:rPr>
      </w:pPr>
      <w:r w:rsidRPr="0098344C">
        <w:rPr>
          <w:rFonts w:cs="Times New Roman"/>
          <w:i/>
          <w:sz w:val="24"/>
          <w:szCs w:val="24"/>
          <w:lang w:val="en-GB"/>
        </w:rPr>
        <w:t>In vitro and c</w:t>
      </w:r>
      <w:r w:rsidR="00F00DC2" w:rsidRPr="0098344C">
        <w:rPr>
          <w:rFonts w:cs="Times New Roman"/>
          <w:i/>
          <w:sz w:val="24"/>
          <w:szCs w:val="24"/>
          <w:lang w:val="en-GB"/>
        </w:rPr>
        <w:t>ell-based H3K27 methylation assay</w:t>
      </w:r>
      <w:r w:rsidRPr="0098344C">
        <w:rPr>
          <w:rFonts w:cs="Times New Roman"/>
          <w:i/>
          <w:sz w:val="24"/>
          <w:szCs w:val="24"/>
          <w:lang w:val="en-GB"/>
        </w:rPr>
        <w:t>s</w:t>
      </w:r>
      <w:r w:rsidR="00F00DC2" w:rsidRPr="0098344C">
        <w:rPr>
          <w:rFonts w:cs="Times New Roman"/>
          <w:i/>
          <w:sz w:val="24"/>
          <w:szCs w:val="24"/>
          <w:lang w:val="en-GB"/>
        </w:rPr>
        <w:t xml:space="preserve">: </w:t>
      </w:r>
      <w:r w:rsidR="00F00DC2" w:rsidRPr="0098344C">
        <w:rPr>
          <w:rFonts w:cs="Times New Roman"/>
          <w:sz w:val="24"/>
          <w:szCs w:val="24"/>
          <w:lang w:val="en-GB"/>
        </w:rPr>
        <w:t xml:space="preserve">Using an </w:t>
      </w:r>
      <w:r w:rsidR="00F00DC2" w:rsidRPr="0098344C">
        <w:rPr>
          <w:rFonts w:cs="Times New Roman"/>
          <w:i/>
          <w:iCs/>
          <w:sz w:val="24"/>
          <w:szCs w:val="24"/>
          <w:lang w:val="en-GB"/>
        </w:rPr>
        <w:t>in vitro</w:t>
      </w:r>
      <w:r w:rsidR="00F00DC2" w:rsidRPr="0098344C">
        <w:rPr>
          <w:rFonts w:cs="Times New Roman"/>
          <w:sz w:val="24"/>
          <w:szCs w:val="24"/>
          <w:lang w:val="en-GB"/>
        </w:rPr>
        <w:t xml:space="preserve"> histone methylation</w:t>
      </w:r>
      <w:r w:rsidR="00F00DC2">
        <w:rPr>
          <w:rFonts w:cs="Times New Roman"/>
          <w:sz w:val="24"/>
          <w:szCs w:val="24"/>
          <w:lang w:val="en-GB"/>
        </w:rPr>
        <w:t xml:space="preserve"> transferase (HMT) assay w</w:t>
      </w:r>
      <w:r w:rsidR="00F00DC2" w:rsidRPr="00C522D4">
        <w:rPr>
          <w:rFonts w:cs="Times New Roman"/>
          <w:sz w:val="24"/>
          <w:szCs w:val="24"/>
          <w:lang w:val="en-GB"/>
        </w:rPr>
        <w:t xml:space="preserve">e have previously shown that the </w:t>
      </w:r>
      <w:r w:rsidR="00F00DC2">
        <w:rPr>
          <w:rFonts w:cs="Times New Roman"/>
          <w:sz w:val="24"/>
          <w:szCs w:val="24"/>
          <w:lang w:val="en-GB"/>
        </w:rPr>
        <w:t xml:space="preserve">SET/CXC </w:t>
      </w:r>
      <w:r w:rsidR="00F00DC2" w:rsidRPr="00C522D4">
        <w:rPr>
          <w:rFonts w:cs="Times New Roman"/>
          <w:sz w:val="24"/>
          <w:szCs w:val="24"/>
          <w:lang w:val="en-GB"/>
        </w:rPr>
        <w:t>mutants</w:t>
      </w:r>
      <w:r w:rsidR="00F00DC2">
        <w:rPr>
          <w:rFonts w:cs="Times New Roman"/>
          <w:sz w:val="24"/>
          <w:szCs w:val="24"/>
          <w:lang w:val="en-GB"/>
        </w:rPr>
        <w:t xml:space="preserve"> </w:t>
      </w:r>
      <w:r w:rsidR="00F00DC2" w:rsidRPr="00406642">
        <w:rPr>
          <w:rFonts w:cs="Times New Roman"/>
          <w:sz w:val="24"/>
          <w:szCs w:val="24"/>
          <w:lang w:val="en-GB"/>
        </w:rPr>
        <w:t>C576W</w:t>
      </w:r>
      <w:r w:rsidR="00F00DC2">
        <w:rPr>
          <w:rFonts w:cs="Times New Roman"/>
          <w:sz w:val="24"/>
          <w:szCs w:val="24"/>
          <w:lang w:val="en-GB"/>
        </w:rPr>
        <w:t>, R690C and Y731D conferred loss</w:t>
      </w:r>
      <w:r w:rsidR="00F00DC2" w:rsidRPr="00C522D4">
        <w:rPr>
          <w:rFonts w:cs="Times New Roman"/>
          <w:sz w:val="24"/>
          <w:szCs w:val="24"/>
          <w:lang w:val="en-GB"/>
        </w:rPr>
        <w:t xml:space="preserve"> or greatly reduced catalytic activity</w:t>
      </w:r>
      <w:r w:rsidR="00F00DC2" w:rsidRPr="00D50AE6">
        <w:rPr>
          <w:rFonts w:cs="Times New Roman"/>
          <w:noProof/>
          <w:sz w:val="24"/>
          <w:szCs w:val="24"/>
          <w:vertAlign w:val="superscript"/>
          <w:lang w:val="en-GB"/>
        </w:rPr>
        <w:t>1</w:t>
      </w:r>
      <w:r w:rsidR="00F00DC2" w:rsidRPr="00C522D4">
        <w:rPr>
          <w:rFonts w:cs="Times New Roman"/>
          <w:sz w:val="24"/>
          <w:szCs w:val="24"/>
          <w:lang w:val="en-GB"/>
        </w:rPr>
        <w:t xml:space="preserve">. </w:t>
      </w:r>
      <w:r w:rsidR="00F00DC2">
        <w:rPr>
          <w:rFonts w:cs="Times New Roman"/>
          <w:sz w:val="24"/>
          <w:szCs w:val="24"/>
          <w:lang w:val="en-GB"/>
        </w:rPr>
        <w:t>Using the same assay, we</w:t>
      </w:r>
      <w:r w:rsidR="00F00DC2" w:rsidRPr="00C522D4">
        <w:rPr>
          <w:rFonts w:cs="Times New Roman"/>
          <w:sz w:val="24"/>
          <w:szCs w:val="24"/>
          <w:lang w:val="en-GB"/>
        </w:rPr>
        <w:t xml:space="preserve"> examined three more </w:t>
      </w:r>
      <w:r w:rsidR="00F00DC2">
        <w:rPr>
          <w:rFonts w:cs="Times New Roman"/>
          <w:sz w:val="24"/>
          <w:szCs w:val="24"/>
          <w:lang w:val="en-GB"/>
        </w:rPr>
        <w:t>variants</w:t>
      </w:r>
      <w:r w:rsidR="00F00DC2" w:rsidRPr="00C522D4">
        <w:rPr>
          <w:rFonts w:cs="Times New Roman"/>
          <w:sz w:val="24"/>
          <w:szCs w:val="24"/>
          <w:lang w:val="en-GB"/>
        </w:rPr>
        <w:t>: F145C</w:t>
      </w:r>
      <w:r w:rsidR="00F00DC2">
        <w:rPr>
          <w:rFonts w:cs="Times New Roman"/>
          <w:sz w:val="24"/>
          <w:szCs w:val="24"/>
          <w:lang w:val="en-GB"/>
        </w:rPr>
        <w:t xml:space="preserve"> (region D1; from COSMIC data, mutations at F145 are recurrent, therefore likely to be pathogenic), Y244D (region DII; associated with chromosome 7 acquired uniparental disomy, therefore likely to be pathogenic) and D192N (between DI and DII, not recurrent, not associated with acquired uniparental disomy)</w:t>
      </w:r>
      <w:r w:rsidR="00F00DC2" w:rsidRPr="00C522D4">
        <w:rPr>
          <w:rFonts w:cs="Times New Roman"/>
          <w:sz w:val="24"/>
          <w:szCs w:val="24"/>
          <w:lang w:val="en-GB"/>
        </w:rPr>
        <w:t xml:space="preserve">. </w:t>
      </w:r>
      <w:r w:rsidR="00F00DC2">
        <w:rPr>
          <w:rFonts w:cs="Times New Roman"/>
          <w:sz w:val="24"/>
          <w:szCs w:val="24"/>
          <w:lang w:val="en-GB"/>
        </w:rPr>
        <w:t>We</w:t>
      </w:r>
      <w:r w:rsidR="00F00DC2" w:rsidRPr="00C522D4">
        <w:rPr>
          <w:rFonts w:cs="Times New Roman"/>
          <w:sz w:val="24"/>
          <w:szCs w:val="24"/>
          <w:lang w:val="en-GB"/>
        </w:rPr>
        <w:t xml:space="preserve"> found no </w:t>
      </w:r>
      <w:r w:rsidR="00F00DC2">
        <w:rPr>
          <w:rFonts w:cs="Times New Roman"/>
          <w:sz w:val="24"/>
          <w:szCs w:val="24"/>
          <w:lang w:val="en-GB"/>
        </w:rPr>
        <w:t>evidence for loss of methylation activity</w:t>
      </w:r>
      <w:r w:rsidR="00F00DC2" w:rsidRPr="00C522D4">
        <w:rPr>
          <w:rFonts w:cs="Times New Roman"/>
          <w:sz w:val="24"/>
          <w:szCs w:val="24"/>
          <w:lang w:val="en-GB"/>
        </w:rPr>
        <w:t xml:space="preserve"> for any of these </w:t>
      </w:r>
      <w:r w:rsidR="00F00DC2">
        <w:rPr>
          <w:rFonts w:cs="Times New Roman"/>
          <w:sz w:val="24"/>
          <w:szCs w:val="24"/>
          <w:lang w:val="en-GB"/>
        </w:rPr>
        <w:t>variants</w:t>
      </w:r>
      <w:r w:rsidR="00F00DC2" w:rsidRPr="00C522D4">
        <w:rPr>
          <w:rFonts w:cs="Times New Roman"/>
          <w:sz w:val="24"/>
          <w:szCs w:val="24"/>
          <w:lang w:val="en-GB"/>
        </w:rPr>
        <w:t xml:space="preserve"> (Fig</w:t>
      </w:r>
      <w:r w:rsidR="00F00DC2">
        <w:rPr>
          <w:rFonts w:cs="Times New Roman"/>
          <w:sz w:val="24"/>
          <w:szCs w:val="24"/>
          <w:lang w:val="en-GB"/>
        </w:rPr>
        <w:t>ure 2</w:t>
      </w:r>
      <w:r w:rsidR="00F00DC2" w:rsidRPr="00C522D4">
        <w:rPr>
          <w:rFonts w:cs="Times New Roman"/>
          <w:sz w:val="24"/>
          <w:szCs w:val="24"/>
          <w:lang w:val="en-GB"/>
        </w:rPr>
        <w:t xml:space="preserve">) </w:t>
      </w:r>
      <w:r w:rsidR="00F00DC2">
        <w:rPr>
          <w:rFonts w:cs="Times New Roman"/>
          <w:sz w:val="24"/>
          <w:szCs w:val="24"/>
          <w:lang w:val="en-GB"/>
        </w:rPr>
        <w:t>raising</w:t>
      </w:r>
      <w:r w:rsidR="00F00DC2" w:rsidRPr="00C522D4">
        <w:rPr>
          <w:rFonts w:cs="Times New Roman"/>
          <w:sz w:val="24"/>
          <w:szCs w:val="24"/>
          <w:lang w:val="en-GB"/>
        </w:rPr>
        <w:t xml:space="preserve"> the question </w:t>
      </w:r>
      <w:r w:rsidR="00F00DC2">
        <w:rPr>
          <w:rFonts w:cs="Times New Roman"/>
          <w:sz w:val="24"/>
          <w:szCs w:val="24"/>
          <w:lang w:val="en-GB"/>
        </w:rPr>
        <w:t>as to</w:t>
      </w:r>
      <w:r w:rsidR="00F00DC2" w:rsidRPr="00C522D4">
        <w:rPr>
          <w:rFonts w:cs="Times New Roman"/>
          <w:sz w:val="24"/>
          <w:szCs w:val="24"/>
          <w:lang w:val="en-GB"/>
        </w:rPr>
        <w:t xml:space="preserve"> whether these</w:t>
      </w:r>
      <w:r w:rsidR="00F00DC2">
        <w:rPr>
          <w:rFonts w:cs="Times New Roman"/>
          <w:sz w:val="24"/>
          <w:szCs w:val="24"/>
          <w:lang w:val="en-GB"/>
        </w:rPr>
        <w:t xml:space="preserve"> are true pathogenic mutants or </w:t>
      </w:r>
      <w:r w:rsidR="00F00DC2" w:rsidRPr="00C522D4">
        <w:rPr>
          <w:rFonts w:cs="Times New Roman"/>
          <w:sz w:val="24"/>
          <w:szCs w:val="24"/>
          <w:lang w:val="en-GB"/>
        </w:rPr>
        <w:t>non-pathogenic passenger mutations</w:t>
      </w:r>
      <w:r w:rsidR="00F00DC2">
        <w:rPr>
          <w:rFonts w:cs="Times New Roman"/>
          <w:sz w:val="24"/>
          <w:szCs w:val="24"/>
          <w:lang w:val="en-GB"/>
        </w:rPr>
        <w:t>/constitutional variants</w:t>
      </w:r>
      <w:r w:rsidR="00F00DC2" w:rsidRPr="00C522D4">
        <w:rPr>
          <w:rFonts w:cs="Times New Roman"/>
          <w:sz w:val="24"/>
          <w:szCs w:val="24"/>
          <w:lang w:val="en-GB"/>
        </w:rPr>
        <w:t>.</w:t>
      </w:r>
      <w:r w:rsidR="00F00DC2">
        <w:rPr>
          <w:rFonts w:cs="Times New Roman"/>
          <w:sz w:val="24"/>
          <w:szCs w:val="24"/>
          <w:lang w:val="en-GB"/>
        </w:rPr>
        <w:t xml:space="preserve"> </w:t>
      </w:r>
    </w:p>
    <w:p w14:paraId="17BC606D" w14:textId="77777777" w:rsidR="00F00DC2" w:rsidRDefault="00F00DC2" w:rsidP="008E15B7">
      <w:pPr>
        <w:pStyle w:val="NoSpacing"/>
        <w:spacing w:after="120" w:line="480" w:lineRule="auto"/>
        <w:jc w:val="both"/>
        <w:rPr>
          <w:rFonts w:cs="Times New Roman"/>
          <w:sz w:val="24"/>
          <w:szCs w:val="24"/>
          <w:lang w:val="en-GB"/>
        </w:rPr>
      </w:pPr>
    </w:p>
    <w:p w14:paraId="17BC606E" w14:textId="77777777" w:rsidR="004B7428"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lastRenderedPageBreak/>
        <w:t xml:space="preserve">The mechanism by which PRC2 is recruited to target genes is complex and incompletely understood. We hypothesised that the cellular context, such as interaction with accessory proteins or chromatin, might also be relevant to the pathogenicity of mutations. Such interactions would not be apparent using the </w:t>
      </w:r>
      <w:r w:rsidRPr="00733855">
        <w:rPr>
          <w:rFonts w:cs="Times New Roman"/>
          <w:i/>
          <w:iCs/>
          <w:sz w:val="24"/>
          <w:szCs w:val="24"/>
          <w:lang w:val="en-GB"/>
        </w:rPr>
        <w:t>in vitro</w:t>
      </w:r>
      <w:r>
        <w:rPr>
          <w:rFonts w:cs="Times New Roman"/>
          <w:sz w:val="24"/>
          <w:szCs w:val="24"/>
          <w:lang w:val="en-GB"/>
        </w:rPr>
        <w:t xml:space="preserve"> HMT assay but might be in a cell-based assay. </w:t>
      </w:r>
      <w:r w:rsidRPr="00C522D4">
        <w:rPr>
          <w:rFonts w:cs="Times New Roman"/>
          <w:sz w:val="24"/>
          <w:szCs w:val="24"/>
          <w:lang w:val="en-GB"/>
        </w:rPr>
        <w:t xml:space="preserve">We </w:t>
      </w:r>
      <w:r>
        <w:rPr>
          <w:rFonts w:cs="Times New Roman"/>
          <w:sz w:val="24"/>
          <w:szCs w:val="24"/>
          <w:lang w:val="en-GB"/>
        </w:rPr>
        <w:t xml:space="preserve">therefore </w:t>
      </w:r>
      <w:r w:rsidRPr="00C522D4">
        <w:rPr>
          <w:rFonts w:cs="Times New Roman"/>
          <w:sz w:val="24"/>
          <w:szCs w:val="24"/>
          <w:lang w:val="en-GB"/>
        </w:rPr>
        <w:t xml:space="preserve">used an </w:t>
      </w:r>
      <w:r w:rsidRPr="00855F44">
        <w:rPr>
          <w:rFonts w:cs="Times New Roman"/>
          <w:i/>
          <w:sz w:val="24"/>
          <w:szCs w:val="24"/>
          <w:lang w:val="en-GB"/>
        </w:rPr>
        <w:t>Ezh2</w:t>
      </w:r>
      <w:r w:rsidRPr="00C522D4">
        <w:rPr>
          <w:rFonts w:cs="Times New Roman"/>
          <w:sz w:val="24"/>
          <w:szCs w:val="24"/>
          <w:lang w:val="en-GB"/>
        </w:rPr>
        <w:t xml:space="preserve">-null murine iPS line which is negative for H3K27me3, but which becomes H3K27me3 positive when transfected with </w:t>
      </w:r>
      <w:r>
        <w:rPr>
          <w:rFonts w:cs="Times New Roman"/>
          <w:sz w:val="24"/>
          <w:szCs w:val="24"/>
          <w:lang w:val="en-GB"/>
        </w:rPr>
        <w:t xml:space="preserve">wild type </w:t>
      </w:r>
      <w:r w:rsidRPr="00F06250">
        <w:rPr>
          <w:rFonts w:cs="Times New Roman"/>
          <w:i/>
          <w:sz w:val="24"/>
          <w:szCs w:val="24"/>
          <w:lang w:val="en-GB"/>
        </w:rPr>
        <w:t>EZH2</w:t>
      </w:r>
      <w:r w:rsidRPr="00C522D4">
        <w:rPr>
          <w:rFonts w:cs="Times New Roman"/>
          <w:sz w:val="24"/>
          <w:szCs w:val="24"/>
          <w:lang w:val="en-GB"/>
        </w:rPr>
        <w:t xml:space="preserve"> (Fig</w:t>
      </w:r>
      <w:r>
        <w:rPr>
          <w:rFonts w:cs="Times New Roman"/>
          <w:sz w:val="24"/>
          <w:szCs w:val="24"/>
          <w:lang w:val="en-GB"/>
        </w:rPr>
        <w:t>ure 3</w:t>
      </w:r>
      <w:r w:rsidRPr="00C522D4">
        <w:rPr>
          <w:rFonts w:cs="Times New Roman"/>
          <w:sz w:val="24"/>
          <w:szCs w:val="24"/>
          <w:lang w:val="en-GB"/>
        </w:rPr>
        <w:t xml:space="preserve">A). </w:t>
      </w:r>
      <w:r>
        <w:rPr>
          <w:rFonts w:cs="Times New Roman"/>
          <w:sz w:val="24"/>
          <w:szCs w:val="24"/>
          <w:lang w:val="en-GB"/>
        </w:rPr>
        <w:t xml:space="preserve">In contrast to what we saw with the </w:t>
      </w:r>
      <w:r w:rsidRPr="00EF6F29">
        <w:rPr>
          <w:rFonts w:cs="Times New Roman"/>
          <w:i/>
          <w:iCs/>
          <w:sz w:val="24"/>
          <w:szCs w:val="24"/>
          <w:lang w:val="en-GB"/>
        </w:rPr>
        <w:t>in vitro</w:t>
      </w:r>
      <w:r>
        <w:rPr>
          <w:rFonts w:cs="Times New Roman"/>
          <w:sz w:val="24"/>
          <w:szCs w:val="24"/>
          <w:lang w:val="en-GB"/>
        </w:rPr>
        <w:t xml:space="preserve"> assay, the cell-based histone methylation (HM) assay showed F145C to be inactive, D192N to be active and Y244D to show greatly reduced activity. We then assessed additional </w:t>
      </w:r>
      <w:r w:rsidRPr="007B41BA">
        <w:rPr>
          <w:rFonts w:cs="Times New Roman"/>
          <w:i/>
          <w:iCs/>
          <w:sz w:val="24"/>
          <w:szCs w:val="24"/>
          <w:lang w:val="en-GB"/>
        </w:rPr>
        <w:t>EZH2</w:t>
      </w:r>
      <w:r>
        <w:rPr>
          <w:rFonts w:cs="Times New Roman"/>
          <w:sz w:val="24"/>
          <w:szCs w:val="24"/>
          <w:lang w:val="en-GB"/>
        </w:rPr>
        <w:t xml:space="preserve"> mutants, identified from our patient samples or from the literature (Table 1), mainly falling within the DI and DII regions.</w:t>
      </w:r>
      <w:r w:rsidRPr="00C522D4">
        <w:rPr>
          <w:rFonts w:cs="Times New Roman"/>
          <w:sz w:val="24"/>
          <w:szCs w:val="24"/>
          <w:lang w:val="en-GB"/>
        </w:rPr>
        <w:t xml:space="preserve"> </w:t>
      </w:r>
      <w:r>
        <w:rPr>
          <w:rFonts w:cs="Times New Roman"/>
          <w:sz w:val="24"/>
          <w:szCs w:val="24"/>
          <w:lang w:val="en-GB"/>
        </w:rPr>
        <w:t>Of the additional DI</w:t>
      </w:r>
      <w:r w:rsidRPr="00C522D4">
        <w:rPr>
          <w:rFonts w:cs="Times New Roman"/>
          <w:sz w:val="24"/>
          <w:szCs w:val="24"/>
          <w:lang w:val="en-GB"/>
        </w:rPr>
        <w:t xml:space="preserve"> mutants</w:t>
      </w:r>
      <w:r>
        <w:rPr>
          <w:rFonts w:cs="Times New Roman"/>
          <w:sz w:val="24"/>
          <w:szCs w:val="24"/>
          <w:lang w:val="en-GB"/>
        </w:rPr>
        <w:t xml:space="preserve"> assayed, 4/4</w:t>
      </w:r>
      <w:r w:rsidRPr="00C522D4">
        <w:rPr>
          <w:rFonts w:cs="Times New Roman"/>
          <w:sz w:val="24"/>
          <w:szCs w:val="24"/>
          <w:lang w:val="en-GB"/>
        </w:rPr>
        <w:t xml:space="preserve"> </w:t>
      </w:r>
      <w:r w:rsidRPr="007E43A8">
        <w:rPr>
          <w:rFonts w:cs="Times New Roman"/>
          <w:sz w:val="24"/>
          <w:szCs w:val="24"/>
          <w:lang w:val="en-GB"/>
        </w:rPr>
        <w:t xml:space="preserve">(L128F, P132S, M134K and K156E) </w:t>
      </w:r>
      <w:r w:rsidRPr="00C522D4">
        <w:rPr>
          <w:rFonts w:cs="Times New Roman"/>
          <w:sz w:val="24"/>
          <w:szCs w:val="24"/>
          <w:lang w:val="en-GB"/>
        </w:rPr>
        <w:t xml:space="preserve">showed complete loss of, or greatly </w:t>
      </w:r>
      <w:r w:rsidRPr="0098344C">
        <w:rPr>
          <w:rFonts w:cs="Times New Roman"/>
          <w:sz w:val="24"/>
          <w:szCs w:val="24"/>
          <w:lang w:val="en-GB"/>
        </w:rPr>
        <w:t xml:space="preserve">reduced, methylation activity. </w:t>
      </w:r>
      <w:r w:rsidR="004B7428" w:rsidRPr="0098344C">
        <w:rPr>
          <w:rFonts w:cs="Times New Roman"/>
          <w:sz w:val="24"/>
          <w:szCs w:val="24"/>
          <w:lang w:val="en-GB"/>
        </w:rPr>
        <w:t>The loss of histone methylation activity for two variants, L128F and M134K, was also conf</w:t>
      </w:r>
      <w:r w:rsidR="007D212C" w:rsidRPr="0098344C">
        <w:rPr>
          <w:rFonts w:cs="Times New Roman"/>
          <w:sz w:val="24"/>
          <w:szCs w:val="24"/>
          <w:lang w:val="en-GB"/>
        </w:rPr>
        <w:t xml:space="preserve">irmed by immunocytochemistry on cytospun iPS cells transiently transfected with wildtype or mutant </w:t>
      </w:r>
      <w:r w:rsidR="007D212C" w:rsidRPr="0098344C">
        <w:rPr>
          <w:rFonts w:cs="Times New Roman"/>
          <w:i/>
          <w:sz w:val="24"/>
          <w:szCs w:val="24"/>
          <w:lang w:val="en-GB"/>
        </w:rPr>
        <w:t>EZH2</w:t>
      </w:r>
      <w:r w:rsidR="007D212C" w:rsidRPr="0098344C">
        <w:rPr>
          <w:rFonts w:cs="Times New Roman"/>
          <w:sz w:val="24"/>
          <w:szCs w:val="24"/>
          <w:lang w:val="en-GB"/>
        </w:rPr>
        <w:t xml:space="preserve"> (Supplementary Figure 1).</w:t>
      </w:r>
    </w:p>
    <w:p w14:paraId="17BC606F" w14:textId="77777777" w:rsidR="004B7428" w:rsidRDefault="004B7428" w:rsidP="008E15B7">
      <w:pPr>
        <w:pStyle w:val="NoSpacing"/>
        <w:spacing w:after="120" w:line="480" w:lineRule="auto"/>
        <w:jc w:val="both"/>
        <w:rPr>
          <w:rFonts w:cs="Times New Roman"/>
          <w:sz w:val="24"/>
          <w:szCs w:val="24"/>
          <w:lang w:val="en-GB"/>
        </w:rPr>
      </w:pPr>
    </w:p>
    <w:p w14:paraId="17BC6070" w14:textId="77777777" w:rsidR="00D76F43" w:rsidRPr="004B7428"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The six DII mutants tested were more variable with the five additional mutants showing partial loss of activity in one case (L252V) and no loss of activity in </w:t>
      </w:r>
      <w:r w:rsidRPr="000B7576">
        <w:rPr>
          <w:rFonts w:cs="Times New Roman"/>
          <w:sz w:val="24"/>
          <w:szCs w:val="24"/>
          <w:lang w:val="en-GB"/>
        </w:rPr>
        <w:t xml:space="preserve">four cases </w:t>
      </w:r>
      <w:r w:rsidRPr="007E43A8">
        <w:rPr>
          <w:rFonts w:cs="Times New Roman"/>
          <w:sz w:val="24"/>
          <w:szCs w:val="24"/>
          <w:lang w:val="en-GB"/>
        </w:rPr>
        <w:t xml:space="preserve">(E249K, A255T, </w:t>
      </w:r>
      <w:r w:rsidRPr="0098344C">
        <w:rPr>
          <w:rFonts w:cs="Times New Roman"/>
          <w:sz w:val="24"/>
          <w:szCs w:val="24"/>
          <w:lang w:val="en-GB"/>
        </w:rPr>
        <w:t xml:space="preserve">R288Q and R298L; Figure 3B). </w:t>
      </w:r>
      <w:r w:rsidR="00387193" w:rsidRPr="0098344C">
        <w:rPr>
          <w:rFonts w:cs="Times New Roman"/>
          <w:sz w:val="24"/>
          <w:szCs w:val="24"/>
          <w:lang w:val="en-GB"/>
        </w:rPr>
        <w:t xml:space="preserve">It is important to note that further work (described in the next section) showed DII variants to induce skipping of exon 8 causing a frameshift and loss of function. This pathogenic mechanism is not apparent in our cell-based histone methylation assay in which the </w:t>
      </w:r>
      <w:r w:rsidR="00387193" w:rsidRPr="0098344C">
        <w:rPr>
          <w:rFonts w:cs="Times New Roman"/>
          <w:i/>
          <w:sz w:val="24"/>
          <w:szCs w:val="24"/>
          <w:lang w:val="en-GB"/>
        </w:rPr>
        <w:t>EZH2</w:t>
      </w:r>
      <w:r w:rsidR="00387193" w:rsidRPr="0098344C">
        <w:rPr>
          <w:rFonts w:cs="Times New Roman"/>
          <w:sz w:val="24"/>
          <w:szCs w:val="24"/>
          <w:lang w:val="en-GB"/>
        </w:rPr>
        <w:t xml:space="preserve"> mRNA is transcribed from a cDNA with no splicing of exons.</w:t>
      </w:r>
    </w:p>
    <w:p w14:paraId="17BC6071" w14:textId="77777777" w:rsidR="00D76F43" w:rsidRDefault="00D76F43" w:rsidP="008E15B7">
      <w:pPr>
        <w:pStyle w:val="NoSpacing"/>
        <w:spacing w:after="120" w:line="480" w:lineRule="auto"/>
        <w:jc w:val="both"/>
        <w:rPr>
          <w:rFonts w:cs="Times New Roman"/>
          <w:sz w:val="24"/>
          <w:szCs w:val="24"/>
          <w:lang w:val="en-GB"/>
        </w:rPr>
      </w:pPr>
    </w:p>
    <w:p w14:paraId="17BC6072" w14:textId="77777777" w:rsidR="00F00DC2" w:rsidRPr="00F51CB0" w:rsidRDefault="00F00DC2" w:rsidP="008E15B7">
      <w:pPr>
        <w:pStyle w:val="NoSpacing"/>
        <w:spacing w:after="120" w:line="480" w:lineRule="auto"/>
        <w:jc w:val="both"/>
        <w:rPr>
          <w:rFonts w:cs="Times New Roman"/>
          <w:color w:val="FF0000"/>
          <w:sz w:val="24"/>
          <w:szCs w:val="24"/>
          <w:lang w:val="en-GB"/>
        </w:rPr>
      </w:pPr>
      <w:r>
        <w:rPr>
          <w:rFonts w:cs="Times New Roman"/>
          <w:sz w:val="24"/>
          <w:szCs w:val="24"/>
          <w:lang w:val="en-GB"/>
        </w:rPr>
        <w:lastRenderedPageBreak/>
        <w:t>Two SET domain mutants (R690C and Y731D) showed complete loss of methylation activity, consistent with structural studies</w:t>
      </w:r>
      <w:r w:rsidRPr="00D50AE6">
        <w:rPr>
          <w:rFonts w:cs="Times New Roman"/>
          <w:noProof/>
          <w:sz w:val="24"/>
          <w:szCs w:val="24"/>
          <w:vertAlign w:val="superscript"/>
          <w:lang w:val="en-GB"/>
        </w:rPr>
        <w:t>3</w:t>
      </w:r>
      <w:r>
        <w:rPr>
          <w:rFonts w:cs="Times New Roman"/>
          <w:sz w:val="24"/>
          <w:szCs w:val="24"/>
          <w:lang w:val="en-GB"/>
        </w:rPr>
        <w:t xml:space="preserve"> and our previous HMT data</w:t>
      </w:r>
      <w:r w:rsidRPr="00D50AE6">
        <w:rPr>
          <w:rFonts w:cs="Times New Roman"/>
          <w:noProof/>
          <w:sz w:val="24"/>
          <w:szCs w:val="24"/>
          <w:vertAlign w:val="superscript"/>
          <w:lang w:val="en-GB"/>
        </w:rPr>
        <w:t>1</w:t>
      </w:r>
      <w:r>
        <w:rPr>
          <w:rFonts w:cs="Times New Roman"/>
          <w:sz w:val="24"/>
          <w:szCs w:val="24"/>
          <w:lang w:val="en-GB"/>
        </w:rPr>
        <w:t>.</w:t>
      </w:r>
    </w:p>
    <w:p w14:paraId="17BC6073" w14:textId="77777777" w:rsidR="00F00DC2" w:rsidRPr="00F51CB0" w:rsidRDefault="00F00DC2" w:rsidP="008E15B7">
      <w:pPr>
        <w:pStyle w:val="NoSpacing"/>
        <w:spacing w:after="120" w:line="480" w:lineRule="auto"/>
        <w:jc w:val="both"/>
        <w:rPr>
          <w:rFonts w:cs="Times New Roman"/>
          <w:sz w:val="24"/>
          <w:szCs w:val="24"/>
          <w:lang w:val="en-GB"/>
        </w:rPr>
      </w:pPr>
    </w:p>
    <w:p w14:paraId="17BC6074" w14:textId="77777777" w:rsidR="00F00DC2" w:rsidRDefault="00F00DC2" w:rsidP="008E15B7">
      <w:pPr>
        <w:pStyle w:val="NoSpacing"/>
        <w:spacing w:after="120" w:line="480" w:lineRule="auto"/>
        <w:jc w:val="both"/>
        <w:rPr>
          <w:sz w:val="24"/>
          <w:szCs w:val="24"/>
        </w:rPr>
      </w:pPr>
      <w:r w:rsidRPr="00514302">
        <w:rPr>
          <w:rFonts w:cs="Times New Roman"/>
          <w:i/>
          <w:color w:val="000000" w:themeColor="text1"/>
          <w:sz w:val="24"/>
          <w:szCs w:val="24"/>
          <w:lang w:val="en-GB"/>
        </w:rPr>
        <w:t xml:space="preserve">Exon 8 mutations result in exon 8 skipping: </w:t>
      </w:r>
      <w:r>
        <w:rPr>
          <w:color w:val="000000" w:themeColor="text1"/>
          <w:sz w:val="24"/>
          <w:szCs w:val="24"/>
        </w:rPr>
        <w:t>M</w:t>
      </w:r>
      <w:r w:rsidRPr="00514302">
        <w:rPr>
          <w:color w:val="000000" w:themeColor="text1"/>
          <w:sz w:val="24"/>
          <w:szCs w:val="24"/>
        </w:rPr>
        <w:t xml:space="preserve">ost DI variants show loss of methylation activity in the cell-based HM assay, </w:t>
      </w:r>
      <w:r>
        <w:rPr>
          <w:color w:val="000000" w:themeColor="text1"/>
          <w:sz w:val="24"/>
          <w:szCs w:val="24"/>
        </w:rPr>
        <w:t xml:space="preserve">but </w:t>
      </w:r>
      <w:r w:rsidRPr="00514302">
        <w:rPr>
          <w:color w:val="000000" w:themeColor="text1"/>
          <w:sz w:val="24"/>
          <w:szCs w:val="24"/>
        </w:rPr>
        <w:t xml:space="preserve">this was not the case for most DII variants. Although we cannot exclude the possibility that DII variants might interact with myeloid lineage-specific factors that are not expressed in iPS cells, we focused our analysis on </w:t>
      </w:r>
      <w:r>
        <w:rPr>
          <w:color w:val="000000" w:themeColor="text1"/>
          <w:sz w:val="24"/>
          <w:szCs w:val="24"/>
        </w:rPr>
        <w:t>the possibility that some</w:t>
      </w:r>
      <w:r w:rsidRPr="00514302">
        <w:rPr>
          <w:color w:val="000000" w:themeColor="text1"/>
          <w:sz w:val="24"/>
          <w:szCs w:val="24"/>
        </w:rPr>
        <w:t xml:space="preserve"> variants might alter splicing as, for example, has been shown for many missense variants in </w:t>
      </w:r>
      <w:r w:rsidRPr="00514302">
        <w:rPr>
          <w:i/>
          <w:color w:val="000000" w:themeColor="text1"/>
          <w:sz w:val="24"/>
          <w:szCs w:val="24"/>
        </w:rPr>
        <w:t>BRCA2</w:t>
      </w:r>
      <w:r w:rsidRPr="00D50AE6">
        <w:rPr>
          <w:noProof/>
          <w:color w:val="000000" w:themeColor="text1"/>
          <w:sz w:val="24"/>
          <w:szCs w:val="24"/>
          <w:vertAlign w:val="superscript"/>
        </w:rPr>
        <w:t>11</w:t>
      </w:r>
      <w:r w:rsidRPr="00514302">
        <w:rPr>
          <w:color w:val="000000" w:themeColor="text1"/>
          <w:sz w:val="24"/>
          <w:szCs w:val="24"/>
        </w:rPr>
        <w:t xml:space="preserve">. </w:t>
      </w:r>
      <w:r>
        <w:rPr>
          <w:sz w:val="24"/>
          <w:szCs w:val="24"/>
        </w:rPr>
        <w:t>W</w:t>
      </w:r>
      <w:r w:rsidRPr="00C522D4">
        <w:rPr>
          <w:sz w:val="24"/>
          <w:szCs w:val="24"/>
        </w:rPr>
        <w:t xml:space="preserve">e examined splicing in primary samples with a range of </w:t>
      </w:r>
      <w:r>
        <w:rPr>
          <w:sz w:val="24"/>
          <w:szCs w:val="24"/>
        </w:rPr>
        <w:t xml:space="preserve">variants </w:t>
      </w:r>
      <w:r w:rsidRPr="00C522D4">
        <w:rPr>
          <w:sz w:val="24"/>
          <w:szCs w:val="24"/>
        </w:rPr>
        <w:t xml:space="preserve">by RT-PCR with </w:t>
      </w:r>
      <w:r w:rsidRPr="00C523F0">
        <w:rPr>
          <w:sz w:val="24"/>
          <w:szCs w:val="24"/>
        </w:rPr>
        <w:t xml:space="preserve">primers within exons flanking the mutated exon. Single samples with </w:t>
      </w:r>
      <w:r>
        <w:rPr>
          <w:sz w:val="24"/>
          <w:szCs w:val="24"/>
        </w:rPr>
        <w:t>variants</w:t>
      </w:r>
      <w:r w:rsidRPr="00C523F0">
        <w:rPr>
          <w:sz w:val="24"/>
          <w:szCs w:val="24"/>
        </w:rPr>
        <w:t xml:space="preserve"> in exons</w:t>
      </w:r>
      <w:r>
        <w:rPr>
          <w:sz w:val="24"/>
          <w:szCs w:val="24"/>
        </w:rPr>
        <w:t xml:space="preserve"> 5 (</w:t>
      </w:r>
      <w:r w:rsidRPr="00E27A95">
        <w:rPr>
          <w:sz w:val="24"/>
          <w:szCs w:val="24"/>
        </w:rPr>
        <w:t>c.466A&gt;G</w:t>
      </w:r>
      <w:r>
        <w:rPr>
          <w:sz w:val="24"/>
          <w:szCs w:val="24"/>
        </w:rPr>
        <w:t xml:space="preserve"> p.(L156E),</w:t>
      </w:r>
      <w:r w:rsidRPr="00E27A95">
        <w:rPr>
          <w:sz w:val="24"/>
          <w:szCs w:val="24"/>
        </w:rPr>
        <w:t xml:space="preserve"> </w:t>
      </w:r>
      <w:r>
        <w:rPr>
          <w:sz w:val="24"/>
          <w:szCs w:val="24"/>
        </w:rPr>
        <w:t>within DI), exon 6 (c.574G&gt;A</w:t>
      </w:r>
      <w:r w:rsidRPr="00DE15E5">
        <w:t xml:space="preserve"> </w:t>
      </w:r>
      <w:r>
        <w:rPr>
          <w:sz w:val="24"/>
          <w:szCs w:val="24"/>
        </w:rPr>
        <w:t>p.(D192N), between DI and DII), exon 7 (c.727A&gt;C p.(K243Q),</w:t>
      </w:r>
      <w:r w:rsidRPr="00C523F0">
        <w:rPr>
          <w:sz w:val="24"/>
          <w:szCs w:val="24"/>
        </w:rPr>
        <w:t xml:space="preserve"> </w:t>
      </w:r>
      <w:r>
        <w:rPr>
          <w:sz w:val="24"/>
          <w:szCs w:val="24"/>
        </w:rPr>
        <w:t>within DII) and exon 14 (c.1583G&gt;A</w:t>
      </w:r>
      <w:r w:rsidRPr="00DE15E5">
        <w:t xml:space="preserve"> </w:t>
      </w:r>
      <w:r>
        <w:rPr>
          <w:sz w:val="24"/>
          <w:szCs w:val="24"/>
        </w:rPr>
        <w:t>p.(C528Y), in the CXC domain)</w:t>
      </w:r>
      <w:r w:rsidRPr="00C523F0">
        <w:rPr>
          <w:sz w:val="24"/>
          <w:szCs w:val="24"/>
        </w:rPr>
        <w:t xml:space="preserve"> showed no altered splicing but four of four samples with exon 8 </w:t>
      </w:r>
      <w:r>
        <w:rPr>
          <w:sz w:val="24"/>
          <w:szCs w:val="24"/>
        </w:rPr>
        <w:t>variants</w:t>
      </w:r>
      <w:r w:rsidRPr="00C523F0">
        <w:rPr>
          <w:sz w:val="24"/>
          <w:szCs w:val="24"/>
        </w:rPr>
        <w:t xml:space="preserve"> </w:t>
      </w:r>
      <w:r>
        <w:rPr>
          <w:sz w:val="24"/>
          <w:szCs w:val="24"/>
        </w:rPr>
        <w:t>(c.754C&gt;G</w:t>
      </w:r>
      <w:r w:rsidRPr="00C523F0">
        <w:rPr>
          <w:sz w:val="24"/>
          <w:szCs w:val="24"/>
        </w:rPr>
        <w:t>,</w:t>
      </w:r>
      <w:r>
        <w:rPr>
          <w:sz w:val="24"/>
          <w:szCs w:val="24"/>
        </w:rPr>
        <w:t xml:space="preserve"> p.(L252V);</w:t>
      </w:r>
      <w:r w:rsidRPr="00C523F0">
        <w:rPr>
          <w:sz w:val="24"/>
          <w:szCs w:val="24"/>
        </w:rPr>
        <w:t xml:space="preserve"> </w:t>
      </w:r>
      <w:r>
        <w:rPr>
          <w:sz w:val="24"/>
          <w:szCs w:val="24"/>
        </w:rPr>
        <w:t>c.763G&gt;A, p.(A255T);</w:t>
      </w:r>
      <w:r w:rsidRPr="00C523F0">
        <w:rPr>
          <w:sz w:val="24"/>
          <w:szCs w:val="24"/>
        </w:rPr>
        <w:t xml:space="preserve"> </w:t>
      </w:r>
      <w:r>
        <w:rPr>
          <w:sz w:val="24"/>
          <w:szCs w:val="24"/>
        </w:rPr>
        <w:t>c.863G&gt;A,</w:t>
      </w:r>
      <w:r w:rsidRPr="00C523F0">
        <w:rPr>
          <w:sz w:val="24"/>
          <w:szCs w:val="24"/>
        </w:rPr>
        <w:t xml:space="preserve"> </w:t>
      </w:r>
      <w:r>
        <w:rPr>
          <w:sz w:val="24"/>
          <w:szCs w:val="24"/>
        </w:rPr>
        <w:t>p.(R288Q); c.893G&gt;T, p.(R298L)</w:t>
      </w:r>
      <w:r w:rsidRPr="00C523F0">
        <w:rPr>
          <w:sz w:val="24"/>
          <w:szCs w:val="24"/>
        </w:rPr>
        <w:t>) showed</w:t>
      </w:r>
      <w:r>
        <w:rPr>
          <w:sz w:val="24"/>
          <w:szCs w:val="24"/>
        </w:rPr>
        <w:t xml:space="preserve"> a smaller band (Figure 4A). </w:t>
      </w:r>
    </w:p>
    <w:p w14:paraId="17BC6075" w14:textId="77777777" w:rsidR="00F00DC2" w:rsidRDefault="00F00DC2" w:rsidP="008E15B7">
      <w:pPr>
        <w:pStyle w:val="NoSpacing"/>
        <w:spacing w:after="120" w:line="480" w:lineRule="auto"/>
        <w:jc w:val="both"/>
        <w:rPr>
          <w:sz w:val="24"/>
          <w:szCs w:val="24"/>
        </w:rPr>
      </w:pPr>
      <w:r w:rsidRPr="00C523F0">
        <w:rPr>
          <w:sz w:val="24"/>
          <w:szCs w:val="24"/>
        </w:rPr>
        <w:t xml:space="preserve">RT-PCR products were cloned and sequenced. Exon 8 normally undergoes alternative splicing; a short 164 bp </w:t>
      </w:r>
      <w:r>
        <w:rPr>
          <w:sz w:val="24"/>
          <w:szCs w:val="24"/>
        </w:rPr>
        <w:t xml:space="preserve">form </w:t>
      </w:r>
      <w:r w:rsidRPr="00C523F0">
        <w:rPr>
          <w:sz w:val="24"/>
          <w:szCs w:val="24"/>
        </w:rPr>
        <w:t xml:space="preserve">is </w:t>
      </w:r>
      <w:r>
        <w:rPr>
          <w:sz w:val="24"/>
          <w:szCs w:val="24"/>
        </w:rPr>
        <w:t xml:space="preserve">seen (e.g. in transcript NM_001203249) </w:t>
      </w:r>
      <w:r w:rsidRPr="00C523F0">
        <w:rPr>
          <w:sz w:val="24"/>
          <w:szCs w:val="24"/>
        </w:rPr>
        <w:t xml:space="preserve">in </w:t>
      </w:r>
      <w:r>
        <w:rPr>
          <w:sz w:val="24"/>
          <w:szCs w:val="24"/>
        </w:rPr>
        <w:t xml:space="preserve">most transcripts, </w:t>
      </w:r>
      <w:r w:rsidRPr="00C523F0">
        <w:rPr>
          <w:sz w:val="24"/>
          <w:szCs w:val="24"/>
        </w:rPr>
        <w:t xml:space="preserve">but </w:t>
      </w:r>
      <w:r>
        <w:rPr>
          <w:sz w:val="24"/>
          <w:szCs w:val="24"/>
        </w:rPr>
        <w:t>sometimes</w:t>
      </w:r>
      <w:r w:rsidRPr="00C523F0">
        <w:rPr>
          <w:sz w:val="24"/>
          <w:szCs w:val="24"/>
        </w:rPr>
        <w:t xml:space="preserve"> an additional 15 base pairs is included at the 3' end of the exon</w:t>
      </w:r>
      <w:r>
        <w:rPr>
          <w:sz w:val="24"/>
          <w:szCs w:val="24"/>
        </w:rPr>
        <w:t xml:space="preserve"> (e.g. </w:t>
      </w:r>
      <w:r w:rsidRPr="00C523F0">
        <w:rPr>
          <w:sz w:val="24"/>
          <w:szCs w:val="24"/>
        </w:rPr>
        <w:t>NM_004456</w:t>
      </w:r>
      <w:r>
        <w:rPr>
          <w:sz w:val="24"/>
          <w:szCs w:val="24"/>
        </w:rPr>
        <w:t>)</w:t>
      </w:r>
      <w:r w:rsidRPr="00C523F0">
        <w:rPr>
          <w:sz w:val="24"/>
          <w:szCs w:val="24"/>
        </w:rPr>
        <w:t>. In samples with the</w:t>
      </w:r>
      <w:r w:rsidRPr="00D64599">
        <w:rPr>
          <w:sz w:val="24"/>
          <w:szCs w:val="24"/>
        </w:rPr>
        <w:t xml:space="preserve"> c.754C&gt;G, c.763G&gt;A and c.863G&gt;A variants</w:t>
      </w:r>
      <w:r>
        <w:rPr>
          <w:sz w:val="24"/>
          <w:szCs w:val="24"/>
        </w:rPr>
        <w:t>,</w:t>
      </w:r>
      <w:r w:rsidRPr="00D64599">
        <w:rPr>
          <w:sz w:val="24"/>
          <w:szCs w:val="24"/>
        </w:rPr>
        <w:t xml:space="preserve"> two predominant </w:t>
      </w:r>
      <w:r w:rsidRPr="00136FD0">
        <w:rPr>
          <w:sz w:val="24"/>
          <w:szCs w:val="24"/>
        </w:rPr>
        <w:t xml:space="preserve">PCR bands were seen which represented the shorter exon 8 variant plus a smaller band </w:t>
      </w:r>
      <w:r>
        <w:rPr>
          <w:sz w:val="24"/>
          <w:szCs w:val="24"/>
        </w:rPr>
        <w:t xml:space="preserve">which completely lacked exon 8, resulting in a frameshift. </w:t>
      </w:r>
      <w:r w:rsidRPr="00136FD0">
        <w:rPr>
          <w:sz w:val="24"/>
          <w:szCs w:val="24"/>
        </w:rPr>
        <w:t xml:space="preserve">Only </w:t>
      </w:r>
      <w:r w:rsidRPr="00C522D4">
        <w:rPr>
          <w:sz w:val="24"/>
          <w:szCs w:val="24"/>
        </w:rPr>
        <w:t xml:space="preserve">a single </w:t>
      </w:r>
      <w:r>
        <w:rPr>
          <w:sz w:val="24"/>
          <w:szCs w:val="24"/>
        </w:rPr>
        <w:t xml:space="preserve">small </w:t>
      </w:r>
      <w:r w:rsidRPr="00C522D4">
        <w:rPr>
          <w:sz w:val="24"/>
          <w:szCs w:val="24"/>
        </w:rPr>
        <w:t xml:space="preserve">predominant band was seen </w:t>
      </w:r>
      <w:r w:rsidRPr="00D64599">
        <w:rPr>
          <w:sz w:val="24"/>
          <w:szCs w:val="24"/>
        </w:rPr>
        <w:t>with the c.893G&gt;T variant</w:t>
      </w:r>
      <w:r w:rsidRPr="00C522D4">
        <w:rPr>
          <w:sz w:val="24"/>
          <w:szCs w:val="24"/>
        </w:rPr>
        <w:t xml:space="preserve"> which sequencing </w:t>
      </w:r>
      <w:r>
        <w:rPr>
          <w:sz w:val="24"/>
          <w:szCs w:val="24"/>
        </w:rPr>
        <w:t xml:space="preserve">again </w:t>
      </w:r>
      <w:r w:rsidRPr="00C522D4">
        <w:rPr>
          <w:sz w:val="24"/>
          <w:szCs w:val="24"/>
        </w:rPr>
        <w:t xml:space="preserve">showed to </w:t>
      </w:r>
      <w:r>
        <w:rPr>
          <w:sz w:val="24"/>
          <w:szCs w:val="24"/>
        </w:rPr>
        <w:t xml:space="preserve">result from complete skipping of exon 8 (Figure 4C). This case was associated with </w:t>
      </w:r>
      <w:r>
        <w:rPr>
          <w:sz w:val="24"/>
          <w:szCs w:val="24"/>
        </w:rPr>
        <w:lastRenderedPageBreak/>
        <w:t xml:space="preserve">chromosome 7 acquired uniparental disomy and the variant allele frequency by next generation sequencing was 0.96 which likely accounts for the lack of a normally spliced </w:t>
      </w:r>
      <w:r w:rsidRPr="0098344C">
        <w:rPr>
          <w:sz w:val="24"/>
          <w:szCs w:val="24"/>
        </w:rPr>
        <w:t>transcript.</w:t>
      </w:r>
      <w:r w:rsidR="004B7428" w:rsidRPr="0098344C">
        <w:rPr>
          <w:sz w:val="24"/>
          <w:szCs w:val="24"/>
        </w:rPr>
        <w:t xml:space="preserve"> Material was available for western blotting in two exon 8 mutated samples</w:t>
      </w:r>
      <w:r w:rsidR="00286937" w:rsidRPr="0098344C">
        <w:rPr>
          <w:sz w:val="24"/>
          <w:szCs w:val="24"/>
        </w:rPr>
        <w:t>, with</w:t>
      </w:r>
      <w:r w:rsidR="004B7428" w:rsidRPr="0098344C">
        <w:rPr>
          <w:sz w:val="24"/>
          <w:szCs w:val="24"/>
        </w:rPr>
        <w:t xml:space="preserve"> variants c.754C&gt;G and c.893G&gt;T, and we found these to have reduced and complete loss of full length EZH2 respectively, consistent with the DNA and mRNA data (Supplementary Figure 2).</w:t>
      </w:r>
    </w:p>
    <w:p w14:paraId="17BC6076" w14:textId="77777777" w:rsidR="0054480A" w:rsidRDefault="0054480A" w:rsidP="008E15B7">
      <w:pPr>
        <w:pStyle w:val="NoSpacing"/>
        <w:spacing w:after="120" w:line="480" w:lineRule="auto"/>
        <w:jc w:val="both"/>
        <w:rPr>
          <w:sz w:val="24"/>
          <w:szCs w:val="24"/>
        </w:rPr>
      </w:pPr>
    </w:p>
    <w:p w14:paraId="17BC6077" w14:textId="77777777" w:rsidR="00F00DC2" w:rsidRDefault="00F00DC2" w:rsidP="008E15B7">
      <w:pPr>
        <w:pStyle w:val="NoSpacing"/>
        <w:spacing w:after="120" w:line="480" w:lineRule="auto"/>
        <w:jc w:val="both"/>
        <w:rPr>
          <w:sz w:val="24"/>
          <w:szCs w:val="24"/>
        </w:rPr>
      </w:pPr>
      <w:r>
        <w:rPr>
          <w:sz w:val="24"/>
          <w:szCs w:val="24"/>
        </w:rPr>
        <w:t xml:space="preserve">A faint </w:t>
      </w:r>
      <w:r w:rsidR="004B7428">
        <w:rPr>
          <w:sz w:val="24"/>
          <w:szCs w:val="24"/>
        </w:rPr>
        <w:t xml:space="preserve">PCR </w:t>
      </w:r>
      <w:r>
        <w:rPr>
          <w:sz w:val="24"/>
          <w:szCs w:val="24"/>
        </w:rPr>
        <w:t xml:space="preserve">band could be seen in some control samples which appeared to be the same size as that showing skipping of exon 8 (Figure 4A). To explore this in more detail we used FAM-labelled RT-PCR to examine exon 8 skipping quantitatively (Figure 5A). This confirmed that samples with </w:t>
      </w:r>
      <w:r w:rsidRPr="00F06250">
        <w:rPr>
          <w:i/>
          <w:sz w:val="24"/>
          <w:szCs w:val="24"/>
        </w:rPr>
        <w:t>EZH2</w:t>
      </w:r>
      <w:r>
        <w:rPr>
          <w:sz w:val="24"/>
          <w:szCs w:val="24"/>
        </w:rPr>
        <w:t xml:space="preserve"> exon 8 mutations showed pronounced skipping of exon 8, whilst samples from other myeloid neoplasias showed very low-level skipping and control samples from healthy individuals showed almost no exon 8 skipping. All myeloid neoplasias without exon 8 mutations had Illumina </w:t>
      </w:r>
      <w:proofErr w:type="spellStart"/>
      <w:r>
        <w:rPr>
          <w:sz w:val="24"/>
          <w:szCs w:val="24"/>
        </w:rPr>
        <w:t>Trusight</w:t>
      </w:r>
      <w:proofErr w:type="spellEnd"/>
      <w:r>
        <w:rPr>
          <w:sz w:val="24"/>
          <w:szCs w:val="24"/>
        </w:rPr>
        <w:t xml:space="preserve"> myeloid panel sequencing data and, although numbers were small, we found no clear correlation between </w:t>
      </w:r>
      <w:r w:rsidR="00462D23">
        <w:rPr>
          <w:sz w:val="24"/>
          <w:szCs w:val="24"/>
        </w:rPr>
        <w:t xml:space="preserve">the background level of </w:t>
      </w:r>
      <w:r>
        <w:rPr>
          <w:sz w:val="24"/>
          <w:szCs w:val="24"/>
        </w:rPr>
        <w:t>exon 8 skipping</w:t>
      </w:r>
      <w:r w:rsidR="00462D23">
        <w:rPr>
          <w:sz w:val="24"/>
          <w:szCs w:val="24"/>
        </w:rPr>
        <w:t xml:space="preserve"> in myeloid neoplasias</w:t>
      </w:r>
      <w:r>
        <w:rPr>
          <w:sz w:val="24"/>
          <w:szCs w:val="24"/>
        </w:rPr>
        <w:t xml:space="preserve"> and the presence of splicing factor mutations </w:t>
      </w:r>
      <w:r w:rsidRPr="00D74D5A">
        <w:rPr>
          <w:sz w:val="24"/>
          <w:szCs w:val="24"/>
        </w:rPr>
        <w:t>(Figure 5a).</w:t>
      </w:r>
      <w:r w:rsidR="00462D23">
        <w:rPr>
          <w:sz w:val="24"/>
          <w:szCs w:val="24"/>
        </w:rPr>
        <w:t xml:space="preserve"> </w:t>
      </w:r>
    </w:p>
    <w:p w14:paraId="17BC6078" w14:textId="77777777" w:rsidR="00063545" w:rsidRDefault="00063545" w:rsidP="008E15B7">
      <w:pPr>
        <w:pStyle w:val="NoSpacing"/>
        <w:spacing w:after="120" w:line="480" w:lineRule="auto"/>
        <w:jc w:val="both"/>
        <w:rPr>
          <w:rFonts w:cs="Times New Roman"/>
          <w:sz w:val="24"/>
          <w:szCs w:val="24"/>
          <w:lang w:val="en-GB"/>
        </w:rPr>
      </w:pPr>
    </w:p>
    <w:p w14:paraId="17BC6079" w14:textId="77777777" w:rsidR="00F00DC2" w:rsidRDefault="00F00DC2" w:rsidP="008E15B7">
      <w:pPr>
        <w:pStyle w:val="NoSpacing"/>
        <w:spacing w:after="120" w:line="480" w:lineRule="auto"/>
        <w:jc w:val="both"/>
        <w:rPr>
          <w:rFonts w:cs="Times New Roman"/>
          <w:sz w:val="24"/>
          <w:szCs w:val="24"/>
          <w:lang w:val="en-GB"/>
        </w:rPr>
      </w:pPr>
      <w:r w:rsidRPr="00C522D4">
        <w:rPr>
          <w:rFonts w:cs="Times New Roman"/>
          <w:sz w:val="24"/>
          <w:szCs w:val="24"/>
          <w:lang w:val="en-GB"/>
        </w:rPr>
        <w:t xml:space="preserve">We used a minigene splicing assay to confirm these findings and to examine </w:t>
      </w:r>
      <w:r>
        <w:rPr>
          <w:rFonts w:cs="Times New Roman"/>
          <w:sz w:val="24"/>
          <w:szCs w:val="24"/>
          <w:lang w:val="en-GB"/>
        </w:rPr>
        <w:t>three</w:t>
      </w:r>
      <w:r w:rsidRPr="00C522D4">
        <w:rPr>
          <w:rFonts w:cs="Times New Roman"/>
          <w:sz w:val="24"/>
          <w:szCs w:val="24"/>
          <w:lang w:val="en-GB"/>
        </w:rPr>
        <w:t xml:space="preserve"> additional </w:t>
      </w:r>
      <w:r w:rsidRPr="00F06250">
        <w:rPr>
          <w:rFonts w:cs="Times New Roman"/>
          <w:i/>
          <w:sz w:val="24"/>
          <w:szCs w:val="24"/>
          <w:lang w:val="en-GB"/>
        </w:rPr>
        <w:t>EZH2</w:t>
      </w:r>
      <w:r>
        <w:rPr>
          <w:rFonts w:cs="Times New Roman"/>
          <w:sz w:val="24"/>
          <w:szCs w:val="24"/>
          <w:lang w:val="en-GB"/>
        </w:rPr>
        <w:t xml:space="preserve"> </w:t>
      </w:r>
      <w:r w:rsidRPr="00C522D4">
        <w:rPr>
          <w:rFonts w:cs="Times New Roman"/>
          <w:sz w:val="24"/>
          <w:szCs w:val="24"/>
          <w:lang w:val="en-GB"/>
        </w:rPr>
        <w:t>exon 8 mutants</w:t>
      </w:r>
      <w:r>
        <w:rPr>
          <w:rFonts w:cs="Times New Roman"/>
          <w:sz w:val="24"/>
          <w:szCs w:val="24"/>
          <w:lang w:val="en-GB"/>
        </w:rPr>
        <w:t xml:space="preserve"> (</w:t>
      </w:r>
      <w:r w:rsidRPr="00D64599">
        <w:rPr>
          <w:rFonts w:cs="Times New Roman"/>
          <w:sz w:val="24"/>
          <w:szCs w:val="24"/>
          <w:lang w:val="en-GB"/>
        </w:rPr>
        <w:t>c.730T&gt;G</w:t>
      </w:r>
      <w:r>
        <w:rPr>
          <w:rFonts w:cs="Times New Roman"/>
          <w:sz w:val="24"/>
          <w:szCs w:val="24"/>
          <w:lang w:val="en-GB"/>
        </w:rPr>
        <w:t xml:space="preserve">, </w:t>
      </w:r>
      <w:r w:rsidRPr="00D64599">
        <w:rPr>
          <w:rFonts w:cs="Times New Roman"/>
          <w:sz w:val="24"/>
          <w:szCs w:val="24"/>
          <w:lang w:val="en-GB"/>
        </w:rPr>
        <w:t xml:space="preserve">c.745G&gt;A </w:t>
      </w:r>
      <w:r>
        <w:rPr>
          <w:rFonts w:cs="Times New Roman"/>
          <w:sz w:val="24"/>
          <w:szCs w:val="24"/>
          <w:lang w:val="en-GB"/>
        </w:rPr>
        <w:t xml:space="preserve">and </w:t>
      </w:r>
      <w:r w:rsidRPr="00D64599">
        <w:rPr>
          <w:rFonts w:cs="Times New Roman"/>
          <w:sz w:val="24"/>
          <w:szCs w:val="24"/>
          <w:lang w:val="en-GB"/>
        </w:rPr>
        <w:t>c.890A&gt;G</w:t>
      </w:r>
      <w:r>
        <w:rPr>
          <w:rFonts w:cs="Times New Roman"/>
          <w:sz w:val="24"/>
          <w:szCs w:val="24"/>
          <w:lang w:val="en-GB"/>
        </w:rPr>
        <w:t>)</w:t>
      </w:r>
      <w:r w:rsidRPr="00C522D4">
        <w:rPr>
          <w:rFonts w:cs="Times New Roman"/>
          <w:sz w:val="24"/>
          <w:szCs w:val="24"/>
          <w:lang w:val="en-GB"/>
        </w:rPr>
        <w:t xml:space="preserve"> for which cDNA was not available. In HEK293</w:t>
      </w:r>
      <w:r>
        <w:rPr>
          <w:rFonts w:cs="Times New Roman"/>
          <w:sz w:val="24"/>
          <w:szCs w:val="24"/>
          <w:lang w:val="en-GB"/>
        </w:rPr>
        <w:t>F</w:t>
      </w:r>
      <w:r w:rsidRPr="00C522D4">
        <w:rPr>
          <w:rFonts w:cs="Times New Roman"/>
          <w:sz w:val="24"/>
          <w:szCs w:val="24"/>
          <w:lang w:val="en-GB"/>
        </w:rPr>
        <w:t xml:space="preserve"> cells, all </w:t>
      </w:r>
      <w:r>
        <w:rPr>
          <w:rFonts w:cs="Times New Roman"/>
          <w:sz w:val="24"/>
          <w:szCs w:val="24"/>
          <w:lang w:val="en-GB"/>
        </w:rPr>
        <w:t>seven</w:t>
      </w:r>
      <w:r w:rsidRPr="00C522D4">
        <w:rPr>
          <w:rFonts w:cs="Times New Roman"/>
          <w:sz w:val="24"/>
          <w:szCs w:val="24"/>
          <w:lang w:val="en-GB"/>
        </w:rPr>
        <w:t xml:space="preserve"> mutants were found to</w:t>
      </w:r>
      <w:r>
        <w:rPr>
          <w:rFonts w:cs="Times New Roman"/>
          <w:sz w:val="24"/>
          <w:szCs w:val="24"/>
          <w:lang w:val="en-GB"/>
        </w:rPr>
        <w:t xml:space="preserve"> result in increased skipping of </w:t>
      </w:r>
      <w:r w:rsidRPr="00C522D4">
        <w:rPr>
          <w:rFonts w:cs="Times New Roman"/>
          <w:sz w:val="24"/>
          <w:szCs w:val="24"/>
          <w:lang w:val="en-GB"/>
        </w:rPr>
        <w:t>exon 8</w:t>
      </w:r>
      <w:r>
        <w:rPr>
          <w:rFonts w:cs="Times New Roman"/>
          <w:sz w:val="24"/>
          <w:szCs w:val="24"/>
          <w:lang w:val="en-GB"/>
        </w:rPr>
        <w:t xml:space="preserve"> compared to that of wild type exon 8 (Figure</w:t>
      </w:r>
      <w:r w:rsidRPr="00C522D4">
        <w:rPr>
          <w:rFonts w:cs="Times New Roman"/>
          <w:sz w:val="24"/>
          <w:szCs w:val="24"/>
          <w:lang w:val="en-GB"/>
        </w:rPr>
        <w:t xml:space="preserve"> </w:t>
      </w:r>
      <w:r>
        <w:rPr>
          <w:rFonts w:cs="Times New Roman"/>
          <w:sz w:val="24"/>
          <w:szCs w:val="24"/>
          <w:lang w:val="en-GB"/>
        </w:rPr>
        <w:t xml:space="preserve">5b). The assay was repeated in HeLa cells which gave similar results to that in HEK293 cells (Figure 5C) </w:t>
      </w:r>
    </w:p>
    <w:p w14:paraId="17BC607A" w14:textId="77777777" w:rsidR="0054480A" w:rsidRDefault="0054480A" w:rsidP="008E15B7">
      <w:pPr>
        <w:pStyle w:val="NoSpacing"/>
        <w:spacing w:after="120" w:line="480" w:lineRule="auto"/>
        <w:jc w:val="both"/>
        <w:rPr>
          <w:rFonts w:cs="Times New Roman"/>
          <w:sz w:val="24"/>
          <w:szCs w:val="24"/>
          <w:lang w:val="en-GB"/>
        </w:rPr>
      </w:pPr>
    </w:p>
    <w:p w14:paraId="17BC607B" w14:textId="77777777" w:rsidR="00F00DC2" w:rsidRPr="004B7428" w:rsidRDefault="00F00DC2" w:rsidP="008E15B7">
      <w:pPr>
        <w:pStyle w:val="NoSpacing"/>
        <w:spacing w:after="120" w:line="480" w:lineRule="auto"/>
        <w:jc w:val="both"/>
        <w:rPr>
          <w:rFonts w:cs="Times New Roman"/>
          <w:sz w:val="24"/>
          <w:szCs w:val="24"/>
          <w:lang w:val="en-GB"/>
        </w:rPr>
      </w:pPr>
      <w:r w:rsidRPr="00BF696B">
        <w:rPr>
          <w:rFonts w:cs="Times New Roman"/>
          <w:i/>
          <w:sz w:val="24"/>
          <w:szCs w:val="24"/>
          <w:lang w:val="en-GB"/>
        </w:rPr>
        <w:lastRenderedPageBreak/>
        <w:t>In silico analysis</w:t>
      </w:r>
      <w:r>
        <w:rPr>
          <w:rFonts w:cs="Times New Roman"/>
          <w:i/>
          <w:sz w:val="24"/>
          <w:szCs w:val="24"/>
          <w:lang w:val="en-GB"/>
        </w:rPr>
        <w:t xml:space="preserve">: </w:t>
      </w:r>
      <w:r>
        <w:rPr>
          <w:rFonts w:cs="Times New Roman"/>
          <w:sz w:val="24"/>
          <w:szCs w:val="24"/>
          <w:lang w:val="en-GB"/>
        </w:rPr>
        <w:t>We used several online tools to identify any features of exon 8 that might explain the difference in activity of DI and DII mutations or the propensity for skipping of exon 8. Ex-skip (</w:t>
      </w:r>
      <w:r w:rsidRPr="004B334F">
        <w:rPr>
          <w:rFonts w:cs="Times New Roman"/>
          <w:sz w:val="24"/>
          <w:szCs w:val="24"/>
          <w:lang w:val="en-GB"/>
        </w:rPr>
        <w:t>http://ex-skip.img.cas.cz/</w:t>
      </w:r>
      <w:r>
        <w:rPr>
          <w:rFonts w:cs="Times New Roman"/>
          <w:sz w:val="24"/>
          <w:szCs w:val="24"/>
          <w:lang w:val="en-GB"/>
        </w:rPr>
        <w:t>) uses ESE (exonic splicing enhancer) and ESS (exonic splicing suppressor) data to predict the likelihood of a mutation inducing exon skipping compared to WT.</w:t>
      </w:r>
      <w:r w:rsidRPr="004B334F">
        <w:rPr>
          <w:rFonts w:cs="Times New Roman"/>
          <w:sz w:val="24"/>
          <w:szCs w:val="24"/>
          <w:lang w:val="en-GB"/>
        </w:rPr>
        <w:t xml:space="preserve"> </w:t>
      </w:r>
      <w:r>
        <w:rPr>
          <w:rFonts w:cs="Times New Roman"/>
          <w:sz w:val="24"/>
          <w:szCs w:val="24"/>
          <w:lang w:val="en-GB"/>
        </w:rPr>
        <w:t xml:space="preserve">We analysed all </w:t>
      </w:r>
      <w:r w:rsidRPr="00F06250">
        <w:rPr>
          <w:rFonts w:cs="Times New Roman"/>
          <w:i/>
          <w:sz w:val="24"/>
          <w:szCs w:val="24"/>
          <w:lang w:val="en-GB"/>
        </w:rPr>
        <w:t>EZH2</w:t>
      </w:r>
      <w:r>
        <w:rPr>
          <w:rFonts w:cs="Times New Roman"/>
          <w:sz w:val="24"/>
          <w:szCs w:val="24"/>
          <w:lang w:val="en-GB"/>
        </w:rPr>
        <w:t xml:space="preserve"> missense variants from COSMIC with Ex-skip and compared exon 8 variants with variants in all other exons (Supplementary Table 2). Although some of the exons contained too few variants to be informative, exon 8 contained the highest proportion of variants predicted to induce skipping (7/11, 0.64) compared to all other exons (44/124, 0.35) (Chi-squared, p=0.065). Although this is consistent with the results of our splicing assays, Ex-skip was not able to identify all exon 8-skipping variants suggesting other factors not determined by the Ex-skip algorithm are operating. Because DI and DII mutations seem to be pathogenic by different mechanisms and are differentially inactive and active in the cell-based HM assay, we used damage scores to look for differences between the two groups of mutations</w:t>
      </w:r>
      <w:r w:rsidRPr="002A608D">
        <w:rPr>
          <w:rFonts w:cs="Times New Roman"/>
          <w:sz w:val="24"/>
          <w:szCs w:val="24"/>
          <w:lang w:val="en-GB"/>
        </w:rPr>
        <w:t xml:space="preserve">. </w:t>
      </w:r>
      <w:r>
        <w:rPr>
          <w:rFonts w:cs="Times New Roman"/>
          <w:sz w:val="24"/>
          <w:szCs w:val="24"/>
          <w:lang w:val="en-GB"/>
        </w:rPr>
        <w:t xml:space="preserve">There was no clear pattern although SIFT and LRT Omega scores suggested exon 8 mutations were less damaging than DI mutations </w:t>
      </w:r>
      <w:r w:rsidRPr="0098344C">
        <w:rPr>
          <w:rFonts w:cs="Times New Roman"/>
          <w:sz w:val="24"/>
          <w:szCs w:val="24"/>
          <w:lang w:val="en-GB"/>
        </w:rPr>
        <w:t>(Supplementary Table 3).</w:t>
      </w:r>
      <w:r w:rsidR="00063545" w:rsidRPr="0098344C">
        <w:rPr>
          <w:rFonts w:cs="Times New Roman"/>
          <w:sz w:val="24"/>
          <w:szCs w:val="24"/>
          <w:lang w:val="en-GB"/>
        </w:rPr>
        <w:t xml:space="preserve"> The diagnoses of patients with DI and DII mutations were also examined (Supplementary Table 1) but no clear differences were found between the two groups.</w:t>
      </w:r>
    </w:p>
    <w:p w14:paraId="17BC607C" w14:textId="77777777" w:rsidR="00F00DC2" w:rsidRDefault="00F00DC2" w:rsidP="008E15B7">
      <w:pPr>
        <w:spacing w:line="480" w:lineRule="auto"/>
        <w:rPr>
          <w:b/>
          <w:sz w:val="28"/>
          <w:szCs w:val="24"/>
        </w:rPr>
      </w:pPr>
    </w:p>
    <w:p w14:paraId="17BC607D" w14:textId="77777777" w:rsidR="00F00DC2" w:rsidRPr="00916328" w:rsidRDefault="00F00DC2" w:rsidP="008E15B7">
      <w:pPr>
        <w:spacing w:line="480" w:lineRule="auto"/>
        <w:rPr>
          <w:rFonts w:eastAsiaTheme="minorEastAsia"/>
          <w:sz w:val="24"/>
          <w:szCs w:val="24"/>
          <w:lang w:eastAsia="zh-CN"/>
        </w:rPr>
      </w:pPr>
      <w:r w:rsidRPr="005B753A">
        <w:rPr>
          <w:b/>
          <w:sz w:val="28"/>
          <w:szCs w:val="24"/>
        </w:rPr>
        <w:t>Discussion</w:t>
      </w:r>
    </w:p>
    <w:p w14:paraId="17BC607E"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We have shown that </w:t>
      </w:r>
      <w:r w:rsidRPr="002B1405">
        <w:rPr>
          <w:rFonts w:cs="Times New Roman"/>
          <w:i/>
          <w:sz w:val="24"/>
          <w:szCs w:val="24"/>
          <w:lang w:val="en-GB"/>
        </w:rPr>
        <w:t>EZH2</w:t>
      </w:r>
      <w:r>
        <w:rPr>
          <w:rFonts w:cs="Times New Roman"/>
          <w:sz w:val="24"/>
          <w:szCs w:val="24"/>
          <w:lang w:val="en-GB"/>
        </w:rPr>
        <w:t xml:space="preserve"> missense mutations within regions DI and DII domain are pathogenic by loss of function and exon skipping, respectively. Although the precise mechanisms underlying these abnormalities remain to be elucidated, our findings expand </w:t>
      </w:r>
      <w:r>
        <w:rPr>
          <w:rFonts w:cs="Times New Roman"/>
          <w:sz w:val="24"/>
          <w:szCs w:val="24"/>
          <w:lang w:val="en-GB"/>
        </w:rPr>
        <w:lastRenderedPageBreak/>
        <w:t xml:space="preserve">our knowledge of pathogenic mutations outside the SET/CXC domain and provide functional tests by which new variants may be assessed. </w:t>
      </w:r>
    </w:p>
    <w:p w14:paraId="17BC607F" w14:textId="77777777" w:rsidR="00F00DC2" w:rsidRDefault="00F00DC2" w:rsidP="008E15B7">
      <w:pPr>
        <w:pStyle w:val="NoSpacing"/>
        <w:spacing w:after="120" w:line="480" w:lineRule="auto"/>
        <w:jc w:val="both"/>
        <w:rPr>
          <w:rFonts w:cs="Times New Roman"/>
          <w:sz w:val="24"/>
          <w:szCs w:val="24"/>
          <w:lang w:val="en-GB"/>
        </w:rPr>
      </w:pPr>
    </w:p>
    <w:p w14:paraId="17BC6080"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Regions DI and DII were originally defined by high homology with Drosophila Enhancer of </w:t>
      </w:r>
      <w:proofErr w:type="spellStart"/>
      <w:r>
        <w:rPr>
          <w:rFonts w:cs="Times New Roman"/>
          <w:sz w:val="24"/>
          <w:szCs w:val="24"/>
          <w:lang w:val="en-GB"/>
        </w:rPr>
        <w:t>Zeste</w:t>
      </w:r>
      <w:proofErr w:type="spellEnd"/>
      <w:r>
        <w:rPr>
          <w:rFonts w:cs="Times New Roman"/>
          <w:sz w:val="24"/>
          <w:szCs w:val="24"/>
          <w:lang w:val="en-GB"/>
        </w:rPr>
        <w:t xml:space="preserve"> [E(z)]</w:t>
      </w:r>
      <w:r w:rsidRPr="00D50AE6">
        <w:rPr>
          <w:rFonts w:cs="Times New Roman"/>
          <w:noProof/>
          <w:sz w:val="24"/>
          <w:szCs w:val="24"/>
          <w:vertAlign w:val="superscript"/>
          <w:lang w:val="en-GB"/>
        </w:rPr>
        <w:t>12</w:t>
      </w:r>
      <w:r>
        <w:rPr>
          <w:rFonts w:cs="Times New Roman"/>
          <w:sz w:val="24"/>
          <w:szCs w:val="24"/>
          <w:lang w:val="en-GB"/>
        </w:rPr>
        <w:t xml:space="preserve"> and recent detailed crystallographic studies have further refined their structure and function</w:t>
      </w:r>
      <w:r w:rsidRPr="00D50AE6">
        <w:rPr>
          <w:rFonts w:cs="Times New Roman"/>
          <w:noProof/>
          <w:sz w:val="24"/>
          <w:szCs w:val="24"/>
          <w:vertAlign w:val="superscript"/>
          <w:lang w:val="en-GB"/>
        </w:rPr>
        <w:t>5, 13</w:t>
      </w:r>
      <w:r>
        <w:rPr>
          <w:rFonts w:cs="Times New Roman"/>
          <w:sz w:val="24"/>
          <w:szCs w:val="24"/>
          <w:lang w:val="en-GB"/>
        </w:rPr>
        <w:t>. PRC2 promotes spreading of H3K27 methylation to adjacent chromatin by positive feedback from binding of the PRC2 component EED to H3K27me3</w:t>
      </w:r>
      <w:r w:rsidRPr="00D50AE6">
        <w:rPr>
          <w:rFonts w:cs="Times New Roman"/>
          <w:noProof/>
          <w:sz w:val="24"/>
          <w:szCs w:val="24"/>
          <w:vertAlign w:val="superscript"/>
          <w:lang w:val="en-GB"/>
        </w:rPr>
        <w:t>13, 14</w:t>
      </w:r>
      <w:r>
        <w:rPr>
          <w:rFonts w:cs="Times New Roman"/>
          <w:sz w:val="24"/>
          <w:szCs w:val="24"/>
          <w:lang w:val="en-GB"/>
        </w:rPr>
        <w:t>. Several domains within the N-terminal part of EZH2 encircle EED and contact the catalytic SET domain. Upon binding H3K27me3, a stimulation-responsive motif (SRM) within the N-terminal region of EZH2 undergoes a conformational change thereby stimulating SET domain activity. Functional work on several SRM mutants</w:t>
      </w:r>
      <w:r w:rsidRPr="00D50AE6">
        <w:rPr>
          <w:rFonts w:cs="Times New Roman"/>
          <w:noProof/>
          <w:sz w:val="24"/>
          <w:szCs w:val="24"/>
          <w:vertAlign w:val="superscript"/>
          <w:lang w:val="en-GB"/>
        </w:rPr>
        <w:t>5</w:t>
      </w:r>
      <w:r>
        <w:rPr>
          <w:rFonts w:cs="Times New Roman"/>
          <w:sz w:val="24"/>
          <w:szCs w:val="24"/>
          <w:lang w:val="en-GB"/>
        </w:rPr>
        <w:t xml:space="preserve">, including mutations at F145 and P132 also in our series, has shown they result in a loss of allosteric activation of methylation. The SRM extends from amino acids 128 to 159 and therefore occupies most of region DI and disruption of the SRM therefore likely accounts for most of the mutations seen in the region DI mutation hotspot. In our series of mutations, L128F, P132S, M134K, F145C and K156E lie within the SRM and the loss of function we have seen with these is consistent with what is now known about SRM function. </w:t>
      </w:r>
    </w:p>
    <w:p w14:paraId="17BC6081" w14:textId="77777777" w:rsidR="00F00DC2" w:rsidRDefault="00F00DC2" w:rsidP="008E15B7">
      <w:pPr>
        <w:pStyle w:val="NoSpacing"/>
        <w:spacing w:after="120" w:line="480" w:lineRule="auto"/>
        <w:jc w:val="both"/>
        <w:rPr>
          <w:rFonts w:cs="Times New Roman"/>
          <w:sz w:val="24"/>
          <w:szCs w:val="24"/>
          <w:lang w:val="en-GB"/>
        </w:rPr>
      </w:pPr>
    </w:p>
    <w:p w14:paraId="17BC6082"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Two variants, D192N and A345T, lie outside of both the SRM and exon 8 and remained active in our cell-based HM assay. The COSMIC database describes mutations at D192N in three cases with endometrial cancer (reported as somatic)</w:t>
      </w:r>
      <w:r w:rsidRPr="00D50AE6">
        <w:rPr>
          <w:rFonts w:cs="Times New Roman"/>
          <w:noProof/>
          <w:sz w:val="24"/>
          <w:szCs w:val="24"/>
          <w:vertAlign w:val="superscript"/>
          <w:lang w:val="en-GB"/>
        </w:rPr>
        <w:t>15</w:t>
      </w:r>
      <w:r>
        <w:rPr>
          <w:rFonts w:cs="Times New Roman"/>
          <w:sz w:val="24"/>
          <w:szCs w:val="24"/>
          <w:lang w:val="en-GB"/>
        </w:rPr>
        <w:t>, myelodysplastic syndrome</w:t>
      </w:r>
      <w:r w:rsidRPr="00D50AE6">
        <w:rPr>
          <w:rFonts w:cs="Times New Roman"/>
          <w:noProof/>
          <w:sz w:val="24"/>
          <w:szCs w:val="24"/>
          <w:vertAlign w:val="superscript"/>
          <w:lang w:val="en-GB"/>
        </w:rPr>
        <w:t>16</w:t>
      </w:r>
      <w:r>
        <w:rPr>
          <w:rFonts w:cs="Times New Roman"/>
          <w:sz w:val="24"/>
          <w:szCs w:val="24"/>
          <w:lang w:val="en-GB"/>
        </w:rPr>
        <w:t xml:space="preserve"> and chronic myelomonocytic </w:t>
      </w:r>
      <w:proofErr w:type="spellStart"/>
      <w:r>
        <w:rPr>
          <w:rFonts w:cs="Times New Roman"/>
          <w:sz w:val="24"/>
          <w:szCs w:val="24"/>
          <w:lang w:val="en-GB"/>
        </w:rPr>
        <w:t>leukemia</w:t>
      </w:r>
      <w:proofErr w:type="spellEnd"/>
      <w:r>
        <w:rPr>
          <w:rFonts w:cs="Times New Roman"/>
          <w:sz w:val="24"/>
          <w:szCs w:val="24"/>
          <w:lang w:val="en-GB"/>
        </w:rPr>
        <w:t xml:space="preserve"> (somatic status not know, no associated chromosome 7 acquired uniparental disomy)</w:t>
      </w:r>
      <w:r w:rsidRPr="00D50AE6">
        <w:rPr>
          <w:rFonts w:cs="Times New Roman"/>
          <w:noProof/>
          <w:sz w:val="24"/>
          <w:szCs w:val="24"/>
          <w:vertAlign w:val="superscript"/>
          <w:lang w:val="en-GB"/>
        </w:rPr>
        <w:t>1</w:t>
      </w:r>
      <w:r>
        <w:rPr>
          <w:rFonts w:cs="Times New Roman"/>
          <w:sz w:val="24"/>
          <w:szCs w:val="24"/>
          <w:lang w:val="en-GB"/>
        </w:rPr>
        <w:t xml:space="preserve">; and one case of D192Y in squamous cell </w:t>
      </w:r>
      <w:r>
        <w:rPr>
          <w:rFonts w:cs="Times New Roman"/>
          <w:sz w:val="24"/>
          <w:szCs w:val="24"/>
          <w:lang w:val="en-GB"/>
        </w:rPr>
        <w:lastRenderedPageBreak/>
        <w:t>carcinoma (reported as somatic)</w:t>
      </w:r>
      <w:r w:rsidRPr="00D50AE6">
        <w:rPr>
          <w:rFonts w:cs="Times New Roman"/>
          <w:noProof/>
          <w:sz w:val="24"/>
          <w:szCs w:val="24"/>
          <w:vertAlign w:val="superscript"/>
          <w:lang w:val="en-GB"/>
        </w:rPr>
        <w:t>17</w:t>
      </w:r>
      <w:r>
        <w:rPr>
          <w:rFonts w:cs="Times New Roman"/>
          <w:sz w:val="24"/>
          <w:szCs w:val="24"/>
          <w:lang w:val="en-GB"/>
        </w:rPr>
        <w:t xml:space="preserve">. COSMIC describes two cases with A345T; one case of </w:t>
      </w:r>
      <w:proofErr w:type="spellStart"/>
      <w:r>
        <w:rPr>
          <w:rFonts w:cs="Times New Roman"/>
          <w:sz w:val="24"/>
          <w:szCs w:val="24"/>
          <w:lang w:val="en-GB"/>
        </w:rPr>
        <w:t>polycythemia</w:t>
      </w:r>
      <w:proofErr w:type="spellEnd"/>
      <w:r>
        <w:rPr>
          <w:rFonts w:cs="Times New Roman"/>
          <w:sz w:val="24"/>
          <w:szCs w:val="24"/>
          <w:lang w:val="en-GB"/>
        </w:rPr>
        <w:t xml:space="preserve"> </w:t>
      </w:r>
      <w:proofErr w:type="spellStart"/>
      <w:r>
        <w:rPr>
          <w:rFonts w:cs="Times New Roman"/>
          <w:sz w:val="24"/>
          <w:szCs w:val="24"/>
          <w:lang w:val="en-GB"/>
        </w:rPr>
        <w:t>vera</w:t>
      </w:r>
      <w:proofErr w:type="spellEnd"/>
      <w:r>
        <w:rPr>
          <w:rFonts w:cs="Times New Roman"/>
          <w:sz w:val="24"/>
          <w:szCs w:val="24"/>
          <w:lang w:val="en-GB"/>
        </w:rPr>
        <w:t xml:space="preserve"> for which somatic and acquired uniparental disomy status were not known</w:t>
      </w:r>
      <w:r w:rsidRPr="00D50AE6">
        <w:rPr>
          <w:rFonts w:cs="Times New Roman"/>
          <w:noProof/>
          <w:sz w:val="24"/>
          <w:szCs w:val="24"/>
          <w:vertAlign w:val="superscript"/>
          <w:lang w:val="en-GB"/>
        </w:rPr>
        <w:t>1</w:t>
      </w:r>
      <w:r>
        <w:rPr>
          <w:rFonts w:cs="Times New Roman"/>
          <w:sz w:val="24"/>
          <w:szCs w:val="24"/>
          <w:lang w:val="en-GB"/>
        </w:rPr>
        <w:t xml:space="preserve"> and a case of lung squamous cell carcinoma (The Cancer Genome Atlas, </w:t>
      </w:r>
      <w:hyperlink r:id="rId12" w:history="1">
        <w:r w:rsidRPr="004B379C">
          <w:rPr>
            <w:rStyle w:val="Hyperlink"/>
            <w:rFonts w:cs="Times New Roman"/>
            <w:sz w:val="24"/>
            <w:szCs w:val="24"/>
            <w:lang w:val="en-GB"/>
          </w:rPr>
          <w:t>https://www.cancer.gov/tcga</w:t>
        </w:r>
      </w:hyperlink>
      <w:r>
        <w:rPr>
          <w:rFonts w:cs="Times New Roman"/>
          <w:sz w:val="24"/>
          <w:szCs w:val="24"/>
          <w:lang w:val="en-GB"/>
        </w:rPr>
        <w:t xml:space="preserve">, sample name </w:t>
      </w:r>
      <w:r w:rsidRPr="004925F0">
        <w:rPr>
          <w:rFonts w:cs="Times New Roman"/>
          <w:sz w:val="24"/>
          <w:szCs w:val="24"/>
          <w:lang w:val="en-GB"/>
        </w:rPr>
        <w:t>TCGA-33-6737-01</w:t>
      </w:r>
      <w:r>
        <w:rPr>
          <w:rFonts w:cs="Times New Roman"/>
          <w:sz w:val="24"/>
          <w:szCs w:val="24"/>
          <w:lang w:val="en-GB"/>
        </w:rPr>
        <w:t xml:space="preserve">) which is reported as somatic. Despite some of these cases being reported as acquired, </w:t>
      </w:r>
      <w:r w:rsidRPr="00DE3146">
        <w:rPr>
          <w:rFonts w:cs="Times New Roman"/>
          <w:i/>
          <w:sz w:val="24"/>
          <w:szCs w:val="24"/>
          <w:lang w:val="en-GB"/>
        </w:rPr>
        <w:t>in silico</w:t>
      </w:r>
      <w:r>
        <w:rPr>
          <w:rFonts w:cs="Times New Roman"/>
          <w:sz w:val="24"/>
          <w:szCs w:val="24"/>
          <w:lang w:val="en-GB"/>
        </w:rPr>
        <w:t xml:space="preserve"> derived damage scores (Supplementary Table 3) largely indicate that they are benign or neutral and, together with our cell-based HM results, it is most probable that these are passenger or benign constitutional variants rather than driver mutations.</w:t>
      </w:r>
    </w:p>
    <w:p w14:paraId="17BC6083" w14:textId="77777777" w:rsidR="00F00DC2" w:rsidRDefault="00F00DC2" w:rsidP="008E15B7">
      <w:pPr>
        <w:pStyle w:val="NoSpacing"/>
        <w:spacing w:after="120" w:line="480" w:lineRule="auto"/>
        <w:jc w:val="both"/>
        <w:rPr>
          <w:rFonts w:cs="Times New Roman"/>
          <w:sz w:val="24"/>
          <w:szCs w:val="24"/>
          <w:lang w:val="en-GB"/>
        </w:rPr>
      </w:pPr>
    </w:p>
    <w:p w14:paraId="17BC6084" w14:textId="77777777" w:rsidR="00F00DC2"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Unexpectedly we found that mutations within region DII, which largely overlaps with exon 8, did not show loss of methylation activity in the cell-based HM assay but instead showed exon 8 skipping. Exceptions were Y244D and L252V which, in addition to inducing exon 8 skipping, also showed almost complete or partial loss of methylation activity, respectively.</w:t>
      </w:r>
      <w:r w:rsidR="00177D47">
        <w:rPr>
          <w:rFonts w:cs="Times New Roman"/>
          <w:sz w:val="24"/>
          <w:szCs w:val="24"/>
          <w:lang w:val="en-GB"/>
        </w:rPr>
        <w:t xml:space="preserve"> </w:t>
      </w:r>
      <w:r w:rsidR="00177D47" w:rsidRPr="0098344C">
        <w:rPr>
          <w:rFonts w:cs="Times New Roman"/>
          <w:sz w:val="24"/>
          <w:szCs w:val="24"/>
          <w:lang w:val="en-GB"/>
        </w:rPr>
        <w:t xml:space="preserve">Y244D has the highest damage scores </w:t>
      </w:r>
      <w:r w:rsidR="00387193" w:rsidRPr="0098344C">
        <w:rPr>
          <w:rFonts w:cs="Times New Roman"/>
          <w:sz w:val="24"/>
          <w:szCs w:val="24"/>
          <w:lang w:val="en-GB"/>
        </w:rPr>
        <w:t>by</w:t>
      </w:r>
      <w:r w:rsidR="00177D47" w:rsidRPr="0098344C">
        <w:rPr>
          <w:rFonts w:cs="Times New Roman"/>
          <w:sz w:val="24"/>
          <w:szCs w:val="24"/>
          <w:lang w:val="en-GB"/>
        </w:rPr>
        <w:t xml:space="preserve"> several of the deleterious prediction tools (</w:t>
      </w:r>
      <w:proofErr w:type="spellStart"/>
      <w:r w:rsidR="00177D47" w:rsidRPr="0098344C">
        <w:rPr>
          <w:rFonts w:cs="Times New Roman"/>
          <w:sz w:val="24"/>
          <w:szCs w:val="24"/>
          <w:lang w:val="en-GB"/>
        </w:rPr>
        <w:t>Phylop</w:t>
      </w:r>
      <w:proofErr w:type="spellEnd"/>
      <w:r w:rsidR="00177D47" w:rsidRPr="0098344C">
        <w:rPr>
          <w:rFonts w:cs="Times New Roman"/>
          <w:sz w:val="24"/>
          <w:szCs w:val="24"/>
          <w:lang w:val="en-GB"/>
        </w:rPr>
        <w:t xml:space="preserve">, Fathom, </w:t>
      </w:r>
      <w:proofErr w:type="spellStart"/>
      <w:r w:rsidR="00177D47" w:rsidRPr="0098344C">
        <w:rPr>
          <w:rFonts w:cs="Times New Roman"/>
          <w:sz w:val="24"/>
          <w:szCs w:val="24"/>
          <w:lang w:val="en-GB"/>
        </w:rPr>
        <w:t>Provea</w:t>
      </w:r>
      <w:proofErr w:type="spellEnd"/>
      <w:r w:rsidR="00177D47" w:rsidRPr="0098344C">
        <w:rPr>
          <w:rFonts w:cs="Times New Roman"/>
          <w:sz w:val="24"/>
          <w:szCs w:val="24"/>
          <w:lang w:val="en-GB"/>
        </w:rPr>
        <w:t xml:space="preserve">, </w:t>
      </w:r>
      <w:proofErr w:type="spellStart"/>
      <w:r w:rsidR="00177D47" w:rsidRPr="0098344C">
        <w:rPr>
          <w:rFonts w:cs="Times New Roman"/>
          <w:sz w:val="24"/>
          <w:szCs w:val="24"/>
          <w:lang w:val="en-GB"/>
        </w:rPr>
        <w:t>Polyphen</w:t>
      </w:r>
      <w:proofErr w:type="spellEnd"/>
      <w:r w:rsidR="00177D47" w:rsidRPr="0098344C">
        <w:rPr>
          <w:rFonts w:cs="Times New Roman"/>
          <w:sz w:val="24"/>
          <w:szCs w:val="24"/>
          <w:lang w:val="en-GB"/>
        </w:rPr>
        <w:t>; Supplementary table 3), consistent with the almost complete loss of methylation activity, indicating that other functional mechanisms, in addition to splicing deregulation, may operate in a subset of cases</w:t>
      </w:r>
      <w:r w:rsidR="00B5135A" w:rsidRPr="0098344C">
        <w:rPr>
          <w:rFonts w:cs="Times New Roman"/>
          <w:sz w:val="24"/>
          <w:szCs w:val="24"/>
          <w:lang w:val="en-GB"/>
        </w:rPr>
        <w:t xml:space="preserve"> with exon 8 mutations</w:t>
      </w:r>
      <w:r w:rsidR="00177D47" w:rsidRPr="0098344C">
        <w:rPr>
          <w:rFonts w:cs="Times New Roman"/>
          <w:sz w:val="24"/>
          <w:szCs w:val="24"/>
          <w:lang w:val="en-GB"/>
        </w:rPr>
        <w:t>.</w:t>
      </w:r>
    </w:p>
    <w:p w14:paraId="17BC6085" w14:textId="77777777" w:rsidR="00F00DC2" w:rsidRDefault="00F00DC2" w:rsidP="008E15B7">
      <w:pPr>
        <w:pStyle w:val="NoSpacing"/>
        <w:spacing w:after="120" w:line="480" w:lineRule="auto"/>
        <w:jc w:val="both"/>
        <w:rPr>
          <w:rFonts w:cs="Times New Roman"/>
          <w:sz w:val="24"/>
          <w:szCs w:val="24"/>
          <w:lang w:val="en-GB"/>
        </w:rPr>
      </w:pPr>
    </w:p>
    <w:p w14:paraId="17BC6086" w14:textId="77777777" w:rsidR="00F00DC2" w:rsidRPr="00DE3146"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Splicing prediction programs were not able to definitively predict the splicing changes we saw, although Ex-skip overall predicted that COSMIC exon 8 variants were more likely to induce skipping than non-exon 8 variants. The finding of a low level of exon 8 skipping in myeloid neoplasias without </w:t>
      </w:r>
      <w:r w:rsidRPr="00922419">
        <w:rPr>
          <w:rFonts w:cs="Times New Roman"/>
          <w:i/>
          <w:sz w:val="24"/>
          <w:szCs w:val="24"/>
          <w:lang w:val="en-GB"/>
        </w:rPr>
        <w:t>EZH2</w:t>
      </w:r>
      <w:r>
        <w:rPr>
          <w:rFonts w:cs="Times New Roman"/>
          <w:sz w:val="24"/>
          <w:szCs w:val="24"/>
          <w:lang w:val="en-GB"/>
        </w:rPr>
        <w:t xml:space="preserve"> mutations but not healthy controls suggests the possibility of a degree of splicing deregulation in these cases. A high level of </w:t>
      </w:r>
      <w:r w:rsidRPr="00DE3146">
        <w:rPr>
          <w:rFonts w:cs="Times New Roman"/>
          <w:i/>
          <w:sz w:val="24"/>
          <w:szCs w:val="24"/>
          <w:lang w:val="en-GB"/>
        </w:rPr>
        <w:t>EZH2</w:t>
      </w:r>
      <w:r>
        <w:rPr>
          <w:rFonts w:cs="Times New Roman"/>
          <w:sz w:val="24"/>
          <w:szCs w:val="24"/>
          <w:lang w:val="en-GB"/>
        </w:rPr>
        <w:t xml:space="preserve"> splicing deregulation </w:t>
      </w:r>
      <w:r>
        <w:rPr>
          <w:rFonts w:cs="Times New Roman"/>
          <w:sz w:val="24"/>
          <w:szCs w:val="24"/>
          <w:lang w:val="en-GB"/>
        </w:rPr>
        <w:lastRenderedPageBreak/>
        <w:t>involving multiple exons has also been described in myelodysplastic syndrome</w:t>
      </w:r>
      <w:r w:rsidRPr="00D50AE6">
        <w:rPr>
          <w:rFonts w:cs="Times New Roman"/>
          <w:noProof/>
          <w:sz w:val="24"/>
          <w:szCs w:val="24"/>
          <w:vertAlign w:val="superscript"/>
          <w:lang w:val="en-GB"/>
        </w:rPr>
        <w:t>18</w:t>
      </w:r>
      <w:r>
        <w:rPr>
          <w:rFonts w:cs="Times New Roman"/>
          <w:sz w:val="24"/>
          <w:szCs w:val="24"/>
          <w:lang w:val="en-GB"/>
        </w:rPr>
        <w:t xml:space="preserve">. Although our samples numbers were too small to </w:t>
      </w:r>
      <w:r w:rsidRPr="00DE3146">
        <w:rPr>
          <w:rFonts w:cs="Times New Roman"/>
          <w:sz w:val="24"/>
          <w:szCs w:val="24"/>
          <w:lang w:val="en-GB"/>
        </w:rPr>
        <w:t>be conclusive this did not appear to be related to the presence of splicing factor mutations</w:t>
      </w:r>
      <w:r>
        <w:rPr>
          <w:rFonts w:cs="Times New Roman"/>
          <w:sz w:val="24"/>
          <w:szCs w:val="24"/>
          <w:lang w:val="en-GB"/>
        </w:rPr>
        <w:t>, which are known to be common in MDS and MDS/MPN</w:t>
      </w:r>
      <w:r w:rsidRPr="00DE3146">
        <w:rPr>
          <w:rFonts w:cs="Times New Roman"/>
          <w:sz w:val="24"/>
          <w:szCs w:val="24"/>
          <w:lang w:val="en-GB"/>
        </w:rPr>
        <w:t xml:space="preserve">. </w:t>
      </w:r>
    </w:p>
    <w:p w14:paraId="17BC6087" w14:textId="77777777" w:rsidR="00F00DC2" w:rsidRDefault="00F00DC2" w:rsidP="008E15B7">
      <w:pPr>
        <w:pStyle w:val="NoSpacing"/>
        <w:spacing w:after="120" w:line="480" w:lineRule="auto"/>
        <w:jc w:val="both"/>
        <w:rPr>
          <w:rFonts w:cs="Times New Roman"/>
          <w:sz w:val="24"/>
          <w:szCs w:val="24"/>
          <w:lang w:val="en-GB"/>
        </w:rPr>
      </w:pPr>
    </w:p>
    <w:p w14:paraId="17BC6088" w14:textId="77777777" w:rsidR="00F00DC2" w:rsidRPr="00DE3146" w:rsidRDefault="00F00DC2" w:rsidP="008E15B7">
      <w:pPr>
        <w:pStyle w:val="NoSpacing"/>
        <w:spacing w:after="120" w:line="480" w:lineRule="auto"/>
        <w:jc w:val="both"/>
        <w:rPr>
          <w:rFonts w:cs="Times New Roman"/>
          <w:sz w:val="24"/>
          <w:szCs w:val="24"/>
          <w:lang w:val="en-GB"/>
        </w:rPr>
      </w:pPr>
      <w:r>
        <w:rPr>
          <w:rFonts w:cs="Times New Roman"/>
          <w:sz w:val="24"/>
          <w:szCs w:val="24"/>
          <w:lang w:val="en-GB"/>
        </w:rPr>
        <w:t xml:space="preserve">Variant interpretation remains particularly challenging for tumour suppressor genes in which loss of function might occur via multiple mechanisms. As we and others have shown, structural studies and functional analysis remain the most reliable means of determining a variant’s pathogenicity but are </w:t>
      </w:r>
      <w:proofErr w:type="spellStart"/>
      <w:r>
        <w:rPr>
          <w:rFonts w:cs="Times New Roman"/>
          <w:sz w:val="24"/>
          <w:szCs w:val="24"/>
          <w:lang w:val="en-GB"/>
        </w:rPr>
        <w:t>labor</w:t>
      </w:r>
      <w:proofErr w:type="spellEnd"/>
      <w:r>
        <w:rPr>
          <w:rFonts w:cs="Times New Roman"/>
          <w:sz w:val="24"/>
          <w:szCs w:val="24"/>
          <w:lang w:val="en-GB"/>
        </w:rPr>
        <w:t xml:space="preserve"> intensive. One hope is that saturation genome editing with a high-throughput functional readout as has been described for </w:t>
      </w:r>
      <w:r w:rsidRPr="008C0D71">
        <w:rPr>
          <w:rFonts w:cs="Times New Roman"/>
          <w:i/>
          <w:iCs/>
          <w:sz w:val="24"/>
          <w:szCs w:val="24"/>
          <w:lang w:val="en-GB"/>
        </w:rPr>
        <w:t>BRCA1</w:t>
      </w:r>
      <w:r w:rsidRPr="00D50AE6">
        <w:rPr>
          <w:rFonts w:cs="Times New Roman"/>
          <w:noProof/>
          <w:sz w:val="24"/>
          <w:szCs w:val="24"/>
          <w:vertAlign w:val="superscript"/>
          <w:lang w:val="en-GB"/>
        </w:rPr>
        <w:t>19</w:t>
      </w:r>
      <w:r>
        <w:rPr>
          <w:rFonts w:cs="Times New Roman"/>
          <w:sz w:val="24"/>
          <w:szCs w:val="24"/>
          <w:lang w:val="en-GB"/>
        </w:rPr>
        <w:t xml:space="preserve">, and development of more reliable </w:t>
      </w:r>
      <w:r w:rsidRPr="008C0D71">
        <w:rPr>
          <w:rFonts w:cs="Times New Roman"/>
          <w:i/>
          <w:iCs/>
          <w:sz w:val="24"/>
          <w:szCs w:val="24"/>
          <w:lang w:val="en-GB"/>
        </w:rPr>
        <w:t>in silico</w:t>
      </w:r>
      <w:r>
        <w:rPr>
          <w:rFonts w:cs="Times New Roman"/>
          <w:sz w:val="24"/>
          <w:szCs w:val="24"/>
          <w:lang w:val="en-GB"/>
        </w:rPr>
        <w:t xml:space="preserve"> methodologies will improve our current piecemeal approach to variant interpretation.</w:t>
      </w:r>
    </w:p>
    <w:p w14:paraId="17BC6089" w14:textId="77777777" w:rsidR="00F00DC2" w:rsidRDefault="00F00DC2" w:rsidP="008E15B7">
      <w:pPr>
        <w:pStyle w:val="NoSpacing"/>
        <w:spacing w:after="120" w:line="480" w:lineRule="auto"/>
        <w:jc w:val="both"/>
        <w:rPr>
          <w:rFonts w:cs="Times New Roman"/>
          <w:b/>
          <w:sz w:val="28"/>
          <w:szCs w:val="24"/>
          <w:lang w:val="en-GB"/>
        </w:rPr>
      </w:pPr>
    </w:p>
    <w:p w14:paraId="17BC608A" w14:textId="77777777" w:rsidR="00F00DC2" w:rsidRPr="00BF696B" w:rsidRDefault="00F00DC2" w:rsidP="008E15B7">
      <w:pPr>
        <w:pStyle w:val="NoSpacing"/>
        <w:spacing w:after="120" w:line="480" w:lineRule="auto"/>
        <w:jc w:val="both"/>
        <w:rPr>
          <w:rFonts w:cs="Times New Roman"/>
          <w:sz w:val="28"/>
          <w:szCs w:val="24"/>
          <w:lang w:val="en-GB"/>
        </w:rPr>
      </w:pPr>
      <w:r w:rsidRPr="00BF696B">
        <w:rPr>
          <w:rFonts w:cs="Times New Roman"/>
          <w:b/>
          <w:sz w:val="28"/>
          <w:szCs w:val="24"/>
          <w:lang w:val="en-GB"/>
        </w:rPr>
        <w:t>Acknowledgements</w:t>
      </w:r>
    </w:p>
    <w:p w14:paraId="17BC608B" w14:textId="77777777" w:rsidR="00F00DC2" w:rsidRDefault="00F00DC2" w:rsidP="008E15B7">
      <w:pPr>
        <w:pStyle w:val="NoSpacing"/>
        <w:spacing w:after="120" w:line="480" w:lineRule="auto"/>
        <w:jc w:val="both"/>
        <w:rPr>
          <w:sz w:val="24"/>
          <w:szCs w:val="24"/>
        </w:rPr>
      </w:pPr>
      <w:r>
        <w:rPr>
          <w:rFonts w:cs="Times New Roman"/>
          <w:sz w:val="24"/>
          <w:szCs w:val="24"/>
          <w:lang w:val="en-GB"/>
        </w:rPr>
        <w:t xml:space="preserve">We are grateful to Professor Manuel Serrano for providing us with the murine </w:t>
      </w:r>
      <w:r w:rsidRPr="002B1405">
        <w:rPr>
          <w:rFonts w:cs="Times New Roman"/>
          <w:i/>
          <w:sz w:val="24"/>
          <w:szCs w:val="24"/>
          <w:lang w:val="en-GB"/>
        </w:rPr>
        <w:t>Ezh2</w:t>
      </w:r>
      <w:r>
        <w:rPr>
          <w:rFonts w:cs="Times New Roman"/>
          <w:sz w:val="24"/>
          <w:szCs w:val="24"/>
          <w:lang w:val="en-GB"/>
        </w:rPr>
        <w:t xml:space="preserve"> knockout iPS cell line </w:t>
      </w:r>
      <w:r w:rsidRPr="002B1405">
        <w:rPr>
          <w:i/>
          <w:sz w:val="24"/>
          <w:szCs w:val="24"/>
        </w:rPr>
        <w:t>Ezh2</w:t>
      </w:r>
      <w:r>
        <w:rPr>
          <w:sz w:val="24"/>
          <w:szCs w:val="24"/>
        </w:rPr>
        <w:t xml:space="preserve"> Δ/Δ</w:t>
      </w:r>
      <w:r w:rsidRPr="00C522D4">
        <w:rPr>
          <w:sz w:val="24"/>
          <w:szCs w:val="24"/>
        </w:rPr>
        <w:t xml:space="preserve"> </w:t>
      </w:r>
      <w:r>
        <w:rPr>
          <w:sz w:val="24"/>
          <w:szCs w:val="24"/>
        </w:rPr>
        <w:t xml:space="preserve">clone 10. </w:t>
      </w:r>
      <w:r w:rsidRPr="00CF27A6">
        <w:rPr>
          <w:sz w:val="24"/>
          <w:szCs w:val="24"/>
        </w:rPr>
        <w:t xml:space="preserve">This study was funded by </w:t>
      </w:r>
      <w:proofErr w:type="spellStart"/>
      <w:r w:rsidRPr="00CF27A6">
        <w:rPr>
          <w:sz w:val="24"/>
          <w:szCs w:val="24"/>
        </w:rPr>
        <w:t>Bloodwise</w:t>
      </w:r>
      <w:proofErr w:type="spellEnd"/>
      <w:r w:rsidRPr="00CF27A6">
        <w:rPr>
          <w:sz w:val="24"/>
          <w:szCs w:val="24"/>
        </w:rPr>
        <w:t xml:space="preserve"> Specialist </w:t>
      </w:r>
      <w:proofErr w:type="spellStart"/>
      <w:r w:rsidRPr="00CF27A6">
        <w:rPr>
          <w:sz w:val="24"/>
          <w:szCs w:val="24"/>
        </w:rPr>
        <w:t>Progra</w:t>
      </w:r>
      <w:r>
        <w:rPr>
          <w:sz w:val="24"/>
          <w:szCs w:val="24"/>
        </w:rPr>
        <w:t>mme</w:t>
      </w:r>
      <w:proofErr w:type="spellEnd"/>
      <w:r>
        <w:rPr>
          <w:sz w:val="24"/>
          <w:szCs w:val="24"/>
        </w:rPr>
        <w:t xml:space="preserve"> Grant nos. 13002 and 18007 to NCPC </w:t>
      </w:r>
      <w:r w:rsidRPr="00CF27A6">
        <w:rPr>
          <w:sz w:val="24"/>
          <w:szCs w:val="24"/>
        </w:rPr>
        <w:t>and AC.</w:t>
      </w:r>
    </w:p>
    <w:p w14:paraId="17BC608C" w14:textId="77777777" w:rsidR="00F00DC2" w:rsidRDefault="00F00DC2" w:rsidP="008E15B7">
      <w:pPr>
        <w:pStyle w:val="NoSpacing"/>
        <w:spacing w:after="120" w:line="480" w:lineRule="auto"/>
        <w:jc w:val="both"/>
        <w:rPr>
          <w:sz w:val="24"/>
          <w:szCs w:val="24"/>
        </w:rPr>
      </w:pPr>
    </w:p>
    <w:p w14:paraId="17BC608D" w14:textId="77777777" w:rsidR="00F00DC2" w:rsidRPr="00BF696B" w:rsidRDefault="00F00DC2" w:rsidP="008E15B7">
      <w:pPr>
        <w:pStyle w:val="NoSpacing"/>
        <w:spacing w:after="120" w:line="480" w:lineRule="auto"/>
        <w:jc w:val="both"/>
        <w:rPr>
          <w:b/>
          <w:sz w:val="28"/>
          <w:szCs w:val="24"/>
        </w:rPr>
      </w:pPr>
      <w:r w:rsidRPr="00BF696B">
        <w:rPr>
          <w:b/>
          <w:sz w:val="28"/>
          <w:szCs w:val="24"/>
        </w:rPr>
        <w:t>Conflicts of interest</w:t>
      </w:r>
    </w:p>
    <w:p w14:paraId="17BC608E" w14:textId="77777777" w:rsidR="00F00DC2" w:rsidRDefault="00F00DC2" w:rsidP="008E15B7">
      <w:pPr>
        <w:pStyle w:val="NoSpacing"/>
        <w:spacing w:after="120" w:line="480" w:lineRule="auto"/>
        <w:jc w:val="both"/>
        <w:rPr>
          <w:sz w:val="24"/>
          <w:szCs w:val="24"/>
        </w:rPr>
      </w:pPr>
      <w:r w:rsidRPr="00CF27A6">
        <w:rPr>
          <w:sz w:val="24"/>
          <w:szCs w:val="24"/>
        </w:rPr>
        <w:t>None of the authors have any relevant conflicts of interest or disclosures</w:t>
      </w:r>
    </w:p>
    <w:p w14:paraId="17BC608F" w14:textId="77777777" w:rsidR="00F00DC2" w:rsidRDefault="00F00DC2" w:rsidP="00CF27A6">
      <w:pPr>
        <w:pStyle w:val="NoSpacing"/>
        <w:spacing w:after="120" w:line="360" w:lineRule="auto"/>
        <w:jc w:val="both"/>
        <w:rPr>
          <w:b/>
          <w:sz w:val="28"/>
          <w:szCs w:val="24"/>
        </w:rPr>
        <w:sectPr w:rsidR="00F00DC2" w:rsidSect="00C47896">
          <w:footerReference w:type="default" r:id="rId13"/>
          <w:pgSz w:w="11906" w:h="16838"/>
          <w:pgMar w:top="1440" w:right="1440" w:bottom="1440" w:left="1440" w:header="708" w:footer="708" w:gutter="0"/>
          <w:lnNumType w:countBy="1" w:restart="continuous"/>
          <w:cols w:space="708"/>
          <w:docGrid w:linePitch="360"/>
        </w:sectPr>
      </w:pPr>
    </w:p>
    <w:p w14:paraId="17BC6090" w14:textId="77777777" w:rsidR="00F00DC2" w:rsidRDefault="00F00DC2" w:rsidP="00D97EA0">
      <w:pPr>
        <w:pStyle w:val="NoSpacing"/>
        <w:spacing w:after="120" w:line="360" w:lineRule="auto"/>
        <w:jc w:val="both"/>
        <w:rPr>
          <w:sz w:val="24"/>
          <w:szCs w:val="24"/>
        </w:rPr>
      </w:pPr>
    </w:p>
    <w:p w14:paraId="17BC6091" w14:textId="77777777" w:rsidR="00F00DC2" w:rsidRPr="00DA0C9A" w:rsidRDefault="00F00DC2" w:rsidP="00497375">
      <w:pPr>
        <w:pStyle w:val="NoSpacing"/>
        <w:spacing w:after="120" w:line="480" w:lineRule="auto"/>
        <w:jc w:val="both"/>
        <w:rPr>
          <w:rFonts w:cs="Times New Roman"/>
          <w:b/>
          <w:sz w:val="28"/>
          <w:szCs w:val="24"/>
          <w:lang w:val="en-GB"/>
        </w:rPr>
      </w:pPr>
      <w:r w:rsidRPr="00DA0C9A">
        <w:rPr>
          <w:rFonts w:cs="Times New Roman"/>
          <w:b/>
          <w:sz w:val="28"/>
          <w:szCs w:val="24"/>
          <w:lang w:val="en-GB"/>
        </w:rPr>
        <w:t>References</w:t>
      </w:r>
    </w:p>
    <w:p w14:paraId="17BC6092" w14:textId="77777777" w:rsidR="00F00DC2" w:rsidRPr="00567579" w:rsidRDefault="00F00DC2" w:rsidP="00C47896">
      <w:pPr>
        <w:pStyle w:val="NoSpacing"/>
        <w:spacing w:line="480" w:lineRule="auto"/>
        <w:rPr>
          <w:sz w:val="24"/>
          <w:szCs w:val="24"/>
        </w:rPr>
      </w:pPr>
      <w:bookmarkStart w:id="1" w:name="_ENREF_1"/>
      <w:r w:rsidRPr="00567579">
        <w:rPr>
          <w:sz w:val="24"/>
          <w:szCs w:val="24"/>
        </w:rPr>
        <w:t>1.</w:t>
      </w:r>
      <w:r w:rsidRPr="00567579">
        <w:rPr>
          <w:sz w:val="24"/>
          <w:szCs w:val="24"/>
        </w:rPr>
        <w:tab/>
        <w:t>Ernst T, Chase AJ, Score J, Hidalgo-Curtis CE, Bryant C, Jones AV</w:t>
      </w:r>
      <w:r w:rsidRPr="00567579">
        <w:rPr>
          <w:i/>
          <w:sz w:val="24"/>
          <w:szCs w:val="24"/>
        </w:rPr>
        <w:t>, et al.</w:t>
      </w:r>
      <w:r w:rsidRPr="00567579">
        <w:rPr>
          <w:sz w:val="24"/>
          <w:szCs w:val="24"/>
        </w:rPr>
        <w:t xml:space="preserve"> Inactivating mutations of the histone methyltransferase gene EZH2 in myeloid disorders. </w:t>
      </w:r>
      <w:r w:rsidRPr="00567579">
        <w:rPr>
          <w:i/>
          <w:sz w:val="24"/>
          <w:szCs w:val="24"/>
        </w:rPr>
        <w:t>Nat Genet</w:t>
      </w:r>
      <w:r w:rsidR="00C47896" w:rsidRPr="00567579">
        <w:rPr>
          <w:sz w:val="24"/>
          <w:szCs w:val="24"/>
        </w:rPr>
        <w:t xml:space="preserve"> 2010</w:t>
      </w:r>
      <w:r w:rsidRPr="00567579">
        <w:rPr>
          <w:sz w:val="24"/>
          <w:szCs w:val="24"/>
        </w:rPr>
        <w:t xml:space="preserve">; </w:t>
      </w:r>
      <w:r w:rsidRPr="00567579">
        <w:rPr>
          <w:b/>
          <w:sz w:val="24"/>
          <w:szCs w:val="24"/>
        </w:rPr>
        <w:t>42:</w:t>
      </w:r>
      <w:r w:rsidRPr="00567579">
        <w:rPr>
          <w:sz w:val="24"/>
          <w:szCs w:val="24"/>
        </w:rPr>
        <w:t xml:space="preserve"> 722-726</w:t>
      </w:r>
      <w:bookmarkEnd w:id="1"/>
    </w:p>
    <w:p w14:paraId="17BC6093" w14:textId="77777777" w:rsidR="00F00DC2" w:rsidRPr="00567579" w:rsidRDefault="00F00DC2" w:rsidP="00C47896">
      <w:pPr>
        <w:pStyle w:val="NoSpacing"/>
        <w:spacing w:line="480" w:lineRule="auto"/>
        <w:rPr>
          <w:sz w:val="24"/>
          <w:szCs w:val="24"/>
        </w:rPr>
      </w:pPr>
      <w:bookmarkStart w:id="2" w:name="_ENREF_2"/>
      <w:r w:rsidRPr="00567579">
        <w:rPr>
          <w:sz w:val="24"/>
          <w:szCs w:val="24"/>
        </w:rPr>
        <w:t>2.</w:t>
      </w:r>
      <w:r w:rsidRPr="00567579">
        <w:rPr>
          <w:sz w:val="24"/>
          <w:szCs w:val="24"/>
        </w:rPr>
        <w:tab/>
      </w:r>
      <w:proofErr w:type="spellStart"/>
      <w:r w:rsidRPr="00567579">
        <w:rPr>
          <w:sz w:val="24"/>
          <w:szCs w:val="24"/>
        </w:rPr>
        <w:t>Nikoloski</w:t>
      </w:r>
      <w:proofErr w:type="spellEnd"/>
      <w:r w:rsidRPr="00567579">
        <w:rPr>
          <w:sz w:val="24"/>
          <w:szCs w:val="24"/>
        </w:rPr>
        <w:t xml:space="preserve"> G, </w:t>
      </w:r>
      <w:proofErr w:type="spellStart"/>
      <w:r w:rsidRPr="00567579">
        <w:rPr>
          <w:sz w:val="24"/>
          <w:szCs w:val="24"/>
        </w:rPr>
        <w:t>Langemeijer</w:t>
      </w:r>
      <w:proofErr w:type="spellEnd"/>
      <w:r w:rsidRPr="00567579">
        <w:rPr>
          <w:sz w:val="24"/>
          <w:szCs w:val="24"/>
        </w:rPr>
        <w:t xml:space="preserve"> SM, Kuiper RP, Knops R, </w:t>
      </w:r>
      <w:proofErr w:type="spellStart"/>
      <w:r w:rsidRPr="00567579">
        <w:rPr>
          <w:sz w:val="24"/>
          <w:szCs w:val="24"/>
        </w:rPr>
        <w:t>Massop</w:t>
      </w:r>
      <w:proofErr w:type="spellEnd"/>
      <w:r w:rsidRPr="00567579">
        <w:rPr>
          <w:sz w:val="24"/>
          <w:szCs w:val="24"/>
        </w:rPr>
        <w:t xml:space="preserve"> M, </w:t>
      </w:r>
      <w:proofErr w:type="spellStart"/>
      <w:r w:rsidRPr="00567579">
        <w:rPr>
          <w:sz w:val="24"/>
          <w:szCs w:val="24"/>
        </w:rPr>
        <w:t>Tonnissen</w:t>
      </w:r>
      <w:proofErr w:type="spellEnd"/>
      <w:r w:rsidRPr="00567579">
        <w:rPr>
          <w:sz w:val="24"/>
          <w:szCs w:val="24"/>
        </w:rPr>
        <w:t xml:space="preserve"> ER</w:t>
      </w:r>
      <w:r w:rsidRPr="00567579">
        <w:rPr>
          <w:i/>
          <w:sz w:val="24"/>
          <w:szCs w:val="24"/>
        </w:rPr>
        <w:t>, et al.</w:t>
      </w:r>
      <w:r w:rsidRPr="00567579">
        <w:rPr>
          <w:sz w:val="24"/>
          <w:szCs w:val="24"/>
        </w:rPr>
        <w:t xml:space="preserve"> Somatic mutations of the histone methyltransferase gene EZH2 in myelodysplastic syndromes. </w:t>
      </w:r>
      <w:r w:rsidRPr="00567579">
        <w:rPr>
          <w:i/>
          <w:sz w:val="24"/>
          <w:szCs w:val="24"/>
        </w:rPr>
        <w:t>Nat Genet</w:t>
      </w:r>
      <w:r w:rsidR="00C47896" w:rsidRPr="00567579">
        <w:rPr>
          <w:sz w:val="24"/>
          <w:szCs w:val="24"/>
        </w:rPr>
        <w:t xml:space="preserve"> 2010</w:t>
      </w:r>
      <w:r w:rsidRPr="00567579">
        <w:rPr>
          <w:sz w:val="24"/>
          <w:szCs w:val="24"/>
        </w:rPr>
        <w:t xml:space="preserve">; </w:t>
      </w:r>
      <w:r w:rsidRPr="00567579">
        <w:rPr>
          <w:b/>
          <w:sz w:val="24"/>
          <w:szCs w:val="24"/>
        </w:rPr>
        <w:t>42:</w:t>
      </w:r>
      <w:r w:rsidRPr="00567579">
        <w:rPr>
          <w:sz w:val="24"/>
          <w:szCs w:val="24"/>
        </w:rPr>
        <w:t xml:space="preserve"> 665-667</w:t>
      </w:r>
      <w:bookmarkEnd w:id="2"/>
    </w:p>
    <w:p w14:paraId="17BC6094" w14:textId="77777777" w:rsidR="00F00DC2" w:rsidRPr="00567579" w:rsidRDefault="00F00DC2" w:rsidP="00C47896">
      <w:pPr>
        <w:pStyle w:val="NoSpacing"/>
        <w:spacing w:line="480" w:lineRule="auto"/>
        <w:rPr>
          <w:sz w:val="24"/>
          <w:szCs w:val="24"/>
        </w:rPr>
      </w:pPr>
      <w:bookmarkStart w:id="3" w:name="_ENREF_3"/>
      <w:r w:rsidRPr="00567579">
        <w:rPr>
          <w:sz w:val="24"/>
          <w:szCs w:val="24"/>
        </w:rPr>
        <w:t>3.</w:t>
      </w:r>
      <w:r w:rsidRPr="00567579">
        <w:rPr>
          <w:sz w:val="24"/>
          <w:szCs w:val="24"/>
        </w:rPr>
        <w:tab/>
      </w:r>
      <w:proofErr w:type="spellStart"/>
      <w:r w:rsidRPr="00567579">
        <w:rPr>
          <w:sz w:val="24"/>
          <w:szCs w:val="24"/>
        </w:rPr>
        <w:t>Antonysamy</w:t>
      </w:r>
      <w:proofErr w:type="spellEnd"/>
      <w:r w:rsidRPr="00567579">
        <w:rPr>
          <w:sz w:val="24"/>
          <w:szCs w:val="24"/>
        </w:rPr>
        <w:t xml:space="preserve"> S, Condon B, </w:t>
      </w:r>
      <w:proofErr w:type="spellStart"/>
      <w:r w:rsidRPr="00567579">
        <w:rPr>
          <w:sz w:val="24"/>
          <w:szCs w:val="24"/>
        </w:rPr>
        <w:t>Druzina</w:t>
      </w:r>
      <w:proofErr w:type="spellEnd"/>
      <w:r w:rsidRPr="00567579">
        <w:rPr>
          <w:sz w:val="24"/>
          <w:szCs w:val="24"/>
        </w:rPr>
        <w:t xml:space="preserve"> Z, </w:t>
      </w:r>
      <w:proofErr w:type="spellStart"/>
      <w:r w:rsidRPr="00567579">
        <w:rPr>
          <w:sz w:val="24"/>
          <w:szCs w:val="24"/>
        </w:rPr>
        <w:t>Bonanno</w:t>
      </w:r>
      <w:proofErr w:type="spellEnd"/>
      <w:r w:rsidRPr="00567579">
        <w:rPr>
          <w:sz w:val="24"/>
          <w:szCs w:val="24"/>
        </w:rPr>
        <w:t xml:space="preserve"> JB, </w:t>
      </w:r>
      <w:proofErr w:type="spellStart"/>
      <w:r w:rsidRPr="00567579">
        <w:rPr>
          <w:sz w:val="24"/>
          <w:szCs w:val="24"/>
        </w:rPr>
        <w:t>Gheyi</w:t>
      </w:r>
      <w:proofErr w:type="spellEnd"/>
      <w:r w:rsidRPr="00567579">
        <w:rPr>
          <w:sz w:val="24"/>
          <w:szCs w:val="24"/>
        </w:rPr>
        <w:t xml:space="preserve"> T, Zhang F</w:t>
      </w:r>
      <w:r w:rsidRPr="00567579">
        <w:rPr>
          <w:i/>
          <w:sz w:val="24"/>
          <w:szCs w:val="24"/>
        </w:rPr>
        <w:t>, et al.</w:t>
      </w:r>
      <w:r w:rsidRPr="00567579">
        <w:rPr>
          <w:sz w:val="24"/>
          <w:szCs w:val="24"/>
        </w:rPr>
        <w:t xml:space="preserve"> Structural context of disease-associated mutations and putative mechanism of autoinhibition revealed by X-ray crystallographic analysis of the EZH2-SET domain. </w:t>
      </w:r>
      <w:proofErr w:type="spellStart"/>
      <w:r w:rsidRPr="00567579">
        <w:rPr>
          <w:i/>
          <w:sz w:val="24"/>
          <w:szCs w:val="24"/>
        </w:rPr>
        <w:t>PLoS</w:t>
      </w:r>
      <w:proofErr w:type="spellEnd"/>
      <w:r w:rsidRPr="00567579">
        <w:rPr>
          <w:i/>
          <w:sz w:val="24"/>
          <w:szCs w:val="24"/>
        </w:rPr>
        <w:t xml:space="preserve"> One</w:t>
      </w:r>
      <w:r w:rsidRPr="00567579">
        <w:rPr>
          <w:sz w:val="24"/>
          <w:szCs w:val="24"/>
        </w:rPr>
        <w:t xml:space="preserve"> 2013; </w:t>
      </w:r>
      <w:r w:rsidRPr="00567579">
        <w:rPr>
          <w:b/>
          <w:sz w:val="24"/>
          <w:szCs w:val="24"/>
        </w:rPr>
        <w:t>8:</w:t>
      </w:r>
      <w:r w:rsidRPr="00567579">
        <w:rPr>
          <w:sz w:val="24"/>
          <w:szCs w:val="24"/>
        </w:rPr>
        <w:t xml:space="preserve"> e84147</w:t>
      </w:r>
      <w:bookmarkEnd w:id="3"/>
    </w:p>
    <w:p w14:paraId="17BC6095" w14:textId="77777777" w:rsidR="00F00DC2" w:rsidRPr="00567579" w:rsidRDefault="00F00DC2" w:rsidP="00C47896">
      <w:pPr>
        <w:pStyle w:val="NoSpacing"/>
        <w:spacing w:line="480" w:lineRule="auto"/>
        <w:rPr>
          <w:sz w:val="24"/>
          <w:szCs w:val="24"/>
        </w:rPr>
      </w:pPr>
      <w:bookmarkStart w:id="4" w:name="_ENREF_4"/>
      <w:r w:rsidRPr="00567579">
        <w:rPr>
          <w:sz w:val="24"/>
          <w:szCs w:val="24"/>
        </w:rPr>
        <w:t>4.</w:t>
      </w:r>
      <w:r w:rsidRPr="00567579">
        <w:rPr>
          <w:sz w:val="24"/>
          <w:szCs w:val="24"/>
        </w:rPr>
        <w:tab/>
        <w:t xml:space="preserve">Wu H, Zeng H, Dong A, Li F, He H, </w:t>
      </w:r>
      <w:proofErr w:type="spellStart"/>
      <w:r w:rsidRPr="00567579">
        <w:rPr>
          <w:sz w:val="24"/>
          <w:szCs w:val="24"/>
        </w:rPr>
        <w:t>Senisterra</w:t>
      </w:r>
      <w:proofErr w:type="spellEnd"/>
      <w:r w:rsidRPr="00567579">
        <w:rPr>
          <w:sz w:val="24"/>
          <w:szCs w:val="24"/>
        </w:rPr>
        <w:t xml:space="preserve"> G</w:t>
      </w:r>
      <w:r w:rsidRPr="00567579">
        <w:rPr>
          <w:i/>
          <w:sz w:val="24"/>
          <w:szCs w:val="24"/>
        </w:rPr>
        <w:t>, et al.</w:t>
      </w:r>
      <w:r w:rsidRPr="00567579">
        <w:rPr>
          <w:sz w:val="24"/>
          <w:szCs w:val="24"/>
        </w:rPr>
        <w:t xml:space="preserve"> Structure of the catalytic domain of EZH2 reveals conformational plasticity in cofactor and substrate binding sites and explains oncogenic mutations. </w:t>
      </w:r>
      <w:proofErr w:type="spellStart"/>
      <w:r w:rsidRPr="00567579">
        <w:rPr>
          <w:i/>
          <w:sz w:val="24"/>
          <w:szCs w:val="24"/>
        </w:rPr>
        <w:t>PLoS</w:t>
      </w:r>
      <w:proofErr w:type="spellEnd"/>
      <w:r w:rsidRPr="00567579">
        <w:rPr>
          <w:i/>
          <w:sz w:val="24"/>
          <w:szCs w:val="24"/>
        </w:rPr>
        <w:t xml:space="preserve"> One</w:t>
      </w:r>
      <w:r w:rsidRPr="00567579">
        <w:rPr>
          <w:sz w:val="24"/>
          <w:szCs w:val="24"/>
        </w:rPr>
        <w:t xml:space="preserve"> 2013; </w:t>
      </w:r>
      <w:r w:rsidRPr="00567579">
        <w:rPr>
          <w:b/>
          <w:sz w:val="24"/>
          <w:szCs w:val="24"/>
        </w:rPr>
        <w:t>8:</w:t>
      </w:r>
      <w:r w:rsidRPr="00567579">
        <w:rPr>
          <w:sz w:val="24"/>
          <w:szCs w:val="24"/>
        </w:rPr>
        <w:t xml:space="preserve"> e83737</w:t>
      </w:r>
      <w:bookmarkEnd w:id="4"/>
    </w:p>
    <w:p w14:paraId="17BC6096" w14:textId="77777777" w:rsidR="00F00DC2" w:rsidRPr="00567579" w:rsidRDefault="00F00DC2" w:rsidP="00C47896">
      <w:pPr>
        <w:pStyle w:val="NoSpacing"/>
        <w:spacing w:line="480" w:lineRule="auto"/>
        <w:rPr>
          <w:sz w:val="24"/>
          <w:szCs w:val="24"/>
        </w:rPr>
      </w:pPr>
      <w:bookmarkStart w:id="5" w:name="_ENREF_5"/>
      <w:r w:rsidRPr="00567579">
        <w:rPr>
          <w:sz w:val="24"/>
          <w:szCs w:val="24"/>
        </w:rPr>
        <w:t>5.</w:t>
      </w:r>
      <w:r w:rsidRPr="00567579">
        <w:rPr>
          <w:sz w:val="24"/>
          <w:szCs w:val="24"/>
        </w:rPr>
        <w:tab/>
        <w:t xml:space="preserve">Lee CH, Yu JR, Kumar S, </w:t>
      </w:r>
      <w:proofErr w:type="spellStart"/>
      <w:r w:rsidRPr="00567579">
        <w:rPr>
          <w:sz w:val="24"/>
          <w:szCs w:val="24"/>
        </w:rPr>
        <w:t>Jin</w:t>
      </w:r>
      <w:proofErr w:type="spellEnd"/>
      <w:r w:rsidRPr="00567579">
        <w:rPr>
          <w:sz w:val="24"/>
          <w:szCs w:val="24"/>
        </w:rPr>
        <w:t xml:space="preserve"> Y, LeRoy G, Bhanu N</w:t>
      </w:r>
      <w:r w:rsidRPr="00567579">
        <w:rPr>
          <w:i/>
          <w:sz w:val="24"/>
          <w:szCs w:val="24"/>
        </w:rPr>
        <w:t>, et al.</w:t>
      </w:r>
      <w:r w:rsidRPr="00567579">
        <w:rPr>
          <w:sz w:val="24"/>
          <w:szCs w:val="24"/>
        </w:rPr>
        <w:t xml:space="preserve"> Allosteric Activation Dictates PRC2 Activity Independent of Its Recruitment to Chromatin. </w:t>
      </w:r>
      <w:r w:rsidRPr="00567579">
        <w:rPr>
          <w:i/>
          <w:sz w:val="24"/>
          <w:szCs w:val="24"/>
        </w:rPr>
        <w:t>Mol Cell</w:t>
      </w:r>
      <w:r w:rsidR="00C47896" w:rsidRPr="00567579">
        <w:rPr>
          <w:sz w:val="24"/>
          <w:szCs w:val="24"/>
        </w:rPr>
        <w:t xml:space="preserve"> 2018</w:t>
      </w:r>
      <w:r w:rsidRPr="00567579">
        <w:rPr>
          <w:sz w:val="24"/>
          <w:szCs w:val="24"/>
        </w:rPr>
        <w:t xml:space="preserve">; </w:t>
      </w:r>
      <w:r w:rsidRPr="00567579">
        <w:rPr>
          <w:b/>
          <w:sz w:val="24"/>
          <w:szCs w:val="24"/>
        </w:rPr>
        <w:t>70:</w:t>
      </w:r>
      <w:r w:rsidRPr="00567579">
        <w:rPr>
          <w:sz w:val="24"/>
          <w:szCs w:val="24"/>
        </w:rPr>
        <w:t xml:space="preserve"> 422-434</w:t>
      </w:r>
      <w:bookmarkEnd w:id="5"/>
    </w:p>
    <w:p w14:paraId="17BC6097" w14:textId="77777777" w:rsidR="00F00DC2" w:rsidRPr="00567579" w:rsidRDefault="00F00DC2" w:rsidP="00C47896">
      <w:pPr>
        <w:pStyle w:val="NoSpacing"/>
        <w:spacing w:line="480" w:lineRule="auto"/>
        <w:rPr>
          <w:sz w:val="24"/>
          <w:szCs w:val="24"/>
        </w:rPr>
      </w:pPr>
      <w:bookmarkStart w:id="6" w:name="_ENREF_6"/>
      <w:r w:rsidRPr="00567579">
        <w:rPr>
          <w:sz w:val="24"/>
          <w:szCs w:val="24"/>
        </w:rPr>
        <w:t>6.</w:t>
      </w:r>
      <w:r w:rsidRPr="00567579">
        <w:rPr>
          <w:sz w:val="24"/>
          <w:szCs w:val="24"/>
        </w:rPr>
        <w:tab/>
      </w:r>
      <w:proofErr w:type="spellStart"/>
      <w:r w:rsidRPr="00567579">
        <w:rPr>
          <w:sz w:val="24"/>
          <w:szCs w:val="24"/>
        </w:rPr>
        <w:t>Villasante</w:t>
      </w:r>
      <w:proofErr w:type="spellEnd"/>
      <w:r w:rsidRPr="00567579">
        <w:rPr>
          <w:sz w:val="24"/>
          <w:szCs w:val="24"/>
        </w:rPr>
        <w:t xml:space="preserve"> A, </w:t>
      </w:r>
      <w:proofErr w:type="spellStart"/>
      <w:r w:rsidRPr="00567579">
        <w:rPr>
          <w:sz w:val="24"/>
          <w:szCs w:val="24"/>
        </w:rPr>
        <w:t>Piazzolla</w:t>
      </w:r>
      <w:proofErr w:type="spellEnd"/>
      <w:r w:rsidRPr="00567579">
        <w:rPr>
          <w:sz w:val="24"/>
          <w:szCs w:val="24"/>
        </w:rPr>
        <w:t xml:space="preserve"> D, Li H, Gomez-Lopez G, </w:t>
      </w:r>
      <w:proofErr w:type="spellStart"/>
      <w:r w:rsidRPr="00567579">
        <w:rPr>
          <w:sz w:val="24"/>
          <w:szCs w:val="24"/>
        </w:rPr>
        <w:t>Djabali</w:t>
      </w:r>
      <w:proofErr w:type="spellEnd"/>
      <w:r w:rsidRPr="00567579">
        <w:rPr>
          <w:sz w:val="24"/>
          <w:szCs w:val="24"/>
        </w:rPr>
        <w:t xml:space="preserve"> M, Serrano M. Epigenetic regulation of Nanog expression by Ezh2 in pluripotent stem cells. </w:t>
      </w:r>
      <w:r w:rsidRPr="00567579">
        <w:rPr>
          <w:i/>
          <w:sz w:val="24"/>
          <w:szCs w:val="24"/>
        </w:rPr>
        <w:t>Cell Cycle</w:t>
      </w:r>
      <w:r w:rsidR="00C47896" w:rsidRPr="00567579">
        <w:rPr>
          <w:sz w:val="24"/>
          <w:szCs w:val="24"/>
        </w:rPr>
        <w:t xml:space="preserve"> 2011</w:t>
      </w:r>
      <w:r w:rsidRPr="00567579">
        <w:rPr>
          <w:sz w:val="24"/>
          <w:szCs w:val="24"/>
        </w:rPr>
        <w:t xml:space="preserve">; </w:t>
      </w:r>
      <w:r w:rsidRPr="00567579">
        <w:rPr>
          <w:b/>
          <w:sz w:val="24"/>
          <w:szCs w:val="24"/>
        </w:rPr>
        <w:t>10:</w:t>
      </w:r>
      <w:r w:rsidRPr="00567579">
        <w:rPr>
          <w:sz w:val="24"/>
          <w:szCs w:val="24"/>
        </w:rPr>
        <w:t xml:space="preserve"> 1488-1498</w:t>
      </w:r>
      <w:bookmarkEnd w:id="6"/>
    </w:p>
    <w:p w14:paraId="17BC6098" w14:textId="77777777" w:rsidR="00F00DC2" w:rsidRPr="00567579" w:rsidRDefault="00F00DC2" w:rsidP="00C47896">
      <w:pPr>
        <w:pStyle w:val="NoSpacing"/>
        <w:spacing w:line="480" w:lineRule="auto"/>
        <w:rPr>
          <w:sz w:val="24"/>
          <w:szCs w:val="24"/>
        </w:rPr>
      </w:pPr>
      <w:bookmarkStart w:id="7" w:name="_ENREF_7"/>
      <w:r w:rsidRPr="00567579">
        <w:rPr>
          <w:sz w:val="24"/>
          <w:szCs w:val="24"/>
        </w:rPr>
        <w:t>7.</w:t>
      </w:r>
      <w:r w:rsidRPr="00567579">
        <w:rPr>
          <w:sz w:val="24"/>
          <w:szCs w:val="24"/>
        </w:rPr>
        <w:tab/>
        <w:t xml:space="preserve">Matsuda T, </w:t>
      </w:r>
      <w:proofErr w:type="spellStart"/>
      <w:r w:rsidRPr="00567579">
        <w:rPr>
          <w:sz w:val="24"/>
          <w:szCs w:val="24"/>
        </w:rPr>
        <w:t>Cepko</w:t>
      </w:r>
      <w:proofErr w:type="spellEnd"/>
      <w:r w:rsidRPr="00567579">
        <w:rPr>
          <w:sz w:val="24"/>
          <w:szCs w:val="24"/>
        </w:rPr>
        <w:t xml:space="preserve"> CL. Electroporation and RNA interference in the rodent retina in vivo and in vitro. </w:t>
      </w:r>
      <w:r w:rsidRPr="00567579">
        <w:rPr>
          <w:i/>
          <w:sz w:val="24"/>
          <w:szCs w:val="24"/>
        </w:rPr>
        <w:t xml:space="preserve">Proc Natl </w:t>
      </w:r>
      <w:proofErr w:type="spellStart"/>
      <w:r w:rsidRPr="00567579">
        <w:rPr>
          <w:i/>
          <w:sz w:val="24"/>
          <w:szCs w:val="24"/>
        </w:rPr>
        <w:t>Acad</w:t>
      </w:r>
      <w:proofErr w:type="spellEnd"/>
      <w:r w:rsidRPr="00567579">
        <w:rPr>
          <w:i/>
          <w:sz w:val="24"/>
          <w:szCs w:val="24"/>
        </w:rPr>
        <w:t xml:space="preserve"> Sci U S A</w:t>
      </w:r>
      <w:r w:rsidR="00C47896" w:rsidRPr="00567579">
        <w:rPr>
          <w:sz w:val="24"/>
          <w:szCs w:val="24"/>
        </w:rPr>
        <w:t xml:space="preserve"> 2004</w:t>
      </w:r>
      <w:r w:rsidRPr="00567579">
        <w:rPr>
          <w:sz w:val="24"/>
          <w:szCs w:val="24"/>
        </w:rPr>
        <w:t xml:space="preserve">; </w:t>
      </w:r>
      <w:r w:rsidRPr="00567579">
        <w:rPr>
          <w:b/>
          <w:sz w:val="24"/>
          <w:szCs w:val="24"/>
        </w:rPr>
        <w:t>101:</w:t>
      </w:r>
      <w:r w:rsidRPr="00567579">
        <w:rPr>
          <w:sz w:val="24"/>
          <w:szCs w:val="24"/>
        </w:rPr>
        <w:t xml:space="preserve"> 16-22</w:t>
      </w:r>
      <w:bookmarkEnd w:id="7"/>
    </w:p>
    <w:p w14:paraId="17BC6099" w14:textId="77777777" w:rsidR="00F00DC2" w:rsidRPr="00567579" w:rsidRDefault="00F00DC2" w:rsidP="00C47896">
      <w:pPr>
        <w:pStyle w:val="NoSpacing"/>
        <w:spacing w:line="480" w:lineRule="auto"/>
        <w:rPr>
          <w:sz w:val="24"/>
          <w:szCs w:val="24"/>
        </w:rPr>
      </w:pPr>
      <w:bookmarkStart w:id="8" w:name="_ENREF_8"/>
      <w:r w:rsidRPr="00567579">
        <w:rPr>
          <w:sz w:val="24"/>
          <w:szCs w:val="24"/>
        </w:rPr>
        <w:t>8.</w:t>
      </w:r>
      <w:r w:rsidRPr="00567579">
        <w:rPr>
          <w:sz w:val="24"/>
          <w:szCs w:val="24"/>
        </w:rPr>
        <w:tab/>
        <w:t xml:space="preserve">Kishore S, Khanna A, </w:t>
      </w:r>
      <w:proofErr w:type="spellStart"/>
      <w:r w:rsidRPr="00567579">
        <w:rPr>
          <w:sz w:val="24"/>
          <w:szCs w:val="24"/>
        </w:rPr>
        <w:t>Stamm</w:t>
      </w:r>
      <w:proofErr w:type="spellEnd"/>
      <w:r w:rsidRPr="00567579">
        <w:rPr>
          <w:sz w:val="24"/>
          <w:szCs w:val="24"/>
        </w:rPr>
        <w:t xml:space="preserve"> S. Rapid generation of splicing reporters with pSpliceExpress. </w:t>
      </w:r>
      <w:r w:rsidRPr="00567579">
        <w:rPr>
          <w:i/>
          <w:sz w:val="24"/>
          <w:szCs w:val="24"/>
        </w:rPr>
        <w:t>Gene</w:t>
      </w:r>
      <w:r w:rsidR="00C47896" w:rsidRPr="00567579">
        <w:rPr>
          <w:sz w:val="24"/>
          <w:szCs w:val="24"/>
        </w:rPr>
        <w:t xml:space="preserve"> 2008</w:t>
      </w:r>
      <w:r w:rsidRPr="00567579">
        <w:rPr>
          <w:sz w:val="24"/>
          <w:szCs w:val="24"/>
        </w:rPr>
        <w:t xml:space="preserve">; </w:t>
      </w:r>
      <w:r w:rsidRPr="00567579">
        <w:rPr>
          <w:b/>
          <w:sz w:val="24"/>
          <w:szCs w:val="24"/>
        </w:rPr>
        <w:t>427:</w:t>
      </w:r>
      <w:r w:rsidRPr="00567579">
        <w:rPr>
          <w:sz w:val="24"/>
          <w:szCs w:val="24"/>
        </w:rPr>
        <w:t xml:space="preserve"> 104-110</w:t>
      </w:r>
      <w:bookmarkEnd w:id="8"/>
    </w:p>
    <w:p w14:paraId="17BC609A" w14:textId="77777777" w:rsidR="00F00DC2" w:rsidRPr="00567579" w:rsidRDefault="00F00DC2" w:rsidP="00C47896">
      <w:pPr>
        <w:pStyle w:val="NoSpacing"/>
        <w:spacing w:line="480" w:lineRule="auto"/>
        <w:rPr>
          <w:sz w:val="24"/>
          <w:szCs w:val="24"/>
        </w:rPr>
      </w:pPr>
      <w:bookmarkStart w:id="9" w:name="_ENREF_9"/>
      <w:r w:rsidRPr="00567579">
        <w:rPr>
          <w:sz w:val="24"/>
          <w:szCs w:val="24"/>
        </w:rPr>
        <w:lastRenderedPageBreak/>
        <w:t>9.</w:t>
      </w:r>
      <w:r w:rsidRPr="00567579">
        <w:rPr>
          <w:sz w:val="24"/>
          <w:szCs w:val="24"/>
        </w:rPr>
        <w:tab/>
        <w:t xml:space="preserve">Cross NC, Melo JV, Feng L, Goldman JM. An optimized multiplex polymerase chain reaction (PCR) for detection of BCR-ABL fusion mRNAs in </w:t>
      </w:r>
      <w:proofErr w:type="spellStart"/>
      <w:r w:rsidRPr="00567579">
        <w:rPr>
          <w:sz w:val="24"/>
          <w:szCs w:val="24"/>
        </w:rPr>
        <w:t>haematological</w:t>
      </w:r>
      <w:proofErr w:type="spellEnd"/>
      <w:r w:rsidRPr="00567579">
        <w:rPr>
          <w:sz w:val="24"/>
          <w:szCs w:val="24"/>
        </w:rPr>
        <w:t xml:space="preserve"> disorders. </w:t>
      </w:r>
      <w:r w:rsidRPr="00567579">
        <w:rPr>
          <w:i/>
          <w:sz w:val="24"/>
          <w:szCs w:val="24"/>
        </w:rPr>
        <w:t>Leukemia</w:t>
      </w:r>
      <w:r w:rsidR="00C47896" w:rsidRPr="00567579">
        <w:rPr>
          <w:sz w:val="24"/>
          <w:szCs w:val="24"/>
        </w:rPr>
        <w:t xml:space="preserve"> 1994</w:t>
      </w:r>
      <w:r w:rsidRPr="00567579">
        <w:rPr>
          <w:sz w:val="24"/>
          <w:szCs w:val="24"/>
        </w:rPr>
        <w:t xml:space="preserve">; </w:t>
      </w:r>
      <w:r w:rsidRPr="00567579">
        <w:rPr>
          <w:b/>
          <w:sz w:val="24"/>
          <w:szCs w:val="24"/>
        </w:rPr>
        <w:t>8:</w:t>
      </w:r>
      <w:r w:rsidRPr="00567579">
        <w:rPr>
          <w:sz w:val="24"/>
          <w:szCs w:val="24"/>
        </w:rPr>
        <w:t xml:space="preserve"> 186-189</w:t>
      </w:r>
      <w:bookmarkEnd w:id="9"/>
    </w:p>
    <w:p w14:paraId="17BC609B" w14:textId="77777777" w:rsidR="00F00DC2" w:rsidRPr="00567579" w:rsidRDefault="00F00DC2" w:rsidP="00C47896">
      <w:pPr>
        <w:pStyle w:val="NoSpacing"/>
        <w:spacing w:line="480" w:lineRule="auto"/>
        <w:rPr>
          <w:sz w:val="24"/>
          <w:szCs w:val="24"/>
        </w:rPr>
      </w:pPr>
      <w:bookmarkStart w:id="10" w:name="_ENREF_10"/>
      <w:r w:rsidRPr="00567579">
        <w:rPr>
          <w:sz w:val="24"/>
          <w:szCs w:val="24"/>
        </w:rPr>
        <w:t>10.</w:t>
      </w:r>
      <w:r w:rsidRPr="00567579">
        <w:rPr>
          <w:sz w:val="24"/>
          <w:szCs w:val="24"/>
        </w:rPr>
        <w:tab/>
        <w:t>Raponi M, Kralovicova J, Copson E, Divina P, Eccles D, Johnson P</w:t>
      </w:r>
      <w:r w:rsidRPr="00567579">
        <w:rPr>
          <w:i/>
          <w:sz w:val="24"/>
          <w:szCs w:val="24"/>
        </w:rPr>
        <w:t>, et al.</w:t>
      </w:r>
      <w:r w:rsidRPr="00567579">
        <w:rPr>
          <w:sz w:val="24"/>
          <w:szCs w:val="24"/>
        </w:rPr>
        <w:t xml:space="preserve"> Prediction of single-nucleotide substitutions that result in exon skipping: identification of a splicing silencer in BRCA1 exon 6. </w:t>
      </w:r>
      <w:r w:rsidRPr="00567579">
        <w:rPr>
          <w:i/>
          <w:sz w:val="24"/>
          <w:szCs w:val="24"/>
        </w:rPr>
        <w:t>Human mutation</w:t>
      </w:r>
      <w:r w:rsidR="00C47896" w:rsidRPr="00567579">
        <w:rPr>
          <w:sz w:val="24"/>
          <w:szCs w:val="24"/>
        </w:rPr>
        <w:t xml:space="preserve"> 2011</w:t>
      </w:r>
      <w:r w:rsidRPr="00567579">
        <w:rPr>
          <w:sz w:val="24"/>
          <w:szCs w:val="24"/>
        </w:rPr>
        <w:t xml:space="preserve">; </w:t>
      </w:r>
      <w:r w:rsidRPr="00567579">
        <w:rPr>
          <w:b/>
          <w:sz w:val="24"/>
          <w:szCs w:val="24"/>
        </w:rPr>
        <w:t>32:</w:t>
      </w:r>
      <w:r w:rsidRPr="00567579">
        <w:rPr>
          <w:sz w:val="24"/>
          <w:szCs w:val="24"/>
        </w:rPr>
        <w:t xml:space="preserve"> 436-444</w:t>
      </w:r>
      <w:bookmarkEnd w:id="10"/>
    </w:p>
    <w:p w14:paraId="17BC609C" w14:textId="77777777" w:rsidR="00F00DC2" w:rsidRPr="00567579" w:rsidRDefault="00F00DC2" w:rsidP="00C47896">
      <w:pPr>
        <w:pStyle w:val="NoSpacing"/>
        <w:spacing w:line="480" w:lineRule="auto"/>
        <w:rPr>
          <w:sz w:val="24"/>
          <w:szCs w:val="24"/>
        </w:rPr>
      </w:pPr>
      <w:bookmarkStart w:id="11" w:name="_ENREF_11"/>
      <w:r w:rsidRPr="00567579">
        <w:rPr>
          <w:sz w:val="24"/>
          <w:szCs w:val="24"/>
        </w:rPr>
        <w:t>11.</w:t>
      </w:r>
      <w:r w:rsidRPr="00567579">
        <w:rPr>
          <w:sz w:val="24"/>
          <w:szCs w:val="24"/>
        </w:rPr>
        <w:tab/>
      </w:r>
      <w:proofErr w:type="spellStart"/>
      <w:r w:rsidRPr="00567579">
        <w:rPr>
          <w:sz w:val="24"/>
          <w:szCs w:val="24"/>
        </w:rPr>
        <w:t>Fraile-Bethencourt</w:t>
      </w:r>
      <w:proofErr w:type="spellEnd"/>
      <w:r w:rsidRPr="00567579">
        <w:rPr>
          <w:sz w:val="24"/>
          <w:szCs w:val="24"/>
        </w:rPr>
        <w:t xml:space="preserve"> E, Diez-Gomez B, Velasquez-Zapata V, </w:t>
      </w:r>
      <w:proofErr w:type="spellStart"/>
      <w:r w:rsidRPr="00567579">
        <w:rPr>
          <w:sz w:val="24"/>
          <w:szCs w:val="24"/>
        </w:rPr>
        <w:t>Acedo</w:t>
      </w:r>
      <w:proofErr w:type="spellEnd"/>
      <w:r w:rsidRPr="00567579">
        <w:rPr>
          <w:sz w:val="24"/>
          <w:szCs w:val="24"/>
        </w:rPr>
        <w:t xml:space="preserve"> A, Sanz DJ, Velasco EA. Functional classification of DNA variants by hybrid minigenes: Identification of 30 </w:t>
      </w:r>
      <w:proofErr w:type="spellStart"/>
      <w:r w:rsidRPr="00567579">
        <w:rPr>
          <w:sz w:val="24"/>
          <w:szCs w:val="24"/>
        </w:rPr>
        <w:t>spliceogenic</w:t>
      </w:r>
      <w:proofErr w:type="spellEnd"/>
      <w:r w:rsidRPr="00567579">
        <w:rPr>
          <w:sz w:val="24"/>
          <w:szCs w:val="24"/>
        </w:rPr>
        <w:t xml:space="preserve"> variants of BRCA2 exons 17 and 18. </w:t>
      </w:r>
      <w:proofErr w:type="spellStart"/>
      <w:r w:rsidRPr="00567579">
        <w:rPr>
          <w:i/>
          <w:sz w:val="24"/>
          <w:szCs w:val="24"/>
        </w:rPr>
        <w:t>PLoS</w:t>
      </w:r>
      <w:proofErr w:type="spellEnd"/>
      <w:r w:rsidRPr="00567579">
        <w:rPr>
          <w:i/>
          <w:sz w:val="24"/>
          <w:szCs w:val="24"/>
        </w:rPr>
        <w:t xml:space="preserve"> genetics</w:t>
      </w:r>
      <w:r w:rsidR="00C47896" w:rsidRPr="00567579">
        <w:rPr>
          <w:sz w:val="24"/>
          <w:szCs w:val="24"/>
        </w:rPr>
        <w:t xml:space="preserve"> 2017</w:t>
      </w:r>
      <w:r w:rsidRPr="00567579">
        <w:rPr>
          <w:sz w:val="24"/>
          <w:szCs w:val="24"/>
        </w:rPr>
        <w:t xml:space="preserve">; </w:t>
      </w:r>
      <w:r w:rsidRPr="00567579">
        <w:rPr>
          <w:b/>
          <w:sz w:val="24"/>
          <w:szCs w:val="24"/>
        </w:rPr>
        <w:t>13:</w:t>
      </w:r>
      <w:r w:rsidRPr="00567579">
        <w:rPr>
          <w:sz w:val="24"/>
          <w:szCs w:val="24"/>
        </w:rPr>
        <w:t xml:space="preserve"> e1006691</w:t>
      </w:r>
      <w:bookmarkEnd w:id="11"/>
    </w:p>
    <w:p w14:paraId="17BC609D" w14:textId="77777777" w:rsidR="00F00DC2" w:rsidRPr="00567579" w:rsidRDefault="00F00DC2" w:rsidP="00C47896">
      <w:pPr>
        <w:pStyle w:val="NoSpacing"/>
        <w:spacing w:line="480" w:lineRule="auto"/>
        <w:rPr>
          <w:sz w:val="24"/>
          <w:szCs w:val="24"/>
        </w:rPr>
      </w:pPr>
      <w:bookmarkStart w:id="12" w:name="_ENREF_12"/>
      <w:r w:rsidRPr="00567579">
        <w:rPr>
          <w:sz w:val="24"/>
          <w:szCs w:val="24"/>
        </w:rPr>
        <w:t>12.</w:t>
      </w:r>
      <w:r w:rsidRPr="00567579">
        <w:rPr>
          <w:sz w:val="24"/>
          <w:szCs w:val="24"/>
        </w:rPr>
        <w:tab/>
      </w:r>
      <w:proofErr w:type="spellStart"/>
      <w:r w:rsidRPr="00567579">
        <w:rPr>
          <w:sz w:val="24"/>
          <w:szCs w:val="24"/>
        </w:rPr>
        <w:t>Laible</w:t>
      </w:r>
      <w:proofErr w:type="spellEnd"/>
      <w:r w:rsidRPr="00567579">
        <w:rPr>
          <w:sz w:val="24"/>
          <w:szCs w:val="24"/>
        </w:rPr>
        <w:t xml:space="preserve"> G, Wolf A, Dorn R, Reuter G, </w:t>
      </w:r>
      <w:proofErr w:type="spellStart"/>
      <w:r w:rsidRPr="00567579">
        <w:rPr>
          <w:sz w:val="24"/>
          <w:szCs w:val="24"/>
        </w:rPr>
        <w:t>Nislow</w:t>
      </w:r>
      <w:proofErr w:type="spellEnd"/>
      <w:r w:rsidRPr="00567579">
        <w:rPr>
          <w:sz w:val="24"/>
          <w:szCs w:val="24"/>
        </w:rPr>
        <w:t xml:space="preserve"> C, </w:t>
      </w:r>
      <w:proofErr w:type="spellStart"/>
      <w:r w:rsidRPr="00567579">
        <w:rPr>
          <w:sz w:val="24"/>
          <w:szCs w:val="24"/>
        </w:rPr>
        <w:t>Lebersorger</w:t>
      </w:r>
      <w:proofErr w:type="spellEnd"/>
      <w:r w:rsidRPr="00567579">
        <w:rPr>
          <w:sz w:val="24"/>
          <w:szCs w:val="24"/>
        </w:rPr>
        <w:t xml:space="preserve"> A</w:t>
      </w:r>
      <w:r w:rsidRPr="00567579">
        <w:rPr>
          <w:i/>
          <w:sz w:val="24"/>
          <w:szCs w:val="24"/>
        </w:rPr>
        <w:t>, et al.</w:t>
      </w:r>
      <w:r w:rsidRPr="00567579">
        <w:rPr>
          <w:sz w:val="24"/>
          <w:szCs w:val="24"/>
        </w:rPr>
        <w:t xml:space="preserve"> Mammalian homologues of the </w:t>
      </w:r>
      <w:proofErr w:type="spellStart"/>
      <w:r w:rsidRPr="00567579">
        <w:rPr>
          <w:sz w:val="24"/>
          <w:szCs w:val="24"/>
        </w:rPr>
        <w:t>Polycomb</w:t>
      </w:r>
      <w:proofErr w:type="spellEnd"/>
      <w:r w:rsidRPr="00567579">
        <w:rPr>
          <w:sz w:val="24"/>
          <w:szCs w:val="24"/>
        </w:rPr>
        <w:t xml:space="preserve">-group gene Enhancer of </w:t>
      </w:r>
      <w:proofErr w:type="spellStart"/>
      <w:r w:rsidRPr="00567579">
        <w:rPr>
          <w:sz w:val="24"/>
          <w:szCs w:val="24"/>
        </w:rPr>
        <w:t>zeste</w:t>
      </w:r>
      <w:proofErr w:type="spellEnd"/>
      <w:r w:rsidRPr="00567579">
        <w:rPr>
          <w:sz w:val="24"/>
          <w:szCs w:val="24"/>
        </w:rPr>
        <w:t xml:space="preserve"> mediate gene silencing in Drosophila heterochromatin and at S. cerevisiae telomeres. </w:t>
      </w:r>
      <w:r w:rsidRPr="00567579">
        <w:rPr>
          <w:i/>
          <w:sz w:val="24"/>
          <w:szCs w:val="24"/>
        </w:rPr>
        <w:t>EMBO J</w:t>
      </w:r>
      <w:r w:rsidR="00C47896" w:rsidRPr="00567579">
        <w:rPr>
          <w:sz w:val="24"/>
          <w:szCs w:val="24"/>
        </w:rPr>
        <w:t xml:space="preserve"> 1997</w:t>
      </w:r>
      <w:r w:rsidRPr="00567579">
        <w:rPr>
          <w:sz w:val="24"/>
          <w:szCs w:val="24"/>
        </w:rPr>
        <w:t xml:space="preserve">; </w:t>
      </w:r>
      <w:r w:rsidRPr="00567579">
        <w:rPr>
          <w:b/>
          <w:sz w:val="24"/>
          <w:szCs w:val="24"/>
        </w:rPr>
        <w:t>16:</w:t>
      </w:r>
      <w:r w:rsidRPr="00567579">
        <w:rPr>
          <w:sz w:val="24"/>
          <w:szCs w:val="24"/>
        </w:rPr>
        <w:t xml:space="preserve"> 3219-3232</w:t>
      </w:r>
      <w:bookmarkEnd w:id="12"/>
    </w:p>
    <w:p w14:paraId="17BC609E" w14:textId="77777777" w:rsidR="00F00DC2" w:rsidRPr="00567579" w:rsidRDefault="00F00DC2" w:rsidP="00C47896">
      <w:pPr>
        <w:pStyle w:val="NoSpacing"/>
        <w:spacing w:line="480" w:lineRule="auto"/>
        <w:rPr>
          <w:sz w:val="24"/>
          <w:szCs w:val="24"/>
        </w:rPr>
      </w:pPr>
      <w:bookmarkStart w:id="13" w:name="_ENREF_13"/>
      <w:r w:rsidRPr="00567579">
        <w:rPr>
          <w:sz w:val="24"/>
          <w:szCs w:val="24"/>
        </w:rPr>
        <w:t>13.</w:t>
      </w:r>
      <w:r w:rsidRPr="00567579">
        <w:rPr>
          <w:sz w:val="24"/>
          <w:szCs w:val="24"/>
        </w:rPr>
        <w:tab/>
        <w:t xml:space="preserve">Jiao L, Liu X. Structural basis of histone H3K27 trimethylation by an active </w:t>
      </w:r>
      <w:proofErr w:type="spellStart"/>
      <w:r w:rsidRPr="00567579">
        <w:rPr>
          <w:sz w:val="24"/>
          <w:szCs w:val="24"/>
        </w:rPr>
        <w:t>polycomb</w:t>
      </w:r>
      <w:proofErr w:type="spellEnd"/>
      <w:r w:rsidRPr="00567579">
        <w:rPr>
          <w:sz w:val="24"/>
          <w:szCs w:val="24"/>
        </w:rPr>
        <w:t xml:space="preserve"> repressive complex 2. </w:t>
      </w:r>
      <w:r w:rsidRPr="00567579">
        <w:rPr>
          <w:i/>
          <w:sz w:val="24"/>
          <w:szCs w:val="24"/>
        </w:rPr>
        <w:t>Science</w:t>
      </w:r>
      <w:r w:rsidR="00C47896" w:rsidRPr="00567579">
        <w:rPr>
          <w:sz w:val="24"/>
          <w:szCs w:val="24"/>
        </w:rPr>
        <w:t xml:space="preserve"> 2015</w:t>
      </w:r>
      <w:r w:rsidRPr="00567579">
        <w:rPr>
          <w:sz w:val="24"/>
          <w:szCs w:val="24"/>
        </w:rPr>
        <w:t xml:space="preserve">; </w:t>
      </w:r>
      <w:r w:rsidRPr="00567579">
        <w:rPr>
          <w:b/>
          <w:sz w:val="24"/>
          <w:szCs w:val="24"/>
        </w:rPr>
        <w:t>350:</w:t>
      </w:r>
      <w:r w:rsidRPr="00567579">
        <w:rPr>
          <w:sz w:val="24"/>
          <w:szCs w:val="24"/>
        </w:rPr>
        <w:t xml:space="preserve"> aac4383</w:t>
      </w:r>
      <w:bookmarkEnd w:id="13"/>
    </w:p>
    <w:p w14:paraId="17BC609F" w14:textId="77777777" w:rsidR="00F00DC2" w:rsidRPr="00567579" w:rsidRDefault="00F00DC2" w:rsidP="00C47896">
      <w:pPr>
        <w:pStyle w:val="NoSpacing"/>
        <w:spacing w:line="480" w:lineRule="auto"/>
        <w:rPr>
          <w:sz w:val="24"/>
          <w:szCs w:val="24"/>
        </w:rPr>
      </w:pPr>
      <w:bookmarkStart w:id="14" w:name="_ENREF_14"/>
      <w:r w:rsidRPr="00567579">
        <w:rPr>
          <w:sz w:val="24"/>
          <w:szCs w:val="24"/>
        </w:rPr>
        <w:t>14.</w:t>
      </w:r>
      <w:r w:rsidRPr="00567579">
        <w:rPr>
          <w:sz w:val="24"/>
          <w:szCs w:val="24"/>
        </w:rPr>
        <w:tab/>
      </w:r>
      <w:proofErr w:type="spellStart"/>
      <w:r w:rsidRPr="00567579">
        <w:rPr>
          <w:sz w:val="24"/>
          <w:szCs w:val="24"/>
        </w:rPr>
        <w:t>Margueron</w:t>
      </w:r>
      <w:proofErr w:type="spellEnd"/>
      <w:r w:rsidRPr="00567579">
        <w:rPr>
          <w:sz w:val="24"/>
          <w:szCs w:val="24"/>
        </w:rPr>
        <w:t xml:space="preserve"> R, Justin N, Ohn</w:t>
      </w:r>
      <w:r w:rsidR="001131CB">
        <w:rPr>
          <w:sz w:val="24"/>
          <w:szCs w:val="24"/>
        </w:rPr>
        <w:t>o K, Sharpe ML, Son J, Drury WJ</w:t>
      </w:r>
      <w:r w:rsidRPr="00567579">
        <w:rPr>
          <w:sz w:val="24"/>
          <w:szCs w:val="24"/>
        </w:rPr>
        <w:t xml:space="preserve"> 3rd</w:t>
      </w:r>
      <w:r w:rsidRPr="00567579">
        <w:rPr>
          <w:i/>
          <w:sz w:val="24"/>
          <w:szCs w:val="24"/>
        </w:rPr>
        <w:t>, et al.</w:t>
      </w:r>
      <w:r w:rsidRPr="00567579">
        <w:rPr>
          <w:sz w:val="24"/>
          <w:szCs w:val="24"/>
        </w:rPr>
        <w:t xml:space="preserve"> Role of the </w:t>
      </w:r>
      <w:proofErr w:type="spellStart"/>
      <w:r w:rsidRPr="00567579">
        <w:rPr>
          <w:sz w:val="24"/>
          <w:szCs w:val="24"/>
        </w:rPr>
        <w:t>polycomb</w:t>
      </w:r>
      <w:proofErr w:type="spellEnd"/>
      <w:r w:rsidRPr="00567579">
        <w:rPr>
          <w:sz w:val="24"/>
          <w:szCs w:val="24"/>
        </w:rPr>
        <w:t xml:space="preserve"> protein EED in the propagation of repressive histone marks. </w:t>
      </w:r>
      <w:r w:rsidRPr="00567579">
        <w:rPr>
          <w:i/>
          <w:sz w:val="24"/>
          <w:szCs w:val="24"/>
        </w:rPr>
        <w:t>Nature</w:t>
      </w:r>
      <w:r w:rsidR="00C47896" w:rsidRPr="00567579">
        <w:rPr>
          <w:sz w:val="24"/>
          <w:szCs w:val="24"/>
        </w:rPr>
        <w:t xml:space="preserve"> 2009</w:t>
      </w:r>
      <w:r w:rsidRPr="00567579">
        <w:rPr>
          <w:sz w:val="24"/>
          <w:szCs w:val="24"/>
        </w:rPr>
        <w:t xml:space="preserve">; </w:t>
      </w:r>
      <w:r w:rsidRPr="00567579">
        <w:rPr>
          <w:b/>
          <w:sz w:val="24"/>
          <w:szCs w:val="24"/>
        </w:rPr>
        <w:t>461:</w:t>
      </w:r>
      <w:r w:rsidRPr="00567579">
        <w:rPr>
          <w:sz w:val="24"/>
          <w:szCs w:val="24"/>
        </w:rPr>
        <w:t xml:space="preserve"> 762-767</w:t>
      </w:r>
      <w:bookmarkEnd w:id="14"/>
    </w:p>
    <w:p w14:paraId="17BC60A0" w14:textId="77777777" w:rsidR="00F00DC2" w:rsidRPr="00567579" w:rsidRDefault="00F00DC2" w:rsidP="00C47896">
      <w:pPr>
        <w:pStyle w:val="NoSpacing"/>
        <w:spacing w:line="480" w:lineRule="auto"/>
        <w:rPr>
          <w:sz w:val="24"/>
          <w:szCs w:val="24"/>
        </w:rPr>
      </w:pPr>
      <w:bookmarkStart w:id="15" w:name="_ENREF_15"/>
      <w:r w:rsidRPr="00567579">
        <w:rPr>
          <w:sz w:val="24"/>
          <w:szCs w:val="24"/>
        </w:rPr>
        <w:t>15.</w:t>
      </w:r>
      <w:r w:rsidRPr="00567579">
        <w:rPr>
          <w:sz w:val="24"/>
          <w:szCs w:val="24"/>
        </w:rPr>
        <w:tab/>
      </w:r>
      <w:proofErr w:type="spellStart"/>
      <w:r w:rsidRPr="00567579">
        <w:rPr>
          <w:sz w:val="24"/>
          <w:szCs w:val="24"/>
        </w:rPr>
        <w:t>Zehir</w:t>
      </w:r>
      <w:proofErr w:type="spellEnd"/>
      <w:r w:rsidRPr="00567579">
        <w:rPr>
          <w:sz w:val="24"/>
          <w:szCs w:val="24"/>
        </w:rPr>
        <w:t xml:space="preserve"> A, </w:t>
      </w:r>
      <w:proofErr w:type="spellStart"/>
      <w:r w:rsidRPr="00567579">
        <w:rPr>
          <w:sz w:val="24"/>
          <w:szCs w:val="24"/>
        </w:rPr>
        <w:t>Benayed</w:t>
      </w:r>
      <w:proofErr w:type="spellEnd"/>
      <w:r w:rsidRPr="00567579">
        <w:rPr>
          <w:sz w:val="24"/>
          <w:szCs w:val="24"/>
        </w:rPr>
        <w:t xml:space="preserve"> R, Shah RH, Syed A, </w:t>
      </w:r>
      <w:proofErr w:type="spellStart"/>
      <w:r w:rsidRPr="00567579">
        <w:rPr>
          <w:sz w:val="24"/>
          <w:szCs w:val="24"/>
        </w:rPr>
        <w:t>Middha</w:t>
      </w:r>
      <w:proofErr w:type="spellEnd"/>
      <w:r w:rsidRPr="00567579">
        <w:rPr>
          <w:sz w:val="24"/>
          <w:szCs w:val="24"/>
        </w:rPr>
        <w:t xml:space="preserve"> S, Kim HR</w:t>
      </w:r>
      <w:r w:rsidRPr="00567579">
        <w:rPr>
          <w:i/>
          <w:sz w:val="24"/>
          <w:szCs w:val="24"/>
        </w:rPr>
        <w:t>, et al.</w:t>
      </w:r>
      <w:r w:rsidRPr="00567579">
        <w:rPr>
          <w:sz w:val="24"/>
          <w:szCs w:val="24"/>
        </w:rPr>
        <w:t xml:space="preserve"> Mutational landscape of metastatic cancer revealed from prospective clinical sequencing of 10,000 patients. </w:t>
      </w:r>
      <w:r w:rsidRPr="00567579">
        <w:rPr>
          <w:i/>
          <w:sz w:val="24"/>
          <w:szCs w:val="24"/>
        </w:rPr>
        <w:t>Nat Med</w:t>
      </w:r>
      <w:r w:rsidR="00C47896" w:rsidRPr="00567579">
        <w:rPr>
          <w:sz w:val="24"/>
          <w:szCs w:val="24"/>
        </w:rPr>
        <w:t xml:space="preserve"> 2017</w:t>
      </w:r>
      <w:r w:rsidRPr="00567579">
        <w:rPr>
          <w:sz w:val="24"/>
          <w:szCs w:val="24"/>
        </w:rPr>
        <w:t xml:space="preserve">; </w:t>
      </w:r>
      <w:r w:rsidRPr="00567579">
        <w:rPr>
          <w:b/>
          <w:sz w:val="24"/>
          <w:szCs w:val="24"/>
        </w:rPr>
        <w:t>23:</w:t>
      </w:r>
      <w:r w:rsidRPr="00567579">
        <w:rPr>
          <w:sz w:val="24"/>
          <w:szCs w:val="24"/>
        </w:rPr>
        <w:t xml:space="preserve"> 703-713</w:t>
      </w:r>
      <w:bookmarkEnd w:id="15"/>
    </w:p>
    <w:p w14:paraId="17BC60A1" w14:textId="77777777" w:rsidR="00F00DC2" w:rsidRPr="00567579" w:rsidRDefault="00F00DC2" w:rsidP="00C47896">
      <w:pPr>
        <w:pStyle w:val="NoSpacing"/>
        <w:spacing w:line="480" w:lineRule="auto"/>
        <w:rPr>
          <w:sz w:val="24"/>
          <w:szCs w:val="24"/>
        </w:rPr>
      </w:pPr>
      <w:bookmarkStart w:id="16" w:name="_ENREF_16"/>
      <w:r w:rsidRPr="00567579">
        <w:rPr>
          <w:sz w:val="24"/>
          <w:szCs w:val="24"/>
        </w:rPr>
        <w:lastRenderedPageBreak/>
        <w:t>16.</w:t>
      </w:r>
      <w:r w:rsidRPr="00567579">
        <w:rPr>
          <w:sz w:val="24"/>
          <w:szCs w:val="24"/>
        </w:rPr>
        <w:tab/>
        <w:t xml:space="preserve">Bartels S, Schipper E, </w:t>
      </w:r>
      <w:proofErr w:type="spellStart"/>
      <w:r w:rsidRPr="00567579">
        <w:rPr>
          <w:sz w:val="24"/>
          <w:szCs w:val="24"/>
        </w:rPr>
        <w:t>Hasemeier</w:t>
      </w:r>
      <w:proofErr w:type="spellEnd"/>
      <w:r w:rsidRPr="00567579">
        <w:rPr>
          <w:sz w:val="24"/>
          <w:szCs w:val="24"/>
        </w:rPr>
        <w:t xml:space="preserve"> B, </w:t>
      </w:r>
      <w:proofErr w:type="spellStart"/>
      <w:r w:rsidRPr="00567579">
        <w:rPr>
          <w:sz w:val="24"/>
          <w:szCs w:val="24"/>
        </w:rPr>
        <w:t>Kreipe</w:t>
      </w:r>
      <w:proofErr w:type="spellEnd"/>
      <w:r w:rsidRPr="00567579">
        <w:rPr>
          <w:sz w:val="24"/>
          <w:szCs w:val="24"/>
        </w:rPr>
        <w:t xml:space="preserve"> H, Lehmann U. Routine clinical mutation profiling using next generation sequencing and a customized gene panel improves diagnostic precision in myeloid neoplasms. </w:t>
      </w:r>
      <w:proofErr w:type="spellStart"/>
      <w:r w:rsidRPr="00567579">
        <w:rPr>
          <w:i/>
          <w:sz w:val="24"/>
          <w:szCs w:val="24"/>
        </w:rPr>
        <w:t>Oncotarget</w:t>
      </w:r>
      <w:proofErr w:type="spellEnd"/>
      <w:r w:rsidR="00C47896" w:rsidRPr="00567579">
        <w:rPr>
          <w:sz w:val="24"/>
          <w:szCs w:val="24"/>
        </w:rPr>
        <w:t xml:space="preserve"> 2016</w:t>
      </w:r>
      <w:r w:rsidRPr="00567579">
        <w:rPr>
          <w:sz w:val="24"/>
          <w:szCs w:val="24"/>
        </w:rPr>
        <w:t xml:space="preserve">; </w:t>
      </w:r>
      <w:r w:rsidRPr="00567579">
        <w:rPr>
          <w:b/>
          <w:sz w:val="24"/>
          <w:szCs w:val="24"/>
        </w:rPr>
        <w:t>7:</w:t>
      </w:r>
      <w:r w:rsidRPr="00567579">
        <w:rPr>
          <w:sz w:val="24"/>
          <w:szCs w:val="24"/>
        </w:rPr>
        <w:t xml:space="preserve"> 30084-30093</w:t>
      </w:r>
      <w:bookmarkEnd w:id="16"/>
    </w:p>
    <w:p w14:paraId="17BC60A2" w14:textId="77777777" w:rsidR="00F00DC2" w:rsidRPr="00567579" w:rsidRDefault="00F00DC2" w:rsidP="00C47896">
      <w:pPr>
        <w:pStyle w:val="NoSpacing"/>
        <w:spacing w:line="480" w:lineRule="auto"/>
        <w:rPr>
          <w:sz w:val="24"/>
          <w:szCs w:val="24"/>
        </w:rPr>
      </w:pPr>
      <w:bookmarkStart w:id="17" w:name="_ENREF_17"/>
      <w:r w:rsidRPr="00567579">
        <w:rPr>
          <w:sz w:val="24"/>
          <w:szCs w:val="24"/>
        </w:rPr>
        <w:t>17.</w:t>
      </w:r>
      <w:r w:rsidRPr="00567579">
        <w:rPr>
          <w:sz w:val="24"/>
          <w:szCs w:val="24"/>
        </w:rPr>
        <w:tab/>
      </w:r>
      <w:proofErr w:type="spellStart"/>
      <w:r w:rsidRPr="00567579">
        <w:rPr>
          <w:sz w:val="24"/>
          <w:szCs w:val="24"/>
        </w:rPr>
        <w:t>Seiwert</w:t>
      </w:r>
      <w:proofErr w:type="spellEnd"/>
      <w:r w:rsidRPr="00567579">
        <w:rPr>
          <w:sz w:val="24"/>
          <w:szCs w:val="24"/>
        </w:rPr>
        <w:t xml:space="preserve"> TY, </w:t>
      </w:r>
      <w:proofErr w:type="spellStart"/>
      <w:r w:rsidRPr="00567579">
        <w:rPr>
          <w:sz w:val="24"/>
          <w:szCs w:val="24"/>
        </w:rPr>
        <w:t>Zuo</w:t>
      </w:r>
      <w:proofErr w:type="spellEnd"/>
      <w:r w:rsidRPr="00567579">
        <w:rPr>
          <w:sz w:val="24"/>
          <w:szCs w:val="24"/>
        </w:rPr>
        <w:t xml:space="preserve"> Z, Keck MK, </w:t>
      </w:r>
      <w:proofErr w:type="spellStart"/>
      <w:r w:rsidRPr="00567579">
        <w:rPr>
          <w:sz w:val="24"/>
          <w:szCs w:val="24"/>
        </w:rPr>
        <w:t>Khattri</w:t>
      </w:r>
      <w:proofErr w:type="spellEnd"/>
      <w:r w:rsidRPr="00567579">
        <w:rPr>
          <w:sz w:val="24"/>
          <w:szCs w:val="24"/>
        </w:rPr>
        <w:t xml:space="preserve"> A, </w:t>
      </w:r>
      <w:proofErr w:type="spellStart"/>
      <w:r w:rsidRPr="00567579">
        <w:rPr>
          <w:sz w:val="24"/>
          <w:szCs w:val="24"/>
        </w:rPr>
        <w:t>Pedamallu</w:t>
      </w:r>
      <w:proofErr w:type="spellEnd"/>
      <w:r w:rsidRPr="00567579">
        <w:rPr>
          <w:sz w:val="24"/>
          <w:szCs w:val="24"/>
        </w:rPr>
        <w:t xml:space="preserve"> CS, Stricker T</w:t>
      </w:r>
      <w:r w:rsidRPr="00567579">
        <w:rPr>
          <w:i/>
          <w:sz w:val="24"/>
          <w:szCs w:val="24"/>
        </w:rPr>
        <w:t>, et al.</w:t>
      </w:r>
      <w:r w:rsidRPr="00567579">
        <w:rPr>
          <w:sz w:val="24"/>
          <w:szCs w:val="24"/>
        </w:rPr>
        <w:t xml:space="preserve"> Integrative and comparative genomic analysis of HPV-positive and HPV-negative head and neck squamous cell carcinomas. </w:t>
      </w:r>
      <w:r w:rsidRPr="00567579">
        <w:rPr>
          <w:i/>
          <w:sz w:val="24"/>
          <w:szCs w:val="24"/>
        </w:rPr>
        <w:t>Clin Cancer Res</w:t>
      </w:r>
      <w:r w:rsidR="00C47896" w:rsidRPr="00567579">
        <w:rPr>
          <w:sz w:val="24"/>
          <w:szCs w:val="24"/>
        </w:rPr>
        <w:t xml:space="preserve"> 2015</w:t>
      </w:r>
      <w:r w:rsidRPr="00567579">
        <w:rPr>
          <w:sz w:val="24"/>
          <w:szCs w:val="24"/>
        </w:rPr>
        <w:t xml:space="preserve">; </w:t>
      </w:r>
      <w:r w:rsidRPr="00567579">
        <w:rPr>
          <w:b/>
          <w:sz w:val="24"/>
          <w:szCs w:val="24"/>
        </w:rPr>
        <w:t>21:</w:t>
      </w:r>
      <w:r w:rsidRPr="00567579">
        <w:rPr>
          <w:sz w:val="24"/>
          <w:szCs w:val="24"/>
        </w:rPr>
        <w:t xml:space="preserve"> 632-641</w:t>
      </w:r>
      <w:bookmarkEnd w:id="17"/>
    </w:p>
    <w:p w14:paraId="17BC60A3" w14:textId="77777777" w:rsidR="00F00DC2" w:rsidRPr="00567579" w:rsidRDefault="00F00DC2" w:rsidP="00C47896">
      <w:pPr>
        <w:pStyle w:val="NoSpacing"/>
        <w:spacing w:line="480" w:lineRule="auto"/>
        <w:rPr>
          <w:sz w:val="24"/>
          <w:szCs w:val="24"/>
        </w:rPr>
      </w:pPr>
      <w:bookmarkStart w:id="18" w:name="_ENREF_18"/>
      <w:r w:rsidRPr="00567579">
        <w:rPr>
          <w:sz w:val="24"/>
          <w:szCs w:val="24"/>
        </w:rPr>
        <w:t>18.</w:t>
      </w:r>
      <w:r w:rsidRPr="00567579">
        <w:rPr>
          <w:sz w:val="24"/>
          <w:szCs w:val="24"/>
        </w:rPr>
        <w:tab/>
      </w:r>
      <w:proofErr w:type="spellStart"/>
      <w:r w:rsidRPr="00567579">
        <w:rPr>
          <w:sz w:val="24"/>
          <w:szCs w:val="24"/>
        </w:rPr>
        <w:t>Shirahata</w:t>
      </w:r>
      <w:proofErr w:type="spellEnd"/>
      <w:r w:rsidRPr="00567579">
        <w:rPr>
          <w:sz w:val="24"/>
          <w:szCs w:val="24"/>
        </w:rPr>
        <w:t xml:space="preserve">-Adachi M, </w:t>
      </w:r>
      <w:proofErr w:type="spellStart"/>
      <w:r w:rsidRPr="00567579">
        <w:rPr>
          <w:sz w:val="24"/>
          <w:szCs w:val="24"/>
        </w:rPr>
        <w:t>Iriyama</w:t>
      </w:r>
      <w:proofErr w:type="spellEnd"/>
      <w:r w:rsidRPr="00567579">
        <w:rPr>
          <w:sz w:val="24"/>
          <w:szCs w:val="24"/>
        </w:rPr>
        <w:t xml:space="preserve"> C, Tomita A, Suzuki Y, Shimada K, </w:t>
      </w:r>
      <w:proofErr w:type="spellStart"/>
      <w:r w:rsidRPr="00567579">
        <w:rPr>
          <w:sz w:val="24"/>
          <w:szCs w:val="24"/>
        </w:rPr>
        <w:t>Kiyoi</w:t>
      </w:r>
      <w:proofErr w:type="spellEnd"/>
      <w:r w:rsidRPr="00567579">
        <w:rPr>
          <w:sz w:val="24"/>
          <w:szCs w:val="24"/>
        </w:rPr>
        <w:t xml:space="preserve"> H. Altered EZH2 splicing and expression is associated with impaired histone H3 lysine 27 tri-Methylation in myelodysplastic syndrome. </w:t>
      </w:r>
      <w:proofErr w:type="spellStart"/>
      <w:r w:rsidRPr="00567579">
        <w:rPr>
          <w:i/>
          <w:sz w:val="24"/>
          <w:szCs w:val="24"/>
        </w:rPr>
        <w:t>Leuk</w:t>
      </w:r>
      <w:proofErr w:type="spellEnd"/>
      <w:r w:rsidRPr="00567579">
        <w:rPr>
          <w:i/>
          <w:sz w:val="24"/>
          <w:szCs w:val="24"/>
        </w:rPr>
        <w:t xml:space="preserve"> Res</w:t>
      </w:r>
      <w:r w:rsidR="00C47896" w:rsidRPr="00567579">
        <w:rPr>
          <w:sz w:val="24"/>
          <w:szCs w:val="24"/>
        </w:rPr>
        <w:t xml:space="preserve"> 2017</w:t>
      </w:r>
      <w:r w:rsidRPr="00567579">
        <w:rPr>
          <w:sz w:val="24"/>
          <w:szCs w:val="24"/>
        </w:rPr>
        <w:t xml:space="preserve">; </w:t>
      </w:r>
      <w:r w:rsidRPr="00567579">
        <w:rPr>
          <w:b/>
          <w:sz w:val="24"/>
          <w:szCs w:val="24"/>
        </w:rPr>
        <w:t>63:</w:t>
      </w:r>
      <w:r w:rsidRPr="00567579">
        <w:rPr>
          <w:sz w:val="24"/>
          <w:szCs w:val="24"/>
        </w:rPr>
        <w:t xml:space="preserve"> 90-97</w:t>
      </w:r>
      <w:bookmarkEnd w:id="18"/>
    </w:p>
    <w:p w14:paraId="17BC60A4" w14:textId="77777777" w:rsidR="00202F15" w:rsidRDefault="00F00DC2" w:rsidP="00C47896">
      <w:pPr>
        <w:pStyle w:val="NoSpacing"/>
        <w:spacing w:line="480" w:lineRule="auto"/>
        <w:rPr>
          <w:sz w:val="24"/>
          <w:szCs w:val="24"/>
        </w:rPr>
      </w:pPr>
      <w:bookmarkStart w:id="19" w:name="_ENREF_19"/>
      <w:r w:rsidRPr="00567579">
        <w:rPr>
          <w:sz w:val="24"/>
          <w:szCs w:val="24"/>
        </w:rPr>
        <w:t>19.</w:t>
      </w:r>
      <w:r w:rsidRPr="00567579">
        <w:rPr>
          <w:sz w:val="24"/>
          <w:szCs w:val="24"/>
        </w:rPr>
        <w:tab/>
        <w:t xml:space="preserve">Findlay GM, </w:t>
      </w:r>
      <w:proofErr w:type="spellStart"/>
      <w:r w:rsidRPr="00567579">
        <w:rPr>
          <w:sz w:val="24"/>
          <w:szCs w:val="24"/>
        </w:rPr>
        <w:t>Daza</w:t>
      </w:r>
      <w:proofErr w:type="spellEnd"/>
      <w:r w:rsidRPr="00567579">
        <w:rPr>
          <w:sz w:val="24"/>
          <w:szCs w:val="24"/>
        </w:rPr>
        <w:t xml:space="preserve"> RM, Martin B, Zhang MD, Leith AP, </w:t>
      </w:r>
      <w:proofErr w:type="spellStart"/>
      <w:r w:rsidRPr="00567579">
        <w:rPr>
          <w:sz w:val="24"/>
          <w:szCs w:val="24"/>
        </w:rPr>
        <w:t>Gasperini</w:t>
      </w:r>
      <w:proofErr w:type="spellEnd"/>
      <w:r w:rsidRPr="00567579">
        <w:rPr>
          <w:sz w:val="24"/>
          <w:szCs w:val="24"/>
        </w:rPr>
        <w:t xml:space="preserve"> M</w:t>
      </w:r>
      <w:r w:rsidRPr="00567579">
        <w:rPr>
          <w:i/>
          <w:sz w:val="24"/>
          <w:szCs w:val="24"/>
        </w:rPr>
        <w:t>, et al.</w:t>
      </w:r>
      <w:r w:rsidRPr="00567579">
        <w:rPr>
          <w:sz w:val="24"/>
          <w:szCs w:val="24"/>
        </w:rPr>
        <w:t xml:space="preserve"> Accurate classification of BRCA1 variants with saturation genome editing. </w:t>
      </w:r>
      <w:r w:rsidRPr="00567579">
        <w:rPr>
          <w:i/>
          <w:sz w:val="24"/>
          <w:szCs w:val="24"/>
        </w:rPr>
        <w:t>Nature</w:t>
      </w:r>
      <w:r w:rsidR="00C47896" w:rsidRPr="00567579">
        <w:rPr>
          <w:sz w:val="24"/>
          <w:szCs w:val="24"/>
        </w:rPr>
        <w:t xml:space="preserve"> 2018</w:t>
      </w:r>
      <w:r w:rsidRPr="00567579">
        <w:rPr>
          <w:sz w:val="24"/>
          <w:szCs w:val="24"/>
        </w:rPr>
        <w:t xml:space="preserve">; </w:t>
      </w:r>
      <w:r w:rsidRPr="00567579">
        <w:rPr>
          <w:b/>
          <w:sz w:val="24"/>
          <w:szCs w:val="24"/>
        </w:rPr>
        <w:t>562:</w:t>
      </w:r>
      <w:r w:rsidRPr="00567579">
        <w:rPr>
          <w:sz w:val="24"/>
          <w:szCs w:val="24"/>
        </w:rPr>
        <w:t xml:space="preserve"> 217-222</w:t>
      </w:r>
      <w:bookmarkEnd w:id="19"/>
    </w:p>
    <w:p w14:paraId="17BC60A5" w14:textId="77777777" w:rsidR="00A53972" w:rsidRPr="0098344C" w:rsidRDefault="00D32264" w:rsidP="00A53972">
      <w:pPr>
        <w:pStyle w:val="NoSpacing"/>
        <w:spacing w:line="480" w:lineRule="auto"/>
        <w:rPr>
          <w:sz w:val="24"/>
          <w:szCs w:val="24"/>
        </w:rPr>
      </w:pPr>
      <w:r w:rsidRPr="0098344C">
        <w:rPr>
          <w:sz w:val="24"/>
          <w:szCs w:val="24"/>
        </w:rPr>
        <w:t xml:space="preserve">20. </w:t>
      </w:r>
      <w:r w:rsidRPr="0098344C">
        <w:rPr>
          <w:sz w:val="24"/>
          <w:szCs w:val="24"/>
        </w:rPr>
        <w:tab/>
      </w:r>
      <w:proofErr w:type="spellStart"/>
      <w:r w:rsidR="00A53972" w:rsidRPr="0098344C">
        <w:rPr>
          <w:sz w:val="24"/>
          <w:szCs w:val="24"/>
        </w:rPr>
        <w:t>Bejar</w:t>
      </w:r>
      <w:proofErr w:type="spellEnd"/>
      <w:r w:rsidR="00A53972" w:rsidRPr="0098344C">
        <w:rPr>
          <w:sz w:val="24"/>
          <w:szCs w:val="24"/>
        </w:rPr>
        <w:t xml:space="preserve"> R</w:t>
      </w:r>
      <w:r w:rsidRPr="0098344C">
        <w:rPr>
          <w:sz w:val="24"/>
          <w:szCs w:val="24"/>
        </w:rPr>
        <w:t xml:space="preserve">, Stevenson K, Abdel-Wahab O, </w:t>
      </w:r>
      <w:proofErr w:type="spellStart"/>
      <w:r w:rsidRPr="0098344C">
        <w:rPr>
          <w:sz w:val="24"/>
          <w:szCs w:val="24"/>
        </w:rPr>
        <w:t>Galili</w:t>
      </w:r>
      <w:proofErr w:type="spellEnd"/>
      <w:r w:rsidRPr="0098344C">
        <w:rPr>
          <w:sz w:val="24"/>
          <w:szCs w:val="24"/>
        </w:rPr>
        <w:t xml:space="preserve"> N, Nilsson B, Garcia-</w:t>
      </w:r>
      <w:proofErr w:type="spellStart"/>
      <w:r w:rsidRPr="0098344C">
        <w:rPr>
          <w:sz w:val="24"/>
          <w:szCs w:val="24"/>
        </w:rPr>
        <w:t>Manero</w:t>
      </w:r>
      <w:proofErr w:type="spellEnd"/>
      <w:r w:rsidRPr="0098344C">
        <w:rPr>
          <w:sz w:val="24"/>
          <w:szCs w:val="24"/>
        </w:rPr>
        <w:t xml:space="preserve"> G, </w:t>
      </w:r>
      <w:r w:rsidR="00A53972" w:rsidRPr="0098344C">
        <w:rPr>
          <w:i/>
          <w:sz w:val="24"/>
          <w:szCs w:val="24"/>
        </w:rPr>
        <w:t>et al.</w:t>
      </w:r>
      <w:r w:rsidR="00A53972" w:rsidRPr="0098344C">
        <w:rPr>
          <w:sz w:val="24"/>
          <w:szCs w:val="24"/>
        </w:rPr>
        <w:t xml:space="preserve"> Clinical effect of point mutations in myelodysplastic syndromes. </w:t>
      </w:r>
      <w:r w:rsidR="00A53972" w:rsidRPr="0098344C">
        <w:rPr>
          <w:i/>
          <w:sz w:val="24"/>
          <w:szCs w:val="24"/>
        </w:rPr>
        <w:t xml:space="preserve">N </w:t>
      </w:r>
      <w:proofErr w:type="spellStart"/>
      <w:r w:rsidR="00A53972" w:rsidRPr="0098344C">
        <w:rPr>
          <w:i/>
          <w:sz w:val="24"/>
          <w:szCs w:val="24"/>
        </w:rPr>
        <w:t>Engl</w:t>
      </w:r>
      <w:proofErr w:type="spellEnd"/>
      <w:r w:rsidR="00A53972" w:rsidRPr="0098344C">
        <w:rPr>
          <w:i/>
          <w:sz w:val="24"/>
          <w:szCs w:val="24"/>
        </w:rPr>
        <w:t xml:space="preserve"> J Med</w:t>
      </w:r>
      <w:r w:rsidR="00A53972" w:rsidRPr="0098344C">
        <w:rPr>
          <w:sz w:val="24"/>
          <w:szCs w:val="24"/>
        </w:rPr>
        <w:t xml:space="preserve"> 2011; </w:t>
      </w:r>
      <w:r w:rsidR="00A53972" w:rsidRPr="0098344C">
        <w:rPr>
          <w:b/>
          <w:sz w:val="24"/>
          <w:szCs w:val="24"/>
        </w:rPr>
        <w:t>30</w:t>
      </w:r>
      <w:r w:rsidR="00A53972" w:rsidRPr="0098344C">
        <w:rPr>
          <w:sz w:val="24"/>
          <w:szCs w:val="24"/>
        </w:rPr>
        <w:t>: 2496-2506</w:t>
      </w:r>
    </w:p>
    <w:p w14:paraId="17BC60A6" w14:textId="77777777" w:rsidR="00A53972" w:rsidRPr="0098344C" w:rsidRDefault="00A53972" w:rsidP="00A53972">
      <w:pPr>
        <w:pStyle w:val="NoSpacing"/>
        <w:spacing w:line="480" w:lineRule="auto"/>
        <w:rPr>
          <w:sz w:val="24"/>
          <w:szCs w:val="24"/>
        </w:rPr>
      </w:pPr>
      <w:r w:rsidRPr="0098344C">
        <w:rPr>
          <w:sz w:val="24"/>
          <w:szCs w:val="24"/>
        </w:rPr>
        <w:t>21.</w:t>
      </w:r>
      <w:r w:rsidRPr="0098344C">
        <w:rPr>
          <w:sz w:val="24"/>
          <w:szCs w:val="24"/>
        </w:rPr>
        <w:tab/>
        <w:t xml:space="preserve">Grossmann V, Kohlmann A, Eder C, </w:t>
      </w:r>
      <w:proofErr w:type="spellStart"/>
      <w:r w:rsidRPr="0098344C">
        <w:rPr>
          <w:sz w:val="24"/>
          <w:szCs w:val="24"/>
        </w:rPr>
        <w:t>Haferlach</w:t>
      </w:r>
      <w:proofErr w:type="spellEnd"/>
      <w:r w:rsidRPr="0098344C">
        <w:rPr>
          <w:sz w:val="24"/>
          <w:szCs w:val="24"/>
        </w:rPr>
        <w:t xml:space="preserve"> C, Kern W, Cross NC, </w:t>
      </w:r>
      <w:r w:rsidRPr="0098344C">
        <w:rPr>
          <w:i/>
          <w:sz w:val="24"/>
          <w:szCs w:val="24"/>
        </w:rPr>
        <w:t>et al.</w:t>
      </w:r>
      <w:r w:rsidRPr="0098344C">
        <w:rPr>
          <w:sz w:val="24"/>
          <w:szCs w:val="24"/>
        </w:rPr>
        <w:t xml:space="preserve"> Molecular profiling of chronic myelomonocytic leukemia reveals diverse mutations in &gt;80% of patients with TET2 and EZH2 being of high prognostic relevance. </w:t>
      </w:r>
      <w:r w:rsidRPr="0098344C">
        <w:rPr>
          <w:i/>
          <w:sz w:val="24"/>
          <w:szCs w:val="24"/>
        </w:rPr>
        <w:t>Leukemia</w:t>
      </w:r>
      <w:r w:rsidRPr="0098344C">
        <w:rPr>
          <w:sz w:val="24"/>
          <w:szCs w:val="24"/>
        </w:rPr>
        <w:t xml:space="preserve"> 2011; </w:t>
      </w:r>
      <w:r w:rsidRPr="0098344C">
        <w:rPr>
          <w:b/>
          <w:sz w:val="24"/>
          <w:szCs w:val="24"/>
        </w:rPr>
        <w:t>25</w:t>
      </w:r>
      <w:r w:rsidRPr="0098344C">
        <w:rPr>
          <w:sz w:val="24"/>
          <w:szCs w:val="24"/>
        </w:rPr>
        <w:t>: 877-879</w:t>
      </w:r>
    </w:p>
    <w:p w14:paraId="17BC60A7" w14:textId="77777777" w:rsidR="00A53972" w:rsidRPr="00A53972" w:rsidRDefault="002E651C" w:rsidP="00A53972">
      <w:pPr>
        <w:pStyle w:val="NoSpacing"/>
        <w:spacing w:line="480" w:lineRule="auto"/>
        <w:rPr>
          <w:sz w:val="24"/>
          <w:szCs w:val="24"/>
        </w:rPr>
      </w:pPr>
      <w:r w:rsidRPr="0098344C">
        <w:rPr>
          <w:sz w:val="24"/>
          <w:szCs w:val="24"/>
        </w:rPr>
        <w:t>22.</w:t>
      </w:r>
      <w:r w:rsidRPr="0098344C">
        <w:rPr>
          <w:sz w:val="24"/>
          <w:szCs w:val="24"/>
        </w:rPr>
        <w:tab/>
      </w:r>
      <w:r w:rsidR="00A53972" w:rsidRPr="0098344C">
        <w:rPr>
          <w:sz w:val="24"/>
          <w:szCs w:val="24"/>
        </w:rPr>
        <w:t xml:space="preserve">Score J, Hidalgo-Curtis C, Jones AV, Winkelmann N, Skinner A, Ward D </w:t>
      </w:r>
      <w:r w:rsidR="00A53972" w:rsidRPr="0098344C">
        <w:rPr>
          <w:i/>
          <w:sz w:val="24"/>
          <w:szCs w:val="24"/>
        </w:rPr>
        <w:t>et al.</w:t>
      </w:r>
      <w:r w:rsidR="00A53972" w:rsidRPr="0098344C">
        <w:rPr>
          <w:sz w:val="24"/>
          <w:szCs w:val="24"/>
        </w:rPr>
        <w:t xml:space="preserve"> </w:t>
      </w:r>
      <w:r w:rsidRPr="0098344C">
        <w:rPr>
          <w:sz w:val="24"/>
          <w:szCs w:val="24"/>
        </w:rPr>
        <w:t xml:space="preserve">Inactivation of </w:t>
      </w:r>
      <w:proofErr w:type="spellStart"/>
      <w:r w:rsidRPr="0098344C">
        <w:rPr>
          <w:sz w:val="24"/>
          <w:szCs w:val="24"/>
        </w:rPr>
        <w:t>polycomb</w:t>
      </w:r>
      <w:proofErr w:type="spellEnd"/>
      <w:r w:rsidRPr="0098344C">
        <w:rPr>
          <w:sz w:val="24"/>
          <w:szCs w:val="24"/>
        </w:rPr>
        <w:t xml:space="preserve"> repressive complex 2 components in myeloproliferative and myelodysplastic/myeloproliferative neoplasms. </w:t>
      </w:r>
      <w:r w:rsidR="00A53972" w:rsidRPr="0098344C">
        <w:rPr>
          <w:i/>
          <w:sz w:val="24"/>
          <w:szCs w:val="24"/>
        </w:rPr>
        <w:t>Blood</w:t>
      </w:r>
      <w:r w:rsidR="00A53972" w:rsidRPr="0098344C">
        <w:rPr>
          <w:sz w:val="24"/>
          <w:szCs w:val="24"/>
        </w:rPr>
        <w:t xml:space="preserve"> 2012</w:t>
      </w:r>
      <w:r w:rsidRPr="0098344C">
        <w:rPr>
          <w:sz w:val="24"/>
          <w:szCs w:val="24"/>
        </w:rPr>
        <w:t xml:space="preserve">; </w:t>
      </w:r>
      <w:r w:rsidR="00A53972" w:rsidRPr="0098344C">
        <w:rPr>
          <w:sz w:val="24"/>
          <w:szCs w:val="24"/>
        </w:rPr>
        <w:t>119</w:t>
      </w:r>
      <w:r w:rsidRPr="0098344C">
        <w:rPr>
          <w:sz w:val="24"/>
          <w:szCs w:val="24"/>
        </w:rPr>
        <w:t xml:space="preserve">: </w:t>
      </w:r>
      <w:r w:rsidR="00A53972" w:rsidRPr="0098344C">
        <w:rPr>
          <w:sz w:val="24"/>
          <w:szCs w:val="24"/>
        </w:rPr>
        <w:t>1208-</w:t>
      </w:r>
      <w:r w:rsidRPr="0098344C">
        <w:rPr>
          <w:sz w:val="24"/>
          <w:szCs w:val="24"/>
        </w:rPr>
        <w:t>12</w:t>
      </w:r>
      <w:r w:rsidR="00A53972" w:rsidRPr="0098344C">
        <w:rPr>
          <w:sz w:val="24"/>
          <w:szCs w:val="24"/>
        </w:rPr>
        <w:t>13</w:t>
      </w:r>
    </w:p>
    <w:p w14:paraId="17BC60A8" w14:textId="77777777" w:rsidR="00D21F73" w:rsidRPr="00567579" w:rsidRDefault="00D21F73" w:rsidP="00A53972">
      <w:pPr>
        <w:pStyle w:val="NoSpacing"/>
        <w:spacing w:line="480" w:lineRule="auto"/>
        <w:rPr>
          <w:sz w:val="24"/>
          <w:szCs w:val="24"/>
        </w:rPr>
      </w:pPr>
    </w:p>
    <w:p w14:paraId="17BC60A9" w14:textId="77777777" w:rsidR="00D21F73" w:rsidRPr="00567579" w:rsidRDefault="00D21F73" w:rsidP="00C47896">
      <w:pPr>
        <w:pStyle w:val="NoSpacing"/>
        <w:spacing w:line="480" w:lineRule="auto"/>
        <w:rPr>
          <w:b/>
          <w:sz w:val="28"/>
          <w:szCs w:val="24"/>
        </w:rPr>
      </w:pPr>
      <w:r w:rsidRPr="00567579">
        <w:rPr>
          <w:b/>
          <w:sz w:val="28"/>
          <w:szCs w:val="24"/>
        </w:rPr>
        <w:t>Figure legends</w:t>
      </w:r>
    </w:p>
    <w:p w14:paraId="17BC60AA" w14:textId="77777777" w:rsidR="00D21F73" w:rsidRPr="00567579" w:rsidRDefault="00D21F73" w:rsidP="00567579">
      <w:pPr>
        <w:pStyle w:val="NoSpacing"/>
        <w:spacing w:line="480" w:lineRule="auto"/>
        <w:rPr>
          <w:sz w:val="24"/>
          <w:szCs w:val="24"/>
        </w:rPr>
      </w:pPr>
    </w:p>
    <w:p w14:paraId="17BC60AB" w14:textId="77777777" w:rsidR="00D21F73" w:rsidRPr="00567579" w:rsidRDefault="00D21F73" w:rsidP="00567579">
      <w:pPr>
        <w:pStyle w:val="NoSpacing"/>
        <w:spacing w:line="480" w:lineRule="auto"/>
        <w:rPr>
          <w:sz w:val="24"/>
          <w:szCs w:val="24"/>
        </w:rPr>
      </w:pPr>
      <w:r w:rsidRPr="00567579">
        <w:rPr>
          <w:sz w:val="24"/>
          <w:szCs w:val="24"/>
        </w:rPr>
        <w:lastRenderedPageBreak/>
        <w:t xml:space="preserve">Figure 1. </w:t>
      </w:r>
      <w:r w:rsidRPr="00567579">
        <w:rPr>
          <w:i/>
          <w:sz w:val="24"/>
          <w:szCs w:val="24"/>
        </w:rPr>
        <w:t>EZH2</w:t>
      </w:r>
      <w:r w:rsidRPr="00567579">
        <w:rPr>
          <w:sz w:val="24"/>
          <w:szCs w:val="24"/>
        </w:rPr>
        <w:t xml:space="preserve"> mutations from COSMIC, selected for non-lymphoid hematopoietic neoplasms, showing amino acid numbering. Missense mutations show clustering in the DI, DII and CXC/SET regions. Very little clustering is seen with frameshift and nonsense mutations.</w:t>
      </w:r>
    </w:p>
    <w:p w14:paraId="17BC60AC" w14:textId="77777777" w:rsidR="00D21F73" w:rsidRPr="00567579" w:rsidRDefault="00D21F73" w:rsidP="00567579">
      <w:pPr>
        <w:pStyle w:val="NoSpacing"/>
        <w:spacing w:line="480" w:lineRule="auto"/>
        <w:rPr>
          <w:sz w:val="24"/>
          <w:szCs w:val="24"/>
        </w:rPr>
      </w:pPr>
    </w:p>
    <w:p w14:paraId="17BC60AD" w14:textId="77777777" w:rsidR="00D21F73" w:rsidRPr="00567579" w:rsidRDefault="00D21F73" w:rsidP="00567579">
      <w:pPr>
        <w:pStyle w:val="NoSpacing"/>
        <w:spacing w:after="120" w:line="480" w:lineRule="auto"/>
        <w:jc w:val="both"/>
        <w:rPr>
          <w:sz w:val="24"/>
          <w:szCs w:val="24"/>
          <w:lang w:val="en-GB"/>
        </w:rPr>
      </w:pPr>
      <w:r w:rsidRPr="00567579">
        <w:rPr>
          <w:sz w:val="24"/>
          <w:szCs w:val="24"/>
        </w:rPr>
        <w:t xml:space="preserve">Figure 2. </w:t>
      </w:r>
      <w:r w:rsidRPr="00567579">
        <w:rPr>
          <w:i/>
          <w:iCs/>
          <w:sz w:val="24"/>
          <w:szCs w:val="24"/>
          <w:lang w:val="en-GB"/>
        </w:rPr>
        <w:t>In vitro</w:t>
      </w:r>
      <w:r w:rsidRPr="00567579">
        <w:rPr>
          <w:sz w:val="24"/>
          <w:szCs w:val="24"/>
          <w:lang w:val="en-GB"/>
        </w:rPr>
        <w:t xml:space="preserve"> histone methylation assay of </w:t>
      </w:r>
      <w:proofErr w:type="spellStart"/>
      <w:r w:rsidRPr="00567579">
        <w:rPr>
          <w:sz w:val="24"/>
          <w:szCs w:val="24"/>
          <w:lang w:val="en-GB"/>
        </w:rPr>
        <w:t>baculovirus</w:t>
      </w:r>
      <w:proofErr w:type="spellEnd"/>
      <w:r w:rsidRPr="00567579">
        <w:rPr>
          <w:sz w:val="24"/>
          <w:szCs w:val="24"/>
          <w:lang w:val="en-GB"/>
        </w:rPr>
        <w:t xml:space="preserve"> expressed components shows retained activity of Ezh2-mutant PRC2 complexes for the three variants tested. WT (wild type) and ΔSET (SET domain deletion mutant) are positive and negative Ezh2 controls, respectively; F145C, D192N and Y244D are Ezh2 variants that lie in DI, between DI and DII, and in DII regions respectively. The upper panel (Coomassie stained histones) shows equal loading of histone substrates in each reaction. In the lower panels, Western blots with antibodies against </w:t>
      </w:r>
      <w:proofErr w:type="spellStart"/>
      <w:r w:rsidRPr="00567579">
        <w:rPr>
          <w:sz w:val="24"/>
          <w:szCs w:val="24"/>
          <w:lang w:val="en-GB"/>
        </w:rPr>
        <w:t>Eed</w:t>
      </w:r>
      <w:proofErr w:type="spellEnd"/>
      <w:r w:rsidRPr="00567579">
        <w:rPr>
          <w:sz w:val="24"/>
          <w:szCs w:val="24"/>
          <w:lang w:val="en-GB"/>
        </w:rPr>
        <w:t>, Suz12 and Ezh2 confirm the presence of all three PRC2 components.</w:t>
      </w:r>
    </w:p>
    <w:p w14:paraId="17BC60AE" w14:textId="77777777" w:rsidR="00D21F73" w:rsidRPr="00567579" w:rsidRDefault="00D21F73" w:rsidP="00567579">
      <w:pPr>
        <w:pStyle w:val="NoSpacing"/>
        <w:spacing w:line="480" w:lineRule="auto"/>
        <w:rPr>
          <w:sz w:val="24"/>
          <w:szCs w:val="24"/>
        </w:rPr>
      </w:pPr>
    </w:p>
    <w:p w14:paraId="17BC60AF" w14:textId="77777777" w:rsidR="00D21F73" w:rsidRDefault="00D21F73" w:rsidP="00567579">
      <w:pPr>
        <w:pStyle w:val="NoSpacing"/>
        <w:spacing w:after="120" w:line="480" w:lineRule="auto"/>
        <w:jc w:val="both"/>
        <w:rPr>
          <w:sz w:val="24"/>
          <w:szCs w:val="24"/>
          <w:lang w:val="en-GB"/>
        </w:rPr>
      </w:pPr>
      <w:r w:rsidRPr="00567579">
        <w:rPr>
          <w:sz w:val="24"/>
          <w:szCs w:val="24"/>
        </w:rPr>
        <w:t xml:space="preserve">Figure 3. </w:t>
      </w:r>
      <w:r w:rsidRPr="00567579">
        <w:rPr>
          <w:sz w:val="24"/>
          <w:szCs w:val="24"/>
          <w:lang w:val="en-GB"/>
        </w:rPr>
        <w:t xml:space="preserve">Assessment of methylation activity of </w:t>
      </w:r>
      <w:r w:rsidRPr="00567579">
        <w:rPr>
          <w:i/>
          <w:sz w:val="24"/>
          <w:szCs w:val="24"/>
          <w:lang w:val="en-GB"/>
        </w:rPr>
        <w:t>EZH2</w:t>
      </w:r>
      <w:r w:rsidRPr="00567579">
        <w:rPr>
          <w:sz w:val="24"/>
          <w:szCs w:val="24"/>
          <w:lang w:val="en-GB"/>
        </w:rPr>
        <w:t xml:space="preserve"> mutations methylation activity by flow cytometry. (A) At 48 hours after transfection with pCAGIG-EZH2-IRES-GFP, Ezh2-null iPS cells were stained for H3K27me3. Transfected cells, identified by GFP positivity, became H3K27me3 positive when transfected with wild type EZH2 (low panels) but not with the vector control (upper panels). (B) EZH2 constructs with a range of mutations (amino acid positions are shown </w:t>
      </w:r>
      <w:r w:rsidRPr="0098344C">
        <w:rPr>
          <w:sz w:val="24"/>
          <w:szCs w:val="24"/>
          <w:lang w:val="en-GB"/>
        </w:rPr>
        <w:t>in upper panel</w:t>
      </w:r>
      <w:r w:rsidR="00E96627" w:rsidRPr="0098344C">
        <w:rPr>
          <w:sz w:val="24"/>
          <w:szCs w:val="24"/>
          <w:lang w:val="en-GB"/>
        </w:rPr>
        <w:t xml:space="preserve"> aligned against EZH2 exons and domains</w:t>
      </w:r>
      <w:r w:rsidRPr="0098344C">
        <w:rPr>
          <w:sz w:val="24"/>
          <w:szCs w:val="24"/>
          <w:lang w:val="en-GB"/>
        </w:rPr>
        <w:t xml:space="preserve">) were transfected into </w:t>
      </w:r>
      <w:r w:rsidRPr="0098344C">
        <w:rPr>
          <w:i/>
          <w:sz w:val="24"/>
          <w:szCs w:val="24"/>
          <w:lang w:val="en-GB"/>
        </w:rPr>
        <w:t>Ezh2</w:t>
      </w:r>
      <w:r w:rsidRPr="0098344C">
        <w:rPr>
          <w:sz w:val="24"/>
          <w:szCs w:val="24"/>
          <w:lang w:val="en-GB"/>
        </w:rPr>
        <w:t>-null iPS</w:t>
      </w:r>
      <w:r w:rsidRPr="00567579">
        <w:rPr>
          <w:sz w:val="24"/>
          <w:szCs w:val="24"/>
          <w:lang w:val="en-GB"/>
        </w:rPr>
        <w:t xml:space="preserve"> cells. Intensity of fluorescence was normalised to 0 and 1 for vector only and wild type EZH2 transfected cells respectively. </w:t>
      </w:r>
    </w:p>
    <w:p w14:paraId="17BC60B0" w14:textId="77777777" w:rsidR="00567579" w:rsidRPr="00567579" w:rsidRDefault="00567579" w:rsidP="00567579">
      <w:pPr>
        <w:pStyle w:val="NoSpacing"/>
        <w:spacing w:after="120" w:line="480" w:lineRule="auto"/>
        <w:jc w:val="both"/>
        <w:rPr>
          <w:sz w:val="24"/>
          <w:szCs w:val="24"/>
          <w:lang w:val="en-GB"/>
        </w:rPr>
      </w:pPr>
    </w:p>
    <w:p w14:paraId="17BC60B1" w14:textId="77777777" w:rsidR="00D21F73" w:rsidRDefault="00D21F73" w:rsidP="00567579">
      <w:pPr>
        <w:pStyle w:val="NoSpacing"/>
        <w:spacing w:after="120" w:line="480" w:lineRule="auto"/>
        <w:jc w:val="both"/>
        <w:rPr>
          <w:sz w:val="24"/>
          <w:szCs w:val="24"/>
          <w:lang w:val="en-GB"/>
        </w:rPr>
      </w:pPr>
      <w:r w:rsidRPr="00567579">
        <w:rPr>
          <w:sz w:val="24"/>
          <w:szCs w:val="24"/>
        </w:rPr>
        <w:lastRenderedPageBreak/>
        <w:t xml:space="preserve">Figure 4. </w:t>
      </w:r>
      <w:r w:rsidRPr="00567579">
        <w:rPr>
          <w:sz w:val="24"/>
          <w:szCs w:val="24"/>
          <w:lang w:val="en-GB"/>
        </w:rPr>
        <w:t xml:space="preserve">Effect of exonic variants on exon skipping. (A) RT-PCR analysis using flanking primers, e.g. exon 5 was amplified using primers in exons 4 and 6. Exon skipping was seen with variants in exon 8 but not with variants in exons 5, 6, 7 or 14. Controls </w:t>
      </w:r>
      <w:r w:rsidRPr="00567579">
        <w:rPr>
          <w:sz w:val="24"/>
          <w:szCs w:val="24"/>
        </w:rPr>
        <w:t xml:space="preserve">are patients with myeloid neoplasms without an </w:t>
      </w:r>
      <w:r w:rsidRPr="00567579">
        <w:rPr>
          <w:i/>
          <w:sz w:val="24"/>
          <w:szCs w:val="24"/>
        </w:rPr>
        <w:t>EZH2</w:t>
      </w:r>
      <w:r w:rsidRPr="00567579">
        <w:rPr>
          <w:sz w:val="24"/>
          <w:szCs w:val="24"/>
        </w:rPr>
        <w:t xml:space="preserve"> mutation in the relevant exon </w:t>
      </w:r>
      <w:r w:rsidRPr="00567579">
        <w:rPr>
          <w:sz w:val="24"/>
          <w:szCs w:val="24"/>
          <w:lang w:val="en-GB"/>
        </w:rPr>
        <w:t>(B) The structure of exon 8 and location of variants. The 3’ 15 bp alternatively spliced end of exon 8 is shown in grey. (C) Sequence traces of normal splicing between exons 7 and 8, and exon 8 (shorter exon variant) and 9 (upper two traces) and result of skipping of exon 8 (lower trace) resulting in an out-of-frame transcript and a predicted p.(K243Nfs*10) truncated protein.</w:t>
      </w:r>
    </w:p>
    <w:p w14:paraId="17BC60B2" w14:textId="77777777" w:rsidR="00567579" w:rsidRPr="00567579" w:rsidRDefault="00567579" w:rsidP="00567579">
      <w:pPr>
        <w:pStyle w:val="NoSpacing"/>
        <w:spacing w:after="120" w:line="480" w:lineRule="auto"/>
        <w:jc w:val="both"/>
        <w:rPr>
          <w:sz w:val="24"/>
          <w:szCs w:val="24"/>
          <w:lang w:val="en-GB"/>
        </w:rPr>
      </w:pPr>
    </w:p>
    <w:p w14:paraId="17BC60B3" w14:textId="77777777" w:rsidR="00D21F73" w:rsidRDefault="00D21F73" w:rsidP="00567579">
      <w:pPr>
        <w:pStyle w:val="NoSpacing"/>
        <w:spacing w:after="120" w:line="480" w:lineRule="auto"/>
        <w:jc w:val="both"/>
        <w:rPr>
          <w:sz w:val="24"/>
          <w:szCs w:val="24"/>
          <w:lang w:val="en-GB"/>
        </w:rPr>
      </w:pPr>
      <w:r w:rsidRPr="00567579">
        <w:rPr>
          <w:sz w:val="24"/>
          <w:szCs w:val="24"/>
        </w:rPr>
        <w:t xml:space="preserve">Figure 5. (A) </w:t>
      </w:r>
      <w:r w:rsidRPr="00567579">
        <w:rPr>
          <w:sz w:val="24"/>
          <w:szCs w:val="24"/>
          <w:lang w:val="en-GB"/>
        </w:rPr>
        <w:t xml:space="preserve">Exon 8 skipping in four </w:t>
      </w:r>
      <w:r w:rsidRPr="00567579">
        <w:rPr>
          <w:i/>
          <w:sz w:val="24"/>
          <w:szCs w:val="24"/>
          <w:lang w:val="en-GB"/>
        </w:rPr>
        <w:t>EZH2</w:t>
      </w:r>
      <w:r w:rsidRPr="00567579">
        <w:rPr>
          <w:sz w:val="24"/>
          <w:szCs w:val="24"/>
          <w:lang w:val="en-GB"/>
        </w:rPr>
        <w:t xml:space="preserve"> exon 8 mutated samples, myeloid neoplasia samples without </w:t>
      </w:r>
      <w:r w:rsidRPr="00567579">
        <w:rPr>
          <w:i/>
          <w:sz w:val="24"/>
          <w:szCs w:val="24"/>
          <w:lang w:val="en-GB"/>
        </w:rPr>
        <w:t>EZH2</w:t>
      </w:r>
      <w:r w:rsidRPr="00567579">
        <w:rPr>
          <w:sz w:val="24"/>
          <w:szCs w:val="24"/>
          <w:lang w:val="en-GB"/>
        </w:rPr>
        <w:t xml:space="preserve"> mutations, and healthy controls, as detected by FAM-labelled PCR and </w:t>
      </w:r>
      <w:proofErr w:type="spellStart"/>
      <w:r w:rsidRPr="00567579">
        <w:rPr>
          <w:sz w:val="24"/>
          <w:szCs w:val="24"/>
          <w:lang w:val="en-GB"/>
        </w:rPr>
        <w:t>Genescan</w:t>
      </w:r>
      <w:proofErr w:type="spellEnd"/>
      <w:r w:rsidRPr="00567579">
        <w:rPr>
          <w:sz w:val="24"/>
          <w:szCs w:val="24"/>
          <w:lang w:val="en-GB"/>
        </w:rPr>
        <w:t xml:space="preserve"> analysis. Myeloid neoplasia samples without </w:t>
      </w:r>
      <w:r w:rsidRPr="00567579">
        <w:rPr>
          <w:i/>
          <w:sz w:val="24"/>
          <w:szCs w:val="24"/>
          <w:lang w:val="en-GB"/>
        </w:rPr>
        <w:t>EZH2</w:t>
      </w:r>
      <w:r w:rsidRPr="00567579">
        <w:rPr>
          <w:sz w:val="24"/>
          <w:szCs w:val="24"/>
          <w:lang w:val="en-GB"/>
        </w:rPr>
        <w:t xml:space="preserve"> mutations were all analysed by the Illumina </w:t>
      </w:r>
      <w:proofErr w:type="spellStart"/>
      <w:r w:rsidRPr="00567579">
        <w:rPr>
          <w:sz w:val="24"/>
          <w:szCs w:val="24"/>
          <w:lang w:val="en-GB"/>
        </w:rPr>
        <w:t>Trusight</w:t>
      </w:r>
      <w:proofErr w:type="spellEnd"/>
      <w:r w:rsidRPr="00567579">
        <w:rPr>
          <w:sz w:val="24"/>
          <w:szCs w:val="24"/>
          <w:lang w:val="en-GB"/>
        </w:rPr>
        <w:t xml:space="preserve"> myeloid </w:t>
      </w:r>
      <w:r w:rsidRPr="00DE2681">
        <w:rPr>
          <w:sz w:val="24"/>
          <w:szCs w:val="24"/>
          <w:lang w:val="en-GB"/>
        </w:rPr>
        <w:t>panel</w:t>
      </w:r>
      <w:r w:rsidR="00E35D4A" w:rsidRPr="00DE2681">
        <w:rPr>
          <w:sz w:val="24"/>
          <w:szCs w:val="24"/>
          <w:lang w:val="en-GB"/>
        </w:rPr>
        <w:t xml:space="preserve">. Three samples, marked with an </w:t>
      </w:r>
      <w:r w:rsidR="00DE2681" w:rsidRPr="00DE2681">
        <w:rPr>
          <w:sz w:val="24"/>
          <w:szCs w:val="24"/>
          <w:lang w:val="en-GB"/>
        </w:rPr>
        <w:t>asterisk</w:t>
      </w:r>
      <w:r w:rsidR="00E35D4A" w:rsidRPr="00DE2681">
        <w:rPr>
          <w:sz w:val="24"/>
          <w:szCs w:val="24"/>
          <w:lang w:val="en-GB"/>
        </w:rPr>
        <w:t xml:space="preserve">, had mutations in </w:t>
      </w:r>
      <w:r w:rsidR="00DE2681" w:rsidRPr="00DE2681">
        <w:rPr>
          <w:sz w:val="24"/>
          <w:szCs w:val="24"/>
          <w:lang w:val="en-GB"/>
        </w:rPr>
        <w:t xml:space="preserve">the splicing factors </w:t>
      </w:r>
      <w:r w:rsidR="00DE2681" w:rsidRPr="00DE2681">
        <w:rPr>
          <w:i/>
          <w:sz w:val="24"/>
          <w:szCs w:val="24"/>
          <w:lang w:val="en-GB"/>
        </w:rPr>
        <w:t>SRSF2</w:t>
      </w:r>
      <w:r w:rsidR="00DE2681" w:rsidRPr="00DE2681">
        <w:rPr>
          <w:sz w:val="24"/>
          <w:szCs w:val="24"/>
          <w:lang w:val="en-GB"/>
        </w:rPr>
        <w:t xml:space="preserve"> (two samples) and </w:t>
      </w:r>
      <w:r w:rsidR="00DE2681" w:rsidRPr="00DE2681">
        <w:rPr>
          <w:i/>
          <w:sz w:val="24"/>
          <w:szCs w:val="24"/>
          <w:lang w:val="en-GB"/>
        </w:rPr>
        <w:t>U2AF1</w:t>
      </w:r>
      <w:r w:rsidR="00DE2681" w:rsidRPr="00DE2681">
        <w:rPr>
          <w:sz w:val="24"/>
          <w:szCs w:val="24"/>
          <w:lang w:val="en-GB"/>
        </w:rPr>
        <w:t xml:space="preserve"> (one sample)</w:t>
      </w:r>
      <w:r w:rsidRPr="00DE2681">
        <w:rPr>
          <w:sz w:val="24"/>
          <w:szCs w:val="24"/>
          <w:lang w:val="en-GB"/>
        </w:rPr>
        <w:t xml:space="preserve">. The </w:t>
      </w:r>
      <w:r w:rsidRPr="00567579">
        <w:rPr>
          <w:sz w:val="24"/>
          <w:szCs w:val="24"/>
          <w:lang w:val="en-GB"/>
        </w:rPr>
        <w:t xml:space="preserve">effect of exon 8 variants on skipping of exon 8 was assessed using the pSpliceExpress minigene system in HEK293F cells (B) and HeLa cells (C). All mutations examined showed increased skipping compared to wild type </w:t>
      </w:r>
      <w:r w:rsidRPr="00567579">
        <w:rPr>
          <w:i/>
          <w:sz w:val="24"/>
          <w:szCs w:val="24"/>
          <w:lang w:val="en-GB"/>
        </w:rPr>
        <w:t>EZH2</w:t>
      </w:r>
      <w:r w:rsidRPr="00567579">
        <w:rPr>
          <w:sz w:val="24"/>
          <w:szCs w:val="24"/>
          <w:lang w:val="en-GB"/>
        </w:rPr>
        <w:t>.</w:t>
      </w:r>
    </w:p>
    <w:p w14:paraId="17BC60B4" w14:textId="77777777" w:rsidR="00D62C77" w:rsidRPr="00567579" w:rsidRDefault="00D62C77" w:rsidP="00567579">
      <w:pPr>
        <w:pStyle w:val="NoSpacing"/>
        <w:spacing w:after="120" w:line="480" w:lineRule="auto"/>
        <w:jc w:val="both"/>
        <w:rPr>
          <w:sz w:val="24"/>
          <w:szCs w:val="24"/>
          <w:lang w:val="en-GB"/>
        </w:rPr>
      </w:pPr>
    </w:p>
    <w:p w14:paraId="17BC60B5" w14:textId="77777777" w:rsidR="00D21F73" w:rsidRPr="00D62C77" w:rsidRDefault="00D62C77" w:rsidP="00567579">
      <w:pPr>
        <w:pStyle w:val="NoSpacing"/>
        <w:spacing w:line="480" w:lineRule="auto"/>
        <w:rPr>
          <w:b/>
          <w:sz w:val="24"/>
          <w:szCs w:val="24"/>
        </w:rPr>
      </w:pPr>
      <w:r w:rsidRPr="00D62C77">
        <w:rPr>
          <w:b/>
          <w:sz w:val="24"/>
          <w:szCs w:val="24"/>
        </w:rPr>
        <w:t>Table Legends</w:t>
      </w:r>
    </w:p>
    <w:p w14:paraId="17BC60B6" w14:textId="27F4A33C" w:rsidR="00D62C77" w:rsidRDefault="00D62C77" w:rsidP="00567579">
      <w:pPr>
        <w:pStyle w:val="NoSpacing"/>
        <w:spacing w:line="480" w:lineRule="auto"/>
        <w:rPr>
          <w:sz w:val="24"/>
          <w:szCs w:val="24"/>
        </w:rPr>
      </w:pPr>
      <w:r w:rsidRPr="00D62C77">
        <w:rPr>
          <w:sz w:val="24"/>
          <w:szCs w:val="24"/>
        </w:rPr>
        <w:t>Table 1: EZH2 mutation details and assay results. Where there are potentially pathogenic changes to methylation activity or splicing, these are indicated in bold. Coding and protein sequences are numbered according to transcript NM_004456.</w:t>
      </w:r>
    </w:p>
    <w:p w14:paraId="6F270438" w14:textId="5FD8F079" w:rsidR="00295FA4" w:rsidRPr="00295FA4" w:rsidRDefault="00295FA4" w:rsidP="00567579">
      <w:pPr>
        <w:pStyle w:val="NoSpacing"/>
        <w:spacing w:line="480" w:lineRule="auto"/>
        <w:rPr>
          <w:b/>
          <w:bCs/>
          <w:sz w:val="28"/>
          <w:szCs w:val="28"/>
        </w:rPr>
      </w:pPr>
      <w:r w:rsidRPr="00295FA4">
        <w:rPr>
          <w:b/>
          <w:bCs/>
          <w:sz w:val="28"/>
          <w:szCs w:val="28"/>
        </w:rPr>
        <w:lastRenderedPageBreak/>
        <w:t>Figures</w:t>
      </w:r>
    </w:p>
    <w:p w14:paraId="208E3610" w14:textId="09A07749" w:rsidR="00295FA4" w:rsidRPr="007A0D80" w:rsidRDefault="00295FA4" w:rsidP="00567579">
      <w:pPr>
        <w:pStyle w:val="NoSpacing"/>
        <w:spacing w:line="480" w:lineRule="auto"/>
        <w:rPr>
          <w:b/>
          <w:bCs/>
          <w:sz w:val="24"/>
          <w:szCs w:val="24"/>
        </w:rPr>
      </w:pPr>
      <w:r w:rsidRPr="007A0D80">
        <w:rPr>
          <w:b/>
          <w:bCs/>
          <w:sz w:val="24"/>
          <w:szCs w:val="24"/>
        </w:rPr>
        <w:t>Figure 1</w:t>
      </w:r>
    </w:p>
    <w:p w14:paraId="6C0CDC38" w14:textId="16001CF3" w:rsidR="00295FA4" w:rsidRDefault="00BF13BD" w:rsidP="00567579">
      <w:pPr>
        <w:pStyle w:val="NoSpacing"/>
        <w:spacing w:line="480" w:lineRule="auto"/>
        <w:rPr>
          <w:sz w:val="24"/>
          <w:szCs w:val="24"/>
        </w:rPr>
      </w:pPr>
      <w:r>
        <w:rPr>
          <w:noProof/>
          <w:sz w:val="24"/>
          <w:szCs w:val="24"/>
        </w:rPr>
        <w:drawing>
          <wp:inline distT="0" distB="0" distL="0" distR="0" wp14:anchorId="1D6353F2" wp14:editId="53C5FDBA">
            <wp:extent cx="5943600" cy="44577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690DFAFD" w14:textId="77777777" w:rsidR="00D65E84" w:rsidRDefault="00D65E84">
      <w:pPr>
        <w:spacing w:after="160" w:line="259" w:lineRule="auto"/>
        <w:rPr>
          <w:rFonts w:eastAsiaTheme="minorEastAsia" w:cstheme="minorBidi"/>
          <w:sz w:val="24"/>
          <w:szCs w:val="24"/>
          <w:lang w:val="en-US" w:eastAsia="zh-CN"/>
        </w:rPr>
      </w:pPr>
      <w:r>
        <w:rPr>
          <w:sz w:val="24"/>
          <w:szCs w:val="24"/>
        </w:rPr>
        <w:br w:type="page"/>
      </w:r>
    </w:p>
    <w:p w14:paraId="796010CC" w14:textId="4E67394C" w:rsidR="00295FA4" w:rsidRPr="007A0D80" w:rsidRDefault="00295FA4" w:rsidP="00567579">
      <w:pPr>
        <w:pStyle w:val="NoSpacing"/>
        <w:spacing w:line="480" w:lineRule="auto"/>
        <w:rPr>
          <w:b/>
          <w:bCs/>
          <w:sz w:val="24"/>
          <w:szCs w:val="24"/>
        </w:rPr>
      </w:pPr>
      <w:r w:rsidRPr="007A0D80">
        <w:rPr>
          <w:b/>
          <w:bCs/>
          <w:sz w:val="24"/>
          <w:szCs w:val="24"/>
        </w:rPr>
        <w:lastRenderedPageBreak/>
        <w:t>Figure 2</w:t>
      </w:r>
    </w:p>
    <w:p w14:paraId="4E8B0BC4" w14:textId="1CAF8A8C" w:rsidR="00295FA4" w:rsidRDefault="00BF13BD" w:rsidP="00567579">
      <w:pPr>
        <w:pStyle w:val="NoSpacing"/>
        <w:spacing w:line="480" w:lineRule="auto"/>
        <w:rPr>
          <w:sz w:val="24"/>
          <w:szCs w:val="24"/>
        </w:rPr>
      </w:pPr>
      <w:r>
        <w:rPr>
          <w:noProof/>
          <w:sz w:val="24"/>
          <w:szCs w:val="24"/>
        </w:rPr>
        <w:drawing>
          <wp:inline distT="0" distB="0" distL="0" distR="0" wp14:anchorId="1562D49C" wp14:editId="46E4DC97">
            <wp:extent cx="5943600" cy="4457700"/>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47005F9" w14:textId="2A6B86DD" w:rsidR="00D65E84" w:rsidRDefault="00D65E84">
      <w:pPr>
        <w:spacing w:after="160" w:line="259" w:lineRule="auto"/>
        <w:rPr>
          <w:rFonts w:eastAsiaTheme="minorEastAsia" w:cstheme="minorBidi"/>
          <w:sz w:val="24"/>
          <w:szCs w:val="24"/>
          <w:lang w:val="en-US" w:eastAsia="zh-CN"/>
        </w:rPr>
      </w:pPr>
    </w:p>
    <w:p w14:paraId="02CA644F" w14:textId="77777777" w:rsidR="00F36159" w:rsidRDefault="00F36159" w:rsidP="00567579">
      <w:pPr>
        <w:pStyle w:val="NoSpacing"/>
        <w:spacing w:line="480" w:lineRule="auto"/>
        <w:rPr>
          <w:sz w:val="24"/>
          <w:szCs w:val="24"/>
        </w:rPr>
        <w:sectPr w:rsidR="00F36159" w:rsidSect="00A15AAA">
          <w:pgSz w:w="12240" w:h="15840"/>
          <w:pgMar w:top="1440" w:right="1440" w:bottom="1440" w:left="1440" w:header="708" w:footer="708" w:gutter="0"/>
          <w:lnNumType w:countBy="1" w:restart="continuous"/>
          <w:cols w:space="708"/>
          <w:docGrid w:linePitch="360"/>
        </w:sectPr>
      </w:pPr>
    </w:p>
    <w:p w14:paraId="65BF70E6" w14:textId="6E13A5BE" w:rsidR="00295FA4" w:rsidRDefault="00295FA4" w:rsidP="00567579">
      <w:pPr>
        <w:pStyle w:val="NoSpacing"/>
        <w:spacing w:line="480" w:lineRule="auto"/>
        <w:rPr>
          <w:sz w:val="24"/>
          <w:szCs w:val="24"/>
        </w:rPr>
      </w:pPr>
      <w:r>
        <w:rPr>
          <w:sz w:val="24"/>
          <w:szCs w:val="24"/>
        </w:rPr>
        <w:lastRenderedPageBreak/>
        <w:t>Figure 3</w:t>
      </w:r>
    </w:p>
    <w:p w14:paraId="7F7A5513" w14:textId="0D74824F" w:rsidR="00295FA4" w:rsidRDefault="00872908" w:rsidP="00567579">
      <w:pPr>
        <w:pStyle w:val="NoSpacing"/>
        <w:spacing w:line="480" w:lineRule="auto"/>
        <w:rPr>
          <w:sz w:val="24"/>
          <w:szCs w:val="24"/>
        </w:rPr>
      </w:pPr>
      <w:r>
        <w:rPr>
          <w:noProof/>
          <w:sz w:val="24"/>
          <w:szCs w:val="24"/>
        </w:rPr>
        <w:drawing>
          <wp:inline distT="0" distB="0" distL="0" distR="0" wp14:anchorId="49B7DBDA" wp14:editId="21533CE1">
            <wp:extent cx="5943600" cy="44577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LEU-1167 Figure 3 resent 2.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6840A88" w14:textId="77777777" w:rsidR="00D65E84" w:rsidRDefault="00D65E84">
      <w:pPr>
        <w:spacing w:after="160" w:line="259" w:lineRule="auto"/>
        <w:rPr>
          <w:rFonts w:eastAsiaTheme="minorEastAsia" w:cstheme="minorBidi"/>
          <w:sz w:val="24"/>
          <w:szCs w:val="24"/>
          <w:lang w:val="en-US" w:eastAsia="zh-CN"/>
        </w:rPr>
      </w:pPr>
      <w:r>
        <w:rPr>
          <w:sz w:val="24"/>
          <w:szCs w:val="24"/>
        </w:rPr>
        <w:br w:type="page"/>
      </w:r>
    </w:p>
    <w:p w14:paraId="131A0E69" w14:textId="77777777" w:rsidR="00AF0D51" w:rsidRDefault="00AF0D51" w:rsidP="00567579">
      <w:pPr>
        <w:pStyle w:val="NoSpacing"/>
        <w:spacing w:line="480" w:lineRule="auto"/>
        <w:rPr>
          <w:sz w:val="24"/>
          <w:szCs w:val="24"/>
        </w:rPr>
        <w:sectPr w:rsidR="00AF0D51" w:rsidSect="00AF0D51">
          <w:pgSz w:w="15840" w:h="12240" w:orient="landscape"/>
          <w:pgMar w:top="1440" w:right="1440" w:bottom="1440" w:left="1440" w:header="708" w:footer="708" w:gutter="0"/>
          <w:lnNumType w:countBy="1" w:restart="continuous"/>
          <w:cols w:space="708"/>
          <w:docGrid w:linePitch="360"/>
        </w:sectPr>
      </w:pPr>
    </w:p>
    <w:p w14:paraId="28B922DC" w14:textId="48F5A725" w:rsidR="00295FA4" w:rsidRPr="007A0D80" w:rsidRDefault="00295FA4" w:rsidP="00567579">
      <w:pPr>
        <w:pStyle w:val="NoSpacing"/>
        <w:spacing w:line="480" w:lineRule="auto"/>
        <w:rPr>
          <w:b/>
          <w:bCs/>
          <w:sz w:val="24"/>
          <w:szCs w:val="24"/>
        </w:rPr>
      </w:pPr>
      <w:r w:rsidRPr="007A0D80">
        <w:rPr>
          <w:b/>
          <w:bCs/>
          <w:sz w:val="24"/>
          <w:szCs w:val="24"/>
        </w:rPr>
        <w:lastRenderedPageBreak/>
        <w:t>Figure 4</w:t>
      </w:r>
    </w:p>
    <w:p w14:paraId="40A15C29" w14:textId="5EB5C856" w:rsidR="00295FA4" w:rsidRDefault="004C3C79" w:rsidP="00567579">
      <w:pPr>
        <w:pStyle w:val="NoSpacing"/>
        <w:spacing w:line="480" w:lineRule="auto"/>
        <w:rPr>
          <w:sz w:val="24"/>
          <w:szCs w:val="24"/>
        </w:rPr>
      </w:pPr>
      <w:r>
        <w:rPr>
          <w:noProof/>
          <w:sz w:val="24"/>
          <w:szCs w:val="24"/>
        </w:rPr>
        <w:drawing>
          <wp:inline distT="0" distB="0" distL="0" distR="0" wp14:anchorId="7ED36AFF" wp14:editId="5A585C9D">
            <wp:extent cx="5337594" cy="7116792"/>
            <wp:effectExtent l="0" t="0" r="0" b="825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LEU-1167 Fig 4 resent 130420.jpg"/>
                    <pic:cNvPicPr/>
                  </pic:nvPicPr>
                  <pic:blipFill>
                    <a:blip r:embed="rId17">
                      <a:extLst>
                        <a:ext uri="{28A0092B-C50C-407E-A947-70E740481C1C}">
                          <a14:useLocalDpi xmlns:a14="http://schemas.microsoft.com/office/drawing/2010/main" val="0"/>
                        </a:ext>
                      </a:extLst>
                    </a:blip>
                    <a:stretch>
                      <a:fillRect/>
                    </a:stretch>
                  </pic:blipFill>
                  <pic:spPr>
                    <a:xfrm>
                      <a:off x="0" y="0"/>
                      <a:ext cx="5352681" cy="7136908"/>
                    </a:xfrm>
                    <a:prstGeom prst="rect">
                      <a:avLst/>
                    </a:prstGeom>
                  </pic:spPr>
                </pic:pic>
              </a:graphicData>
            </a:graphic>
          </wp:inline>
        </w:drawing>
      </w:r>
    </w:p>
    <w:p w14:paraId="2993EC3F" w14:textId="77777777" w:rsidR="00D65E84" w:rsidRDefault="00D65E84">
      <w:pPr>
        <w:spacing w:after="160" w:line="259" w:lineRule="auto"/>
        <w:rPr>
          <w:rFonts w:eastAsiaTheme="minorEastAsia" w:cstheme="minorBidi"/>
          <w:sz w:val="24"/>
          <w:szCs w:val="24"/>
          <w:lang w:val="en-US" w:eastAsia="zh-CN"/>
        </w:rPr>
      </w:pPr>
      <w:r>
        <w:rPr>
          <w:sz w:val="24"/>
          <w:szCs w:val="24"/>
        </w:rPr>
        <w:br w:type="page"/>
      </w:r>
    </w:p>
    <w:p w14:paraId="33D3FB7A" w14:textId="0AD1B185" w:rsidR="00295FA4" w:rsidRPr="007A0D80" w:rsidRDefault="00BF13BD" w:rsidP="00567579">
      <w:pPr>
        <w:pStyle w:val="NoSpacing"/>
        <w:spacing w:line="480" w:lineRule="auto"/>
        <w:rPr>
          <w:b/>
          <w:bCs/>
          <w:sz w:val="24"/>
          <w:szCs w:val="24"/>
        </w:rPr>
      </w:pPr>
      <w:r w:rsidRPr="007A0D80">
        <w:rPr>
          <w:b/>
          <w:bCs/>
          <w:sz w:val="24"/>
          <w:szCs w:val="24"/>
        </w:rPr>
        <w:lastRenderedPageBreak/>
        <w:t>Figure 5</w:t>
      </w:r>
    </w:p>
    <w:p w14:paraId="4348A4D1" w14:textId="05C109F7" w:rsidR="00BF13BD" w:rsidRDefault="00BF13BD" w:rsidP="00567579">
      <w:pPr>
        <w:pStyle w:val="NoSpacing"/>
        <w:spacing w:line="480" w:lineRule="auto"/>
        <w:rPr>
          <w:sz w:val="24"/>
          <w:szCs w:val="24"/>
        </w:rPr>
      </w:pPr>
      <w:r>
        <w:rPr>
          <w:noProof/>
          <w:sz w:val="24"/>
          <w:szCs w:val="24"/>
        </w:rPr>
        <w:drawing>
          <wp:inline distT="0" distB="0" distL="0" distR="0" wp14:anchorId="59A8001A" wp14:editId="2FD61FE5">
            <wp:extent cx="5943600" cy="445770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411A833" w14:textId="77777777" w:rsidR="00132F6B" w:rsidRDefault="00132F6B" w:rsidP="00567579">
      <w:pPr>
        <w:pStyle w:val="NoSpacing"/>
        <w:spacing w:line="480" w:lineRule="auto"/>
        <w:rPr>
          <w:sz w:val="24"/>
          <w:szCs w:val="24"/>
        </w:rPr>
        <w:sectPr w:rsidR="00132F6B" w:rsidSect="00AF0D51">
          <w:pgSz w:w="12240" w:h="15840"/>
          <w:pgMar w:top="1440" w:right="1440" w:bottom="1440" w:left="1440" w:header="708" w:footer="708" w:gutter="0"/>
          <w:lnNumType w:countBy="1" w:restart="continuous"/>
          <w:cols w:space="708"/>
          <w:docGrid w:linePitch="360"/>
        </w:sectPr>
      </w:pPr>
    </w:p>
    <w:p w14:paraId="739865CB" w14:textId="7838A0A7" w:rsidR="00295FA4" w:rsidRPr="00132F6B" w:rsidRDefault="00132F6B" w:rsidP="00567579">
      <w:pPr>
        <w:pStyle w:val="NoSpacing"/>
        <w:spacing w:line="480" w:lineRule="auto"/>
        <w:rPr>
          <w:b/>
          <w:bCs/>
          <w:sz w:val="24"/>
          <w:szCs w:val="24"/>
        </w:rPr>
      </w:pPr>
      <w:r w:rsidRPr="00132F6B">
        <w:rPr>
          <w:b/>
          <w:bCs/>
          <w:sz w:val="24"/>
          <w:szCs w:val="24"/>
        </w:rPr>
        <w:lastRenderedPageBreak/>
        <w:t>Table 1</w:t>
      </w:r>
    </w:p>
    <w:p w14:paraId="12D3240C" w14:textId="77777777" w:rsidR="004543D7" w:rsidRDefault="004543D7" w:rsidP="004543D7">
      <w:pPr>
        <w:jc w:val="both"/>
      </w:pPr>
      <w:r>
        <w:t xml:space="preserve">Table 1: </w:t>
      </w:r>
      <w:r w:rsidRPr="00866EB4">
        <w:rPr>
          <w:i/>
        </w:rPr>
        <w:t>EZH2</w:t>
      </w:r>
      <w:r>
        <w:t xml:space="preserve"> mutation details and assay results. Where there are potentially pathogenic changes to methylation activity or splicing, these are indicated in bold. Coding and protein sequences are numbered according to transcript NM_004456.</w:t>
      </w:r>
    </w:p>
    <w:tbl>
      <w:tblPr>
        <w:tblStyle w:val="TableGrid"/>
        <w:tblW w:w="12866" w:type="dxa"/>
        <w:tblLayout w:type="fixed"/>
        <w:tblLook w:val="04A0" w:firstRow="1" w:lastRow="0" w:firstColumn="1" w:lastColumn="0" w:noHBand="0" w:noVBand="1"/>
      </w:tblPr>
      <w:tblGrid>
        <w:gridCol w:w="959"/>
        <w:gridCol w:w="2551"/>
        <w:gridCol w:w="709"/>
        <w:gridCol w:w="1276"/>
        <w:gridCol w:w="1984"/>
        <w:gridCol w:w="1843"/>
        <w:gridCol w:w="1559"/>
        <w:gridCol w:w="1985"/>
      </w:tblGrid>
      <w:tr w:rsidR="004543D7" w14:paraId="7A1C51EA" w14:textId="77777777" w:rsidTr="00C85EE4">
        <w:tc>
          <w:tcPr>
            <w:tcW w:w="959" w:type="dxa"/>
          </w:tcPr>
          <w:p w14:paraId="491A902A" w14:textId="77777777" w:rsidR="004543D7" w:rsidRDefault="004543D7" w:rsidP="00C85EE4">
            <w:r>
              <w:t>Variant No.</w:t>
            </w:r>
          </w:p>
        </w:tc>
        <w:tc>
          <w:tcPr>
            <w:tcW w:w="2551" w:type="dxa"/>
          </w:tcPr>
          <w:p w14:paraId="1B1970C1" w14:textId="77777777" w:rsidR="004543D7" w:rsidRDefault="004543D7" w:rsidP="00C85EE4">
            <w:r>
              <w:t>Variant</w:t>
            </w:r>
          </w:p>
        </w:tc>
        <w:tc>
          <w:tcPr>
            <w:tcW w:w="709" w:type="dxa"/>
          </w:tcPr>
          <w:p w14:paraId="3A075941" w14:textId="77777777" w:rsidR="004543D7" w:rsidRDefault="004543D7" w:rsidP="00C85EE4">
            <w:r>
              <w:t>Exon</w:t>
            </w:r>
          </w:p>
        </w:tc>
        <w:tc>
          <w:tcPr>
            <w:tcW w:w="1276" w:type="dxa"/>
          </w:tcPr>
          <w:p w14:paraId="46F7F4D8" w14:textId="77777777" w:rsidR="004543D7" w:rsidRDefault="004543D7" w:rsidP="00C85EE4">
            <w:r>
              <w:t>Region</w:t>
            </w:r>
          </w:p>
        </w:tc>
        <w:tc>
          <w:tcPr>
            <w:tcW w:w="1984" w:type="dxa"/>
          </w:tcPr>
          <w:p w14:paraId="3178E154" w14:textId="77777777" w:rsidR="004543D7" w:rsidRDefault="004543D7" w:rsidP="00C85EE4">
            <w:r>
              <w:t>In-vitro histone methylation assay</w:t>
            </w:r>
          </w:p>
        </w:tc>
        <w:tc>
          <w:tcPr>
            <w:tcW w:w="1843" w:type="dxa"/>
          </w:tcPr>
          <w:p w14:paraId="05692BB6" w14:textId="77777777" w:rsidR="004543D7" w:rsidRDefault="004543D7" w:rsidP="00C85EE4">
            <w:r>
              <w:t>Cell-based H3K27 methylation assay</w:t>
            </w:r>
          </w:p>
        </w:tc>
        <w:tc>
          <w:tcPr>
            <w:tcW w:w="1559" w:type="dxa"/>
          </w:tcPr>
          <w:p w14:paraId="2EBE9094" w14:textId="77777777" w:rsidR="004543D7" w:rsidRDefault="004543D7" w:rsidP="00C85EE4">
            <w:r>
              <w:t>Splicing by RT-PCR</w:t>
            </w:r>
          </w:p>
        </w:tc>
        <w:tc>
          <w:tcPr>
            <w:tcW w:w="1985" w:type="dxa"/>
          </w:tcPr>
          <w:p w14:paraId="5FBD3EBA" w14:textId="77777777" w:rsidR="004543D7" w:rsidRDefault="004543D7" w:rsidP="00C85EE4">
            <w:r>
              <w:t>Splicing by mini-gene assay</w:t>
            </w:r>
          </w:p>
        </w:tc>
      </w:tr>
      <w:tr w:rsidR="004543D7" w14:paraId="2792F972" w14:textId="77777777" w:rsidTr="00C85EE4">
        <w:tc>
          <w:tcPr>
            <w:tcW w:w="959" w:type="dxa"/>
          </w:tcPr>
          <w:p w14:paraId="2B7F70E0" w14:textId="77777777" w:rsidR="004543D7" w:rsidRDefault="004543D7" w:rsidP="00C85EE4">
            <w:pPr>
              <w:jc w:val="both"/>
            </w:pPr>
            <w:r>
              <w:t>1</w:t>
            </w:r>
          </w:p>
        </w:tc>
        <w:tc>
          <w:tcPr>
            <w:tcW w:w="2551" w:type="dxa"/>
          </w:tcPr>
          <w:p w14:paraId="531A0662" w14:textId="77777777" w:rsidR="004543D7" w:rsidRDefault="004543D7" w:rsidP="00C85EE4">
            <w:pPr>
              <w:jc w:val="both"/>
            </w:pPr>
            <w:r w:rsidRPr="00830DC8">
              <w:t>c.384A&gt;C</w:t>
            </w:r>
            <w:r>
              <w:t xml:space="preserve"> </w:t>
            </w:r>
            <w:proofErr w:type="gramStart"/>
            <w:r>
              <w:t>p.(</w:t>
            </w:r>
            <w:proofErr w:type="gramEnd"/>
            <w:r w:rsidRPr="00830DC8">
              <w:t>L</w:t>
            </w:r>
            <w:r>
              <w:t>eu128Phe)</w:t>
            </w:r>
          </w:p>
        </w:tc>
        <w:tc>
          <w:tcPr>
            <w:tcW w:w="709" w:type="dxa"/>
          </w:tcPr>
          <w:p w14:paraId="2873C29B" w14:textId="77777777" w:rsidR="004543D7" w:rsidRDefault="004543D7" w:rsidP="00C85EE4">
            <w:pPr>
              <w:jc w:val="both"/>
            </w:pPr>
            <w:r>
              <w:t>5</w:t>
            </w:r>
          </w:p>
        </w:tc>
        <w:tc>
          <w:tcPr>
            <w:tcW w:w="1276" w:type="dxa"/>
          </w:tcPr>
          <w:p w14:paraId="7BFD8873" w14:textId="77777777" w:rsidR="004543D7" w:rsidRDefault="004543D7" w:rsidP="00C85EE4">
            <w:pPr>
              <w:jc w:val="both"/>
            </w:pPr>
            <w:r>
              <w:t>DI</w:t>
            </w:r>
          </w:p>
        </w:tc>
        <w:tc>
          <w:tcPr>
            <w:tcW w:w="1984" w:type="dxa"/>
          </w:tcPr>
          <w:p w14:paraId="4868A34E" w14:textId="77777777" w:rsidR="004543D7" w:rsidRDefault="004543D7" w:rsidP="00C85EE4">
            <w:pPr>
              <w:jc w:val="both"/>
            </w:pPr>
            <w:r>
              <w:t>ND</w:t>
            </w:r>
          </w:p>
        </w:tc>
        <w:tc>
          <w:tcPr>
            <w:tcW w:w="1843" w:type="dxa"/>
          </w:tcPr>
          <w:p w14:paraId="714DC72B" w14:textId="77777777" w:rsidR="004543D7" w:rsidRPr="00573472" w:rsidRDefault="004543D7" w:rsidP="00C85EE4">
            <w:pPr>
              <w:jc w:val="both"/>
              <w:rPr>
                <w:b/>
              </w:rPr>
            </w:pPr>
            <w:r w:rsidRPr="00573472">
              <w:rPr>
                <w:b/>
              </w:rPr>
              <w:t>Inactive</w:t>
            </w:r>
          </w:p>
        </w:tc>
        <w:tc>
          <w:tcPr>
            <w:tcW w:w="1559" w:type="dxa"/>
          </w:tcPr>
          <w:p w14:paraId="4FDEA2AC" w14:textId="77777777" w:rsidR="004543D7" w:rsidRDefault="004543D7" w:rsidP="00C85EE4">
            <w:pPr>
              <w:jc w:val="both"/>
            </w:pPr>
            <w:r>
              <w:t>Normal</w:t>
            </w:r>
          </w:p>
        </w:tc>
        <w:tc>
          <w:tcPr>
            <w:tcW w:w="1985" w:type="dxa"/>
          </w:tcPr>
          <w:p w14:paraId="2B13899C" w14:textId="77777777" w:rsidR="004543D7" w:rsidRDefault="004543D7" w:rsidP="00C85EE4">
            <w:pPr>
              <w:jc w:val="both"/>
            </w:pPr>
            <w:r>
              <w:t>ND</w:t>
            </w:r>
          </w:p>
        </w:tc>
      </w:tr>
      <w:tr w:rsidR="004543D7" w14:paraId="2982E73A" w14:textId="77777777" w:rsidTr="00C85EE4">
        <w:tc>
          <w:tcPr>
            <w:tcW w:w="959" w:type="dxa"/>
          </w:tcPr>
          <w:p w14:paraId="4C7840BD" w14:textId="77777777" w:rsidR="004543D7" w:rsidRDefault="004543D7" w:rsidP="00C85EE4">
            <w:pPr>
              <w:jc w:val="both"/>
            </w:pPr>
            <w:r>
              <w:t>2</w:t>
            </w:r>
          </w:p>
        </w:tc>
        <w:tc>
          <w:tcPr>
            <w:tcW w:w="2551" w:type="dxa"/>
          </w:tcPr>
          <w:p w14:paraId="3C586096" w14:textId="77777777" w:rsidR="004543D7" w:rsidRDefault="004543D7" w:rsidP="00C85EE4">
            <w:pPr>
              <w:jc w:val="both"/>
            </w:pPr>
            <w:r w:rsidRPr="00830DC8">
              <w:t>c.394C&gt;T</w:t>
            </w:r>
            <w:r>
              <w:t xml:space="preserve"> </w:t>
            </w:r>
            <w:proofErr w:type="gramStart"/>
            <w:r>
              <w:t>p.(</w:t>
            </w:r>
            <w:proofErr w:type="gramEnd"/>
            <w:r w:rsidRPr="00830DC8">
              <w:t>P</w:t>
            </w:r>
            <w:r>
              <w:t>ro</w:t>
            </w:r>
            <w:r w:rsidRPr="00830DC8">
              <w:t>132S</w:t>
            </w:r>
            <w:r>
              <w:t>er)</w:t>
            </w:r>
          </w:p>
        </w:tc>
        <w:tc>
          <w:tcPr>
            <w:tcW w:w="709" w:type="dxa"/>
          </w:tcPr>
          <w:p w14:paraId="257E30BD" w14:textId="77777777" w:rsidR="004543D7" w:rsidRDefault="004543D7" w:rsidP="00C85EE4">
            <w:pPr>
              <w:jc w:val="both"/>
            </w:pPr>
            <w:r>
              <w:t>5</w:t>
            </w:r>
          </w:p>
        </w:tc>
        <w:tc>
          <w:tcPr>
            <w:tcW w:w="1276" w:type="dxa"/>
          </w:tcPr>
          <w:p w14:paraId="752078C1" w14:textId="77777777" w:rsidR="004543D7" w:rsidRDefault="004543D7" w:rsidP="00C85EE4">
            <w:pPr>
              <w:jc w:val="both"/>
            </w:pPr>
            <w:r>
              <w:t>DI</w:t>
            </w:r>
          </w:p>
        </w:tc>
        <w:tc>
          <w:tcPr>
            <w:tcW w:w="1984" w:type="dxa"/>
          </w:tcPr>
          <w:p w14:paraId="79C589DB" w14:textId="77777777" w:rsidR="004543D7" w:rsidRDefault="004543D7" w:rsidP="00C85EE4">
            <w:pPr>
              <w:jc w:val="both"/>
            </w:pPr>
            <w:r>
              <w:t>ND</w:t>
            </w:r>
          </w:p>
        </w:tc>
        <w:tc>
          <w:tcPr>
            <w:tcW w:w="1843" w:type="dxa"/>
          </w:tcPr>
          <w:p w14:paraId="2A469F9B" w14:textId="77777777" w:rsidR="004543D7" w:rsidRPr="00573472" w:rsidRDefault="004543D7" w:rsidP="00C85EE4">
            <w:pPr>
              <w:jc w:val="both"/>
              <w:rPr>
                <w:b/>
              </w:rPr>
            </w:pPr>
            <w:r w:rsidRPr="00573472">
              <w:rPr>
                <w:b/>
              </w:rPr>
              <w:t>Inactive</w:t>
            </w:r>
          </w:p>
        </w:tc>
        <w:tc>
          <w:tcPr>
            <w:tcW w:w="1559" w:type="dxa"/>
          </w:tcPr>
          <w:p w14:paraId="7265B953" w14:textId="77777777" w:rsidR="004543D7" w:rsidRDefault="004543D7" w:rsidP="00C85EE4">
            <w:pPr>
              <w:jc w:val="both"/>
            </w:pPr>
            <w:r>
              <w:t>ND</w:t>
            </w:r>
          </w:p>
        </w:tc>
        <w:tc>
          <w:tcPr>
            <w:tcW w:w="1985" w:type="dxa"/>
          </w:tcPr>
          <w:p w14:paraId="438391F3" w14:textId="77777777" w:rsidR="004543D7" w:rsidRDefault="004543D7" w:rsidP="00C85EE4">
            <w:pPr>
              <w:jc w:val="both"/>
            </w:pPr>
            <w:r>
              <w:t>ND</w:t>
            </w:r>
          </w:p>
        </w:tc>
      </w:tr>
      <w:tr w:rsidR="004543D7" w14:paraId="15AC7193" w14:textId="77777777" w:rsidTr="00C85EE4">
        <w:tc>
          <w:tcPr>
            <w:tcW w:w="959" w:type="dxa"/>
          </w:tcPr>
          <w:p w14:paraId="1DED6EA5" w14:textId="77777777" w:rsidR="004543D7" w:rsidRDefault="004543D7" w:rsidP="00C85EE4">
            <w:pPr>
              <w:jc w:val="both"/>
            </w:pPr>
            <w:r>
              <w:t>3</w:t>
            </w:r>
          </w:p>
        </w:tc>
        <w:tc>
          <w:tcPr>
            <w:tcW w:w="2551" w:type="dxa"/>
          </w:tcPr>
          <w:p w14:paraId="38BA69DD" w14:textId="77777777" w:rsidR="004543D7" w:rsidRDefault="004543D7" w:rsidP="00C85EE4">
            <w:pPr>
              <w:jc w:val="both"/>
            </w:pPr>
            <w:r>
              <w:t xml:space="preserve">c.401T&gt;A </w:t>
            </w:r>
            <w:proofErr w:type="gramStart"/>
            <w:r>
              <w:t>p.(</w:t>
            </w:r>
            <w:proofErr w:type="gramEnd"/>
            <w:r>
              <w:t>Met134Lys)</w:t>
            </w:r>
          </w:p>
        </w:tc>
        <w:tc>
          <w:tcPr>
            <w:tcW w:w="709" w:type="dxa"/>
          </w:tcPr>
          <w:p w14:paraId="627C066B" w14:textId="77777777" w:rsidR="004543D7" w:rsidRDefault="004543D7" w:rsidP="00C85EE4">
            <w:pPr>
              <w:jc w:val="both"/>
            </w:pPr>
            <w:r>
              <w:t>5</w:t>
            </w:r>
          </w:p>
        </w:tc>
        <w:tc>
          <w:tcPr>
            <w:tcW w:w="1276" w:type="dxa"/>
          </w:tcPr>
          <w:p w14:paraId="4B0F2D7B" w14:textId="77777777" w:rsidR="004543D7" w:rsidRDefault="004543D7" w:rsidP="00C85EE4">
            <w:pPr>
              <w:jc w:val="both"/>
            </w:pPr>
            <w:r>
              <w:t>DI</w:t>
            </w:r>
          </w:p>
        </w:tc>
        <w:tc>
          <w:tcPr>
            <w:tcW w:w="1984" w:type="dxa"/>
          </w:tcPr>
          <w:p w14:paraId="2050B621" w14:textId="77777777" w:rsidR="004543D7" w:rsidRDefault="004543D7" w:rsidP="00C85EE4">
            <w:pPr>
              <w:jc w:val="both"/>
            </w:pPr>
            <w:r>
              <w:t>ND</w:t>
            </w:r>
          </w:p>
        </w:tc>
        <w:tc>
          <w:tcPr>
            <w:tcW w:w="1843" w:type="dxa"/>
          </w:tcPr>
          <w:p w14:paraId="5367DFC9" w14:textId="77777777" w:rsidR="004543D7" w:rsidRPr="00573472" w:rsidRDefault="004543D7" w:rsidP="00C85EE4">
            <w:pPr>
              <w:jc w:val="both"/>
              <w:rPr>
                <w:b/>
              </w:rPr>
            </w:pPr>
            <w:r w:rsidRPr="00573472">
              <w:rPr>
                <w:b/>
              </w:rPr>
              <w:t>Inactive</w:t>
            </w:r>
          </w:p>
        </w:tc>
        <w:tc>
          <w:tcPr>
            <w:tcW w:w="1559" w:type="dxa"/>
          </w:tcPr>
          <w:p w14:paraId="53010D04" w14:textId="77777777" w:rsidR="004543D7" w:rsidRDefault="004543D7" w:rsidP="00C85EE4">
            <w:pPr>
              <w:jc w:val="both"/>
            </w:pPr>
            <w:r>
              <w:t>ND</w:t>
            </w:r>
          </w:p>
        </w:tc>
        <w:tc>
          <w:tcPr>
            <w:tcW w:w="1985" w:type="dxa"/>
          </w:tcPr>
          <w:p w14:paraId="6A5D3AFA" w14:textId="77777777" w:rsidR="004543D7" w:rsidRDefault="004543D7" w:rsidP="00C85EE4">
            <w:pPr>
              <w:jc w:val="both"/>
            </w:pPr>
            <w:r>
              <w:t>ND</w:t>
            </w:r>
          </w:p>
        </w:tc>
      </w:tr>
      <w:tr w:rsidR="004543D7" w14:paraId="5AC0ABAC" w14:textId="77777777" w:rsidTr="00C85EE4">
        <w:tc>
          <w:tcPr>
            <w:tcW w:w="959" w:type="dxa"/>
          </w:tcPr>
          <w:p w14:paraId="138DC555" w14:textId="77777777" w:rsidR="004543D7" w:rsidRDefault="004543D7" w:rsidP="00C85EE4">
            <w:pPr>
              <w:jc w:val="both"/>
            </w:pPr>
            <w:r>
              <w:t>4</w:t>
            </w:r>
          </w:p>
        </w:tc>
        <w:tc>
          <w:tcPr>
            <w:tcW w:w="2551" w:type="dxa"/>
          </w:tcPr>
          <w:p w14:paraId="40D818CF" w14:textId="77777777" w:rsidR="004543D7" w:rsidRDefault="004543D7" w:rsidP="00C85EE4">
            <w:pPr>
              <w:jc w:val="both"/>
            </w:pPr>
            <w:r w:rsidRPr="0017689E">
              <w:t>c.434T&gt;G</w:t>
            </w:r>
            <w:r>
              <w:t xml:space="preserve"> </w:t>
            </w:r>
            <w:proofErr w:type="gramStart"/>
            <w:r>
              <w:t>p.(</w:t>
            </w:r>
            <w:proofErr w:type="gramEnd"/>
            <w:r>
              <w:t>Phe145Cys)</w:t>
            </w:r>
          </w:p>
        </w:tc>
        <w:tc>
          <w:tcPr>
            <w:tcW w:w="709" w:type="dxa"/>
          </w:tcPr>
          <w:p w14:paraId="3D3C8940" w14:textId="77777777" w:rsidR="004543D7" w:rsidRDefault="004543D7" w:rsidP="00C85EE4">
            <w:pPr>
              <w:jc w:val="both"/>
            </w:pPr>
            <w:r>
              <w:t>5</w:t>
            </w:r>
          </w:p>
        </w:tc>
        <w:tc>
          <w:tcPr>
            <w:tcW w:w="1276" w:type="dxa"/>
          </w:tcPr>
          <w:p w14:paraId="566A4419" w14:textId="77777777" w:rsidR="004543D7" w:rsidRDefault="004543D7" w:rsidP="00C85EE4">
            <w:pPr>
              <w:jc w:val="both"/>
            </w:pPr>
            <w:r>
              <w:t>DI</w:t>
            </w:r>
          </w:p>
        </w:tc>
        <w:tc>
          <w:tcPr>
            <w:tcW w:w="1984" w:type="dxa"/>
          </w:tcPr>
          <w:p w14:paraId="45C369D8" w14:textId="77777777" w:rsidR="004543D7" w:rsidRPr="00573472" w:rsidRDefault="004543D7" w:rsidP="00C85EE4">
            <w:pPr>
              <w:jc w:val="both"/>
            </w:pPr>
            <w:r w:rsidRPr="00573472">
              <w:t>Active</w:t>
            </w:r>
          </w:p>
        </w:tc>
        <w:tc>
          <w:tcPr>
            <w:tcW w:w="1843" w:type="dxa"/>
          </w:tcPr>
          <w:p w14:paraId="74C0597C" w14:textId="77777777" w:rsidR="004543D7" w:rsidRPr="00573472" w:rsidRDefault="004543D7" w:rsidP="00C85EE4">
            <w:pPr>
              <w:jc w:val="both"/>
              <w:rPr>
                <w:b/>
              </w:rPr>
            </w:pPr>
            <w:r w:rsidRPr="00573472">
              <w:rPr>
                <w:b/>
              </w:rPr>
              <w:t>Inactive</w:t>
            </w:r>
          </w:p>
        </w:tc>
        <w:tc>
          <w:tcPr>
            <w:tcW w:w="1559" w:type="dxa"/>
          </w:tcPr>
          <w:p w14:paraId="1235D7F8" w14:textId="77777777" w:rsidR="004543D7" w:rsidRDefault="004543D7" w:rsidP="00C85EE4">
            <w:pPr>
              <w:jc w:val="both"/>
            </w:pPr>
            <w:r>
              <w:t>ND</w:t>
            </w:r>
          </w:p>
        </w:tc>
        <w:tc>
          <w:tcPr>
            <w:tcW w:w="1985" w:type="dxa"/>
          </w:tcPr>
          <w:p w14:paraId="36AB0A8E" w14:textId="77777777" w:rsidR="004543D7" w:rsidRDefault="004543D7" w:rsidP="00C85EE4">
            <w:pPr>
              <w:jc w:val="both"/>
            </w:pPr>
            <w:r>
              <w:t>ND</w:t>
            </w:r>
          </w:p>
        </w:tc>
      </w:tr>
      <w:tr w:rsidR="004543D7" w14:paraId="4AD59666" w14:textId="77777777" w:rsidTr="00C85EE4">
        <w:tc>
          <w:tcPr>
            <w:tcW w:w="959" w:type="dxa"/>
          </w:tcPr>
          <w:p w14:paraId="2C86C744" w14:textId="77777777" w:rsidR="004543D7" w:rsidRDefault="004543D7" w:rsidP="00C85EE4">
            <w:pPr>
              <w:jc w:val="both"/>
            </w:pPr>
            <w:r>
              <w:t>5</w:t>
            </w:r>
          </w:p>
        </w:tc>
        <w:tc>
          <w:tcPr>
            <w:tcW w:w="2551" w:type="dxa"/>
          </w:tcPr>
          <w:p w14:paraId="4997571E" w14:textId="77777777" w:rsidR="004543D7" w:rsidRDefault="004543D7" w:rsidP="00C85EE4">
            <w:pPr>
              <w:jc w:val="both"/>
            </w:pPr>
            <w:r>
              <w:t>c.466</w:t>
            </w:r>
            <w:r w:rsidRPr="00154C9C">
              <w:t>A&gt;G</w:t>
            </w:r>
            <w:r>
              <w:t xml:space="preserve"> </w:t>
            </w:r>
            <w:proofErr w:type="gramStart"/>
            <w:r>
              <w:t>p.(</w:t>
            </w:r>
            <w:proofErr w:type="gramEnd"/>
            <w:r>
              <w:t>Lys156Glu)</w:t>
            </w:r>
          </w:p>
        </w:tc>
        <w:tc>
          <w:tcPr>
            <w:tcW w:w="709" w:type="dxa"/>
          </w:tcPr>
          <w:p w14:paraId="4DF5E474" w14:textId="77777777" w:rsidR="004543D7" w:rsidRDefault="004543D7" w:rsidP="00C85EE4">
            <w:pPr>
              <w:jc w:val="both"/>
            </w:pPr>
            <w:r>
              <w:t>5</w:t>
            </w:r>
          </w:p>
        </w:tc>
        <w:tc>
          <w:tcPr>
            <w:tcW w:w="1276" w:type="dxa"/>
          </w:tcPr>
          <w:p w14:paraId="6D4A05B6" w14:textId="77777777" w:rsidR="004543D7" w:rsidRDefault="004543D7" w:rsidP="00C85EE4">
            <w:pPr>
              <w:jc w:val="both"/>
            </w:pPr>
            <w:r>
              <w:t>DI</w:t>
            </w:r>
          </w:p>
        </w:tc>
        <w:tc>
          <w:tcPr>
            <w:tcW w:w="1984" w:type="dxa"/>
          </w:tcPr>
          <w:p w14:paraId="4BCA1393" w14:textId="77777777" w:rsidR="004543D7" w:rsidRDefault="004543D7" w:rsidP="00C85EE4">
            <w:pPr>
              <w:jc w:val="both"/>
            </w:pPr>
            <w:r>
              <w:t>ND</w:t>
            </w:r>
          </w:p>
        </w:tc>
        <w:tc>
          <w:tcPr>
            <w:tcW w:w="1843" w:type="dxa"/>
          </w:tcPr>
          <w:p w14:paraId="225DBD01" w14:textId="77777777" w:rsidR="004543D7" w:rsidRPr="00573472" w:rsidRDefault="004543D7" w:rsidP="00C85EE4">
            <w:pPr>
              <w:jc w:val="both"/>
              <w:rPr>
                <w:b/>
              </w:rPr>
            </w:pPr>
            <w:r>
              <w:rPr>
                <w:b/>
              </w:rPr>
              <w:t>Reduced activity</w:t>
            </w:r>
          </w:p>
        </w:tc>
        <w:tc>
          <w:tcPr>
            <w:tcW w:w="1559" w:type="dxa"/>
          </w:tcPr>
          <w:p w14:paraId="01289799" w14:textId="77777777" w:rsidR="004543D7" w:rsidRDefault="004543D7" w:rsidP="00C85EE4">
            <w:pPr>
              <w:jc w:val="both"/>
            </w:pPr>
            <w:r>
              <w:t>ND</w:t>
            </w:r>
          </w:p>
        </w:tc>
        <w:tc>
          <w:tcPr>
            <w:tcW w:w="1985" w:type="dxa"/>
          </w:tcPr>
          <w:p w14:paraId="0D4C7FF5" w14:textId="77777777" w:rsidR="004543D7" w:rsidRDefault="004543D7" w:rsidP="00C85EE4">
            <w:pPr>
              <w:jc w:val="both"/>
            </w:pPr>
            <w:r>
              <w:t>ND</w:t>
            </w:r>
          </w:p>
        </w:tc>
      </w:tr>
      <w:tr w:rsidR="004543D7" w14:paraId="31FAC10C" w14:textId="77777777" w:rsidTr="00C85EE4">
        <w:tc>
          <w:tcPr>
            <w:tcW w:w="959" w:type="dxa"/>
          </w:tcPr>
          <w:p w14:paraId="7EF79577" w14:textId="77777777" w:rsidR="004543D7" w:rsidRDefault="004543D7" w:rsidP="00C85EE4">
            <w:pPr>
              <w:jc w:val="both"/>
            </w:pPr>
            <w:r>
              <w:t>6</w:t>
            </w:r>
          </w:p>
        </w:tc>
        <w:tc>
          <w:tcPr>
            <w:tcW w:w="2551" w:type="dxa"/>
          </w:tcPr>
          <w:p w14:paraId="7B2DE69F" w14:textId="77777777" w:rsidR="004543D7" w:rsidRDefault="004543D7" w:rsidP="00C85EE4">
            <w:pPr>
              <w:jc w:val="both"/>
            </w:pPr>
            <w:r w:rsidRPr="000F226A">
              <w:t>c.574G&gt;A</w:t>
            </w:r>
            <w:r>
              <w:t xml:space="preserve"> </w:t>
            </w:r>
            <w:proofErr w:type="gramStart"/>
            <w:r>
              <w:t>p.(</w:t>
            </w:r>
            <w:proofErr w:type="gramEnd"/>
            <w:r>
              <w:t>Asp192Asn)</w:t>
            </w:r>
          </w:p>
        </w:tc>
        <w:tc>
          <w:tcPr>
            <w:tcW w:w="709" w:type="dxa"/>
          </w:tcPr>
          <w:p w14:paraId="2AF54D49" w14:textId="77777777" w:rsidR="004543D7" w:rsidRDefault="004543D7" w:rsidP="00C85EE4">
            <w:pPr>
              <w:jc w:val="both"/>
            </w:pPr>
            <w:r>
              <w:t>6</w:t>
            </w:r>
          </w:p>
        </w:tc>
        <w:tc>
          <w:tcPr>
            <w:tcW w:w="1276" w:type="dxa"/>
          </w:tcPr>
          <w:p w14:paraId="1FA2B62C" w14:textId="77777777" w:rsidR="004543D7" w:rsidRDefault="004543D7" w:rsidP="00C85EE4">
            <w:pPr>
              <w:jc w:val="both"/>
            </w:pPr>
            <w:r>
              <w:t>Between</w:t>
            </w:r>
          </w:p>
          <w:p w14:paraId="403388DB" w14:textId="77777777" w:rsidR="004543D7" w:rsidRDefault="004543D7" w:rsidP="00C85EE4">
            <w:pPr>
              <w:jc w:val="both"/>
            </w:pPr>
            <w:r>
              <w:t>DI and DII</w:t>
            </w:r>
          </w:p>
        </w:tc>
        <w:tc>
          <w:tcPr>
            <w:tcW w:w="1984" w:type="dxa"/>
          </w:tcPr>
          <w:p w14:paraId="14160F5B" w14:textId="77777777" w:rsidR="004543D7" w:rsidRPr="00573472" w:rsidRDefault="004543D7" w:rsidP="00C85EE4">
            <w:pPr>
              <w:jc w:val="both"/>
            </w:pPr>
            <w:r w:rsidRPr="00573472">
              <w:t>Active</w:t>
            </w:r>
          </w:p>
        </w:tc>
        <w:tc>
          <w:tcPr>
            <w:tcW w:w="1843" w:type="dxa"/>
          </w:tcPr>
          <w:p w14:paraId="2D57C8B6" w14:textId="77777777" w:rsidR="004543D7" w:rsidRPr="00FD08C2" w:rsidRDefault="004543D7" w:rsidP="00C85EE4">
            <w:pPr>
              <w:jc w:val="both"/>
            </w:pPr>
            <w:r w:rsidRPr="00FD08C2">
              <w:t>Active</w:t>
            </w:r>
          </w:p>
        </w:tc>
        <w:tc>
          <w:tcPr>
            <w:tcW w:w="1559" w:type="dxa"/>
          </w:tcPr>
          <w:p w14:paraId="1BBBBFDE" w14:textId="77777777" w:rsidR="004543D7" w:rsidRDefault="004543D7" w:rsidP="00C85EE4">
            <w:pPr>
              <w:jc w:val="both"/>
            </w:pPr>
            <w:r>
              <w:t>Normal</w:t>
            </w:r>
          </w:p>
        </w:tc>
        <w:tc>
          <w:tcPr>
            <w:tcW w:w="1985" w:type="dxa"/>
          </w:tcPr>
          <w:p w14:paraId="0CBC61A5" w14:textId="77777777" w:rsidR="004543D7" w:rsidRDefault="004543D7" w:rsidP="00C85EE4">
            <w:pPr>
              <w:jc w:val="both"/>
            </w:pPr>
            <w:r>
              <w:t>ND</w:t>
            </w:r>
          </w:p>
        </w:tc>
      </w:tr>
      <w:tr w:rsidR="004543D7" w:rsidRPr="004948A4" w14:paraId="71524D8E" w14:textId="77777777" w:rsidTr="00C85EE4">
        <w:tc>
          <w:tcPr>
            <w:tcW w:w="959" w:type="dxa"/>
          </w:tcPr>
          <w:p w14:paraId="7BCCB57C" w14:textId="77777777" w:rsidR="004543D7" w:rsidRPr="004948A4" w:rsidRDefault="004543D7" w:rsidP="00C85EE4">
            <w:pPr>
              <w:jc w:val="both"/>
            </w:pPr>
            <w:r w:rsidRPr="004948A4">
              <w:t>7</w:t>
            </w:r>
          </w:p>
        </w:tc>
        <w:tc>
          <w:tcPr>
            <w:tcW w:w="2551" w:type="dxa"/>
          </w:tcPr>
          <w:p w14:paraId="775B44DD" w14:textId="77777777" w:rsidR="004543D7" w:rsidRPr="004948A4" w:rsidRDefault="004543D7" w:rsidP="00C85EE4">
            <w:pPr>
              <w:jc w:val="both"/>
            </w:pPr>
            <w:r>
              <w:t xml:space="preserve">c.727A&gt;C </w:t>
            </w:r>
            <w:proofErr w:type="gramStart"/>
            <w:r>
              <w:t>p.(</w:t>
            </w:r>
            <w:proofErr w:type="gramEnd"/>
            <w:r>
              <w:t>Lys243Gln</w:t>
            </w:r>
            <w:r w:rsidRPr="004948A4">
              <w:t>)</w:t>
            </w:r>
          </w:p>
        </w:tc>
        <w:tc>
          <w:tcPr>
            <w:tcW w:w="709" w:type="dxa"/>
          </w:tcPr>
          <w:p w14:paraId="036DC501" w14:textId="77777777" w:rsidR="004543D7" w:rsidRPr="004948A4" w:rsidRDefault="004543D7" w:rsidP="00C85EE4">
            <w:pPr>
              <w:jc w:val="both"/>
            </w:pPr>
            <w:r w:rsidRPr="004948A4">
              <w:t>7</w:t>
            </w:r>
          </w:p>
        </w:tc>
        <w:tc>
          <w:tcPr>
            <w:tcW w:w="1276" w:type="dxa"/>
          </w:tcPr>
          <w:p w14:paraId="252B6E70" w14:textId="77777777" w:rsidR="004543D7" w:rsidRPr="004948A4" w:rsidRDefault="004543D7" w:rsidP="00C85EE4">
            <w:pPr>
              <w:jc w:val="both"/>
            </w:pPr>
            <w:r w:rsidRPr="004948A4">
              <w:t>DII</w:t>
            </w:r>
          </w:p>
        </w:tc>
        <w:tc>
          <w:tcPr>
            <w:tcW w:w="1984" w:type="dxa"/>
          </w:tcPr>
          <w:p w14:paraId="0E388593" w14:textId="77777777" w:rsidR="004543D7" w:rsidRPr="004948A4" w:rsidRDefault="004543D7" w:rsidP="00C85EE4">
            <w:pPr>
              <w:jc w:val="both"/>
            </w:pPr>
            <w:r w:rsidRPr="004948A4">
              <w:t>ND</w:t>
            </w:r>
          </w:p>
        </w:tc>
        <w:tc>
          <w:tcPr>
            <w:tcW w:w="1843" w:type="dxa"/>
          </w:tcPr>
          <w:p w14:paraId="29690570" w14:textId="77777777" w:rsidR="004543D7" w:rsidRPr="004948A4" w:rsidRDefault="004543D7" w:rsidP="00C85EE4">
            <w:pPr>
              <w:jc w:val="both"/>
            </w:pPr>
            <w:r w:rsidRPr="004948A4">
              <w:t>ND</w:t>
            </w:r>
          </w:p>
        </w:tc>
        <w:tc>
          <w:tcPr>
            <w:tcW w:w="1559" w:type="dxa"/>
          </w:tcPr>
          <w:p w14:paraId="3D025388" w14:textId="77777777" w:rsidR="004543D7" w:rsidRPr="004948A4" w:rsidRDefault="004543D7" w:rsidP="00C85EE4">
            <w:pPr>
              <w:jc w:val="both"/>
            </w:pPr>
            <w:r w:rsidRPr="004948A4">
              <w:t>Normal</w:t>
            </w:r>
          </w:p>
        </w:tc>
        <w:tc>
          <w:tcPr>
            <w:tcW w:w="1985" w:type="dxa"/>
          </w:tcPr>
          <w:p w14:paraId="1D4B6AF0" w14:textId="77777777" w:rsidR="004543D7" w:rsidRPr="004948A4" w:rsidRDefault="004543D7" w:rsidP="00C85EE4">
            <w:pPr>
              <w:jc w:val="both"/>
            </w:pPr>
            <w:r w:rsidRPr="004948A4">
              <w:t>ND</w:t>
            </w:r>
          </w:p>
        </w:tc>
      </w:tr>
      <w:tr w:rsidR="004543D7" w14:paraId="56A12577" w14:textId="77777777" w:rsidTr="00C85EE4">
        <w:tc>
          <w:tcPr>
            <w:tcW w:w="959" w:type="dxa"/>
          </w:tcPr>
          <w:p w14:paraId="7D762EA7" w14:textId="77777777" w:rsidR="004543D7" w:rsidRDefault="004543D7" w:rsidP="00C85EE4">
            <w:pPr>
              <w:jc w:val="both"/>
            </w:pPr>
            <w:r>
              <w:t>8</w:t>
            </w:r>
          </w:p>
        </w:tc>
        <w:tc>
          <w:tcPr>
            <w:tcW w:w="2551" w:type="dxa"/>
          </w:tcPr>
          <w:p w14:paraId="39E8B66D" w14:textId="77777777" w:rsidR="004543D7" w:rsidRDefault="004543D7" w:rsidP="00C85EE4">
            <w:pPr>
              <w:jc w:val="both"/>
            </w:pPr>
            <w:r w:rsidRPr="000F226A">
              <w:t>c.730T&gt;G</w:t>
            </w:r>
            <w:r>
              <w:t xml:space="preserve"> </w:t>
            </w:r>
            <w:proofErr w:type="gramStart"/>
            <w:r>
              <w:t>p.(</w:t>
            </w:r>
            <w:proofErr w:type="gramEnd"/>
            <w:r>
              <w:t>Tyr244Asp)</w:t>
            </w:r>
          </w:p>
        </w:tc>
        <w:tc>
          <w:tcPr>
            <w:tcW w:w="709" w:type="dxa"/>
          </w:tcPr>
          <w:p w14:paraId="2FAB53E2" w14:textId="77777777" w:rsidR="004543D7" w:rsidRDefault="004543D7" w:rsidP="00C85EE4">
            <w:pPr>
              <w:jc w:val="both"/>
            </w:pPr>
            <w:r>
              <w:t>8</w:t>
            </w:r>
          </w:p>
        </w:tc>
        <w:tc>
          <w:tcPr>
            <w:tcW w:w="1276" w:type="dxa"/>
          </w:tcPr>
          <w:p w14:paraId="5ABDC83C" w14:textId="77777777" w:rsidR="004543D7" w:rsidRDefault="004543D7" w:rsidP="00C85EE4">
            <w:pPr>
              <w:jc w:val="both"/>
            </w:pPr>
            <w:r>
              <w:t>DII</w:t>
            </w:r>
          </w:p>
        </w:tc>
        <w:tc>
          <w:tcPr>
            <w:tcW w:w="1984" w:type="dxa"/>
          </w:tcPr>
          <w:p w14:paraId="3DB79C69" w14:textId="77777777" w:rsidR="004543D7" w:rsidRPr="00573472" w:rsidRDefault="004543D7" w:rsidP="00C85EE4">
            <w:pPr>
              <w:jc w:val="both"/>
            </w:pPr>
            <w:r w:rsidRPr="00573472">
              <w:t>Active</w:t>
            </w:r>
          </w:p>
        </w:tc>
        <w:tc>
          <w:tcPr>
            <w:tcW w:w="1843" w:type="dxa"/>
          </w:tcPr>
          <w:p w14:paraId="47F8303A" w14:textId="77777777" w:rsidR="004543D7" w:rsidRPr="00573472" w:rsidRDefault="004543D7" w:rsidP="00C85EE4">
            <w:pPr>
              <w:jc w:val="both"/>
              <w:rPr>
                <w:b/>
              </w:rPr>
            </w:pPr>
            <w:r>
              <w:rPr>
                <w:b/>
              </w:rPr>
              <w:t>Reduced activity</w:t>
            </w:r>
          </w:p>
        </w:tc>
        <w:tc>
          <w:tcPr>
            <w:tcW w:w="1559" w:type="dxa"/>
          </w:tcPr>
          <w:p w14:paraId="175EF0DF" w14:textId="77777777" w:rsidR="004543D7" w:rsidRPr="00F83026" w:rsidRDefault="004543D7" w:rsidP="00C85EE4">
            <w:pPr>
              <w:jc w:val="both"/>
            </w:pPr>
            <w:r w:rsidRPr="00F83026">
              <w:t>ND</w:t>
            </w:r>
          </w:p>
        </w:tc>
        <w:tc>
          <w:tcPr>
            <w:tcW w:w="1985" w:type="dxa"/>
          </w:tcPr>
          <w:p w14:paraId="304B5FA6" w14:textId="77777777" w:rsidR="004543D7" w:rsidRPr="00573472" w:rsidRDefault="004543D7" w:rsidP="00C85EE4">
            <w:pPr>
              <w:jc w:val="both"/>
              <w:rPr>
                <w:b/>
              </w:rPr>
            </w:pPr>
            <w:r w:rsidRPr="00573472">
              <w:rPr>
                <w:b/>
              </w:rPr>
              <w:t>Abnormal</w:t>
            </w:r>
          </w:p>
        </w:tc>
      </w:tr>
      <w:tr w:rsidR="004543D7" w14:paraId="04D23553" w14:textId="77777777" w:rsidTr="00C85EE4">
        <w:tc>
          <w:tcPr>
            <w:tcW w:w="959" w:type="dxa"/>
          </w:tcPr>
          <w:p w14:paraId="7F272EFA" w14:textId="77777777" w:rsidR="004543D7" w:rsidRDefault="004543D7" w:rsidP="00C85EE4">
            <w:pPr>
              <w:jc w:val="both"/>
            </w:pPr>
            <w:r>
              <w:t>9</w:t>
            </w:r>
          </w:p>
        </w:tc>
        <w:tc>
          <w:tcPr>
            <w:tcW w:w="2551" w:type="dxa"/>
          </w:tcPr>
          <w:p w14:paraId="1D422A7A" w14:textId="77777777" w:rsidR="004543D7" w:rsidRPr="0017689E" w:rsidRDefault="004543D7" w:rsidP="00C85EE4">
            <w:pPr>
              <w:jc w:val="both"/>
            </w:pPr>
            <w:r>
              <w:t>c.745</w:t>
            </w:r>
            <w:r w:rsidRPr="00A85795">
              <w:t>G&gt;A</w:t>
            </w:r>
            <w:r>
              <w:t xml:space="preserve"> </w:t>
            </w:r>
            <w:proofErr w:type="gramStart"/>
            <w:r>
              <w:t>p.(</w:t>
            </w:r>
            <w:proofErr w:type="gramEnd"/>
            <w:r>
              <w:t>Glu249Lys)</w:t>
            </w:r>
          </w:p>
        </w:tc>
        <w:tc>
          <w:tcPr>
            <w:tcW w:w="709" w:type="dxa"/>
          </w:tcPr>
          <w:p w14:paraId="0E645554" w14:textId="77777777" w:rsidR="004543D7" w:rsidRDefault="004543D7" w:rsidP="00C85EE4">
            <w:pPr>
              <w:jc w:val="both"/>
            </w:pPr>
            <w:r>
              <w:t>8</w:t>
            </w:r>
          </w:p>
        </w:tc>
        <w:tc>
          <w:tcPr>
            <w:tcW w:w="1276" w:type="dxa"/>
          </w:tcPr>
          <w:p w14:paraId="3A2A242C" w14:textId="77777777" w:rsidR="004543D7" w:rsidRDefault="004543D7" w:rsidP="00C85EE4">
            <w:pPr>
              <w:jc w:val="both"/>
            </w:pPr>
            <w:r>
              <w:t>DII</w:t>
            </w:r>
          </w:p>
        </w:tc>
        <w:tc>
          <w:tcPr>
            <w:tcW w:w="1984" w:type="dxa"/>
          </w:tcPr>
          <w:p w14:paraId="7DBA8FB6" w14:textId="77777777" w:rsidR="004543D7" w:rsidRDefault="004543D7" w:rsidP="00C85EE4">
            <w:pPr>
              <w:jc w:val="both"/>
            </w:pPr>
            <w:r>
              <w:t>ND</w:t>
            </w:r>
          </w:p>
        </w:tc>
        <w:tc>
          <w:tcPr>
            <w:tcW w:w="1843" w:type="dxa"/>
          </w:tcPr>
          <w:p w14:paraId="79283040" w14:textId="77777777" w:rsidR="004543D7" w:rsidRDefault="004543D7" w:rsidP="00C85EE4">
            <w:pPr>
              <w:jc w:val="both"/>
            </w:pPr>
            <w:r>
              <w:t>Active</w:t>
            </w:r>
          </w:p>
        </w:tc>
        <w:tc>
          <w:tcPr>
            <w:tcW w:w="1559" w:type="dxa"/>
          </w:tcPr>
          <w:p w14:paraId="15D00043" w14:textId="77777777" w:rsidR="004543D7" w:rsidRPr="00F83026" w:rsidRDefault="004543D7" w:rsidP="00C85EE4">
            <w:pPr>
              <w:jc w:val="both"/>
            </w:pPr>
            <w:r w:rsidRPr="00F83026">
              <w:t>ND</w:t>
            </w:r>
          </w:p>
        </w:tc>
        <w:tc>
          <w:tcPr>
            <w:tcW w:w="1985" w:type="dxa"/>
          </w:tcPr>
          <w:p w14:paraId="67A6CB4D" w14:textId="77777777" w:rsidR="004543D7" w:rsidRPr="00573472" w:rsidRDefault="004543D7" w:rsidP="00C85EE4">
            <w:pPr>
              <w:jc w:val="both"/>
              <w:rPr>
                <w:b/>
              </w:rPr>
            </w:pPr>
            <w:r w:rsidRPr="00573472">
              <w:rPr>
                <w:b/>
              </w:rPr>
              <w:t>Abnormal</w:t>
            </w:r>
          </w:p>
        </w:tc>
      </w:tr>
      <w:tr w:rsidR="004543D7" w14:paraId="5169FD89" w14:textId="77777777" w:rsidTr="00C85EE4">
        <w:tc>
          <w:tcPr>
            <w:tcW w:w="959" w:type="dxa"/>
          </w:tcPr>
          <w:p w14:paraId="0F54574B" w14:textId="77777777" w:rsidR="004543D7" w:rsidRDefault="004543D7" w:rsidP="00C85EE4">
            <w:pPr>
              <w:jc w:val="both"/>
            </w:pPr>
            <w:r>
              <w:t>10</w:t>
            </w:r>
          </w:p>
        </w:tc>
        <w:tc>
          <w:tcPr>
            <w:tcW w:w="2551" w:type="dxa"/>
          </w:tcPr>
          <w:p w14:paraId="31A59D2E" w14:textId="77777777" w:rsidR="004543D7" w:rsidRPr="0017689E" w:rsidRDefault="004543D7" w:rsidP="00C85EE4">
            <w:pPr>
              <w:jc w:val="both"/>
            </w:pPr>
            <w:r>
              <w:t>c.754</w:t>
            </w:r>
            <w:r w:rsidRPr="00A85795">
              <w:t>C&gt;G</w:t>
            </w:r>
            <w:r>
              <w:t xml:space="preserve"> </w:t>
            </w:r>
            <w:proofErr w:type="gramStart"/>
            <w:r>
              <w:t>p.(</w:t>
            </w:r>
            <w:proofErr w:type="gramEnd"/>
            <w:r>
              <w:t>Leu252Val)</w:t>
            </w:r>
          </w:p>
        </w:tc>
        <w:tc>
          <w:tcPr>
            <w:tcW w:w="709" w:type="dxa"/>
          </w:tcPr>
          <w:p w14:paraId="398BCBBF" w14:textId="77777777" w:rsidR="004543D7" w:rsidRDefault="004543D7" w:rsidP="00C85EE4">
            <w:pPr>
              <w:jc w:val="both"/>
            </w:pPr>
            <w:r>
              <w:t>8</w:t>
            </w:r>
          </w:p>
        </w:tc>
        <w:tc>
          <w:tcPr>
            <w:tcW w:w="1276" w:type="dxa"/>
          </w:tcPr>
          <w:p w14:paraId="431436A7" w14:textId="77777777" w:rsidR="004543D7" w:rsidRDefault="004543D7" w:rsidP="00C85EE4">
            <w:pPr>
              <w:jc w:val="both"/>
            </w:pPr>
            <w:r>
              <w:t>DII</w:t>
            </w:r>
          </w:p>
        </w:tc>
        <w:tc>
          <w:tcPr>
            <w:tcW w:w="1984" w:type="dxa"/>
          </w:tcPr>
          <w:p w14:paraId="79817D74" w14:textId="77777777" w:rsidR="004543D7" w:rsidRDefault="004543D7" w:rsidP="00C85EE4">
            <w:pPr>
              <w:jc w:val="both"/>
            </w:pPr>
            <w:r>
              <w:t>ND</w:t>
            </w:r>
          </w:p>
        </w:tc>
        <w:tc>
          <w:tcPr>
            <w:tcW w:w="1843" w:type="dxa"/>
          </w:tcPr>
          <w:p w14:paraId="77B6D4B5" w14:textId="77777777" w:rsidR="004543D7" w:rsidRDefault="004543D7" w:rsidP="00C85EE4">
            <w:pPr>
              <w:jc w:val="both"/>
            </w:pPr>
            <w:r>
              <w:t>Active</w:t>
            </w:r>
          </w:p>
        </w:tc>
        <w:tc>
          <w:tcPr>
            <w:tcW w:w="1559" w:type="dxa"/>
          </w:tcPr>
          <w:p w14:paraId="3C0B107A" w14:textId="77777777" w:rsidR="004543D7" w:rsidRPr="00573472" w:rsidRDefault="004543D7" w:rsidP="00C85EE4">
            <w:pPr>
              <w:jc w:val="both"/>
              <w:rPr>
                <w:b/>
              </w:rPr>
            </w:pPr>
            <w:r>
              <w:rPr>
                <w:b/>
              </w:rPr>
              <w:t>Abnormal</w:t>
            </w:r>
          </w:p>
        </w:tc>
        <w:tc>
          <w:tcPr>
            <w:tcW w:w="1985" w:type="dxa"/>
          </w:tcPr>
          <w:p w14:paraId="0F83E161" w14:textId="77777777" w:rsidR="004543D7" w:rsidRPr="00573472" w:rsidRDefault="004543D7" w:rsidP="00C85EE4">
            <w:pPr>
              <w:jc w:val="both"/>
              <w:rPr>
                <w:b/>
              </w:rPr>
            </w:pPr>
            <w:r w:rsidRPr="00573472">
              <w:rPr>
                <w:b/>
              </w:rPr>
              <w:t>Abnormal</w:t>
            </w:r>
          </w:p>
        </w:tc>
      </w:tr>
      <w:tr w:rsidR="004543D7" w14:paraId="4308A747" w14:textId="77777777" w:rsidTr="00C85EE4">
        <w:tc>
          <w:tcPr>
            <w:tcW w:w="959" w:type="dxa"/>
          </w:tcPr>
          <w:p w14:paraId="6A304C8E" w14:textId="77777777" w:rsidR="004543D7" w:rsidRDefault="004543D7" w:rsidP="00C85EE4">
            <w:pPr>
              <w:jc w:val="both"/>
            </w:pPr>
            <w:r>
              <w:t>11</w:t>
            </w:r>
          </w:p>
        </w:tc>
        <w:tc>
          <w:tcPr>
            <w:tcW w:w="2551" w:type="dxa"/>
          </w:tcPr>
          <w:p w14:paraId="59F5D0FB" w14:textId="77777777" w:rsidR="004543D7" w:rsidRDefault="004543D7" w:rsidP="00C85EE4">
            <w:pPr>
              <w:jc w:val="both"/>
            </w:pPr>
            <w:r w:rsidRPr="0017689E">
              <w:t>c.763G&gt;A</w:t>
            </w:r>
            <w:r>
              <w:t xml:space="preserve"> </w:t>
            </w:r>
            <w:proofErr w:type="gramStart"/>
            <w:r>
              <w:t>p.(</w:t>
            </w:r>
            <w:proofErr w:type="gramEnd"/>
            <w:r>
              <w:t>Ala255Thr)</w:t>
            </w:r>
          </w:p>
        </w:tc>
        <w:tc>
          <w:tcPr>
            <w:tcW w:w="709" w:type="dxa"/>
          </w:tcPr>
          <w:p w14:paraId="465F0E84" w14:textId="77777777" w:rsidR="004543D7" w:rsidRDefault="004543D7" w:rsidP="00C85EE4">
            <w:pPr>
              <w:jc w:val="both"/>
            </w:pPr>
            <w:r>
              <w:t>8</w:t>
            </w:r>
          </w:p>
        </w:tc>
        <w:tc>
          <w:tcPr>
            <w:tcW w:w="1276" w:type="dxa"/>
          </w:tcPr>
          <w:p w14:paraId="47BCB5EB" w14:textId="77777777" w:rsidR="004543D7" w:rsidRDefault="004543D7" w:rsidP="00C85EE4">
            <w:pPr>
              <w:jc w:val="both"/>
            </w:pPr>
            <w:r>
              <w:t>DII</w:t>
            </w:r>
          </w:p>
        </w:tc>
        <w:tc>
          <w:tcPr>
            <w:tcW w:w="1984" w:type="dxa"/>
          </w:tcPr>
          <w:p w14:paraId="2D9BDBA7" w14:textId="77777777" w:rsidR="004543D7" w:rsidRDefault="004543D7" w:rsidP="00C85EE4">
            <w:pPr>
              <w:jc w:val="both"/>
            </w:pPr>
            <w:r>
              <w:t>ND</w:t>
            </w:r>
          </w:p>
        </w:tc>
        <w:tc>
          <w:tcPr>
            <w:tcW w:w="1843" w:type="dxa"/>
          </w:tcPr>
          <w:p w14:paraId="4F4662FE" w14:textId="77777777" w:rsidR="004543D7" w:rsidRDefault="004543D7" w:rsidP="00C85EE4">
            <w:pPr>
              <w:jc w:val="both"/>
            </w:pPr>
            <w:r>
              <w:t>Active</w:t>
            </w:r>
          </w:p>
        </w:tc>
        <w:tc>
          <w:tcPr>
            <w:tcW w:w="1559" w:type="dxa"/>
          </w:tcPr>
          <w:p w14:paraId="5A50957F" w14:textId="77777777" w:rsidR="004543D7" w:rsidRPr="00573472" w:rsidRDefault="004543D7" w:rsidP="00C85EE4">
            <w:pPr>
              <w:jc w:val="both"/>
              <w:rPr>
                <w:b/>
              </w:rPr>
            </w:pPr>
            <w:r>
              <w:rPr>
                <w:b/>
              </w:rPr>
              <w:t>Abnormal</w:t>
            </w:r>
          </w:p>
        </w:tc>
        <w:tc>
          <w:tcPr>
            <w:tcW w:w="1985" w:type="dxa"/>
          </w:tcPr>
          <w:p w14:paraId="60840034" w14:textId="77777777" w:rsidR="004543D7" w:rsidRPr="00573472" w:rsidRDefault="004543D7" w:rsidP="00C85EE4">
            <w:pPr>
              <w:jc w:val="both"/>
              <w:rPr>
                <w:b/>
              </w:rPr>
            </w:pPr>
            <w:r w:rsidRPr="00573472">
              <w:rPr>
                <w:b/>
              </w:rPr>
              <w:t>Abnormal</w:t>
            </w:r>
          </w:p>
        </w:tc>
      </w:tr>
      <w:tr w:rsidR="004543D7" w14:paraId="119FF427" w14:textId="77777777" w:rsidTr="00C85EE4">
        <w:tc>
          <w:tcPr>
            <w:tcW w:w="959" w:type="dxa"/>
          </w:tcPr>
          <w:p w14:paraId="3E062735" w14:textId="77777777" w:rsidR="004543D7" w:rsidRDefault="004543D7" w:rsidP="00C85EE4">
            <w:pPr>
              <w:jc w:val="both"/>
            </w:pPr>
            <w:r>
              <w:t>12</w:t>
            </w:r>
          </w:p>
        </w:tc>
        <w:tc>
          <w:tcPr>
            <w:tcW w:w="2551" w:type="dxa"/>
          </w:tcPr>
          <w:p w14:paraId="0D1B02FC" w14:textId="77777777" w:rsidR="004543D7" w:rsidRPr="0017689E" w:rsidRDefault="004543D7" w:rsidP="00C85EE4">
            <w:pPr>
              <w:jc w:val="both"/>
            </w:pPr>
            <w:r>
              <w:t>c.863</w:t>
            </w:r>
            <w:r w:rsidRPr="00A85795">
              <w:t>G&gt;A</w:t>
            </w:r>
            <w:r>
              <w:t xml:space="preserve"> </w:t>
            </w:r>
            <w:proofErr w:type="gramStart"/>
            <w:r>
              <w:t>p.(</w:t>
            </w:r>
            <w:proofErr w:type="gramEnd"/>
            <w:r>
              <w:t>Arg288Gln)</w:t>
            </w:r>
          </w:p>
        </w:tc>
        <w:tc>
          <w:tcPr>
            <w:tcW w:w="709" w:type="dxa"/>
          </w:tcPr>
          <w:p w14:paraId="604E3225" w14:textId="77777777" w:rsidR="004543D7" w:rsidRDefault="004543D7" w:rsidP="00C85EE4">
            <w:pPr>
              <w:jc w:val="both"/>
            </w:pPr>
            <w:r>
              <w:t>8</w:t>
            </w:r>
          </w:p>
        </w:tc>
        <w:tc>
          <w:tcPr>
            <w:tcW w:w="1276" w:type="dxa"/>
          </w:tcPr>
          <w:p w14:paraId="32E6A2EA" w14:textId="77777777" w:rsidR="004543D7" w:rsidRDefault="004543D7" w:rsidP="00C85EE4">
            <w:pPr>
              <w:jc w:val="both"/>
            </w:pPr>
            <w:r>
              <w:t>DII</w:t>
            </w:r>
          </w:p>
        </w:tc>
        <w:tc>
          <w:tcPr>
            <w:tcW w:w="1984" w:type="dxa"/>
          </w:tcPr>
          <w:p w14:paraId="5504ACF2" w14:textId="77777777" w:rsidR="004543D7" w:rsidRDefault="004543D7" w:rsidP="00C85EE4">
            <w:pPr>
              <w:jc w:val="both"/>
            </w:pPr>
            <w:r>
              <w:t>ND</w:t>
            </w:r>
          </w:p>
        </w:tc>
        <w:tc>
          <w:tcPr>
            <w:tcW w:w="1843" w:type="dxa"/>
          </w:tcPr>
          <w:p w14:paraId="2F6B93C3" w14:textId="77777777" w:rsidR="004543D7" w:rsidRDefault="004543D7" w:rsidP="00C85EE4">
            <w:pPr>
              <w:jc w:val="both"/>
            </w:pPr>
            <w:r>
              <w:t>Active</w:t>
            </w:r>
          </w:p>
        </w:tc>
        <w:tc>
          <w:tcPr>
            <w:tcW w:w="1559" w:type="dxa"/>
          </w:tcPr>
          <w:p w14:paraId="4D105D21" w14:textId="77777777" w:rsidR="004543D7" w:rsidRPr="00573472" w:rsidRDefault="004543D7" w:rsidP="00C85EE4">
            <w:pPr>
              <w:jc w:val="both"/>
              <w:rPr>
                <w:b/>
              </w:rPr>
            </w:pPr>
            <w:r>
              <w:rPr>
                <w:b/>
              </w:rPr>
              <w:t>Abnormal</w:t>
            </w:r>
          </w:p>
        </w:tc>
        <w:tc>
          <w:tcPr>
            <w:tcW w:w="1985" w:type="dxa"/>
          </w:tcPr>
          <w:p w14:paraId="07D1AB29" w14:textId="77777777" w:rsidR="004543D7" w:rsidRPr="00573472" w:rsidRDefault="004543D7" w:rsidP="00C85EE4">
            <w:pPr>
              <w:jc w:val="both"/>
              <w:rPr>
                <w:b/>
              </w:rPr>
            </w:pPr>
            <w:r w:rsidRPr="00573472">
              <w:rPr>
                <w:b/>
              </w:rPr>
              <w:t>Abnormal</w:t>
            </w:r>
          </w:p>
        </w:tc>
      </w:tr>
      <w:tr w:rsidR="004543D7" w14:paraId="0D842DA0" w14:textId="77777777" w:rsidTr="00C85EE4">
        <w:tc>
          <w:tcPr>
            <w:tcW w:w="959" w:type="dxa"/>
          </w:tcPr>
          <w:p w14:paraId="40662EBF" w14:textId="77777777" w:rsidR="004543D7" w:rsidRDefault="004543D7" w:rsidP="00C85EE4">
            <w:pPr>
              <w:jc w:val="both"/>
            </w:pPr>
            <w:r>
              <w:lastRenderedPageBreak/>
              <w:t>13</w:t>
            </w:r>
          </w:p>
        </w:tc>
        <w:tc>
          <w:tcPr>
            <w:tcW w:w="2551" w:type="dxa"/>
          </w:tcPr>
          <w:p w14:paraId="2B1C202B" w14:textId="77777777" w:rsidR="004543D7" w:rsidRDefault="004543D7" w:rsidP="00C85EE4">
            <w:pPr>
              <w:jc w:val="both"/>
            </w:pPr>
            <w:r>
              <w:t xml:space="preserve">c.890A&gt;G </w:t>
            </w:r>
            <w:proofErr w:type="gramStart"/>
            <w:r>
              <w:t>p.(</w:t>
            </w:r>
            <w:proofErr w:type="gramEnd"/>
            <w:r>
              <w:t>His297Arg)</w:t>
            </w:r>
          </w:p>
        </w:tc>
        <w:tc>
          <w:tcPr>
            <w:tcW w:w="709" w:type="dxa"/>
          </w:tcPr>
          <w:p w14:paraId="710ACFBC" w14:textId="77777777" w:rsidR="004543D7" w:rsidRDefault="004543D7" w:rsidP="00C85EE4">
            <w:pPr>
              <w:jc w:val="both"/>
            </w:pPr>
            <w:r>
              <w:t>8</w:t>
            </w:r>
          </w:p>
        </w:tc>
        <w:tc>
          <w:tcPr>
            <w:tcW w:w="1276" w:type="dxa"/>
          </w:tcPr>
          <w:p w14:paraId="46D04F64" w14:textId="77777777" w:rsidR="004543D7" w:rsidRDefault="004543D7" w:rsidP="00C85EE4">
            <w:pPr>
              <w:jc w:val="both"/>
            </w:pPr>
            <w:r>
              <w:t>DII</w:t>
            </w:r>
          </w:p>
        </w:tc>
        <w:tc>
          <w:tcPr>
            <w:tcW w:w="1984" w:type="dxa"/>
          </w:tcPr>
          <w:p w14:paraId="40827EFA" w14:textId="77777777" w:rsidR="004543D7" w:rsidRDefault="004543D7" w:rsidP="00C85EE4">
            <w:pPr>
              <w:jc w:val="both"/>
            </w:pPr>
            <w:r>
              <w:t>ND</w:t>
            </w:r>
          </w:p>
        </w:tc>
        <w:tc>
          <w:tcPr>
            <w:tcW w:w="1843" w:type="dxa"/>
          </w:tcPr>
          <w:p w14:paraId="694E19E1" w14:textId="77777777" w:rsidR="004543D7" w:rsidRDefault="004543D7" w:rsidP="00C85EE4">
            <w:pPr>
              <w:jc w:val="both"/>
            </w:pPr>
            <w:r>
              <w:t>ND</w:t>
            </w:r>
          </w:p>
        </w:tc>
        <w:tc>
          <w:tcPr>
            <w:tcW w:w="1559" w:type="dxa"/>
          </w:tcPr>
          <w:p w14:paraId="7443BD81" w14:textId="77777777" w:rsidR="004543D7" w:rsidRPr="00F83026" w:rsidRDefault="004543D7" w:rsidP="00C85EE4">
            <w:pPr>
              <w:jc w:val="both"/>
            </w:pPr>
            <w:r w:rsidRPr="00F83026">
              <w:t>ND</w:t>
            </w:r>
          </w:p>
        </w:tc>
        <w:tc>
          <w:tcPr>
            <w:tcW w:w="1985" w:type="dxa"/>
          </w:tcPr>
          <w:p w14:paraId="65C9E5DD" w14:textId="77777777" w:rsidR="004543D7" w:rsidRPr="00573472" w:rsidRDefault="004543D7" w:rsidP="00C85EE4">
            <w:pPr>
              <w:jc w:val="both"/>
              <w:rPr>
                <w:b/>
              </w:rPr>
            </w:pPr>
            <w:r w:rsidRPr="00573472">
              <w:rPr>
                <w:b/>
              </w:rPr>
              <w:t>Abnormal</w:t>
            </w:r>
          </w:p>
        </w:tc>
      </w:tr>
      <w:tr w:rsidR="004543D7" w14:paraId="523BBFB7" w14:textId="77777777" w:rsidTr="00C85EE4">
        <w:tc>
          <w:tcPr>
            <w:tcW w:w="959" w:type="dxa"/>
          </w:tcPr>
          <w:p w14:paraId="22D6FA8A" w14:textId="77777777" w:rsidR="004543D7" w:rsidRDefault="004543D7" w:rsidP="00C85EE4">
            <w:pPr>
              <w:jc w:val="both"/>
            </w:pPr>
            <w:r>
              <w:t>14</w:t>
            </w:r>
          </w:p>
        </w:tc>
        <w:tc>
          <w:tcPr>
            <w:tcW w:w="2551" w:type="dxa"/>
          </w:tcPr>
          <w:p w14:paraId="2C564871" w14:textId="77777777" w:rsidR="004543D7" w:rsidRPr="0017689E" w:rsidRDefault="004543D7" w:rsidP="00C85EE4">
            <w:pPr>
              <w:jc w:val="both"/>
            </w:pPr>
            <w:r>
              <w:t>c.893</w:t>
            </w:r>
            <w:r w:rsidRPr="00A85795">
              <w:t>G&gt;T</w:t>
            </w:r>
            <w:r>
              <w:t xml:space="preserve"> </w:t>
            </w:r>
            <w:proofErr w:type="gramStart"/>
            <w:r>
              <w:t>p.(</w:t>
            </w:r>
            <w:proofErr w:type="gramEnd"/>
            <w:r>
              <w:t>Arg298Leu)</w:t>
            </w:r>
          </w:p>
        </w:tc>
        <w:tc>
          <w:tcPr>
            <w:tcW w:w="709" w:type="dxa"/>
          </w:tcPr>
          <w:p w14:paraId="0525D565" w14:textId="77777777" w:rsidR="004543D7" w:rsidRDefault="004543D7" w:rsidP="00C85EE4">
            <w:pPr>
              <w:jc w:val="both"/>
            </w:pPr>
            <w:r>
              <w:t>8</w:t>
            </w:r>
          </w:p>
        </w:tc>
        <w:tc>
          <w:tcPr>
            <w:tcW w:w="1276" w:type="dxa"/>
          </w:tcPr>
          <w:p w14:paraId="17783BF7" w14:textId="77777777" w:rsidR="004543D7" w:rsidRDefault="004543D7" w:rsidP="00C85EE4">
            <w:pPr>
              <w:jc w:val="both"/>
            </w:pPr>
            <w:r>
              <w:t>DII</w:t>
            </w:r>
          </w:p>
        </w:tc>
        <w:tc>
          <w:tcPr>
            <w:tcW w:w="1984" w:type="dxa"/>
          </w:tcPr>
          <w:p w14:paraId="7AA13603" w14:textId="77777777" w:rsidR="004543D7" w:rsidRDefault="004543D7" w:rsidP="00C85EE4">
            <w:pPr>
              <w:jc w:val="both"/>
            </w:pPr>
            <w:r>
              <w:t>ND</w:t>
            </w:r>
          </w:p>
        </w:tc>
        <w:tc>
          <w:tcPr>
            <w:tcW w:w="1843" w:type="dxa"/>
          </w:tcPr>
          <w:p w14:paraId="15A215A4" w14:textId="77777777" w:rsidR="004543D7" w:rsidRDefault="004543D7" w:rsidP="00C85EE4">
            <w:pPr>
              <w:jc w:val="both"/>
            </w:pPr>
            <w:r>
              <w:t>Active</w:t>
            </w:r>
          </w:p>
        </w:tc>
        <w:tc>
          <w:tcPr>
            <w:tcW w:w="1559" w:type="dxa"/>
          </w:tcPr>
          <w:p w14:paraId="0624F47F" w14:textId="77777777" w:rsidR="004543D7" w:rsidRPr="00573472" w:rsidRDefault="004543D7" w:rsidP="00C85EE4">
            <w:pPr>
              <w:jc w:val="both"/>
              <w:rPr>
                <w:b/>
              </w:rPr>
            </w:pPr>
            <w:r>
              <w:rPr>
                <w:b/>
              </w:rPr>
              <w:t>Abnormal</w:t>
            </w:r>
          </w:p>
        </w:tc>
        <w:tc>
          <w:tcPr>
            <w:tcW w:w="1985" w:type="dxa"/>
          </w:tcPr>
          <w:p w14:paraId="52C45D4A" w14:textId="77777777" w:rsidR="004543D7" w:rsidRPr="00573472" w:rsidRDefault="004543D7" w:rsidP="00C85EE4">
            <w:pPr>
              <w:jc w:val="both"/>
              <w:rPr>
                <w:b/>
              </w:rPr>
            </w:pPr>
            <w:r w:rsidRPr="00573472">
              <w:rPr>
                <w:b/>
              </w:rPr>
              <w:t>Abnormal</w:t>
            </w:r>
          </w:p>
        </w:tc>
      </w:tr>
      <w:tr w:rsidR="004543D7" w14:paraId="0D53C315" w14:textId="77777777" w:rsidTr="00C85EE4">
        <w:tc>
          <w:tcPr>
            <w:tcW w:w="959" w:type="dxa"/>
          </w:tcPr>
          <w:p w14:paraId="5936B588" w14:textId="77777777" w:rsidR="004543D7" w:rsidRDefault="004543D7" w:rsidP="00C85EE4">
            <w:pPr>
              <w:jc w:val="both"/>
            </w:pPr>
            <w:r>
              <w:t>15</w:t>
            </w:r>
          </w:p>
        </w:tc>
        <w:tc>
          <w:tcPr>
            <w:tcW w:w="2551" w:type="dxa"/>
          </w:tcPr>
          <w:p w14:paraId="22DF0B62" w14:textId="77777777" w:rsidR="004543D7" w:rsidRDefault="004543D7" w:rsidP="00C85EE4">
            <w:pPr>
              <w:jc w:val="both"/>
            </w:pPr>
            <w:r w:rsidRPr="0017689E">
              <w:t>c.1033G&gt;A</w:t>
            </w:r>
            <w:r>
              <w:t xml:space="preserve"> </w:t>
            </w:r>
            <w:proofErr w:type="gramStart"/>
            <w:r>
              <w:t>p.(</w:t>
            </w:r>
            <w:proofErr w:type="gramEnd"/>
            <w:r>
              <w:t>Ala345Thr)</w:t>
            </w:r>
          </w:p>
        </w:tc>
        <w:tc>
          <w:tcPr>
            <w:tcW w:w="709" w:type="dxa"/>
          </w:tcPr>
          <w:p w14:paraId="61C4746F" w14:textId="77777777" w:rsidR="004543D7" w:rsidRDefault="004543D7" w:rsidP="00C85EE4">
            <w:pPr>
              <w:jc w:val="both"/>
            </w:pPr>
            <w:r>
              <w:t>10</w:t>
            </w:r>
          </w:p>
        </w:tc>
        <w:tc>
          <w:tcPr>
            <w:tcW w:w="1276" w:type="dxa"/>
          </w:tcPr>
          <w:p w14:paraId="48B3AB41" w14:textId="77777777" w:rsidR="004543D7" w:rsidRDefault="004543D7" w:rsidP="00C85EE4">
            <w:pPr>
              <w:jc w:val="both"/>
            </w:pPr>
            <w:r>
              <w:t>Between</w:t>
            </w:r>
          </w:p>
          <w:p w14:paraId="2FBDA9CA" w14:textId="77777777" w:rsidR="004543D7" w:rsidRDefault="004543D7" w:rsidP="00C85EE4">
            <w:pPr>
              <w:jc w:val="both"/>
            </w:pPr>
            <w:r>
              <w:t>DII and CXC</w:t>
            </w:r>
          </w:p>
        </w:tc>
        <w:tc>
          <w:tcPr>
            <w:tcW w:w="1984" w:type="dxa"/>
          </w:tcPr>
          <w:p w14:paraId="1A2787AC" w14:textId="77777777" w:rsidR="004543D7" w:rsidRDefault="004543D7" w:rsidP="00C85EE4">
            <w:pPr>
              <w:jc w:val="both"/>
            </w:pPr>
            <w:r>
              <w:t>ND</w:t>
            </w:r>
          </w:p>
        </w:tc>
        <w:tc>
          <w:tcPr>
            <w:tcW w:w="1843" w:type="dxa"/>
          </w:tcPr>
          <w:p w14:paraId="798C8A6D" w14:textId="77777777" w:rsidR="004543D7" w:rsidRDefault="004543D7" w:rsidP="00C85EE4">
            <w:pPr>
              <w:jc w:val="both"/>
            </w:pPr>
            <w:r>
              <w:t>Active</w:t>
            </w:r>
          </w:p>
        </w:tc>
        <w:tc>
          <w:tcPr>
            <w:tcW w:w="1559" w:type="dxa"/>
          </w:tcPr>
          <w:p w14:paraId="1FA7799A" w14:textId="77777777" w:rsidR="004543D7" w:rsidRDefault="004543D7" w:rsidP="00C85EE4">
            <w:pPr>
              <w:jc w:val="both"/>
            </w:pPr>
            <w:r>
              <w:t>ND</w:t>
            </w:r>
          </w:p>
        </w:tc>
        <w:tc>
          <w:tcPr>
            <w:tcW w:w="1985" w:type="dxa"/>
          </w:tcPr>
          <w:p w14:paraId="76F0C21D" w14:textId="77777777" w:rsidR="004543D7" w:rsidRDefault="004543D7" w:rsidP="00C85EE4">
            <w:pPr>
              <w:jc w:val="both"/>
            </w:pPr>
            <w:r>
              <w:t>ND</w:t>
            </w:r>
          </w:p>
        </w:tc>
      </w:tr>
      <w:tr w:rsidR="004543D7" w14:paraId="6CE022FA" w14:textId="77777777" w:rsidTr="00C85EE4">
        <w:tc>
          <w:tcPr>
            <w:tcW w:w="959" w:type="dxa"/>
          </w:tcPr>
          <w:p w14:paraId="616FA982" w14:textId="77777777" w:rsidR="004543D7" w:rsidRDefault="004543D7" w:rsidP="00C85EE4">
            <w:pPr>
              <w:jc w:val="both"/>
            </w:pPr>
            <w:r>
              <w:t>16</w:t>
            </w:r>
          </w:p>
        </w:tc>
        <w:tc>
          <w:tcPr>
            <w:tcW w:w="2551" w:type="dxa"/>
          </w:tcPr>
          <w:p w14:paraId="13C6D8DD" w14:textId="77777777" w:rsidR="004543D7" w:rsidRPr="00BD3645" w:rsidRDefault="004543D7" w:rsidP="00C85EE4">
            <w:pPr>
              <w:jc w:val="both"/>
            </w:pPr>
            <w:r w:rsidRPr="00EF571A">
              <w:t>c.1583G&gt;A</w:t>
            </w:r>
            <w:r>
              <w:t xml:space="preserve"> </w:t>
            </w:r>
            <w:proofErr w:type="gramStart"/>
            <w:r>
              <w:t>p.(</w:t>
            </w:r>
            <w:proofErr w:type="gramEnd"/>
            <w:r>
              <w:t>Cys528Tyr)</w:t>
            </w:r>
          </w:p>
        </w:tc>
        <w:tc>
          <w:tcPr>
            <w:tcW w:w="709" w:type="dxa"/>
          </w:tcPr>
          <w:p w14:paraId="4E7A5AB2" w14:textId="77777777" w:rsidR="004543D7" w:rsidRDefault="004543D7" w:rsidP="00C85EE4">
            <w:pPr>
              <w:jc w:val="both"/>
            </w:pPr>
            <w:r>
              <w:t>14</w:t>
            </w:r>
          </w:p>
        </w:tc>
        <w:tc>
          <w:tcPr>
            <w:tcW w:w="1276" w:type="dxa"/>
          </w:tcPr>
          <w:p w14:paraId="46F63249" w14:textId="77777777" w:rsidR="004543D7" w:rsidRDefault="004543D7" w:rsidP="00C85EE4">
            <w:pPr>
              <w:jc w:val="both"/>
            </w:pPr>
            <w:r>
              <w:t>CXC</w:t>
            </w:r>
          </w:p>
        </w:tc>
        <w:tc>
          <w:tcPr>
            <w:tcW w:w="1984" w:type="dxa"/>
          </w:tcPr>
          <w:p w14:paraId="6DF3E944" w14:textId="77777777" w:rsidR="004543D7" w:rsidRDefault="004543D7" w:rsidP="00C85EE4">
            <w:pPr>
              <w:jc w:val="both"/>
            </w:pPr>
            <w:r>
              <w:t>ND</w:t>
            </w:r>
          </w:p>
        </w:tc>
        <w:tc>
          <w:tcPr>
            <w:tcW w:w="1843" w:type="dxa"/>
          </w:tcPr>
          <w:p w14:paraId="4148D23C" w14:textId="77777777" w:rsidR="004543D7" w:rsidRDefault="004543D7" w:rsidP="00C85EE4">
            <w:pPr>
              <w:jc w:val="both"/>
            </w:pPr>
            <w:r>
              <w:t>ND</w:t>
            </w:r>
          </w:p>
        </w:tc>
        <w:tc>
          <w:tcPr>
            <w:tcW w:w="1559" w:type="dxa"/>
          </w:tcPr>
          <w:p w14:paraId="21B61D71" w14:textId="77777777" w:rsidR="004543D7" w:rsidRDefault="004543D7" w:rsidP="00C85EE4">
            <w:pPr>
              <w:jc w:val="both"/>
            </w:pPr>
            <w:r>
              <w:t>Normal</w:t>
            </w:r>
          </w:p>
        </w:tc>
        <w:tc>
          <w:tcPr>
            <w:tcW w:w="1985" w:type="dxa"/>
          </w:tcPr>
          <w:p w14:paraId="62944321" w14:textId="77777777" w:rsidR="004543D7" w:rsidRDefault="004543D7" w:rsidP="00C85EE4">
            <w:pPr>
              <w:jc w:val="both"/>
            </w:pPr>
            <w:r>
              <w:t>ND</w:t>
            </w:r>
          </w:p>
        </w:tc>
      </w:tr>
      <w:tr w:rsidR="004543D7" w14:paraId="01286F3F" w14:textId="77777777" w:rsidTr="00C85EE4">
        <w:tc>
          <w:tcPr>
            <w:tcW w:w="959" w:type="dxa"/>
          </w:tcPr>
          <w:p w14:paraId="6DAAB06D" w14:textId="77777777" w:rsidR="004543D7" w:rsidRDefault="004543D7" w:rsidP="00C85EE4">
            <w:pPr>
              <w:jc w:val="both"/>
            </w:pPr>
            <w:r>
              <w:t>17</w:t>
            </w:r>
          </w:p>
        </w:tc>
        <w:tc>
          <w:tcPr>
            <w:tcW w:w="2551" w:type="dxa"/>
          </w:tcPr>
          <w:p w14:paraId="483F3D1C" w14:textId="77777777" w:rsidR="004543D7" w:rsidRPr="00BD3645" w:rsidRDefault="004543D7" w:rsidP="00C85EE4">
            <w:pPr>
              <w:jc w:val="both"/>
            </w:pPr>
            <w:r w:rsidRPr="00637E7D">
              <w:t>c.1728C&gt;G</w:t>
            </w:r>
            <w:r>
              <w:t xml:space="preserve"> p(Cys576Trp)</w:t>
            </w:r>
          </w:p>
        </w:tc>
        <w:tc>
          <w:tcPr>
            <w:tcW w:w="709" w:type="dxa"/>
          </w:tcPr>
          <w:p w14:paraId="3D182A39" w14:textId="77777777" w:rsidR="004543D7" w:rsidRDefault="004543D7" w:rsidP="00C85EE4">
            <w:pPr>
              <w:jc w:val="both"/>
            </w:pPr>
            <w:r>
              <w:t>15</w:t>
            </w:r>
          </w:p>
        </w:tc>
        <w:tc>
          <w:tcPr>
            <w:tcW w:w="1276" w:type="dxa"/>
          </w:tcPr>
          <w:p w14:paraId="63189862" w14:textId="77777777" w:rsidR="004543D7" w:rsidRDefault="004543D7" w:rsidP="00C85EE4">
            <w:pPr>
              <w:jc w:val="both"/>
            </w:pPr>
            <w:r>
              <w:t>CXC</w:t>
            </w:r>
          </w:p>
        </w:tc>
        <w:tc>
          <w:tcPr>
            <w:tcW w:w="1984" w:type="dxa"/>
          </w:tcPr>
          <w:p w14:paraId="419AD2F9" w14:textId="77777777" w:rsidR="004543D7" w:rsidRPr="00F83026" w:rsidRDefault="004543D7" w:rsidP="00C85EE4">
            <w:pPr>
              <w:jc w:val="both"/>
              <w:rPr>
                <w:b/>
                <w:vertAlign w:val="superscript"/>
              </w:rPr>
            </w:pPr>
            <w:r>
              <w:rPr>
                <w:b/>
              </w:rPr>
              <w:t>Inactive</w:t>
            </w:r>
            <w:r>
              <w:rPr>
                <w:b/>
                <w:vertAlign w:val="superscript"/>
              </w:rPr>
              <w:t>1</w:t>
            </w:r>
          </w:p>
        </w:tc>
        <w:tc>
          <w:tcPr>
            <w:tcW w:w="1843" w:type="dxa"/>
          </w:tcPr>
          <w:p w14:paraId="6B9C7F75" w14:textId="77777777" w:rsidR="004543D7" w:rsidRPr="00F83026" w:rsidRDefault="004543D7" w:rsidP="00C85EE4">
            <w:pPr>
              <w:jc w:val="both"/>
            </w:pPr>
            <w:r w:rsidRPr="00F83026">
              <w:t>ND</w:t>
            </w:r>
          </w:p>
        </w:tc>
        <w:tc>
          <w:tcPr>
            <w:tcW w:w="1559" w:type="dxa"/>
          </w:tcPr>
          <w:p w14:paraId="6DD2A602" w14:textId="77777777" w:rsidR="004543D7" w:rsidRDefault="004543D7" w:rsidP="00C85EE4">
            <w:pPr>
              <w:jc w:val="both"/>
            </w:pPr>
            <w:r>
              <w:t>ND</w:t>
            </w:r>
          </w:p>
        </w:tc>
        <w:tc>
          <w:tcPr>
            <w:tcW w:w="1985" w:type="dxa"/>
          </w:tcPr>
          <w:p w14:paraId="45379A54" w14:textId="77777777" w:rsidR="004543D7" w:rsidRDefault="004543D7" w:rsidP="00C85EE4">
            <w:pPr>
              <w:jc w:val="both"/>
            </w:pPr>
            <w:r>
              <w:t>ND</w:t>
            </w:r>
          </w:p>
        </w:tc>
      </w:tr>
      <w:tr w:rsidR="004543D7" w14:paraId="481569BF" w14:textId="77777777" w:rsidTr="00C85EE4">
        <w:tc>
          <w:tcPr>
            <w:tcW w:w="959" w:type="dxa"/>
          </w:tcPr>
          <w:p w14:paraId="0740787D" w14:textId="77777777" w:rsidR="004543D7" w:rsidRDefault="004543D7" w:rsidP="00C85EE4">
            <w:pPr>
              <w:jc w:val="both"/>
            </w:pPr>
            <w:r>
              <w:t>18</w:t>
            </w:r>
          </w:p>
        </w:tc>
        <w:tc>
          <w:tcPr>
            <w:tcW w:w="2551" w:type="dxa"/>
          </w:tcPr>
          <w:p w14:paraId="4F5B1A85" w14:textId="77777777" w:rsidR="004543D7" w:rsidRDefault="004543D7" w:rsidP="00C85EE4">
            <w:pPr>
              <w:jc w:val="both"/>
            </w:pPr>
            <w:r w:rsidRPr="00BD3645">
              <w:t>c.2068C&gt;T</w:t>
            </w:r>
            <w:r>
              <w:t xml:space="preserve"> </w:t>
            </w:r>
            <w:proofErr w:type="gramStart"/>
            <w:r>
              <w:t>p.(</w:t>
            </w:r>
            <w:proofErr w:type="gramEnd"/>
            <w:r>
              <w:t>Arg690Cys)</w:t>
            </w:r>
          </w:p>
        </w:tc>
        <w:tc>
          <w:tcPr>
            <w:tcW w:w="709" w:type="dxa"/>
          </w:tcPr>
          <w:p w14:paraId="75152DC0" w14:textId="77777777" w:rsidR="004543D7" w:rsidRDefault="004543D7" w:rsidP="00C85EE4">
            <w:pPr>
              <w:jc w:val="both"/>
            </w:pPr>
            <w:r>
              <w:t>18</w:t>
            </w:r>
          </w:p>
        </w:tc>
        <w:tc>
          <w:tcPr>
            <w:tcW w:w="1276" w:type="dxa"/>
          </w:tcPr>
          <w:p w14:paraId="48892792" w14:textId="77777777" w:rsidR="004543D7" w:rsidRDefault="004543D7" w:rsidP="00C85EE4">
            <w:pPr>
              <w:jc w:val="both"/>
            </w:pPr>
            <w:r>
              <w:t>SET</w:t>
            </w:r>
          </w:p>
        </w:tc>
        <w:tc>
          <w:tcPr>
            <w:tcW w:w="1984" w:type="dxa"/>
          </w:tcPr>
          <w:p w14:paraId="50BFD997" w14:textId="77777777" w:rsidR="004543D7" w:rsidRPr="00F83026" w:rsidRDefault="004543D7" w:rsidP="00C85EE4">
            <w:pPr>
              <w:jc w:val="both"/>
              <w:rPr>
                <w:b/>
                <w:vertAlign w:val="superscript"/>
              </w:rPr>
            </w:pPr>
            <w:r w:rsidRPr="00573472">
              <w:rPr>
                <w:b/>
              </w:rPr>
              <w:t>Inactive</w:t>
            </w:r>
            <w:r>
              <w:rPr>
                <w:b/>
                <w:vertAlign w:val="superscript"/>
              </w:rPr>
              <w:t>1</w:t>
            </w:r>
          </w:p>
        </w:tc>
        <w:tc>
          <w:tcPr>
            <w:tcW w:w="1843" w:type="dxa"/>
          </w:tcPr>
          <w:p w14:paraId="6B0B4F9E" w14:textId="77777777" w:rsidR="004543D7" w:rsidRPr="00573472" w:rsidRDefault="004543D7" w:rsidP="00C85EE4">
            <w:pPr>
              <w:jc w:val="both"/>
              <w:rPr>
                <w:b/>
              </w:rPr>
            </w:pPr>
            <w:r w:rsidRPr="00573472">
              <w:rPr>
                <w:b/>
              </w:rPr>
              <w:t>Inactive</w:t>
            </w:r>
          </w:p>
        </w:tc>
        <w:tc>
          <w:tcPr>
            <w:tcW w:w="1559" w:type="dxa"/>
          </w:tcPr>
          <w:p w14:paraId="2BFA5177" w14:textId="77777777" w:rsidR="004543D7" w:rsidRDefault="004543D7" w:rsidP="00C85EE4">
            <w:pPr>
              <w:jc w:val="both"/>
            </w:pPr>
            <w:r>
              <w:t>ND</w:t>
            </w:r>
          </w:p>
        </w:tc>
        <w:tc>
          <w:tcPr>
            <w:tcW w:w="1985" w:type="dxa"/>
          </w:tcPr>
          <w:p w14:paraId="3D141FD1" w14:textId="77777777" w:rsidR="004543D7" w:rsidRDefault="004543D7" w:rsidP="00C85EE4">
            <w:pPr>
              <w:jc w:val="both"/>
            </w:pPr>
            <w:r>
              <w:t>ND</w:t>
            </w:r>
          </w:p>
        </w:tc>
      </w:tr>
      <w:tr w:rsidR="004543D7" w14:paraId="2AB5170A" w14:textId="77777777" w:rsidTr="00C85EE4">
        <w:tc>
          <w:tcPr>
            <w:tcW w:w="959" w:type="dxa"/>
          </w:tcPr>
          <w:p w14:paraId="78868F89" w14:textId="77777777" w:rsidR="004543D7" w:rsidRDefault="004543D7" w:rsidP="00C85EE4">
            <w:pPr>
              <w:jc w:val="both"/>
            </w:pPr>
            <w:r>
              <w:t>19</w:t>
            </w:r>
          </w:p>
        </w:tc>
        <w:tc>
          <w:tcPr>
            <w:tcW w:w="2551" w:type="dxa"/>
          </w:tcPr>
          <w:p w14:paraId="5D3D8217" w14:textId="77777777" w:rsidR="004543D7" w:rsidRDefault="004543D7" w:rsidP="00C85EE4">
            <w:pPr>
              <w:jc w:val="both"/>
            </w:pPr>
            <w:r w:rsidRPr="00BD3645">
              <w:t>c.2191T&gt;G</w:t>
            </w:r>
            <w:r>
              <w:t xml:space="preserve"> </w:t>
            </w:r>
            <w:proofErr w:type="gramStart"/>
            <w:r>
              <w:t>p.(</w:t>
            </w:r>
            <w:proofErr w:type="gramEnd"/>
            <w:r>
              <w:t>Tyr731Asp)</w:t>
            </w:r>
          </w:p>
        </w:tc>
        <w:tc>
          <w:tcPr>
            <w:tcW w:w="709" w:type="dxa"/>
          </w:tcPr>
          <w:p w14:paraId="1BB487FF" w14:textId="77777777" w:rsidR="004543D7" w:rsidRDefault="004543D7" w:rsidP="00C85EE4">
            <w:pPr>
              <w:jc w:val="both"/>
            </w:pPr>
            <w:r>
              <w:t>19</w:t>
            </w:r>
          </w:p>
        </w:tc>
        <w:tc>
          <w:tcPr>
            <w:tcW w:w="1276" w:type="dxa"/>
          </w:tcPr>
          <w:p w14:paraId="77D1FABB" w14:textId="77777777" w:rsidR="004543D7" w:rsidRDefault="004543D7" w:rsidP="00C85EE4">
            <w:pPr>
              <w:jc w:val="both"/>
            </w:pPr>
            <w:r>
              <w:t>SET</w:t>
            </w:r>
          </w:p>
        </w:tc>
        <w:tc>
          <w:tcPr>
            <w:tcW w:w="1984" w:type="dxa"/>
          </w:tcPr>
          <w:p w14:paraId="4D8CC182" w14:textId="77777777" w:rsidR="004543D7" w:rsidRPr="00F83026" w:rsidRDefault="004543D7" w:rsidP="00C85EE4">
            <w:pPr>
              <w:jc w:val="both"/>
              <w:rPr>
                <w:b/>
                <w:vertAlign w:val="superscript"/>
              </w:rPr>
            </w:pPr>
            <w:r w:rsidRPr="00573472">
              <w:rPr>
                <w:b/>
              </w:rPr>
              <w:t>Inactive</w:t>
            </w:r>
            <w:r>
              <w:rPr>
                <w:b/>
                <w:vertAlign w:val="superscript"/>
              </w:rPr>
              <w:t>1</w:t>
            </w:r>
          </w:p>
        </w:tc>
        <w:tc>
          <w:tcPr>
            <w:tcW w:w="1843" w:type="dxa"/>
          </w:tcPr>
          <w:p w14:paraId="2BE86F85" w14:textId="77777777" w:rsidR="004543D7" w:rsidRPr="00573472" w:rsidRDefault="004543D7" w:rsidP="00C85EE4">
            <w:pPr>
              <w:jc w:val="both"/>
              <w:rPr>
                <w:b/>
              </w:rPr>
            </w:pPr>
            <w:r w:rsidRPr="00573472">
              <w:rPr>
                <w:b/>
              </w:rPr>
              <w:t>Inactive</w:t>
            </w:r>
          </w:p>
        </w:tc>
        <w:tc>
          <w:tcPr>
            <w:tcW w:w="1559" w:type="dxa"/>
          </w:tcPr>
          <w:p w14:paraId="0F0B0C3F" w14:textId="77777777" w:rsidR="004543D7" w:rsidRDefault="004543D7" w:rsidP="00C85EE4">
            <w:pPr>
              <w:jc w:val="both"/>
            </w:pPr>
            <w:r>
              <w:t>ND</w:t>
            </w:r>
          </w:p>
        </w:tc>
        <w:tc>
          <w:tcPr>
            <w:tcW w:w="1985" w:type="dxa"/>
          </w:tcPr>
          <w:p w14:paraId="35E198F1" w14:textId="77777777" w:rsidR="004543D7" w:rsidRDefault="004543D7" w:rsidP="00C85EE4">
            <w:pPr>
              <w:jc w:val="both"/>
            </w:pPr>
            <w:r>
              <w:t>ND</w:t>
            </w:r>
          </w:p>
        </w:tc>
      </w:tr>
    </w:tbl>
    <w:p w14:paraId="0041AB09" w14:textId="77777777" w:rsidR="004543D7" w:rsidRDefault="004543D7" w:rsidP="004543D7">
      <w:pPr>
        <w:jc w:val="both"/>
      </w:pPr>
      <w:r>
        <w:t xml:space="preserve">(1) Results published </w:t>
      </w:r>
      <w:r w:rsidRPr="00AA1BA2">
        <w:t>in Ernst</w:t>
      </w:r>
      <w:r>
        <w:t xml:space="preserve"> et al (</w:t>
      </w:r>
      <w:r w:rsidRPr="00AA1BA2">
        <w:t>2010)</w:t>
      </w:r>
      <w:r>
        <w:t xml:space="preserve"> Key: ND, not done.</w:t>
      </w:r>
    </w:p>
    <w:p w14:paraId="724B27EC" w14:textId="77777777" w:rsidR="004543D7" w:rsidRDefault="004543D7" w:rsidP="004543D7">
      <w:pPr>
        <w:rPr>
          <w:rFonts w:eastAsiaTheme="minorEastAsia"/>
          <w:sz w:val="24"/>
          <w:szCs w:val="24"/>
          <w:lang w:eastAsia="zh-CN"/>
        </w:rPr>
      </w:pPr>
    </w:p>
    <w:p w14:paraId="2F782201" w14:textId="77777777" w:rsidR="00132F6B" w:rsidRPr="004543D7" w:rsidRDefault="00132F6B" w:rsidP="00567579">
      <w:pPr>
        <w:pStyle w:val="NoSpacing"/>
        <w:spacing w:line="480" w:lineRule="auto"/>
        <w:rPr>
          <w:sz w:val="24"/>
          <w:szCs w:val="24"/>
          <w:lang w:val="en-GB"/>
        </w:rPr>
      </w:pPr>
    </w:p>
    <w:sectPr w:rsidR="00132F6B" w:rsidRPr="004543D7" w:rsidSect="00132F6B">
      <w:pgSz w:w="15840" w:h="12240"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4EC6" w14:textId="77777777" w:rsidR="00C60673" w:rsidRDefault="00C60673">
      <w:pPr>
        <w:spacing w:after="0" w:line="240" w:lineRule="auto"/>
      </w:pPr>
      <w:r>
        <w:separator/>
      </w:r>
    </w:p>
  </w:endnote>
  <w:endnote w:type="continuationSeparator" w:id="0">
    <w:p w14:paraId="18556070" w14:textId="77777777" w:rsidR="00C60673" w:rsidRDefault="00C6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099494"/>
      <w:docPartObj>
        <w:docPartGallery w:val="Page Numbers (Bottom of Page)"/>
        <w:docPartUnique/>
      </w:docPartObj>
    </w:sdtPr>
    <w:sdtEndPr>
      <w:rPr>
        <w:noProof/>
      </w:rPr>
    </w:sdtEndPr>
    <w:sdtContent>
      <w:p w14:paraId="17BC60BB" w14:textId="77777777" w:rsidR="00534B51" w:rsidRDefault="00F00DC2">
        <w:pPr>
          <w:pStyle w:val="Footer"/>
          <w:jc w:val="center"/>
        </w:pPr>
        <w:r>
          <w:fldChar w:fldCharType="begin"/>
        </w:r>
        <w:r>
          <w:instrText xml:space="preserve"> PAGE   \* MERGEFORMAT </w:instrText>
        </w:r>
        <w:r>
          <w:fldChar w:fldCharType="separate"/>
        </w:r>
        <w:r w:rsidR="00D62C77">
          <w:rPr>
            <w:noProof/>
          </w:rPr>
          <w:t>21</w:t>
        </w:r>
        <w:r>
          <w:rPr>
            <w:noProof/>
          </w:rPr>
          <w:fldChar w:fldCharType="end"/>
        </w:r>
      </w:p>
    </w:sdtContent>
  </w:sdt>
  <w:p w14:paraId="17BC60BC" w14:textId="77777777" w:rsidR="00534B51" w:rsidRDefault="00CC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CF1D" w14:textId="77777777" w:rsidR="00C60673" w:rsidRDefault="00C60673">
      <w:pPr>
        <w:spacing w:after="0" w:line="240" w:lineRule="auto"/>
      </w:pPr>
      <w:r>
        <w:separator/>
      </w:r>
    </w:p>
  </w:footnote>
  <w:footnote w:type="continuationSeparator" w:id="0">
    <w:p w14:paraId="5D37AA76" w14:textId="77777777" w:rsidR="00C60673" w:rsidRDefault="00C6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43C"/>
    <w:multiLevelType w:val="hybridMultilevel"/>
    <w:tmpl w:val="4BB02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00DC2"/>
    <w:rsid w:val="00063545"/>
    <w:rsid w:val="000D5829"/>
    <w:rsid w:val="001003DD"/>
    <w:rsid w:val="001131CB"/>
    <w:rsid w:val="00132F6B"/>
    <w:rsid w:val="00146750"/>
    <w:rsid w:val="00171BE3"/>
    <w:rsid w:val="00177D47"/>
    <w:rsid w:val="0023019A"/>
    <w:rsid w:val="00286937"/>
    <w:rsid w:val="00295FA4"/>
    <w:rsid w:val="002E651C"/>
    <w:rsid w:val="00366A3F"/>
    <w:rsid w:val="00387193"/>
    <w:rsid w:val="00433408"/>
    <w:rsid w:val="004543D7"/>
    <w:rsid w:val="00462D23"/>
    <w:rsid w:val="004B7428"/>
    <w:rsid w:val="004C3C79"/>
    <w:rsid w:val="0054480A"/>
    <w:rsid w:val="00567579"/>
    <w:rsid w:val="006B3CED"/>
    <w:rsid w:val="006D2A09"/>
    <w:rsid w:val="007A0D80"/>
    <w:rsid w:val="007D212C"/>
    <w:rsid w:val="00872908"/>
    <w:rsid w:val="00874A3C"/>
    <w:rsid w:val="00883134"/>
    <w:rsid w:val="008A1E16"/>
    <w:rsid w:val="008C607B"/>
    <w:rsid w:val="008E16A8"/>
    <w:rsid w:val="008E4610"/>
    <w:rsid w:val="0093625B"/>
    <w:rsid w:val="00953CFA"/>
    <w:rsid w:val="0098344C"/>
    <w:rsid w:val="00A15AAA"/>
    <w:rsid w:val="00A174DA"/>
    <w:rsid w:val="00A53972"/>
    <w:rsid w:val="00AD02C5"/>
    <w:rsid w:val="00AF0D51"/>
    <w:rsid w:val="00B5135A"/>
    <w:rsid w:val="00BA44C1"/>
    <w:rsid w:val="00BF13BD"/>
    <w:rsid w:val="00C47896"/>
    <w:rsid w:val="00C60673"/>
    <w:rsid w:val="00C83FA3"/>
    <w:rsid w:val="00CC7793"/>
    <w:rsid w:val="00CC7EB3"/>
    <w:rsid w:val="00D21F73"/>
    <w:rsid w:val="00D32264"/>
    <w:rsid w:val="00D62C77"/>
    <w:rsid w:val="00D65E84"/>
    <w:rsid w:val="00D76F43"/>
    <w:rsid w:val="00D76F66"/>
    <w:rsid w:val="00D97EA0"/>
    <w:rsid w:val="00DE2681"/>
    <w:rsid w:val="00E30DC4"/>
    <w:rsid w:val="00E35D4A"/>
    <w:rsid w:val="00E96627"/>
    <w:rsid w:val="00F00DC2"/>
    <w:rsid w:val="00F12024"/>
    <w:rsid w:val="00F361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603A"/>
  <w15:docId w15:val="{1D1D7B6F-DA46-4B8D-BDBF-F592467C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0DC2"/>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0DC2"/>
    <w:pPr>
      <w:spacing w:after="0" w:line="240" w:lineRule="auto"/>
    </w:pPr>
    <w:rPr>
      <w:rFonts w:eastAsiaTheme="minorEastAsia"/>
      <w:lang w:val="en-US" w:eastAsia="zh-CN"/>
    </w:rPr>
  </w:style>
  <w:style w:type="table" w:styleId="TableGrid">
    <w:name w:val="Table Grid"/>
    <w:basedOn w:val="TableNormal"/>
    <w:uiPriority w:val="59"/>
    <w:rsid w:val="00F00DC2"/>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00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F00DC2"/>
    <w:rPr>
      <w:rFonts w:ascii="Courier New" w:eastAsia="Times New Roman" w:hAnsi="Courier New" w:cs="Courier New"/>
      <w:sz w:val="20"/>
      <w:szCs w:val="20"/>
      <w:lang w:eastAsia="zh-CN"/>
    </w:rPr>
  </w:style>
  <w:style w:type="character" w:customStyle="1" w:styleId="adorn">
    <w:name w:val="adorn"/>
    <w:basedOn w:val="DefaultParagraphFont"/>
    <w:rsid w:val="00F00DC2"/>
  </w:style>
  <w:style w:type="paragraph" w:styleId="BalloonText">
    <w:name w:val="Balloon Text"/>
    <w:basedOn w:val="Normal"/>
    <w:link w:val="BalloonTextChar"/>
    <w:uiPriority w:val="99"/>
    <w:semiHidden/>
    <w:unhideWhenUsed/>
    <w:rsid w:val="00F00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DC2"/>
    <w:rPr>
      <w:rFonts w:ascii="Tahoma" w:eastAsia="Times New Roman" w:hAnsi="Tahoma" w:cs="Tahoma"/>
      <w:sz w:val="16"/>
      <w:szCs w:val="16"/>
    </w:rPr>
  </w:style>
  <w:style w:type="character" w:styleId="Hyperlink">
    <w:name w:val="Hyperlink"/>
    <w:basedOn w:val="DefaultParagraphFont"/>
    <w:uiPriority w:val="99"/>
    <w:unhideWhenUsed/>
    <w:rsid w:val="00F00DC2"/>
    <w:rPr>
      <w:strike w:val="0"/>
      <w:dstrike w:val="0"/>
      <w:color w:val="0483C8"/>
      <w:u w:val="none"/>
      <w:effect w:val="none"/>
      <w:shd w:val="clear" w:color="auto" w:fill="auto"/>
    </w:rPr>
  </w:style>
  <w:style w:type="character" w:styleId="HTMLCite">
    <w:name w:val="HTML Cite"/>
    <w:basedOn w:val="DefaultParagraphFont"/>
    <w:uiPriority w:val="99"/>
    <w:semiHidden/>
    <w:unhideWhenUsed/>
    <w:rsid w:val="00F00DC2"/>
    <w:rPr>
      <w:i w:val="0"/>
      <w:iCs w:val="0"/>
    </w:rPr>
  </w:style>
  <w:style w:type="character" w:styleId="Strong">
    <w:name w:val="Strong"/>
    <w:basedOn w:val="DefaultParagraphFont"/>
    <w:uiPriority w:val="22"/>
    <w:qFormat/>
    <w:rsid w:val="00F00DC2"/>
    <w:rPr>
      <w:b/>
      <w:bCs/>
    </w:rPr>
  </w:style>
  <w:style w:type="paragraph" w:customStyle="1" w:styleId="EndNoteBibliographyTitle">
    <w:name w:val="EndNote Bibliography Title"/>
    <w:basedOn w:val="Normal"/>
    <w:link w:val="EndNoteBibliographyTitleChar"/>
    <w:rsid w:val="00F00DC2"/>
    <w:pPr>
      <w:spacing w:after="0"/>
      <w:jc w:val="center"/>
    </w:pPr>
    <w:rPr>
      <w:rFonts w:ascii="Calibri" w:hAnsi="Calibri" w:cs="Calibri"/>
      <w:noProof/>
      <w:lang w:val="en-US" w:eastAsia="zh-CN"/>
    </w:rPr>
  </w:style>
  <w:style w:type="character" w:customStyle="1" w:styleId="NoSpacingChar">
    <w:name w:val="No Spacing Char"/>
    <w:basedOn w:val="DefaultParagraphFont"/>
    <w:link w:val="NoSpacing"/>
    <w:uiPriority w:val="1"/>
    <w:rsid w:val="00F00DC2"/>
    <w:rPr>
      <w:rFonts w:eastAsiaTheme="minorEastAsia"/>
      <w:lang w:val="en-US" w:eastAsia="zh-CN"/>
    </w:rPr>
  </w:style>
  <w:style w:type="character" w:customStyle="1" w:styleId="EndNoteBibliographyTitleChar">
    <w:name w:val="EndNote Bibliography Title Char"/>
    <w:basedOn w:val="NoSpacingChar"/>
    <w:link w:val="EndNoteBibliographyTitle"/>
    <w:rsid w:val="00F00DC2"/>
    <w:rPr>
      <w:rFonts w:ascii="Calibri" w:eastAsia="Times New Roman" w:hAnsi="Calibri" w:cs="Calibri"/>
      <w:noProof/>
      <w:lang w:val="en-US" w:eastAsia="zh-CN"/>
    </w:rPr>
  </w:style>
  <w:style w:type="paragraph" w:customStyle="1" w:styleId="EndNoteBibliography">
    <w:name w:val="EndNote Bibliography"/>
    <w:basedOn w:val="Normal"/>
    <w:link w:val="EndNoteBibliographyChar"/>
    <w:rsid w:val="00F00DC2"/>
    <w:pPr>
      <w:spacing w:line="240" w:lineRule="auto"/>
      <w:jc w:val="both"/>
    </w:pPr>
    <w:rPr>
      <w:rFonts w:ascii="Calibri" w:hAnsi="Calibri" w:cs="Calibri"/>
      <w:noProof/>
      <w:lang w:val="en-US" w:eastAsia="zh-CN"/>
    </w:rPr>
  </w:style>
  <w:style w:type="character" w:customStyle="1" w:styleId="EndNoteBibliographyChar">
    <w:name w:val="EndNote Bibliography Char"/>
    <w:basedOn w:val="NoSpacingChar"/>
    <w:link w:val="EndNoteBibliography"/>
    <w:rsid w:val="00F00DC2"/>
    <w:rPr>
      <w:rFonts w:ascii="Calibri" w:eastAsia="Times New Roman" w:hAnsi="Calibri" w:cs="Calibri"/>
      <w:noProof/>
      <w:lang w:val="en-US" w:eastAsia="zh-CN"/>
    </w:rPr>
  </w:style>
  <w:style w:type="character" w:customStyle="1" w:styleId="UnresolvedMention1">
    <w:name w:val="Unresolved Mention1"/>
    <w:basedOn w:val="DefaultParagraphFont"/>
    <w:uiPriority w:val="99"/>
    <w:semiHidden/>
    <w:unhideWhenUsed/>
    <w:rsid w:val="00F00DC2"/>
    <w:rPr>
      <w:color w:val="808080"/>
      <w:shd w:val="clear" w:color="auto" w:fill="E6E6E6"/>
    </w:rPr>
  </w:style>
  <w:style w:type="character" w:customStyle="1" w:styleId="UnresolvedMention2">
    <w:name w:val="Unresolved Mention2"/>
    <w:basedOn w:val="DefaultParagraphFont"/>
    <w:uiPriority w:val="99"/>
    <w:semiHidden/>
    <w:unhideWhenUsed/>
    <w:rsid w:val="00F00DC2"/>
    <w:rPr>
      <w:color w:val="808080"/>
      <w:shd w:val="clear" w:color="auto" w:fill="E6E6E6"/>
    </w:rPr>
  </w:style>
  <w:style w:type="paragraph" w:styleId="NormalWeb">
    <w:name w:val="Normal (Web)"/>
    <w:basedOn w:val="Normal"/>
    <w:uiPriority w:val="99"/>
    <w:semiHidden/>
    <w:unhideWhenUsed/>
    <w:rsid w:val="00F00DC2"/>
    <w:pPr>
      <w:spacing w:before="100" w:beforeAutospacing="1" w:after="100" w:afterAutospacing="1" w:line="240" w:lineRule="auto"/>
    </w:pPr>
    <w:rPr>
      <w:rFonts w:ascii="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F00DC2"/>
    <w:rPr>
      <w:color w:val="808080"/>
      <w:shd w:val="clear" w:color="auto" w:fill="E6E6E6"/>
    </w:rPr>
  </w:style>
  <w:style w:type="paragraph" w:styleId="Header">
    <w:name w:val="header"/>
    <w:basedOn w:val="Normal"/>
    <w:link w:val="HeaderChar"/>
    <w:uiPriority w:val="99"/>
    <w:unhideWhenUsed/>
    <w:rsid w:val="00F00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DC2"/>
    <w:rPr>
      <w:rFonts w:eastAsia="Times New Roman" w:cs="Times New Roman"/>
    </w:rPr>
  </w:style>
  <w:style w:type="paragraph" w:styleId="Footer">
    <w:name w:val="footer"/>
    <w:basedOn w:val="Normal"/>
    <w:link w:val="FooterChar"/>
    <w:uiPriority w:val="99"/>
    <w:unhideWhenUsed/>
    <w:rsid w:val="00F00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DC2"/>
    <w:rPr>
      <w:rFonts w:eastAsia="Times New Roman" w:cs="Times New Roman"/>
    </w:rPr>
  </w:style>
  <w:style w:type="character" w:styleId="CommentReference">
    <w:name w:val="annotation reference"/>
    <w:basedOn w:val="DefaultParagraphFont"/>
    <w:uiPriority w:val="99"/>
    <w:semiHidden/>
    <w:unhideWhenUsed/>
    <w:rsid w:val="00F00DC2"/>
    <w:rPr>
      <w:sz w:val="16"/>
      <w:szCs w:val="16"/>
    </w:rPr>
  </w:style>
  <w:style w:type="paragraph" w:styleId="CommentText">
    <w:name w:val="annotation text"/>
    <w:basedOn w:val="Normal"/>
    <w:link w:val="CommentTextChar"/>
    <w:uiPriority w:val="99"/>
    <w:semiHidden/>
    <w:unhideWhenUsed/>
    <w:rsid w:val="00F00DC2"/>
    <w:pPr>
      <w:spacing w:line="240" w:lineRule="auto"/>
    </w:pPr>
    <w:rPr>
      <w:sz w:val="20"/>
      <w:szCs w:val="20"/>
    </w:rPr>
  </w:style>
  <w:style w:type="character" w:customStyle="1" w:styleId="CommentTextChar">
    <w:name w:val="Comment Text Char"/>
    <w:basedOn w:val="DefaultParagraphFont"/>
    <w:link w:val="CommentText"/>
    <w:uiPriority w:val="99"/>
    <w:semiHidden/>
    <w:rsid w:val="00F00DC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DC2"/>
    <w:rPr>
      <w:b/>
      <w:bCs/>
    </w:rPr>
  </w:style>
  <w:style w:type="character" w:customStyle="1" w:styleId="CommentSubjectChar">
    <w:name w:val="Comment Subject Char"/>
    <w:basedOn w:val="CommentTextChar"/>
    <w:link w:val="CommentSubject"/>
    <w:uiPriority w:val="99"/>
    <w:semiHidden/>
    <w:rsid w:val="00F00DC2"/>
    <w:rPr>
      <w:rFonts w:eastAsia="Times New Roman" w:cs="Times New Roman"/>
      <w:b/>
      <w:bCs/>
      <w:sz w:val="20"/>
      <w:szCs w:val="20"/>
    </w:rPr>
  </w:style>
  <w:style w:type="character" w:customStyle="1" w:styleId="UnresolvedMention4">
    <w:name w:val="Unresolved Mention4"/>
    <w:basedOn w:val="DefaultParagraphFont"/>
    <w:uiPriority w:val="99"/>
    <w:semiHidden/>
    <w:unhideWhenUsed/>
    <w:rsid w:val="00F00DC2"/>
    <w:rPr>
      <w:color w:val="808080"/>
      <w:shd w:val="clear" w:color="auto" w:fill="E6E6E6"/>
    </w:rPr>
  </w:style>
  <w:style w:type="character" w:styleId="LineNumber">
    <w:name w:val="line number"/>
    <w:basedOn w:val="DefaultParagraphFont"/>
    <w:uiPriority w:val="99"/>
    <w:semiHidden/>
    <w:unhideWhenUsed/>
    <w:rsid w:val="00F00DC2"/>
  </w:style>
  <w:style w:type="character" w:customStyle="1" w:styleId="UnresolvedMention5">
    <w:name w:val="Unresolved Mention5"/>
    <w:basedOn w:val="DefaultParagraphFont"/>
    <w:uiPriority w:val="99"/>
    <w:semiHidden/>
    <w:unhideWhenUsed/>
    <w:rsid w:val="00F00D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5495">
      <w:bodyDiv w:val="1"/>
      <w:marLeft w:val="0"/>
      <w:marRight w:val="0"/>
      <w:marTop w:val="0"/>
      <w:marBottom w:val="0"/>
      <w:divBdr>
        <w:top w:val="none" w:sz="0" w:space="0" w:color="auto"/>
        <w:left w:val="none" w:sz="0" w:space="0" w:color="auto"/>
        <w:bottom w:val="none" w:sz="0" w:space="0" w:color="auto"/>
        <w:right w:val="none" w:sz="0" w:space="0" w:color="auto"/>
      </w:divBdr>
    </w:div>
    <w:div w:id="5855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cer.gov/tcga"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cer.sanger.ac.uk/cosmic" TargetMode="Externa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hyperlink" Target="http://ex-skip.img.cas.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5FCC8445807458B47DC34C2E6C1D1" ma:contentTypeVersion="8" ma:contentTypeDescription="Create a new document." ma:contentTypeScope="" ma:versionID="7c415060c1e278eb373bb55434700a04">
  <xsd:schema xmlns:xsd="http://www.w3.org/2001/XMLSchema" xmlns:xs="http://www.w3.org/2001/XMLSchema" xmlns:p="http://schemas.microsoft.com/office/2006/metadata/properties" xmlns:ns3="b010dda2-9592-44d5-a2eb-e10e43ced593" targetNamespace="http://schemas.microsoft.com/office/2006/metadata/properties" ma:root="true" ma:fieldsID="d5a29e9448148c1ed1dbc3048e0d2280" ns3:_="">
    <xsd:import namespace="b010dda2-9592-44d5-a2eb-e10e43ced5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0dda2-9592-44d5-a2eb-e10e43ced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8FFFE-6939-4651-9366-B53372766FE7}">
  <ds:schemaRefs>
    <ds:schemaRef ds:uri="http://schemas.microsoft.com/sharepoint/v3/contenttype/forms"/>
  </ds:schemaRefs>
</ds:datastoreItem>
</file>

<file path=customXml/itemProps2.xml><?xml version="1.0" encoding="utf-8"?>
<ds:datastoreItem xmlns:ds="http://schemas.openxmlformats.org/officeDocument/2006/customXml" ds:itemID="{73B1225E-4341-42BA-8563-E1958E366066}">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b010dda2-9592-44d5-a2eb-e10e43ced59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1F0192F-1509-4309-8174-4AC545EC8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0dda2-9592-44d5-a2eb-e10e43ced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5060</Words>
  <Characters>28845</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A.J.</dc:creator>
  <cp:lastModifiedBy>Wallis C.M.</cp:lastModifiedBy>
  <cp:revision>2</cp:revision>
  <dcterms:created xsi:type="dcterms:W3CDTF">2020-04-29T15:00:00Z</dcterms:created>
  <dcterms:modified xsi:type="dcterms:W3CDTF">2020-04-29T15:00:00Z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0x010100D255FCC8445807458B47DC34C2E6C1D1</vt:lpwstr>
  </property>
</Properties>
</file>