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7997" w:rsidRDefault="00CB0676">
      <w:pPr>
        <w:rPr>
          <w:color w:val="000000"/>
          <w:sz w:val="20"/>
          <w:szCs w:val="20"/>
        </w:rPr>
      </w:pPr>
      <w:bookmarkStart w:id="0" w:name="_GoBack"/>
      <w:bookmarkEnd w:id="0"/>
      <w:r>
        <w:rPr>
          <w:b/>
          <w:bCs/>
          <w:color w:val="000000"/>
          <w:sz w:val="28"/>
          <w:szCs w:val="20"/>
        </w:rPr>
        <w:t>Challenges in the diagnosis and discovery of rare genetic disorders using contemporary sequencing technologies</w:t>
      </w:r>
    </w:p>
    <w:p w:rsidR="00877997" w:rsidRDefault="00CB0676">
      <w:pPr>
        <w:rPr>
          <w:color w:val="000000"/>
          <w:sz w:val="20"/>
          <w:szCs w:val="20"/>
        </w:rPr>
      </w:pPr>
      <w:r>
        <w:rPr>
          <w:color w:val="000000"/>
          <w:sz w:val="20"/>
          <w:szCs w:val="20"/>
        </w:rPr>
        <w:t> </w:t>
      </w:r>
    </w:p>
    <w:p w:rsidR="00877997" w:rsidRDefault="00877997">
      <w:pPr>
        <w:rPr>
          <w:color w:val="000000"/>
          <w:sz w:val="20"/>
          <w:szCs w:val="20"/>
        </w:rPr>
      </w:pPr>
    </w:p>
    <w:p w:rsidR="00877997" w:rsidRDefault="00877997">
      <w:pPr>
        <w:rPr>
          <w:color w:val="000000"/>
          <w:sz w:val="20"/>
          <w:szCs w:val="20"/>
        </w:rPr>
      </w:pPr>
    </w:p>
    <w:p w:rsidR="00877997" w:rsidRDefault="00CB0676">
      <w:pPr>
        <w:spacing w:line="360" w:lineRule="auto"/>
        <w:rPr>
          <w:color w:val="000000"/>
          <w:sz w:val="20"/>
          <w:szCs w:val="20"/>
        </w:rPr>
      </w:pPr>
      <w:r>
        <w:rPr>
          <w:b/>
          <w:bCs/>
          <w:color w:val="000000"/>
          <w:sz w:val="20"/>
          <w:szCs w:val="20"/>
        </w:rPr>
        <w:t>Eleanor G. Seaby</w:t>
      </w:r>
      <w:r>
        <w:rPr>
          <w:b/>
          <w:bCs/>
          <w:color w:val="000000"/>
          <w:sz w:val="20"/>
          <w:szCs w:val="20"/>
          <w:vertAlign w:val="superscript"/>
        </w:rPr>
        <w:t>1,2</w:t>
      </w:r>
      <w:r>
        <w:rPr>
          <w:b/>
          <w:bCs/>
          <w:color w:val="000000"/>
          <w:sz w:val="20"/>
          <w:szCs w:val="20"/>
        </w:rPr>
        <w:t>,</w:t>
      </w:r>
      <w:r>
        <w:rPr>
          <w:b/>
          <w:bCs/>
          <w:color w:val="000000"/>
          <w:sz w:val="20"/>
          <w:szCs w:val="20"/>
          <w:vertAlign w:val="superscript"/>
        </w:rPr>
        <w:t xml:space="preserve"> </w:t>
      </w:r>
      <w:r>
        <w:rPr>
          <w:b/>
          <w:bCs/>
          <w:color w:val="000000"/>
          <w:sz w:val="20"/>
          <w:szCs w:val="20"/>
        </w:rPr>
        <w:t>Sarah Ennis</w:t>
      </w:r>
      <w:r>
        <w:rPr>
          <w:b/>
          <w:bCs/>
          <w:color w:val="000000"/>
          <w:sz w:val="20"/>
          <w:szCs w:val="20"/>
          <w:vertAlign w:val="superscript"/>
        </w:rPr>
        <w:t>1</w:t>
      </w:r>
    </w:p>
    <w:p w:rsidR="00877997" w:rsidRDefault="00CB0676">
      <w:pPr>
        <w:spacing w:line="276" w:lineRule="auto"/>
        <w:rPr>
          <w:color w:val="000000"/>
          <w:sz w:val="18"/>
          <w:szCs w:val="20"/>
        </w:rPr>
      </w:pPr>
      <w:r>
        <w:rPr>
          <w:color w:val="000000"/>
          <w:sz w:val="18"/>
          <w:szCs w:val="20"/>
        </w:rPr>
        <w:t>1. Genomic Informatics Group, University Hospital Southampton, Tremona Road, Southampton, SO16 6YD, UK</w:t>
      </w:r>
    </w:p>
    <w:p w:rsidR="00877997" w:rsidRDefault="00CB0676">
      <w:pPr>
        <w:spacing w:line="276" w:lineRule="auto"/>
        <w:rPr>
          <w:color w:val="000000"/>
          <w:sz w:val="18"/>
          <w:szCs w:val="20"/>
        </w:rPr>
      </w:pPr>
      <w:r>
        <w:rPr>
          <w:color w:val="000000"/>
          <w:sz w:val="18"/>
          <w:szCs w:val="20"/>
        </w:rPr>
        <w:t>2. Translational Genomics Group, Broad Institute of MIT and Harvard, 105 Broadway, Cambridge, MA 02142, USA</w:t>
      </w:r>
    </w:p>
    <w:p w:rsidR="00877997" w:rsidRDefault="00CB0676">
      <w:pPr>
        <w:rPr>
          <w:color w:val="000000"/>
          <w:sz w:val="20"/>
          <w:szCs w:val="20"/>
        </w:rPr>
      </w:pPr>
      <w:r>
        <w:rPr>
          <w:color w:val="000000"/>
          <w:sz w:val="20"/>
          <w:szCs w:val="20"/>
        </w:rPr>
        <w:t> </w:t>
      </w:r>
    </w:p>
    <w:p w:rsidR="00877997" w:rsidRDefault="00CB0676">
      <w:pPr>
        <w:spacing w:line="360" w:lineRule="auto"/>
        <w:rPr>
          <w:color w:val="000000"/>
          <w:sz w:val="20"/>
          <w:szCs w:val="20"/>
        </w:rPr>
      </w:pPr>
      <w:r>
        <w:rPr>
          <w:b/>
          <w:bCs/>
          <w:color w:val="000000"/>
          <w:sz w:val="20"/>
          <w:szCs w:val="20"/>
        </w:rPr>
        <w:t>Corresponding Author</w:t>
      </w:r>
    </w:p>
    <w:p w:rsidR="00877997" w:rsidRDefault="00CB0676">
      <w:pPr>
        <w:spacing w:line="276" w:lineRule="auto"/>
        <w:rPr>
          <w:color w:val="000000"/>
          <w:sz w:val="18"/>
          <w:szCs w:val="20"/>
        </w:rPr>
      </w:pPr>
      <w:r>
        <w:rPr>
          <w:color w:val="000000"/>
          <w:sz w:val="18"/>
          <w:szCs w:val="20"/>
        </w:rPr>
        <w:t>Dr Eleanor Seaby BMBS(</w:t>
      </w:r>
      <w:r>
        <w:rPr>
          <w:color w:val="000000"/>
          <w:sz w:val="18"/>
          <w:szCs w:val="20"/>
        </w:rPr>
        <w:t xml:space="preserve">hons) MMedSc(hons). Genomic Informatics Group, University Hospital Southampton, Tremona Road, Southampton, Hampshire, SO16 6YD, UK; Tel: +44(0)2381 206536; Email: </w:t>
      </w:r>
      <w:hyperlink r:id="rId5" w:history="1">
        <w:r>
          <w:rPr>
            <w:rStyle w:val="Hyperlink"/>
            <w:color w:val="000000"/>
            <w:sz w:val="18"/>
            <w:szCs w:val="20"/>
          </w:rPr>
          <w:t>e.seaby@soton.ac.uk</w:t>
        </w:r>
      </w:hyperlink>
      <w:r>
        <w:rPr>
          <w:color w:val="000000"/>
          <w:sz w:val="18"/>
          <w:szCs w:val="20"/>
        </w:rPr>
        <w:t>.</w:t>
      </w:r>
    </w:p>
    <w:p w:rsidR="00877997" w:rsidRDefault="00877997">
      <w:pPr>
        <w:spacing w:line="276" w:lineRule="auto"/>
        <w:rPr>
          <w:color w:val="000000"/>
          <w:sz w:val="18"/>
          <w:szCs w:val="20"/>
        </w:rPr>
      </w:pPr>
    </w:p>
    <w:p w:rsidR="00877997" w:rsidRDefault="00CB0676">
      <w:pPr>
        <w:spacing w:line="276" w:lineRule="auto"/>
        <w:rPr>
          <w:b/>
          <w:color w:val="000000"/>
          <w:sz w:val="20"/>
          <w:szCs w:val="20"/>
        </w:rPr>
      </w:pPr>
      <w:r>
        <w:rPr>
          <w:b/>
          <w:color w:val="000000"/>
          <w:sz w:val="20"/>
          <w:szCs w:val="20"/>
        </w:rPr>
        <w:t>Authors</w:t>
      </w:r>
    </w:p>
    <w:p w:rsidR="00877997" w:rsidRDefault="00877997">
      <w:pPr>
        <w:spacing w:line="276" w:lineRule="auto"/>
        <w:rPr>
          <w:color w:val="000000"/>
          <w:sz w:val="20"/>
          <w:szCs w:val="20"/>
        </w:rPr>
      </w:pPr>
    </w:p>
    <w:p w:rsidR="00877997" w:rsidRDefault="00CB0676">
      <w:pPr>
        <w:pStyle w:val="ListParagraph"/>
        <w:numPr>
          <w:ilvl w:val="0"/>
          <w:numId w:val="10"/>
        </w:numPr>
        <w:spacing w:line="276" w:lineRule="auto"/>
        <w:rPr>
          <w:color w:val="000000"/>
          <w:sz w:val="20"/>
          <w:szCs w:val="20"/>
        </w:rPr>
      </w:pPr>
      <w:r>
        <w:rPr>
          <w:color w:val="000000"/>
          <w:sz w:val="20"/>
          <w:szCs w:val="20"/>
        </w:rPr>
        <w:t>Dr Eleanor Seaby is</w:t>
      </w:r>
      <w:r>
        <w:rPr>
          <w:color w:val="000000"/>
          <w:sz w:val="20"/>
          <w:szCs w:val="20"/>
        </w:rPr>
        <w:t xml:space="preserve"> a junior clinician and MD/PhD student at the University of Southampton. She additionally holds a position as a genomic analyst at the Broad Institute.</w:t>
      </w:r>
    </w:p>
    <w:p w:rsidR="00877997" w:rsidRDefault="00CB0676">
      <w:pPr>
        <w:pStyle w:val="ListParagraph"/>
        <w:numPr>
          <w:ilvl w:val="0"/>
          <w:numId w:val="10"/>
        </w:numPr>
        <w:spacing w:line="276" w:lineRule="auto"/>
        <w:rPr>
          <w:color w:val="000000"/>
          <w:sz w:val="20"/>
          <w:szCs w:val="20"/>
        </w:rPr>
      </w:pPr>
      <w:r>
        <w:rPr>
          <w:color w:val="000000"/>
          <w:sz w:val="20"/>
          <w:szCs w:val="20"/>
        </w:rPr>
        <w:t>Professor Sarah Ennis is Professor of Genomics at the University of Southampton and leads the Genomic In</w:t>
      </w:r>
      <w:r>
        <w:rPr>
          <w:color w:val="000000"/>
          <w:sz w:val="20"/>
          <w:szCs w:val="20"/>
        </w:rPr>
        <w:t>formatics Group.</w:t>
      </w:r>
    </w:p>
    <w:p w:rsidR="00877997" w:rsidRDefault="00CB0676">
      <w:pPr>
        <w:rPr>
          <w:color w:val="000000"/>
          <w:sz w:val="20"/>
          <w:szCs w:val="20"/>
        </w:rPr>
      </w:pPr>
      <w:r>
        <w:rPr>
          <w:color w:val="000000"/>
          <w:sz w:val="20"/>
          <w:szCs w:val="20"/>
        </w:rPr>
        <w:t> </w:t>
      </w:r>
    </w:p>
    <w:p w:rsidR="00877997" w:rsidRDefault="00CB0676">
      <w:pPr>
        <w:rPr>
          <w:color w:val="000000"/>
          <w:sz w:val="20"/>
          <w:szCs w:val="20"/>
        </w:rPr>
      </w:pPr>
      <w:r>
        <w:rPr>
          <w:b/>
          <w:bCs/>
          <w:color w:val="000000"/>
          <w:sz w:val="20"/>
          <w:szCs w:val="20"/>
        </w:rPr>
        <w:t>Abstract</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 xml:space="preserve">Next generation sequencing has revolutionised rare disease diagnostics. Concomitant with advancing technologies has been a rise in the number of new gene disorders discovered and diagnoses made for patients and their families. </w:t>
      </w:r>
      <w:r>
        <w:rPr>
          <w:color w:val="000000"/>
          <w:sz w:val="20"/>
          <w:szCs w:val="20"/>
        </w:rPr>
        <w:t>However, despite the trend towards whole exome and whole genome sequencing, diagnostic rates remain suboptimal. On average, only ~30% of patients receive a molecular diagnosis. National sequencing projects launched in the last five years are integrating cl</w:t>
      </w:r>
      <w:r>
        <w:rPr>
          <w:color w:val="000000"/>
          <w:sz w:val="20"/>
          <w:szCs w:val="20"/>
        </w:rPr>
        <w:t>inical diagnostic testing with research avenues to widen the spectrum of known genetic disorders. Consequently, efforts to diagnose genetic disorders in a clinical setting are now often shared with efforts to prioritise candidate variants for the detection</w:t>
      </w:r>
      <w:r>
        <w:rPr>
          <w:color w:val="000000"/>
          <w:sz w:val="20"/>
          <w:szCs w:val="20"/>
        </w:rPr>
        <w:t xml:space="preserve"> of new disease genes. </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Herein we discuss some of the biggest obstacles precluding molecular diagnosis and discovery of new gene disorders. We consider bioinformatic and analytical challenges faced when interpreting next generation sequencing data and sho</w:t>
      </w:r>
      <w:r>
        <w:rPr>
          <w:color w:val="000000"/>
          <w:sz w:val="20"/>
          <w:szCs w:val="20"/>
        </w:rPr>
        <w:t>wcase some of the newest tools available to mitigate these issues. We consider how incomplete penetrance, non-coding variation and structural variants are likely to impact diagnostic rates and we further discuss methods for uplifting novel gene discovery b</w:t>
      </w:r>
      <w:r>
        <w:rPr>
          <w:color w:val="000000"/>
          <w:sz w:val="20"/>
          <w:szCs w:val="20"/>
        </w:rPr>
        <w:t>y adopting a gene-to-patient based approach.</w:t>
      </w:r>
    </w:p>
    <w:p w:rsidR="00877997" w:rsidRDefault="00877997">
      <w:pPr>
        <w:spacing w:line="360" w:lineRule="auto"/>
        <w:rPr>
          <w:color w:val="000000"/>
          <w:sz w:val="20"/>
          <w:szCs w:val="20"/>
        </w:rPr>
      </w:pPr>
    </w:p>
    <w:p w:rsidR="00877997" w:rsidRDefault="00CB0676">
      <w:pPr>
        <w:rPr>
          <w:color w:val="000000"/>
          <w:sz w:val="20"/>
          <w:szCs w:val="20"/>
        </w:rPr>
      </w:pPr>
      <w:r>
        <w:rPr>
          <w:color w:val="000000"/>
          <w:sz w:val="20"/>
          <w:szCs w:val="20"/>
        </w:rPr>
        <w:t> </w:t>
      </w:r>
    </w:p>
    <w:p w:rsidR="00877997" w:rsidRDefault="00CB0676">
      <w:pPr>
        <w:rPr>
          <w:b/>
          <w:bCs/>
          <w:color w:val="000000"/>
          <w:sz w:val="20"/>
          <w:szCs w:val="20"/>
        </w:rPr>
      </w:pPr>
      <w:r>
        <w:rPr>
          <w:b/>
          <w:bCs/>
          <w:color w:val="000000"/>
          <w:sz w:val="20"/>
          <w:szCs w:val="20"/>
        </w:rPr>
        <w:t>Introduction</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In the modern genomics era, there has been an exponential rise in exome and genome sequencing for the 400 million patients worldwide with rare genetic diseases (RGD). These next-generation seque</w:t>
      </w:r>
      <w:r>
        <w:rPr>
          <w:color w:val="000000"/>
          <w:sz w:val="20"/>
          <w:szCs w:val="20"/>
        </w:rPr>
        <w:t>ncing (NGS) technologies are thriving in the diagnosis of RGD where traditional methods e.g. cytogenetics, Sanger sequencing, and linkage analysis have been limited by low resolution testing, single test throughput, and the requirement to test multiple aff</w:t>
      </w:r>
      <w:r>
        <w:rPr>
          <w:color w:val="000000"/>
          <w:sz w:val="20"/>
          <w:szCs w:val="20"/>
        </w:rPr>
        <w:t xml:space="preserve">ected families, respectively. Whole exome sequencing (WES) and whole genome sequencing (WGS) can </w:t>
      </w:r>
      <w:r>
        <w:rPr>
          <w:color w:val="000000"/>
          <w:sz w:val="20"/>
          <w:szCs w:val="20"/>
        </w:rPr>
        <w:lastRenderedPageBreak/>
        <w:t xml:space="preserve">objectively test the genome for potential disease-causing variants without an </w:t>
      </w:r>
      <w:r>
        <w:rPr>
          <w:i/>
          <w:iCs/>
          <w:color w:val="000000"/>
          <w:sz w:val="20"/>
          <w:szCs w:val="20"/>
        </w:rPr>
        <w:t>a priori</w:t>
      </w:r>
      <w:r>
        <w:rPr>
          <w:color w:val="000000"/>
          <w:sz w:val="20"/>
          <w:szCs w:val="20"/>
        </w:rPr>
        <w:t xml:space="preserve"> candidate gene, which has facilitated </w:t>
      </w:r>
      <w:r>
        <w:rPr>
          <w:color w:val="000000"/>
          <w:sz w:val="20"/>
          <w:szCs w:val="20"/>
        </w:rPr>
        <w:t xml:space="preserve">a rapid expansion of research into the discovery of new disease genes. </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WES and WGS have now transitioned from a research environment into routine clinical practice as recognised diagnostic tests.</w:t>
      </w:r>
      <w:r>
        <w:rPr>
          <w:color w:val="000000"/>
          <w:sz w:val="20"/>
          <w:szCs w:val="20"/>
        </w:rPr>
        <w:fldChar w:fldCharType="begin"/>
      </w:r>
      <w:r>
        <w:rPr>
          <w:color w:val="000000"/>
          <w:sz w:val="20"/>
          <w:szCs w:val="20"/>
        </w:rPr>
        <w:instrText xml:space="preserve"> ADDIN EN.CITE &lt;EndNote&gt;&lt;Cite&gt;&lt;Author&gt;Biesecker&lt;/Author&gt;&lt;Year&gt;2014&lt;/Year&gt;&lt;RecNum&gt;107&lt;/RecNum&gt;&lt;DisplayText&gt;[1]&lt;/DisplayText&gt;&lt;record&gt;&lt;rec-number&gt;107&lt;/rec-number&gt;&lt;foreign-keys&gt;&lt;key app="EN" db-id="d0vstffei2ze5sew5fwxp0dq9zxs5pvvsxpv" timestamp="1583768325"&gt;1</w:instrText>
      </w:r>
      <w:r>
        <w:rPr>
          <w:color w:val="000000"/>
          <w:sz w:val="20"/>
          <w:szCs w:val="20"/>
        </w:rPr>
        <w:instrText>07&lt;/key&gt;&lt;/foreign-keys&gt;&lt;ref-type name="Journal Article"&gt;17&lt;/ref-type&gt;&lt;contributors&gt;&lt;authors&gt;&lt;author&gt;Biesecker, Leslie G&lt;/author&gt;&lt;author&gt;Green, Robert C&lt;/author&gt;&lt;/authors&gt;&lt;/contributors&gt;&lt;titles&gt;&lt;title&gt;Diagnostic clinical genome and exome sequencing&lt;/title&gt;&lt;</w:instrText>
      </w:r>
      <w:r>
        <w:rPr>
          <w:color w:val="000000"/>
          <w:sz w:val="20"/>
          <w:szCs w:val="20"/>
        </w:rPr>
        <w:instrText>secondary-title&gt;New England Journal of Medicine&lt;/secondary-title&gt;&lt;/titles&gt;&lt;periodical&gt;&lt;full-title&gt;New England Journal of Medicine&lt;/full-title&gt;&lt;/periodical&gt;&lt;pages&gt;2418-2425&lt;/pages&gt;&lt;volume&gt;370&lt;/volume&gt;&lt;number&gt;25&lt;/number&gt;&lt;dates&gt;&lt;year&gt;2014&lt;/year&gt;&lt;/dates&gt;&lt;isbn&gt;</w:instrText>
      </w:r>
      <w:r>
        <w:rPr>
          <w:color w:val="000000"/>
          <w:sz w:val="20"/>
          <w:szCs w:val="20"/>
        </w:rPr>
        <w:instrText>0028-4793&lt;/isbn&gt;&lt;urls&gt;&lt;/urls&gt;&lt;/record&gt;&lt;/Cite&gt;&lt;/EndNote&gt;</w:instrText>
      </w:r>
      <w:r>
        <w:rPr>
          <w:color w:val="000000"/>
          <w:sz w:val="20"/>
          <w:szCs w:val="20"/>
        </w:rPr>
        <w:fldChar w:fldCharType="separate"/>
      </w:r>
      <w:r>
        <w:rPr>
          <w:noProof/>
          <w:color w:val="000000"/>
          <w:sz w:val="20"/>
          <w:szCs w:val="20"/>
        </w:rPr>
        <w:t>[1]</w:t>
      </w:r>
      <w:r>
        <w:rPr>
          <w:color w:val="000000"/>
          <w:sz w:val="20"/>
          <w:szCs w:val="20"/>
        </w:rPr>
        <w:fldChar w:fldCharType="end"/>
      </w:r>
      <w:r>
        <w:rPr>
          <w:color w:val="000000"/>
          <w:sz w:val="20"/>
          <w:szCs w:val="20"/>
        </w:rPr>
        <w:t xml:space="preserve"> However, despite their promise, current diagnostic rates are suboptimal; on average only ~30%</w:t>
      </w:r>
      <w:r>
        <w:rPr>
          <w:color w:val="000000"/>
          <w:sz w:val="20"/>
          <w:szCs w:val="20"/>
        </w:rPr>
        <w:fldChar w:fldCharType="begin"/>
      </w:r>
      <w:r>
        <w:rPr>
          <w:color w:val="000000"/>
          <w:sz w:val="20"/>
          <w:szCs w:val="20"/>
        </w:rPr>
        <w:instrText xml:space="preserve"> ADDIN EN.CITE &lt;EndNote&gt;&lt;Cite&gt;&lt;Author&gt;Adams&lt;/Author&gt;&lt;Year&gt;2018&lt;/Year&gt;&lt;RecNum&gt;55&lt;/RecNum&gt;&lt;DisplayText&gt;</w:instrText>
      </w:r>
      <w:r>
        <w:rPr>
          <w:color w:val="000000"/>
          <w:sz w:val="20"/>
          <w:szCs w:val="20"/>
        </w:rPr>
        <w:instrText>[2, 3]&lt;/DisplayText&gt;&lt;record&gt;&lt;rec-number&gt;55&lt;/rec-number&gt;&lt;foreign-keys&gt;&lt;key app="EN" db-id="d0vstffei2ze5sew5fwxp0dq9zxs5pvvsxpv" timestamp="1579952998"&gt;55&lt;/key&gt;&lt;/foreign-keys&gt;&lt;ref-type name="Journal Article"&gt;17&lt;/ref-type&gt;&lt;contributors&gt;&lt;authors&gt;&lt;author&gt;Adams</w:instrText>
      </w:r>
      <w:r>
        <w:rPr>
          <w:color w:val="000000"/>
          <w:sz w:val="20"/>
          <w:szCs w:val="20"/>
        </w:rPr>
        <w:instrText>, David R&lt;/author&gt;&lt;author&gt;Eng, Christine M&lt;/author&gt;&lt;/authors&gt;&lt;/contributors&gt;&lt;titles&gt;&lt;title&gt;Next-generation sequencing to diagnose suspected genetic disorders&lt;/title&gt;&lt;secondary-title&gt;New England Journal of Medicine&lt;/secondary-title&gt;&lt;/titles&gt;&lt;periodical&gt;&lt;ful</w:instrText>
      </w:r>
      <w:r>
        <w:rPr>
          <w:color w:val="000000"/>
          <w:sz w:val="20"/>
          <w:szCs w:val="20"/>
        </w:rPr>
        <w:instrText>l-title&gt;New England Journal of Medicine&lt;/full-title&gt;&lt;/periodical&gt;&lt;pages&gt;1353-1362&lt;/pages&gt;&lt;volume&gt;379&lt;/volume&gt;&lt;number&gt;14&lt;/number&gt;&lt;dates&gt;&lt;year&gt;2018&lt;/year&gt;&lt;/dates&gt;&lt;isbn&gt;0028-4793&lt;/isbn&gt;&lt;urls&gt;&lt;/urls&gt;&lt;/record&gt;&lt;/Cite&gt;&lt;Cite&gt;&lt;Author&gt;Retterer&lt;/Author&gt;&lt;Year&gt;2016&lt;/Ye</w:instrText>
      </w:r>
      <w:r>
        <w:rPr>
          <w:color w:val="000000"/>
          <w:sz w:val="20"/>
          <w:szCs w:val="20"/>
        </w:rPr>
        <w:instrText>ar&gt;&lt;RecNum&gt;122&lt;/RecNum&gt;&lt;record&gt;&lt;rec-number&gt;122&lt;/rec-number&gt;&lt;foreign-keys&gt;&lt;key app="EN" db-id="d0vstffei2ze5sew5fwxp0dq9zxs5pvvsxpv" timestamp="1583791202"&gt;122&lt;/key&gt;&lt;/foreign-keys&gt;&lt;ref-type name="Journal Article"&gt;17&lt;/ref-type&gt;&lt;contributors&gt;&lt;authors&gt;&lt;author&gt;</w:instrText>
      </w:r>
      <w:r>
        <w:rPr>
          <w:color w:val="000000"/>
          <w:sz w:val="20"/>
          <w:szCs w:val="20"/>
        </w:rPr>
        <w:instrText>Retterer, Kyle&lt;/author&gt;&lt;author&gt;Juusola, Jane&lt;/author&gt;&lt;author&gt;Cho, Megan T&lt;/author&gt;&lt;author&gt;Vitazka, Patrik&lt;/author&gt;&lt;author&gt;Millan, Francisca&lt;/author&gt;&lt;author&gt;Gibellini, Federica&lt;/author&gt;&lt;author&gt;Vertino-Bell, Annette&lt;/author&gt;&lt;author&gt;Smaoui, Nizar&lt;/author&gt;&lt;aut</w:instrText>
      </w:r>
      <w:r>
        <w:rPr>
          <w:color w:val="000000"/>
          <w:sz w:val="20"/>
          <w:szCs w:val="20"/>
        </w:rPr>
        <w:instrText>hor&gt;Neidich, Julie&lt;/author&gt;&lt;author&gt;Monaghan, Kristin G&lt;/author&gt;&lt;/authors&gt;&lt;/contributors&gt;&lt;titles&gt;&lt;title&gt;Clinical application of whole-exome sequencing across clinical indications&lt;/title&gt;&lt;secondary-title&gt;Genetics in Medicine&lt;/secondary-title&gt;&lt;/titles&gt;&lt;period</w:instrText>
      </w:r>
      <w:r>
        <w:rPr>
          <w:color w:val="000000"/>
          <w:sz w:val="20"/>
          <w:szCs w:val="20"/>
        </w:rPr>
        <w:instrText>ical&gt;&lt;full-title&gt;Genetics in Medicine&lt;/full-title&gt;&lt;/periodical&gt;&lt;pages&gt;696-704&lt;/pages&gt;&lt;volume&gt;18&lt;/volume&gt;&lt;number&gt;7&lt;/number&gt;&lt;dates&gt;&lt;year&gt;2016&lt;/year&gt;&lt;/dates&gt;&lt;isbn&gt;1530-0366&lt;/isbn&gt;&lt;urls&gt;&lt;/urls&gt;&lt;/record&gt;&lt;/Cite&gt;&lt;/EndNote&gt;</w:instrText>
      </w:r>
      <w:r>
        <w:rPr>
          <w:color w:val="000000"/>
          <w:sz w:val="20"/>
          <w:szCs w:val="20"/>
        </w:rPr>
        <w:fldChar w:fldCharType="separate"/>
      </w:r>
      <w:r>
        <w:rPr>
          <w:noProof/>
          <w:color w:val="000000"/>
          <w:sz w:val="20"/>
          <w:szCs w:val="20"/>
        </w:rPr>
        <w:t>[2, 3]</w:t>
      </w:r>
      <w:r>
        <w:rPr>
          <w:color w:val="000000"/>
          <w:sz w:val="20"/>
          <w:szCs w:val="20"/>
        </w:rPr>
        <w:fldChar w:fldCharType="end"/>
      </w:r>
      <w:r>
        <w:rPr>
          <w:color w:val="000000"/>
          <w:sz w:val="20"/>
          <w:szCs w:val="20"/>
        </w:rPr>
        <w:t xml:space="preserve"> of patients offered WES or WGS </w:t>
      </w:r>
      <w:r>
        <w:rPr>
          <w:color w:val="000000"/>
          <w:sz w:val="20"/>
          <w:szCs w:val="20"/>
        </w:rPr>
        <w:t>receive a molecular diagnosis, although diagnostic rates vary by disease</w:t>
      </w:r>
      <w:r>
        <w:rPr>
          <w:color w:val="000000"/>
          <w:sz w:val="20"/>
          <w:szCs w:val="20"/>
        </w:rPr>
        <w:fldChar w:fldCharType="begin"/>
      </w:r>
      <w:r>
        <w:rPr>
          <w:color w:val="000000"/>
          <w:sz w:val="20"/>
          <w:szCs w:val="20"/>
        </w:rPr>
        <w:instrText xml:space="preserve"> ADDIN EN.CITE &lt;EndNote&gt;&lt;Cite&gt;&lt;Author&gt;Retterer&lt;/Author&gt;&lt;Year&gt;2016&lt;/Year&gt;&lt;RecNum&gt;122&lt;/RecNum&gt;&lt;DisplayText&gt;[3]&lt;/DisplayText&gt;&lt;record&gt;&lt;rec-number&gt;122&lt;/rec-number&gt;&lt;foreign-keys&gt;&lt;key app="EN</w:instrText>
      </w:r>
      <w:r>
        <w:rPr>
          <w:color w:val="000000"/>
          <w:sz w:val="20"/>
          <w:szCs w:val="20"/>
        </w:rPr>
        <w:instrText>" db-id="d0vstffei2ze5sew5fwxp0dq9zxs5pvvsxpv" timestamp="1583791202"&gt;122&lt;/key&gt;&lt;/foreign-keys&gt;&lt;ref-type name="Journal Article"&gt;17&lt;/ref-type&gt;&lt;contributors&gt;&lt;authors&gt;&lt;author&gt;Retterer, Kyle&lt;/author&gt;&lt;author&gt;Juusola, Jane&lt;/author&gt;&lt;author&gt;Cho, Megan T&lt;/author&gt;&lt;au</w:instrText>
      </w:r>
      <w:r>
        <w:rPr>
          <w:color w:val="000000"/>
          <w:sz w:val="20"/>
          <w:szCs w:val="20"/>
        </w:rPr>
        <w:instrText>thor&gt;Vitazka, Patrik&lt;/author&gt;&lt;author&gt;Millan, Francisca&lt;/author&gt;&lt;author&gt;Gibellini, Federica&lt;/author&gt;&lt;author&gt;Vertino-Bell, Annette&lt;/author&gt;&lt;author&gt;Smaoui, Nizar&lt;/author&gt;&lt;author&gt;Neidich, Julie&lt;/author&gt;&lt;author&gt;Monaghan, Kristin G&lt;/author&gt;&lt;/authors&gt;&lt;/contributo</w:instrText>
      </w:r>
      <w:r>
        <w:rPr>
          <w:color w:val="000000"/>
          <w:sz w:val="20"/>
          <w:szCs w:val="20"/>
        </w:rPr>
        <w:instrText>rs&gt;&lt;titles&gt;&lt;title&gt;Clinical application of whole-exome sequencing across clinical indications&lt;/title&gt;&lt;secondary-title&gt;Genetics in Medicine&lt;/secondary-title&gt;&lt;/titles&gt;&lt;periodical&gt;&lt;full-title&gt;Genetics in Medicine&lt;/full-title&gt;&lt;/periodical&gt;&lt;pages&gt;696-704&lt;/pages&gt;</w:instrText>
      </w:r>
      <w:r>
        <w:rPr>
          <w:color w:val="000000"/>
          <w:sz w:val="20"/>
          <w:szCs w:val="20"/>
        </w:rPr>
        <w:instrText>&lt;volume&gt;18&lt;/volume&gt;&lt;number&gt;7&lt;/number&gt;&lt;dates&gt;&lt;year&gt;2016&lt;/year&gt;&lt;/dates&gt;&lt;isbn&gt;1530-0366&lt;/isbn&gt;&lt;urls&gt;&lt;/urls&gt;&lt;/record&gt;&lt;/Cite&gt;&lt;/EndNote&gt;</w:instrText>
      </w:r>
      <w:r>
        <w:rPr>
          <w:color w:val="000000"/>
          <w:sz w:val="20"/>
          <w:szCs w:val="20"/>
        </w:rPr>
        <w:fldChar w:fldCharType="separate"/>
      </w:r>
      <w:r>
        <w:rPr>
          <w:noProof/>
          <w:color w:val="000000"/>
          <w:sz w:val="20"/>
          <w:szCs w:val="20"/>
        </w:rPr>
        <w:t>[3]</w:t>
      </w:r>
      <w:r>
        <w:rPr>
          <w:color w:val="000000"/>
          <w:sz w:val="20"/>
          <w:szCs w:val="20"/>
        </w:rPr>
        <w:fldChar w:fldCharType="end"/>
      </w:r>
      <w:r>
        <w:rPr>
          <w:color w:val="000000"/>
          <w:sz w:val="20"/>
          <w:szCs w:val="20"/>
        </w:rPr>
        <w:t xml:space="preserve"> with developmental delay phenotypes reporting higher solve rates at ~40%</w:t>
      </w:r>
      <w:r>
        <w:rPr>
          <w:color w:val="000000"/>
          <w:sz w:val="20"/>
          <w:szCs w:val="20"/>
        </w:rPr>
        <w:fldChar w:fldCharType="begin"/>
      </w:r>
      <w:r>
        <w:rPr>
          <w:color w:val="000000"/>
          <w:sz w:val="20"/>
          <w:szCs w:val="20"/>
        </w:rPr>
        <w:instrText xml:space="preserve"> ADDIN EN.CITE &lt;EndNote&gt;&lt;Cite&gt;&lt;Author&gt;Lee&lt;/Auth</w:instrText>
      </w:r>
      <w:r>
        <w:rPr>
          <w:color w:val="000000"/>
          <w:sz w:val="20"/>
          <w:szCs w:val="20"/>
        </w:rPr>
        <w:instrText>or&gt;&lt;Year&gt;2014&lt;/Year&gt;&lt;RecNum&gt;121&lt;/RecNum&gt;&lt;DisplayText&gt;[4]&lt;/DisplayText&gt;&lt;record&gt;&lt;rec-number&gt;121&lt;/rec-number&gt;&lt;foreign-keys&gt;&lt;key app="EN" db-id="d0vstffei2ze5sew5fwxp0dq9zxs5pvvsxpv" timestamp="1583790974"&gt;121&lt;/key&gt;&lt;/foreign-keys&gt;&lt;ref-type name="Journal Articl</w:instrText>
      </w:r>
      <w:r>
        <w:rPr>
          <w:color w:val="000000"/>
          <w:sz w:val="20"/>
          <w:szCs w:val="20"/>
        </w:rPr>
        <w:instrText>e"&gt;17&lt;/ref-type&gt;&lt;contributors&gt;&lt;authors&gt;&lt;author&gt;Lee, Hane&lt;/author&gt;&lt;author&gt;Deignan, Joshua L&lt;/author&gt;&lt;author&gt;Dorrani, Naghmeh&lt;/author&gt;&lt;author&gt;Strom, Samuel P&lt;/author&gt;&lt;author&gt;Kantarci, Sibel&lt;/author&gt;&lt;author&gt;Quintero-Rivera, Fabiola&lt;/author&gt;&lt;author&gt;Das, Kingsh</w:instrText>
      </w:r>
      <w:r>
        <w:rPr>
          <w:color w:val="000000"/>
          <w:sz w:val="20"/>
          <w:szCs w:val="20"/>
        </w:rPr>
        <w:instrText>uk&lt;/author&gt;&lt;author&gt;Toy, Traci&lt;/author&gt;&lt;author&gt;Harry, Bret&lt;/author&gt;&lt;author&gt;Yourshaw, Michael&lt;/author&gt;&lt;/authors&gt;&lt;/contributors&gt;&lt;titles&gt;&lt;title&gt;Clinical exome sequencing for genetic identification of rare Mendelian disorders&lt;/title&gt;&lt;secondary-title&gt;Jama&lt;/secon</w:instrText>
      </w:r>
      <w:r>
        <w:rPr>
          <w:color w:val="000000"/>
          <w:sz w:val="20"/>
          <w:szCs w:val="20"/>
        </w:rPr>
        <w:instrText>dary-title&gt;&lt;/titles&gt;&lt;periodical&gt;&lt;full-title&gt;Jama&lt;/full-title&gt;&lt;/periodical&gt;&lt;pages&gt;1880-1887&lt;/pages&gt;&lt;volume&gt;312&lt;/volume&gt;&lt;number&gt;18&lt;/number&gt;&lt;dates&gt;&lt;year&gt;2014&lt;/year&gt;&lt;/dates&gt;&lt;isbn&gt;0098-7484&lt;/isbn&gt;&lt;urls&gt;&lt;/urls&gt;&lt;/record&gt;&lt;/Cite&gt;&lt;/EndNote&gt;</w:instrText>
      </w:r>
      <w:r>
        <w:rPr>
          <w:color w:val="000000"/>
          <w:sz w:val="20"/>
          <w:szCs w:val="20"/>
        </w:rPr>
        <w:fldChar w:fldCharType="separate"/>
      </w:r>
      <w:r>
        <w:rPr>
          <w:noProof/>
          <w:color w:val="000000"/>
          <w:sz w:val="20"/>
          <w:szCs w:val="20"/>
        </w:rPr>
        <w:t>[4]</w:t>
      </w:r>
      <w:r>
        <w:rPr>
          <w:color w:val="000000"/>
          <w:sz w:val="20"/>
          <w:szCs w:val="20"/>
        </w:rPr>
        <w:fldChar w:fldCharType="end"/>
      </w:r>
      <w:r>
        <w:rPr>
          <w:color w:val="000000"/>
          <w:sz w:val="20"/>
          <w:szCs w:val="20"/>
        </w:rPr>
        <w:t>. Regardless, most p</w:t>
      </w:r>
      <w:r>
        <w:rPr>
          <w:color w:val="000000"/>
          <w:sz w:val="20"/>
          <w:szCs w:val="20"/>
        </w:rPr>
        <w:t>atients sequenced remain without a prognosis or treatment option. This is in part because NGS diagnostic testing is limited to known disease genes. Therefore, causal variants in novel genes or those outside of targeted (virtual) gene panels are ignored, at</w:t>
      </w:r>
      <w:r>
        <w:rPr>
          <w:color w:val="000000"/>
          <w:sz w:val="20"/>
          <w:szCs w:val="20"/>
        </w:rPr>
        <w:t xml:space="preserve"> least until iterative analyses in light of new gene discoveries become commonplace. However, the genomics field is still an active research arena and national projects such as the UK’s 100,000 Genomes Project</w:t>
      </w:r>
      <w:r>
        <w:rPr>
          <w:color w:val="000000"/>
          <w:sz w:val="20"/>
          <w:szCs w:val="20"/>
        </w:rPr>
        <w:fldChar w:fldCharType="begin"/>
      </w:r>
      <w:r>
        <w:rPr>
          <w:color w:val="000000"/>
          <w:sz w:val="20"/>
          <w:szCs w:val="20"/>
        </w:rPr>
        <w:instrText xml:space="preserve"> ADDIN EN.CITE &lt;EndNote&gt;&lt;Cite&gt;&lt;Author&gt;Siva&lt;/Aut</w:instrText>
      </w:r>
      <w:r>
        <w:rPr>
          <w:color w:val="000000"/>
          <w:sz w:val="20"/>
          <w:szCs w:val="20"/>
        </w:rPr>
        <w:instrText>hor&gt;&lt;Year&gt;2008&lt;/Year&gt;&lt;RecNum&gt;63&lt;/RecNum&gt;&lt;DisplayText&gt;[5]&lt;/DisplayText&gt;&lt;record&gt;&lt;rec-number&gt;63&lt;/rec-number&gt;&lt;foreign-keys&gt;&lt;key app="EN" db-id="d0vstffei2ze5sew5fwxp0dq9zxs5pvvsxpv" timestamp="1580005680"&gt;63&lt;/key&gt;&lt;/foreign-keys&gt;&lt;ref-type name="Generic"&gt;13&lt;/ref</w:instrText>
      </w:r>
      <w:r>
        <w:rPr>
          <w:color w:val="000000"/>
          <w:sz w:val="20"/>
          <w:szCs w:val="20"/>
        </w:rPr>
        <w:instrText>-type&gt;&lt;contributors&gt;&lt;authors&gt;&lt;author&gt;Siva, Nayanah&lt;/author&gt;&lt;/authors&gt;&lt;/contributors&gt;&lt;titles&gt;&lt;title&gt;1000 Genomes project&lt;/title&gt;&lt;/titles&gt;&lt;dates&gt;&lt;year&gt;2008&lt;/year&gt;&lt;/dates&gt;&lt;publisher&gt;Nature Publishing Group&lt;/publisher&gt;&lt;isbn&gt;1546-1696&lt;/isbn&gt;&lt;urls&gt;&lt;/urls&gt;&lt;/recor</w:instrText>
      </w:r>
      <w:r>
        <w:rPr>
          <w:color w:val="000000"/>
          <w:sz w:val="20"/>
          <w:szCs w:val="20"/>
        </w:rPr>
        <w:instrText>d&gt;&lt;/Cite&gt;&lt;/EndNote&gt;</w:instrText>
      </w:r>
      <w:r>
        <w:rPr>
          <w:color w:val="000000"/>
          <w:sz w:val="20"/>
          <w:szCs w:val="20"/>
        </w:rPr>
        <w:fldChar w:fldCharType="separate"/>
      </w:r>
      <w:r>
        <w:rPr>
          <w:noProof/>
          <w:color w:val="000000"/>
          <w:sz w:val="20"/>
          <w:szCs w:val="20"/>
        </w:rPr>
        <w:t>[5]</w:t>
      </w:r>
      <w:r>
        <w:rPr>
          <w:color w:val="000000"/>
          <w:sz w:val="20"/>
          <w:szCs w:val="20"/>
        </w:rPr>
        <w:fldChar w:fldCharType="end"/>
      </w:r>
      <w:r>
        <w:rPr>
          <w:color w:val="000000"/>
          <w:sz w:val="20"/>
          <w:szCs w:val="20"/>
        </w:rPr>
        <w:t xml:space="preserve"> and the USA’s All of Us Research Program</w:t>
      </w:r>
      <w:r>
        <w:rPr>
          <w:color w:val="000000"/>
          <w:sz w:val="20"/>
          <w:szCs w:val="20"/>
        </w:rPr>
        <w:fldChar w:fldCharType="begin"/>
      </w:r>
      <w:r>
        <w:rPr>
          <w:color w:val="000000"/>
          <w:sz w:val="20"/>
          <w:szCs w:val="20"/>
        </w:rPr>
        <w:instrText xml:space="preserve"> ADDIN EN.CITE &lt;EndNote&gt;&lt;Cite&gt;&lt;Author&gt;Sankar&lt;/Author&gt;&lt;Year&gt;2017&lt;/Year&gt;&lt;RecNum&gt;54&lt;/RecNum&gt;&lt;DisplayText&gt;[6]&lt;/DisplayText&gt;&lt;record&gt;&lt;rec-number&gt;54&lt;/rec-number&gt;&lt;foreign-keys&gt;&lt;key app="EN" db-id="d</w:instrText>
      </w:r>
      <w:r>
        <w:rPr>
          <w:color w:val="000000"/>
          <w:sz w:val="20"/>
          <w:szCs w:val="20"/>
        </w:rPr>
        <w:instrText>0vstffei2ze5sew5fwxp0dq9zxs5pvvsxpv" timestamp="1579936622"&gt;54&lt;/key&gt;&lt;/foreign-keys&gt;&lt;ref-type name="Journal Article"&gt;17&lt;/ref-type&gt;&lt;contributors&gt;&lt;authors&gt;&lt;author&gt;Sankar, Pamela L&lt;/author&gt;&lt;author&gt;Parker, Lisa S&lt;/author&gt;&lt;/authors&gt;&lt;/contributors&gt;&lt;titles&gt;&lt;title&gt;</w:instrText>
      </w:r>
      <w:r>
        <w:rPr>
          <w:color w:val="000000"/>
          <w:sz w:val="20"/>
          <w:szCs w:val="20"/>
        </w:rPr>
        <w:instrText>The Precision Medicine Initiative’s All of Us Research Program: an agenda for research on its ethical, legal, and social issues&lt;/title&gt;&lt;secondary-title&gt;Genetics in Medicine&lt;/secondary-title&gt;&lt;/titles&gt;&lt;periodical&gt;&lt;full-title&gt;Genetics in Medicine&lt;/full-title&gt;</w:instrText>
      </w:r>
      <w:r>
        <w:rPr>
          <w:color w:val="000000"/>
          <w:sz w:val="20"/>
          <w:szCs w:val="20"/>
        </w:rPr>
        <w:instrText>&lt;/periodical&gt;&lt;pages&gt;743-750&lt;/pages&gt;&lt;volume&gt;19&lt;/volume&gt;&lt;number&gt;7&lt;/number&gt;&lt;dates&gt;&lt;year&gt;2017&lt;/year&gt;&lt;/dates&gt;&lt;isbn&gt;1530-0366&lt;/isbn&gt;&lt;urls&gt;&lt;/urls&gt;&lt;/record&gt;&lt;/Cite&gt;&lt;/EndNote&gt;</w:instrText>
      </w:r>
      <w:r>
        <w:rPr>
          <w:color w:val="000000"/>
          <w:sz w:val="20"/>
          <w:szCs w:val="20"/>
        </w:rPr>
        <w:fldChar w:fldCharType="separate"/>
      </w:r>
      <w:r>
        <w:rPr>
          <w:noProof/>
          <w:color w:val="000000"/>
          <w:sz w:val="20"/>
          <w:szCs w:val="20"/>
        </w:rPr>
        <w:t>[6]</w:t>
      </w:r>
      <w:r>
        <w:rPr>
          <w:color w:val="000000"/>
          <w:sz w:val="20"/>
          <w:szCs w:val="20"/>
        </w:rPr>
        <w:fldChar w:fldCharType="end"/>
      </w:r>
      <w:r>
        <w:rPr>
          <w:color w:val="000000"/>
          <w:sz w:val="20"/>
          <w:szCs w:val="20"/>
        </w:rPr>
        <w:t xml:space="preserve"> are utilising large-scale sequencing efforts to diagnose patients and discover new R</w:t>
      </w:r>
      <w:r>
        <w:rPr>
          <w:color w:val="000000"/>
          <w:sz w:val="20"/>
          <w:szCs w:val="20"/>
        </w:rPr>
        <w:t>GD. As a result, the boundary between clinical diagnostics and novel gene discovery is increasingly blurred, with many analysts adopting a dual diagnostic and research role. Patients consented only for clinical diagnostics will have their genome tested aga</w:t>
      </w:r>
      <w:r>
        <w:rPr>
          <w:color w:val="000000"/>
          <w:sz w:val="20"/>
          <w:szCs w:val="20"/>
        </w:rPr>
        <w:t>inst known disease genes, whereas patients consented additionally for research may receive a diagnosis following functional studies on candidate variants undertaken in a research setting. This approach is steadily increasing the number of new gene disorder</w:t>
      </w:r>
      <w:r>
        <w:rPr>
          <w:color w:val="000000"/>
          <w:sz w:val="20"/>
          <w:szCs w:val="20"/>
        </w:rPr>
        <w:t>s identified, however there is a still much to be discovered about the human genome. In fact, &gt;75% of the phenotypical consequences for variation in all ~20,000 human genes is unaccounted for, thus rendering the exome far from obsolete</w:t>
      </w:r>
      <w:r>
        <w:rPr>
          <w:color w:val="000000"/>
          <w:sz w:val="20"/>
          <w:szCs w:val="20"/>
        </w:rPr>
        <w:fldChar w:fldCharType="begin"/>
      </w:r>
      <w:r>
        <w:rPr>
          <w:color w:val="000000"/>
          <w:sz w:val="20"/>
          <w:szCs w:val="20"/>
        </w:rPr>
        <w:instrText xml:space="preserve"> ADDIN EN.CITE &lt;EndNo</w:instrText>
      </w:r>
      <w:r>
        <w:rPr>
          <w:color w:val="000000"/>
          <w:sz w:val="20"/>
          <w:szCs w:val="20"/>
        </w:rPr>
        <w:instrText>te&gt;&lt;Cite&gt;&lt;Author&gt;Posey&lt;/Author&gt;&lt;Year&gt;2019&lt;/Year&gt;&lt;RecNum&gt;10&lt;/RecNum&gt;&lt;DisplayText&gt;[7]&lt;/DisplayText&gt;&lt;record&gt;&lt;rec-number&gt;10&lt;/rec-number&gt;&lt;foreign-keys&gt;&lt;key app="EN" db-id="d0vstffei2ze5sew5fwxp0dq9zxs5pvvsxpv" timestamp="1579850007"&gt;10&lt;/key&gt;&lt;/foreign-keys&gt;&lt;ref-</w:instrText>
      </w:r>
      <w:r>
        <w:rPr>
          <w:color w:val="000000"/>
          <w:sz w:val="20"/>
          <w:szCs w:val="20"/>
        </w:rPr>
        <w:instrText>type name="Journal Article"&gt;17&lt;/ref-type&gt;&lt;contributors&gt;&lt;authors&gt;&lt;author&gt;Posey, Jennifer E&lt;/author&gt;&lt;author&gt;O’Donnell-Luria, Anne H&lt;/author&gt;&lt;author&gt;Chong, Jessica X&lt;/author&gt;&lt;author&gt;Harel, Tamar&lt;/author&gt;&lt;author&gt;Jhangiani, Shalini N&lt;/author&gt;&lt;author&gt;Akdemir, Ze</w:instrText>
      </w:r>
      <w:r>
        <w:rPr>
          <w:color w:val="000000"/>
          <w:sz w:val="20"/>
          <w:szCs w:val="20"/>
        </w:rPr>
        <w:instrText>ynep H Coban&lt;/author&gt;&lt;author&gt;Buyske, Steven&lt;/author&gt;&lt;author&gt;Pehlivan, Davut&lt;/author&gt;&lt;author&gt;Carvalho, Claudia MB&lt;/author&gt;&lt;author&gt;Baxter, Samantha&lt;/author&gt;&lt;/authors&gt;&lt;/contributors&gt;&lt;titles&gt;&lt;title&gt;Insights into genetics, human biology and disease gleaned from</w:instrText>
      </w:r>
      <w:r>
        <w:rPr>
          <w:color w:val="000000"/>
          <w:sz w:val="20"/>
          <w:szCs w:val="20"/>
        </w:rPr>
        <w:instrText xml:space="preserve"> family based genomic studies&lt;/title&gt;&lt;secondary-title&gt;Genetics in Medicine&lt;/secondary-title&gt;&lt;/titles&gt;&lt;periodical&gt;&lt;full-title&gt;Genetics in Medicine&lt;/full-title&gt;&lt;/periodical&gt;&lt;pages&gt;798-812&lt;/pages&gt;&lt;volume&gt;21&lt;/volume&gt;&lt;number&gt;4&lt;/number&gt;&lt;dates&gt;&lt;year&gt;2019&lt;/year&gt;&lt;/</w:instrText>
      </w:r>
      <w:r>
        <w:rPr>
          <w:color w:val="000000"/>
          <w:sz w:val="20"/>
          <w:szCs w:val="20"/>
        </w:rPr>
        <w:instrText>dates&gt;&lt;isbn&gt;1530-0366&lt;/isbn&gt;&lt;urls&gt;&lt;/urls&gt;&lt;/record&gt;&lt;/Cite&gt;&lt;/EndNote&gt;</w:instrText>
      </w:r>
      <w:r>
        <w:rPr>
          <w:color w:val="000000"/>
          <w:sz w:val="20"/>
          <w:szCs w:val="20"/>
        </w:rPr>
        <w:fldChar w:fldCharType="separate"/>
      </w:r>
      <w:r>
        <w:rPr>
          <w:noProof/>
          <w:color w:val="000000"/>
          <w:sz w:val="20"/>
          <w:szCs w:val="20"/>
        </w:rPr>
        <w:t>[7]</w:t>
      </w:r>
      <w:r>
        <w:rPr>
          <w:color w:val="000000"/>
          <w:sz w:val="20"/>
          <w:szCs w:val="20"/>
        </w:rPr>
        <w:fldChar w:fldCharType="end"/>
      </w:r>
      <w:r>
        <w:rPr>
          <w:color w:val="000000"/>
          <w:sz w:val="20"/>
          <w:szCs w:val="20"/>
        </w:rPr>
        <w:t xml:space="preserve">. Novel gene discovery is still hindered by vast quantities of variants of uncertain significance found in genes of undetermined biological function. </w:t>
      </w:r>
      <w:r>
        <w:rPr>
          <w:rStyle w:val="CommentReference"/>
          <w:color w:val="000000"/>
          <w:sz w:val="20"/>
        </w:rPr>
        <w:t>A sequenced genome</w:t>
      </w:r>
      <w:r>
        <w:rPr>
          <w:color w:val="000000"/>
          <w:sz w:val="22"/>
          <w:szCs w:val="20"/>
        </w:rPr>
        <w:t xml:space="preserve"> </w:t>
      </w:r>
      <w:r>
        <w:rPr>
          <w:color w:val="000000"/>
          <w:sz w:val="20"/>
          <w:szCs w:val="20"/>
        </w:rPr>
        <w:t>will output mi</w:t>
      </w:r>
      <w:r>
        <w:rPr>
          <w:color w:val="000000"/>
          <w:sz w:val="20"/>
          <w:szCs w:val="20"/>
        </w:rPr>
        <w:t>llions of variants; yet just a single nucleotide change may cause disease. Therefore, deciphering benign- from disease-causing variation is limiting disease-gene discoveries. Moreover, current analytical and annotation methods are imperfect</w:t>
      </w:r>
      <w:r>
        <w:rPr>
          <w:color w:val="000000"/>
          <w:sz w:val="20"/>
          <w:szCs w:val="20"/>
        </w:rPr>
        <w:fldChar w:fldCharType="begin"/>
      </w:r>
      <w:r>
        <w:rPr>
          <w:color w:val="000000"/>
          <w:sz w:val="20"/>
          <w:szCs w:val="20"/>
        </w:rPr>
        <w:instrText xml:space="preserve"> ADDIN EN.CITE &lt;</w:instrText>
      </w:r>
      <w:r>
        <w:rPr>
          <w:color w:val="000000"/>
          <w:sz w:val="20"/>
          <w:szCs w:val="20"/>
        </w:rPr>
        <w:instrText>EndNote&gt;&lt;Cite&gt;&lt;Author&gt;Saez-Rodriguez&lt;/Author&gt;&lt;Year&gt;2016&lt;/Year&gt;&lt;RecNum&gt;108&lt;/RecNum&gt;&lt;DisplayText&gt;[8, 9]&lt;/DisplayText&gt;&lt;record&gt;&lt;rec-number&gt;108&lt;/rec-number&gt;&lt;foreign-keys&gt;&lt;key app="EN" db-id="d0vstffei2ze5sew5fwxp0dq9zxs5pvvsxpv" timestamp="1583768771"&gt;108&lt;/key&gt;</w:instrText>
      </w:r>
      <w:r>
        <w:rPr>
          <w:color w:val="000000"/>
          <w:sz w:val="20"/>
          <w:szCs w:val="20"/>
        </w:rPr>
        <w:instrText>&lt;/foreign-keys&gt;&lt;ref-type name="Journal Article"&gt;17&lt;/ref-type&gt;&lt;contributors&gt;&lt;authors&gt;&lt;author&gt;Saez-Rodriguez, Julio&lt;/author&gt;&lt;author&gt;Costello, James C&lt;/author&gt;&lt;author&gt;Friend, Stephen H&lt;/author&gt;&lt;author&gt;Kellen, Michael R&lt;/author&gt;&lt;author&gt;Mangravite, Lara&lt;/author</w:instrText>
      </w:r>
      <w:r>
        <w:rPr>
          <w:color w:val="000000"/>
          <w:sz w:val="20"/>
          <w:szCs w:val="20"/>
        </w:rPr>
        <w:instrText>&gt;&lt;author&gt;Meyer, Pablo&lt;/author&gt;&lt;author&gt;Norman, Thea&lt;/author&gt;&lt;author&gt;Stolovitzky, Gustavo&lt;/author&gt;&lt;/authors&gt;&lt;/contributors&gt;&lt;titles&gt;&lt;title&gt;Crowdsourcing biomedical research: leveraging communities as innovation engines&lt;/title&gt;&lt;secondary-title&gt;Nature Reviews G</w:instrText>
      </w:r>
      <w:r>
        <w:rPr>
          <w:color w:val="000000"/>
          <w:sz w:val="20"/>
          <w:szCs w:val="20"/>
        </w:rPr>
        <w:instrText>enetics&lt;/secondary-title&gt;&lt;/titles&gt;&lt;periodical&gt;&lt;full-title&gt;Nature Reviews Genetics&lt;/full-title&gt;&lt;/periodical&gt;&lt;pages&gt;470&lt;/pages&gt;&lt;volume&gt;17&lt;/volume&gt;&lt;number&gt;8&lt;/number&gt;&lt;dates&gt;&lt;year&gt;2016&lt;/year&gt;&lt;/dates&gt;&lt;isbn&gt;1471-0064&lt;/isbn&gt;&lt;urls&gt;&lt;/urls&gt;&lt;/record&gt;&lt;/Cite&gt;&lt;Cite&gt;&lt;Auth</w:instrText>
      </w:r>
      <w:r>
        <w:rPr>
          <w:color w:val="000000"/>
          <w:sz w:val="20"/>
          <w:szCs w:val="20"/>
        </w:rPr>
        <w:instrText>or&gt;Hoskins&lt;/Author&gt;&lt;Year&gt;2017&lt;/Year&gt;&lt;RecNum&gt;109&lt;/RecNum&gt;&lt;record&gt;&lt;rec-number&gt;109&lt;/rec-number&gt;&lt;foreign-keys&gt;&lt;key app="EN" db-id="d0vstffei2ze5sew5fwxp0dq9zxs5pvvsxpv" timestamp="1583769271"&gt;109&lt;/key&gt;&lt;/foreign-keys&gt;&lt;ref-type name="Journal Article"&gt;17&lt;/ref-typ</w:instrText>
      </w:r>
      <w:r>
        <w:rPr>
          <w:color w:val="000000"/>
          <w:sz w:val="20"/>
          <w:szCs w:val="20"/>
        </w:rPr>
        <w:instrText>e&gt;&lt;contributors&gt;&lt;authors&gt;&lt;author&gt;Hoskins, Roger A&lt;/author&gt;&lt;author&gt;Repo, Susanna&lt;/author&gt;&lt;author&gt;Barsky, Daniel&lt;/author&gt;&lt;author&gt;Andreoletti, Gaia&lt;/author&gt;&lt;author&gt;Moult, John&lt;/author&gt;&lt;author&gt;Brenner, Steven E&lt;/author&gt;&lt;/authors&gt;&lt;/contributors&gt;&lt;titles&gt;&lt;title&gt;R</w:instrText>
      </w:r>
      <w:r>
        <w:rPr>
          <w:color w:val="000000"/>
          <w:sz w:val="20"/>
          <w:szCs w:val="20"/>
        </w:rPr>
        <w:instrText>eports from CAGI: the critical assessment of genome interpretation&lt;/title&gt;&lt;secondary-title&gt;Human mutation&lt;/secondary-title&gt;&lt;/titles&gt;&lt;periodical&gt;&lt;full-title&gt;Human mutation&lt;/full-title&gt;&lt;/periodical&gt;&lt;pages&gt;1039-1041&lt;/pages&gt;&lt;volume&gt;38&lt;/volume&gt;&lt;number&gt;9&lt;/number</w:instrText>
      </w:r>
      <w:r>
        <w:rPr>
          <w:color w:val="000000"/>
          <w:sz w:val="20"/>
          <w:szCs w:val="20"/>
        </w:rPr>
        <w:instrText>&gt;&lt;dates&gt;&lt;year&gt;2017&lt;/year&gt;&lt;/dates&gt;&lt;isbn&gt;1059-7794&lt;/isbn&gt;&lt;urls&gt;&lt;/urls&gt;&lt;/record&gt;&lt;/Cite&gt;&lt;/EndNote&gt;</w:instrText>
      </w:r>
      <w:r>
        <w:rPr>
          <w:color w:val="000000"/>
          <w:sz w:val="20"/>
          <w:szCs w:val="20"/>
        </w:rPr>
        <w:fldChar w:fldCharType="separate"/>
      </w:r>
      <w:r>
        <w:rPr>
          <w:noProof/>
          <w:color w:val="000000"/>
          <w:sz w:val="20"/>
          <w:szCs w:val="20"/>
        </w:rPr>
        <w:t>[8, 9]</w:t>
      </w:r>
      <w:r>
        <w:rPr>
          <w:color w:val="000000"/>
          <w:sz w:val="20"/>
          <w:szCs w:val="20"/>
        </w:rPr>
        <w:fldChar w:fldCharType="end"/>
      </w:r>
      <w:r>
        <w:rPr>
          <w:color w:val="000000"/>
          <w:sz w:val="20"/>
          <w:szCs w:val="20"/>
        </w:rPr>
        <w:t xml:space="preserve"> and variation is not restricted to coding regions, which has necessitated research into structural variants and non-coding DNA. With the physiology of m</w:t>
      </w:r>
      <w:r>
        <w:rPr>
          <w:color w:val="000000"/>
          <w:sz w:val="20"/>
          <w:szCs w:val="20"/>
        </w:rPr>
        <w:t>ost genes unknown, and much still to be learnt about the non-coding genome, many genetic diseases will preclude detection until a greater proportion of the human genome has been biologically elucidated, or new methods are developed to uplift novel gene dis</w:t>
      </w:r>
      <w:r>
        <w:rPr>
          <w:color w:val="000000"/>
          <w:sz w:val="20"/>
          <w:szCs w:val="20"/>
        </w:rPr>
        <w:t>covery.  </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This article will consider some of the biggest opportunities and challenges in the diagnosis and discovery of RGD with a focus on variant analysis from NGS data. Herein we consider patient selection, technological challenges, variant prioritisat</w:t>
      </w:r>
      <w:r>
        <w:rPr>
          <w:color w:val="000000"/>
          <w:sz w:val="20"/>
          <w:szCs w:val="20"/>
        </w:rPr>
        <w:t>ion, incomplete penetrance, transcript- and tissue-specific annotation, in addition to non-coding and structural variation. We further discuss current and future avenues to ameliorate these factors and propose a new approach for novel gene discovery to tac</w:t>
      </w:r>
      <w:r>
        <w:rPr>
          <w:color w:val="000000"/>
          <w:sz w:val="20"/>
          <w:szCs w:val="20"/>
        </w:rPr>
        <w:t>kle the notorious diagnostic odyssey of rare disease.</w:t>
      </w:r>
    </w:p>
    <w:p w:rsidR="00877997" w:rsidRDefault="00CB0676">
      <w:pPr>
        <w:rPr>
          <w:color w:val="000000"/>
          <w:sz w:val="20"/>
          <w:szCs w:val="20"/>
        </w:rPr>
      </w:pPr>
      <w:r>
        <w:rPr>
          <w:color w:val="000000"/>
          <w:sz w:val="20"/>
          <w:szCs w:val="20"/>
        </w:rPr>
        <w:t> </w:t>
      </w:r>
    </w:p>
    <w:p w:rsidR="00877997" w:rsidRDefault="00CB0676">
      <w:pPr>
        <w:rPr>
          <w:b/>
          <w:bCs/>
          <w:color w:val="000000"/>
          <w:sz w:val="20"/>
          <w:szCs w:val="20"/>
        </w:rPr>
      </w:pPr>
      <w:r>
        <w:rPr>
          <w:b/>
          <w:bCs/>
          <w:color w:val="000000"/>
          <w:sz w:val="20"/>
          <w:szCs w:val="20"/>
        </w:rPr>
        <w:t>Application of NGS technologies</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WES and WGS are usually applied for suspected Mendelian disease of putative complete penetrance. With many patients being contemporaneously consented for both clinical</w:t>
      </w:r>
      <w:r>
        <w:rPr>
          <w:color w:val="000000"/>
          <w:sz w:val="20"/>
          <w:szCs w:val="20"/>
        </w:rPr>
        <w:t xml:space="preserve"> diagnostic and research studies, the selection criteria </w:t>
      </w:r>
      <w:r>
        <w:rPr>
          <w:color w:val="000000"/>
          <w:sz w:val="20"/>
          <w:szCs w:val="20"/>
        </w:rPr>
        <w:lastRenderedPageBreak/>
        <w:t xml:space="preserve">are largely overlapping. These usually include: a severe phenotype that is unexplained by acquired or environmental factors; high suspicion for a monogenic disorder and; previous negative gene panel </w:t>
      </w:r>
      <w:r>
        <w:rPr>
          <w:color w:val="000000"/>
          <w:sz w:val="20"/>
          <w:szCs w:val="20"/>
        </w:rPr>
        <w:t>and/or microarray screening. Perhaps the main difference is where research studies are not limited to monogenic disease and may use NGS to elucidate the genetic architecture of complex diseases e.g. asthma, diabetes and inflammatory bowel disease. However,</w:t>
      </w:r>
      <w:r>
        <w:rPr>
          <w:color w:val="000000"/>
          <w:sz w:val="20"/>
          <w:szCs w:val="20"/>
        </w:rPr>
        <w:t xml:space="preserve"> the success of WES/WGS diminishes rapidly for these diseases, therefore it is imperative to be clear on the uses and limitations of NGS prior to offering genetic testing.</w:t>
      </w:r>
    </w:p>
    <w:p w:rsidR="00877997" w:rsidRDefault="00877997">
      <w:pPr>
        <w:spacing w:line="360" w:lineRule="auto"/>
        <w:rPr>
          <w:color w:val="000000"/>
          <w:sz w:val="20"/>
          <w:szCs w:val="20"/>
        </w:rPr>
      </w:pPr>
    </w:p>
    <w:p w:rsidR="00877997" w:rsidRDefault="00CB0676">
      <w:pPr>
        <w:spacing w:line="360" w:lineRule="auto"/>
        <w:rPr>
          <w:b/>
          <w:color w:val="000000"/>
          <w:sz w:val="20"/>
          <w:szCs w:val="20"/>
        </w:rPr>
      </w:pPr>
      <w:r>
        <w:rPr>
          <w:b/>
          <w:color w:val="000000"/>
          <w:sz w:val="20"/>
          <w:szCs w:val="20"/>
        </w:rPr>
        <w:t>Pedigree selection</w:t>
      </w:r>
    </w:p>
    <w:p w:rsidR="00877997" w:rsidRDefault="00CB0676">
      <w:pPr>
        <w:spacing w:line="360" w:lineRule="auto"/>
        <w:rPr>
          <w:color w:val="000000"/>
          <w:sz w:val="20"/>
          <w:szCs w:val="20"/>
        </w:rPr>
      </w:pPr>
      <w:r>
        <w:rPr>
          <w:color w:val="000000"/>
          <w:sz w:val="20"/>
          <w:szCs w:val="20"/>
        </w:rPr>
        <w:t> </w:t>
      </w:r>
    </w:p>
    <w:p w:rsidR="00877997" w:rsidRDefault="00CB0676">
      <w:pPr>
        <w:spacing w:line="360" w:lineRule="auto"/>
        <w:rPr>
          <w:color w:val="000000"/>
          <w:sz w:val="20"/>
          <w:szCs w:val="20"/>
        </w:rPr>
      </w:pPr>
      <w:r>
        <w:rPr>
          <w:color w:val="000000"/>
          <w:sz w:val="20"/>
          <w:szCs w:val="20"/>
        </w:rPr>
        <w:t xml:space="preserve">With clear evidence of a Mendelian disorder, it is crucial to </w:t>
      </w:r>
      <w:r>
        <w:rPr>
          <w:color w:val="000000"/>
          <w:sz w:val="20"/>
          <w:szCs w:val="20"/>
        </w:rPr>
        <w:t xml:space="preserve">sequence the most appropriate individuals where applicable. Trio exomes (parent/offspring) are most useful for </w:t>
      </w:r>
      <w:r>
        <w:rPr>
          <w:i/>
          <w:color w:val="000000"/>
          <w:sz w:val="20"/>
          <w:szCs w:val="20"/>
        </w:rPr>
        <w:t>de novo</w:t>
      </w:r>
      <w:r>
        <w:rPr>
          <w:color w:val="000000"/>
          <w:sz w:val="20"/>
          <w:szCs w:val="20"/>
        </w:rPr>
        <w:t xml:space="preserve"> inheritance</w:t>
      </w:r>
      <w:r>
        <w:rPr>
          <w:color w:val="000000"/>
          <w:sz w:val="20"/>
          <w:szCs w:val="20"/>
        </w:rPr>
        <w:fldChar w:fldCharType="begin"/>
      </w:r>
      <w:r>
        <w:rPr>
          <w:color w:val="000000"/>
          <w:sz w:val="20"/>
          <w:szCs w:val="20"/>
        </w:rPr>
        <w:instrText xml:space="preserve"> ADDIN EN.CITE &lt;EndNote&gt;&lt;Cite&gt;&lt;Author&gt;Vissers&lt;/Author&gt;&lt;Year&gt;2010&lt;/Year&gt;&lt;RecNum&gt;123&lt;/RecNum&gt;&lt;DisplayText&gt;[10]&lt;/DisplayText&gt;&lt;record&gt;&lt;rec-number&gt;123&lt;/rec-number&gt;&lt;foreign-keys&gt;&lt;key app="EN" db-id="d0vstffei2ze5sew5fwxp0dq9zxs5pvvsxpv" timestamp="1583791513"&gt;12</w:instrText>
      </w:r>
      <w:r>
        <w:rPr>
          <w:color w:val="000000"/>
          <w:sz w:val="20"/>
          <w:szCs w:val="20"/>
        </w:rPr>
        <w:instrText>3&lt;/key&gt;&lt;/foreign-keys&gt;&lt;ref-type name="Journal Article"&gt;17&lt;/ref-type&gt;&lt;contributors&gt;&lt;authors&gt;&lt;author&gt;Vissers, Lisenka ELM&lt;/author&gt;&lt;author&gt;de Ligt, Joep&lt;/author&gt;&lt;author&gt;Gilissen, Christian&lt;/author&gt;&lt;author&gt;Janssen, Irene&lt;/author&gt;&lt;author&gt;Steehouwer, Marloes&lt;/au</w:instrText>
      </w:r>
      <w:r>
        <w:rPr>
          <w:color w:val="000000"/>
          <w:sz w:val="20"/>
          <w:szCs w:val="20"/>
        </w:rPr>
        <w:instrText>thor&gt;&lt;author&gt;de Vries, Petra&lt;/author&gt;&lt;author&gt;van Lier, Bart&lt;/author&gt;&lt;author&gt;Arts, Peer&lt;/author&gt;&lt;author&gt;Wieskamp, Nienke&lt;/author&gt;&lt;author&gt;del Rosario, Marisol&lt;/author&gt;&lt;/authors&gt;&lt;/contributors&gt;&lt;titles&gt;&lt;title&gt;A de novo paradigm for mental retardation&lt;/title&gt;&lt;s</w:instrText>
      </w:r>
      <w:r>
        <w:rPr>
          <w:color w:val="000000"/>
          <w:sz w:val="20"/>
          <w:szCs w:val="20"/>
        </w:rPr>
        <w:instrText>econdary-title&gt;Nature genetics&lt;/secondary-title&gt;&lt;/titles&gt;&lt;periodical&gt;&lt;full-title&gt;Nature genetics&lt;/full-title&gt;&lt;/periodical&gt;&lt;pages&gt;1109-1112&lt;/pages&gt;&lt;volume&gt;42&lt;/volume&gt;&lt;number&gt;12&lt;/number&gt;&lt;dates&gt;&lt;year&gt;2010&lt;/year&gt;&lt;/dates&gt;&lt;isbn&gt;1546-1718&lt;/isbn&gt;&lt;urls&gt;&lt;/urls&gt;&lt;/rec</w:instrText>
      </w:r>
      <w:r>
        <w:rPr>
          <w:color w:val="000000"/>
          <w:sz w:val="20"/>
          <w:szCs w:val="20"/>
        </w:rPr>
        <w:instrText>ord&gt;&lt;/Cite&gt;&lt;/EndNote&gt;</w:instrText>
      </w:r>
      <w:r>
        <w:rPr>
          <w:color w:val="000000"/>
          <w:sz w:val="20"/>
          <w:szCs w:val="20"/>
        </w:rPr>
        <w:fldChar w:fldCharType="separate"/>
      </w:r>
      <w:r>
        <w:rPr>
          <w:noProof/>
          <w:color w:val="000000"/>
          <w:sz w:val="20"/>
          <w:szCs w:val="20"/>
        </w:rPr>
        <w:t>[10]</w:t>
      </w:r>
      <w:r>
        <w:rPr>
          <w:color w:val="000000"/>
          <w:sz w:val="20"/>
          <w:szCs w:val="20"/>
        </w:rPr>
        <w:fldChar w:fldCharType="end"/>
      </w:r>
      <w:r>
        <w:rPr>
          <w:color w:val="000000"/>
          <w:sz w:val="20"/>
          <w:szCs w:val="20"/>
        </w:rPr>
        <w:t>, however if multiple children are affected then sequencing additional siblings increases diagnostic power where funds permit</w:t>
      </w:r>
      <w:r>
        <w:rPr>
          <w:color w:val="000000"/>
          <w:sz w:val="20"/>
          <w:szCs w:val="20"/>
        </w:rPr>
        <w:fldChar w:fldCharType="begin"/>
      </w:r>
      <w:r>
        <w:rPr>
          <w:color w:val="000000"/>
          <w:sz w:val="20"/>
          <w:szCs w:val="20"/>
        </w:rPr>
        <w:instrText xml:space="preserve"> ADDIN EN.CITE &lt;EndNote&gt;&lt;Cite&gt;&lt;Author&gt;Bamshad&lt;/Author&gt;&lt;Year&gt;2011&lt;/Year&gt;&lt;RecNum&gt;124&lt;/RecNum&gt;&lt;DisplayText</w:instrText>
      </w:r>
      <w:r>
        <w:rPr>
          <w:color w:val="000000"/>
          <w:sz w:val="20"/>
          <w:szCs w:val="20"/>
        </w:rPr>
        <w:instrText>&gt;[11]&lt;/DisplayText&gt;&lt;record&gt;&lt;rec-number&gt;124&lt;/rec-number&gt;&lt;foreign-keys&gt;&lt;key app="EN" db-id="d0vstffei2ze5sew5fwxp0dq9zxs5pvvsxpv" timestamp="1583792308"&gt;124&lt;/key&gt;&lt;/foreign-keys&gt;&lt;ref-type name="Journal Article"&gt;17&lt;/ref-type&gt;&lt;contributors&gt;&lt;authors&gt;&lt;author&gt;Bams</w:instrText>
      </w:r>
      <w:r>
        <w:rPr>
          <w:color w:val="000000"/>
          <w:sz w:val="20"/>
          <w:szCs w:val="20"/>
        </w:rPr>
        <w:instrText>had, Michael J&lt;/author&gt;&lt;author&gt;Ng, Sarah B&lt;/author&gt;&lt;author&gt;Bigham, Abigail W&lt;/author&gt;&lt;author&gt;Tabor, Holly K&lt;/author&gt;&lt;author&gt;Emond, Mary J&lt;/author&gt;&lt;author&gt;Nickerson, Deborah A&lt;/author&gt;&lt;author&gt;Shendure, Jay&lt;/author&gt;&lt;/authors&gt;&lt;/contributors&gt;&lt;titles&gt;&lt;title&gt;Exo</w:instrText>
      </w:r>
      <w:r>
        <w:rPr>
          <w:color w:val="000000"/>
          <w:sz w:val="20"/>
          <w:szCs w:val="20"/>
        </w:rPr>
        <w:instrText>me sequencing as a tool for Mendelian disease gene discovery&lt;/title&gt;&lt;secondary-title&gt;Nature Reviews Genetics&lt;/secondary-title&gt;&lt;/titles&gt;&lt;periodical&gt;&lt;full-title&gt;Nature Reviews Genetics&lt;/full-title&gt;&lt;/periodical&gt;&lt;pages&gt;745-755&lt;/pages&gt;&lt;volume&gt;12&lt;/volume&gt;&lt;number</w:instrText>
      </w:r>
      <w:r>
        <w:rPr>
          <w:color w:val="000000"/>
          <w:sz w:val="20"/>
          <w:szCs w:val="20"/>
        </w:rPr>
        <w:instrText>&gt;11&lt;/number&gt;&lt;dates&gt;&lt;year&gt;2011&lt;/year&gt;&lt;/dates&gt;&lt;isbn&gt;1471-0064&lt;/isbn&gt;&lt;urls&gt;&lt;/urls&gt;&lt;/record&gt;&lt;/Cite&gt;&lt;/EndNote&gt;</w:instrText>
      </w:r>
      <w:r>
        <w:rPr>
          <w:color w:val="000000"/>
          <w:sz w:val="20"/>
          <w:szCs w:val="20"/>
        </w:rPr>
        <w:fldChar w:fldCharType="separate"/>
      </w:r>
      <w:r>
        <w:rPr>
          <w:noProof/>
          <w:color w:val="000000"/>
          <w:sz w:val="20"/>
          <w:szCs w:val="20"/>
        </w:rPr>
        <w:t>[11]</w:t>
      </w:r>
      <w:r>
        <w:rPr>
          <w:color w:val="000000"/>
          <w:sz w:val="20"/>
          <w:szCs w:val="20"/>
        </w:rPr>
        <w:fldChar w:fldCharType="end"/>
      </w:r>
      <w:r>
        <w:rPr>
          <w:color w:val="000000"/>
          <w:sz w:val="20"/>
          <w:szCs w:val="20"/>
        </w:rPr>
        <w:t>. For dominant inheritance, sequencing the most distantly related affected individuals, e.g. cousins, increases power to discriminate pathogenic</w:t>
      </w:r>
      <w:r>
        <w:rPr>
          <w:color w:val="000000"/>
          <w:sz w:val="20"/>
          <w:szCs w:val="20"/>
        </w:rPr>
        <w:t xml:space="preserve"> variants by reducing DNA shared between relatives by chance</w:t>
      </w:r>
      <w:r>
        <w:rPr>
          <w:color w:val="000000"/>
          <w:sz w:val="20"/>
          <w:szCs w:val="20"/>
        </w:rPr>
        <w:fldChar w:fldCharType="begin"/>
      </w:r>
      <w:r>
        <w:rPr>
          <w:color w:val="000000"/>
          <w:sz w:val="20"/>
          <w:szCs w:val="20"/>
        </w:rPr>
        <w:instrText xml:space="preserve"> ADDIN EN.CITE &lt;EndNote&gt;&lt;Cite&gt;&lt;Author&gt;Seaby&lt;/Author&gt;&lt;Year&gt;2015&lt;/Year&gt;&lt;RecNum&gt;32&lt;/RecNum&gt;&lt;DisplayText&gt;[12]&lt;/DisplayText&gt;&lt;record&gt;&lt;rec-number&gt;32&lt;/rec-number&gt;&lt;foreign-keys&gt;&lt;key app="EN" db-id="d0vstff</w:instrText>
      </w:r>
      <w:r>
        <w:rPr>
          <w:color w:val="000000"/>
          <w:sz w:val="20"/>
          <w:szCs w:val="20"/>
        </w:rPr>
        <w:instrText>ei2ze5sew5fwxp0dq9zxs5pvvsxpv" timestamp="1579862325"&gt;32&lt;/key&gt;&lt;/foreign-keys&gt;&lt;ref-type name="Journal Article"&gt;17&lt;/ref-type&gt;&lt;contributors&gt;&lt;authors&gt;&lt;author&gt;Seaby, Eleanor G.&lt;/author&gt;&lt;author&gt;Pengelly, Reuben J.&lt;/author&gt;&lt;author&gt;Ennis, Sarah&lt;/author&gt;&lt;/authors&gt;&lt;</w:instrText>
      </w:r>
      <w:r>
        <w:rPr>
          <w:color w:val="000000"/>
          <w:sz w:val="20"/>
          <w:szCs w:val="20"/>
        </w:rPr>
        <w:instrText>/contributors&gt;&lt;titles&gt;&lt;title&gt;Exome sequencing explained: a practical guide to its clinical application&lt;/title&gt;&lt;secondary-title&gt;Briefings in Functional Genomics&lt;/secondary-title&gt;&lt;/titles&gt;&lt;periodical&gt;&lt;full-title&gt;Briefings in Functional Genomics&lt;/full-title&gt;&lt;</w:instrText>
      </w:r>
      <w:r>
        <w:rPr>
          <w:color w:val="000000"/>
          <w:sz w:val="20"/>
          <w:szCs w:val="20"/>
        </w:rPr>
        <w:instrText>/periodical&gt;&lt;pages&gt;374-384&lt;/pages&gt;&lt;volume&gt;15&lt;/volume&gt;&lt;number&gt;5&lt;/number&gt;&lt;dates&gt;&lt;year&gt;2015&lt;/year&gt;&lt;/dates&gt;&lt;isbn&gt;2041-2649&lt;/isbn&gt;&lt;urls&gt;&lt;related-urls&gt;&lt;url&gt;https://doi.org/10.1093/bfgp/elv054&lt;/url&gt;&lt;/related-urls&gt;&lt;/urls&gt;&lt;electronic-resource-num&gt;10.1093/bfgp/elv05</w:instrText>
      </w:r>
      <w:r>
        <w:rPr>
          <w:color w:val="000000"/>
          <w:sz w:val="20"/>
          <w:szCs w:val="20"/>
        </w:rPr>
        <w:instrText>4&lt;/electronic-resource-num&gt;&lt;access-date&gt;1/24/2020&lt;/access-date&gt;&lt;/record&gt;&lt;/Cite&gt;&lt;/EndNote&gt;</w:instrText>
      </w:r>
      <w:r>
        <w:rPr>
          <w:color w:val="000000"/>
          <w:sz w:val="20"/>
          <w:szCs w:val="20"/>
        </w:rPr>
        <w:fldChar w:fldCharType="separate"/>
      </w:r>
      <w:r>
        <w:rPr>
          <w:noProof/>
          <w:color w:val="000000"/>
          <w:sz w:val="20"/>
          <w:szCs w:val="20"/>
        </w:rPr>
        <w:t>[12]</w:t>
      </w:r>
      <w:r>
        <w:rPr>
          <w:color w:val="000000"/>
          <w:sz w:val="20"/>
          <w:szCs w:val="20"/>
        </w:rPr>
        <w:fldChar w:fldCharType="end"/>
      </w:r>
      <w:r>
        <w:rPr>
          <w:color w:val="000000"/>
          <w:sz w:val="20"/>
          <w:szCs w:val="20"/>
        </w:rPr>
        <w:t>. Where insufficient tissue is available for sequencing, e.g. prenatal death, parents can be sequenced and tested for rare, recessive variants in the absence of</w:t>
      </w:r>
      <w:r>
        <w:rPr>
          <w:color w:val="000000"/>
          <w:sz w:val="20"/>
          <w:szCs w:val="20"/>
        </w:rPr>
        <w:t xml:space="preserve"> the proband; this is particularly useful in cases of recurrent fetal death</w:t>
      </w:r>
      <w:r>
        <w:rPr>
          <w:color w:val="000000"/>
          <w:sz w:val="20"/>
          <w:szCs w:val="20"/>
        </w:rPr>
        <w:fldChar w:fldCharType="begin"/>
      </w:r>
      <w:r>
        <w:rPr>
          <w:color w:val="000000"/>
          <w:sz w:val="20"/>
          <w:szCs w:val="20"/>
        </w:rPr>
        <w:instrText xml:space="preserve"> ADDIN EN.CITE &lt;EndNote&gt;&lt;Cite&gt;&lt;Author&gt;Stals&lt;/Author&gt;&lt;Year&gt;2018&lt;/Year&gt;&lt;RecNum&gt;125&lt;/RecNum&gt;&lt;DisplayText&gt;[13]&lt;/DisplayText&gt;&lt;record&gt;&lt;rec-number&gt;125&lt;/rec-number&gt;&lt;foreign-keys&gt;&lt;key app="E</w:instrText>
      </w:r>
      <w:r>
        <w:rPr>
          <w:color w:val="000000"/>
          <w:sz w:val="20"/>
          <w:szCs w:val="20"/>
        </w:rPr>
        <w:instrText>N" db-id="d0vstffei2ze5sew5fwxp0dq9zxs5pvvsxpv" timestamp="1583792451"&gt;125&lt;/key&gt;&lt;/foreign-keys&gt;&lt;ref-type name="Journal Article"&gt;17&lt;/ref-type&gt;&lt;contributors&gt;&lt;authors&gt;&lt;author&gt;Stals, Karen L&lt;/author&gt;&lt;author&gt;Wakeling, Matthew&lt;/author&gt;&lt;author&gt;Baptista, Júlia&lt;/au</w:instrText>
      </w:r>
      <w:r>
        <w:rPr>
          <w:color w:val="000000"/>
          <w:sz w:val="20"/>
          <w:szCs w:val="20"/>
        </w:rPr>
        <w:instrText>thor&gt;&lt;author&gt;Caswell, Richard&lt;/author&gt;&lt;author&gt;Parrish, Andrew&lt;/author&gt;&lt;author&gt;Rankin, Julia&lt;/author&gt;&lt;author&gt;Tysoe, Carolyn&lt;/author&gt;&lt;author&gt;Jones, Garan&lt;/author&gt;&lt;author&gt;Gunning, Adam C&lt;/author&gt;&lt;author&gt;Allen, Hana Lango&lt;/author&gt;&lt;/authors&gt;&lt;/contributors&gt;&lt;titl</w:instrText>
      </w:r>
      <w:r>
        <w:rPr>
          <w:color w:val="000000"/>
          <w:sz w:val="20"/>
          <w:szCs w:val="20"/>
        </w:rPr>
        <w:instrText>es&gt;&lt;title&gt;Diagnosis of lethal or prenatal</w:instrText>
      </w:r>
      <w:r>
        <w:rPr>
          <w:rFonts w:ascii="Cambria Math" w:hAnsi="Cambria Math"/>
          <w:color w:val="000000"/>
          <w:sz w:val="20"/>
          <w:szCs w:val="20"/>
        </w:rPr>
        <w:instrText>‐</w:instrText>
      </w:r>
      <w:r>
        <w:rPr>
          <w:color w:val="000000"/>
          <w:sz w:val="20"/>
          <w:szCs w:val="20"/>
        </w:rPr>
        <w:instrText>onset autosomal recessive disorders by parental exome sequencing&lt;/title&gt;&lt;secondary-title&gt;Prenatal diagnosis&lt;/secondary-title&gt;&lt;/titles&gt;&lt;periodical&gt;&lt;full-title&gt;Prenatal diagnosis&lt;/full-title&gt;&lt;/periodical&gt;&lt;pages&gt;33-43</w:instrText>
      </w:r>
      <w:r>
        <w:rPr>
          <w:color w:val="000000"/>
          <w:sz w:val="20"/>
          <w:szCs w:val="20"/>
        </w:rPr>
        <w:instrText>&lt;/pages&gt;&lt;volume&gt;38&lt;/volume&gt;&lt;number&gt;1&lt;/number&gt;&lt;dates&gt;&lt;year&gt;2018&lt;/year&gt;&lt;/dates&gt;&lt;isbn&gt;1097-0223&lt;/isbn&gt;&lt;urls&gt;&lt;/urls&gt;&lt;/record&gt;&lt;/Cite&gt;&lt;/EndNote&gt;</w:instrText>
      </w:r>
      <w:r>
        <w:rPr>
          <w:color w:val="000000"/>
          <w:sz w:val="20"/>
          <w:szCs w:val="20"/>
        </w:rPr>
        <w:fldChar w:fldCharType="separate"/>
      </w:r>
      <w:r>
        <w:rPr>
          <w:noProof/>
          <w:color w:val="000000"/>
          <w:sz w:val="20"/>
          <w:szCs w:val="20"/>
        </w:rPr>
        <w:t>[13]</w:t>
      </w:r>
      <w:r>
        <w:rPr>
          <w:color w:val="000000"/>
          <w:sz w:val="20"/>
          <w:szCs w:val="20"/>
        </w:rPr>
        <w:fldChar w:fldCharType="end"/>
      </w:r>
      <w:r>
        <w:rPr>
          <w:color w:val="000000"/>
          <w:sz w:val="20"/>
          <w:szCs w:val="20"/>
        </w:rPr>
        <w:t>.</w:t>
      </w:r>
    </w:p>
    <w:p w:rsidR="00877997" w:rsidRDefault="00877997">
      <w:pPr>
        <w:spacing w:line="360" w:lineRule="auto"/>
        <w:rPr>
          <w:color w:val="000000"/>
          <w:sz w:val="20"/>
          <w:szCs w:val="20"/>
        </w:rPr>
      </w:pPr>
    </w:p>
    <w:p w:rsidR="00877997" w:rsidRDefault="00CB0676">
      <w:pPr>
        <w:spacing w:line="360" w:lineRule="auto"/>
        <w:rPr>
          <w:b/>
          <w:color w:val="000000"/>
          <w:sz w:val="20"/>
          <w:szCs w:val="20"/>
        </w:rPr>
      </w:pPr>
      <w:r>
        <w:rPr>
          <w:b/>
          <w:color w:val="000000"/>
          <w:sz w:val="20"/>
          <w:szCs w:val="20"/>
        </w:rPr>
        <w:t>Clinical phenotyping</w:t>
      </w:r>
    </w:p>
    <w:p w:rsidR="00877997" w:rsidRDefault="00877997">
      <w:pPr>
        <w:spacing w:line="360" w:lineRule="auto"/>
        <w:rPr>
          <w:b/>
          <w:color w:val="000000"/>
          <w:sz w:val="20"/>
          <w:szCs w:val="20"/>
        </w:rPr>
      </w:pPr>
    </w:p>
    <w:p w:rsidR="00877997" w:rsidRDefault="00CB0676">
      <w:pPr>
        <w:spacing w:line="360" w:lineRule="auto"/>
        <w:rPr>
          <w:color w:val="000000"/>
          <w:sz w:val="20"/>
          <w:szCs w:val="20"/>
        </w:rPr>
      </w:pPr>
      <w:r>
        <w:rPr>
          <w:color w:val="000000"/>
          <w:sz w:val="20"/>
          <w:szCs w:val="20"/>
        </w:rPr>
        <w:t>With the most appropriate cases selected, it is vital that all clinical information (d</w:t>
      </w:r>
      <w:r>
        <w:rPr>
          <w:color w:val="000000"/>
          <w:sz w:val="20"/>
          <w:szCs w:val="20"/>
        </w:rPr>
        <w:t>eemed relevant or not) is available for variant analysis. These data are usually collected and summarised before being assessed alongside biological evidence to support or refute the relevance of a given variant</w:t>
      </w:r>
      <w:r>
        <w:rPr>
          <w:color w:val="000000"/>
          <w:sz w:val="20"/>
          <w:szCs w:val="20"/>
        </w:rPr>
        <w:fldChar w:fldCharType="begin"/>
      </w:r>
      <w:r>
        <w:rPr>
          <w:color w:val="000000"/>
          <w:sz w:val="20"/>
          <w:szCs w:val="20"/>
        </w:rPr>
        <w:instrText xml:space="preserve"> ADDIN EN.CITE &lt;EndNote&gt;&lt;Cite&gt;&lt;Author&gt;Robinso</w:instrText>
      </w:r>
      <w:r>
        <w:rPr>
          <w:color w:val="000000"/>
          <w:sz w:val="20"/>
          <w:szCs w:val="20"/>
        </w:rPr>
        <w:instrText>n&lt;/Author&gt;&lt;Year&gt;2008&lt;/Year&gt;&lt;RecNum&gt;126&lt;/RecNum&gt;&lt;DisplayText&gt;[14]&lt;/DisplayText&gt;&lt;record&gt;&lt;rec-number&gt;126&lt;/rec-number&gt;&lt;foreign-keys&gt;&lt;key app="EN" db-id="d0vstffei2ze5sew5fwxp0dq9zxs5pvvsxpv" timestamp="1583792861"&gt;126&lt;/key&gt;&lt;/foreign-keys&gt;&lt;ref-type name="Journa</w:instrText>
      </w:r>
      <w:r>
        <w:rPr>
          <w:color w:val="000000"/>
          <w:sz w:val="20"/>
          <w:szCs w:val="20"/>
        </w:rPr>
        <w:instrText>l Article"&gt;17&lt;/ref-type&gt;&lt;contributors&gt;&lt;authors&gt;&lt;author&gt;Robinson, Peter N&lt;/author&gt;&lt;author&gt;Köhler, Sebastian&lt;/author&gt;&lt;author&gt;Bauer, Sebastian&lt;/author&gt;&lt;author&gt;Seelow, Dominik&lt;/author&gt;&lt;author&gt;Horn, Denise&lt;/author&gt;&lt;author&gt;Mundlos, Stefan&lt;/author&gt;&lt;/authors&gt;&lt;/con</w:instrText>
      </w:r>
      <w:r>
        <w:rPr>
          <w:color w:val="000000"/>
          <w:sz w:val="20"/>
          <w:szCs w:val="20"/>
        </w:rPr>
        <w:instrText>tributors&gt;&lt;titles&gt;&lt;title&gt;The Human Phenotype Ontology: a tool for annotating and analyzing human hereditary disease&lt;/title&gt;&lt;secondary-title&gt;The American Journal of Human Genetics&lt;/secondary-title&gt;&lt;/titles&gt;&lt;periodical&gt;&lt;full-title&gt;The American Journal of Hum</w:instrText>
      </w:r>
      <w:r>
        <w:rPr>
          <w:color w:val="000000"/>
          <w:sz w:val="20"/>
          <w:szCs w:val="20"/>
        </w:rPr>
        <w:instrText>an Genetics&lt;/full-title&gt;&lt;/periodical&gt;&lt;pages&gt;610-615&lt;/pages&gt;&lt;volume&gt;83&lt;/volume&gt;&lt;number&gt;5&lt;/number&gt;&lt;dates&gt;&lt;year&gt;2008&lt;/year&gt;&lt;/dates&gt;&lt;isbn&gt;0002-9297&lt;/isbn&gt;&lt;urls&gt;&lt;/urls&gt;&lt;/record&gt;&lt;/Cite&gt;&lt;/EndNote&gt;</w:instrText>
      </w:r>
      <w:r>
        <w:rPr>
          <w:color w:val="000000"/>
          <w:sz w:val="20"/>
          <w:szCs w:val="20"/>
        </w:rPr>
        <w:fldChar w:fldCharType="separate"/>
      </w:r>
      <w:r>
        <w:rPr>
          <w:noProof/>
          <w:color w:val="000000"/>
          <w:sz w:val="20"/>
          <w:szCs w:val="20"/>
        </w:rPr>
        <w:t>[14]</w:t>
      </w:r>
      <w:r>
        <w:rPr>
          <w:color w:val="000000"/>
          <w:sz w:val="20"/>
          <w:szCs w:val="20"/>
        </w:rPr>
        <w:fldChar w:fldCharType="end"/>
      </w:r>
      <w:r>
        <w:rPr>
          <w:color w:val="000000"/>
          <w:sz w:val="20"/>
          <w:szCs w:val="20"/>
        </w:rPr>
        <w:t>. However, phenotyping only represents a snapshot in time; c</w:t>
      </w:r>
      <w:r>
        <w:rPr>
          <w:color w:val="000000"/>
          <w:sz w:val="20"/>
          <w:szCs w:val="20"/>
        </w:rPr>
        <w:t>linical data require updating longitudinally to accurately catalogue the phenotypic spectrum of disease, or to facilitate re-analysis when NGS proves negative.</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When the predominant phenotype is restricted to a particular organ system it is tempting to ass</w:t>
      </w:r>
      <w:r>
        <w:rPr>
          <w:color w:val="000000"/>
          <w:sz w:val="20"/>
          <w:szCs w:val="20"/>
        </w:rPr>
        <w:t xml:space="preserve">ume that the genetic focus is within genes associated with that organ alone; often clinicians refer patients under the guise of an organ-specific phenotype and perhaps omit other clinical features that may prove critical to diagnosis. In 2017, we reported </w:t>
      </w:r>
      <w:r>
        <w:rPr>
          <w:color w:val="000000"/>
          <w:sz w:val="20"/>
          <w:szCs w:val="20"/>
        </w:rPr>
        <w:t>on a child referred for WES to resolve the aetiology of his renal disease with atypical features</w:t>
      </w:r>
      <w:r>
        <w:rPr>
          <w:color w:val="000000"/>
          <w:sz w:val="20"/>
          <w:szCs w:val="20"/>
        </w:rPr>
        <w:fldChar w:fldCharType="begin"/>
      </w:r>
      <w:r>
        <w:rPr>
          <w:color w:val="000000"/>
          <w:sz w:val="20"/>
          <w:szCs w:val="20"/>
        </w:rPr>
        <w:instrText xml:space="preserve"> ADDIN EN.CITE &lt;EndNote&gt;&lt;Cite&gt;&lt;Author&gt;Seaby&lt;/Author&gt;&lt;Year&gt;2017&lt;/Year&gt;&lt;RecNum&gt;29&lt;/RecNum&gt;&lt;DisplayText&gt;[15]&lt;/DisplayText&gt;&lt;record&gt;&lt;rec-number&gt;29&lt;/rec-number&gt;&lt;forei</w:instrText>
      </w:r>
      <w:r>
        <w:rPr>
          <w:color w:val="000000"/>
          <w:sz w:val="20"/>
          <w:szCs w:val="20"/>
        </w:rPr>
        <w:instrText>gn-keys&gt;&lt;key app="EN" db-id="d0vstffei2ze5sew5fwxp0dq9zxs5pvvsxpv" timestamp="1579859576"&gt;29&lt;/key&gt;&lt;/foreign-keys&gt;&lt;ref-type name="Journal Article"&gt;17&lt;/ref-type&gt;&lt;contributors&gt;&lt;authors&gt;&lt;author&gt;Seaby, Eleanor G&lt;/author&gt;&lt;author&gt;Gilbert, Rodney D&lt;/author&gt;&lt;author</w:instrText>
      </w:r>
      <w:r>
        <w:rPr>
          <w:color w:val="000000"/>
          <w:sz w:val="20"/>
          <w:szCs w:val="20"/>
        </w:rPr>
        <w:instrText>&gt;Andreoletti, Gaia&lt;/author&gt;&lt;author&gt;Pengelly, Reuben J&lt;/author&gt;&lt;author&gt;Mercer, Catherine&lt;/author&gt;&lt;author&gt;Hunt, David&lt;/author&gt;&lt;author&gt;Ennis, Sarah&lt;/author&gt;&lt;/authors&gt;&lt;/contributors&gt;&lt;titles&gt;&lt;title&gt;Unexpected findings in a child with atypical hemolytic uremic s</w:instrText>
      </w:r>
      <w:r>
        <w:rPr>
          <w:color w:val="000000"/>
          <w:sz w:val="20"/>
          <w:szCs w:val="20"/>
        </w:rPr>
        <w:instrText>yndrome: An example of how genomics is changing the clinical diagnostic paradigm&lt;/title&gt;&lt;secondary-title&gt;Frontiers in pediatrics&lt;/secondary-title&gt;&lt;/titles&gt;&lt;periodical&gt;&lt;full-title&gt;Frontiers in pediatrics&lt;/full-title&gt;&lt;/periodical&gt;&lt;pages&gt;113&lt;/pages&gt;&lt;volume&gt;5&lt;</w:instrText>
      </w:r>
      <w:r>
        <w:rPr>
          <w:color w:val="000000"/>
          <w:sz w:val="20"/>
          <w:szCs w:val="20"/>
        </w:rPr>
        <w:instrText>/volume&gt;&lt;dates&gt;&lt;year&gt;2017&lt;/year&gt;&lt;/dates&gt;&lt;isbn&gt;2296-2360&lt;/isbn&gt;&lt;urls&gt;&lt;/urls&gt;&lt;/record&gt;&lt;/Cite&gt;&lt;/EndNote&gt;</w:instrText>
      </w:r>
      <w:r>
        <w:rPr>
          <w:color w:val="000000"/>
          <w:sz w:val="20"/>
          <w:szCs w:val="20"/>
        </w:rPr>
        <w:fldChar w:fldCharType="separate"/>
      </w:r>
      <w:r>
        <w:rPr>
          <w:noProof/>
          <w:color w:val="000000"/>
          <w:sz w:val="20"/>
          <w:szCs w:val="20"/>
        </w:rPr>
        <w:t>[15]</w:t>
      </w:r>
      <w:r>
        <w:rPr>
          <w:color w:val="000000"/>
          <w:sz w:val="20"/>
          <w:szCs w:val="20"/>
        </w:rPr>
        <w:fldChar w:fldCharType="end"/>
      </w:r>
      <w:r>
        <w:rPr>
          <w:color w:val="000000"/>
          <w:sz w:val="20"/>
          <w:szCs w:val="20"/>
        </w:rPr>
        <w:t xml:space="preserve">. Initial analysis, restricted to nephrological genes, proved equivocal and only when the clinical phenotype was reviewed independently later was a </w:t>
      </w:r>
      <w:r>
        <w:rPr>
          <w:color w:val="000000"/>
          <w:sz w:val="20"/>
          <w:szCs w:val="20"/>
        </w:rPr>
        <w:t xml:space="preserve">wealth of additional dysmorphic features identified, explained by a pathogenic variant in </w:t>
      </w:r>
      <w:r>
        <w:rPr>
          <w:i/>
          <w:iCs/>
          <w:color w:val="000000"/>
          <w:sz w:val="20"/>
          <w:szCs w:val="20"/>
        </w:rPr>
        <w:t>CBL</w:t>
      </w:r>
      <w:r>
        <w:rPr>
          <w:iCs/>
          <w:color w:val="000000"/>
          <w:sz w:val="20"/>
          <w:szCs w:val="20"/>
        </w:rPr>
        <w:t>, causing a Noonan-like phenotype</w:t>
      </w:r>
      <w:r>
        <w:rPr>
          <w:color w:val="000000"/>
          <w:sz w:val="20"/>
          <w:szCs w:val="20"/>
        </w:rPr>
        <w:t>. This was aided by having direct access to the clinical notes, which many diagnostic laboratories do not have permission to view.</w:t>
      </w:r>
      <w:r>
        <w:rPr>
          <w:color w:val="000000"/>
          <w:sz w:val="20"/>
          <w:szCs w:val="20"/>
        </w:rPr>
        <w:t xml:space="preserve"> Therefore, it is essential that all salient information is shared with the analysis team or that avenues are available to contact referring clinicians where applicable.</w:t>
      </w:r>
    </w:p>
    <w:p w:rsidR="00877997" w:rsidRDefault="00CB0676">
      <w:pPr>
        <w:rPr>
          <w:color w:val="000000"/>
          <w:sz w:val="20"/>
          <w:szCs w:val="20"/>
        </w:rPr>
      </w:pPr>
      <w:r>
        <w:rPr>
          <w:color w:val="000000"/>
          <w:sz w:val="20"/>
          <w:szCs w:val="20"/>
        </w:rPr>
        <w:t> </w:t>
      </w:r>
    </w:p>
    <w:p w:rsidR="00877997" w:rsidRDefault="00CB0676">
      <w:pPr>
        <w:rPr>
          <w:b/>
          <w:bCs/>
          <w:color w:val="000000"/>
          <w:sz w:val="20"/>
          <w:szCs w:val="20"/>
        </w:rPr>
      </w:pPr>
      <w:r>
        <w:rPr>
          <w:b/>
          <w:bCs/>
          <w:color w:val="000000"/>
          <w:sz w:val="20"/>
          <w:szCs w:val="20"/>
        </w:rPr>
        <w:t>Technological challenges</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lastRenderedPageBreak/>
        <w:t>NGS technologies are prone to technical errors. Detailed d</w:t>
      </w:r>
      <w:r>
        <w:rPr>
          <w:color w:val="000000"/>
          <w:sz w:val="20"/>
          <w:szCs w:val="20"/>
        </w:rPr>
        <w:t>iscussion on short-read sequencing (SRS), competing chemistries, sequencing platforms, and quality control pipelines have been extensively reviewed elsewhere</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[12, 16, 17]</w:t>
      </w:r>
      <w:r>
        <w:rPr>
          <w:color w:val="000000"/>
          <w:sz w:val="20"/>
          <w:szCs w:val="20"/>
        </w:rPr>
        <w:fldChar w:fldCharType="end"/>
      </w:r>
      <w:r>
        <w:rPr>
          <w:color w:val="000000"/>
          <w:sz w:val="20"/>
          <w:szCs w:val="20"/>
        </w:rPr>
        <w:t xml:space="preserve">. </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The vast quantity of r</w:t>
      </w:r>
      <w:r>
        <w:rPr>
          <w:color w:val="000000"/>
          <w:sz w:val="20"/>
          <w:szCs w:val="20"/>
        </w:rPr>
        <w:t>aw sequencing data produced necessitates sophisticated informatics pipelines for data handling, analysis and interpretation. The GATK best practices guideline</w:t>
      </w:r>
      <w:r>
        <w:rPr>
          <w:color w:val="000000"/>
          <w:sz w:val="20"/>
          <w:szCs w:val="20"/>
        </w:rPr>
        <w:fldChar w:fldCharType="begin"/>
      </w:r>
      <w:r>
        <w:rPr>
          <w:color w:val="000000"/>
          <w:sz w:val="20"/>
          <w:szCs w:val="20"/>
        </w:rPr>
        <w:instrText xml:space="preserve"> ADDIN EN.CITE &lt;EndNote&gt;&lt;Cite&gt;&lt;Author&gt;DePristo&lt;/Author&gt;&lt;Year&gt;2011&lt;/Year&gt;&lt;RecNum&gt;88&lt;/RecNum&gt;&lt;Displa</w:instrText>
      </w:r>
      <w:r>
        <w:rPr>
          <w:color w:val="000000"/>
          <w:sz w:val="20"/>
          <w:szCs w:val="20"/>
        </w:rPr>
        <w:instrText>yText&gt;[18]&lt;/DisplayText&gt;&lt;record&gt;&lt;rec-number&gt;88&lt;/rec-number&gt;&lt;foreign-keys&gt;&lt;key app="EN" db-id="d0vstffei2ze5sew5fwxp0dq9zxs5pvvsxpv" timestamp="1580655467"&gt;88&lt;/key&gt;&lt;/foreign-keys&gt;&lt;ref-type name="Journal Article"&gt;17&lt;/ref-type&gt;&lt;contributors&gt;&lt;authors&gt;&lt;author&gt;D</w:instrText>
      </w:r>
      <w:r>
        <w:rPr>
          <w:color w:val="000000"/>
          <w:sz w:val="20"/>
          <w:szCs w:val="20"/>
        </w:rPr>
        <w:instrText>ePristo, Mark A&lt;/author&gt;&lt;author&gt;Banks, Eric&lt;/author&gt;&lt;author&gt;Poplin, Ryan&lt;/author&gt;&lt;author&gt;Garimella, Kiran V&lt;/author&gt;&lt;author&gt;Maguire, Jared R&lt;/author&gt;&lt;author&gt;Hartl, Christopher&lt;/author&gt;&lt;author&gt;Philippakis, Anthony A&lt;/author&gt;&lt;author&gt;Del Angel, Guillermo&lt;/aut</w:instrText>
      </w:r>
      <w:r>
        <w:rPr>
          <w:color w:val="000000"/>
          <w:sz w:val="20"/>
          <w:szCs w:val="20"/>
        </w:rPr>
        <w:instrText>hor&gt;&lt;author&gt;Rivas, Manuel A&lt;/author&gt;&lt;author&gt;Hanna, Matt&lt;/author&gt;&lt;/authors&gt;&lt;/contributors&gt;&lt;titles&gt;&lt;title&gt;A framework for variation discovery and genotyping using next-generation DNA sequencing data&lt;/title&gt;&lt;secondary-title&gt;Nature genetics&lt;/secondary-title&gt;&lt;/</w:instrText>
      </w:r>
      <w:r>
        <w:rPr>
          <w:color w:val="000000"/>
          <w:sz w:val="20"/>
          <w:szCs w:val="20"/>
        </w:rPr>
        <w:instrText>titles&gt;&lt;periodical&gt;&lt;full-title&gt;Nature genetics&lt;/full-title&gt;&lt;/periodical&gt;&lt;pages&gt;491&lt;/pages&gt;&lt;volume&gt;43&lt;/volume&gt;&lt;number&gt;5&lt;/number&gt;&lt;dates&gt;&lt;year&gt;2011&lt;/year&gt;&lt;/dates&gt;&lt;isbn&gt;1546-1718&lt;/isbn&gt;&lt;urls&gt;&lt;/urls&gt;&lt;/record&gt;&lt;/Cite&gt;&lt;/EndNote&gt;</w:instrText>
      </w:r>
      <w:r>
        <w:rPr>
          <w:color w:val="000000"/>
          <w:sz w:val="20"/>
          <w:szCs w:val="20"/>
        </w:rPr>
        <w:fldChar w:fldCharType="separate"/>
      </w:r>
      <w:r>
        <w:rPr>
          <w:noProof/>
          <w:color w:val="000000"/>
          <w:sz w:val="20"/>
          <w:szCs w:val="20"/>
        </w:rPr>
        <w:t>[18]</w:t>
      </w:r>
      <w:r>
        <w:rPr>
          <w:color w:val="000000"/>
          <w:sz w:val="20"/>
          <w:szCs w:val="20"/>
        </w:rPr>
        <w:fldChar w:fldCharType="end"/>
      </w:r>
      <w:r>
        <w:rPr>
          <w:color w:val="000000"/>
          <w:sz w:val="20"/>
          <w:szCs w:val="20"/>
        </w:rPr>
        <w:t xml:space="preserve"> is now considered the gold-s</w:t>
      </w:r>
      <w:r>
        <w:rPr>
          <w:color w:val="000000"/>
          <w:sz w:val="20"/>
          <w:szCs w:val="20"/>
        </w:rPr>
        <w:t>tandard tool for variant-calling and has provided some analytical consensus</w:t>
      </w:r>
      <w:r>
        <w:rPr>
          <w:color w:val="000000"/>
          <w:sz w:val="20"/>
          <w:szCs w:val="20"/>
        </w:rPr>
        <w:fldChar w:fldCharType="begin"/>
      </w:r>
      <w:r>
        <w:rPr>
          <w:color w:val="000000"/>
          <w:sz w:val="20"/>
          <w:szCs w:val="20"/>
        </w:rPr>
        <w:instrText xml:space="preserve"> ADDIN EN.CITE &lt;EndNote&gt;&lt;Cite&gt;&lt;Author&gt;Cornish&lt;/Author&gt;&lt;Year&gt;2015&lt;/Year&gt;&lt;RecNum&gt;110&lt;/RecNum&gt;&lt;DisplayText&gt;[19]&lt;/DisplayText&gt;&lt;record&gt;&lt;rec-number&gt;110&lt;/rec-number&gt;&lt;foreign-keys&gt;&lt;key app=</w:instrText>
      </w:r>
      <w:r>
        <w:rPr>
          <w:color w:val="000000"/>
          <w:sz w:val="20"/>
          <w:szCs w:val="20"/>
        </w:rPr>
        <w:instrText>"EN" db-id="d0vstffei2ze5sew5fwxp0dq9zxs5pvvsxpv" timestamp="1583769777"&gt;110&lt;/key&gt;&lt;/foreign-keys&gt;&lt;ref-type name="Journal Article"&gt;17&lt;/ref-type&gt;&lt;contributors&gt;&lt;authors&gt;&lt;author&gt;Cornish, Adam&lt;/author&gt;&lt;author&gt;Guda, Chittibabu&lt;/author&gt;&lt;/authors&gt;&lt;/contributors&gt;&lt;t</w:instrText>
      </w:r>
      <w:r>
        <w:rPr>
          <w:color w:val="000000"/>
          <w:sz w:val="20"/>
          <w:szCs w:val="20"/>
        </w:rPr>
        <w:instrText>itles&gt;&lt;title&gt;A comparison of variant calling pipelines using genome in a bottle as a reference&lt;/title&gt;&lt;secondary-title&gt;BioMed research international&lt;/secondary-title&gt;&lt;/titles&gt;&lt;periodical&gt;&lt;full-title&gt;BioMed research international&lt;/full-title&gt;&lt;/periodical&gt;&lt;v</w:instrText>
      </w:r>
      <w:r>
        <w:rPr>
          <w:color w:val="000000"/>
          <w:sz w:val="20"/>
          <w:szCs w:val="20"/>
        </w:rPr>
        <w:instrText>olume&gt;2015&lt;/volume&gt;&lt;dates&gt;&lt;year&gt;2015&lt;/year&gt;&lt;/dates&gt;&lt;isbn&gt;2314-6133&lt;/isbn&gt;&lt;urls&gt;&lt;/urls&gt;&lt;/record&gt;&lt;/Cite&gt;&lt;/EndNote&gt;</w:instrText>
      </w:r>
      <w:r>
        <w:rPr>
          <w:color w:val="000000"/>
          <w:sz w:val="20"/>
          <w:szCs w:val="20"/>
        </w:rPr>
        <w:fldChar w:fldCharType="separate"/>
      </w:r>
      <w:r>
        <w:rPr>
          <w:noProof/>
          <w:color w:val="000000"/>
          <w:sz w:val="20"/>
          <w:szCs w:val="20"/>
        </w:rPr>
        <w:t>[19]</w:t>
      </w:r>
      <w:r>
        <w:rPr>
          <w:color w:val="000000"/>
          <w:sz w:val="20"/>
          <w:szCs w:val="20"/>
        </w:rPr>
        <w:fldChar w:fldCharType="end"/>
      </w:r>
      <w:r>
        <w:rPr>
          <w:color w:val="000000"/>
          <w:sz w:val="20"/>
          <w:szCs w:val="20"/>
        </w:rPr>
        <w:t>, however with a large suite of competing tools available and varying accepted standards for genotype quality, read depth and mapping sco</w:t>
      </w:r>
      <w:r>
        <w:rPr>
          <w:color w:val="000000"/>
          <w:sz w:val="20"/>
          <w:szCs w:val="20"/>
        </w:rPr>
        <w:t>res, many diagnostic centres vary in their approaches.</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 xml:space="preserve">Understanding the computational steps of a variant-calling pipeline is important for downstream variant interpretation. The inclusion/exclusion of variants will depend on pre-programmed user-specific </w:t>
      </w:r>
      <w:r>
        <w:rPr>
          <w:color w:val="000000"/>
          <w:sz w:val="20"/>
          <w:szCs w:val="20"/>
        </w:rPr>
        <w:t>parameters selected in the pipeline. Interrogating variant quality is paramount to minimise type 1 errors and is aided by visualising read data and utilising genome browsers</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[20, 21]</w:t>
      </w:r>
      <w:r>
        <w:rPr>
          <w:color w:val="000000"/>
          <w:sz w:val="20"/>
          <w:szCs w:val="20"/>
        </w:rPr>
        <w:fldChar w:fldCharType="end"/>
      </w:r>
      <w:r>
        <w:rPr>
          <w:color w:val="000000"/>
          <w:sz w:val="20"/>
          <w:szCs w:val="20"/>
        </w:rPr>
        <w:t>. Variant quality will depend on v</w:t>
      </w:r>
      <w:r>
        <w:rPr>
          <w:color w:val="000000"/>
          <w:sz w:val="20"/>
          <w:szCs w:val="20"/>
        </w:rPr>
        <w:t>ariant type, genomic region, depth of sequencing coverage, and analytical pipeline used. Particular attention should be paid to: indels and loss-of-function variants; mapping issues around repetitive and polymorphic regions; poor quality scores; strand bia</w:t>
      </w:r>
      <w:r>
        <w:rPr>
          <w:color w:val="000000"/>
          <w:sz w:val="20"/>
          <w:szCs w:val="20"/>
        </w:rPr>
        <w:t>s; homopolymer tracts; high GC content; and insufficient or low coverage (</w:t>
      </w:r>
      <w:r>
        <w:rPr>
          <w:b/>
          <w:color w:val="000000"/>
          <w:sz w:val="20"/>
          <w:szCs w:val="20"/>
        </w:rPr>
        <w:t>Figure 1</w:t>
      </w:r>
      <w:r>
        <w:rPr>
          <w:color w:val="000000"/>
          <w:sz w:val="20"/>
          <w:szCs w:val="20"/>
        </w:rPr>
        <w:t xml:space="preserve">). The punctate nature of WES and its imperfect probe design mean that some regions escape capture altogether. These errors are minimised by the uniform coverage (but at the </w:t>
      </w:r>
      <w:r>
        <w:rPr>
          <w:color w:val="000000"/>
          <w:sz w:val="20"/>
          <w:szCs w:val="20"/>
        </w:rPr>
        <w:t>expense of lower depth) of WGS. However, WGS does not capture the full range of genomic variation, missing ~5% due to mapping errors</w:t>
      </w:r>
      <w:r>
        <w:rPr>
          <w:color w:val="000000"/>
          <w:sz w:val="20"/>
          <w:szCs w:val="20"/>
        </w:rPr>
        <w:fldChar w:fldCharType="begin"/>
      </w:r>
      <w:r>
        <w:rPr>
          <w:color w:val="000000"/>
          <w:sz w:val="20"/>
          <w:szCs w:val="20"/>
        </w:rPr>
        <w:instrText xml:space="preserve"> ADDIN EN.CITE &lt;EndNote&gt;&lt;Cite&gt;&lt;Author&gt;Sims&lt;/Author&gt;&lt;Year&gt;2014&lt;/Year&gt;&lt;RecNum&gt;70&lt;/RecNum&gt;&lt;DisplayText&gt;[22]&lt;/DisplayText&gt;&lt;recor</w:instrText>
      </w:r>
      <w:r>
        <w:rPr>
          <w:color w:val="000000"/>
          <w:sz w:val="20"/>
          <w:szCs w:val="20"/>
        </w:rPr>
        <w:instrText>d&gt;&lt;rec-number&gt;70&lt;/rec-number&gt;&lt;foreign-keys&gt;&lt;key app="EN" db-id="d0vstffei2ze5sew5fwxp0dq9zxs5pvvsxpv" timestamp="1580030482"&gt;70&lt;/key&gt;&lt;/foreign-keys&gt;&lt;ref-type name="Journal Article"&gt;17&lt;/ref-type&gt;&lt;contributors&gt;&lt;authors&gt;&lt;author&gt;Sims, David&lt;/author&gt;&lt;author&gt;Sud</w:instrText>
      </w:r>
      <w:r>
        <w:rPr>
          <w:color w:val="000000"/>
          <w:sz w:val="20"/>
          <w:szCs w:val="20"/>
        </w:rPr>
        <w:instrText>bery, Ian&lt;/author&gt;&lt;author&gt;Ilott, Nicholas E&lt;/author&gt;&lt;author&gt;Heger, Andreas&lt;/author&gt;&lt;author&gt;Ponting, Chris P&lt;/author&gt;&lt;/authors&gt;&lt;/contributors&gt;&lt;titles&gt;&lt;title&gt;Sequencing depth and coverage: key considerations in genomic analyses&lt;/title&gt;&lt;secondary-title&gt;Nature</w:instrText>
      </w:r>
      <w:r>
        <w:rPr>
          <w:color w:val="000000"/>
          <w:sz w:val="20"/>
          <w:szCs w:val="20"/>
        </w:rPr>
        <w:instrText xml:space="preserve"> Reviews Genetics&lt;/secondary-title&gt;&lt;/titles&gt;&lt;periodical&gt;&lt;full-title&gt;Nature Reviews Genetics&lt;/full-title&gt;&lt;/periodical&gt;&lt;pages&gt;121&lt;/pages&gt;&lt;volume&gt;15&lt;/volume&gt;&lt;number&gt;2&lt;/number&gt;&lt;dates&gt;&lt;year&gt;2014&lt;/year&gt;&lt;/dates&gt;&lt;isbn&gt;1471-0064&lt;/isbn&gt;&lt;urls&gt;&lt;/urls&gt;&lt;/record&gt;&lt;/Cite&gt;&lt;</w:instrText>
      </w:r>
      <w:r>
        <w:rPr>
          <w:color w:val="000000"/>
          <w:sz w:val="20"/>
          <w:szCs w:val="20"/>
        </w:rPr>
        <w:instrText>/EndNote&gt;</w:instrText>
      </w:r>
      <w:r>
        <w:rPr>
          <w:color w:val="000000"/>
          <w:sz w:val="20"/>
          <w:szCs w:val="20"/>
        </w:rPr>
        <w:fldChar w:fldCharType="separate"/>
      </w:r>
      <w:r>
        <w:rPr>
          <w:noProof/>
          <w:color w:val="000000"/>
          <w:sz w:val="20"/>
          <w:szCs w:val="20"/>
        </w:rPr>
        <w:t>[22]</w:t>
      </w:r>
      <w:r>
        <w:rPr>
          <w:color w:val="000000"/>
          <w:sz w:val="20"/>
          <w:szCs w:val="20"/>
        </w:rPr>
        <w:fldChar w:fldCharType="end"/>
      </w:r>
      <w:r>
        <w:rPr>
          <w:color w:val="000000"/>
          <w:sz w:val="20"/>
          <w:szCs w:val="20"/>
        </w:rPr>
        <w:t>.</w:t>
      </w:r>
    </w:p>
    <w:p w:rsidR="00877997" w:rsidRDefault="00877997">
      <w:pPr>
        <w:spacing w:line="360" w:lineRule="auto"/>
        <w:rPr>
          <w:color w:val="000000"/>
          <w:sz w:val="20"/>
          <w:szCs w:val="20"/>
        </w:rPr>
      </w:pPr>
    </w:p>
    <w:p w:rsidR="00877997" w:rsidRDefault="00CB0676">
      <w:pPr>
        <w:spacing w:line="360" w:lineRule="auto"/>
        <w:rPr>
          <w:b/>
          <w:color w:val="000000"/>
          <w:sz w:val="20"/>
          <w:szCs w:val="20"/>
        </w:rPr>
      </w:pPr>
      <w:r>
        <w:rPr>
          <w:b/>
          <w:color w:val="000000"/>
          <w:sz w:val="20"/>
          <w:szCs w:val="20"/>
        </w:rPr>
        <w:t xml:space="preserve">Figure 1 | </w:t>
      </w:r>
      <w:r>
        <w:rPr>
          <w:color w:val="000000"/>
          <w:sz w:val="20"/>
          <w:szCs w:val="16"/>
        </w:rPr>
        <w:t>Common examples where variant calling may prove erroneous</w:t>
      </w:r>
    </w:p>
    <w:p w:rsidR="00877997" w:rsidRDefault="00CB0676">
      <w:pPr>
        <w:spacing w:line="360" w:lineRule="auto"/>
        <w:rPr>
          <w:color w:val="000000"/>
          <w:sz w:val="20"/>
          <w:szCs w:val="20"/>
        </w:rPr>
      </w:pPr>
      <w:r>
        <w:rPr>
          <w:noProof/>
          <w:color w:val="000000"/>
          <w:sz w:val="20"/>
          <w:szCs w:val="20"/>
        </w:rPr>
        <w:lastRenderedPageBreak/>
        <w:drawing>
          <wp:inline distT="0" distB="0" distL="0" distR="0">
            <wp:extent cx="4409768" cy="37271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15220" cy="3731710"/>
                    </a:xfrm>
                    <a:prstGeom prst="rect">
                      <a:avLst/>
                    </a:prstGeom>
                  </pic:spPr>
                </pic:pic>
              </a:graphicData>
            </a:graphic>
          </wp:inline>
        </w:drawing>
      </w:r>
    </w:p>
    <w:p w:rsidR="00877997" w:rsidRDefault="00CB0676">
      <w:pPr>
        <w:spacing w:line="360" w:lineRule="auto"/>
        <w:rPr>
          <w:i/>
          <w:color w:val="000000"/>
          <w:sz w:val="16"/>
          <w:szCs w:val="16"/>
        </w:rPr>
      </w:pPr>
      <w:r>
        <w:rPr>
          <w:i/>
          <w:color w:val="000000"/>
          <w:sz w:val="16"/>
          <w:szCs w:val="16"/>
        </w:rPr>
        <w:t xml:space="preserve">Forward reads are coloured red and point to the right and reverse reads are coloured lilac and point to the left. (A) </w:t>
      </w:r>
      <w:r>
        <w:rPr>
          <w:b/>
          <w:i/>
          <w:color w:val="000000"/>
          <w:sz w:val="16"/>
          <w:szCs w:val="16"/>
        </w:rPr>
        <w:t xml:space="preserve">Polymorphic regions </w:t>
      </w:r>
      <w:r>
        <w:rPr>
          <w:i/>
          <w:color w:val="000000"/>
          <w:sz w:val="16"/>
          <w:szCs w:val="16"/>
        </w:rPr>
        <w:t xml:space="preserve">are prone to common </w:t>
      </w:r>
      <w:r>
        <w:rPr>
          <w:i/>
          <w:color w:val="000000"/>
          <w:sz w:val="16"/>
          <w:szCs w:val="16"/>
        </w:rPr>
        <w:t>variation. Here, forward and reverse reads align over a short exon on a highly polymorphic HLA gene as visualised in the integrative genomics viewer. Multiple variants are scattered throughout the region, otherwise known as a ‘confetti effect’. The accurac</w:t>
      </w:r>
      <w:r>
        <w:rPr>
          <w:i/>
          <w:color w:val="000000"/>
          <w:sz w:val="16"/>
          <w:szCs w:val="16"/>
        </w:rPr>
        <w:t xml:space="preserve">y and performance of variant calling is challenged when reads are highly divergent from the reference sequence. (B) </w:t>
      </w:r>
      <w:r>
        <w:rPr>
          <w:b/>
          <w:i/>
          <w:color w:val="000000"/>
          <w:sz w:val="16"/>
          <w:szCs w:val="16"/>
        </w:rPr>
        <w:t xml:space="preserve">Homopolymer repeats </w:t>
      </w:r>
      <w:r>
        <w:rPr>
          <w:i/>
          <w:color w:val="000000"/>
          <w:sz w:val="16"/>
          <w:szCs w:val="16"/>
        </w:rPr>
        <w:t>are tracts of repeated nucleotide sequences; this may be single nucleotide repeats, double, triple etc. Here, the red bo</w:t>
      </w:r>
      <w:r>
        <w:rPr>
          <w:i/>
          <w:color w:val="000000"/>
          <w:sz w:val="16"/>
          <w:szCs w:val="16"/>
        </w:rPr>
        <w:t>x outlines a repeated sequence of CA. Careful attention should be paid to variants in repeat tracts longer than 7 repeats. Variant calling is prone to errors in homopolymer tracts, particularly when a variant is an expansion of a repeat i.e. if the referen</w:t>
      </w:r>
      <w:r>
        <w:rPr>
          <w:i/>
          <w:color w:val="000000"/>
          <w:sz w:val="16"/>
          <w:szCs w:val="16"/>
        </w:rPr>
        <w:t>ce sequence is CCCCCCC</w:t>
      </w:r>
      <w:r>
        <w:rPr>
          <w:b/>
          <w:i/>
          <w:color w:val="000000"/>
          <w:sz w:val="16"/>
          <w:szCs w:val="16"/>
        </w:rPr>
        <w:t>T</w:t>
      </w:r>
      <w:r>
        <w:rPr>
          <w:i/>
          <w:color w:val="000000"/>
          <w:sz w:val="16"/>
          <w:szCs w:val="16"/>
        </w:rPr>
        <w:t xml:space="preserve"> and the variant called is CCCCCCC</w:t>
      </w:r>
      <w:r>
        <w:rPr>
          <w:b/>
          <w:i/>
          <w:color w:val="000000"/>
          <w:sz w:val="16"/>
          <w:szCs w:val="16"/>
        </w:rPr>
        <w:t>C</w:t>
      </w:r>
      <w:r>
        <w:rPr>
          <w:i/>
          <w:color w:val="000000"/>
          <w:sz w:val="16"/>
          <w:szCs w:val="16"/>
        </w:rPr>
        <w:t xml:space="preserve">. (C) </w:t>
      </w:r>
      <w:r>
        <w:rPr>
          <w:b/>
          <w:i/>
          <w:color w:val="000000"/>
          <w:sz w:val="16"/>
          <w:szCs w:val="16"/>
        </w:rPr>
        <w:t>Strand bias</w:t>
      </w:r>
      <w:r>
        <w:rPr>
          <w:i/>
          <w:color w:val="000000"/>
          <w:sz w:val="16"/>
          <w:szCs w:val="16"/>
        </w:rPr>
        <w:t xml:space="preserve"> occurs when reads aligning to a reference are biased towards the forward or reverse strands. Here, all reads aligning to the region are on the reverse strand as shown by the arrow </w:t>
      </w:r>
      <w:r>
        <w:rPr>
          <w:i/>
          <w:color w:val="000000"/>
          <w:sz w:val="16"/>
          <w:szCs w:val="16"/>
        </w:rPr>
        <w:t xml:space="preserve">(they are all lilac and point towards the left). Strand bias is common around exon boundaries, particularly for whole exome sequencing. This challenges variant calling when it is not possible to accurately assess whether variants are evenly distributed on </w:t>
      </w:r>
      <w:r>
        <w:rPr>
          <w:i/>
          <w:color w:val="000000"/>
          <w:sz w:val="16"/>
          <w:szCs w:val="16"/>
        </w:rPr>
        <w:t xml:space="preserve">both the forward and reverse strands. False positive calls are made when a given variant is skewed towards either the forward or reverse strands.  (D) </w:t>
      </w:r>
      <w:r>
        <w:rPr>
          <w:b/>
          <w:i/>
          <w:color w:val="000000"/>
          <w:sz w:val="16"/>
          <w:szCs w:val="16"/>
        </w:rPr>
        <w:t xml:space="preserve">Low depth of coverage </w:t>
      </w:r>
      <w:r>
        <w:rPr>
          <w:i/>
          <w:color w:val="000000"/>
          <w:sz w:val="16"/>
          <w:szCs w:val="16"/>
        </w:rPr>
        <w:t xml:space="preserve">is when the number of reads covering a region are few – many pipelines will filter </w:t>
      </w:r>
      <w:r>
        <w:rPr>
          <w:i/>
          <w:color w:val="000000"/>
          <w:sz w:val="16"/>
          <w:szCs w:val="16"/>
        </w:rPr>
        <w:t xml:space="preserve">variants with a read depth of &lt;4. Here, the forward and reverse reads covering the small deletion have a read depth of only 5, (four with the indel and one without). Variant accuracy and allele balance cannot be accurately assessed without a greater depth </w:t>
      </w:r>
      <w:r>
        <w:rPr>
          <w:i/>
          <w:color w:val="000000"/>
          <w:sz w:val="16"/>
          <w:szCs w:val="16"/>
        </w:rPr>
        <w:t>of coverage.</w:t>
      </w:r>
    </w:p>
    <w:p w:rsidR="00877997" w:rsidRDefault="00877997">
      <w:pPr>
        <w:spacing w:line="360" w:lineRule="auto"/>
        <w:rPr>
          <w:b/>
          <w:color w:val="000000"/>
          <w:sz w:val="20"/>
          <w:szCs w:val="20"/>
        </w:rPr>
      </w:pPr>
    </w:p>
    <w:p w:rsidR="00877997" w:rsidRDefault="00CB0676">
      <w:pPr>
        <w:spacing w:line="360" w:lineRule="auto"/>
        <w:rPr>
          <w:b/>
          <w:color w:val="000000"/>
          <w:sz w:val="20"/>
          <w:szCs w:val="20"/>
        </w:rPr>
      </w:pPr>
      <w:r>
        <w:rPr>
          <w:b/>
          <w:color w:val="000000"/>
          <w:sz w:val="20"/>
          <w:szCs w:val="20"/>
        </w:rPr>
        <w:t>Virtual gene panels and clinical diagnostics</w:t>
      </w:r>
    </w:p>
    <w:p w:rsidR="00877997" w:rsidRDefault="00CB0676">
      <w:pPr>
        <w:spacing w:line="360" w:lineRule="auto"/>
        <w:rPr>
          <w:color w:val="000000"/>
          <w:sz w:val="20"/>
          <w:szCs w:val="20"/>
        </w:rPr>
      </w:pPr>
      <w:r>
        <w:rPr>
          <w:color w:val="000000"/>
          <w:sz w:val="20"/>
          <w:szCs w:val="20"/>
        </w:rPr>
        <w:t> </w:t>
      </w:r>
    </w:p>
    <w:p w:rsidR="00877997" w:rsidRDefault="00CB0676">
      <w:pPr>
        <w:spacing w:line="360" w:lineRule="auto"/>
        <w:rPr>
          <w:color w:val="000000"/>
          <w:sz w:val="20"/>
          <w:szCs w:val="20"/>
        </w:rPr>
      </w:pPr>
      <w:r>
        <w:rPr>
          <w:color w:val="000000"/>
          <w:sz w:val="20"/>
          <w:szCs w:val="20"/>
        </w:rPr>
        <w:t xml:space="preserve">For well characterised RGD, a rapid diagnosis can be made if a variant is found in a gene already associated with that disease. This is the premise behind </w:t>
      </w:r>
      <w:r>
        <w:rPr>
          <w:i/>
          <w:iCs/>
          <w:color w:val="000000"/>
          <w:sz w:val="20"/>
          <w:szCs w:val="20"/>
        </w:rPr>
        <w:t>in silico</w:t>
      </w:r>
      <w:r>
        <w:rPr>
          <w:color w:val="000000"/>
          <w:sz w:val="20"/>
          <w:szCs w:val="20"/>
        </w:rPr>
        <w:t xml:space="preserve"> (virtual) gene panels </w:t>
      </w:r>
      <w:r>
        <w:rPr>
          <w:color w:val="000000"/>
          <w:sz w:val="20"/>
          <w:szCs w:val="20"/>
        </w:rPr>
        <w:t>applied in clinical diagnostic testing. If an overlapping phenotype and formal assessment by the application of curation guidelines, most typically the American College of Medical Genetics and Genomics (ACMG), support a pathogenic variant then there is pot</w:t>
      </w:r>
      <w:r>
        <w:rPr>
          <w:color w:val="000000"/>
          <w:sz w:val="20"/>
          <w:szCs w:val="20"/>
        </w:rPr>
        <w:t>ential for diagnosis. Yet, despite a drive towards standardised guidelines, many diagnostic labs vary in their variant interpretation</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[23, 24]</w:t>
      </w:r>
      <w:r>
        <w:rPr>
          <w:color w:val="000000"/>
          <w:sz w:val="20"/>
          <w:szCs w:val="20"/>
        </w:rPr>
        <w:fldChar w:fldCharType="end"/>
      </w:r>
      <w:r>
        <w:rPr>
          <w:color w:val="000000"/>
          <w:sz w:val="20"/>
          <w:szCs w:val="20"/>
        </w:rPr>
        <w:t>. Further, gene panels are problematic as they are subjectively curated an</w:t>
      </w:r>
      <w:r>
        <w:rPr>
          <w:color w:val="000000"/>
          <w:sz w:val="20"/>
          <w:szCs w:val="20"/>
        </w:rPr>
        <w:t xml:space="preserve">d outdated at the point </w:t>
      </w:r>
      <w:r>
        <w:rPr>
          <w:color w:val="000000"/>
          <w:sz w:val="20"/>
          <w:szCs w:val="20"/>
        </w:rPr>
        <w:lastRenderedPageBreak/>
        <w:t>that new discoveries are published. This necessitates iterative re-analysis, which can boost diagnostic rates by 10-15%</w:t>
      </w:r>
      <w:r>
        <w:rPr>
          <w:color w:val="000000"/>
          <w:sz w:val="20"/>
          <w:szCs w:val="20"/>
        </w:rPr>
        <w:fldChar w:fldCharType="begin"/>
      </w:r>
      <w:r>
        <w:rPr>
          <w:color w:val="000000"/>
          <w:sz w:val="20"/>
          <w:szCs w:val="20"/>
        </w:rPr>
        <w:instrText xml:space="preserve"> ADDIN EN.CITE &lt;EndNote&gt;&lt;Cite&gt;&lt;Author&gt;Wenger&lt;/Author&gt;&lt;Year&gt;2017&lt;/Year&gt;&lt;RecNum&gt;127&lt;/RecNum&gt;&lt;DisplayText&gt;[25, 26]&lt;/</w:instrText>
      </w:r>
      <w:r>
        <w:rPr>
          <w:color w:val="000000"/>
          <w:sz w:val="20"/>
          <w:szCs w:val="20"/>
        </w:rPr>
        <w:instrText>DisplayText&gt;&lt;record&gt;&lt;rec-number&gt;127&lt;/rec-number&gt;&lt;foreign-keys&gt;&lt;key app="EN" db-id="d0vstffei2ze5sew5fwxp0dq9zxs5pvvsxpv" timestamp="1583793169"&gt;127&lt;/key&gt;&lt;/foreign-keys&gt;&lt;ref-type name="Journal Article"&gt;17&lt;/ref-type&gt;&lt;contributors&gt;&lt;authors&gt;&lt;author&gt;Wenger, Aar</w:instrText>
      </w:r>
      <w:r>
        <w:rPr>
          <w:color w:val="000000"/>
          <w:sz w:val="20"/>
          <w:szCs w:val="20"/>
        </w:rPr>
        <w:instrText>on M&lt;/author&gt;&lt;author&gt;Guturu, Harendra&lt;/author&gt;&lt;author&gt;Bernstein, Jonathan A&lt;/author&gt;&lt;author&gt;Bejerano, Gill&lt;/author&gt;&lt;/authors&gt;&lt;/contributors&gt;&lt;titles&gt;&lt;title&gt;Systematic reanalysis of clinical exome data yields additional diagnoses: implications for providers&lt;</w:instrText>
      </w:r>
      <w:r>
        <w:rPr>
          <w:color w:val="000000"/>
          <w:sz w:val="20"/>
          <w:szCs w:val="20"/>
        </w:rPr>
        <w:instrText>/title&gt;&lt;secondary-title&gt;Genetics in Medicine&lt;/secondary-title&gt;&lt;/titles&gt;&lt;periodical&gt;&lt;full-title&gt;Genetics in Medicine&lt;/full-title&gt;&lt;/periodical&gt;&lt;pages&gt;209-214&lt;/pages&gt;&lt;volume&gt;19&lt;/volume&gt;&lt;number&gt;2&lt;/number&gt;&lt;dates&gt;&lt;year&gt;2017&lt;/year&gt;&lt;/dates&gt;&lt;isbn&gt;1530-0366&lt;/isbn&gt;&lt;u</w:instrText>
      </w:r>
      <w:r>
        <w:rPr>
          <w:color w:val="000000"/>
          <w:sz w:val="20"/>
          <w:szCs w:val="20"/>
        </w:rPr>
        <w:instrText>rls&gt;&lt;/urls&gt;&lt;/record&gt;&lt;/Cite&gt;&lt;Cite&gt;&lt;Author&gt;Nambot&lt;/Author&gt;&lt;Year&gt;2018&lt;/Year&gt;&lt;RecNum&gt;128&lt;/RecNum&gt;&lt;record&gt;&lt;rec-number&gt;128&lt;/rec-number&gt;&lt;foreign-keys&gt;&lt;key app="EN" db-id="d0vstffei2ze5sew5fwxp0dq9zxs5pvvsxpv" timestamp="1583793258"&gt;128&lt;/key&gt;&lt;/foreign-keys&gt;&lt;ref-ty</w:instrText>
      </w:r>
      <w:r>
        <w:rPr>
          <w:color w:val="000000"/>
          <w:sz w:val="20"/>
          <w:szCs w:val="20"/>
        </w:rPr>
        <w:instrText>pe name="Journal Article"&gt;17&lt;/ref-type&gt;&lt;contributors&gt;&lt;authors&gt;&lt;author&gt;Nambot, Sophie&lt;/author&gt;&lt;author&gt;Thevenon, Julien&lt;/author&gt;&lt;author&gt;Kuentz, Paul&lt;/author&gt;&lt;author&gt;Duffourd, Yannis&lt;/author&gt;&lt;author&gt;Tisserant, Emilie&lt;/author&gt;&lt;author&gt;Bruel, Ange-Line&lt;/author&gt;&lt;</w:instrText>
      </w:r>
      <w:r>
        <w:rPr>
          <w:color w:val="000000"/>
          <w:sz w:val="20"/>
          <w:szCs w:val="20"/>
        </w:rPr>
        <w:instrText>author&gt;Mosca-Boidron, Anne-Laure&lt;/author&gt;&lt;author&gt;Masurel-Paulet, Alice&lt;/author&gt;&lt;author&gt;Lehalle, Daphné&lt;/author&gt;&lt;author&gt;Jean-Marçais, Nolwenn&lt;/author&gt;&lt;/authors&gt;&lt;/contributors&gt;&lt;titles&gt;&lt;title&gt;Clinical whole-exome sequencing for the diagnosis of rare disorders</w:instrText>
      </w:r>
      <w:r>
        <w:rPr>
          <w:color w:val="000000"/>
          <w:sz w:val="20"/>
          <w:szCs w:val="20"/>
        </w:rPr>
        <w:instrText xml:space="preserve"> with congenital anomalies and/or intellectual disability: substantial interest of prospective annual reanalysis&lt;/title&gt;&lt;secondary-title&gt;Genetics in Medicine&lt;/secondary-title&gt;&lt;/titles&gt;&lt;periodical&gt;&lt;full-title&gt;Genetics in Medicine&lt;/full-title&gt;&lt;/periodical&gt;&lt;p</w:instrText>
      </w:r>
      <w:r>
        <w:rPr>
          <w:color w:val="000000"/>
          <w:sz w:val="20"/>
          <w:szCs w:val="20"/>
        </w:rPr>
        <w:instrText>ages&gt;645-654&lt;/pages&gt;&lt;volume&gt;20&lt;/volume&gt;&lt;number&gt;6&lt;/number&gt;&lt;dates&gt;&lt;year&gt;2018&lt;/year&gt;&lt;/dates&gt;&lt;isbn&gt;1530-0366&lt;/isbn&gt;&lt;urls&gt;&lt;/urls&gt;&lt;/record&gt;&lt;/Cite&gt;&lt;/EndNote&gt;</w:instrText>
      </w:r>
      <w:r>
        <w:rPr>
          <w:color w:val="000000"/>
          <w:sz w:val="20"/>
          <w:szCs w:val="20"/>
        </w:rPr>
        <w:fldChar w:fldCharType="separate"/>
      </w:r>
      <w:r>
        <w:rPr>
          <w:noProof/>
          <w:color w:val="000000"/>
          <w:sz w:val="20"/>
          <w:szCs w:val="20"/>
        </w:rPr>
        <w:t>[25, 26]</w:t>
      </w:r>
      <w:r>
        <w:rPr>
          <w:color w:val="000000"/>
          <w:sz w:val="20"/>
          <w:szCs w:val="20"/>
        </w:rPr>
        <w:fldChar w:fldCharType="end"/>
      </w:r>
      <w:r>
        <w:rPr>
          <w:color w:val="000000"/>
          <w:sz w:val="20"/>
          <w:szCs w:val="20"/>
        </w:rPr>
        <w:t>; however this is seldom done due to constraints on workload and time</w:t>
      </w:r>
      <w:r>
        <w:rPr>
          <w:color w:val="000000"/>
          <w:sz w:val="20"/>
          <w:szCs w:val="20"/>
        </w:rPr>
        <w:fldChar w:fldCharType="begin"/>
      </w:r>
      <w:r>
        <w:rPr>
          <w:color w:val="000000"/>
          <w:sz w:val="20"/>
          <w:szCs w:val="20"/>
        </w:rPr>
        <w:instrText xml:space="preserve"> ADDIN EN.CITE &lt;EndNote&gt;&lt;C</w:instrText>
      </w:r>
      <w:r>
        <w:rPr>
          <w:color w:val="000000"/>
          <w:sz w:val="20"/>
          <w:szCs w:val="20"/>
        </w:rPr>
        <w:instrText>ite&gt;&lt;Author&gt;Ewans&lt;/Author&gt;&lt;Year&gt;2018&lt;/Year&gt;&lt;RecNum&gt;82&lt;/RecNum&gt;&lt;DisplayText&gt;[27]&lt;/DisplayText&gt;&lt;record&gt;&lt;rec-number&gt;82&lt;/rec-number&gt;&lt;foreign-keys&gt;&lt;key app="EN" db-id="d0vstffei2ze5sew5fwxp0dq9zxs5pvvsxpv" timestamp="1580638032"&gt;82&lt;/key&gt;&lt;/foreign-keys&gt;&lt;ref-type</w:instrText>
      </w:r>
      <w:r>
        <w:rPr>
          <w:color w:val="000000"/>
          <w:sz w:val="20"/>
          <w:szCs w:val="20"/>
        </w:rPr>
        <w:instrText xml:space="preserve"> name="Journal Article"&gt;17&lt;/ref-type&gt;&lt;contributors&gt;&lt;authors&gt;&lt;author&gt;Ewans, Lisa J.&lt;/author&gt;&lt;author&gt;Schofield, Deborah&lt;/author&gt;&lt;author&gt;Shrestha, Rupendra&lt;/author&gt;&lt;author&gt;Zhu, Ying&lt;/author&gt;&lt;author&gt;Gayevskiy, Velimir&lt;/author&gt;&lt;author&gt;Ying, Kevin&lt;/author&gt;&lt;autho</w:instrText>
      </w:r>
      <w:r>
        <w:rPr>
          <w:color w:val="000000"/>
          <w:sz w:val="20"/>
          <w:szCs w:val="20"/>
        </w:rPr>
        <w:instrText>r&gt;Walsh, Corrina&lt;/author&gt;&lt;author&gt;Lee, Eric&lt;/author&gt;&lt;author&gt;Kirk, Edwin P.&lt;/author&gt;&lt;author&gt;Colley, Alison&lt;/author&gt;&lt;author&gt;Ellaway, Carolyn&lt;/author&gt;&lt;author&gt;Turner, Anne&lt;/author&gt;&lt;author&gt;Mowat, David&lt;/author&gt;&lt;author&gt;Worgan, Lisa&lt;/author&gt;&lt;author&gt;Freckmann, Mary</w:instrText>
      </w:r>
      <w:r>
        <w:rPr>
          <w:color w:val="000000"/>
          <w:sz w:val="20"/>
          <w:szCs w:val="20"/>
        </w:rPr>
        <w:instrText>-Louise&lt;/author&gt;&lt;author&gt;Lipke, Michelle&lt;/author&gt;&lt;author&gt;Sachdev, Rani&lt;/author&gt;&lt;author&gt;Miller, David&lt;/author&gt;&lt;author&gt;Field, Michael&lt;/author&gt;&lt;author&gt;Dinger, Marcel E.&lt;/author&gt;&lt;author&gt;Buckley, Michael F.&lt;/author&gt;&lt;author&gt;Cowley, Mark J.&lt;/author&gt;&lt;author&gt;Rosciol</w:instrText>
      </w:r>
      <w:r>
        <w:rPr>
          <w:color w:val="000000"/>
          <w:sz w:val="20"/>
          <w:szCs w:val="20"/>
        </w:rPr>
        <w:instrText>i, Tony&lt;/author&gt;&lt;/authors&gt;&lt;/contributors&gt;&lt;titles&gt;&lt;title&gt;Whole-exome sequencing reanalysis at 12 months boosts diagnosis and is cost-effective when applied early in Mendelian disorders&lt;/title&gt;&lt;secondary-title&gt;Genetics in Medicine&lt;/secondary-title&gt;&lt;/titles&gt;&lt;</w:instrText>
      </w:r>
      <w:r>
        <w:rPr>
          <w:color w:val="000000"/>
          <w:sz w:val="20"/>
          <w:szCs w:val="20"/>
        </w:rPr>
        <w:instrText>periodical&gt;&lt;full-title&gt;Genetics in Medicine&lt;/full-title&gt;&lt;/periodical&gt;&lt;pages&gt;1564-1574&lt;/pages&gt;&lt;volume&gt;20&lt;/volume&gt;&lt;number&gt;12&lt;/number&gt;&lt;dates&gt;&lt;year&gt;2018&lt;/year&gt;&lt;pub-dates&gt;&lt;date&gt;2018/12/01&lt;/date&gt;&lt;/pub-dates&gt;&lt;/dates&gt;&lt;isbn&gt;1530-0366&lt;/isbn&gt;&lt;urls&gt;&lt;related-urls&gt;&lt;url&gt;</w:instrText>
      </w:r>
      <w:r>
        <w:rPr>
          <w:color w:val="000000"/>
          <w:sz w:val="20"/>
          <w:szCs w:val="20"/>
        </w:rPr>
        <w:instrText>https://doi.org/10.1038/gim.2018.39&lt;/url&gt;&lt;/related-urls&gt;&lt;/urls&gt;&lt;electronic-resource-num&gt;10.1038/gim.2018.39&lt;/electronic-resource-num&gt;&lt;/record&gt;&lt;/Cite&gt;&lt;/EndNote&gt;</w:instrText>
      </w:r>
      <w:r>
        <w:rPr>
          <w:color w:val="000000"/>
          <w:sz w:val="20"/>
          <w:szCs w:val="20"/>
        </w:rPr>
        <w:fldChar w:fldCharType="separate"/>
      </w:r>
      <w:r>
        <w:rPr>
          <w:noProof/>
          <w:color w:val="000000"/>
          <w:sz w:val="20"/>
          <w:szCs w:val="20"/>
        </w:rPr>
        <w:t>[27]</w:t>
      </w:r>
      <w:r>
        <w:rPr>
          <w:color w:val="000000"/>
          <w:sz w:val="20"/>
          <w:szCs w:val="20"/>
        </w:rPr>
        <w:fldChar w:fldCharType="end"/>
      </w:r>
      <w:r>
        <w:rPr>
          <w:color w:val="000000"/>
          <w:sz w:val="20"/>
          <w:szCs w:val="20"/>
        </w:rPr>
        <w:t>. Nevertheless, since ~50% of haploinsufficient disease-genes remain to be discovered</w:t>
      </w:r>
      <w:r>
        <w:rPr>
          <w:color w:val="000000"/>
          <w:sz w:val="20"/>
          <w:szCs w:val="20"/>
        </w:rPr>
        <w:fldChar w:fldCharType="begin"/>
      </w:r>
      <w:r>
        <w:rPr>
          <w:color w:val="000000"/>
          <w:sz w:val="20"/>
          <w:szCs w:val="20"/>
        </w:rPr>
        <w:instrText xml:space="preserve"> ADDI</w:instrText>
      </w:r>
      <w:r>
        <w:rPr>
          <w:color w:val="000000"/>
          <w:sz w:val="20"/>
          <w:szCs w:val="20"/>
        </w:rPr>
        <w:instrText>N EN.CITE &lt;EndNote&gt;&lt;Cite&gt;&lt;Author&gt;Posey&lt;/Author&gt;&lt;Year&gt;2019&lt;/Year&gt;&lt;RecNum&gt;10&lt;/RecNum&gt;&lt;DisplayText&gt;[7]&lt;/DisplayText&gt;&lt;record&gt;&lt;rec-number&gt;10&lt;/rec-number&gt;&lt;foreign-keys&gt;&lt;key app="EN" db-id="d0vstffei2ze5sew5fwxp0dq9zxs5pvvsxpv" timestamp="1579850007"&gt;10&lt;/key&gt;&lt;/fo</w:instrText>
      </w:r>
      <w:r>
        <w:rPr>
          <w:color w:val="000000"/>
          <w:sz w:val="20"/>
          <w:szCs w:val="20"/>
        </w:rPr>
        <w:instrText>reign-keys&gt;&lt;ref-type name="Journal Article"&gt;17&lt;/ref-type&gt;&lt;contributors&gt;&lt;authors&gt;&lt;author&gt;Posey, Jennifer E&lt;/author&gt;&lt;author&gt;O’Donnell-Luria, Anne H&lt;/author&gt;&lt;author&gt;Chong, Jessica X&lt;/author&gt;&lt;author&gt;Harel, Tamar&lt;/author&gt;&lt;author&gt;Jhangiani, Shalini N&lt;/author&gt;&lt;au</w:instrText>
      </w:r>
      <w:r>
        <w:rPr>
          <w:color w:val="000000"/>
          <w:sz w:val="20"/>
          <w:szCs w:val="20"/>
        </w:rPr>
        <w:instrText>thor&gt;Akdemir, Zeynep H Coban&lt;/author&gt;&lt;author&gt;Buyske, Steven&lt;/author&gt;&lt;author&gt;Pehlivan, Davut&lt;/author&gt;&lt;author&gt;Carvalho, Claudia MB&lt;/author&gt;&lt;author&gt;Baxter, Samantha&lt;/author&gt;&lt;/authors&gt;&lt;/contributors&gt;&lt;titles&gt;&lt;title&gt;Insights into genetics, human biology and dise</w:instrText>
      </w:r>
      <w:r>
        <w:rPr>
          <w:color w:val="000000"/>
          <w:sz w:val="20"/>
          <w:szCs w:val="20"/>
        </w:rPr>
        <w:instrText>ase gleaned from family based genomic studies&lt;/title&gt;&lt;secondary-title&gt;Genetics in Medicine&lt;/secondary-title&gt;&lt;/titles&gt;&lt;periodical&gt;&lt;full-title&gt;Genetics in Medicine&lt;/full-title&gt;&lt;/periodical&gt;&lt;pages&gt;798-812&lt;/pages&gt;&lt;volume&gt;21&lt;/volume&gt;&lt;number&gt;4&lt;/number&gt;&lt;dates&gt;&lt;ye</w:instrText>
      </w:r>
      <w:r>
        <w:rPr>
          <w:color w:val="000000"/>
          <w:sz w:val="20"/>
          <w:szCs w:val="20"/>
        </w:rPr>
        <w:instrText>ar&gt;2019&lt;/year&gt;&lt;/dates&gt;&lt;isbn&gt;1530-0366&lt;/isbn&gt;&lt;urls&gt;&lt;/urls&gt;&lt;/record&gt;&lt;/Cite&gt;&lt;/EndNote&gt;</w:instrText>
      </w:r>
      <w:r>
        <w:rPr>
          <w:color w:val="000000"/>
          <w:sz w:val="20"/>
          <w:szCs w:val="20"/>
        </w:rPr>
        <w:fldChar w:fldCharType="separate"/>
      </w:r>
      <w:r>
        <w:rPr>
          <w:noProof/>
          <w:color w:val="000000"/>
          <w:sz w:val="20"/>
          <w:szCs w:val="20"/>
        </w:rPr>
        <w:t>[7]</w:t>
      </w:r>
      <w:r>
        <w:rPr>
          <w:color w:val="000000"/>
          <w:sz w:val="20"/>
          <w:szCs w:val="20"/>
        </w:rPr>
        <w:fldChar w:fldCharType="end"/>
      </w:r>
      <w:r>
        <w:rPr>
          <w:color w:val="000000"/>
          <w:sz w:val="20"/>
          <w:szCs w:val="20"/>
        </w:rPr>
        <w:t>, gene panels are rarely successful for the majority of exomes and genomes analysed. Research is therefore required to resolve pathogenic variation in the remaining di</w:t>
      </w:r>
      <w:r>
        <w:rPr>
          <w:color w:val="000000"/>
          <w:sz w:val="20"/>
          <w:szCs w:val="20"/>
        </w:rPr>
        <w:t>sease exome, which has been facilitated by patients recruited into research studies. Challenges and considerations specifically related to prioritising variants for novel gene discovery are reviewed below.</w:t>
      </w:r>
    </w:p>
    <w:p w:rsidR="00877997" w:rsidRDefault="00877997">
      <w:pPr>
        <w:rPr>
          <w:color w:val="000000"/>
          <w:sz w:val="20"/>
          <w:szCs w:val="20"/>
        </w:rPr>
      </w:pPr>
    </w:p>
    <w:p w:rsidR="00877997" w:rsidRDefault="00CB0676">
      <w:pPr>
        <w:rPr>
          <w:b/>
          <w:bCs/>
          <w:color w:val="000000"/>
          <w:sz w:val="20"/>
          <w:szCs w:val="20"/>
        </w:rPr>
      </w:pPr>
      <w:r>
        <w:rPr>
          <w:b/>
          <w:bCs/>
          <w:color w:val="000000"/>
          <w:sz w:val="20"/>
          <w:szCs w:val="20"/>
        </w:rPr>
        <w:t>Data volume</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An average genome sequenced has ~3-4</w:t>
      </w:r>
      <w:r>
        <w:rPr>
          <w:color w:val="000000"/>
          <w:sz w:val="20"/>
          <w:szCs w:val="20"/>
        </w:rPr>
        <w:t xml:space="preserve"> million variants and sifting through these manually is impossible. WES produces significantly fewer variants at 20,000-22,000</w:t>
      </w:r>
      <w:r>
        <w:rPr>
          <w:color w:val="000000"/>
          <w:sz w:val="20"/>
          <w:szCs w:val="20"/>
        </w:rPr>
        <w:fldChar w:fldCharType="begin"/>
      </w:r>
      <w:r>
        <w:rPr>
          <w:color w:val="000000"/>
          <w:sz w:val="20"/>
          <w:szCs w:val="20"/>
        </w:rPr>
        <w:instrText xml:space="preserve"> ADDIN EN.CITE &lt;EndNote&gt;&lt;Cite&gt;&lt;Author&gt;Acuna-Hidalgo&lt;/Author&gt;&lt;Year&gt;2016&lt;/Year&gt;&lt;RecNum&gt;33&lt;/RecNum&gt;&lt;DisplayText&gt;[28]&lt;/DisplayText&gt;&lt;re</w:instrText>
      </w:r>
      <w:r>
        <w:rPr>
          <w:color w:val="000000"/>
          <w:sz w:val="20"/>
          <w:szCs w:val="20"/>
        </w:rPr>
        <w:instrText>cord&gt;&lt;rec-number&gt;33&lt;/rec-number&gt;&lt;foreign-keys&gt;&lt;key app="EN" db-id="d0vstffei2ze5sew5fwxp0dq9zxs5pvvsxpv" timestamp="1579862761"&gt;33&lt;/key&gt;&lt;/foreign-keys&gt;&lt;ref-type name="Journal Article"&gt;17&lt;/ref-type&gt;&lt;contributors&gt;&lt;authors&gt;&lt;author&gt;Acuna-Hidalgo, Rocio&lt;/author</w:instrText>
      </w:r>
      <w:r>
        <w:rPr>
          <w:color w:val="000000"/>
          <w:sz w:val="20"/>
          <w:szCs w:val="20"/>
        </w:rPr>
        <w:instrText>&gt;&lt;author&gt;Veltman, Joris A.&lt;/author&gt;&lt;author&gt;Hoischen, Alexander&lt;/author&gt;&lt;/authors&gt;&lt;/contributors&gt;&lt;titles&gt;&lt;title&gt;New insights into the generation and role of de novo mutations in health and disease&lt;/title&gt;&lt;secondary-title&gt;Genome Biology&lt;/secondary-title&gt;&lt;/ti</w:instrText>
      </w:r>
      <w:r>
        <w:rPr>
          <w:color w:val="000000"/>
          <w:sz w:val="20"/>
          <w:szCs w:val="20"/>
        </w:rPr>
        <w:instrText>tles&gt;&lt;periodical&gt;&lt;full-title&gt;Genome Biology&lt;/full-title&gt;&lt;/periodical&gt;&lt;pages&gt;241&lt;/pages&gt;&lt;volume&gt;17&lt;/volume&gt;&lt;number&gt;1&lt;/number&gt;&lt;dates&gt;&lt;year&gt;2016&lt;/year&gt;&lt;pub-dates&gt;&lt;date&gt;2016/11/28&lt;/date&gt;&lt;/pub-dates&gt;&lt;/dates&gt;&lt;isbn&gt;1474-760X&lt;/isbn&gt;&lt;urls&gt;&lt;related-urls&gt;&lt;url&gt;https:/</w:instrText>
      </w:r>
      <w:r>
        <w:rPr>
          <w:color w:val="000000"/>
          <w:sz w:val="20"/>
          <w:szCs w:val="20"/>
        </w:rPr>
        <w:instrText>/doi.org/10.1186/s13059-016-1110-1&lt;/url&gt;&lt;/related-urls&gt;&lt;/urls&gt;&lt;electronic-resource-num&gt;10.1186/s13059-016-1110-1&lt;/electronic-resource-num&gt;&lt;/record&gt;&lt;/Cite&gt;&lt;/EndNote&gt;</w:instrText>
      </w:r>
      <w:r>
        <w:rPr>
          <w:color w:val="000000"/>
          <w:sz w:val="20"/>
          <w:szCs w:val="20"/>
        </w:rPr>
        <w:fldChar w:fldCharType="separate"/>
      </w:r>
      <w:r>
        <w:rPr>
          <w:noProof/>
          <w:color w:val="000000"/>
          <w:sz w:val="20"/>
          <w:szCs w:val="20"/>
        </w:rPr>
        <w:t>[28]</w:t>
      </w:r>
      <w:r>
        <w:rPr>
          <w:color w:val="000000"/>
          <w:sz w:val="20"/>
          <w:szCs w:val="20"/>
        </w:rPr>
        <w:fldChar w:fldCharType="end"/>
      </w:r>
      <w:r>
        <w:rPr>
          <w:color w:val="000000"/>
          <w:sz w:val="20"/>
          <w:szCs w:val="20"/>
        </w:rPr>
        <w:t>, however this number is still too large for individual variant-level scrutiny and it</w:t>
      </w:r>
      <w:r>
        <w:rPr>
          <w:color w:val="000000"/>
          <w:sz w:val="20"/>
          <w:szCs w:val="20"/>
        </w:rPr>
        <w:t xml:space="preserve"> misses non-coding variation. Bioinformatic methods can restrict data to a more manageable number, however this still leaves an overwhelmingly large number (tens to thousands) of variants to consider in more detail. This range is highly dependent on whethe</w:t>
      </w:r>
      <w:r>
        <w:rPr>
          <w:color w:val="000000"/>
          <w:sz w:val="20"/>
          <w:szCs w:val="20"/>
        </w:rPr>
        <w:t>r analysis is conducted on an exome or genome and whether trio sequencing is available.</w:t>
      </w:r>
    </w:p>
    <w:p w:rsidR="00877997" w:rsidRDefault="00CB0676">
      <w:pPr>
        <w:rPr>
          <w:color w:val="000000"/>
          <w:sz w:val="20"/>
          <w:szCs w:val="20"/>
        </w:rPr>
      </w:pPr>
      <w:r>
        <w:rPr>
          <w:color w:val="000000"/>
          <w:sz w:val="20"/>
          <w:szCs w:val="20"/>
        </w:rPr>
        <w:t> </w:t>
      </w:r>
    </w:p>
    <w:p w:rsidR="00877997" w:rsidRDefault="00CB0676">
      <w:pPr>
        <w:rPr>
          <w:b/>
          <w:bCs/>
          <w:color w:val="000000"/>
          <w:sz w:val="20"/>
          <w:szCs w:val="20"/>
        </w:rPr>
      </w:pPr>
      <w:r>
        <w:rPr>
          <w:b/>
          <w:bCs/>
          <w:color w:val="000000"/>
          <w:sz w:val="20"/>
          <w:szCs w:val="20"/>
        </w:rPr>
        <w:t>Variant analysis and prioritisation</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Most variant analysts have a filtering framework to whittle down vast quantities of genomic data to a more manageable list of can</w:t>
      </w:r>
      <w:r>
        <w:rPr>
          <w:color w:val="000000"/>
          <w:sz w:val="20"/>
          <w:szCs w:val="20"/>
        </w:rPr>
        <w:t>didates. Although general filtering strategies are recommended, there is no universal framework governing this process. Invariably, analysis is tailored to individual cases by considering an aggregate of information.</w:t>
      </w:r>
    </w:p>
    <w:p w:rsidR="00877997" w:rsidRDefault="00CB0676">
      <w:pPr>
        <w:rPr>
          <w:color w:val="000000"/>
          <w:sz w:val="20"/>
          <w:szCs w:val="20"/>
        </w:rPr>
      </w:pPr>
      <w:r>
        <w:rPr>
          <w:color w:val="000000"/>
          <w:sz w:val="20"/>
          <w:szCs w:val="20"/>
        </w:rPr>
        <w:t> </w:t>
      </w:r>
    </w:p>
    <w:p w:rsidR="00877997" w:rsidRDefault="00CB0676">
      <w:pPr>
        <w:rPr>
          <w:b/>
          <w:bCs/>
          <w:color w:val="000000"/>
          <w:sz w:val="20"/>
          <w:szCs w:val="20"/>
        </w:rPr>
      </w:pPr>
      <w:r>
        <w:rPr>
          <w:b/>
          <w:bCs/>
          <w:i/>
          <w:color w:val="000000"/>
          <w:sz w:val="20"/>
          <w:szCs w:val="20"/>
        </w:rPr>
        <w:t>De novo</w:t>
      </w:r>
      <w:r>
        <w:rPr>
          <w:b/>
          <w:bCs/>
          <w:color w:val="000000"/>
          <w:sz w:val="20"/>
          <w:szCs w:val="20"/>
        </w:rPr>
        <w:t xml:space="preserve"> analysis</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Many RGD occur as o</w:t>
      </w:r>
      <w:r>
        <w:rPr>
          <w:color w:val="000000"/>
          <w:sz w:val="20"/>
          <w:szCs w:val="20"/>
        </w:rPr>
        <w:t>ne-off (</w:t>
      </w:r>
      <w:r>
        <w:rPr>
          <w:i/>
          <w:color w:val="000000"/>
          <w:sz w:val="20"/>
          <w:szCs w:val="20"/>
        </w:rPr>
        <w:t>de novo</w:t>
      </w:r>
      <w:r>
        <w:rPr>
          <w:color w:val="000000"/>
          <w:sz w:val="20"/>
          <w:szCs w:val="20"/>
        </w:rPr>
        <w:t>) events i.e. present in the proband but absent from unaffected parents</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[29]</w:t>
      </w:r>
      <w:r>
        <w:rPr>
          <w:color w:val="000000"/>
          <w:sz w:val="20"/>
          <w:szCs w:val="20"/>
        </w:rPr>
        <w:fldChar w:fldCharType="end"/>
      </w:r>
      <w:r>
        <w:rPr>
          <w:color w:val="000000"/>
          <w:sz w:val="20"/>
          <w:szCs w:val="20"/>
        </w:rPr>
        <w:t xml:space="preserve">. The rate of </w:t>
      </w:r>
      <w:r>
        <w:rPr>
          <w:i/>
          <w:color w:val="000000"/>
          <w:sz w:val="20"/>
          <w:szCs w:val="20"/>
        </w:rPr>
        <w:t>de novo</w:t>
      </w:r>
      <w:r>
        <w:rPr>
          <w:color w:val="000000"/>
          <w:sz w:val="20"/>
          <w:szCs w:val="20"/>
        </w:rPr>
        <w:t xml:space="preserve"> mutation is between 44-82 events per genome with 1-2 affecting coding regions, and this number increase</w:t>
      </w:r>
      <w:r>
        <w:rPr>
          <w:color w:val="000000"/>
          <w:sz w:val="20"/>
          <w:szCs w:val="20"/>
        </w:rPr>
        <w:t>s with paternal age</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[28, 30]</w:t>
      </w:r>
      <w:r>
        <w:rPr>
          <w:color w:val="000000"/>
          <w:sz w:val="20"/>
          <w:szCs w:val="20"/>
        </w:rPr>
        <w:fldChar w:fldCharType="end"/>
      </w:r>
      <w:r>
        <w:rPr>
          <w:color w:val="000000"/>
          <w:sz w:val="20"/>
          <w:szCs w:val="20"/>
        </w:rPr>
        <w:t xml:space="preserve">. Restricting analysis to </w:t>
      </w:r>
      <w:r>
        <w:rPr>
          <w:i/>
          <w:color w:val="000000"/>
          <w:sz w:val="20"/>
          <w:szCs w:val="20"/>
        </w:rPr>
        <w:t>de novo</w:t>
      </w:r>
      <w:r>
        <w:rPr>
          <w:color w:val="000000"/>
          <w:sz w:val="20"/>
          <w:szCs w:val="20"/>
        </w:rPr>
        <w:t xml:space="preserve"> variants can reduce a genome significantly</w:t>
      </w:r>
      <w:r>
        <w:rPr>
          <w:color w:val="000000"/>
          <w:sz w:val="20"/>
          <w:szCs w:val="20"/>
        </w:rPr>
        <w:fldChar w:fldCharType="begin"/>
      </w:r>
      <w:r>
        <w:rPr>
          <w:color w:val="000000"/>
          <w:sz w:val="20"/>
          <w:szCs w:val="20"/>
        </w:rPr>
        <w:instrText xml:space="preserve"> ADDIN EN.CITE &lt;EndNote&gt;&lt;Cite&gt;&lt;Author&gt;Acuna-Hidalgo&lt;/Author&gt;&lt;Year&gt;2016&lt;/Year&gt;&lt;RecNum&gt;33&lt;/RecNum&gt;&lt;DisplayText&gt;[28</w:instrText>
      </w:r>
      <w:r>
        <w:rPr>
          <w:color w:val="000000"/>
          <w:sz w:val="20"/>
          <w:szCs w:val="20"/>
        </w:rPr>
        <w:instrText>]&lt;/DisplayText&gt;&lt;record&gt;&lt;rec-number&gt;33&lt;/rec-number&gt;&lt;foreign-keys&gt;&lt;key app="EN" db-id="d0vstffei2ze5sew5fwxp0dq9zxs5pvvsxpv" timestamp="1579862761"&gt;33&lt;/key&gt;&lt;/foreign-keys&gt;&lt;ref-type name="Journal Article"&gt;17&lt;/ref-type&gt;&lt;contributors&gt;&lt;authors&gt;&lt;author&gt;Acuna-Hida</w:instrText>
      </w:r>
      <w:r>
        <w:rPr>
          <w:color w:val="000000"/>
          <w:sz w:val="20"/>
          <w:szCs w:val="20"/>
        </w:rPr>
        <w:instrText>lgo, Rocio&lt;/author&gt;&lt;author&gt;Veltman, Joris A.&lt;/author&gt;&lt;author&gt;Hoischen, Alexander&lt;/author&gt;&lt;/authors&gt;&lt;/contributors&gt;&lt;titles&gt;&lt;title&gt;New insights into the generation and role of de novo mutations in health and disease&lt;/title&gt;&lt;secondary-title&gt;Genome Biology&lt;/se</w:instrText>
      </w:r>
      <w:r>
        <w:rPr>
          <w:color w:val="000000"/>
          <w:sz w:val="20"/>
          <w:szCs w:val="20"/>
        </w:rPr>
        <w:instrText>condary-title&gt;&lt;/titles&gt;&lt;periodical&gt;&lt;full-title&gt;Genome Biology&lt;/full-title&gt;&lt;/periodical&gt;&lt;pages&gt;241&lt;/pages&gt;&lt;volume&gt;17&lt;/volume&gt;&lt;number&gt;1&lt;/number&gt;&lt;dates&gt;&lt;year&gt;2016&lt;/year&gt;&lt;pub-dates&gt;&lt;date&gt;2016/11/28&lt;/date&gt;&lt;/pub-dates&gt;&lt;/dates&gt;&lt;isbn&gt;1474-760X&lt;/isbn&gt;&lt;urls&gt;&lt;related</w:instrText>
      </w:r>
      <w:r>
        <w:rPr>
          <w:color w:val="000000"/>
          <w:sz w:val="20"/>
          <w:szCs w:val="20"/>
        </w:rPr>
        <w:instrText>-urls&gt;&lt;url&gt;https://doi.org/10.1186/s13059-016-1110-1&lt;/url&gt;&lt;/related-urls&gt;&lt;/urls&gt;&lt;electronic-resource-num&gt;10.1186/s13059-016-1110-1&lt;/electronic-resource-num&gt;&lt;/record&gt;&lt;/Cite&gt;&lt;/EndNote&gt;</w:instrText>
      </w:r>
      <w:r>
        <w:rPr>
          <w:color w:val="000000"/>
          <w:sz w:val="20"/>
          <w:szCs w:val="20"/>
        </w:rPr>
        <w:fldChar w:fldCharType="separate"/>
      </w:r>
      <w:r>
        <w:rPr>
          <w:noProof/>
          <w:color w:val="000000"/>
          <w:sz w:val="20"/>
          <w:szCs w:val="20"/>
        </w:rPr>
        <w:t>[28]</w:t>
      </w:r>
      <w:r>
        <w:rPr>
          <w:color w:val="000000"/>
          <w:sz w:val="20"/>
          <w:szCs w:val="20"/>
        </w:rPr>
        <w:fldChar w:fldCharType="end"/>
      </w:r>
      <w:r>
        <w:rPr>
          <w:color w:val="000000"/>
          <w:sz w:val="20"/>
          <w:szCs w:val="20"/>
        </w:rPr>
        <w:t>. This is achieved using trio data (parents/offspring), which is no</w:t>
      </w:r>
      <w:r>
        <w:rPr>
          <w:color w:val="000000"/>
          <w:sz w:val="20"/>
          <w:szCs w:val="20"/>
        </w:rPr>
        <w:t xml:space="preserve">t always available due to cost restrictions or inability to sequence related individuals due to parental death, loss of contact, unknown paternity and parental refusal. Consequently, some exomes and genomes have to be analysed as singletons (proband-only) </w:t>
      </w:r>
      <w:r>
        <w:rPr>
          <w:color w:val="000000"/>
          <w:sz w:val="20"/>
          <w:szCs w:val="20"/>
        </w:rPr>
        <w:t>at the expense of analytical noise. Duo studies (one parent/proband) are preferable to proband-only, however many novel variants in the proband will be inherited by the other (unsequenced) parent. Overwhelmingly, singleton analysis is too noisy to identify</w:t>
      </w:r>
      <w:r>
        <w:rPr>
          <w:color w:val="000000"/>
          <w:sz w:val="20"/>
          <w:szCs w:val="20"/>
        </w:rPr>
        <w:t xml:space="preserve"> candidates without arbitrary and restrictive filtering. Further, in rare cases, parental germline mosaicism can result in multiple affected offspring with assumed </w:t>
      </w:r>
      <w:r>
        <w:rPr>
          <w:i/>
          <w:color w:val="000000"/>
          <w:sz w:val="20"/>
          <w:szCs w:val="20"/>
        </w:rPr>
        <w:t>de novo</w:t>
      </w:r>
      <w:r>
        <w:rPr>
          <w:color w:val="000000"/>
          <w:sz w:val="20"/>
          <w:szCs w:val="20"/>
        </w:rPr>
        <w:t xml:space="preserve"> inheritance</w:t>
      </w:r>
      <w:r>
        <w:rPr>
          <w:color w:val="000000"/>
          <w:sz w:val="20"/>
          <w:szCs w:val="20"/>
        </w:rPr>
        <w:fldChar w:fldCharType="begin"/>
      </w:r>
      <w:r>
        <w:rPr>
          <w:color w:val="000000"/>
          <w:sz w:val="20"/>
          <w:szCs w:val="20"/>
        </w:rPr>
        <w:instrText xml:space="preserve"> ADDIN EN.CITE &lt;EndNote&gt;&lt;Cite&gt;&lt;Author&gt;Rahbari&lt;/Author&gt;&lt;Year&gt;2016&lt;/Year&gt;&lt;R</w:instrText>
      </w:r>
      <w:r>
        <w:rPr>
          <w:color w:val="000000"/>
          <w:sz w:val="20"/>
          <w:szCs w:val="20"/>
        </w:rPr>
        <w:instrText>ecNum&gt;106&lt;/RecNum&gt;&lt;DisplayText&gt;[31]&lt;/DisplayText&gt;&lt;record&gt;&lt;rec-number&gt;106&lt;/rec-number&gt;&lt;foreign-keys&gt;&lt;key app="EN" db-id="d0vstffei2ze5sew5fwxp0dq9zxs5pvvsxpv" timestamp="1582115901"&gt;106&lt;/key&gt;&lt;/foreign-keys&gt;&lt;ref-type name="Journal Article"&gt;17&lt;/ref-type&gt;&lt;cont</w:instrText>
      </w:r>
      <w:r>
        <w:rPr>
          <w:color w:val="000000"/>
          <w:sz w:val="20"/>
          <w:szCs w:val="20"/>
        </w:rPr>
        <w:instrText>ributors&gt;&lt;authors&gt;&lt;author&gt;Rahbari, Raheleh&lt;/author&gt;&lt;author&gt;Wuster, Arthur&lt;/author&gt;&lt;author&gt;Lindsay, Sarah J.&lt;/author&gt;&lt;author&gt;Hardwick, Robert J.&lt;/author&gt;&lt;author&gt;Alexandrov, Ludmil B.&lt;/author&gt;&lt;author&gt;Al Turki, Saeed&lt;/author&gt;&lt;author&gt;Dominiczak, Anna&lt;/author&gt;&lt;</w:instrText>
      </w:r>
      <w:r>
        <w:rPr>
          <w:color w:val="000000"/>
          <w:sz w:val="20"/>
          <w:szCs w:val="20"/>
        </w:rPr>
        <w:instrText>author&gt;Morris, Andrew&lt;/author&gt;&lt;author&gt;Porteous, David&lt;/author&gt;&lt;author&gt;Smith, Blair&lt;/author&gt;&lt;author&gt;Stratton, Michael R.&lt;/author&gt;&lt;author&gt;Hurles, Matthew E.&lt;/author&gt;&lt;author&gt;Uk K. Consortium&lt;/author&gt;&lt;/authors&gt;&lt;/contributors&gt;&lt;titles&gt;&lt;title&gt;Timing, rates and sp</w:instrText>
      </w:r>
      <w:r>
        <w:rPr>
          <w:color w:val="000000"/>
          <w:sz w:val="20"/>
          <w:szCs w:val="20"/>
        </w:rPr>
        <w:instrText>ectra of human germline mutation&lt;/title&gt;&lt;secondary-title&gt;Nature Genetics&lt;/secondary-title&gt;&lt;/titles&gt;&lt;periodical&gt;&lt;full-title&gt;Nature genetics&lt;/full-title&gt;&lt;/periodical&gt;&lt;pages&gt;126-133&lt;/pages&gt;&lt;volume&gt;48&lt;/volume&gt;&lt;number&gt;2&lt;/number&gt;&lt;dates&gt;&lt;year&gt;2016&lt;/year&gt;&lt;pub-date</w:instrText>
      </w:r>
      <w:r>
        <w:rPr>
          <w:color w:val="000000"/>
          <w:sz w:val="20"/>
          <w:szCs w:val="20"/>
        </w:rPr>
        <w:instrText>s&gt;&lt;date&gt;2016/02/01&lt;/date&gt;&lt;/pub-dates&gt;&lt;/dates&gt;&lt;isbn&gt;1546-1718&lt;/isbn&gt;&lt;urls&gt;&lt;related-urls&gt;&lt;url&gt;https://doi.org/10.1038/ng.3469&lt;/url&gt;&lt;/related-urls&gt;&lt;/urls&gt;&lt;electronic-resource-num&gt;10.1038/ng.3469&lt;/electronic-resource-num&gt;&lt;/record&gt;&lt;/Cite&gt;&lt;/EndNote&gt;</w:instrText>
      </w:r>
      <w:r>
        <w:rPr>
          <w:color w:val="000000"/>
          <w:sz w:val="20"/>
          <w:szCs w:val="20"/>
        </w:rPr>
        <w:fldChar w:fldCharType="separate"/>
      </w:r>
      <w:r>
        <w:rPr>
          <w:noProof/>
          <w:color w:val="000000"/>
          <w:sz w:val="20"/>
          <w:szCs w:val="20"/>
        </w:rPr>
        <w:t>[31]</w:t>
      </w:r>
      <w:r>
        <w:rPr>
          <w:color w:val="000000"/>
          <w:sz w:val="20"/>
          <w:szCs w:val="20"/>
        </w:rPr>
        <w:fldChar w:fldCharType="end"/>
      </w:r>
      <w:r>
        <w:rPr>
          <w:color w:val="000000"/>
          <w:sz w:val="20"/>
          <w:szCs w:val="20"/>
        </w:rPr>
        <w:t>.</w:t>
      </w:r>
    </w:p>
    <w:p w:rsidR="00877997" w:rsidRDefault="00877997">
      <w:pPr>
        <w:spacing w:line="360" w:lineRule="auto"/>
        <w:rPr>
          <w:color w:val="000000"/>
          <w:sz w:val="20"/>
          <w:szCs w:val="20"/>
        </w:rPr>
      </w:pPr>
    </w:p>
    <w:p w:rsidR="00877997" w:rsidRDefault="00CB0676">
      <w:pPr>
        <w:spacing w:line="360" w:lineRule="auto"/>
        <w:rPr>
          <w:b/>
          <w:color w:val="000000"/>
          <w:sz w:val="20"/>
          <w:szCs w:val="20"/>
        </w:rPr>
      </w:pPr>
      <w:r>
        <w:rPr>
          <w:b/>
          <w:color w:val="000000"/>
          <w:sz w:val="20"/>
          <w:szCs w:val="20"/>
        </w:rPr>
        <w:t>Recessive analysis</w:t>
      </w:r>
    </w:p>
    <w:p w:rsidR="00877997" w:rsidRDefault="00877997">
      <w:pPr>
        <w:spacing w:line="360" w:lineRule="auto"/>
        <w:rPr>
          <w:b/>
          <w:color w:val="000000"/>
          <w:sz w:val="20"/>
          <w:szCs w:val="20"/>
        </w:rPr>
      </w:pPr>
    </w:p>
    <w:p w:rsidR="00877997" w:rsidRDefault="00CB0676">
      <w:pPr>
        <w:spacing w:line="360" w:lineRule="auto"/>
        <w:rPr>
          <w:color w:val="000000"/>
        </w:rPr>
      </w:pPr>
      <w:r>
        <w:rPr>
          <w:color w:val="000000"/>
          <w:sz w:val="20"/>
          <w:szCs w:val="20"/>
        </w:rPr>
        <w:t xml:space="preserve">Multiple affected siblings to unaffected parents increases the probability for recessive inheritance. Where consanguinity is declared or implied through relatedness checks, regions of autozygosity (where regions of DNA are </w:t>
      </w:r>
      <w:r>
        <w:rPr>
          <w:color w:val="000000"/>
          <w:sz w:val="20"/>
          <w:szCs w:val="20"/>
        </w:rPr>
        <w:lastRenderedPageBreak/>
        <w:t xml:space="preserve">identical by </w:t>
      </w:r>
      <w:r>
        <w:rPr>
          <w:color w:val="000000"/>
          <w:sz w:val="20"/>
          <w:szCs w:val="20"/>
        </w:rPr>
        <w:t xml:space="preserve">descent) can be targeted as hotspots for rare homozygous variation. Biallelic inheritance of compound heterozygotes </w:t>
      </w:r>
      <w:r>
        <w:rPr>
          <w:i/>
          <w:color w:val="000000"/>
          <w:sz w:val="20"/>
          <w:szCs w:val="20"/>
        </w:rPr>
        <w:t>in trans</w:t>
      </w:r>
      <w:r>
        <w:rPr>
          <w:color w:val="000000"/>
          <w:sz w:val="20"/>
          <w:szCs w:val="20"/>
        </w:rPr>
        <w:t xml:space="preserve"> are best identified with trio analysis, unless the variants are close enough together in the proband that visualising overlapping r</w:t>
      </w:r>
      <w:r>
        <w:rPr>
          <w:color w:val="000000"/>
          <w:sz w:val="20"/>
          <w:szCs w:val="20"/>
        </w:rPr>
        <w:t xml:space="preserve">ead data can determine phase. However, assigning pathogenicity becomes more challenging when one variant is a known pathogenic variant and a second is of low quality or has low </w:t>
      </w:r>
      <w:r>
        <w:rPr>
          <w:i/>
          <w:color w:val="000000"/>
          <w:sz w:val="20"/>
          <w:szCs w:val="20"/>
        </w:rPr>
        <w:t>in silico</w:t>
      </w:r>
      <w:r>
        <w:rPr>
          <w:color w:val="000000"/>
          <w:sz w:val="20"/>
          <w:szCs w:val="20"/>
        </w:rPr>
        <w:t xml:space="preserve"> predictors. That said, there are cases of known pathogenic variants c</w:t>
      </w:r>
      <w:r>
        <w:rPr>
          <w:color w:val="000000"/>
          <w:sz w:val="20"/>
          <w:szCs w:val="20"/>
        </w:rPr>
        <w:t>ausing disease when co-inherited with a second more common variant (or hypomorph)</w:t>
      </w:r>
      <w:r>
        <w:rPr>
          <w:color w:val="000000"/>
          <w:sz w:val="20"/>
          <w:szCs w:val="20"/>
        </w:rPr>
        <w:fldChar w:fldCharType="begin"/>
      </w:r>
      <w:r>
        <w:rPr>
          <w:color w:val="000000"/>
          <w:sz w:val="20"/>
          <w:szCs w:val="20"/>
        </w:rPr>
        <w:instrText xml:space="preserve"> ADDIN EN.CITE &lt;EndNote&gt;&lt;Cite&gt;&lt;Author&gt;Arnadottir&lt;/Author&gt;&lt;Year&gt;2017&lt;/Year&gt;&lt;RecNum&gt;30&lt;/RecNum&gt;&lt;DisplayText&gt;[32]&lt;/DisplayText&gt;&lt;record&gt;&lt;rec-number&gt;30&lt;/rec-number&gt;&lt;foreign-keys&gt;&lt;k</w:instrText>
      </w:r>
      <w:r>
        <w:rPr>
          <w:color w:val="000000"/>
          <w:sz w:val="20"/>
          <w:szCs w:val="20"/>
        </w:rPr>
        <w:instrText>ey app="EN" db-id="d0vstffei2ze5sew5fwxp0dq9zxs5pvvsxpv" timestamp="1579860039"&gt;30&lt;/key&gt;&lt;/foreign-keys&gt;&lt;ref-type name="Journal Article"&gt;17&lt;/ref-type&gt;&lt;contributors&gt;&lt;authors&gt;&lt;author&gt;Arnadottir, Gudny A.&lt;/author&gt;&lt;author&gt;Jensson, Brynjar O.&lt;/author&gt;&lt;author&gt;Mar</w:instrText>
      </w:r>
      <w:r>
        <w:rPr>
          <w:color w:val="000000"/>
          <w:sz w:val="20"/>
          <w:szCs w:val="20"/>
        </w:rPr>
        <w:instrText>elsson, Sigurdur E.&lt;/author&gt;&lt;author&gt;Sulem, Gerald&lt;/author&gt;&lt;author&gt;Oddsson, Asmundur&lt;/author&gt;&lt;author&gt;Kristjansson, Ragnar P.&lt;/author&gt;&lt;author&gt;Benonisdottir, Stefania&lt;/author&gt;&lt;author&gt;Gudjonsson, Sigurjon A.&lt;/author&gt;&lt;author&gt;Masson, Gisli&lt;/author&gt;&lt;author&gt;Thoris</w:instrText>
      </w:r>
      <w:r>
        <w:rPr>
          <w:color w:val="000000"/>
          <w:sz w:val="20"/>
          <w:szCs w:val="20"/>
        </w:rPr>
        <w:instrText>son, Gudmundur A.&lt;/author&gt;&lt;author&gt;Saemundsdottir, Jona&lt;/author&gt;&lt;author&gt;Magnusson, Olafur Th&lt;/author&gt;&lt;author&gt;Jonasdottir, Adalbjorg&lt;/author&gt;&lt;author&gt;Jonasdottir, Aslaug&lt;/author&gt;&lt;author&gt;Sigurdsson, Asgeir&lt;/author&gt;&lt;author&gt;Gudbjartsson, Daniel F.&lt;/author&gt;&lt;autho</w:instrText>
      </w:r>
      <w:r>
        <w:rPr>
          <w:color w:val="000000"/>
          <w:sz w:val="20"/>
          <w:szCs w:val="20"/>
        </w:rPr>
        <w:instrText>r&gt;Thorsteinsdottir, Unnur&lt;/author&gt;&lt;author&gt;Arngrimsson, Reynir&lt;/author&gt;&lt;author&gt;Sulem, Patrick&lt;/author&gt;&lt;author&gt;Stefansson, Kari&lt;/author&gt;&lt;/authors&gt;&lt;/contributors&gt;&lt;titles&gt;&lt;title&gt;Compound heterozygous mutations in UBA5 causing early-onset epileptic encephalopat</w:instrText>
      </w:r>
      <w:r>
        <w:rPr>
          <w:color w:val="000000"/>
          <w:sz w:val="20"/>
          <w:szCs w:val="20"/>
        </w:rPr>
        <w:instrText>hy in two sisters&lt;/title&gt;&lt;secondary-title&gt;BMC Medical Genetics&lt;/secondary-title&gt;&lt;/titles&gt;&lt;periodical&gt;&lt;full-title&gt;BMC Medical Genetics&lt;/full-title&gt;&lt;/periodical&gt;&lt;pages&gt;103&lt;/pages&gt;&lt;volume&gt;18&lt;/volume&gt;&lt;number&gt;1&lt;/number&gt;&lt;dates&gt;&lt;year&gt;2017&lt;/year&gt;&lt;pub-dates&gt;&lt;date&gt;2</w:instrText>
      </w:r>
      <w:r>
        <w:rPr>
          <w:color w:val="000000"/>
          <w:sz w:val="20"/>
          <w:szCs w:val="20"/>
        </w:rPr>
        <w:instrText>017/10/02&lt;/date&gt;&lt;/pub-dates&gt;&lt;/dates&gt;&lt;isbn&gt;1471-2350&lt;/isbn&gt;&lt;urls&gt;&lt;related-urls&gt;&lt;url&gt;https://doi.org/10.1186/s12881-017-0466-8&lt;/url&gt;&lt;/related-urls&gt;&lt;/urls&gt;&lt;electronic-resource-num&gt;10.1186/s12881-017-0466-8&lt;/electronic-resource-num&gt;&lt;/record&gt;&lt;/Cite&gt;&lt;/EndNote&gt;</w:instrText>
      </w:r>
      <w:r>
        <w:rPr>
          <w:color w:val="000000"/>
          <w:sz w:val="20"/>
          <w:szCs w:val="20"/>
        </w:rPr>
        <w:fldChar w:fldCharType="separate"/>
      </w:r>
      <w:r>
        <w:rPr>
          <w:noProof/>
          <w:color w:val="000000"/>
          <w:sz w:val="20"/>
          <w:szCs w:val="20"/>
        </w:rPr>
        <w:t>[3</w:t>
      </w:r>
      <w:r>
        <w:rPr>
          <w:noProof/>
          <w:color w:val="000000"/>
          <w:sz w:val="20"/>
          <w:szCs w:val="20"/>
        </w:rPr>
        <w:t>2]</w:t>
      </w:r>
      <w:r>
        <w:rPr>
          <w:color w:val="000000"/>
          <w:sz w:val="20"/>
          <w:szCs w:val="20"/>
        </w:rPr>
        <w:fldChar w:fldCharType="end"/>
      </w:r>
      <w:r>
        <w:rPr>
          <w:color w:val="000000"/>
          <w:sz w:val="20"/>
          <w:szCs w:val="20"/>
        </w:rPr>
        <w:t>. The tradeoff here is ensuring that allele frequencies are not filtered too restrictively especially when hypomorphs can have allele frequencies as high as 7%</w:t>
      </w:r>
      <w:r>
        <w:rPr>
          <w:color w:val="000000"/>
          <w:sz w:val="20"/>
          <w:szCs w:val="20"/>
        </w:rPr>
        <w:fldChar w:fldCharType="begin"/>
      </w:r>
      <w:r>
        <w:rPr>
          <w:color w:val="000000"/>
          <w:sz w:val="20"/>
          <w:szCs w:val="20"/>
        </w:rPr>
        <w:instrText xml:space="preserve"> ADDIN EN.CITE &lt;EndNote&gt;&lt;Cite&gt;&lt;Author&gt;Zernant&lt;/Author&gt;&lt;Year&gt;2017&lt;/Year&gt;&lt;RecNum&gt;31&lt;/RecNum&gt;&lt;D</w:instrText>
      </w:r>
      <w:r>
        <w:rPr>
          <w:color w:val="000000"/>
          <w:sz w:val="20"/>
          <w:szCs w:val="20"/>
        </w:rPr>
        <w:instrText>isplayText&gt;[33]&lt;/DisplayText&gt;&lt;record&gt;&lt;rec-number&gt;31&lt;/rec-number&gt;&lt;foreign-keys&gt;&lt;key app="EN" db-id="d0vstffei2ze5sew5fwxp0dq9zxs5pvvsxpv" timestamp="1579860243"&gt;31&lt;/key&gt;&lt;/foreign-keys&gt;&lt;ref-type name="Journal Article"&gt;17&lt;/ref-type&gt;&lt;contributors&gt;&lt;authors&gt;&lt;aut</w:instrText>
      </w:r>
      <w:r>
        <w:rPr>
          <w:color w:val="000000"/>
          <w:sz w:val="20"/>
          <w:szCs w:val="20"/>
        </w:rPr>
        <w:instrText>hor&gt;Zernant, Jana&lt;/author&gt;&lt;author&gt;Lee, Winston&lt;/author&gt;&lt;author&gt;Collison, Frederick T&lt;/author&gt;&lt;author&gt;Fishman, Gerald A&lt;/author&gt;&lt;author&gt;Sergeev, Yuri V&lt;/author&gt;&lt;author&gt;Schuerch, Kaspar&lt;/author&gt;&lt;author&gt;Sparrow, Janet R&lt;/author&gt;&lt;author&gt;Tsang, Stephen H&lt;/autho</w:instrText>
      </w:r>
      <w:r>
        <w:rPr>
          <w:color w:val="000000"/>
          <w:sz w:val="20"/>
          <w:szCs w:val="20"/>
        </w:rPr>
        <w:instrText xml:space="preserve">r&gt;&lt;author&gt;Allikmets, Rando&lt;/author&gt;&lt;/authors&gt;&lt;/contributors&gt;&lt;titles&gt;&lt;title&gt;Frequent hypomorphic alleles account for a significant fraction of ABCA4 disease and distinguish it from age-related macular degeneration&lt;/title&gt;&lt;secondary-title&gt;Journal of Medical </w:instrText>
      </w:r>
      <w:r>
        <w:rPr>
          <w:color w:val="000000"/>
          <w:sz w:val="20"/>
          <w:szCs w:val="20"/>
        </w:rPr>
        <w:instrText>Genetics&lt;/secondary-title&gt;&lt;/titles&gt;&lt;periodical&gt;&lt;full-title&gt;Journal of Medical Genetics&lt;/full-title&gt;&lt;/periodical&gt;&lt;pages&gt;404-412&lt;/pages&gt;&lt;volume&gt;54&lt;/volume&gt;&lt;number&gt;6&lt;/number&gt;&lt;dates&gt;&lt;year&gt;2017&lt;/year&gt;&lt;/dates&gt;&lt;urls&gt;&lt;related-urls&gt;&lt;url&gt;https://jmg.bmj.com/content/</w:instrText>
      </w:r>
      <w:r>
        <w:rPr>
          <w:color w:val="000000"/>
          <w:sz w:val="20"/>
          <w:szCs w:val="20"/>
        </w:rPr>
        <w:instrText>jmedgenet/54/6/404.full.pdf&lt;/url&gt;&lt;/related-urls&gt;&lt;/urls&gt;&lt;electronic-resource-num&gt;10.1136/jmedgenet-2017-104540&lt;/electronic-resource-num&gt;&lt;/record&gt;&lt;/Cite&gt;&lt;/EndNote&gt;</w:instrText>
      </w:r>
      <w:r>
        <w:rPr>
          <w:color w:val="000000"/>
          <w:sz w:val="20"/>
          <w:szCs w:val="20"/>
        </w:rPr>
        <w:fldChar w:fldCharType="separate"/>
      </w:r>
      <w:r>
        <w:rPr>
          <w:noProof/>
          <w:color w:val="000000"/>
          <w:sz w:val="20"/>
          <w:szCs w:val="20"/>
        </w:rPr>
        <w:t>[33]</w:t>
      </w:r>
      <w:r>
        <w:rPr>
          <w:color w:val="000000"/>
          <w:sz w:val="20"/>
          <w:szCs w:val="20"/>
        </w:rPr>
        <w:fldChar w:fldCharType="end"/>
      </w:r>
      <w:r>
        <w:rPr>
          <w:color w:val="000000"/>
          <w:sz w:val="20"/>
          <w:szCs w:val="20"/>
        </w:rPr>
        <w:t xml:space="preserve">. </w:t>
      </w:r>
    </w:p>
    <w:p w:rsidR="00877997" w:rsidRDefault="00CB0676">
      <w:pPr>
        <w:rPr>
          <w:color w:val="000000"/>
          <w:sz w:val="20"/>
          <w:szCs w:val="20"/>
        </w:rPr>
      </w:pPr>
      <w:r>
        <w:rPr>
          <w:color w:val="000000"/>
          <w:sz w:val="20"/>
          <w:szCs w:val="20"/>
        </w:rPr>
        <w:t> </w:t>
      </w:r>
    </w:p>
    <w:p w:rsidR="00877997" w:rsidRDefault="00CB0676">
      <w:pPr>
        <w:rPr>
          <w:b/>
          <w:bCs/>
          <w:color w:val="000000"/>
          <w:sz w:val="20"/>
          <w:szCs w:val="20"/>
        </w:rPr>
      </w:pPr>
      <w:r>
        <w:rPr>
          <w:b/>
          <w:bCs/>
          <w:color w:val="000000"/>
          <w:sz w:val="20"/>
          <w:szCs w:val="20"/>
        </w:rPr>
        <w:t>Allele frequency</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Since population allele frequency (AF) data have been made public</w:t>
      </w:r>
      <w:r>
        <w:rPr>
          <w:color w:val="000000"/>
          <w:sz w:val="20"/>
          <w:szCs w:val="20"/>
        </w:rPr>
        <w:t>ly available, detecting rare variation has become far easier</w:t>
      </w:r>
      <w:r>
        <w:rPr>
          <w:color w:val="000000"/>
          <w:sz w:val="20"/>
          <w:szCs w:val="20"/>
        </w:rPr>
        <w:fldChar w:fldCharType="begin"/>
      </w:r>
      <w:r>
        <w:rPr>
          <w:color w:val="000000"/>
          <w:sz w:val="20"/>
          <w:szCs w:val="20"/>
        </w:rPr>
        <w:instrText xml:space="preserve"> ADDIN EN.CITE &lt;EndNote&gt;&lt;Cite&gt;&lt;Author&gt;Siva&lt;/Author&gt;&lt;Year&gt;2008&lt;/Year&gt;&lt;RecNum&gt;63&lt;/RecNum&gt;&lt;DisplayText&gt;[5, 34]&lt;/DisplayText&gt;&lt;record&gt;&lt;rec-number&gt;63&lt;/rec-number&gt;&lt;foreign-keys&gt;&lt;key app="EN" db-id="d0vst</w:instrText>
      </w:r>
      <w:r>
        <w:rPr>
          <w:color w:val="000000"/>
          <w:sz w:val="20"/>
          <w:szCs w:val="20"/>
        </w:rPr>
        <w:instrText>ffei2ze5sew5fwxp0dq9zxs5pvvsxpv" timestamp="1580005680"&gt;63&lt;/key&gt;&lt;/foreign-keys&gt;&lt;ref-type name="Generic"&gt;13&lt;/ref-type&gt;&lt;contributors&gt;&lt;authors&gt;&lt;author&gt;Siva, Nayanah&lt;/author&gt;&lt;/authors&gt;&lt;/contributors&gt;&lt;titles&gt;&lt;title&gt;1000 Genomes project&lt;/title&gt;&lt;/titles&gt;&lt;dates&gt;&lt;y</w:instrText>
      </w:r>
      <w:r>
        <w:rPr>
          <w:color w:val="000000"/>
          <w:sz w:val="20"/>
          <w:szCs w:val="20"/>
        </w:rPr>
        <w:instrText>ear&gt;2008&lt;/year&gt;&lt;/dates&gt;&lt;publisher&gt;Nature Publishing Group&lt;/publisher&gt;&lt;isbn&gt;1546-1696&lt;/isbn&gt;&lt;urls&gt;&lt;/urls&gt;&lt;/record&gt;&lt;/Cite&gt;&lt;Cite&gt;&lt;Author&gt;Karczewski&lt;/Author&gt;&lt;Year&gt;2017&lt;/Year&gt;&lt;RecNum&gt;64&lt;/RecNum&gt;&lt;record&gt;&lt;rec-number&gt;64&lt;/rec-number&gt;&lt;foreign-keys&gt;&lt;key app="EN" db-i</w:instrText>
      </w:r>
      <w:r>
        <w:rPr>
          <w:color w:val="000000"/>
          <w:sz w:val="20"/>
          <w:szCs w:val="20"/>
        </w:rPr>
        <w:instrText>d="d0vstffei2ze5sew5fwxp0dq9zxs5pvvsxpv" timestamp="1580005723"&gt;64&lt;/key&gt;&lt;/foreign-keys&gt;&lt;ref-type name="Journal Article"&gt;17&lt;/ref-type&gt;&lt;contributors&gt;&lt;authors&gt;&lt;author&gt;Karczewski, Konrad J&lt;/author&gt;&lt;author&gt;Weisburd, Ben&lt;/author&gt;&lt;author&gt;Thomas, Brett&lt;/author&gt;&lt;au</w:instrText>
      </w:r>
      <w:r>
        <w:rPr>
          <w:color w:val="000000"/>
          <w:sz w:val="20"/>
          <w:szCs w:val="20"/>
        </w:rPr>
        <w:instrText>thor&gt;Solomonson, Matthew&lt;/author&gt;&lt;author&gt;Ruderfer, Douglas M&lt;/author&gt;&lt;author&gt;Kavanagh, David&lt;/author&gt;&lt;author&gt;Hamamsy, Tymor&lt;/author&gt;&lt;author&gt;Lek, Monkol&lt;/author&gt;&lt;author&gt;Samocha, Kaitlin E&lt;/author&gt;&lt;author&gt;Cummings, Beryl B&lt;/author&gt;&lt;/authors&gt;&lt;/contributors&gt;&lt;t</w:instrText>
      </w:r>
      <w:r>
        <w:rPr>
          <w:color w:val="000000"/>
          <w:sz w:val="20"/>
          <w:szCs w:val="20"/>
        </w:rPr>
        <w:instrText>itles&gt;&lt;title&gt;The ExAC browser: displaying reference data information from over 60 000 exomes&lt;/title&gt;&lt;secondary-title&gt;Nucleic acids research&lt;/secondary-title&gt;&lt;/titles&gt;&lt;periodical&gt;&lt;full-title&gt;Nucleic acids research&lt;/full-title&gt;&lt;/periodical&gt;&lt;pages&gt;D840-D845&lt;/</w:instrText>
      </w:r>
      <w:r>
        <w:rPr>
          <w:color w:val="000000"/>
          <w:sz w:val="20"/>
          <w:szCs w:val="20"/>
        </w:rPr>
        <w:instrText>pages&gt;&lt;volume&gt;45&lt;/volume&gt;&lt;number&gt;D1&lt;/number&gt;&lt;dates&gt;&lt;year&gt;2017&lt;/year&gt;&lt;/dates&gt;&lt;isbn&gt;0305-1048&lt;/isbn&gt;&lt;urls&gt;&lt;/urls&gt;&lt;/record&gt;&lt;/Cite&gt;&lt;/EndNote&gt;</w:instrText>
      </w:r>
      <w:r>
        <w:rPr>
          <w:color w:val="000000"/>
          <w:sz w:val="20"/>
          <w:szCs w:val="20"/>
        </w:rPr>
        <w:fldChar w:fldCharType="separate"/>
      </w:r>
      <w:r>
        <w:rPr>
          <w:noProof/>
          <w:color w:val="000000"/>
          <w:sz w:val="20"/>
          <w:szCs w:val="20"/>
        </w:rPr>
        <w:t>[5, 34]</w:t>
      </w:r>
      <w:r>
        <w:rPr>
          <w:color w:val="000000"/>
          <w:sz w:val="20"/>
          <w:szCs w:val="20"/>
        </w:rPr>
        <w:fldChar w:fldCharType="end"/>
      </w:r>
      <w:r>
        <w:rPr>
          <w:color w:val="000000"/>
          <w:sz w:val="20"/>
          <w:szCs w:val="20"/>
        </w:rPr>
        <w:t xml:space="preserve">. The largest repository of WES/WGS data for ostensibly healthy adults, depleted for rare childhood disease, </w:t>
      </w:r>
      <w:r>
        <w:rPr>
          <w:color w:val="000000"/>
          <w:sz w:val="20"/>
          <w:szCs w:val="20"/>
        </w:rPr>
        <w:t>is the genome aggregation database, or gnomAD (</w:t>
      </w:r>
      <w:hyperlink r:id="rId7" w:history="1">
        <w:r>
          <w:rPr>
            <w:rStyle w:val="Hyperlink"/>
            <w:color w:val="000000"/>
            <w:sz w:val="20"/>
            <w:szCs w:val="20"/>
          </w:rPr>
          <w:t>http://gnomad.broadinstitute.org</w:t>
        </w:r>
      </w:hyperlink>
      <w:r>
        <w:rPr>
          <w:color w:val="000000"/>
          <w:sz w:val="20"/>
          <w:szCs w:val="20"/>
        </w:rPr>
        <w:t>), hosting 125,748 exomes and 71,702 genomes. With AF differing between ethnicities, it is important that rare variation is com</w:t>
      </w:r>
      <w:r>
        <w:rPr>
          <w:color w:val="000000"/>
          <w:sz w:val="20"/>
          <w:szCs w:val="20"/>
        </w:rPr>
        <w:t>pared with the AF of the patient’s ethnic group; i.e. what may be rare in Caucasians could be common in Latinos. Historically, global repositories have been biased towards European ancestry, and whilst this bias still exists, many more ancestries are now i</w:t>
      </w:r>
      <w:r>
        <w:rPr>
          <w:color w:val="000000"/>
          <w:sz w:val="20"/>
          <w:szCs w:val="20"/>
        </w:rPr>
        <w:t xml:space="preserve">ncluded with updated databases. </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 xml:space="preserve">Undoubtedly global repositories are immensely powerful, however most individuals harbour a number of private variants absent from these repositories. Even at 197,450 samples, gnomAD is underpowered to accurately catalogue </w:t>
      </w:r>
      <w:r>
        <w:rPr>
          <w:color w:val="000000"/>
          <w:sz w:val="20"/>
          <w:szCs w:val="20"/>
        </w:rPr>
        <w:t>rare variation on a population level</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[35]</w:t>
      </w:r>
      <w:r>
        <w:rPr>
          <w:color w:val="000000"/>
          <w:sz w:val="20"/>
          <w:szCs w:val="20"/>
        </w:rPr>
        <w:fldChar w:fldCharType="end"/>
      </w:r>
      <w:r>
        <w:rPr>
          <w:color w:val="000000"/>
          <w:sz w:val="20"/>
          <w:szCs w:val="20"/>
        </w:rPr>
        <w:t xml:space="preserve">. That said, AF still remains a fundamental filtering tool in rare disease, but frequency cutoffs are often arbitrary and overly lenient. Whiffin </w:t>
      </w:r>
      <w:r>
        <w:rPr>
          <w:i/>
          <w:color w:val="000000"/>
          <w:sz w:val="20"/>
          <w:szCs w:val="20"/>
        </w:rPr>
        <w:t>et al</w:t>
      </w:r>
      <w:r>
        <w:rPr>
          <w:color w:val="000000"/>
          <w:sz w:val="20"/>
          <w:szCs w:val="20"/>
        </w:rPr>
        <w:t>.</w:t>
      </w:r>
      <w:r>
        <w:rPr>
          <w:color w:val="000000"/>
          <w:sz w:val="20"/>
          <w:szCs w:val="20"/>
        </w:rPr>
        <w:fldChar w:fldCharType="begin"/>
      </w:r>
      <w:r>
        <w:rPr>
          <w:color w:val="000000"/>
          <w:sz w:val="20"/>
          <w:szCs w:val="20"/>
        </w:rPr>
        <w:instrText xml:space="preserve"> ADDIN EN.CITE &lt;EndNote</w:instrText>
      </w:r>
      <w:r>
        <w:rPr>
          <w:color w:val="000000"/>
          <w:sz w:val="20"/>
          <w:szCs w:val="20"/>
        </w:rPr>
        <w:instrText>&gt;&lt;Cite&gt;&lt;Author&gt;Whiffin&lt;/Author&gt;&lt;Year&gt;2017&lt;/Year&gt;&lt;RecNum&gt;25&lt;/RecNum&gt;&lt;DisplayText&gt;[36]&lt;/DisplayText&gt;&lt;record&gt;&lt;rec-number&gt;25&lt;/rec-number&gt;&lt;foreign-keys&gt;&lt;key app="EN" db-id="d0vstffei2ze5sew5fwxp0dq9zxs5pvvsxpv" timestamp="1579852366"&gt;25&lt;/key&gt;&lt;/foreign-keys&gt;&lt;ref</w:instrText>
      </w:r>
      <w:r>
        <w:rPr>
          <w:color w:val="000000"/>
          <w:sz w:val="20"/>
          <w:szCs w:val="20"/>
        </w:rPr>
        <w:instrText>-type name="Journal Article"&gt;17&lt;/ref-type&gt;&lt;contributors&gt;&lt;authors&gt;&lt;author&gt;Whiffin, Nicola&lt;/author&gt;&lt;author&gt;Minikel, Eric&lt;/author&gt;&lt;author&gt;Walsh, Roddy&lt;/author&gt;&lt;author&gt;O’Donnell-Luria, Anne H.&lt;/author&gt;&lt;author&gt;Karczewski, Konrad&lt;/author&gt;&lt;author&gt;Ing, Alexander Y</w:instrText>
      </w:r>
      <w:r>
        <w:rPr>
          <w:color w:val="000000"/>
          <w:sz w:val="20"/>
          <w:szCs w:val="20"/>
        </w:rPr>
        <w:instrText>.&lt;/author&gt;&lt;author&gt;Barton, Paul J. R.&lt;/author&gt;&lt;author&gt;Funke, Birgit&lt;/author&gt;&lt;author&gt;Cook, Stuart A.&lt;/author&gt;&lt;author&gt;MacArthur, Daniel&lt;/author&gt;&lt;author&gt;Ware, James S.&lt;/author&gt;&lt;/authors&gt;&lt;/contributors&gt;&lt;titles&gt;&lt;title&gt;Using high-resolution variant frequencies to</w:instrText>
      </w:r>
      <w:r>
        <w:rPr>
          <w:color w:val="000000"/>
          <w:sz w:val="20"/>
          <w:szCs w:val="20"/>
        </w:rPr>
        <w:instrText xml:space="preserve"> empower clinical genome interpretation&lt;/title&gt;&lt;secondary-title&gt;Genetics in Medicine&lt;/secondary-title&gt;&lt;/titles&gt;&lt;periodical&gt;&lt;full-title&gt;Genetics in Medicine&lt;/full-title&gt;&lt;/periodical&gt;&lt;pages&gt;1151-1158&lt;/pages&gt;&lt;volume&gt;19&lt;/volume&gt;&lt;number&gt;10&lt;/number&gt;&lt;dates&gt;&lt;year&gt;</w:instrText>
      </w:r>
      <w:r>
        <w:rPr>
          <w:color w:val="000000"/>
          <w:sz w:val="20"/>
          <w:szCs w:val="20"/>
        </w:rPr>
        <w:instrText>2017&lt;/year&gt;&lt;pub-dates&gt;&lt;date&gt;2017/10/01&lt;/date&gt;&lt;/pub-dates&gt;&lt;/dates&gt;&lt;isbn&gt;1530-0366&lt;/isbn&gt;&lt;urls&gt;&lt;related-urls&gt;&lt;url&gt;https://doi.org/10.1038/gim.2017.26&lt;/url&gt;&lt;/related-urls&gt;&lt;/urls&gt;&lt;electronic-resource-num&gt;10.1038/gim.2017.26&lt;/electronic-resource-num&gt;&lt;/record&gt;&lt;/</w:instrText>
      </w:r>
      <w:r>
        <w:rPr>
          <w:color w:val="000000"/>
          <w:sz w:val="20"/>
          <w:szCs w:val="20"/>
        </w:rPr>
        <w:instrText>Cite&gt;&lt;/EndNote&gt;</w:instrText>
      </w:r>
      <w:r>
        <w:rPr>
          <w:color w:val="000000"/>
          <w:sz w:val="20"/>
          <w:szCs w:val="20"/>
        </w:rPr>
        <w:fldChar w:fldCharType="separate"/>
      </w:r>
      <w:r>
        <w:rPr>
          <w:noProof/>
          <w:color w:val="000000"/>
          <w:sz w:val="20"/>
          <w:szCs w:val="20"/>
        </w:rPr>
        <w:t>[36]</w:t>
      </w:r>
      <w:r>
        <w:rPr>
          <w:color w:val="000000"/>
          <w:sz w:val="20"/>
          <w:szCs w:val="20"/>
        </w:rPr>
        <w:fldChar w:fldCharType="end"/>
      </w:r>
      <w:r>
        <w:rPr>
          <w:color w:val="000000"/>
          <w:sz w:val="20"/>
          <w:szCs w:val="20"/>
        </w:rPr>
        <w:t xml:space="preserve"> developed a statistical tool (</w:t>
      </w:r>
      <w:hyperlink r:id="rId8" w:history="1">
        <w:r>
          <w:rPr>
            <w:rStyle w:val="Hyperlink"/>
            <w:color w:val="000000"/>
            <w:sz w:val="20"/>
            <w:szCs w:val="20"/>
          </w:rPr>
          <w:t>http://cardiodb.org/allelefrequencyapp/</w:t>
        </w:r>
      </w:hyperlink>
      <w:r>
        <w:rPr>
          <w:color w:val="000000"/>
          <w:sz w:val="20"/>
          <w:szCs w:val="20"/>
        </w:rPr>
        <w:t>) for the frequency-based filtering of candidate variants accounting for disease prevalence, inheritance mod</w:t>
      </w:r>
      <w:r>
        <w:rPr>
          <w:color w:val="000000"/>
          <w:sz w:val="20"/>
          <w:szCs w:val="20"/>
        </w:rPr>
        <w:t>e, allelic heterogeneity, penetrance and sampling variance. The tool was shown to reduce candidate variants by two-thirds whilst maintaining sensitivity.</w:t>
      </w:r>
    </w:p>
    <w:p w:rsidR="00877997" w:rsidRDefault="00877997">
      <w:pPr>
        <w:rPr>
          <w:color w:val="000000"/>
          <w:sz w:val="20"/>
          <w:szCs w:val="20"/>
        </w:rPr>
      </w:pPr>
    </w:p>
    <w:p w:rsidR="00877997" w:rsidRDefault="00CB0676">
      <w:pPr>
        <w:rPr>
          <w:b/>
          <w:bCs/>
          <w:color w:val="000000"/>
          <w:sz w:val="20"/>
          <w:szCs w:val="20"/>
        </w:rPr>
      </w:pPr>
      <w:r>
        <w:rPr>
          <w:b/>
          <w:bCs/>
          <w:color w:val="000000"/>
          <w:sz w:val="20"/>
          <w:szCs w:val="20"/>
        </w:rPr>
        <w:t>Variant type</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Variant type</w:t>
      </w:r>
      <w:r>
        <w:rPr>
          <w:color w:val="000000"/>
          <w:sz w:val="20"/>
          <w:szCs w:val="20"/>
        </w:rPr>
        <w:t xml:space="preserve"> is an important consideration in variant analysis (</w:t>
      </w:r>
      <w:r>
        <w:rPr>
          <w:b/>
          <w:color w:val="000000"/>
          <w:sz w:val="20"/>
          <w:szCs w:val="20"/>
        </w:rPr>
        <w:t>Table 1</w:t>
      </w:r>
      <w:r>
        <w:rPr>
          <w:color w:val="000000"/>
          <w:sz w:val="20"/>
          <w:szCs w:val="20"/>
        </w:rPr>
        <w:t xml:space="preserve">). Coding variants are usually considered first, although splicing variants and indels may impact both coding and non-coding regions. Loss-of-function variants (frameshift, stop-gain and essential </w:t>
      </w:r>
      <w:r>
        <w:rPr>
          <w:color w:val="000000"/>
          <w:sz w:val="20"/>
          <w:szCs w:val="20"/>
        </w:rPr>
        <w:t>splice-site) are regarded as the most pathogenic coding variants and are rarer compared to all other variant types. However, they are enriched for technical artefacts and many of these error types are not accounted for by current curation guidelines</w:t>
      </w:r>
      <w:r>
        <w:rPr>
          <w:color w:val="000000"/>
          <w:sz w:val="20"/>
          <w:szCs w:val="20"/>
        </w:rPr>
        <w:fldChar w:fldCharType="begin"/>
      </w:r>
      <w:r>
        <w:rPr>
          <w:color w:val="000000"/>
          <w:sz w:val="20"/>
          <w:szCs w:val="20"/>
        </w:rPr>
        <w:instrText xml:space="preserve"> ADDIN </w:instrText>
      </w:r>
      <w:r>
        <w:rPr>
          <w:color w:val="000000"/>
          <w:sz w:val="20"/>
          <w:szCs w:val="20"/>
        </w:rPr>
        <w:instrText xml:space="preserve">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[35, 37]</w:t>
      </w:r>
      <w:r>
        <w:rPr>
          <w:color w:val="000000"/>
          <w:sz w:val="20"/>
          <w:szCs w:val="20"/>
        </w:rPr>
        <w:fldChar w:fldCharType="end"/>
      </w:r>
      <w:r>
        <w:rPr>
          <w:color w:val="000000"/>
          <w:sz w:val="20"/>
          <w:szCs w:val="20"/>
        </w:rPr>
        <w:t>. Missense variants are scattered across disease genes in healthy populations, challenging their interpretation. Regional missense constraint metrics are helping to prioritise candidates</w:t>
      </w:r>
      <w:r>
        <w:rPr>
          <w:color w:val="000000"/>
          <w:sz w:val="20"/>
          <w:szCs w:val="20"/>
        </w:rPr>
        <w:fldChar w:fldCharType="begin"/>
      </w:r>
      <w:r>
        <w:rPr>
          <w:color w:val="000000"/>
          <w:sz w:val="20"/>
          <w:szCs w:val="20"/>
        </w:rPr>
        <w:instrText xml:space="preserve"> ADDIN EN.CITE &lt;EndNote&gt;&lt;Cit</w:instrText>
      </w:r>
      <w:r>
        <w:rPr>
          <w:color w:val="000000"/>
          <w:sz w:val="20"/>
          <w:szCs w:val="20"/>
        </w:rPr>
        <w:instrText>e&gt;&lt;Author&gt;Havrilla&lt;/Author&gt;&lt;Year&gt;2019&lt;/Year&gt;&lt;RecNum&gt;35&lt;/RecNum&gt;&lt;DisplayText&gt;[38, 39]&lt;/DisplayText&gt;&lt;record&gt;&lt;rec-number&gt;35&lt;/rec-number&gt;&lt;foreign-keys&gt;&lt;key app="EN" db-id="d0vstffei2ze5sew5fwxp0dq9zxs5pvvsxpv" timestamp="1579863934"&gt;35&lt;/key&gt;&lt;/foreign-keys&gt;&lt;ref</w:instrText>
      </w:r>
      <w:r>
        <w:rPr>
          <w:color w:val="000000"/>
          <w:sz w:val="20"/>
          <w:szCs w:val="20"/>
        </w:rPr>
        <w:instrText>-type name="Journal Article"&gt;17&lt;/ref-type&gt;&lt;contributors&gt;&lt;authors&gt;&lt;author&gt;Havrilla, James M.&lt;/author&gt;&lt;author&gt;Pedersen, Brent S.&lt;/author&gt;&lt;author&gt;Layer, Ryan M.&lt;/author&gt;&lt;author&gt;Quinlan, Aaron R.&lt;/author&gt;&lt;/authors&gt;&lt;/contributors&gt;&lt;titles&gt;&lt;title&gt;A map of constra</w:instrText>
      </w:r>
      <w:r>
        <w:rPr>
          <w:color w:val="000000"/>
          <w:sz w:val="20"/>
          <w:szCs w:val="20"/>
        </w:rPr>
        <w:instrText>ined coding regions in the human genome&lt;/title&gt;&lt;secondary-title&gt;Nature Genetics&lt;/secondary-title&gt;&lt;/titles&gt;&lt;periodical&gt;&lt;full-title&gt;Nature genetics&lt;/full-title&gt;&lt;/periodical&gt;&lt;pages&gt;88-95&lt;/pages&gt;&lt;volume&gt;51&lt;/volume&gt;&lt;number&gt;1&lt;/number&gt;&lt;dates&gt;&lt;year&gt;2019&lt;/year&gt;&lt;pub</w:instrText>
      </w:r>
      <w:r>
        <w:rPr>
          <w:color w:val="000000"/>
          <w:sz w:val="20"/>
          <w:szCs w:val="20"/>
        </w:rPr>
        <w:instrText>-dates&gt;&lt;date&gt;2019/01/01&lt;/date&gt;&lt;/pub-dates&gt;&lt;/dates&gt;&lt;isbn&gt;1546-1718&lt;/isbn&gt;&lt;urls&gt;&lt;related-urls&gt;&lt;url&gt;https://doi.org/10.1038/s41588-018-0294-6&lt;/url&gt;&lt;/related-urls&gt;&lt;/urls&gt;&lt;electronic-resource-num&gt;10.1038/s41588-018-0294-6&lt;/electronic-resource-num&gt;&lt;/record&gt;&lt;/Cit</w:instrText>
      </w:r>
      <w:r>
        <w:rPr>
          <w:color w:val="000000"/>
          <w:sz w:val="20"/>
          <w:szCs w:val="20"/>
        </w:rPr>
        <w:instrText>e&gt;&lt;Cite&gt;&lt;Author&gt;Samocha&lt;/Author&gt;&lt;Year&gt;2017&lt;/Year&gt;&lt;RecNum&gt;60&lt;/RecNum&gt;&lt;record&gt;&lt;rec-number&gt;60&lt;/rec-number&gt;&lt;foreign-keys&gt;&lt;key app="EN" db-id="d0vstffei2ze5sew5fwxp0dq9zxs5pvvsxpv" timestamp="1579956116"&gt;60&lt;/key&gt;&lt;/foreign-keys&gt;&lt;ref-type name="Journal Article"&gt;1</w:instrText>
      </w:r>
      <w:r>
        <w:rPr>
          <w:color w:val="000000"/>
          <w:sz w:val="20"/>
          <w:szCs w:val="20"/>
        </w:rPr>
        <w:instrText>7&lt;/ref-type&gt;&lt;contributors&gt;&lt;authors&gt;&lt;author&gt;Samocha, Kaitlin E&lt;/author&gt;&lt;author&gt;Kosmicki, Jack A&lt;/author&gt;&lt;author&gt;Karczewski, Konrad J&lt;/author&gt;&lt;author&gt;O&amp;apos;Donnell-Luria, Anne H&lt;/author&gt;&lt;author&gt;Pierce-Hoffman, Emma&lt;/author&gt;&lt;author&gt;MacArthur, Daniel G&lt;/autho</w:instrText>
      </w:r>
      <w:r>
        <w:rPr>
          <w:color w:val="000000"/>
          <w:sz w:val="20"/>
          <w:szCs w:val="20"/>
        </w:rPr>
        <w:instrText>r&gt;&lt;author&gt;Neale, Benjamin M&lt;/author&gt;&lt;author&gt;Daly, Mark J&lt;/author&gt;&lt;/authors&gt;&lt;/contributors&gt;&lt;titles&gt;&lt;title&gt;Regional missense constraint improves variant deleteriousness prediction&lt;/title&gt;&lt;secondary-title&gt;BioRxiv&lt;/secondary-title&gt;&lt;/titles&gt;&lt;periodical&gt;&lt;full-ti</w:instrText>
      </w:r>
      <w:r>
        <w:rPr>
          <w:color w:val="000000"/>
          <w:sz w:val="20"/>
          <w:szCs w:val="20"/>
        </w:rPr>
        <w:instrText>tle&gt;bioRxiv&lt;/full-title&gt;&lt;/periodical&gt;&lt;pages&gt;148353&lt;/pages&gt;&lt;dates&gt;&lt;year&gt;2017&lt;/year&gt;&lt;/dates&gt;&lt;urls&gt;&lt;/urls&gt;&lt;/record&gt;&lt;/Cite&gt;&lt;/EndNote&gt;</w:instrText>
      </w:r>
      <w:r>
        <w:rPr>
          <w:color w:val="000000"/>
          <w:sz w:val="20"/>
          <w:szCs w:val="20"/>
        </w:rPr>
        <w:fldChar w:fldCharType="separate"/>
      </w:r>
      <w:r>
        <w:rPr>
          <w:noProof/>
          <w:color w:val="000000"/>
          <w:sz w:val="20"/>
          <w:szCs w:val="20"/>
        </w:rPr>
        <w:t>[38, 39]</w:t>
      </w:r>
      <w:r>
        <w:rPr>
          <w:color w:val="000000"/>
          <w:sz w:val="20"/>
          <w:szCs w:val="20"/>
        </w:rPr>
        <w:fldChar w:fldCharType="end"/>
      </w:r>
      <w:r>
        <w:rPr>
          <w:color w:val="000000"/>
          <w:sz w:val="20"/>
          <w:szCs w:val="20"/>
        </w:rPr>
        <w:t>. Splicing variants (exonic and intronic) can augment regulatory domains within mRNA, particularly those controlling</w:t>
      </w:r>
      <w:r>
        <w:rPr>
          <w:color w:val="000000"/>
          <w:sz w:val="20"/>
          <w:szCs w:val="20"/>
        </w:rPr>
        <w:t xml:space="preserve"> splicing and may also influence translation</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[40, 41]</w:t>
      </w:r>
      <w:r>
        <w:rPr>
          <w:color w:val="000000"/>
          <w:sz w:val="20"/>
          <w:szCs w:val="20"/>
        </w:rPr>
        <w:fldChar w:fldCharType="end"/>
      </w:r>
      <w:r>
        <w:rPr>
          <w:color w:val="000000"/>
          <w:sz w:val="20"/>
          <w:szCs w:val="20"/>
        </w:rPr>
        <w:t xml:space="preserve">. However, these are difficult to assess beyond the canonical splice site and many </w:t>
      </w:r>
      <w:r>
        <w:rPr>
          <w:i/>
          <w:color w:val="000000"/>
          <w:sz w:val="20"/>
          <w:szCs w:val="20"/>
        </w:rPr>
        <w:t>in silico</w:t>
      </w:r>
      <w:r>
        <w:rPr>
          <w:color w:val="000000"/>
          <w:sz w:val="20"/>
          <w:szCs w:val="20"/>
        </w:rPr>
        <w:t xml:space="preserve"> tools perform poorly</w:t>
      </w:r>
      <w:r>
        <w:rPr>
          <w:color w:val="000000"/>
          <w:sz w:val="20"/>
          <w:szCs w:val="20"/>
        </w:rPr>
        <w:fldChar w:fldCharType="begin"/>
      </w:r>
      <w:r>
        <w:rPr>
          <w:color w:val="000000"/>
          <w:sz w:val="20"/>
          <w:szCs w:val="20"/>
        </w:rPr>
        <w:instrText xml:space="preserve"> ADDIN EN.CITE &lt;EndNote&gt;&lt;Cite&gt;&lt;Author&gt;Bao&lt;/Author&gt;</w:instrText>
      </w:r>
      <w:r>
        <w:rPr>
          <w:color w:val="000000"/>
          <w:sz w:val="20"/>
          <w:szCs w:val="20"/>
        </w:rPr>
        <w:instrText>&lt;Year&gt;2019&lt;/Year&gt;&lt;RecNum&gt;102&lt;/RecNum&gt;&lt;DisplayText&gt;[42, 43]&lt;/DisplayText&gt;&lt;record&gt;&lt;rec-number&gt;102&lt;/rec-number&gt;&lt;foreign-keys&gt;&lt;key app="EN" db-id="d0vstffei2ze5sew5fwxp0dq9zxs5pvvsxpv" timestamp="1580729462"&gt;102&lt;/key&gt;&lt;/foreign-keys&gt;&lt;ref-type name="Journal Arti</w:instrText>
      </w:r>
      <w:r>
        <w:rPr>
          <w:color w:val="000000"/>
          <w:sz w:val="20"/>
          <w:szCs w:val="20"/>
        </w:rPr>
        <w:instrText>cle"&gt;17&lt;/ref-type&gt;&lt;contributors&gt;&lt;authors&gt;&lt;author&gt;Bao, Suying&lt;/author&gt;&lt;author&gt;Moakley, Daniel F&lt;/author&gt;&lt;author&gt;Zhang, Chaolin&lt;/author&gt;&lt;/authors&gt;&lt;/contributors&gt;&lt;titles&gt;&lt;title&gt;The splicing code goes deep&lt;/title&gt;&lt;secondary-title&gt;Cell&lt;/secondary-title&gt;&lt;/titles</w:instrText>
      </w:r>
      <w:r>
        <w:rPr>
          <w:color w:val="000000"/>
          <w:sz w:val="20"/>
          <w:szCs w:val="20"/>
        </w:rPr>
        <w:instrText>&gt;&lt;periodical&gt;&lt;full-title&gt;Cell&lt;/full-title&gt;&lt;/periodical&gt;&lt;pages&gt;414-416&lt;/pages&gt;&lt;volume&gt;176&lt;/volume&gt;&lt;number&gt;3&lt;/number&gt;&lt;dates&gt;&lt;year&gt;2019&lt;/year&gt;&lt;/dates&gt;&lt;isbn&gt;0092-8674&lt;/isbn&gt;&lt;urls&gt;&lt;/urls&gt;&lt;/record&gt;&lt;/Cite&gt;&lt;Cite&gt;&lt;Author&gt;Wai&lt;/Author&gt;&lt;Year&gt;2020&lt;/Year&gt;&lt;RecNum&gt;113&lt;/Re</w:instrText>
      </w:r>
      <w:r>
        <w:rPr>
          <w:color w:val="000000"/>
          <w:sz w:val="20"/>
          <w:szCs w:val="20"/>
        </w:rPr>
        <w:instrText>cNum&gt;&lt;record&gt;&lt;rec-number&gt;113&lt;/rec-number&gt;&lt;foreign-keys&gt;&lt;key app="EN" db-id="d0vstffei2ze5sew5fwxp0dq9zxs5pvvsxpv" timestamp="1583771840"&gt;113&lt;/key&gt;&lt;/foreign-keys&gt;&lt;ref-type name="Journal Article"&gt;17&lt;/ref-type&gt;&lt;contributors&gt;&lt;authors&gt;&lt;author&gt;Wai, Htoo A&lt;/autho</w:instrText>
      </w:r>
      <w:r>
        <w:rPr>
          <w:color w:val="000000"/>
          <w:sz w:val="20"/>
          <w:szCs w:val="20"/>
        </w:rPr>
        <w:instrText>r&gt;&lt;author&gt;Lord, Jenny&lt;/author&gt;&lt;author&gt;Lyon, Matthew&lt;/author&gt;&lt;author&gt;Gunning, Adam&lt;/author&gt;&lt;author&gt;Kelly, Hugh&lt;/author&gt;&lt;author&gt;Cibin, Penelope&lt;/author&gt;&lt;author&gt;Seaby, Eleanor G&lt;/author&gt;&lt;author&gt;Spiers-Fitzgerald, Kerry&lt;/author&gt;&lt;author&gt;Lye, Jed&lt;/author&gt;&lt;author</w:instrText>
      </w:r>
      <w:r>
        <w:rPr>
          <w:color w:val="000000"/>
          <w:sz w:val="20"/>
          <w:szCs w:val="20"/>
        </w:rPr>
        <w:instrText>&gt;Ellard, Sian&lt;/author&gt;&lt;/authors&gt;&lt;/contributors&gt;&lt;titles&gt;&lt;title&gt;Blood RNA analysis can increase clinical diagnostic rate and resolve variants of uncertain significance&lt;/title&gt;&lt;secondary-title&gt;Genetics in Medicine&lt;/secondary-title&gt;&lt;/titles&gt;&lt;periodical&gt;&lt;full-t</w:instrText>
      </w:r>
      <w:r>
        <w:rPr>
          <w:color w:val="000000"/>
          <w:sz w:val="20"/>
          <w:szCs w:val="20"/>
        </w:rPr>
        <w:instrText>itle&gt;Genetics in Medicine&lt;/full-title&gt;&lt;/periodical&gt;&lt;pages&gt;1-10&lt;/pages&gt;&lt;dates&gt;&lt;year&gt;2020&lt;/year&gt;&lt;/dates&gt;&lt;isbn&gt;1530-0366&lt;/isbn&gt;&lt;urls&gt;&lt;/urls&gt;&lt;/record&gt;&lt;/Cite&gt;&lt;/EndNote&gt;</w:instrText>
      </w:r>
      <w:r>
        <w:rPr>
          <w:color w:val="000000"/>
          <w:sz w:val="20"/>
          <w:szCs w:val="20"/>
        </w:rPr>
        <w:fldChar w:fldCharType="separate"/>
      </w:r>
      <w:r>
        <w:rPr>
          <w:noProof/>
          <w:color w:val="000000"/>
          <w:sz w:val="20"/>
          <w:szCs w:val="20"/>
        </w:rPr>
        <w:t>[42, 43]</w:t>
      </w:r>
      <w:r>
        <w:rPr>
          <w:color w:val="000000"/>
          <w:sz w:val="20"/>
          <w:szCs w:val="20"/>
        </w:rPr>
        <w:fldChar w:fldCharType="end"/>
      </w:r>
      <w:r>
        <w:rPr>
          <w:color w:val="000000"/>
          <w:sz w:val="20"/>
          <w:szCs w:val="20"/>
        </w:rPr>
        <w:t>. That said, recent splicing libraries are widening the biological understanding o</w:t>
      </w:r>
      <w:r>
        <w:rPr>
          <w:color w:val="000000"/>
          <w:sz w:val="20"/>
          <w:szCs w:val="20"/>
        </w:rPr>
        <w:t>f splicing variants and these can be used to train splicing models</w:t>
      </w:r>
      <w:r>
        <w:rPr>
          <w:color w:val="000000"/>
          <w:sz w:val="20"/>
          <w:szCs w:val="20"/>
        </w:rPr>
        <w:fldChar w:fldCharType="begin"/>
      </w:r>
      <w:r>
        <w:rPr>
          <w:color w:val="000000"/>
          <w:sz w:val="20"/>
          <w:szCs w:val="20"/>
        </w:rPr>
        <w:instrText xml:space="preserve"> ADDIN EN.CITE &lt;EndNote&gt;&lt;Cite&gt;&lt;Author&gt;Soemedi&lt;/Author&gt;&lt;Year&gt;2017&lt;/Year&gt;&lt;RecNum&gt;112&lt;/RecNum&gt;&lt;DisplayText&gt;[44, 45]&lt;/DisplayText&gt;&lt;record&gt;&lt;rec-number&gt;112&lt;/rec-number&gt;&lt;foreign-keys&gt;&lt;key app="EN" </w:instrText>
      </w:r>
      <w:r>
        <w:rPr>
          <w:color w:val="000000"/>
          <w:sz w:val="20"/>
          <w:szCs w:val="20"/>
        </w:rPr>
        <w:instrText>db-id="d0vstffei2ze5sew5fwxp0dq9zxs5pvvsxpv" timestamp="1583770460"&gt;112&lt;/key&gt;&lt;/foreign-keys&gt;&lt;ref-type name="Journal Article"&gt;17&lt;/ref-type&gt;&lt;contributors&gt;&lt;authors&gt;&lt;author&gt;Soemedi, Rachel&lt;/author&gt;&lt;author&gt;Cygan, Kamil J&lt;/author&gt;&lt;author&gt;Rhine, Christy L&lt;/author</w:instrText>
      </w:r>
      <w:r>
        <w:rPr>
          <w:color w:val="000000"/>
          <w:sz w:val="20"/>
          <w:szCs w:val="20"/>
        </w:rPr>
        <w:instrText>&gt;&lt;author&gt;Wang, Jing&lt;/author&gt;&lt;author&gt;Bulacan, Charlston&lt;/author&gt;&lt;author&gt;Yang, John&lt;/author&gt;&lt;author&gt;Bayrak-Toydemir, Pinar&lt;/author&gt;&lt;author&gt;McDonald, Jamie&lt;/author&gt;&lt;author&gt;Fairbrother, William G&lt;/author&gt;&lt;/authors&gt;&lt;/contributors&gt;&lt;titles&gt;&lt;title&gt;Pathogenic varia</w:instrText>
      </w:r>
      <w:r>
        <w:rPr>
          <w:color w:val="000000"/>
          <w:sz w:val="20"/>
          <w:szCs w:val="20"/>
        </w:rPr>
        <w:instrText>nts that alter protein code often disrupt splicing&lt;/title&gt;&lt;secondary-title&gt;Nature genetics&lt;/secondary-title&gt;&lt;/titles&gt;&lt;periodical&gt;&lt;full-title&gt;Nature genetics&lt;/full-title&gt;&lt;/periodical&gt;&lt;pages&gt;848&lt;/pages&gt;&lt;volume&gt;49&lt;/volume&gt;&lt;number&gt;6&lt;/number&gt;&lt;dates&gt;&lt;year&gt;2017&lt;/</w:instrText>
      </w:r>
      <w:r>
        <w:rPr>
          <w:color w:val="000000"/>
          <w:sz w:val="20"/>
          <w:szCs w:val="20"/>
        </w:rPr>
        <w:instrText>year&gt;&lt;/dates&gt;&lt;isbn&gt;1546-1718&lt;/isbn&gt;&lt;urls&gt;&lt;/urls&gt;&lt;/record&gt;&lt;/Cite&gt;&lt;Cite&gt;&lt;Author&gt;Adamson&lt;/Author&gt;&lt;Year&gt;2018&lt;/Year&gt;&lt;RecNum&gt;114&lt;/RecNum&gt;&lt;record&gt;&lt;rec-number&gt;114&lt;/rec-number&gt;&lt;foreign-keys&gt;&lt;key app="EN" db-id="d0vstffei2ze5sew5fwxp0dq9zxs5pvvsxpv" timestamp="15837</w:instrText>
      </w:r>
      <w:r>
        <w:rPr>
          <w:color w:val="000000"/>
          <w:sz w:val="20"/>
          <w:szCs w:val="20"/>
        </w:rPr>
        <w:instrText>73345"&gt;114&lt;/key&gt;&lt;/foreign-keys&gt;&lt;ref-type name="Journal Article"&gt;17&lt;/ref-type&gt;&lt;contributors&gt;&lt;authors&gt;&lt;author&gt;Adamson, Scott I&lt;/author&gt;&lt;author&gt;Zhan, Lijun&lt;/author&gt;&lt;author&gt;Graveley, Brenton R&lt;/author&gt;&lt;/authors&gt;&lt;/contributors&gt;&lt;titles&gt;&lt;title&gt;Vex-seq: high-throu</w:instrText>
      </w:r>
      <w:r>
        <w:rPr>
          <w:color w:val="000000"/>
          <w:sz w:val="20"/>
          <w:szCs w:val="20"/>
        </w:rPr>
        <w:instrText>ghput identification of the impact of genetic variation on pre-mRNA splicing efficiency&lt;/title&gt;&lt;secondary-title&gt;Genome biology&lt;/secondary-title&gt;&lt;/titles&gt;&lt;periodical&gt;&lt;full-title&gt;Genome Biology&lt;/full-title&gt;&lt;/periodical&gt;&lt;pages&gt;71&lt;/pages&gt;&lt;volume&gt;19&lt;/volume&gt;&lt;nu</w:instrText>
      </w:r>
      <w:r>
        <w:rPr>
          <w:color w:val="000000"/>
          <w:sz w:val="20"/>
          <w:szCs w:val="20"/>
        </w:rPr>
        <w:instrText>mber&gt;1&lt;/number&gt;&lt;dates&gt;&lt;year&gt;2018&lt;/year&gt;&lt;/dates&gt;&lt;isbn&gt;1474-760X&lt;/isbn&gt;&lt;urls&gt;&lt;/urls&gt;&lt;/record&gt;&lt;/Cite&gt;&lt;/EndNote&gt;</w:instrText>
      </w:r>
      <w:r>
        <w:rPr>
          <w:color w:val="000000"/>
          <w:sz w:val="20"/>
          <w:szCs w:val="20"/>
        </w:rPr>
        <w:fldChar w:fldCharType="separate"/>
      </w:r>
      <w:r>
        <w:rPr>
          <w:noProof/>
          <w:color w:val="000000"/>
          <w:sz w:val="20"/>
          <w:szCs w:val="20"/>
        </w:rPr>
        <w:t>[44, 45]</w:t>
      </w:r>
      <w:r>
        <w:rPr>
          <w:color w:val="000000"/>
          <w:sz w:val="20"/>
          <w:szCs w:val="20"/>
        </w:rPr>
        <w:fldChar w:fldCharType="end"/>
      </w:r>
      <w:r>
        <w:rPr>
          <w:color w:val="000000"/>
          <w:sz w:val="20"/>
          <w:szCs w:val="20"/>
        </w:rPr>
        <w:t xml:space="preserve">. Synonymous variants are often discarded but are not benign by default and show a degree of </w:t>
      </w:r>
      <w:r>
        <w:rPr>
          <w:color w:val="000000"/>
          <w:sz w:val="20"/>
          <w:szCs w:val="20"/>
        </w:rPr>
        <w:lastRenderedPageBreak/>
        <w:t>selective pressure. These variants can alter</w:t>
      </w:r>
      <w:r>
        <w:rPr>
          <w:color w:val="000000"/>
          <w:sz w:val="20"/>
          <w:szCs w:val="20"/>
        </w:rPr>
        <w:t xml:space="preserve"> the consensus sequence around splice sites and may also augment translation</w:t>
      </w:r>
      <w:r>
        <w:rPr>
          <w:color w:val="000000"/>
          <w:sz w:val="20"/>
          <w:szCs w:val="20"/>
        </w:rPr>
        <w:fldChar w:fldCharType="begin"/>
      </w:r>
      <w:r>
        <w:rPr>
          <w:color w:val="000000"/>
          <w:sz w:val="20"/>
          <w:szCs w:val="20"/>
        </w:rPr>
        <w:instrText xml:space="preserve"> ADDIN EN.CITE &lt;EndNote&gt;&lt;Cite&gt;&lt;Author&gt;Hurst&lt;/Author&gt;&lt;Year&gt;2011&lt;/Year&gt;&lt;RecNum&gt;84&lt;/RecNum&gt;&lt;DisplayText&gt;[40]&lt;/DisplayText&gt;&lt;record&gt;&lt;rec-number&gt;84&lt;/rec-number&gt;&lt;foreign-keys&gt;&lt;key app="EN</w:instrText>
      </w:r>
      <w:r>
        <w:rPr>
          <w:color w:val="000000"/>
          <w:sz w:val="20"/>
          <w:szCs w:val="20"/>
        </w:rPr>
        <w:instrText>" db-id="d0vstffei2ze5sew5fwxp0dq9zxs5pvvsxpv" timestamp="1580641820"&gt;84&lt;/key&gt;&lt;/foreign-keys&gt;&lt;ref-type name="Journal Article"&gt;17&lt;/ref-type&gt;&lt;contributors&gt;&lt;authors&gt;&lt;author&gt;Hurst, Laurence D.&lt;/author&gt;&lt;/authors&gt;&lt;/contributors&gt;&lt;titles&gt;&lt;title&gt;The sound of silenc</w:instrText>
      </w:r>
      <w:r>
        <w:rPr>
          <w:color w:val="000000"/>
          <w:sz w:val="20"/>
          <w:szCs w:val="20"/>
        </w:rPr>
        <w:instrText>e&lt;/title&gt;&lt;secondary-title&gt;Nature&lt;/secondary-title&gt;&lt;/titles&gt;&lt;periodical&gt;&lt;full-title&gt;Nature&lt;/full-title&gt;&lt;/periodical&gt;&lt;pages&gt;582-583&lt;/pages&gt;&lt;volume&gt;471&lt;/volume&gt;&lt;number&gt;7340&lt;/number&gt;&lt;dates&gt;&lt;year&gt;2011&lt;/year&gt;&lt;pub-dates&gt;&lt;date&gt;2011/03/01&lt;/date&gt;&lt;/pub-dates&gt;&lt;/dates&gt;</w:instrText>
      </w:r>
      <w:r>
        <w:rPr>
          <w:color w:val="000000"/>
          <w:sz w:val="20"/>
          <w:szCs w:val="20"/>
        </w:rPr>
        <w:instrText>&lt;isbn&gt;1476-4687&lt;/isbn&gt;&lt;urls&gt;&lt;related-urls&gt;&lt;url&gt;https://doi.org/10.1038/471582a&lt;/url&gt;&lt;/related-urls&gt;&lt;/urls&gt;&lt;electronic-resource-num&gt;10.1038/471582a&lt;/electronic-resource-num&gt;&lt;/record&gt;&lt;/Cite&gt;&lt;/EndNote&gt;</w:instrText>
      </w:r>
      <w:r>
        <w:rPr>
          <w:color w:val="000000"/>
          <w:sz w:val="20"/>
          <w:szCs w:val="20"/>
        </w:rPr>
        <w:fldChar w:fldCharType="separate"/>
      </w:r>
      <w:r>
        <w:rPr>
          <w:noProof/>
          <w:color w:val="000000"/>
          <w:sz w:val="20"/>
          <w:szCs w:val="20"/>
        </w:rPr>
        <w:t>[40]</w:t>
      </w:r>
      <w:r>
        <w:rPr>
          <w:color w:val="000000"/>
          <w:sz w:val="20"/>
          <w:szCs w:val="20"/>
        </w:rPr>
        <w:fldChar w:fldCharType="end"/>
      </w:r>
      <w:r>
        <w:rPr>
          <w:color w:val="000000"/>
          <w:sz w:val="20"/>
          <w:szCs w:val="20"/>
        </w:rPr>
        <w:t>. Short indels spanning coding regions may result i</w:t>
      </w:r>
      <w:r>
        <w:rPr>
          <w:color w:val="000000"/>
          <w:sz w:val="20"/>
          <w:szCs w:val="20"/>
        </w:rPr>
        <w:t>n loss-of-function, sequence truncation/elongation, or splicing events. Yet these are often poorly resolved and aligned</w:t>
      </w:r>
      <w:r>
        <w:rPr>
          <w:color w:val="000000"/>
          <w:sz w:val="20"/>
          <w:szCs w:val="20"/>
        </w:rPr>
        <w:fldChar w:fldCharType="begin"/>
      </w:r>
      <w:r>
        <w:rPr>
          <w:color w:val="000000"/>
          <w:sz w:val="20"/>
          <w:szCs w:val="20"/>
        </w:rPr>
        <w:instrText xml:space="preserve"> ADDIN EN.CITE &lt;EndNote&gt;&lt;Cite&gt;&lt;Author&gt;Lin&lt;/Author&gt;&lt;Year&gt;2017&lt;/Year&gt;&lt;RecNum&gt;89&lt;/RecNum&gt;&lt;DisplayText&gt;[46]&lt;/DisplayText&gt;&lt;record&gt;&lt;rec-number&gt;</w:instrText>
      </w:r>
      <w:r>
        <w:rPr>
          <w:color w:val="000000"/>
          <w:sz w:val="20"/>
          <w:szCs w:val="20"/>
        </w:rPr>
        <w:instrText>89&lt;/rec-number&gt;&lt;foreign-keys&gt;&lt;key app="EN" db-id="d0vstffei2ze5sew5fwxp0dq9zxs5pvvsxpv" timestamp="1580655826"&gt;89&lt;/key&gt;&lt;/foreign-keys&gt;&lt;ref-type name="Journal Article"&gt;17&lt;/ref-type&gt;&lt;contributors&gt;&lt;authors&gt;&lt;author&gt;Lin, Maoxuan&lt;/author&gt;&lt;author&gt;Whitmire, Sarah&lt;</w:instrText>
      </w:r>
      <w:r>
        <w:rPr>
          <w:color w:val="000000"/>
          <w:sz w:val="20"/>
          <w:szCs w:val="20"/>
        </w:rPr>
        <w:instrText>/author&gt;&lt;author&gt;Chen, Jing&lt;/author&gt;&lt;author&gt;Farrel, Alvin&lt;/author&gt;&lt;author&gt;Shi, Xinghua&lt;/author&gt;&lt;author&gt;Guo, Jun-tao&lt;/author&gt;&lt;/authors&gt;&lt;/contributors&gt;&lt;titles&gt;&lt;title&gt;Effects of short indels on protein structure and function in human genomes&lt;/title&gt;&lt;secondary-</w:instrText>
      </w:r>
      <w:r>
        <w:rPr>
          <w:color w:val="000000"/>
          <w:sz w:val="20"/>
          <w:szCs w:val="20"/>
        </w:rPr>
        <w:instrText>title&gt;Scientific Reports&lt;/secondary-title&gt;&lt;/titles&gt;&lt;periodical&gt;&lt;full-title&gt;Scientific Reports&lt;/full-title&gt;&lt;/periodical&gt;&lt;pages&gt;9313&lt;/pages&gt;&lt;volume&gt;7&lt;/volume&gt;&lt;number&gt;1&lt;/number&gt;&lt;dates&gt;&lt;year&gt;2017&lt;/year&gt;&lt;pub-dates&gt;&lt;date&gt;2017/08/24&lt;/date&gt;&lt;/pub-dates&gt;&lt;/dates&gt;&lt;isb</w:instrText>
      </w:r>
      <w:r>
        <w:rPr>
          <w:color w:val="000000"/>
          <w:sz w:val="20"/>
          <w:szCs w:val="20"/>
        </w:rPr>
        <w:instrText>n&gt;2045-2322&lt;/isbn&gt;&lt;urls&gt;&lt;related-urls&gt;&lt;url&gt;https://doi.org/10.1038/s41598-017-09287-x&lt;/url&gt;&lt;/related-urls&gt;&lt;/urls&gt;&lt;electronic-resource-num&gt;10.1038/s41598-017-09287-x&lt;/electronic-resource-num&gt;&lt;/record&gt;&lt;/Cite&gt;&lt;/EndNote&gt;</w:instrText>
      </w:r>
      <w:r>
        <w:rPr>
          <w:color w:val="000000"/>
          <w:sz w:val="20"/>
          <w:szCs w:val="20"/>
        </w:rPr>
        <w:fldChar w:fldCharType="separate"/>
      </w:r>
      <w:r>
        <w:rPr>
          <w:noProof/>
          <w:color w:val="000000"/>
          <w:sz w:val="20"/>
          <w:szCs w:val="20"/>
        </w:rPr>
        <w:t>[46]</w:t>
      </w:r>
      <w:r>
        <w:rPr>
          <w:color w:val="000000"/>
          <w:sz w:val="20"/>
          <w:szCs w:val="20"/>
        </w:rPr>
        <w:fldChar w:fldCharType="end"/>
      </w:r>
      <w:r>
        <w:rPr>
          <w:color w:val="000000"/>
          <w:sz w:val="20"/>
          <w:szCs w:val="20"/>
        </w:rPr>
        <w:t>. Non-coding variation is conside</w:t>
      </w:r>
      <w:r>
        <w:rPr>
          <w:color w:val="000000"/>
          <w:sz w:val="20"/>
          <w:szCs w:val="20"/>
        </w:rPr>
        <w:t>red later in this review.</w:t>
      </w:r>
    </w:p>
    <w:p w:rsidR="00877997" w:rsidRDefault="00877997">
      <w:pPr>
        <w:spacing w:line="360" w:lineRule="auto"/>
        <w:rPr>
          <w:color w:val="000000"/>
          <w:sz w:val="20"/>
          <w:szCs w:val="20"/>
        </w:rPr>
      </w:pPr>
    </w:p>
    <w:p w:rsidR="00877997" w:rsidRDefault="00CB0676">
      <w:pPr>
        <w:spacing w:line="360" w:lineRule="auto"/>
        <w:rPr>
          <w:b/>
          <w:color w:val="000000"/>
          <w:sz w:val="22"/>
          <w:szCs w:val="20"/>
        </w:rPr>
      </w:pPr>
      <w:r>
        <w:rPr>
          <w:b/>
          <w:color w:val="000000"/>
          <w:sz w:val="20"/>
          <w:szCs w:val="20"/>
        </w:rPr>
        <w:t xml:space="preserve">Table 1 | </w:t>
      </w:r>
      <w:r>
        <w:rPr>
          <w:color w:val="000000"/>
          <w:sz w:val="20"/>
          <w:szCs w:val="16"/>
        </w:rPr>
        <w:t>Variant classes including occurrence, consequence and considerations.</w:t>
      </w:r>
    </w:p>
    <w:tbl>
      <w:tblPr>
        <w:tblStyle w:val="PlainTable3"/>
        <w:tblW w:w="5000" w:type="pct"/>
        <w:tblLook w:val="04A0" w:firstRow="1" w:lastRow="0" w:firstColumn="1" w:lastColumn="0" w:noHBand="0" w:noVBand="1"/>
      </w:tblPr>
      <w:tblGrid>
        <w:gridCol w:w="1534"/>
        <w:gridCol w:w="1534"/>
        <w:gridCol w:w="1534"/>
        <w:gridCol w:w="1533"/>
        <w:gridCol w:w="3225"/>
      </w:tblGrid>
      <w:tr w:rsidR="00877997" w:rsidTr="008779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9" w:type="pct"/>
          </w:tcPr>
          <w:p w:rsidR="00877997" w:rsidRDefault="00CB0676">
            <w:pPr>
              <w:spacing w:line="360" w:lineRule="auto"/>
              <w:rPr>
                <w:color w:val="000000"/>
                <w:sz w:val="16"/>
                <w:szCs w:val="16"/>
              </w:rPr>
            </w:pPr>
            <w:r>
              <w:rPr>
                <w:color w:val="000000"/>
                <w:sz w:val="16"/>
                <w:szCs w:val="16"/>
              </w:rPr>
              <w:t>Variant class</w:t>
            </w:r>
          </w:p>
        </w:tc>
        <w:tc>
          <w:tcPr>
            <w:tcW w:w="819" w:type="pct"/>
          </w:tcPr>
          <w:p w:rsidR="00877997" w:rsidRDefault="00CB0676">
            <w:pPr>
              <w:spacing w:line="360" w:lineRule="auto"/>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description</w:t>
            </w:r>
          </w:p>
        </w:tc>
        <w:tc>
          <w:tcPr>
            <w:tcW w:w="819" w:type="pct"/>
          </w:tcPr>
          <w:p w:rsidR="00877997" w:rsidRDefault="00CB0676">
            <w:pPr>
              <w:spacing w:line="360" w:lineRule="auto"/>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Occurrence</w:t>
            </w:r>
          </w:p>
        </w:tc>
        <w:tc>
          <w:tcPr>
            <w:tcW w:w="819" w:type="pct"/>
          </w:tcPr>
          <w:p w:rsidR="00877997" w:rsidRDefault="00CB0676">
            <w:pPr>
              <w:spacing w:line="360" w:lineRule="auto"/>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Consequence</w:t>
            </w:r>
          </w:p>
        </w:tc>
        <w:tc>
          <w:tcPr>
            <w:tcW w:w="1723" w:type="pct"/>
          </w:tcPr>
          <w:p w:rsidR="00877997" w:rsidRDefault="00CB0676">
            <w:pPr>
              <w:spacing w:line="360" w:lineRule="auto"/>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Considerations</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 w:type="pct"/>
          </w:tcPr>
          <w:p w:rsidR="00877997" w:rsidRDefault="00CB0676">
            <w:pPr>
              <w:spacing w:line="360" w:lineRule="auto"/>
              <w:rPr>
                <w:color w:val="000000"/>
                <w:sz w:val="16"/>
                <w:szCs w:val="16"/>
              </w:rPr>
            </w:pPr>
            <w:r>
              <w:rPr>
                <w:color w:val="000000"/>
                <w:sz w:val="16"/>
                <w:szCs w:val="16"/>
              </w:rPr>
              <w:t>Synonymous</w:t>
            </w:r>
          </w:p>
        </w:tc>
        <w:tc>
          <w:tcPr>
            <w:tcW w:w="819" w:type="pct"/>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Single nucleotide variant</w:t>
            </w:r>
          </w:p>
        </w:tc>
        <w:tc>
          <w:tcPr>
            <w:tcW w:w="819" w:type="pct"/>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~11,800 per genome</w:t>
            </w:r>
          </w:p>
        </w:tc>
        <w:tc>
          <w:tcPr>
            <w:tcW w:w="819" w:type="pct"/>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Do not alter the amino </w:t>
            </w:r>
            <w:r>
              <w:rPr>
                <w:color w:val="000000"/>
                <w:sz w:val="16"/>
                <w:szCs w:val="16"/>
              </w:rPr>
              <w:t>acid sequence</w:t>
            </w:r>
          </w:p>
        </w:tc>
        <w:tc>
          <w:tcPr>
            <w:tcW w:w="1723" w:type="pct"/>
          </w:tcPr>
          <w:p w:rsidR="00877997" w:rsidRDefault="00CB0676">
            <w:pPr>
              <w:pStyle w:val="ListParagraph"/>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Not always benign</w:t>
            </w:r>
          </w:p>
          <w:p w:rsidR="00877997" w:rsidRDefault="00CB0676">
            <w:pPr>
              <w:pStyle w:val="ListParagraph"/>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Can affect transcription and splicing</w:t>
            </w:r>
          </w:p>
        </w:tc>
      </w:tr>
      <w:tr w:rsidR="00877997" w:rsidTr="00877997">
        <w:tc>
          <w:tcPr>
            <w:cnfStyle w:val="001000000000" w:firstRow="0" w:lastRow="0" w:firstColumn="1" w:lastColumn="0" w:oddVBand="0" w:evenVBand="0" w:oddHBand="0" w:evenHBand="0" w:firstRowFirstColumn="0" w:firstRowLastColumn="0" w:lastRowFirstColumn="0" w:lastRowLastColumn="0"/>
            <w:tcW w:w="819" w:type="pct"/>
          </w:tcPr>
          <w:p w:rsidR="00877997" w:rsidRDefault="00CB0676">
            <w:pPr>
              <w:spacing w:line="360" w:lineRule="auto"/>
              <w:rPr>
                <w:color w:val="000000"/>
                <w:sz w:val="16"/>
                <w:szCs w:val="16"/>
              </w:rPr>
            </w:pPr>
            <w:r>
              <w:rPr>
                <w:color w:val="000000"/>
                <w:sz w:val="16"/>
                <w:szCs w:val="16"/>
              </w:rPr>
              <w:t>Missense</w:t>
            </w:r>
          </w:p>
        </w:tc>
        <w:tc>
          <w:tcPr>
            <w:tcW w:w="819" w:type="pct"/>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Single nucleotide variant</w:t>
            </w:r>
          </w:p>
        </w:tc>
        <w:tc>
          <w:tcPr>
            <w:tcW w:w="819" w:type="pct"/>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~10,600 per genome</w:t>
            </w:r>
          </w:p>
        </w:tc>
        <w:tc>
          <w:tcPr>
            <w:tcW w:w="819" w:type="pct"/>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Single amino acid substitution</w:t>
            </w:r>
          </w:p>
        </w:tc>
        <w:tc>
          <w:tcPr>
            <w:tcW w:w="1723" w:type="pct"/>
          </w:tcPr>
          <w:p w:rsidR="00877997" w:rsidRDefault="00CB0676">
            <w:pPr>
              <w:pStyle w:val="ListParagraph"/>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Scattered across disease genes in healthy populations</w:t>
            </w:r>
          </w:p>
          <w:p w:rsidR="00877997" w:rsidRDefault="00CB0676">
            <w:pPr>
              <w:pStyle w:val="ListParagraph"/>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Metrics available that map missense </w:t>
            </w:r>
            <w:r>
              <w:rPr>
                <w:color w:val="000000"/>
                <w:sz w:val="16"/>
                <w:szCs w:val="16"/>
              </w:rPr>
              <w:t xml:space="preserve">constraint at a regional gene level and highlight critical regions that may be implicated in disease </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 w:type="pct"/>
          </w:tcPr>
          <w:p w:rsidR="00877997" w:rsidRDefault="00CB0676">
            <w:pPr>
              <w:spacing w:line="360" w:lineRule="auto"/>
              <w:rPr>
                <w:color w:val="000000"/>
                <w:sz w:val="16"/>
                <w:szCs w:val="16"/>
              </w:rPr>
            </w:pPr>
            <w:r>
              <w:rPr>
                <w:color w:val="000000"/>
                <w:sz w:val="16"/>
                <w:szCs w:val="16"/>
              </w:rPr>
              <w:t>Splicing</w:t>
            </w:r>
          </w:p>
        </w:tc>
        <w:tc>
          <w:tcPr>
            <w:tcW w:w="819" w:type="pct"/>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Single nucleotide variant (essential or non-essential splice site) or indel</w:t>
            </w:r>
          </w:p>
        </w:tc>
        <w:tc>
          <w:tcPr>
            <w:tcW w:w="819" w:type="pct"/>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~2,300 per genome</w:t>
            </w:r>
          </w:p>
        </w:tc>
        <w:tc>
          <w:tcPr>
            <w:tcW w:w="819" w:type="pct"/>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Alter the sequence around splice junctions and may</w:t>
            </w:r>
            <w:r>
              <w:rPr>
                <w:color w:val="000000"/>
                <w:sz w:val="16"/>
                <w:szCs w:val="16"/>
              </w:rPr>
              <w:t xml:space="preserve"> result in aberrant mRNA transcription</w:t>
            </w:r>
          </w:p>
        </w:tc>
        <w:tc>
          <w:tcPr>
            <w:tcW w:w="1723" w:type="pct"/>
          </w:tcPr>
          <w:p w:rsidR="00877997" w:rsidRDefault="00CB0676">
            <w:pPr>
              <w:pStyle w:val="ListParagraph"/>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Variants may reduce or strengthen the natural splice site, disrupt regulatory sequences (e.g. silencers and enhancers), introduce new splice sites, or activate cryptic splice sites</w:t>
            </w:r>
          </w:p>
          <w:p w:rsidR="00877997" w:rsidRDefault="00CB0676">
            <w:pPr>
              <w:pStyle w:val="ListParagraph"/>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Difficult to assess beyond the </w:t>
            </w:r>
            <w:r>
              <w:rPr>
                <w:color w:val="000000"/>
                <w:sz w:val="16"/>
                <w:szCs w:val="16"/>
              </w:rPr>
              <w:t>canonical splice site due to limitations in annotation software, particularly for indels and deep intronic variants</w:t>
            </w:r>
          </w:p>
        </w:tc>
      </w:tr>
      <w:tr w:rsidR="00877997" w:rsidTr="00877997">
        <w:tc>
          <w:tcPr>
            <w:cnfStyle w:val="001000000000" w:firstRow="0" w:lastRow="0" w:firstColumn="1" w:lastColumn="0" w:oddVBand="0" w:evenVBand="0" w:oddHBand="0" w:evenHBand="0" w:firstRowFirstColumn="0" w:firstRowLastColumn="0" w:lastRowFirstColumn="0" w:lastRowLastColumn="0"/>
            <w:tcW w:w="819" w:type="pct"/>
          </w:tcPr>
          <w:p w:rsidR="00877997" w:rsidRDefault="00CB0676">
            <w:pPr>
              <w:spacing w:line="360" w:lineRule="auto"/>
              <w:rPr>
                <w:color w:val="000000"/>
                <w:sz w:val="16"/>
                <w:szCs w:val="16"/>
              </w:rPr>
            </w:pPr>
            <w:r>
              <w:rPr>
                <w:color w:val="000000"/>
                <w:sz w:val="16"/>
                <w:szCs w:val="16"/>
              </w:rPr>
              <w:t>loss of function</w:t>
            </w:r>
          </w:p>
        </w:tc>
        <w:tc>
          <w:tcPr>
            <w:tcW w:w="819" w:type="pct"/>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Frameshift, nonsense or essential splice site</w:t>
            </w:r>
          </w:p>
        </w:tc>
        <w:tc>
          <w:tcPr>
            <w:tcW w:w="819" w:type="pct"/>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~100 per genome</w:t>
            </w:r>
          </w:p>
        </w:tc>
        <w:tc>
          <w:tcPr>
            <w:tcW w:w="819" w:type="pct"/>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May result in protein truncation or protein loss due to nons</w:t>
            </w:r>
            <w:r>
              <w:rPr>
                <w:color w:val="000000"/>
                <w:sz w:val="16"/>
                <w:szCs w:val="16"/>
              </w:rPr>
              <w:t>ense medicated decay</w:t>
            </w:r>
          </w:p>
        </w:tc>
        <w:tc>
          <w:tcPr>
            <w:tcW w:w="1723" w:type="pct"/>
          </w:tcPr>
          <w:p w:rsidR="00877997" w:rsidRDefault="00CB0676">
            <w:pPr>
              <w:pStyle w:val="ListParagraph"/>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Predicted most pathogenic compared to all other variant types</w:t>
            </w:r>
          </w:p>
          <w:p w:rsidR="00877997" w:rsidRDefault="00CB0676">
            <w:pPr>
              <w:pStyle w:val="ListParagraph"/>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Enriched for annotation, technical and transcript artefacts</w:t>
            </w:r>
          </w:p>
          <w:p w:rsidR="00877997" w:rsidRDefault="00CB0676">
            <w:pPr>
              <w:pStyle w:val="ListParagraph"/>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Single exon genes escape nonsense medicated decay</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 w:type="pct"/>
          </w:tcPr>
          <w:p w:rsidR="00877997" w:rsidRDefault="00CB0676">
            <w:pPr>
              <w:spacing w:line="360" w:lineRule="auto"/>
              <w:rPr>
                <w:color w:val="000000"/>
                <w:sz w:val="16"/>
                <w:szCs w:val="16"/>
              </w:rPr>
            </w:pPr>
            <w:r>
              <w:rPr>
                <w:color w:val="000000"/>
                <w:sz w:val="16"/>
                <w:szCs w:val="16"/>
              </w:rPr>
              <w:t>Short indels</w:t>
            </w:r>
          </w:p>
          <w:p w:rsidR="00877997" w:rsidRDefault="00877997">
            <w:pPr>
              <w:spacing w:line="360" w:lineRule="auto"/>
              <w:rPr>
                <w:color w:val="000000"/>
                <w:sz w:val="16"/>
                <w:szCs w:val="16"/>
              </w:rPr>
            </w:pPr>
          </w:p>
        </w:tc>
        <w:tc>
          <w:tcPr>
            <w:tcW w:w="819" w:type="pct"/>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Small insertions or deletions &lt;50 base-pairs</w:t>
            </w:r>
          </w:p>
        </w:tc>
        <w:tc>
          <w:tcPr>
            <w:tcW w:w="819" w:type="pct"/>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~420,000 per genome</w:t>
            </w:r>
          </w:p>
        </w:tc>
        <w:tc>
          <w:tcPr>
            <w:tcW w:w="819" w:type="pct"/>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In-frame indels may elongate or truncate the protein product</w:t>
            </w:r>
          </w:p>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Out of frame indels will result in loss-of-function</w:t>
            </w:r>
          </w:p>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Indels across splice sites may disrupt splicing</w:t>
            </w:r>
          </w:p>
        </w:tc>
        <w:tc>
          <w:tcPr>
            <w:tcW w:w="1723" w:type="pct"/>
          </w:tcPr>
          <w:p w:rsidR="00877997" w:rsidRDefault="00CB0676">
            <w:pPr>
              <w:pStyle w:val="ListParagraph"/>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May have regulatory roles on DNA structure and function</w:t>
            </w:r>
          </w:p>
          <w:p w:rsidR="00877997" w:rsidRDefault="00CB0676">
            <w:pPr>
              <w:pStyle w:val="ListParagraph"/>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Often poorly </w:t>
            </w:r>
            <w:r>
              <w:rPr>
                <w:color w:val="000000"/>
                <w:sz w:val="16"/>
                <w:szCs w:val="16"/>
              </w:rPr>
              <w:t>resolved and aligned particularly from short read exome data</w:t>
            </w:r>
          </w:p>
          <w:p w:rsidR="00877997" w:rsidRDefault="00CB0676">
            <w:pPr>
              <w:pStyle w:val="ListParagraph"/>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WGS improves indel calling</w:t>
            </w:r>
          </w:p>
          <w:p w:rsidR="00877997" w:rsidRDefault="00CB0676">
            <w:pPr>
              <w:pStyle w:val="ListParagraph"/>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Long read sequencing outperforms short read sequencing</w:t>
            </w:r>
          </w:p>
        </w:tc>
      </w:tr>
    </w:tbl>
    <w:p w:rsidR="00877997" w:rsidRDefault="00CB0676">
      <w:pPr>
        <w:rPr>
          <w:color w:val="000000"/>
        </w:rPr>
      </w:pPr>
      <w:r>
        <w:rPr>
          <w:i/>
          <w:color w:val="000000"/>
          <w:sz w:val="16"/>
          <w:szCs w:val="16"/>
        </w:rPr>
        <w:lastRenderedPageBreak/>
        <w:t>Rates of variant occurrence were collated from 1000 genomes data, ExAC data, and a cohort of 44 Caucasian genome</w:t>
      </w:r>
      <w:r>
        <w:rPr>
          <w:i/>
          <w:color w:val="000000"/>
          <w:sz w:val="16"/>
          <w:szCs w:val="16"/>
        </w:rPr>
        <w:t>s</w:t>
      </w:r>
      <w:r>
        <w:rPr>
          <w:i/>
          <w:color w:val="000000"/>
          <w:sz w:val="16"/>
          <w:szCs w:val="16"/>
        </w:rPr>
        <w:fldChar w:fldCharType="begin"/>
      </w:r>
      <w:r>
        <w:rPr>
          <w:i/>
          <w:color w:val="000000"/>
          <w:sz w:val="16"/>
          <w:szCs w:val="16"/>
        </w:rPr>
        <w:instrText xml:space="preserve"> ADDIN EN.CITE </w:instrText>
      </w:r>
      <w:r>
        <w:rPr>
          <w:i/>
          <w:color w:val="000000"/>
          <w:sz w:val="16"/>
          <w:szCs w:val="16"/>
        </w:rPr>
        <w:fldChar w:fldCharType="separate"/>
      </w:r>
      <w:r>
        <w:rPr>
          <w:i/>
          <w:color w:val="000000"/>
          <w:sz w:val="16"/>
          <w:szCs w:val="16"/>
        </w:rPr>
        <w:fldChar w:fldCharType="begin"/>
      </w:r>
      <w:r>
        <w:rPr>
          <w:i/>
          <w:color w:val="000000"/>
          <w:sz w:val="16"/>
          <w:szCs w:val="16"/>
        </w:rPr>
        <w:instrText xml:space="preserve"> ADDIN EN.CITE.DATA 蜉</w:instrText>
      </w:r>
      <w:r>
        <w:rPr>
          <w:i/>
          <w:color w:val="000000"/>
          <w:sz w:val="16"/>
          <w:szCs w:val="16"/>
        </w:rPr>
        <w:fldChar w:fldCharType="end"/>
      </w:r>
      <w:r>
        <w:rPr>
          <w:i/>
          <w:noProof/>
          <w:color w:val="000000"/>
          <w:sz w:val="16"/>
          <w:szCs w:val="16"/>
        </w:rPr>
        <w:t>[47-49]</w:t>
      </w:r>
      <w:r>
        <w:rPr>
          <w:i/>
          <w:color w:val="000000"/>
          <w:sz w:val="16"/>
          <w:szCs w:val="16"/>
        </w:rPr>
        <w:fldChar w:fldCharType="end"/>
      </w:r>
      <w:r>
        <w:rPr>
          <w:i/>
          <w:color w:val="000000"/>
          <w:sz w:val="16"/>
          <w:szCs w:val="16"/>
        </w:rPr>
        <w:t>.</w:t>
      </w:r>
      <w:r>
        <w:rPr>
          <w:i/>
          <w:color w:val="000000"/>
          <w:sz w:val="16"/>
          <w:szCs w:val="16"/>
        </w:rPr>
        <w:t xml:space="preserve"> Note that rates of variation are likely to be an underestimate as cohort sizes are still underpowered to detect all rare variation</w:t>
      </w:r>
      <w:r>
        <w:rPr>
          <w:i/>
          <w:color w:val="000000"/>
          <w:sz w:val="16"/>
          <w:szCs w:val="16"/>
        </w:rPr>
        <w:fldChar w:fldCharType="begin"/>
      </w:r>
      <w:r>
        <w:rPr>
          <w:i/>
          <w:color w:val="000000"/>
          <w:sz w:val="16"/>
          <w:szCs w:val="16"/>
        </w:rPr>
        <w:instrText xml:space="preserve"> ADDIN EN.CITE </w:instrText>
      </w:r>
      <w:r>
        <w:rPr>
          <w:i/>
          <w:color w:val="000000"/>
          <w:sz w:val="16"/>
          <w:szCs w:val="16"/>
        </w:rPr>
        <w:fldChar w:fldCharType="separate"/>
      </w:r>
      <w:r>
        <w:rPr>
          <w:i/>
          <w:color w:val="000000"/>
          <w:sz w:val="16"/>
          <w:szCs w:val="16"/>
        </w:rPr>
        <w:fldChar w:fldCharType="begin"/>
      </w:r>
      <w:r>
        <w:rPr>
          <w:i/>
          <w:color w:val="000000"/>
          <w:sz w:val="16"/>
          <w:szCs w:val="16"/>
        </w:rPr>
        <w:instrText xml:space="preserve"> ADDIN EN.CITE.DATA 蜉</w:instrText>
      </w:r>
      <w:r>
        <w:rPr>
          <w:i/>
          <w:color w:val="000000"/>
          <w:sz w:val="16"/>
          <w:szCs w:val="16"/>
        </w:rPr>
        <w:fldChar w:fldCharType="end"/>
      </w:r>
      <w:r>
        <w:rPr>
          <w:i/>
          <w:noProof/>
          <w:color w:val="000000"/>
          <w:sz w:val="16"/>
          <w:szCs w:val="16"/>
        </w:rPr>
        <w:t>[35]</w:t>
      </w:r>
      <w:r>
        <w:rPr>
          <w:i/>
          <w:color w:val="000000"/>
          <w:sz w:val="16"/>
          <w:szCs w:val="16"/>
        </w:rPr>
        <w:fldChar w:fldCharType="end"/>
      </w:r>
      <w:r>
        <w:rPr>
          <w:i/>
          <w:color w:val="000000"/>
          <w:sz w:val="16"/>
          <w:szCs w:val="16"/>
        </w:rPr>
        <w:t>. Additionally, indel rates are likely grossly underestimated due to alignment a</w:t>
      </w:r>
      <w:r>
        <w:rPr>
          <w:i/>
          <w:color w:val="000000"/>
          <w:sz w:val="16"/>
          <w:szCs w:val="16"/>
        </w:rPr>
        <w:t>nd mapping issues</w:t>
      </w:r>
      <w:r>
        <w:rPr>
          <w:i/>
          <w:color w:val="000000"/>
          <w:sz w:val="16"/>
          <w:szCs w:val="16"/>
        </w:rPr>
        <w:fldChar w:fldCharType="begin"/>
      </w:r>
      <w:r>
        <w:rPr>
          <w:i/>
          <w:color w:val="000000"/>
          <w:sz w:val="16"/>
          <w:szCs w:val="16"/>
        </w:rPr>
        <w:instrText xml:space="preserve"> ADDIN EN.CITE &lt;EndNote&gt;&lt;Cite&gt;&lt;Author&gt;Jiang&lt;/Author&gt;&lt;Year&gt;2015&lt;/Year&gt;&lt;RecNum&gt;100&lt;/RecNum&gt;&lt;DisplayText&gt;[50]&lt;/DisplayText&gt;&lt;record&gt;&lt;rec-number&gt;100&lt;/rec-number&gt;&lt;foreign-keys&gt;&lt;key app="EN" db-id="d0vstffei2ze5sew5fwxp0dq9zxs5pvvsxpv" timestamp=</w:instrText>
      </w:r>
      <w:r>
        <w:rPr>
          <w:i/>
          <w:color w:val="000000"/>
          <w:sz w:val="16"/>
          <w:szCs w:val="16"/>
        </w:rPr>
        <w:instrText>"1580727678"&gt;100&lt;/key&gt;&lt;/foreign-keys&gt;&lt;ref-type name="Journal Article"&gt;17&lt;/ref-type&gt;&lt;contributors&gt;&lt;authors&gt;&lt;author&gt;Jiang, Yue&lt;/author&gt;&lt;author&gt;Turinsky, Andrei L&lt;/author&gt;&lt;author&gt;Brudno, Michael&lt;/author&gt;&lt;/authors&gt;&lt;/contributors&gt;&lt;titles&gt;&lt;title&gt;The missing inde</w:instrText>
      </w:r>
      <w:r>
        <w:rPr>
          <w:i/>
          <w:color w:val="000000"/>
          <w:sz w:val="16"/>
          <w:szCs w:val="16"/>
        </w:rPr>
        <w:instrText>ls: an estimate of indel variation in a human genome and analysis of factors that impede detection&lt;/title&gt;&lt;secondary-title&gt;Nucleic acids research&lt;/secondary-title&gt;&lt;/titles&gt;&lt;periodical&gt;&lt;full-title&gt;Nucleic acids research&lt;/full-title&gt;&lt;/periodical&gt;&lt;pages&gt;7217-</w:instrText>
      </w:r>
      <w:r>
        <w:rPr>
          <w:i/>
          <w:color w:val="000000"/>
          <w:sz w:val="16"/>
          <w:szCs w:val="16"/>
        </w:rPr>
        <w:instrText>7228&lt;/pages&gt;&lt;volume&gt;43&lt;/volume&gt;&lt;number&gt;15&lt;/number&gt;&lt;dates&gt;&lt;year&gt;2015&lt;/year&gt;&lt;/dates&gt;&lt;isbn&gt;1362-4962&lt;/isbn&gt;&lt;urls&gt;&lt;/urls&gt;&lt;/record&gt;&lt;/Cite&gt;&lt;/EndNote&gt;</w:instrText>
      </w:r>
      <w:r>
        <w:rPr>
          <w:i/>
          <w:color w:val="000000"/>
          <w:sz w:val="16"/>
          <w:szCs w:val="16"/>
        </w:rPr>
        <w:fldChar w:fldCharType="separate"/>
      </w:r>
      <w:r>
        <w:rPr>
          <w:i/>
          <w:noProof/>
          <w:color w:val="000000"/>
          <w:sz w:val="16"/>
          <w:szCs w:val="16"/>
        </w:rPr>
        <w:t>[50]</w:t>
      </w:r>
      <w:r>
        <w:rPr>
          <w:i/>
          <w:color w:val="000000"/>
          <w:sz w:val="16"/>
          <w:szCs w:val="16"/>
        </w:rPr>
        <w:fldChar w:fldCharType="end"/>
      </w:r>
      <w:r>
        <w:rPr>
          <w:i/>
          <w:color w:val="000000"/>
          <w:sz w:val="16"/>
          <w:szCs w:val="16"/>
        </w:rPr>
        <w:t>.</w:t>
      </w:r>
    </w:p>
    <w:p w:rsidR="00877997" w:rsidRDefault="00877997">
      <w:pPr>
        <w:spacing w:line="360" w:lineRule="auto"/>
        <w:rPr>
          <w:color w:val="000000"/>
          <w:sz w:val="20"/>
          <w:szCs w:val="20"/>
        </w:rPr>
      </w:pPr>
    </w:p>
    <w:p w:rsidR="00877997" w:rsidRDefault="00877997">
      <w:pPr>
        <w:rPr>
          <w:color w:val="000000"/>
          <w:sz w:val="20"/>
          <w:szCs w:val="20"/>
        </w:rPr>
      </w:pPr>
    </w:p>
    <w:p w:rsidR="00877997" w:rsidRDefault="00CB0676">
      <w:pPr>
        <w:rPr>
          <w:b/>
          <w:bCs/>
          <w:color w:val="000000"/>
          <w:sz w:val="20"/>
          <w:szCs w:val="20"/>
        </w:rPr>
      </w:pPr>
      <w:r>
        <w:rPr>
          <w:b/>
          <w:bCs/>
          <w:i/>
          <w:color w:val="000000"/>
          <w:sz w:val="20"/>
          <w:szCs w:val="20"/>
        </w:rPr>
        <w:t>In silico</w:t>
      </w:r>
      <w:r>
        <w:rPr>
          <w:b/>
          <w:bCs/>
          <w:color w:val="000000"/>
          <w:sz w:val="20"/>
          <w:szCs w:val="20"/>
        </w:rPr>
        <w:t xml:space="preserve"> tools</w:t>
      </w:r>
    </w:p>
    <w:p w:rsidR="00877997" w:rsidRDefault="00877997">
      <w:pPr>
        <w:rPr>
          <w:color w:val="000000"/>
          <w:sz w:val="20"/>
          <w:szCs w:val="20"/>
        </w:rPr>
      </w:pPr>
    </w:p>
    <w:p w:rsidR="00877997" w:rsidRDefault="00CB0676">
      <w:pPr>
        <w:spacing w:line="360" w:lineRule="auto"/>
        <w:rPr>
          <w:color w:val="000000"/>
          <w:sz w:val="20"/>
          <w:szCs w:val="20"/>
        </w:rPr>
      </w:pPr>
      <w:r>
        <w:rPr>
          <w:i/>
          <w:color w:val="000000"/>
          <w:sz w:val="20"/>
          <w:szCs w:val="20"/>
        </w:rPr>
        <w:t>In silico</w:t>
      </w:r>
      <w:r>
        <w:rPr>
          <w:color w:val="000000"/>
          <w:sz w:val="20"/>
          <w:szCs w:val="20"/>
        </w:rPr>
        <w:t xml:space="preserve"> tools score variants according to functional consequence (</w:t>
      </w:r>
      <w:r>
        <w:rPr>
          <w:b/>
          <w:color w:val="000000"/>
          <w:sz w:val="20"/>
          <w:szCs w:val="20"/>
        </w:rPr>
        <w:t>Table 2</w:t>
      </w:r>
      <w:r>
        <w:rPr>
          <w:color w:val="000000"/>
          <w:sz w:val="20"/>
          <w:szCs w:val="20"/>
        </w:rPr>
        <w:t>). A wealt</w:t>
      </w:r>
      <w:r>
        <w:rPr>
          <w:color w:val="000000"/>
          <w:sz w:val="20"/>
          <w:szCs w:val="20"/>
        </w:rPr>
        <w:t>h of competing software is available, yet many informatics pipelines are incompatible with these tools, nor do they keep up with updated versions.</w:t>
      </w:r>
      <w:r>
        <w:rPr>
          <w:i/>
          <w:color w:val="000000"/>
          <w:sz w:val="16"/>
          <w:szCs w:val="16"/>
        </w:rPr>
        <w:t xml:space="preserve"> </w:t>
      </w:r>
      <w:r>
        <w:rPr>
          <w:color w:val="000000"/>
          <w:sz w:val="20"/>
          <w:szCs w:val="20"/>
        </w:rPr>
        <w:t>Discordant evidence lowers the confidence of relying on any one score. Composite scores, which utilise statis</w:t>
      </w:r>
      <w:r>
        <w:rPr>
          <w:color w:val="000000"/>
          <w:sz w:val="20"/>
          <w:szCs w:val="20"/>
        </w:rPr>
        <w:t>tical methods, machine-learning, and deep neural networks help to resolve this issue</w:t>
      </w:r>
      <w:r>
        <w:rPr>
          <w:color w:val="000000"/>
          <w:sz w:val="20"/>
          <w:szCs w:val="20"/>
        </w:rPr>
        <w:fldChar w:fldCharType="begin"/>
      </w:r>
      <w:r>
        <w:rPr>
          <w:color w:val="000000"/>
          <w:sz w:val="20"/>
          <w:szCs w:val="20"/>
        </w:rPr>
        <w:instrText xml:space="preserve"> ADDIN EN.CITE &lt;EndNote&gt;&lt;Cite&gt;&lt;Author&gt;Jagadeesh&lt;/Author&gt;&lt;Year&gt;2016&lt;/Year&gt;&lt;RecNum&gt;37&lt;/RecNum&gt;&lt;DisplayText&gt;[51, 52]&lt;/DisplayText&gt;&lt;record&gt;&lt;rec-number&gt;37&lt;/rec-number&gt;&lt;foreign-k</w:instrText>
      </w:r>
      <w:r>
        <w:rPr>
          <w:color w:val="000000"/>
          <w:sz w:val="20"/>
          <w:szCs w:val="20"/>
        </w:rPr>
        <w:instrText>eys&gt;&lt;key app="EN" db-id="d0vstffei2ze5sew5fwxp0dq9zxs5pvvsxpv" timestamp="1579916625"&gt;37&lt;/key&gt;&lt;/foreign-keys&gt;&lt;ref-type name="Journal Article"&gt;17&lt;/ref-type&gt;&lt;contributors&gt;&lt;authors&gt;&lt;author&gt;Jagadeesh, Karthik A.&lt;/author&gt;&lt;author&gt;Wenger, Aaron M.&lt;/author&gt;&lt;author</w:instrText>
      </w:r>
      <w:r>
        <w:rPr>
          <w:color w:val="000000"/>
          <w:sz w:val="20"/>
          <w:szCs w:val="20"/>
        </w:rPr>
        <w:instrText>&gt;Berger, Mark J.&lt;/author&gt;&lt;author&gt;Guturu, Harendra&lt;/author&gt;&lt;author&gt;Stenson, Peter D.&lt;/author&gt;&lt;author&gt;Cooper, David N.&lt;/author&gt;&lt;author&gt;Bernstein, Jonathan A.&lt;/author&gt;&lt;author&gt;Bejerano, Gill&lt;/author&gt;&lt;/authors&gt;&lt;/contributors&gt;&lt;titles&gt;&lt;title&gt;M-CAP eliminates a ma</w:instrText>
      </w:r>
      <w:r>
        <w:rPr>
          <w:color w:val="000000"/>
          <w:sz w:val="20"/>
          <w:szCs w:val="20"/>
        </w:rPr>
        <w:instrText>jority of variants of uncertain significance in clinical exomes at high sensitivity&lt;/title&gt;&lt;secondary-title&gt;Nature Genetics&lt;/secondary-title&gt;&lt;/titles&gt;&lt;periodical&gt;&lt;full-title&gt;Nature genetics&lt;/full-title&gt;&lt;/periodical&gt;&lt;pages&gt;1581-1586&lt;/pages&gt;&lt;volume&gt;48&lt;/volum</w:instrText>
      </w:r>
      <w:r>
        <w:rPr>
          <w:color w:val="000000"/>
          <w:sz w:val="20"/>
          <w:szCs w:val="20"/>
        </w:rPr>
        <w:instrText>e&gt;&lt;number&gt;12&lt;/number&gt;&lt;dates&gt;&lt;year&gt;2016&lt;/year&gt;&lt;pub-dates&gt;&lt;date&gt;2016/12/01&lt;/date&gt;&lt;/pub-dates&gt;&lt;/dates&gt;&lt;isbn&gt;1546-1718&lt;/isbn&gt;&lt;urls&gt;&lt;related-urls&gt;&lt;url&gt;https://doi.org/10.1038/ng.3703&lt;/url&gt;&lt;/related-urls&gt;&lt;/urls&gt;&lt;electronic-resource-num&gt;10.1038/ng.3703&lt;/electroni</w:instrText>
      </w:r>
      <w:r>
        <w:rPr>
          <w:color w:val="000000"/>
          <w:sz w:val="20"/>
          <w:szCs w:val="20"/>
        </w:rPr>
        <w:instrText>c-resource-num&gt;&lt;/record&gt;&lt;/Cite&gt;&lt;Cite&gt;&lt;Author&gt;Quang&lt;/Author&gt;&lt;Year&gt;2015&lt;/Year&gt;&lt;RecNum&gt;39&lt;/RecNum&gt;&lt;record&gt;&lt;rec-number&gt;39&lt;/rec-number&gt;&lt;foreign-keys&gt;&lt;key app="EN" db-id="d0vstffei2ze5sew5fwxp0dq9zxs5pvvsxpv" timestamp="1579917116"&gt;39&lt;/key&gt;&lt;/foreign-keys&gt;&lt;ref-ty</w:instrText>
      </w:r>
      <w:r>
        <w:rPr>
          <w:color w:val="000000"/>
          <w:sz w:val="20"/>
          <w:szCs w:val="20"/>
        </w:rPr>
        <w:instrText xml:space="preserve">pe name="Journal Article"&gt;17&lt;/ref-type&gt;&lt;contributors&gt;&lt;authors&gt;&lt;author&gt;Quang, Daniel&lt;/author&gt;&lt;author&gt;Chen, Yifei&lt;/author&gt;&lt;author&gt;Xie, Xiaohui&lt;/author&gt;&lt;/authors&gt;&lt;/contributors&gt;&lt;titles&gt;&lt;title&gt;DANN: a deep learning approach for annotating the pathogenicity of </w:instrText>
      </w:r>
      <w:r>
        <w:rPr>
          <w:color w:val="000000"/>
          <w:sz w:val="20"/>
          <w:szCs w:val="20"/>
        </w:rPr>
        <w:instrText>genetic variants&lt;/title&gt;&lt;secondary-title&gt;Bioinformatics&lt;/secondary-title&gt;&lt;/titles&gt;&lt;periodical&gt;&lt;full-title&gt;Bioinformatics&lt;/full-title&gt;&lt;/periodical&gt;&lt;pages&gt;761-763&lt;/pages&gt;&lt;volume&gt;31&lt;/volume&gt;&lt;number&gt;5&lt;/number&gt;&lt;dates&gt;&lt;year&gt;2015&lt;/year&gt;&lt;/dates&gt;&lt;isbn&gt;1367-4803&lt;/is</w:instrText>
      </w:r>
      <w:r>
        <w:rPr>
          <w:color w:val="000000"/>
          <w:sz w:val="20"/>
          <w:szCs w:val="20"/>
        </w:rPr>
        <w:instrText>bn&gt;&lt;urls&gt;&lt;/urls&gt;&lt;/record&gt;&lt;/Cite&gt;&lt;/EndNote&gt;</w:instrText>
      </w:r>
      <w:r>
        <w:rPr>
          <w:color w:val="000000"/>
          <w:sz w:val="20"/>
          <w:szCs w:val="20"/>
        </w:rPr>
        <w:fldChar w:fldCharType="separate"/>
      </w:r>
      <w:r>
        <w:rPr>
          <w:noProof/>
          <w:color w:val="000000"/>
          <w:sz w:val="20"/>
          <w:szCs w:val="20"/>
        </w:rPr>
        <w:t>[51, 52]</w:t>
      </w:r>
      <w:r>
        <w:rPr>
          <w:color w:val="000000"/>
          <w:sz w:val="20"/>
          <w:szCs w:val="20"/>
        </w:rPr>
        <w:fldChar w:fldCharType="end"/>
      </w:r>
      <w:r>
        <w:rPr>
          <w:color w:val="000000"/>
          <w:sz w:val="20"/>
          <w:szCs w:val="20"/>
        </w:rPr>
        <w:t>. Yet, no single method emerges superior and therefore a consensus approach is still recommended</w:t>
      </w:r>
      <w:r>
        <w:rPr>
          <w:color w:val="000000"/>
          <w:sz w:val="20"/>
          <w:szCs w:val="20"/>
        </w:rPr>
        <w:fldChar w:fldCharType="begin"/>
      </w:r>
      <w:r>
        <w:rPr>
          <w:color w:val="000000"/>
          <w:sz w:val="20"/>
          <w:szCs w:val="20"/>
        </w:rPr>
        <w:instrText xml:space="preserve"> ADDIN EN.CITE &lt;EndNote&gt;&lt;Cite&gt;&lt;Author&gt;Li&lt;/Author&gt;&lt;Year&gt;2018&lt;/Year&gt;&lt;RecNum&gt;119&lt;/RecNum&gt;&lt;DisplayText&gt;[53]&lt;/Di</w:instrText>
      </w:r>
      <w:r>
        <w:rPr>
          <w:color w:val="000000"/>
          <w:sz w:val="20"/>
          <w:szCs w:val="20"/>
        </w:rPr>
        <w:instrText>splayText&gt;&lt;record&gt;&lt;rec-number&gt;119&lt;/rec-number&gt;&lt;foreign-keys&gt;&lt;key app="EN" db-id="d0vstffei2ze5sew5fwxp0dq9zxs5pvvsxpv" timestamp="1583786004"&gt;119&lt;/key&gt;&lt;/foreign-keys&gt;&lt;ref-type name="Journal Article"&gt;17&lt;/ref-type&gt;&lt;contributors&gt;&lt;authors&gt;&lt;author&gt;Li, Jinchen&lt;/</w:instrText>
      </w:r>
      <w:r>
        <w:rPr>
          <w:color w:val="000000"/>
          <w:sz w:val="20"/>
          <w:szCs w:val="20"/>
        </w:rPr>
        <w:instrText>author&gt;&lt;author&gt;Shi, Leisheng&lt;/author&gt;&lt;author&gt;Zhang, Kun&lt;/author&gt;&lt;author&gt;Zhang, Yi&lt;/author&gt;&lt;author&gt;Hu, Shanshan&lt;/author&gt;&lt;author&gt;Zhao, Tingting&lt;/author&gt;&lt;author&gt;Teng, Huajing&lt;/author&gt;&lt;author&gt;Li, Xianfeng&lt;/author&gt;&lt;author&gt;Jiang, Yi&lt;/author&gt;&lt;author&gt;Ji, Liying&lt;/a</w:instrText>
      </w:r>
      <w:r>
        <w:rPr>
          <w:color w:val="000000"/>
          <w:sz w:val="20"/>
          <w:szCs w:val="20"/>
        </w:rPr>
        <w:instrText>uthor&gt;&lt;/authors&gt;&lt;/contributors&gt;&lt;titles&gt;&lt;title&gt;VarCards: an integrated genetic and clinical database for coding variants in the human genome&lt;/title&gt;&lt;secondary-title&gt;Nucleic acids research&lt;/secondary-title&gt;&lt;/titles&gt;&lt;periodical&gt;&lt;full-title&gt;Nucleic acids resea</w:instrText>
      </w:r>
      <w:r>
        <w:rPr>
          <w:color w:val="000000"/>
          <w:sz w:val="20"/>
          <w:szCs w:val="20"/>
        </w:rPr>
        <w:instrText>rch&lt;/full-title&gt;&lt;/periodical&gt;&lt;pages&gt;D1039-D1048&lt;/pages&gt;&lt;volume&gt;46&lt;/volume&gt;&lt;number&gt;D1&lt;/number&gt;&lt;dates&gt;&lt;year&gt;2018&lt;/year&gt;&lt;/dates&gt;&lt;isbn&gt;0305-1048&lt;/isbn&gt;&lt;urls&gt;&lt;/urls&gt;&lt;/record&gt;&lt;/Cite&gt;&lt;/EndNote&gt;</w:instrText>
      </w:r>
      <w:r>
        <w:rPr>
          <w:color w:val="000000"/>
          <w:sz w:val="20"/>
          <w:szCs w:val="20"/>
        </w:rPr>
        <w:fldChar w:fldCharType="separate"/>
      </w:r>
      <w:r>
        <w:rPr>
          <w:noProof/>
          <w:color w:val="000000"/>
          <w:sz w:val="20"/>
          <w:szCs w:val="20"/>
        </w:rPr>
        <w:t>[53]</w:t>
      </w:r>
      <w:r>
        <w:rPr>
          <w:color w:val="000000"/>
          <w:sz w:val="20"/>
          <w:szCs w:val="20"/>
        </w:rPr>
        <w:fldChar w:fldCharType="end"/>
      </w:r>
      <w:r>
        <w:rPr>
          <w:color w:val="000000"/>
          <w:sz w:val="20"/>
          <w:szCs w:val="20"/>
        </w:rPr>
        <w:t xml:space="preserve">. </w:t>
      </w:r>
    </w:p>
    <w:p w:rsidR="00877997" w:rsidRDefault="00877997">
      <w:pPr>
        <w:rPr>
          <w:color w:val="000000"/>
          <w:sz w:val="20"/>
          <w:szCs w:val="20"/>
        </w:rPr>
      </w:pPr>
    </w:p>
    <w:p w:rsidR="00877997" w:rsidRDefault="00877997">
      <w:pPr>
        <w:rPr>
          <w:color w:val="000000"/>
          <w:sz w:val="20"/>
          <w:szCs w:val="20"/>
        </w:rPr>
      </w:pPr>
    </w:p>
    <w:p w:rsidR="00877997" w:rsidRDefault="00877997">
      <w:pPr>
        <w:rPr>
          <w:color w:val="000000"/>
          <w:sz w:val="20"/>
          <w:szCs w:val="20"/>
        </w:rPr>
      </w:pPr>
    </w:p>
    <w:p w:rsidR="00877997" w:rsidRDefault="00877997">
      <w:pPr>
        <w:rPr>
          <w:color w:val="000000"/>
          <w:sz w:val="20"/>
          <w:szCs w:val="20"/>
        </w:rPr>
      </w:pPr>
    </w:p>
    <w:p w:rsidR="00877997" w:rsidRDefault="00CB0676">
      <w:pPr>
        <w:rPr>
          <w:b/>
          <w:color w:val="000000"/>
          <w:sz w:val="20"/>
          <w:szCs w:val="20"/>
        </w:rPr>
      </w:pPr>
      <w:r>
        <w:rPr>
          <w:b/>
          <w:color w:val="000000"/>
          <w:sz w:val="20"/>
          <w:szCs w:val="20"/>
        </w:rPr>
        <w:t>Table</w:t>
      </w:r>
      <w:r>
        <w:rPr>
          <w:color w:val="000000"/>
          <w:sz w:val="20"/>
          <w:szCs w:val="20"/>
        </w:rPr>
        <w:t xml:space="preserve"> </w:t>
      </w:r>
      <w:r>
        <w:rPr>
          <w:b/>
          <w:color w:val="000000"/>
          <w:sz w:val="20"/>
          <w:szCs w:val="20"/>
        </w:rPr>
        <w:t xml:space="preserve">2 | </w:t>
      </w:r>
      <w:r>
        <w:rPr>
          <w:color w:val="000000"/>
          <w:sz w:val="20"/>
          <w:szCs w:val="16"/>
        </w:rPr>
        <w:t>Selection of commonly applied in silico predic</w:t>
      </w:r>
      <w:r>
        <w:rPr>
          <w:color w:val="000000"/>
          <w:sz w:val="20"/>
          <w:szCs w:val="16"/>
        </w:rPr>
        <w:t>tion tools available for variant prioritisation.</w:t>
      </w:r>
    </w:p>
    <w:p w:rsidR="00877997" w:rsidRDefault="00877997">
      <w:pPr>
        <w:rPr>
          <w:b/>
          <w:color w:val="000000"/>
          <w:sz w:val="20"/>
          <w:szCs w:val="20"/>
        </w:rPr>
      </w:pPr>
    </w:p>
    <w:tbl>
      <w:tblPr>
        <w:tblStyle w:val="PlainTable3"/>
        <w:tblW w:w="9454" w:type="dxa"/>
        <w:tblLook w:val="04A0" w:firstRow="1" w:lastRow="0" w:firstColumn="1" w:lastColumn="0" w:noHBand="0" w:noVBand="1"/>
      </w:tblPr>
      <w:tblGrid>
        <w:gridCol w:w="1392"/>
        <w:gridCol w:w="1570"/>
        <w:gridCol w:w="4367"/>
        <w:gridCol w:w="2125"/>
      </w:tblGrid>
      <w:tr w:rsidR="00877997" w:rsidTr="008779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877997" w:rsidRDefault="00CB0676">
            <w:pPr>
              <w:spacing w:line="360" w:lineRule="auto"/>
              <w:rPr>
                <w:rFonts w:ascii="inherit" w:hAnsi="inherit"/>
                <w:b w:val="0"/>
                <w:bCs w:val="0"/>
                <w:color w:val="000000"/>
                <w:sz w:val="16"/>
                <w:szCs w:val="16"/>
              </w:rPr>
            </w:pPr>
            <w:r>
              <w:rPr>
                <w:rFonts w:ascii="inherit" w:hAnsi="inherit"/>
                <w:b w:val="0"/>
                <w:bCs w:val="0"/>
                <w:color w:val="000000"/>
                <w:sz w:val="16"/>
                <w:szCs w:val="16"/>
              </w:rPr>
              <w:t>Category </w:t>
            </w:r>
          </w:p>
        </w:tc>
        <w:tc>
          <w:tcPr>
            <w:tcW w:w="0" w:type="auto"/>
          </w:tcPr>
          <w:p w:rsidR="00877997" w:rsidRDefault="00CB0676">
            <w:pPr>
              <w:spacing w:line="360" w:lineRule="auto"/>
              <w:cnfStyle w:val="100000000000" w:firstRow="1" w:lastRow="0" w:firstColumn="0" w:lastColumn="0" w:oddVBand="0" w:evenVBand="0" w:oddHBand="0" w:evenHBand="0" w:firstRowFirstColumn="0" w:firstRowLastColumn="0" w:lastRowFirstColumn="0" w:lastRowLastColumn="0"/>
              <w:rPr>
                <w:rFonts w:ascii="inherit" w:hAnsi="inherit"/>
                <w:b w:val="0"/>
                <w:bCs w:val="0"/>
                <w:color w:val="000000"/>
                <w:sz w:val="16"/>
                <w:szCs w:val="16"/>
              </w:rPr>
            </w:pPr>
            <w:r>
              <w:rPr>
                <w:rFonts w:ascii="inherit" w:hAnsi="inherit"/>
                <w:b w:val="0"/>
                <w:bCs w:val="0"/>
                <w:color w:val="000000"/>
                <w:sz w:val="16"/>
                <w:szCs w:val="16"/>
              </w:rPr>
              <w:t>Algorithm </w:t>
            </w:r>
          </w:p>
        </w:tc>
        <w:tc>
          <w:tcPr>
            <w:tcW w:w="4367" w:type="dxa"/>
          </w:tcPr>
          <w:p w:rsidR="00877997" w:rsidRDefault="00CB0676">
            <w:pPr>
              <w:spacing w:line="360" w:lineRule="auto"/>
              <w:cnfStyle w:val="100000000000" w:firstRow="1" w:lastRow="0" w:firstColumn="0" w:lastColumn="0" w:oddVBand="0" w:evenVBand="0" w:oddHBand="0" w:evenHBand="0" w:firstRowFirstColumn="0" w:firstRowLastColumn="0" w:lastRowFirstColumn="0" w:lastRowLastColumn="0"/>
              <w:rPr>
                <w:rFonts w:ascii="inherit" w:hAnsi="inherit"/>
                <w:b w:val="0"/>
                <w:bCs w:val="0"/>
                <w:color w:val="000000"/>
                <w:sz w:val="16"/>
                <w:szCs w:val="16"/>
              </w:rPr>
            </w:pPr>
            <w:r>
              <w:rPr>
                <w:rFonts w:ascii="inherit" w:hAnsi="inherit"/>
                <w:b w:val="0"/>
                <w:bCs w:val="0"/>
                <w:color w:val="000000"/>
                <w:sz w:val="16"/>
                <w:szCs w:val="16"/>
              </w:rPr>
              <w:t>Source </w:t>
            </w:r>
          </w:p>
        </w:tc>
        <w:tc>
          <w:tcPr>
            <w:tcW w:w="2125" w:type="dxa"/>
          </w:tcPr>
          <w:p w:rsidR="00877997" w:rsidRDefault="00CB0676">
            <w:pPr>
              <w:spacing w:line="360" w:lineRule="auto"/>
              <w:cnfStyle w:val="100000000000" w:firstRow="1" w:lastRow="0" w:firstColumn="0" w:lastColumn="0" w:oddVBand="0" w:evenVBand="0" w:oddHBand="0" w:evenHBand="0" w:firstRowFirstColumn="0" w:firstRowLastColumn="0" w:lastRowFirstColumn="0" w:lastRowLastColumn="0"/>
              <w:rPr>
                <w:rFonts w:ascii="inherit" w:hAnsi="inherit"/>
                <w:b w:val="0"/>
                <w:bCs w:val="0"/>
                <w:color w:val="000000"/>
                <w:sz w:val="16"/>
                <w:szCs w:val="16"/>
              </w:rPr>
            </w:pPr>
            <w:r>
              <w:rPr>
                <w:rFonts w:ascii="inherit" w:hAnsi="inherit"/>
                <w:b w:val="0"/>
                <w:bCs w:val="0"/>
                <w:color w:val="000000"/>
                <w:sz w:val="16"/>
                <w:szCs w:val="16"/>
              </w:rPr>
              <w:t>Principle </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7F7F7F"/>
            </w:tcBorders>
          </w:tcPr>
          <w:p w:rsidR="00877997" w:rsidRDefault="00CB0676">
            <w:pPr>
              <w:spacing w:line="360" w:lineRule="auto"/>
              <w:rPr>
                <w:rFonts w:ascii="inherit" w:hAnsi="inherit"/>
                <w:color w:val="000000"/>
                <w:sz w:val="16"/>
                <w:szCs w:val="16"/>
              </w:rPr>
            </w:pPr>
            <w:r>
              <w:rPr>
                <w:rFonts w:ascii="inherit" w:hAnsi="inherit"/>
                <w:color w:val="000000"/>
                <w:sz w:val="16"/>
                <w:szCs w:val="16"/>
              </w:rPr>
              <w:t>Non-synonymous SNV prediction </w:t>
            </w:r>
          </w:p>
        </w:tc>
        <w:tc>
          <w:tcPr>
            <w:tcW w:w="0" w:type="auto"/>
            <w:tcBorders>
              <w:top w:val="single" w:sz="4" w:space="0" w:color="7F7F7F"/>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SIFT</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&lt;EndNote&gt;&lt;Cite&gt;&lt;Author&gt;Sim&lt;/Author&gt;&lt;Year&gt;2012&lt;/Year&gt;&lt;RecNum&gt;43&lt;/RecNum&gt;&lt;DisplayText&gt;[54]&lt;/DisplayText&gt;&lt;record&gt;&lt;rec-number&gt;43&lt;/rec-number&gt;&lt;foreign-keys&gt;&lt;key app="EN" db-id="d0vstffei2ze5sew5fwxp0dq9zxs5pvvsxpv" timestamp="1579917595"&gt;43&lt;/key&gt;</w:instrText>
            </w:r>
            <w:r>
              <w:rPr>
                <w:rFonts w:ascii="inherit" w:hAnsi="inherit"/>
                <w:color w:val="000000"/>
                <w:sz w:val="16"/>
                <w:szCs w:val="16"/>
              </w:rPr>
              <w:instrText>&lt;/foreign-keys&gt;&lt;ref-type name="Journal Article"&gt;17&lt;/ref-type&gt;&lt;contributors&gt;&lt;authors&gt;&lt;author&gt;Sim, Ngak-Leng&lt;/author&gt;&lt;author&gt;Kumar, Prateek&lt;/author&gt;&lt;author&gt;Hu, Jing&lt;/author&gt;&lt;author&gt;Henikoff, Steven&lt;/author&gt;&lt;author&gt;Schneider, Georg&lt;/author&gt;&lt;author&gt;Ng, Pauline</w:instrText>
            </w:r>
            <w:r>
              <w:rPr>
                <w:rFonts w:ascii="inherit" w:hAnsi="inherit"/>
                <w:color w:val="000000"/>
                <w:sz w:val="16"/>
                <w:szCs w:val="16"/>
              </w:rPr>
              <w:instrText xml:space="preserve"> C&lt;/author&gt;&lt;/authors&gt;&lt;/contributors&gt;&lt;titles&gt;&lt;title&gt;SIFT web server: predicting effects of amino acid substitutions on proteins&lt;/title&gt;&lt;secondary-title&gt;Nucleic acids research&lt;/secondary-title&gt;&lt;/titles&gt;&lt;periodical&gt;&lt;full-title&gt;Nucleic acids research&lt;/full-tit</w:instrText>
            </w:r>
            <w:r>
              <w:rPr>
                <w:rFonts w:ascii="inherit" w:hAnsi="inherit"/>
                <w:color w:val="000000"/>
                <w:sz w:val="16"/>
                <w:szCs w:val="16"/>
              </w:rPr>
              <w:instrText>le&gt;&lt;/periodical&gt;&lt;pages&gt;W452-W457&lt;/pages&gt;&lt;volume&gt;40&lt;/volume&gt;&lt;number&gt;W1&lt;/number&gt;&lt;dates&gt;&lt;year&gt;2012&lt;/year&gt;&lt;/dates&gt;&lt;isbn&gt;0305-1048&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[54]</w:t>
            </w:r>
            <w:r>
              <w:rPr>
                <w:rFonts w:ascii="inherit" w:hAnsi="inherit"/>
                <w:color w:val="000000"/>
                <w:sz w:val="16"/>
                <w:szCs w:val="16"/>
              </w:rPr>
              <w:fldChar w:fldCharType="end"/>
            </w:r>
          </w:p>
        </w:tc>
        <w:tc>
          <w:tcPr>
            <w:tcW w:w="4367" w:type="dxa"/>
            <w:tcBorders>
              <w:top w:val="single" w:sz="4" w:space="0" w:color="7F7F7F"/>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9" w:tgtFrame="_blank" w:history="1">
              <w:r>
                <w:rPr>
                  <w:rStyle w:val="Hyperlink"/>
                  <w:rFonts w:ascii="inherit" w:hAnsi="inherit"/>
                  <w:color w:val="000000"/>
                  <w:sz w:val="16"/>
                  <w:szCs w:val="16"/>
                </w:rPr>
                <w:t>http://sift.jcvi.org</w:t>
              </w:r>
            </w:hyperlink>
            <w:r>
              <w:rPr>
                <w:rFonts w:ascii="inherit" w:hAnsi="inherit"/>
                <w:color w:val="000000"/>
                <w:sz w:val="16"/>
                <w:szCs w:val="16"/>
              </w:rPr>
              <w:t> </w:t>
            </w:r>
          </w:p>
        </w:tc>
        <w:tc>
          <w:tcPr>
            <w:tcW w:w="2125" w:type="dxa"/>
            <w:tcBorders>
              <w:top w:val="single" w:sz="4" w:space="0" w:color="7F7F7F"/>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Evolu</w:t>
            </w:r>
            <w:r>
              <w:rPr>
                <w:rFonts w:ascii="inherit" w:hAnsi="inherit"/>
                <w:color w:val="000000"/>
                <w:sz w:val="16"/>
                <w:szCs w:val="16"/>
              </w:rPr>
              <w:t>tionary conservation </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PolyPhen-2</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&lt;EndNote&gt;&lt;Cite&gt;&lt;Author&gt;Adzhubei&lt;/Author&gt;&lt;Year&gt;2010&lt;/Year&gt;&lt;RecNum&gt;44&lt;/RecNum&gt;&lt;DisplayText&gt;[55]&lt;/DisplayText&gt;&lt;record&gt;&lt;rec-number&gt;44&lt;/rec-number&gt;&lt;foreign-keys&gt;&lt;key app="EN" db-id="d0vstffei2ze5sew5fwxp0dq9zxs5pvvsxpv" timestamp="1579917625"&gt;44&lt;</w:instrText>
            </w:r>
            <w:r>
              <w:rPr>
                <w:rFonts w:ascii="inherit" w:hAnsi="inherit"/>
                <w:color w:val="000000"/>
                <w:sz w:val="16"/>
                <w:szCs w:val="16"/>
              </w:rPr>
              <w:instrText>/key&gt;&lt;/foreign-keys&gt;&lt;ref-type name="Journal Article"&gt;17&lt;/ref-type&gt;&lt;contributors&gt;&lt;authors&gt;&lt;author&gt;Adzhubei, Ivan A&lt;/author&gt;&lt;author&gt;Schmidt, Steffen&lt;/author&gt;&lt;author&gt;Peshkin, Leonid&lt;/author&gt;&lt;author&gt;Ramensky, Vasily E&lt;/author&gt;&lt;author&gt;Gerasimova, Anna&lt;/author&gt;&lt;</w:instrText>
            </w:r>
            <w:r>
              <w:rPr>
                <w:rFonts w:ascii="inherit" w:hAnsi="inherit"/>
                <w:color w:val="000000"/>
                <w:sz w:val="16"/>
                <w:szCs w:val="16"/>
              </w:rPr>
              <w:instrText>author&gt;Bork, Peer&lt;/author&gt;&lt;author&gt;Kondrashov, Alexey S&lt;/author&gt;&lt;author&gt;Sunyaev, Shamil R&lt;/author&gt;&lt;/authors&gt;&lt;/contributors&gt;&lt;titles&gt;&lt;title&gt;A method and server for predicting damaging missense mutations&lt;/title&gt;&lt;secondary-title&gt;Nature methods&lt;/secondary-title&gt;</w:instrText>
            </w:r>
            <w:r>
              <w:rPr>
                <w:rFonts w:ascii="inherit" w:hAnsi="inherit"/>
                <w:color w:val="000000"/>
                <w:sz w:val="16"/>
                <w:szCs w:val="16"/>
              </w:rPr>
              <w:instrText>&lt;/titles&gt;&lt;periodical&gt;&lt;full-title&gt;Nature methods&lt;/full-title&gt;&lt;/periodical&gt;&lt;pages&gt;248-249&lt;/pages&gt;&lt;volume&gt;7&lt;/volume&gt;&lt;number&gt;4&lt;/number&gt;&lt;dates&gt;&lt;year&gt;2010&lt;/year&gt;&lt;/dates&gt;&lt;isbn&gt;1548-7105&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[55]</w:t>
            </w:r>
            <w:r>
              <w:rPr>
                <w:rFonts w:ascii="inherit" w:hAnsi="inherit"/>
                <w:color w:val="000000"/>
                <w:sz w:val="16"/>
                <w:szCs w:val="16"/>
              </w:rPr>
              <w:fldChar w:fldCharType="end"/>
            </w:r>
            <w:r>
              <w:rPr>
                <w:rFonts w:ascii="inherit" w:hAnsi="inherit"/>
                <w:color w:val="000000"/>
                <w:sz w:val="16"/>
                <w:szCs w:val="16"/>
              </w:rPr>
              <w:t xml:space="preserve"> </w:t>
            </w:r>
          </w:p>
        </w:tc>
        <w:tc>
          <w:tcPr>
            <w:tcW w:w="4367"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10" w:tgtFrame="_blank" w:history="1">
              <w:r>
                <w:rPr>
                  <w:rStyle w:val="Hyperlink"/>
                  <w:rFonts w:ascii="inherit" w:hAnsi="inherit"/>
                  <w:color w:val="000000"/>
                  <w:sz w:val="16"/>
                  <w:szCs w:val="16"/>
                </w:rPr>
                <w:t>http://genetics.bwh.harvard.edu/pph2</w:t>
              </w:r>
            </w:hyperlink>
            <w:r>
              <w:rPr>
                <w:rFonts w:ascii="inherit" w:hAnsi="inherit"/>
                <w:color w:val="000000"/>
                <w:sz w:val="16"/>
                <w:szCs w:val="16"/>
              </w:rPr>
              <w:t> </w:t>
            </w:r>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Evolutionary conservation and protein structure/function </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MutationTaster</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&lt;EndNote&gt;&lt;Cite&gt;&lt;Author&gt;Schwarz&lt;/Author&gt;&lt;Year&gt;2014&lt;/Year&gt;&lt;RecNum&gt;45&lt;/RecNum&gt;&lt;DisplayText</w:instrText>
            </w:r>
            <w:r>
              <w:rPr>
                <w:rFonts w:ascii="inherit" w:hAnsi="inherit"/>
                <w:color w:val="000000"/>
                <w:sz w:val="16"/>
                <w:szCs w:val="16"/>
              </w:rPr>
              <w:instrText>&gt;[56]&lt;/DisplayText&gt;&lt;record&gt;&lt;rec-number&gt;45&lt;/rec-number&gt;&lt;foreign-keys&gt;&lt;key app="EN" db-id="d0vstffei2ze5sew5fwxp0dq9zxs5pvvsxpv" timestamp="1579917673"&gt;45&lt;/key&gt;&lt;/foreign-keys&gt;&lt;ref-type name="Journal Article"&gt;17&lt;/ref-type&gt;&lt;contributors&gt;&lt;authors&gt;&lt;author&gt;Schwar</w:instrText>
            </w:r>
            <w:r>
              <w:rPr>
                <w:rFonts w:ascii="inherit" w:hAnsi="inherit"/>
                <w:color w:val="000000"/>
                <w:sz w:val="16"/>
                <w:szCs w:val="16"/>
              </w:rPr>
              <w:instrText>z, Jana Marie&lt;/author&gt;&lt;author&gt;Cooper, David N&lt;/author&gt;&lt;author&gt;Schuelke, Markus&lt;/author&gt;&lt;author&gt;Seelow, Dominik&lt;/author&gt;&lt;/authors&gt;&lt;/contributors&gt;&lt;titles&gt;&lt;title&gt;MutationTaster2: mutation prediction for the deep-sequencing age&lt;/title&gt;&lt;secondary-title&gt;Nature m</w:instrText>
            </w:r>
            <w:r>
              <w:rPr>
                <w:rFonts w:ascii="inherit" w:hAnsi="inherit"/>
                <w:color w:val="000000"/>
                <w:sz w:val="16"/>
                <w:szCs w:val="16"/>
              </w:rPr>
              <w:instrText>ethods&lt;/secondary-title&gt;&lt;/titles&gt;&lt;periodical&gt;&lt;full-title&gt;Nature methods&lt;/full-title&gt;&lt;/periodical&gt;&lt;pages&gt;361-362&lt;/pages&gt;&lt;volume&gt;11&lt;/volume&gt;&lt;number&gt;4&lt;/number&gt;&lt;dates&gt;&lt;year&gt;2014&lt;/year&gt;&lt;/dates&gt;&lt;isbn&gt;1548-7105&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[56]</w:t>
            </w:r>
            <w:r>
              <w:rPr>
                <w:rFonts w:ascii="inherit" w:hAnsi="inherit"/>
                <w:color w:val="000000"/>
                <w:sz w:val="16"/>
                <w:szCs w:val="16"/>
              </w:rPr>
              <w:fldChar w:fldCharType="end"/>
            </w:r>
            <w:r>
              <w:rPr>
                <w:rFonts w:ascii="inherit" w:hAnsi="inherit"/>
                <w:color w:val="000000"/>
                <w:sz w:val="16"/>
                <w:szCs w:val="16"/>
              </w:rPr>
              <w:t xml:space="preserve"> </w:t>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11" w:tgtFrame="_blank" w:history="1">
              <w:r>
                <w:rPr>
                  <w:rStyle w:val="Hyperlink"/>
                  <w:rFonts w:ascii="inherit" w:hAnsi="inherit"/>
                  <w:color w:val="000000"/>
                  <w:sz w:val="16"/>
                  <w:szCs w:val="16"/>
                </w:rPr>
                <w:t>http://www.mutationtaster.org</w:t>
              </w:r>
            </w:hyperlink>
            <w:r>
              <w:rPr>
                <w:rFonts w:ascii="inherit" w:hAnsi="inherit"/>
                <w:color w:val="000000"/>
                <w:sz w:val="16"/>
                <w:szCs w:val="16"/>
              </w:rPr>
              <w:t> </w:t>
            </w:r>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Evolutionary conservation and protein structure/function </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Grantham</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&lt;EndNote&gt;&lt;Cite&gt;&lt;Author&gt;Grantham&lt;/Author&gt;&lt;Year&gt;1974&lt;/Year&gt;&lt;RecNum&gt;47&lt;/RecNum&gt;&lt;DisplayText&gt;[57]&lt;/DisplayText&gt;&lt;record&gt;&lt;rec-number&gt;47&lt;/rec-number&gt;&lt;foreign-keys&gt;&lt;key app="EN" db-id="d0vstffei2ze5sew5fwxp0dq9zxs5pvvsxpv" timestamp="1579917823"&gt;47&lt;</w:instrText>
            </w:r>
            <w:r>
              <w:rPr>
                <w:rFonts w:ascii="inherit" w:hAnsi="inherit"/>
                <w:color w:val="000000"/>
                <w:sz w:val="16"/>
                <w:szCs w:val="16"/>
              </w:rPr>
              <w:instrText>/key&gt;&lt;/foreign-keys&gt;&lt;ref-type name="Journal Article"&gt;17&lt;/ref-type&gt;&lt;contributors&gt;&lt;authors&gt;&lt;author&gt;Grantham, Richard&lt;/author&gt;&lt;/authors&gt;&lt;/contributors&gt;&lt;titles&gt;&lt;title&gt;Amino acid difference formula to help explain protein evolution&lt;/title&gt;&lt;secondary-title&gt;Scien</w:instrText>
            </w:r>
            <w:r>
              <w:rPr>
                <w:rFonts w:ascii="inherit" w:hAnsi="inherit"/>
                <w:color w:val="000000"/>
                <w:sz w:val="16"/>
                <w:szCs w:val="16"/>
              </w:rPr>
              <w:instrText>ce&lt;/secondary-title&gt;&lt;/titles&gt;&lt;periodical&gt;&lt;full-title&gt;Science&lt;/full-title&gt;&lt;/periodical&gt;&lt;pages&gt;862-864&lt;/pages&gt;&lt;volume&gt;185&lt;/volume&gt;&lt;number&gt;4154&lt;/number&gt;&lt;dates&gt;&lt;year&gt;1974&lt;/year&gt;&lt;/dates&gt;&lt;isbn&gt;0036-8075&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[57]</w:t>
            </w:r>
            <w:r>
              <w:rPr>
                <w:rFonts w:ascii="inherit" w:hAnsi="inherit"/>
                <w:color w:val="000000"/>
                <w:sz w:val="16"/>
                <w:szCs w:val="16"/>
              </w:rPr>
              <w:fldChar w:fldCharType="end"/>
            </w:r>
          </w:p>
        </w:tc>
        <w:tc>
          <w:tcPr>
            <w:tcW w:w="4367"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12" w:history="1">
              <w:r>
                <w:rPr>
                  <w:rStyle w:val="Hyperlink"/>
                  <w:rFonts w:ascii="inherit" w:hAnsi="inherit"/>
                  <w:color w:val="000000"/>
                  <w:sz w:val="16"/>
                  <w:szCs w:val="16"/>
                </w:rPr>
                <w:t>https://gist.github.com/danielecook/</w:t>
              </w:r>
            </w:hyperlink>
            <w:r>
              <w:rPr>
                <w:rFonts w:ascii="inherit" w:hAnsi="inherit"/>
                <w:color w:val="000000"/>
                <w:sz w:val="16"/>
                <w:szCs w:val="16"/>
              </w:rPr>
              <w:t xml:space="preserve"> </w:t>
            </w:r>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Biological consequence of amino-acid change </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PROVEAN</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&lt;EndNote&gt;&lt;Cite&gt;&lt;Author&gt;Choi&lt;/Author&gt;&lt;Year&gt;2012&lt;/Year&gt;&lt;RecNum&gt;46&lt;/RecNum&gt;&lt;DisplayText&gt;[58]&lt;/DisplayText</w:instrText>
            </w:r>
            <w:r>
              <w:rPr>
                <w:rFonts w:ascii="inherit" w:hAnsi="inherit"/>
                <w:color w:val="000000"/>
                <w:sz w:val="16"/>
                <w:szCs w:val="16"/>
              </w:rPr>
              <w:instrText>&gt;&lt;record&gt;&lt;rec-number&gt;46&lt;/rec-number&gt;&lt;foreign-keys&gt;&lt;key app="EN" db-id="d0vstffei2ze5sew5fwxp0dq9zxs5pvvsxpv" timestamp="1579917724"&gt;46&lt;/key&gt;&lt;/foreign-keys&gt;&lt;ref-type name="Journal Article"&gt;17&lt;/ref-type&gt;&lt;contributors&gt;&lt;authors&gt;&lt;author&gt;Choi, Yongwook&lt;/author&gt;&lt;</w:instrText>
            </w:r>
            <w:r>
              <w:rPr>
                <w:rFonts w:ascii="inherit" w:hAnsi="inherit"/>
                <w:color w:val="000000"/>
                <w:sz w:val="16"/>
                <w:szCs w:val="16"/>
              </w:rPr>
              <w:instrText>author&gt;Sims, Gregory E&lt;/author&gt;&lt;author&gt;Murphy, Sean&lt;/author&gt;&lt;author&gt;Miller, Jason R&lt;/author&gt;&lt;author&gt;Chan, Agnes P&lt;/author&gt;&lt;/authors&gt;&lt;/contributors&gt;&lt;titles&gt;&lt;title&gt;Predicting the functional effect of amino acid substitutions and indels&lt;/title&gt;&lt;secondary-titl</w:instrText>
            </w:r>
            <w:r>
              <w:rPr>
                <w:rFonts w:ascii="inherit" w:hAnsi="inherit"/>
                <w:color w:val="000000"/>
                <w:sz w:val="16"/>
                <w:szCs w:val="16"/>
              </w:rPr>
              <w:instrText>e&gt;PloS one&lt;/secondary-title&gt;&lt;/titles&gt;&lt;periodical&gt;&lt;full-title&gt;PloS one&lt;/full-title&gt;&lt;/periodical&gt;&lt;volume&gt;7&lt;/volume&gt;&lt;number&gt;10&lt;/number&gt;&lt;dates&gt;&lt;year&gt;2012&lt;/year&gt;&lt;/dates&gt;&lt;urls&gt;&lt;/urls&gt;&lt;/record&gt;&lt;/Cite&gt;&lt;/EndNote&gt;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[58]</w:t>
            </w:r>
            <w:r>
              <w:rPr>
                <w:rFonts w:ascii="inherit" w:hAnsi="inherit"/>
                <w:color w:val="000000"/>
                <w:sz w:val="16"/>
                <w:szCs w:val="16"/>
              </w:rPr>
              <w:fldChar w:fldCharType="end"/>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16"/>
              </w:rPr>
            </w:pPr>
            <w:hyperlink r:id="rId13" w:history="1">
              <w:r>
                <w:rPr>
                  <w:rStyle w:val="Hyperlink"/>
                  <w:rFonts w:ascii="inherit" w:hAnsi="inherit"/>
                  <w:color w:val="000000"/>
                  <w:sz w:val="16"/>
                  <w:szCs w:val="16"/>
                </w:rPr>
                <w:t>http:</w:t>
              </w:r>
              <w:r>
                <w:rPr>
                  <w:rStyle w:val="Hyperlink"/>
                  <w:rFonts w:ascii="inherit" w:hAnsi="inherit"/>
                  <w:color w:val="000000"/>
                  <w:sz w:val="16"/>
                  <w:szCs w:val="16"/>
                </w:rPr>
                <w:t>//provean.jcvi.org</w:t>
              </w:r>
            </w:hyperlink>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Delta score model</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ClinPred</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&lt;EndNote&gt;&lt;Cite&gt;&lt;Author&gt;Alirezaie&lt;/Author&gt;&lt;Year&gt;2018&lt;/Year&gt;&lt;RecNum&gt;118&lt;/RecNum&gt;&lt;DisplayText&gt;[59]&lt;/DisplayText&gt;&lt;record&gt;&lt;rec-number&gt;118&lt;/rec-number&gt;&lt;foreign-keys&gt;&lt;key app="EN" db-id="d0vstffei2ze5s</w:instrText>
            </w:r>
            <w:r>
              <w:rPr>
                <w:rFonts w:ascii="inherit" w:hAnsi="inherit"/>
                <w:color w:val="000000"/>
                <w:sz w:val="16"/>
                <w:szCs w:val="16"/>
              </w:rPr>
              <w:instrText>ew5fwxp0dq9zxs5pvvsxpv" timestamp="1583785621"&gt;118&lt;/key&gt;&lt;/foreign-keys&gt;&lt;ref-type name="Journal Article"&gt;17&lt;/ref-type&gt;&lt;contributors&gt;&lt;authors&gt;&lt;author&gt;Alirezaie, Najmeh&lt;/author&gt;&lt;author&gt;Kernohan, Kristin D&lt;/author&gt;&lt;author&gt;Hartley, Taila&lt;/author&gt;&lt;author&gt;Majewsk</w:instrText>
            </w:r>
            <w:r>
              <w:rPr>
                <w:rFonts w:ascii="inherit" w:hAnsi="inherit"/>
                <w:color w:val="000000"/>
                <w:sz w:val="16"/>
                <w:szCs w:val="16"/>
              </w:rPr>
              <w:instrText>i, Jacek&lt;/author&gt;&lt;author&gt;Hocking, Toby Dylan&lt;/author&gt;&lt;/authors&gt;&lt;/contributors&gt;&lt;titles&gt;&lt;title&gt;ClinPred: prediction tool to identify disease-relevant nonsynonymous single-nucleotide variants&lt;/title&gt;&lt;secondary-title&gt;The American Journal of Human Genetics&lt;/sec</w:instrText>
            </w:r>
            <w:r>
              <w:rPr>
                <w:rFonts w:ascii="inherit" w:hAnsi="inherit"/>
                <w:color w:val="000000"/>
                <w:sz w:val="16"/>
                <w:szCs w:val="16"/>
              </w:rPr>
              <w:instrText>ondary-title&gt;&lt;/titles&gt;&lt;periodical&gt;&lt;full-title&gt;The American Journal of Human Genetics&lt;/full-title&gt;&lt;/periodical&gt;&lt;pages&gt;474-483&lt;/pages&gt;&lt;volume&gt;103&lt;/volume&gt;&lt;number&gt;4&lt;/number&gt;&lt;dates&gt;&lt;year&gt;2018&lt;/year&gt;&lt;/dates&gt;&lt;isbn&gt;0002-9297&lt;/isbn&gt;&lt;urls&gt;&lt;/urls&gt;&lt;/record&gt;&lt;/Cite&gt;&lt;/E</w:instrText>
            </w:r>
            <w:r>
              <w:rPr>
                <w:rFonts w:ascii="inherit" w:hAnsi="inherit"/>
                <w:color w:val="000000"/>
                <w:sz w:val="16"/>
                <w:szCs w:val="16"/>
              </w:rPr>
              <w:instrText>ndNote&gt;</w:instrText>
            </w:r>
            <w:r>
              <w:rPr>
                <w:rFonts w:ascii="inherit" w:hAnsi="inherit"/>
                <w:color w:val="000000"/>
                <w:sz w:val="16"/>
                <w:szCs w:val="16"/>
              </w:rPr>
              <w:fldChar w:fldCharType="separate"/>
            </w:r>
            <w:r>
              <w:rPr>
                <w:rFonts w:ascii="inherit" w:hAnsi="inherit"/>
                <w:noProof/>
                <w:color w:val="000000"/>
                <w:sz w:val="16"/>
                <w:szCs w:val="16"/>
              </w:rPr>
              <w:t>[59]</w:t>
            </w:r>
            <w:r>
              <w:rPr>
                <w:rFonts w:ascii="inherit" w:hAnsi="inherit"/>
                <w:color w:val="000000"/>
                <w:sz w:val="16"/>
                <w:szCs w:val="16"/>
              </w:rPr>
              <w:fldChar w:fldCharType="end"/>
            </w:r>
          </w:p>
        </w:tc>
        <w:tc>
          <w:tcPr>
            <w:tcW w:w="4367"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6"/>
              </w:rPr>
            </w:pPr>
            <w:hyperlink r:id="rId14" w:history="1">
              <w:r>
                <w:rPr>
                  <w:rStyle w:val="Hyperlink"/>
                  <w:color w:val="000000"/>
                  <w:sz w:val="16"/>
                  <w:szCs w:val="16"/>
                </w:rPr>
                <w:t>https://bio.tools/ClinPred</w:t>
              </w:r>
            </w:hyperlink>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Machine learning</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tcPr>
          <w:p w:rsidR="00877997" w:rsidRDefault="00877997">
            <w:pPr>
              <w:spacing w:line="360" w:lineRule="auto"/>
              <w:rPr>
                <w:rFonts w:ascii="inherit" w:hAnsi="inherit"/>
                <w:color w:val="000000"/>
                <w:sz w:val="16"/>
                <w:szCs w:val="16"/>
              </w:rPr>
            </w:pPr>
          </w:p>
        </w:tc>
        <w:tc>
          <w:tcPr>
            <w:tcW w:w="0" w:type="auto"/>
            <w:tcBorders>
              <w:bottom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FunSAV</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&lt;EndNote&gt;&lt;Cite&gt;&lt;Author&gt;Wang&lt;/Author&gt;&lt;Year&gt;2012&lt;/Year&gt;&lt;RecNum&gt;137&lt;/RecNum&gt;&lt;DisplayText&gt;[60]&lt;/DisplayText&gt;&lt;record&gt;&lt;rec-number&gt;137&lt;/rec-number&gt;&lt;foreign-keys&gt;&lt;key app="EN" db-id="d0vstffei2ze5sew5fwxp0dq9zxs5pvvsxpv" timestamp="1583859886"&gt;137&lt;/</w:instrText>
            </w:r>
            <w:r>
              <w:rPr>
                <w:rFonts w:ascii="inherit" w:hAnsi="inherit"/>
                <w:color w:val="000000"/>
                <w:sz w:val="16"/>
                <w:szCs w:val="16"/>
              </w:rPr>
              <w:instrText>key&gt;&lt;/foreign-keys&gt;&lt;ref-type name="Journal Article"&gt;17&lt;/ref-type&gt;&lt;contributors&gt;&lt;authors&gt;&lt;author&gt;Wang, Mingjun&lt;/author&gt;&lt;author&gt;Zhao, Xing-Ming&lt;/author&gt;&lt;author&gt;Takemoto, Kazuhiro&lt;/author&gt;&lt;author&gt;Xu, Haisong&lt;/author&gt;&lt;author&gt;Li, Yuan&lt;/author&gt;&lt;author&gt;Akutsu, Ta</w:instrText>
            </w:r>
            <w:r>
              <w:rPr>
                <w:rFonts w:ascii="inherit" w:hAnsi="inherit"/>
                <w:color w:val="000000"/>
                <w:sz w:val="16"/>
                <w:szCs w:val="16"/>
              </w:rPr>
              <w:instrText>tsuya&lt;/author&gt;&lt;author&gt;Song, Jiangning&lt;/author&gt;&lt;/authors&gt;&lt;/contributors&gt;&lt;titles&gt;&lt;title&gt;FunSAV: predicting the functional effect of single amino acid variants using a two-stage random forest model&lt;/title&gt;&lt;secondary-title&gt;PloS one&lt;/secondary-title&gt;&lt;/titles&gt;&lt;p</w:instrText>
            </w:r>
            <w:r>
              <w:rPr>
                <w:rFonts w:ascii="inherit" w:hAnsi="inherit"/>
                <w:color w:val="000000"/>
                <w:sz w:val="16"/>
                <w:szCs w:val="16"/>
              </w:rPr>
              <w:instrText>eriodical&gt;&lt;full-title&gt;PloS one&lt;/full-title&gt;&lt;/periodical&gt;&lt;volume&gt;7&lt;/volume&gt;&lt;number&gt;8&lt;/number&gt;&lt;dates&gt;&lt;year&gt;2012&lt;/year&gt;&lt;/dates&gt;&lt;urls&gt;&lt;/urls&gt;&lt;/record&gt;&lt;/Cite&gt;&lt;/EndNote&gt;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[60]</w:t>
            </w:r>
            <w:r>
              <w:rPr>
                <w:rFonts w:ascii="inherit" w:hAnsi="inherit"/>
                <w:color w:val="000000"/>
                <w:sz w:val="16"/>
                <w:szCs w:val="16"/>
              </w:rPr>
              <w:fldChar w:fldCharType="end"/>
            </w:r>
          </w:p>
        </w:tc>
        <w:tc>
          <w:tcPr>
            <w:tcW w:w="4367" w:type="dxa"/>
            <w:tcBorders>
              <w:bottom w:val="single" w:sz="4" w:space="0" w:color="000000"/>
            </w:tcBorders>
          </w:tcPr>
          <w:p w:rsidR="00877997" w:rsidRDefault="00CB0676">
            <w:pPr>
              <w:cnfStyle w:val="000000100000" w:firstRow="0" w:lastRow="0" w:firstColumn="0" w:lastColumn="0" w:oddVBand="0" w:evenVBand="0" w:oddHBand="1" w:evenHBand="0" w:firstRowFirstColumn="0" w:firstRowLastColumn="0" w:lastRowFirstColumn="0" w:lastRowLastColumn="0"/>
              <w:rPr>
                <w:color w:val="000000"/>
                <w:sz w:val="15"/>
              </w:rPr>
            </w:pPr>
            <w:hyperlink r:id="rId15" w:history="1">
              <w:r>
                <w:rPr>
                  <w:rStyle w:val="Hyperlink"/>
                  <w:color w:val="000000"/>
                  <w:sz w:val="15"/>
                </w:rPr>
                <w:t>http://sunflower.kuicr.kyoto-u.ac.jp/sjn/FunSAV</w:t>
              </w:r>
            </w:hyperlink>
          </w:p>
        </w:tc>
        <w:tc>
          <w:tcPr>
            <w:tcW w:w="2125" w:type="dxa"/>
            <w:tcBorders>
              <w:bottom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Random forest model</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cBorders>
          </w:tcPr>
          <w:p w:rsidR="00877997" w:rsidRDefault="00CB0676">
            <w:pPr>
              <w:spacing w:line="360" w:lineRule="auto"/>
              <w:rPr>
                <w:rFonts w:ascii="inherit" w:hAnsi="inherit"/>
                <w:color w:val="000000"/>
                <w:sz w:val="16"/>
                <w:szCs w:val="16"/>
              </w:rPr>
            </w:pPr>
            <w:r>
              <w:rPr>
                <w:rFonts w:ascii="inherit" w:hAnsi="inherit"/>
                <w:color w:val="000000"/>
                <w:sz w:val="16"/>
                <w:szCs w:val="16"/>
              </w:rPr>
              <w:t>Synonymous snv prediction </w:t>
            </w:r>
          </w:p>
        </w:tc>
        <w:tc>
          <w:tcPr>
            <w:tcW w:w="0" w:type="auto"/>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FATHMM-MKL</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&lt;EndNote&gt;&lt;Cite&gt;&lt;Author&gt;Shihab&lt;/Author&gt;&lt;Year&gt;2015&lt;/Year&gt;&lt;RecNum&gt;16&lt;/RecNum&gt;&lt;DisplayText&gt;[61]&lt;/DisplayText&gt;&lt;record&gt;&lt;rec-number&gt;16&lt;/rec-nu</w:instrText>
            </w:r>
            <w:r>
              <w:rPr>
                <w:rFonts w:ascii="inherit" w:hAnsi="inherit"/>
                <w:color w:val="000000"/>
                <w:sz w:val="16"/>
                <w:szCs w:val="16"/>
              </w:rPr>
              <w:instrText>mber&gt;&lt;foreign-keys&gt;&lt;key app="EN" db-id="d0vstffei2ze5sew5fwxp0dq9zxs5pvvsxpv" timestamp="1579850610"&gt;16&lt;/key&gt;&lt;/foreign-keys&gt;&lt;ref-type name="Journal Article"&gt;17&lt;/ref-type&gt;&lt;contributors&gt;&lt;authors&gt;&lt;author&gt;Shihab, Hashem A&lt;/author&gt;&lt;author&gt;Rogers, Mark F&lt;/author</w:instrText>
            </w:r>
            <w:r>
              <w:rPr>
                <w:rFonts w:ascii="inherit" w:hAnsi="inherit"/>
                <w:color w:val="000000"/>
                <w:sz w:val="16"/>
                <w:szCs w:val="16"/>
              </w:rPr>
              <w:instrText>&gt;&lt;author&gt;Gough, Julian&lt;/author&gt;&lt;author&gt;Mort, Matthew&lt;/author&gt;&lt;author&gt;Cooper, David N&lt;/author&gt;&lt;author&gt;Day, Ian NM&lt;/author&gt;&lt;author&gt;Gaunt, Tom R&lt;/author&gt;&lt;author&gt;Campbell, Colin&lt;/author&gt;&lt;/authors&gt;&lt;/contributors&gt;&lt;titles&gt;&lt;title&gt;An integrative approach to predict</w:instrText>
            </w:r>
            <w:r>
              <w:rPr>
                <w:rFonts w:ascii="inherit" w:hAnsi="inherit"/>
                <w:color w:val="000000"/>
                <w:sz w:val="16"/>
                <w:szCs w:val="16"/>
              </w:rPr>
              <w:instrText>ing the functional effects of non-coding and coding sequence variation&lt;/title&gt;&lt;secondary-title&gt;Bioinformatics&lt;/secondary-title&gt;&lt;/titles&gt;&lt;periodical&gt;&lt;full-title&gt;Bioinformatics&lt;/full-title&gt;&lt;/periodical&gt;&lt;pages&gt;1536-1543&lt;/pages&gt;&lt;volume&gt;31&lt;/volume&gt;&lt;number&gt;10&lt;/n</w:instrText>
            </w:r>
            <w:r>
              <w:rPr>
                <w:rFonts w:ascii="inherit" w:hAnsi="inherit"/>
                <w:color w:val="000000"/>
                <w:sz w:val="16"/>
                <w:szCs w:val="16"/>
              </w:rPr>
              <w:instrText>umber&gt;&lt;dates&gt;&lt;year&gt;2015&lt;/year&gt;&lt;/dates&gt;&lt;isbn&gt;1460-2059&lt;/isbn&gt;&lt;urls&gt;&lt;/urls&gt;&lt;/record&gt;&lt;/Cite&gt;&lt;/EndNote&gt;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[61]</w:t>
            </w:r>
            <w:r>
              <w:rPr>
                <w:rFonts w:ascii="inherit" w:hAnsi="inherit"/>
                <w:color w:val="000000"/>
                <w:sz w:val="16"/>
                <w:szCs w:val="16"/>
              </w:rPr>
              <w:fldChar w:fldCharType="end"/>
            </w:r>
            <w:r>
              <w:rPr>
                <w:rFonts w:ascii="inherit" w:hAnsi="inherit"/>
                <w:color w:val="000000"/>
                <w:sz w:val="16"/>
                <w:szCs w:val="16"/>
              </w:rPr>
              <w:t> </w:t>
            </w:r>
          </w:p>
        </w:tc>
        <w:tc>
          <w:tcPr>
            <w:tcW w:w="4367" w:type="dxa"/>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16" w:tgtFrame="_blank" w:history="1">
              <w:r>
                <w:rPr>
                  <w:rStyle w:val="Hyperlink"/>
                  <w:rFonts w:ascii="inherit" w:hAnsi="inherit"/>
                  <w:color w:val="000000"/>
                  <w:sz w:val="16"/>
                  <w:szCs w:val="16"/>
                </w:rPr>
                <w:t>http://fathmm.biocompute.org.uk/fathmmMKL.htm</w:t>
              </w:r>
            </w:hyperlink>
            <w:r>
              <w:rPr>
                <w:rFonts w:ascii="inherit" w:hAnsi="inherit"/>
                <w:color w:val="000000"/>
                <w:sz w:val="16"/>
                <w:szCs w:val="16"/>
              </w:rPr>
              <w:t> </w:t>
            </w:r>
          </w:p>
        </w:tc>
        <w:tc>
          <w:tcPr>
            <w:tcW w:w="2125" w:type="dxa"/>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Sequence conservation within hidden Markov models </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GWAVA</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&lt;EndNote&gt;&lt;Cite&gt;&lt;Author&gt;Ritchie&lt;/Author&gt;&lt;Year&gt;2014&lt;/Year&gt;&lt;RecNum&gt;18&lt;/RecNum&gt;&lt;DisplayText&gt;[62]&lt;/DisplayText&gt;&lt;record&gt;&lt;rec-number&gt;18&lt;/rec-nu</w:instrText>
            </w:r>
            <w:r>
              <w:rPr>
                <w:rFonts w:ascii="inherit" w:hAnsi="inherit"/>
                <w:color w:val="000000"/>
                <w:sz w:val="16"/>
                <w:szCs w:val="16"/>
              </w:rPr>
              <w:instrText>mber&gt;&lt;foreign-keys&gt;&lt;key app="EN" db-id="d0vstffei2ze5sew5fwxp0dq9zxs5pvvsxpv" timestamp="1579850700"&gt;18&lt;/key&gt;&lt;/foreign-keys&gt;&lt;ref-type name="Journal Article"&gt;17&lt;/ref-type&gt;&lt;contributors&gt;&lt;authors&gt;&lt;author&gt;Ritchie, Graham RS&lt;/author&gt;&lt;author&gt;Dunham, Ian&lt;/author&gt;</w:instrText>
            </w:r>
            <w:r>
              <w:rPr>
                <w:rFonts w:ascii="inherit" w:hAnsi="inherit"/>
                <w:color w:val="000000"/>
                <w:sz w:val="16"/>
                <w:szCs w:val="16"/>
              </w:rPr>
              <w:instrText>&lt;author&gt;Zeggini, Eleftheria&lt;/author&gt;&lt;author&gt;Flicek, Paul&lt;/author&gt;&lt;/authors&gt;&lt;/contributors&gt;&lt;titles&gt;&lt;title&gt;Functional annotation of noncoding sequence variants&lt;/title&gt;&lt;secondary-title&gt;Nature methods&lt;/secondary-title&gt;&lt;/titles&gt;&lt;periodical&gt;&lt;full-title&gt;Nature me</w:instrText>
            </w:r>
            <w:r>
              <w:rPr>
                <w:rFonts w:ascii="inherit" w:hAnsi="inherit"/>
                <w:color w:val="000000"/>
                <w:sz w:val="16"/>
                <w:szCs w:val="16"/>
              </w:rPr>
              <w:instrText>thods&lt;/full-title&gt;&lt;/periodical&gt;&lt;pages&gt;294&lt;/pages&gt;&lt;volume&gt;11&lt;/volume&gt;&lt;number&gt;3&lt;/number&gt;&lt;dates&gt;&lt;year&gt;2014&lt;/year&gt;&lt;/dates&gt;&lt;isbn&gt;1548-7105&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[62]</w:t>
            </w:r>
            <w:r>
              <w:rPr>
                <w:rFonts w:ascii="inherit" w:hAnsi="inherit"/>
                <w:color w:val="000000"/>
                <w:sz w:val="16"/>
                <w:szCs w:val="16"/>
              </w:rPr>
              <w:fldChar w:fldCharType="end"/>
            </w:r>
            <w:r>
              <w:rPr>
                <w:rFonts w:ascii="inherit" w:hAnsi="inherit"/>
                <w:color w:val="000000"/>
                <w:sz w:val="16"/>
                <w:szCs w:val="16"/>
              </w:rPr>
              <w:t> </w:t>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17" w:tgtFrame="_blank" w:history="1">
              <w:r>
                <w:rPr>
                  <w:rStyle w:val="Hyperlink"/>
                  <w:rFonts w:ascii="inherit" w:hAnsi="inherit"/>
                  <w:color w:val="000000"/>
                  <w:sz w:val="16"/>
                  <w:szCs w:val="16"/>
                </w:rPr>
                <w:t>https://www.sanger.ac.uk/sanger/StatGen_Gwava</w:t>
              </w:r>
            </w:hyperlink>
            <w:r>
              <w:rPr>
                <w:rFonts w:ascii="inherit" w:hAnsi="inherit"/>
                <w:color w:val="000000"/>
                <w:sz w:val="16"/>
                <w:szCs w:val="16"/>
              </w:rPr>
              <w:t> </w:t>
            </w:r>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Integration of various genomic and epigenomic annotations </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tcPr>
          <w:p w:rsidR="00877997" w:rsidRDefault="00877997">
            <w:pPr>
              <w:spacing w:line="360" w:lineRule="auto"/>
              <w:rPr>
                <w:rFonts w:ascii="inherit" w:hAnsi="inherit"/>
                <w:color w:val="000000"/>
                <w:sz w:val="16"/>
                <w:szCs w:val="16"/>
              </w:rPr>
            </w:pPr>
          </w:p>
        </w:tc>
        <w:tc>
          <w:tcPr>
            <w:tcW w:w="0" w:type="auto"/>
            <w:tcBorders>
              <w:bottom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TraP</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&lt;EndNote&gt;&lt;Cite&gt;&lt;Author&gt;Gelfman&lt;/Author&gt;&lt;Year&gt;2017&lt;/Year&gt;&lt;RecNum&gt;36&lt;/RecNum&gt;&lt;DisplayText&gt;[63]&lt;/DisplayText&gt;&lt;record&gt;&lt;rec-numb</w:instrText>
            </w:r>
            <w:r>
              <w:rPr>
                <w:rFonts w:ascii="inherit" w:hAnsi="inherit"/>
                <w:color w:val="000000"/>
                <w:sz w:val="16"/>
                <w:szCs w:val="16"/>
              </w:rPr>
              <w:instrText>er&gt;36&lt;/rec-number&gt;&lt;foreign-keys&gt;&lt;key app="EN" db-id="d0vstffei2ze5sew5fwxp0dq9zxs5pvvsxpv" timestamp="1579916224"&gt;36&lt;/key&gt;&lt;/foreign-keys&gt;&lt;ref-type name="Journal Article"&gt;17&lt;/ref-type&gt;&lt;contributors&gt;&lt;authors&gt;&lt;author&gt;Gelfman, Sahar&lt;/author&gt;&lt;author&gt;Wang, Quanl</w:instrText>
            </w:r>
            <w:r>
              <w:rPr>
                <w:rFonts w:ascii="inherit" w:hAnsi="inherit"/>
                <w:color w:val="000000"/>
                <w:sz w:val="16"/>
                <w:szCs w:val="16"/>
              </w:rPr>
              <w:instrText>i&lt;/author&gt;&lt;author&gt;McSweeney, K. Melodi&lt;/author&gt;&lt;author&gt;Ren, Zhong&lt;/author&gt;&lt;author&gt;La Carpia, Francesca&lt;/author&gt;&lt;author&gt;Halvorsen, Matt&lt;/author&gt;&lt;author&gt;Schoch, Kelly&lt;/author&gt;&lt;author&gt;Ratzon, Fanni&lt;/author&gt;&lt;author&gt;Heinzen, Erin L.&lt;/author&gt;&lt;author&gt;Boland, Mich</w:instrText>
            </w:r>
            <w:r>
              <w:rPr>
                <w:rFonts w:ascii="inherit" w:hAnsi="inherit"/>
                <w:color w:val="000000"/>
                <w:sz w:val="16"/>
                <w:szCs w:val="16"/>
              </w:rPr>
              <w:instrText>ael J.&lt;/author&gt;&lt;author&gt;Petrovski, Slavé&lt;/author&gt;&lt;author&gt;Goldstein, David B.&lt;/author&gt;&lt;/authors&gt;&lt;/contributors&gt;&lt;titles&gt;&lt;title&gt;Annotating pathogenic non-coding variants in genic regions&lt;/title&gt;&lt;secondary-title&gt;Nature Communications&lt;/secondary-title&gt;&lt;/titles&gt;&lt;</w:instrText>
            </w:r>
            <w:r>
              <w:rPr>
                <w:rFonts w:ascii="inherit" w:hAnsi="inherit"/>
                <w:color w:val="000000"/>
                <w:sz w:val="16"/>
                <w:szCs w:val="16"/>
              </w:rPr>
              <w:instrText>periodical&gt;&lt;full-title&gt;Nature Communications&lt;/full-title&gt;&lt;/periodical&gt;&lt;pages&gt;236&lt;/pages&gt;&lt;volume&gt;8&lt;/volume&gt;&lt;number&gt;1&lt;/number&gt;&lt;dates&gt;&lt;year&gt;2017&lt;/year&gt;&lt;pub-dates&gt;&lt;date&gt;2017/08/09&lt;/date&gt;&lt;/pub-dates&gt;&lt;/dates&gt;&lt;isbn&gt;2041-1723&lt;/isbn&gt;&lt;urls&gt;&lt;related-urls&gt;&lt;url&gt;https:/</w:instrText>
            </w:r>
            <w:r>
              <w:rPr>
                <w:rFonts w:ascii="inherit" w:hAnsi="inherit"/>
                <w:color w:val="000000"/>
                <w:sz w:val="16"/>
                <w:szCs w:val="16"/>
              </w:rPr>
              <w:instrText>/doi.org/10.1038/s41467-017-00141-2&lt;/url&gt;&lt;/related-urls&gt;&lt;/urls&gt;&lt;electronic-resource-num&gt;10.1038/s41467-017-00141-2&lt;/electronic-resource-num&gt;&lt;/record&gt;&lt;/Cite&gt;&lt;/EndNote&gt;</w:instrText>
            </w:r>
            <w:r>
              <w:rPr>
                <w:rFonts w:ascii="inherit" w:hAnsi="inherit"/>
                <w:color w:val="000000"/>
                <w:sz w:val="16"/>
                <w:szCs w:val="16"/>
              </w:rPr>
              <w:fldChar w:fldCharType="separate"/>
            </w:r>
            <w:r>
              <w:rPr>
                <w:rFonts w:ascii="inherit" w:hAnsi="inherit"/>
                <w:noProof/>
                <w:color w:val="000000"/>
                <w:sz w:val="16"/>
                <w:szCs w:val="16"/>
              </w:rPr>
              <w:t>[63]</w:t>
            </w:r>
            <w:r>
              <w:rPr>
                <w:rFonts w:ascii="inherit" w:hAnsi="inherit"/>
                <w:color w:val="000000"/>
                <w:sz w:val="16"/>
                <w:szCs w:val="16"/>
              </w:rPr>
              <w:fldChar w:fldCharType="end"/>
            </w:r>
          </w:p>
        </w:tc>
        <w:tc>
          <w:tcPr>
            <w:tcW w:w="4367" w:type="dxa"/>
            <w:tcBorders>
              <w:bottom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18" w:history="1">
              <w:r>
                <w:rPr>
                  <w:rStyle w:val="Hyperlink"/>
                  <w:rFonts w:ascii="inherit" w:hAnsi="inherit"/>
                  <w:color w:val="000000"/>
                  <w:sz w:val="16"/>
                  <w:szCs w:val="16"/>
                </w:rPr>
                <w:t>http://trap-score.org</w:t>
              </w:r>
            </w:hyperlink>
            <w:r>
              <w:rPr>
                <w:rFonts w:ascii="inherit" w:hAnsi="inherit"/>
                <w:color w:val="000000"/>
                <w:sz w:val="16"/>
                <w:szCs w:val="16"/>
              </w:rPr>
              <w:t xml:space="preserve"> </w:t>
            </w:r>
          </w:p>
        </w:tc>
        <w:tc>
          <w:tcPr>
            <w:tcW w:w="2125" w:type="dxa"/>
            <w:tcBorders>
              <w:bottom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 xml:space="preserve">Integrates </w:t>
            </w:r>
            <w:r>
              <w:rPr>
                <w:rFonts w:ascii="inherit" w:hAnsi="inherit"/>
                <w:color w:val="000000"/>
                <w:sz w:val="16"/>
                <w:szCs w:val="16"/>
              </w:rPr>
              <w:t>sequence motif changes and GERP++</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cBorders>
          </w:tcPr>
          <w:p w:rsidR="00877997" w:rsidRDefault="00CB0676">
            <w:pPr>
              <w:spacing w:line="360" w:lineRule="auto"/>
              <w:rPr>
                <w:rFonts w:ascii="inherit" w:hAnsi="inherit"/>
                <w:color w:val="000000"/>
                <w:sz w:val="16"/>
                <w:szCs w:val="16"/>
              </w:rPr>
            </w:pPr>
            <w:r>
              <w:rPr>
                <w:rFonts w:ascii="inherit" w:hAnsi="inherit"/>
                <w:color w:val="000000"/>
                <w:sz w:val="16"/>
                <w:szCs w:val="16"/>
              </w:rPr>
              <w:t>INDEL PREDICTION</w:t>
            </w:r>
          </w:p>
        </w:tc>
        <w:tc>
          <w:tcPr>
            <w:tcW w:w="0" w:type="auto"/>
            <w:tcBorders>
              <w:top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IndelMINER</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&lt;EndNote&gt;&lt;Cite&gt;&lt;Author&gt;Ratan&lt;/Author&gt;&lt;Year&gt;2015&lt;/Year&gt;&lt;RecNum&gt;86&lt;/RecNum&gt;&lt;DisplayText&gt;[64]&lt;/DisplayText&gt;&lt;record&gt;&lt;rec-number&gt;86&lt;/rec-number&gt;&lt;foreign-keys&gt;&lt;key app="EN" db-id="d0vst</w:instrText>
            </w:r>
            <w:r>
              <w:rPr>
                <w:rFonts w:ascii="inherit" w:hAnsi="inherit"/>
                <w:color w:val="000000"/>
                <w:sz w:val="16"/>
                <w:szCs w:val="16"/>
              </w:rPr>
              <w:instrText>ffei2ze5sew5fwxp0dq9zxs5pvvsxpv" timestamp="1580653170"&gt;86&lt;/key&gt;&lt;/foreign-keys&gt;&lt;ref-type name="Journal Article"&gt;17&lt;/ref-type&gt;&lt;contributors&gt;&lt;authors&gt;&lt;author&gt;Ratan, Aakrosh&lt;/author&gt;&lt;author&gt;Olson, Thomas L.&lt;/author&gt;&lt;author&gt;Loughran, Thomas P.&lt;/author&gt;&lt;author&gt;</w:instrText>
            </w:r>
            <w:r>
              <w:rPr>
                <w:rFonts w:ascii="inherit" w:hAnsi="inherit"/>
                <w:color w:val="000000"/>
                <w:sz w:val="16"/>
                <w:szCs w:val="16"/>
              </w:rPr>
              <w:instrText>Miller, Webb&lt;/author&gt;&lt;/authors&gt;&lt;/contributors&gt;&lt;titles&gt;&lt;title&gt;Identification of indels in next-generation sequencing data&lt;/title&gt;&lt;secondary-title&gt;BMC Bioinformatics&lt;/secondary-title&gt;&lt;/titles&gt;&lt;periodical&gt;&lt;full-title&gt;BMC Bioinformatics&lt;/full-title&gt;&lt;/periodica</w:instrText>
            </w:r>
            <w:r>
              <w:rPr>
                <w:rFonts w:ascii="inherit" w:hAnsi="inherit"/>
                <w:color w:val="000000"/>
                <w:sz w:val="16"/>
                <w:szCs w:val="16"/>
              </w:rPr>
              <w:instrText>l&gt;&lt;pages&gt;42&lt;/pages&gt;&lt;volume&gt;16&lt;/volume&gt;&lt;number&gt;1&lt;/number&gt;&lt;dates&gt;&lt;year&gt;2015&lt;/year&gt;&lt;pub-dates&gt;&lt;date&gt;February 13&lt;/date&gt;&lt;/pub-dates&gt;&lt;/dates&gt;&lt;isbn&gt;1471-2105&lt;/isbn&gt;&lt;label&gt;Ratan2015&lt;/label&gt;&lt;work-type&gt;journal article&lt;/work-type&gt;&lt;urls&gt;&lt;related-urls&gt;&lt;url&gt;https://doi.</w:instrText>
            </w:r>
            <w:r>
              <w:rPr>
                <w:rFonts w:ascii="inherit" w:hAnsi="inherit"/>
                <w:color w:val="000000"/>
                <w:sz w:val="16"/>
                <w:szCs w:val="16"/>
              </w:rPr>
              <w:instrText>org/10.1186/s12859-015-0483-6&lt;/url&gt;&lt;/related-urls&gt;&lt;/urls&gt;&lt;electronic-resource-num&gt;10.1186/s12859-015-0483-6&lt;/electronic-resource-num&gt;&lt;/record&gt;&lt;/Cite&gt;&lt;/EndNote&gt;</w:instrText>
            </w:r>
            <w:r>
              <w:rPr>
                <w:rFonts w:ascii="inherit" w:hAnsi="inherit"/>
                <w:color w:val="000000"/>
                <w:sz w:val="16"/>
                <w:szCs w:val="16"/>
              </w:rPr>
              <w:fldChar w:fldCharType="separate"/>
            </w:r>
            <w:r>
              <w:rPr>
                <w:rFonts w:ascii="inherit" w:hAnsi="inherit"/>
                <w:noProof/>
                <w:color w:val="000000"/>
                <w:sz w:val="16"/>
                <w:szCs w:val="16"/>
              </w:rPr>
              <w:t>[64]</w:t>
            </w:r>
            <w:r>
              <w:rPr>
                <w:rFonts w:ascii="inherit" w:hAnsi="inherit"/>
                <w:color w:val="000000"/>
                <w:sz w:val="16"/>
                <w:szCs w:val="16"/>
              </w:rPr>
              <w:fldChar w:fldCharType="end"/>
            </w:r>
          </w:p>
        </w:tc>
        <w:tc>
          <w:tcPr>
            <w:tcW w:w="4367" w:type="dxa"/>
            <w:tcBorders>
              <w:top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rPr>
            </w:pPr>
            <w:hyperlink r:id="rId19" w:history="1">
              <w:r>
                <w:rPr>
                  <w:rStyle w:val="Hyperlink"/>
                  <w:rFonts w:ascii="inherit" w:hAnsi="inherit"/>
                  <w:color w:val="000000"/>
                  <w:sz w:val="16"/>
                  <w:szCs w:val="16"/>
                </w:rPr>
                <w:t>http://omicstools.com/indelminer-to</w:t>
              </w:r>
              <w:r>
                <w:rPr>
                  <w:rStyle w:val="Hyperlink"/>
                  <w:rFonts w:ascii="inherit" w:hAnsi="inherit"/>
                  <w:color w:val="000000"/>
                  <w:sz w:val="16"/>
                  <w:szCs w:val="16"/>
                </w:rPr>
                <w:t>ol</w:t>
              </w:r>
            </w:hyperlink>
          </w:p>
        </w:tc>
        <w:tc>
          <w:tcPr>
            <w:tcW w:w="2125" w:type="dxa"/>
            <w:tcBorders>
              <w:top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Heuristic model based on split read data</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ABRA</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&lt;EndNote&gt;&lt;Cite&gt;&lt;Author&gt;Mose&lt;/Author&gt;&lt;Year&gt;2014&lt;/Year&gt;&lt;RecNum&gt;87&lt;/RecNum&gt;&lt;DisplayText&gt;[65]&lt;/DisplayText&gt;&lt;record&gt;&lt;rec-number&gt;87&lt;/rec-number&gt;&lt;foreign-keys&gt;&lt;key app="EN" db-id="d0vstffei2ze5sew5fwxp0dq9zxs5pvvsxpv" timestamp="1580654201"&gt;87&lt;/key</w:instrText>
            </w:r>
            <w:r>
              <w:rPr>
                <w:rFonts w:ascii="inherit" w:hAnsi="inherit"/>
                <w:color w:val="000000"/>
                <w:sz w:val="16"/>
                <w:szCs w:val="16"/>
              </w:rPr>
              <w:instrText>&gt;&lt;/foreign-keys&gt;&lt;ref-type name="Journal Article"&gt;17&lt;/ref-type&gt;&lt;contributors&gt;&lt;authors&gt;&lt;author&gt;Mose, Lisle E.&lt;/author&gt;&lt;author&gt;Wilkerson, Matthew D.&lt;/author&gt;&lt;author&gt;Hayes, D. Neil&lt;/author&gt;&lt;author&gt;Perou, Charles M.&lt;/author&gt;&lt;author&gt;Parker, Joel S.&lt;/author&gt;&lt;/aut</w:instrText>
            </w:r>
            <w:r>
              <w:rPr>
                <w:rFonts w:ascii="inherit" w:hAnsi="inherit"/>
                <w:color w:val="000000"/>
                <w:sz w:val="16"/>
                <w:szCs w:val="16"/>
              </w:rPr>
              <w:instrText>hors&gt;&lt;/contributors&gt;&lt;titles&gt;&lt;title&gt;ABRA: improved coding indel detection via assembly-based realignment&lt;/title&gt;&lt;secondary-title&gt;Bioinformatics&lt;/secondary-title&gt;&lt;/titles&gt;&lt;periodical&gt;&lt;full-title&gt;Bioinformatics&lt;/full-title&gt;&lt;/periodical&gt;&lt;pages&gt;2813-2815&lt;/pages</w:instrText>
            </w:r>
            <w:r>
              <w:rPr>
                <w:rFonts w:ascii="inherit" w:hAnsi="inherit"/>
                <w:color w:val="000000"/>
                <w:sz w:val="16"/>
                <w:szCs w:val="16"/>
              </w:rPr>
              <w:instrText>&gt;&lt;volume&gt;30&lt;/volume&gt;&lt;number&gt;19&lt;/number&gt;&lt;dates&gt;&lt;year&gt;2014&lt;/year&gt;&lt;/dates&gt;&lt;isbn&gt;1367-4803&lt;/isbn&gt;&lt;urls&gt;&lt;related-urls&gt;&lt;url&gt;https://doi.org/10.1093/bioinformatics/btu376&lt;/url&gt;&lt;/related-urls&gt;&lt;/urls&gt;&lt;electronic-resource-num&gt;10.1093/bioinformatics/btu376&lt;/electroni</w:instrText>
            </w:r>
            <w:r>
              <w:rPr>
                <w:rFonts w:ascii="inherit" w:hAnsi="inherit"/>
                <w:color w:val="000000"/>
                <w:sz w:val="16"/>
                <w:szCs w:val="16"/>
              </w:rPr>
              <w:instrText>c-resource-num&gt;&lt;access-date&gt;2/2/2020&lt;/access-date&gt;&lt;/record&gt;&lt;/Cite&gt;&lt;/EndNote&gt;</w:instrText>
            </w:r>
            <w:r>
              <w:rPr>
                <w:rFonts w:ascii="inherit" w:hAnsi="inherit"/>
                <w:color w:val="000000"/>
                <w:sz w:val="16"/>
                <w:szCs w:val="16"/>
              </w:rPr>
              <w:fldChar w:fldCharType="separate"/>
            </w:r>
            <w:r>
              <w:rPr>
                <w:rFonts w:ascii="inherit" w:hAnsi="inherit"/>
                <w:noProof/>
                <w:color w:val="000000"/>
                <w:sz w:val="16"/>
                <w:szCs w:val="16"/>
              </w:rPr>
              <w:t>[65]</w:t>
            </w:r>
            <w:r>
              <w:rPr>
                <w:rFonts w:ascii="inherit" w:hAnsi="inherit"/>
                <w:color w:val="000000"/>
                <w:sz w:val="16"/>
                <w:szCs w:val="16"/>
              </w:rPr>
              <w:fldChar w:fldCharType="end"/>
            </w:r>
          </w:p>
        </w:tc>
        <w:tc>
          <w:tcPr>
            <w:tcW w:w="4367"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20" w:history="1">
              <w:r>
                <w:rPr>
                  <w:rStyle w:val="Hyperlink"/>
                  <w:rFonts w:ascii="inherit" w:hAnsi="inherit"/>
                  <w:color w:val="000000"/>
                  <w:sz w:val="16"/>
                  <w:szCs w:val="16"/>
                </w:rPr>
                <w:t>https://github.com/mozack/abra</w:t>
              </w:r>
            </w:hyperlink>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i/>
                <w:color w:val="000000"/>
                <w:sz w:val="16"/>
                <w:szCs w:val="16"/>
              </w:rPr>
              <w:t>De novo</w:t>
            </w:r>
            <w:r>
              <w:rPr>
                <w:rFonts w:ascii="inherit" w:hAnsi="inherit"/>
                <w:color w:val="000000"/>
                <w:sz w:val="16"/>
                <w:szCs w:val="16"/>
              </w:rPr>
              <w:t xml:space="preserve"> assembly</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VarScan</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&lt;EndNote&gt;&lt;Cite&gt;&lt;Author&gt;Koboldt&lt;/Author&gt;&lt;Year&gt;2009&lt;/Ye</w:instrText>
            </w:r>
            <w:r>
              <w:rPr>
                <w:rFonts w:ascii="inherit" w:hAnsi="inherit"/>
                <w:color w:val="000000"/>
                <w:sz w:val="16"/>
                <w:szCs w:val="16"/>
              </w:rPr>
              <w:instrText>ar&gt;&lt;RecNum&gt;91&lt;/RecNum&gt;&lt;DisplayText&gt;[66]&lt;/DisplayText&gt;&lt;record&gt;&lt;rec-number&gt;91&lt;/rec-number&gt;&lt;foreign-keys&gt;&lt;key app="EN" db-id="d0vstffei2ze5sew5fwxp0dq9zxs5pvvsxpv" timestamp="1580657149"&gt;91&lt;/key&gt;&lt;/foreign-keys&gt;&lt;ref-type name="Journal Article"&gt;17&lt;/ref-type&gt;&lt;co</w:instrText>
            </w:r>
            <w:r>
              <w:rPr>
                <w:rFonts w:ascii="inherit" w:hAnsi="inherit"/>
                <w:color w:val="000000"/>
                <w:sz w:val="16"/>
                <w:szCs w:val="16"/>
              </w:rPr>
              <w:instrText>ntributors&gt;&lt;authors&gt;&lt;author&gt;Koboldt, Daniel C&lt;/author&gt;&lt;author&gt;Chen, Ken&lt;/author&gt;&lt;author&gt;Wylie, Todd&lt;/author&gt;&lt;author&gt;Larson, David E&lt;/author&gt;&lt;author&gt;McLellan, Michael D&lt;/author&gt;&lt;author&gt;Mardis, Elaine R&lt;/author&gt;&lt;author&gt;Weinstock, George M&lt;/author&gt;&lt;author&gt;Wil</w:instrText>
            </w:r>
            <w:r>
              <w:rPr>
                <w:rFonts w:ascii="inherit" w:hAnsi="inherit"/>
                <w:color w:val="000000"/>
                <w:sz w:val="16"/>
                <w:szCs w:val="16"/>
              </w:rPr>
              <w:instrText>son, Richard K&lt;/author&gt;&lt;author&gt;Ding, Li&lt;/author&gt;&lt;/authors&gt;&lt;/contributors&gt;&lt;titles&gt;&lt;title&gt;VarScan: variant detection in massively parallel sequencing of individual and pooled samples&lt;/title&gt;&lt;secondary-title&gt;Bioinformatics&lt;/secondary-title&gt;&lt;/titles&gt;&lt;periodica</w:instrText>
            </w:r>
            <w:r>
              <w:rPr>
                <w:rFonts w:ascii="inherit" w:hAnsi="inherit"/>
                <w:color w:val="000000"/>
                <w:sz w:val="16"/>
                <w:szCs w:val="16"/>
              </w:rPr>
              <w:instrText>l&gt;&lt;full-title&gt;Bioinformatics&lt;/full-title&gt;&lt;/periodical&gt;&lt;pages&gt;2283-2285&lt;/pages&gt;&lt;volume&gt;25&lt;/volume&gt;&lt;number&gt;17&lt;/number&gt;&lt;dates&gt;&lt;year&gt;2009&lt;/year&gt;&lt;/dates&gt;&lt;isbn&gt;1460-2059&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[66]</w:t>
            </w:r>
            <w:r>
              <w:rPr>
                <w:rFonts w:ascii="inherit" w:hAnsi="inherit"/>
                <w:color w:val="000000"/>
                <w:sz w:val="16"/>
                <w:szCs w:val="16"/>
              </w:rPr>
              <w:fldChar w:fldCharType="end"/>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21" w:history="1">
              <w:r>
                <w:rPr>
                  <w:rStyle w:val="Hyperlink"/>
                  <w:rFonts w:ascii="inherit" w:hAnsi="inherit"/>
                  <w:color w:val="000000"/>
                  <w:sz w:val="16"/>
                  <w:szCs w:val="16"/>
                </w:rPr>
                <w:t>http://varscan.sourceforge.net/</w:t>
              </w:r>
            </w:hyperlink>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Integration of read coverage, base quality and number of strands</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DINDEL</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&lt;EndNote&gt;&lt;Cite&gt;&lt;Author&gt;Albers&lt;/Author&gt;&lt;Year&gt;2011&lt;/Year&gt;&lt;RecNum&gt;92&lt;/RecNum&gt;&lt;DisplayText&gt;[67]&lt;/DisplayText&gt;&lt;record&gt;&lt;rec-number&gt;92</w:instrText>
            </w:r>
            <w:r>
              <w:rPr>
                <w:rFonts w:ascii="inherit" w:hAnsi="inherit"/>
                <w:color w:val="000000"/>
                <w:sz w:val="16"/>
                <w:szCs w:val="16"/>
              </w:rPr>
              <w:instrText>&lt;/rec-number&gt;&lt;foreign-keys&gt;&lt;key app="EN" db-id="d0vstffei2ze5sew5fwxp0dq9zxs5pvvsxpv" timestamp="1580657397"&gt;92&lt;/key&gt;&lt;/foreign-keys&gt;&lt;ref-type name="Journal Article"&gt;17&lt;/ref-type&gt;&lt;contributors&gt;&lt;authors&gt;&lt;author&gt;Albers, Cornelis A&lt;/author&gt;&lt;author&gt;Lunter, Gert</w:instrText>
            </w:r>
            <w:r>
              <w:rPr>
                <w:rFonts w:ascii="inherit" w:hAnsi="inherit"/>
                <w:color w:val="000000"/>
                <w:sz w:val="16"/>
                <w:szCs w:val="16"/>
              </w:rPr>
              <w:instrText>on&lt;/author&gt;&lt;author&gt;MacArthur, Daniel G&lt;/author&gt;&lt;author&gt;McVean, Gilean&lt;/author&gt;&lt;author&gt;Ouwehand, Willem H&lt;/author&gt;&lt;author&gt;Durbin, Richard&lt;/author&gt;&lt;/authors&gt;&lt;/contributors&gt;&lt;titles&gt;&lt;title&gt;Dindel: accurate indel calls from short-read data&lt;/title&gt;&lt;secondary-tit</w:instrText>
            </w:r>
            <w:r>
              <w:rPr>
                <w:rFonts w:ascii="inherit" w:hAnsi="inherit"/>
                <w:color w:val="000000"/>
                <w:sz w:val="16"/>
                <w:szCs w:val="16"/>
              </w:rPr>
              <w:instrText>le&gt;Genome research&lt;/secondary-title&gt;&lt;/titles&gt;&lt;periodical&gt;&lt;full-title&gt;Genome research&lt;/full-title&gt;&lt;/periodical&gt;&lt;pages&gt;961-973&lt;/pages&gt;&lt;volume&gt;21&lt;/volume&gt;&lt;number&gt;6&lt;/number&gt;&lt;dates&gt;&lt;year&gt;2011&lt;/year&gt;&lt;/dates&gt;&lt;isbn&gt;1088-9051&lt;/isbn&gt;&lt;urls&gt;&lt;/urls&gt;&lt;/record&gt;&lt;/Cite&gt;&lt;/En</w:instrText>
            </w:r>
            <w:r>
              <w:rPr>
                <w:rFonts w:ascii="inherit" w:hAnsi="inherit"/>
                <w:color w:val="000000"/>
                <w:sz w:val="16"/>
                <w:szCs w:val="16"/>
              </w:rPr>
              <w:instrText>dNote&gt;</w:instrText>
            </w:r>
            <w:r>
              <w:rPr>
                <w:rFonts w:ascii="inherit" w:hAnsi="inherit"/>
                <w:color w:val="000000"/>
                <w:sz w:val="16"/>
                <w:szCs w:val="16"/>
              </w:rPr>
              <w:fldChar w:fldCharType="separate"/>
            </w:r>
            <w:r>
              <w:rPr>
                <w:rFonts w:ascii="inherit" w:hAnsi="inherit"/>
                <w:noProof/>
                <w:color w:val="000000"/>
                <w:sz w:val="16"/>
                <w:szCs w:val="16"/>
              </w:rPr>
              <w:t>[67]</w:t>
            </w:r>
            <w:r>
              <w:rPr>
                <w:rFonts w:ascii="inherit" w:hAnsi="inherit"/>
                <w:color w:val="000000"/>
                <w:sz w:val="16"/>
                <w:szCs w:val="16"/>
              </w:rPr>
              <w:fldChar w:fldCharType="end"/>
            </w:r>
          </w:p>
        </w:tc>
        <w:tc>
          <w:tcPr>
            <w:tcW w:w="4367"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22" w:history="1">
              <w:r>
                <w:rPr>
                  <w:rStyle w:val="Hyperlink"/>
                  <w:rFonts w:ascii="inherit" w:hAnsi="inherit"/>
                  <w:color w:val="000000"/>
                  <w:sz w:val="16"/>
                  <w:szCs w:val="16"/>
                </w:rPr>
                <w:t>https://omictools.com/dindel-tool</w:t>
              </w:r>
            </w:hyperlink>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i/>
                <w:color w:val="000000"/>
                <w:sz w:val="16"/>
                <w:szCs w:val="16"/>
              </w:rPr>
            </w:pPr>
            <w:r>
              <w:rPr>
                <w:rFonts w:ascii="inherit" w:hAnsi="inherit"/>
                <w:color w:val="000000"/>
                <w:sz w:val="16"/>
                <w:szCs w:val="16"/>
              </w:rPr>
              <w:t>Bayesian method</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GATK Haplotype Caller</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&lt;EndNote&gt;&lt;Cite&gt;&lt;Author&gt;DePristo&lt;/Author&gt;&lt;Year&gt;2011&lt;/Year&gt;&lt;RecNum&gt;88&lt;/RecNum&gt;&lt;DisplayText&gt;[18]&lt;/DisplayTe</w:instrText>
            </w:r>
            <w:r>
              <w:rPr>
                <w:rFonts w:ascii="inherit" w:hAnsi="inherit"/>
                <w:color w:val="000000"/>
                <w:sz w:val="16"/>
                <w:szCs w:val="16"/>
              </w:rPr>
              <w:instrText>xt&gt;&lt;record&gt;&lt;rec-number&gt;88&lt;/rec-number&gt;&lt;foreign-keys&gt;&lt;key app="EN" db-id="d0vstffei2ze5sew5fwxp0dq9zxs5pvvsxpv" timestamp="1580655467"&gt;88&lt;/key&gt;&lt;/foreign-keys&gt;&lt;ref-type name="Journal Article"&gt;17&lt;/ref-type&gt;&lt;contributors&gt;&lt;authors&gt;&lt;author&gt;DePristo, Mark A&lt;/auth</w:instrText>
            </w:r>
            <w:r>
              <w:rPr>
                <w:rFonts w:ascii="inherit" w:hAnsi="inherit"/>
                <w:color w:val="000000"/>
                <w:sz w:val="16"/>
                <w:szCs w:val="16"/>
              </w:rPr>
              <w:instrText>or&gt;&lt;author&gt;Banks, Eric&lt;/author&gt;&lt;author&gt;Poplin, Ryan&lt;/author&gt;&lt;author&gt;Garimella, Kiran V&lt;/author&gt;&lt;author&gt;Maguire, Jared R&lt;/author&gt;&lt;author&gt;Hartl, Christopher&lt;/author&gt;&lt;author&gt;Philippakis, Anthony A&lt;/author&gt;&lt;author&gt;Del Angel, Guillermo&lt;/author&gt;&lt;author&gt;Rivas, Ma</w:instrText>
            </w:r>
            <w:r>
              <w:rPr>
                <w:rFonts w:ascii="inherit" w:hAnsi="inherit"/>
                <w:color w:val="000000"/>
                <w:sz w:val="16"/>
                <w:szCs w:val="16"/>
              </w:rPr>
              <w:instrText>nuel A&lt;/author&gt;&lt;author&gt;Hanna, Matt&lt;/author&gt;&lt;/authors&gt;&lt;/contributors&gt;&lt;titles&gt;&lt;title&gt;A framework for variation discovery and genotyping using next-generation DNA sequencing data&lt;/title&gt;&lt;secondary-title&gt;Nature genetics&lt;/secondary-title&gt;&lt;/titles&gt;&lt;periodical&gt;&lt;f</w:instrText>
            </w:r>
            <w:r>
              <w:rPr>
                <w:rFonts w:ascii="inherit" w:hAnsi="inherit"/>
                <w:color w:val="000000"/>
                <w:sz w:val="16"/>
                <w:szCs w:val="16"/>
              </w:rPr>
              <w:instrText>ull-title&gt;Nature genetics&lt;/full-title&gt;&lt;/periodical&gt;&lt;pages&gt;491&lt;/pages&gt;&lt;volume&gt;43&lt;/volume&gt;&lt;number&gt;5&lt;/number&gt;&lt;dates&gt;&lt;year&gt;2011&lt;/year&gt;&lt;/dates&gt;&lt;isbn&gt;1546-1718&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[18]</w:t>
            </w:r>
            <w:r>
              <w:rPr>
                <w:rFonts w:ascii="inherit" w:hAnsi="inherit"/>
                <w:color w:val="000000"/>
                <w:sz w:val="16"/>
                <w:szCs w:val="16"/>
              </w:rPr>
              <w:fldChar w:fldCharType="end"/>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23" w:history="1">
              <w:r>
                <w:rPr>
                  <w:rStyle w:val="Hyperlink"/>
                  <w:rFonts w:ascii="inherit" w:hAnsi="inherit"/>
                  <w:color w:val="000000"/>
                  <w:sz w:val="16"/>
                  <w:szCs w:val="16"/>
                </w:rPr>
                <w:t>http://software.broadinstitute.org/gatk/</w:t>
              </w:r>
            </w:hyperlink>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Bayesian method</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DDIG-in</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&lt;EndNote&gt;&lt;Cite&gt;&lt;Author&gt;Folkman&lt;/Author&gt;&lt;Year&gt;2015&lt;/Year&gt;&lt;RecNum&gt;134&lt;/RecNum&gt;&lt;DisplayText&gt;[68]&lt;/DisplayText&gt;&lt;record&gt;&lt;rec-number&gt;134&lt;/rec-number&gt;&lt;foreign-keys&gt;&lt;key app="EN" db-id="d0vstffei2ze5sew5fwxp0dq9zxs5pvvsxpv" timestamp="1583858354"&gt;13</w:instrText>
            </w:r>
            <w:r>
              <w:rPr>
                <w:rFonts w:ascii="inherit" w:hAnsi="inherit"/>
                <w:color w:val="000000"/>
                <w:sz w:val="16"/>
                <w:szCs w:val="16"/>
              </w:rPr>
              <w:instrText>4&lt;/key&gt;&lt;/foreign-keys&gt;&lt;ref-type name="Journal Article"&gt;17&lt;/ref-type&gt;&lt;contributors&gt;&lt;authors&gt;&lt;author&gt;Folkman, Lukas&lt;/author&gt;&lt;author&gt;Yang, Yuedong&lt;/author&gt;&lt;author&gt;Li, Zhixiu&lt;/author&gt;&lt;author&gt;Stantic, Bela&lt;/author&gt;&lt;author&gt;Sattar, Abdul&lt;/author&gt;&lt;author&gt;Mort, Mat</w:instrText>
            </w:r>
            <w:r>
              <w:rPr>
                <w:rFonts w:ascii="inherit" w:hAnsi="inherit"/>
                <w:color w:val="000000"/>
                <w:sz w:val="16"/>
                <w:szCs w:val="16"/>
              </w:rPr>
              <w:instrText>thew&lt;/author&gt;&lt;author&gt;Cooper, David N.&lt;/author&gt;&lt;author&gt;Liu, Yunlong&lt;/author&gt;&lt;author&gt;Zhou, Yaoqi&lt;/author&gt;&lt;/authors&gt;&lt;/contributors&gt;&lt;titles&gt;&lt;title&gt;DDIG-in: detecting disease-causing genetic variations due to frameshifting indels and nonsense mutations employin</w:instrText>
            </w:r>
            <w:r>
              <w:rPr>
                <w:rFonts w:ascii="inherit" w:hAnsi="inherit"/>
                <w:color w:val="000000"/>
                <w:sz w:val="16"/>
                <w:szCs w:val="16"/>
              </w:rPr>
              <w:instrText>g sequence and structural properties at nucleotide and protein levels&lt;/title&gt;&lt;secondary-title&gt;Bioinformatics&lt;/secondary-title&gt;&lt;/titles&gt;&lt;periodical&gt;&lt;full-title&gt;Bioinformatics&lt;/full-title&gt;&lt;/periodical&gt;&lt;pages&gt;1599-1606&lt;/pages&gt;&lt;volume&gt;31&lt;/volume&gt;&lt;number&gt;10&lt;/nu</w:instrText>
            </w:r>
            <w:r>
              <w:rPr>
                <w:rFonts w:ascii="inherit" w:hAnsi="inherit"/>
                <w:color w:val="000000"/>
                <w:sz w:val="16"/>
                <w:szCs w:val="16"/>
              </w:rPr>
              <w:instrText>mber&gt;&lt;dates&gt;&lt;year&gt;2015&lt;/year&gt;&lt;/dates&gt;&lt;isbn&gt;1367-4803&lt;/isbn&gt;&lt;urls&gt;&lt;related-urls&gt;&lt;url&gt;https://doi.org/10.1093/bioinformatics/btu862&lt;/url&gt;&lt;/related-urls&gt;&lt;/urls&gt;&lt;electronic-resource-num&gt;10.1093/bioinformatics/btu862&lt;/electronic-resource-num&gt;&lt;access-date&gt;3/10/2</w:instrText>
            </w:r>
            <w:r>
              <w:rPr>
                <w:rFonts w:ascii="inherit" w:hAnsi="inherit"/>
                <w:color w:val="000000"/>
                <w:sz w:val="16"/>
                <w:szCs w:val="16"/>
              </w:rPr>
              <w:instrText>020&lt;/access-date&gt;&lt;/record&gt;&lt;/Cite&gt;&lt;/EndNote&gt;</w:instrText>
            </w:r>
            <w:r>
              <w:rPr>
                <w:rFonts w:ascii="inherit" w:hAnsi="inherit"/>
                <w:color w:val="000000"/>
                <w:sz w:val="16"/>
                <w:szCs w:val="16"/>
              </w:rPr>
              <w:fldChar w:fldCharType="separate"/>
            </w:r>
            <w:r>
              <w:rPr>
                <w:rFonts w:ascii="inherit" w:hAnsi="inherit"/>
                <w:noProof/>
                <w:color w:val="000000"/>
                <w:sz w:val="16"/>
                <w:szCs w:val="16"/>
              </w:rPr>
              <w:t>[68]</w:t>
            </w:r>
            <w:r>
              <w:rPr>
                <w:rFonts w:ascii="inherit" w:hAnsi="inherit"/>
                <w:color w:val="000000"/>
                <w:sz w:val="16"/>
                <w:szCs w:val="16"/>
              </w:rPr>
              <w:fldChar w:fldCharType="end"/>
            </w:r>
          </w:p>
        </w:tc>
        <w:tc>
          <w:tcPr>
            <w:tcW w:w="4367"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6"/>
              </w:rPr>
            </w:pPr>
            <w:hyperlink r:id="rId24" w:tgtFrame="_blank" w:history="1">
              <w:r>
                <w:rPr>
                  <w:rStyle w:val="Hyperlink"/>
                  <w:color w:val="000000"/>
                  <w:sz w:val="16"/>
                  <w:szCs w:val="16"/>
                </w:rPr>
                <w:t>http://sparks-lab.org/ddig</w:t>
              </w:r>
            </w:hyperlink>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Machine learning method</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tcPr>
          <w:p w:rsidR="00877997" w:rsidRDefault="00877997">
            <w:pPr>
              <w:spacing w:line="360" w:lineRule="auto"/>
              <w:rPr>
                <w:rFonts w:ascii="inherit" w:hAnsi="inherit"/>
                <w:color w:val="000000"/>
                <w:sz w:val="16"/>
                <w:szCs w:val="16"/>
              </w:rPr>
            </w:pPr>
          </w:p>
        </w:tc>
        <w:tc>
          <w:tcPr>
            <w:tcW w:w="0" w:type="auto"/>
            <w:tcBorders>
              <w:bottom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DeepVariant</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&lt;EndNote&gt;&lt;Cite&gt;&lt;Author&gt;Poplin&lt;/Author&gt;&lt;Year&gt;2018&lt;/Year&gt;&lt;RecNum&gt;93&lt;/RecNum&gt;&lt;DisplayText&gt;[69]&lt;/DisplayText&gt;&lt;record&gt;&lt;rec-number&gt;93&lt;/rec-number&gt;&lt;foreign-keys&gt;&lt;key app="EN" db-id="d0vstffei2ze5sew5fwxp0dq9zxs5pvvsxpv" timestamp="1580657858"&gt;93&lt;/k</w:instrText>
            </w:r>
            <w:r>
              <w:rPr>
                <w:rFonts w:ascii="inherit" w:hAnsi="inherit"/>
                <w:color w:val="000000"/>
                <w:sz w:val="16"/>
                <w:szCs w:val="16"/>
              </w:rPr>
              <w:instrText>ey&gt;&lt;/foreign-keys&gt;&lt;ref-type name="Journal Article"&gt;17&lt;/ref-type&gt;&lt;contributors&gt;&lt;authors&gt;&lt;author&gt;Poplin, Ryan&lt;/author&gt;&lt;author&gt;Chang, Pi-Chuan&lt;/author&gt;&lt;author&gt;Alexander, David&lt;/author&gt;&lt;author&gt;Schwartz, Scott&lt;/author&gt;&lt;author&gt;Colthurst, Thomas&lt;/author&gt;&lt;author&gt;K</w:instrText>
            </w:r>
            <w:r>
              <w:rPr>
                <w:rFonts w:ascii="inherit" w:hAnsi="inherit"/>
                <w:color w:val="000000"/>
                <w:sz w:val="16"/>
                <w:szCs w:val="16"/>
              </w:rPr>
              <w:instrText>u, Alexander&lt;/author&gt;&lt;author&gt;Newburger, Dan&lt;/author&gt;&lt;author&gt;Dijamco, Jojo&lt;/author&gt;&lt;author&gt;Nguyen, Nam&lt;/author&gt;&lt;author&gt;Afshar, Pegah T.&lt;/author&gt;&lt;author&gt;Gross, Sam S.&lt;/author&gt;&lt;author&gt;Dorfman, Lizzie&lt;/author&gt;&lt;author&gt;McLean, Cory Y.&lt;/author&gt;&lt;author&gt;DePristo, M</w:instrText>
            </w:r>
            <w:r>
              <w:rPr>
                <w:rFonts w:ascii="inherit" w:hAnsi="inherit"/>
                <w:color w:val="000000"/>
                <w:sz w:val="16"/>
                <w:szCs w:val="16"/>
              </w:rPr>
              <w:instrText>ark A.&lt;/author&gt;&lt;/authors&gt;&lt;/contributors&gt;&lt;titles&gt;&lt;title&gt;A universal SNP and small-indel variant caller using deep neural networks&lt;/title&gt;&lt;secondary-title&gt;Nature Biotechnology&lt;/secondary-title&gt;&lt;/titles&gt;&lt;periodical&gt;&lt;full-title&gt;Nature biotechnology&lt;/full-title</w:instrText>
            </w:r>
            <w:r>
              <w:rPr>
                <w:rFonts w:ascii="inherit" w:hAnsi="inherit"/>
                <w:color w:val="000000"/>
                <w:sz w:val="16"/>
                <w:szCs w:val="16"/>
              </w:rPr>
              <w:instrText>&gt;&lt;/periodical&gt;&lt;pages&gt;983-987&lt;/pages&gt;&lt;volume&gt;36&lt;/volume&gt;&lt;number&gt;10&lt;/number&gt;&lt;dates&gt;&lt;year&gt;2018&lt;/year&gt;&lt;pub-dates&gt;&lt;date&gt;2018/11/01&lt;/date&gt;&lt;/pub-dates&gt;&lt;/dates&gt;&lt;isbn&gt;1546-1696&lt;/isbn&gt;&lt;urls&gt;&lt;related-urls&gt;&lt;url&gt;https://doi.org/10.1038/nbt.4235&lt;/url&gt;&lt;/related-urls&gt;&lt;/ur</w:instrText>
            </w:r>
            <w:r>
              <w:rPr>
                <w:rFonts w:ascii="inherit" w:hAnsi="inherit"/>
                <w:color w:val="000000"/>
                <w:sz w:val="16"/>
                <w:szCs w:val="16"/>
              </w:rPr>
              <w:instrText>ls&gt;&lt;electronic-resource-num&gt;10.1038/nbt.4235&lt;/electronic-resource-num&gt;&lt;/record&gt;&lt;/Cite&gt;&lt;/EndNote&gt;</w:instrText>
            </w:r>
            <w:r>
              <w:rPr>
                <w:rFonts w:ascii="inherit" w:hAnsi="inherit"/>
                <w:color w:val="000000"/>
                <w:sz w:val="16"/>
                <w:szCs w:val="16"/>
              </w:rPr>
              <w:fldChar w:fldCharType="separate"/>
            </w:r>
            <w:r>
              <w:rPr>
                <w:rFonts w:ascii="inherit" w:hAnsi="inherit"/>
                <w:noProof/>
                <w:color w:val="000000"/>
                <w:sz w:val="16"/>
                <w:szCs w:val="16"/>
              </w:rPr>
              <w:t>[69]</w:t>
            </w:r>
            <w:r>
              <w:rPr>
                <w:rFonts w:ascii="inherit" w:hAnsi="inherit"/>
                <w:color w:val="000000"/>
                <w:sz w:val="16"/>
                <w:szCs w:val="16"/>
              </w:rPr>
              <w:fldChar w:fldCharType="end"/>
            </w:r>
          </w:p>
        </w:tc>
        <w:tc>
          <w:tcPr>
            <w:tcW w:w="4367" w:type="dxa"/>
            <w:tcBorders>
              <w:bottom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25" w:history="1">
              <w:r>
                <w:rPr>
                  <w:rStyle w:val="Hyperlink"/>
                  <w:rFonts w:ascii="inherit" w:hAnsi="inherit"/>
                  <w:color w:val="000000"/>
                  <w:sz w:val="16"/>
                  <w:szCs w:val="16"/>
                </w:rPr>
                <w:t>https://github.com/google/deepvariant/</w:t>
              </w:r>
            </w:hyperlink>
          </w:p>
        </w:tc>
        <w:tc>
          <w:tcPr>
            <w:tcW w:w="2125" w:type="dxa"/>
            <w:tcBorders>
              <w:bottom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Deep neural network</w:t>
            </w:r>
          </w:p>
        </w:tc>
      </w:tr>
      <w:tr w:rsidR="00877997" w:rsidTr="00877997">
        <w:trPr>
          <w:trHeight w:val="14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bottom w:val="single" w:sz="4" w:space="0" w:color="000000"/>
            </w:tcBorders>
          </w:tcPr>
          <w:p w:rsidR="00877997" w:rsidRDefault="00CB0676">
            <w:pPr>
              <w:spacing w:line="360" w:lineRule="auto"/>
              <w:rPr>
                <w:rFonts w:ascii="inherit" w:hAnsi="inherit"/>
                <w:color w:val="000000"/>
                <w:sz w:val="16"/>
                <w:szCs w:val="16"/>
              </w:rPr>
            </w:pPr>
            <w:r>
              <w:rPr>
                <w:rFonts w:ascii="inherit" w:hAnsi="inherit"/>
                <w:color w:val="000000"/>
                <w:sz w:val="16"/>
                <w:szCs w:val="16"/>
              </w:rPr>
              <w:t>Splicing prediction </w:t>
            </w:r>
          </w:p>
        </w:tc>
        <w:tc>
          <w:tcPr>
            <w:tcW w:w="0" w:type="auto"/>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GeneSplicer</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&lt;EndNote&gt;&lt;Cite&gt;&lt;Author&gt;Pertea&lt;/Author&gt;&lt;Year&gt;2001&lt;/Year&gt;&lt;RecNum&gt;49&lt;/RecNum&gt;&lt;DisplayText&gt;[70]&lt;/DisplayText&gt;&lt;record&gt;&lt;rec-number&gt;49&lt;/rec-number&gt;&lt;foreign-keys&gt;&lt;key app="EN" db-id="d0vstffei2ze5sew5fwxp0dq9zxs5pvvsxpv" timestamp="157991</w:instrText>
            </w:r>
            <w:r>
              <w:rPr>
                <w:rFonts w:ascii="inherit" w:hAnsi="inherit"/>
                <w:color w:val="000000"/>
                <w:sz w:val="16"/>
                <w:szCs w:val="16"/>
              </w:rPr>
              <w:instrText>8193"&gt;49&lt;/key&gt;&lt;/foreign-keys&gt;&lt;ref-type name="Journal Article"&gt;17&lt;/ref-type&gt;&lt;contributors&gt;&lt;authors&gt;&lt;author&gt;Pertea, Mihaela&lt;/author&gt;&lt;author&gt;Lin, Xiaoying&lt;/author&gt;&lt;author&gt;Salzberg, Steven L&lt;/author&gt;&lt;/authors&gt;&lt;/contributors&gt;&lt;titles&gt;&lt;title&gt;GeneSplicer: a new co</w:instrText>
            </w:r>
            <w:r>
              <w:rPr>
                <w:rFonts w:ascii="inherit" w:hAnsi="inherit"/>
                <w:color w:val="000000"/>
                <w:sz w:val="16"/>
                <w:szCs w:val="16"/>
              </w:rPr>
              <w:instrText>mputational method for splice site prediction&lt;/title&gt;&lt;secondary-title&gt;Nucleic acids research&lt;/secondary-title&gt;&lt;/titles&gt;&lt;periodical&gt;&lt;full-title&gt;Nucleic acids research&lt;/full-title&gt;&lt;/periodical&gt;&lt;pages&gt;1185-1190&lt;/pages&gt;&lt;volume&gt;29&lt;/volume&gt;&lt;number&gt;5&lt;/number&gt;&lt;dat</w:instrText>
            </w:r>
            <w:r>
              <w:rPr>
                <w:rFonts w:ascii="inherit" w:hAnsi="inherit"/>
                <w:color w:val="000000"/>
                <w:sz w:val="16"/>
                <w:szCs w:val="16"/>
              </w:rPr>
              <w:instrText>es&gt;&lt;year&gt;2001&lt;/year&gt;&lt;/dates&gt;&lt;isbn&gt;1362-4962&lt;/isbn&gt;&lt;urls&gt;&lt;/urls&gt;&lt;/record&gt;&lt;/Cite&gt;&lt;/EndNote&gt;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[70]</w:t>
            </w:r>
            <w:r>
              <w:rPr>
                <w:rFonts w:ascii="inherit" w:hAnsi="inherit"/>
                <w:color w:val="000000"/>
                <w:sz w:val="16"/>
                <w:szCs w:val="16"/>
              </w:rPr>
              <w:fldChar w:fldCharType="end"/>
            </w:r>
            <w:r>
              <w:rPr>
                <w:rFonts w:ascii="inherit" w:hAnsi="inherit"/>
                <w:color w:val="000000"/>
                <w:sz w:val="16"/>
                <w:szCs w:val="16"/>
              </w:rPr>
              <w:t xml:space="preserve"> </w:t>
            </w:r>
          </w:p>
        </w:tc>
        <w:tc>
          <w:tcPr>
            <w:tcW w:w="4367" w:type="dxa"/>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26" w:tgtFrame="_blank" w:history="1">
              <w:r>
                <w:rPr>
                  <w:rStyle w:val="Hyperlink"/>
                  <w:rFonts w:ascii="inherit" w:hAnsi="inherit"/>
                  <w:color w:val="000000"/>
                  <w:sz w:val="16"/>
                  <w:szCs w:val="16"/>
                </w:rPr>
                <w:t>https://ccb.jhu.edu/software/genesplicer/</w:t>
              </w:r>
            </w:hyperlink>
            <w:r>
              <w:rPr>
                <w:rFonts w:ascii="inherit" w:hAnsi="inherit"/>
                <w:color w:val="000000"/>
                <w:sz w:val="16"/>
                <w:szCs w:val="16"/>
              </w:rPr>
              <w:t> </w:t>
            </w:r>
          </w:p>
        </w:tc>
        <w:tc>
          <w:tcPr>
            <w:tcW w:w="2125" w:type="dxa"/>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Markov model </w:t>
            </w:r>
          </w:p>
        </w:tc>
      </w:tr>
      <w:tr w:rsidR="00877997" w:rsidTr="0087799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0000"/>
              <w:bottom w:val="single" w:sz="4" w:space="0" w:color="000000"/>
            </w:tcBorders>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MaxEntScan</w:t>
            </w:r>
            <w:r>
              <w:rPr>
                <w:rFonts w:ascii="inherit" w:hAnsi="inherit"/>
                <w:color w:val="000000"/>
                <w:sz w:val="16"/>
                <w:szCs w:val="16"/>
              </w:rPr>
              <w:fldChar w:fldCharType="begin"/>
            </w:r>
            <w:r>
              <w:rPr>
                <w:rFonts w:ascii="inherit" w:hAnsi="inherit"/>
                <w:color w:val="000000"/>
                <w:sz w:val="16"/>
                <w:szCs w:val="16"/>
              </w:rPr>
              <w:instrText xml:space="preserve"> ADDIN EN.CITE &lt;End</w:instrText>
            </w:r>
            <w:r>
              <w:rPr>
                <w:rFonts w:ascii="inherit" w:hAnsi="inherit"/>
                <w:color w:val="000000"/>
                <w:sz w:val="16"/>
                <w:szCs w:val="16"/>
              </w:rPr>
              <w:instrText>Note&gt;&lt;Cite&gt;&lt;Author&gt;Yeo&lt;/Author&gt;&lt;Year&gt;2004&lt;/Year&gt;&lt;RecNum&gt;48&lt;/RecNum&gt;&lt;DisplayText&gt;[71]&lt;/DisplayText&gt;&lt;record&gt;&lt;rec-number&gt;48&lt;/rec-number&gt;&lt;foreign-keys&gt;&lt;key app="EN" db-id="d0vstffei2ze5sew5fwxp0dq9zxs5pvvsxpv" timestamp="1579918160"&gt;48&lt;/key&gt;&lt;/foreign-keys&gt;&lt;ref</w:instrText>
            </w:r>
            <w:r>
              <w:rPr>
                <w:rFonts w:ascii="inherit" w:hAnsi="inherit"/>
                <w:color w:val="000000"/>
                <w:sz w:val="16"/>
                <w:szCs w:val="16"/>
              </w:rPr>
              <w:instrText>-type name="Journal Article"&gt;17&lt;/ref-type&gt;&lt;contributors&gt;&lt;authors&gt;&lt;author&gt;Yeo, Gene&lt;/author&gt;&lt;author&gt;Burge, Christopher B&lt;/author&gt;&lt;/authors&gt;&lt;/contributors&gt;&lt;titles&gt;&lt;title&gt;Maximum entropy modeling of short sequence motifs with applications to RNA splicing sign</w:instrText>
            </w:r>
            <w:r>
              <w:rPr>
                <w:rFonts w:ascii="inherit" w:hAnsi="inherit"/>
                <w:color w:val="000000"/>
                <w:sz w:val="16"/>
                <w:szCs w:val="16"/>
              </w:rPr>
              <w:instrText>als&lt;/title&gt;&lt;secondary-title&gt;Journal of computational biology&lt;/secondary-title&gt;&lt;/titles&gt;&lt;periodical&gt;&lt;full-title&gt;Journal of computational biology&lt;/full-title&gt;&lt;/periodical&gt;&lt;pages&gt;377-394&lt;/pages&gt;&lt;volume&gt;11&lt;/volume&gt;&lt;number&gt;2-3&lt;/number&gt;&lt;dates&gt;&lt;year&gt;2004&lt;/year&gt;&lt;/</w:instrText>
            </w:r>
            <w:r>
              <w:rPr>
                <w:rFonts w:ascii="inherit" w:hAnsi="inherit"/>
                <w:color w:val="000000"/>
                <w:sz w:val="16"/>
                <w:szCs w:val="16"/>
              </w:rPr>
              <w:instrText>dates&gt;&lt;isbn&gt;1066-5277&lt;/isbn&gt;&lt;urls&gt;&lt;/urls&gt;&lt;/record&gt;&lt;/Cite&gt;&lt;/EndNote&gt;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[71]</w:t>
            </w:r>
            <w:r>
              <w:rPr>
                <w:rFonts w:ascii="inherit" w:hAnsi="inherit"/>
                <w:color w:val="000000"/>
                <w:sz w:val="16"/>
                <w:szCs w:val="16"/>
              </w:rPr>
              <w:fldChar w:fldCharType="end"/>
            </w:r>
            <w:r>
              <w:rPr>
                <w:rFonts w:ascii="inherit" w:hAnsi="inherit"/>
                <w:color w:val="000000"/>
                <w:sz w:val="16"/>
                <w:szCs w:val="16"/>
              </w:rPr>
              <w:t xml:space="preserve"> </w:t>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rPr>
            </w:pPr>
            <w:hyperlink r:id="rId27" w:history="1">
              <w:r>
                <w:rPr>
                  <w:rStyle w:val="Hyperlink"/>
                  <w:rFonts w:ascii="inherit" w:hAnsi="inherit"/>
                  <w:color w:val="000000"/>
                  <w:sz w:val="16"/>
                  <w:szCs w:val="16"/>
                </w:rPr>
                <w:t>http://genes.mit.edu/burgelab/maxent/</w:t>
              </w:r>
            </w:hyperlink>
            <w:r>
              <w:rPr>
                <w:rFonts w:ascii="inherit" w:hAnsi="inherit"/>
                <w:color w:val="000000"/>
                <w:sz w:val="16"/>
                <w:szCs w:val="16"/>
              </w:rPr>
              <w:t xml:space="preserve"> </w:t>
            </w:r>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Maximum entropy model </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Human Splicing Finder</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&lt;EndNote&gt;&lt;Cite&gt;&lt;Author&gt;Desmet&lt;/Author&gt;&lt;Year&gt;2009&lt;/Year&gt;&lt;RecNum&gt;50&lt;/RecNum&gt;&lt;DisplayText&gt;[72]&lt;/DisplayText&gt;&lt;record&gt;&lt;rec-number&gt;50&lt;/rec-number&gt;&lt;foreign-keys&gt;&lt;key app="EN" db-id="d0vstffei2ze5sew5fwxp0dq9zxs5pvvsxpv" timestamp="1579918228"&gt;50&lt;/k</w:instrText>
            </w:r>
            <w:r>
              <w:rPr>
                <w:rFonts w:ascii="inherit" w:hAnsi="inherit"/>
                <w:color w:val="000000"/>
                <w:sz w:val="16"/>
                <w:szCs w:val="16"/>
              </w:rPr>
              <w:instrText>ey&gt;&lt;/foreign-keys&gt;&lt;ref-type name="Journal Article"&gt;17&lt;/ref-type&gt;&lt;contributors&gt;&lt;authors&gt;&lt;author&gt;Desmet, François-Olivier&lt;/author&gt;&lt;author&gt;Hamroun, Dalil&lt;/author&gt;&lt;author&gt;Lalande, Marine&lt;/author&gt;&lt;author&gt;Collod-Béroud, Gwenaëlle&lt;/author&gt;&lt;author&gt;Claustres, Mirei</w:instrText>
            </w:r>
            <w:r>
              <w:rPr>
                <w:rFonts w:ascii="inherit" w:hAnsi="inherit"/>
                <w:color w:val="000000"/>
                <w:sz w:val="16"/>
                <w:szCs w:val="16"/>
              </w:rPr>
              <w:instrText>lle&lt;/author&gt;&lt;author&gt;Béroud, Christophe&lt;/author&gt;&lt;/authors&gt;&lt;/contributors&gt;&lt;titles&gt;&lt;title&gt;Human Splicing Finder: an online bioinformatics tool to predict splicing signals&lt;/title&gt;&lt;secondary-title&gt;Nucleic acids research&lt;/secondary-title&gt;&lt;/titles&gt;&lt;periodical&gt;&lt;fu</w:instrText>
            </w:r>
            <w:r>
              <w:rPr>
                <w:rFonts w:ascii="inherit" w:hAnsi="inherit"/>
                <w:color w:val="000000"/>
                <w:sz w:val="16"/>
                <w:szCs w:val="16"/>
              </w:rPr>
              <w:instrText>ll-title&gt;Nucleic acids research&lt;/full-title&gt;&lt;/periodical&gt;&lt;pages&gt;e67-e67&lt;/pages&gt;&lt;volume&gt;37&lt;/volume&gt;&lt;number&gt;9&lt;/number&gt;&lt;dates&gt;&lt;year&gt;2009&lt;/year&gt;&lt;/dates&gt;&lt;isbn&gt;1362-4962&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[72]</w:t>
            </w:r>
            <w:r>
              <w:rPr>
                <w:rFonts w:ascii="inherit" w:hAnsi="inherit"/>
                <w:color w:val="000000"/>
                <w:sz w:val="16"/>
                <w:szCs w:val="16"/>
              </w:rPr>
              <w:fldChar w:fldCharType="end"/>
            </w:r>
            <w:r>
              <w:rPr>
                <w:rFonts w:ascii="inherit" w:hAnsi="inherit"/>
                <w:color w:val="000000"/>
                <w:sz w:val="16"/>
                <w:szCs w:val="16"/>
              </w:rPr>
              <w:t xml:space="preserve"> </w:t>
            </w:r>
          </w:p>
        </w:tc>
        <w:tc>
          <w:tcPr>
            <w:tcW w:w="4367"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28" w:tgtFrame="_blank" w:history="1">
              <w:r>
                <w:rPr>
                  <w:rStyle w:val="Hyperlink"/>
                  <w:rFonts w:ascii="inherit" w:hAnsi="inherit"/>
                  <w:color w:val="000000"/>
                  <w:sz w:val="16"/>
                  <w:szCs w:val="16"/>
                </w:rPr>
                <w:t>http://www.umd.be/HSF/</w:t>
              </w:r>
            </w:hyperlink>
            <w:r>
              <w:rPr>
                <w:rFonts w:ascii="inherit" w:hAnsi="inherit"/>
                <w:color w:val="000000"/>
                <w:sz w:val="16"/>
                <w:szCs w:val="16"/>
              </w:rPr>
              <w:t> </w:t>
            </w:r>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Position dependent logic </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MutPred Splice</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&lt;EndNote&gt;&lt;Cite&gt;&lt;Author&gt;Mort&lt;/Author&gt;&lt;Year&gt;2014&lt;/Year&gt;&lt;RecNum&gt;51&lt;/RecNum&gt;&lt;DisplayText&gt;[73]&lt;/DisplayText&gt;&lt;record&gt;&lt;rec-number&gt;51&lt;/rec-number&gt;&lt;foreign-keys&gt;&lt;key app="EN" db-id="d0vstffei2ze5sew5fwxp0dq9zxs5pvvsxpv" timestamp="1579918262"&gt;51&lt;/key</w:instrText>
            </w:r>
            <w:r>
              <w:rPr>
                <w:rFonts w:ascii="inherit" w:hAnsi="inherit"/>
                <w:color w:val="000000"/>
                <w:sz w:val="16"/>
                <w:szCs w:val="16"/>
              </w:rPr>
              <w:instrText>&gt;&lt;/foreign-keys&gt;&lt;ref-type name="Journal Article"&gt;17&lt;/ref-type&gt;&lt;contributors&gt;&lt;authors&gt;&lt;author&gt;Mort, Matthew&lt;/author&gt;&lt;author&gt;Sterne-Weiler, Timothy&lt;/author&gt;&lt;author&gt;Li, Biao&lt;/author&gt;&lt;author&gt;Ball, Edward V&lt;/author&gt;&lt;author&gt;Cooper, David N&lt;/author&gt;&lt;author&gt;Radivo</w:instrText>
            </w:r>
            <w:r>
              <w:rPr>
                <w:rFonts w:ascii="inherit" w:hAnsi="inherit"/>
                <w:color w:val="000000"/>
                <w:sz w:val="16"/>
                <w:szCs w:val="16"/>
              </w:rPr>
              <w:instrText>jac, Predrag&lt;/author&gt;&lt;author&gt;Sanford, Jeremy R&lt;/author&gt;&lt;author&gt;Mooney, Sean D&lt;/author&gt;&lt;/authors&gt;&lt;/contributors&gt;&lt;titles&gt;&lt;title&gt;MutPred Splice: machine learning-based prediction of exonic variants that disrupt splicing&lt;/title&gt;&lt;secondary-title&gt;Genome biology&lt;</w:instrText>
            </w:r>
            <w:r>
              <w:rPr>
                <w:rFonts w:ascii="inherit" w:hAnsi="inherit"/>
                <w:color w:val="000000"/>
                <w:sz w:val="16"/>
                <w:szCs w:val="16"/>
              </w:rPr>
              <w:instrText>/secondary-title&gt;&lt;/titles&gt;&lt;periodical&gt;&lt;full-title&gt;Genome Biology&lt;/full-title&gt;&lt;/periodical&gt;&lt;pages&gt;R19&lt;/pages&gt;&lt;volume&gt;15&lt;/volume&gt;&lt;number&gt;1&lt;/number&gt;&lt;dates&gt;&lt;year&gt;2014&lt;/year&gt;&lt;/dates&gt;&lt;isbn&gt;1474-760X&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[73]</w:t>
            </w:r>
            <w:r>
              <w:rPr>
                <w:rFonts w:ascii="inherit" w:hAnsi="inherit"/>
                <w:color w:val="000000"/>
                <w:sz w:val="16"/>
                <w:szCs w:val="16"/>
              </w:rPr>
              <w:fldChar w:fldCharType="end"/>
            </w:r>
            <w:r>
              <w:rPr>
                <w:rFonts w:ascii="inherit" w:hAnsi="inherit"/>
                <w:color w:val="000000"/>
                <w:sz w:val="16"/>
                <w:szCs w:val="16"/>
              </w:rPr>
              <w:t xml:space="preserve"> </w:t>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29" w:tgtFrame="_blank" w:history="1">
              <w:r>
                <w:rPr>
                  <w:rStyle w:val="Hyperlink"/>
                  <w:rFonts w:ascii="inherit" w:hAnsi="inherit"/>
                  <w:color w:val="000000"/>
                  <w:sz w:val="16"/>
                  <w:szCs w:val="16"/>
                </w:rPr>
                <w:t>http://mutdb.org/mutpredsplice/about.htm</w:t>
              </w:r>
            </w:hyperlink>
            <w:r>
              <w:rPr>
                <w:rFonts w:ascii="inherit" w:hAnsi="inherit"/>
                <w:color w:val="000000"/>
                <w:sz w:val="16"/>
                <w:szCs w:val="16"/>
              </w:rPr>
              <w:t> </w:t>
            </w:r>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Machine-learning prediction of exonic variants </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tcPr>
          <w:p w:rsidR="00877997" w:rsidRDefault="00877997">
            <w:pPr>
              <w:spacing w:line="360" w:lineRule="auto"/>
              <w:rPr>
                <w:rFonts w:ascii="inherit" w:hAnsi="inherit"/>
                <w:color w:val="000000"/>
                <w:sz w:val="16"/>
                <w:szCs w:val="16"/>
              </w:rPr>
            </w:pPr>
          </w:p>
        </w:tc>
        <w:tc>
          <w:tcPr>
            <w:tcW w:w="0" w:type="auto"/>
            <w:tcBorders>
              <w:bottom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SpliceAi</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&lt;EndNote&gt;&lt;Cite&gt;&lt;Author&gt;Jaganathan&lt;/Author&gt;&lt;Year&gt;2019&lt;/Year&gt;&lt;RecNum&gt;52&lt;/RecNum&gt;&lt;Di</w:instrText>
            </w:r>
            <w:r>
              <w:rPr>
                <w:rFonts w:ascii="inherit" w:hAnsi="inherit"/>
                <w:color w:val="000000"/>
                <w:sz w:val="16"/>
                <w:szCs w:val="16"/>
              </w:rPr>
              <w:instrText>splayText&gt;[74]&lt;/DisplayText&gt;&lt;record&gt;&lt;rec-number&gt;52&lt;/rec-number&gt;&lt;foreign-keys&gt;&lt;key app="EN" db-id="d0vstffei2ze5sew5fwxp0dq9zxs5pvvsxpv" timestamp="1579918359"&gt;52&lt;/key&gt;&lt;/foreign-keys&gt;&lt;ref-type name="Journal Article"&gt;17&lt;/ref-type&gt;&lt;contributors&gt;&lt;authors&gt;&lt;auth</w:instrText>
            </w:r>
            <w:r>
              <w:rPr>
                <w:rFonts w:ascii="inherit" w:hAnsi="inherit"/>
                <w:color w:val="000000"/>
                <w:sz w:val="16"/>
                <w:szCs w:val="16"/>
              </w:rPr>
              <w:instrText>or&gt;Jaganathan, Kishore&lt;/author&gt;&lt;author&gt;Panagiotopoulou, Sofia Kyriazopoulou&lt;/author&gt;&lt;author&gt;McRae, Jeremy F&lt;/author&gt;&lt;author&gt;Darbandi, Siavash Fazel&lt;/author&gt;&lt;author&gt;Knowles, David&lt;/author&gt;&lt;author&gt;Li, Yang I&lt;/author&gt;&lt;author&gt;Kosmicki, Jack A&lt;/author&gt;&lt;author&gt;A</w:instrText>
            </w:r>
            <w:r>
              <w:rPr>
                <w:rFonts w:ascii="inherit" w:hAnsi="inherit"/>
                <w:color w:val="000000"/>
                <w:sz w:val="16"/>
                <w:szCs w:val="16"/>
              </w:rPr>
              <w:instrText>rbelaez, Juan&lt;/author&gt;&lt;author&gt;Cui, Wenwu&lt;/author&gt;&lt;author&gt;Schwartz, Grace B&lt;/author&gt;&lt;/authors&gt;&lt;/contributors&gt;&lt;titles&gt;&lt;title&gt;Predicting splicing from primary sequence with deep learning&lt;/title&gt;&lt;secondary-title&gt;Cell&lt;/secondary-title&gt;&lt;/titles&gt;&lt;periodical&gt;&lt;full</w:instrText>
            </w:r>
            <w:r>
              <w:rPr>
                <w:rFonts w:ascii="inherit" w:hAnsi="inherit"/>
                <w:color w:val="000000"/>
                <w:sz w:val="16"/>
                <w:szCs w:val="16"/>
              </w:rPr>
              <w:instrText>-title&gt;Cell&lt;/full-title&gt;&lt;/periodical&gt;&lt;pages&gt;535-548. e24&lt;/pages&gt;&lt;volume&gt;176&lt;/volume&gt;&lt;number&gt;3&lt;/number&gt;&lt;dates&gt;&lt;year&gt;2019&lt;/year&gt;&lt;/dates&gt;&lt;isbn&gt;0092-8674&lt;/isbn&gt;&lt;urls&gt;&lt;/urls&gt;&lt;/record&gt;&lt;/Cite&gt;&lt;/EndNote&gt;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[74]</w:t>
            </w:r>
            <w:r>
              <w:rPr>
                <w:rFonts w:ascii="inherit" w:hAnsi="inherit"/>
                <w:color w:val="000000"/>
                <w:sz w:val="16"/>
                <w:szCs w:val="16"/>
              </w:rPr>
              <w:fldChar w:fldCharType="end"/>
            </w:r>
          </w:p>
        </w:tc>
        <w:tc>
          <w:tcPr>
            <w:tcW w:w="4367" w:type="dxa"/>
            <w:tcBorders>
              <w:bottom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30" w:history="1">
              <w:r>
                <w:rPr>
                  <w:rStyle w:val="Hyperlink"/>
                  <w:rFonts w:ascii="inherit" w:hAnsi="inherit"/>
                  <w:color w:val="000000"/>
                  <w:sz w:val="16"/>
                  <w:szCs w:val="16"/>
                </w:rPr>
                <w:t>ht</w:t>
              </w:r>
              <w:r>
                <w:rPr>
                  <w:rStyle w:val="Hyperlink"/>
                  <w:rFonts w:ascii="inherit" w:hAnsi="inherit"/>
                  <w:color w:val="000000"/>
                  <w:sz w:val="16"/>
                  <w:szCs w:val="16"/>
                </w:rPr>
                <w:t>tps://pypi.org/project/spliceai/</w:t>
              </w:r>
            </w:hyperlink>
            <w:r>
              <w:rPr>
                <w:rFonts w:ascii="inherit" w:hAnsi="inherit"/>
                <w:color w:val="000000"/>
                <w:sz w:val="16"/>
                <w:szCs w:val="16"/>
              </w:rPr>
              <w:t xml:space="preserve"> </w:t>
            </w:r>
          </w:p>
        </w:tc>
        <w:tc>
          <w:tcPr>
            <w:tcW w:w="2125" w:type="dxa"/>
            <w:tcBorders>
              <w:bottom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Deep neural network</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cBorders>
          </w:tcPr>
          <w:p w:rsidR="00877997" w:rsidRDefault="00CB0676">
            <w:pPr>
              <w:spacing w:line="360" w:lineRule="auto"/>
              <w:rPr>
                <w:rFonts w:ascii="inherit" w:hAnsi="inherit"/>
                <w:color w:val="000000"/>
                <w:sz w:val="16"/>
                <w:szCs w:val="16"/>
              </w:rPr>
            </w:pPr>
            <w:r>
              <w:rPr>
                <w:rFonts w:ascii="inherit" w:hAnsi="inherit"/>
                <w:color w:val="000000"/>
                <w:sz w:val="16"/>
                <w:szCs w:val="16"/>
              </w:rPr>
              <w:t>Conservation prediction </w:t>
            </w:r>
          </w:p>
        </w:tc>
        <w:tc>
          <w:tcPr>
            <w:tcW w:w="0" w:type="auto"/>
            <w:tcBorders>
              <w:top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PhyloP</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&lt;EndNote&gt;&lt;Cite&gt;&lt;Author&gt;Pollard&lt;/Author&gt;&lt;Year&gt;2010&lt;/Year&gt;&lt;RecNum&gt;42&lt;/RecNum&gt;&lt;DisplayText&gt;[75]&lt;/DisplayText&gt;&lt;record&gt;&lt;rec-number&gt;42&lt;/rec-number&gt;&lt;foreign-keys&gt;&lt;key app="EN" db-id="d0vstffei2ze5sew5fwxp0dq9zxs5pvvsxpv" timestamp="1579917513"&gt;42&lt;/</w:instrText>
            </w:r>
            <w:r>
              <w:rPr>
                <w:rFonts w:ascii="inherit" w:hAnsi="inherit"/>
                <w:color w:val="000000"/>
                <w:sz w:val="16"/>
                <w:szCs w:val="16"/>
              </w:rPr>
              <w:instrText>key&gt;&lt;/foreign-keys&gt;&lt;ref-type name="Journal Article"&gt;17&lt;/ref-type&gt;&lt;contributors&gt;&lt;authors&gt;&lt;author&gt;Pollard, Katherine S&lt;/author&gt;&lt;author&gt;Hubisz, Melissa J&lt;/author&gt;&lt;author&gt;Rosenbloom, Kate R&lt;/author&gt;&lt;author&gt;Siepel, Adam&lt;/author&gt;&lt;/authors&gt;&lt;/contributors&gt;&lt;titles&gt;</w:instrText>
            </w:r>
            <w:r>
              <w:rPr>
                <w:rFonts w:ascii="inherit" w:hAnsi="inherit"/>
                <w:color w:val="000000"/>
                <w:sz w:val="16"/>
                <w:szCs w:val="16"/>
              </w:rPr>
              <w:instrText>&lt;title&gt;Detection of nonneutral substitution rates on mammalian phylogenies&lt;/title&gt;&lt;secondary-title&gt;Genome research&lt;/secondary-title&gt;&lt;/titles&gt;&lt;periodical&gt;&lt;full-title&gt;Genome research&lt;/full-title&gt;&lt;/periodical&gt;&lt;pages&gt;110-121&lt;/pages&gt;&lt;volume&gt;20&lt;/volume&gt;&lt;number&gt;1</w:instrText>
            </w:r>
            <w:r>
              <w:rPr>
                <w:rFonts w:ascii="inherit" w:hAnsi="inherit"/>
                <w:color w:val="000000"/>
                <w:sz w:val="16"/>
                <w:szCs w:val="16"/>
              </w:rPr>
              <w:instrText>&lt;/number&gt;&lt;dates&gt;&lt;year&gt;2010&lt;/year&gt;&lt;/dates&gt;&lt;isbn&gt;1088-9051&lt;/isbn&gt;&lt;urls&gt;&lt;/urls&gt;&lt;/record&gt;&lt;/Cite&gt;&lt;/EndNote&gt;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[75]</w:t>
            </w:r>
            <w:r>
              <w:rPr>
                <w:rFonts w:ascii="inherit" w:hAnsi="inherit"/>
                <w:color w:val="000000"/>
                <w:sz w:val="16"/>
                <w:szCs w:val="16"/>
              </w:rPr>
              <w:fldChar w:fldCharType="end"/>
            </w:r>
          </w:p>
        </w:tc>
        <w:tc>
          <w:tcPr>
            <w:tcW w:w="4367" w:type="dxa"/>
            <w:tcBorders>
              <w:top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31" w:tgtFrame="_blank" w:history="1">
              <w:r>
                <w:rPr>
                  <w:rStyle w:val="Hyperlink"/>
                  <w:rFonts w:ascii="inherit" w:hAnsi="inherit"/>
                  <w:color w:val="000000"/>
                  <w:sz w:val="16"/>
                  <w:szCs w:val="16"/>
                </w:rPr>
                <w:t>http://compgen.bscb.cornell.edu/phast/</w:t>
              </w:r>
            </w:hyperlink>
            <w:r>
              <w:rPr>
                <w:rFonts w:ascii="inherit" w:hAnsi="inherit"/>
                <w:color w:val="000000"/>
                <w:sz w:val="16"/>
                <w:szCs w:val="16"/>
              </w:rPr>
              <w:t> </w:t>
            </w:r>
          </w:p>
        </w:tc>
        <w:tc>
          <w:tcPr>
            <w:tcW w:w="2125" w:type="dxa"/>
            <w:tcBorders>
              <w:top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Statistical phylogenetic tests </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GERP+</w:t>
            </w:r>
            <w:r>
              <w:rPr>
                <w:rFonts w:ascii="inherit" w:hAnsi="inherit"/>
                <w:color w:val="000000"/>
                <w:sz w:val="16"/>
                <w:szCs w:val="16"/>
              </w:rPr>
              <w:t>+</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&lt;EndNote&gt;&lt;Cite&gt;&lt;Author&gt;Cooper&lt;/Author&gt;&lt;Year&gt;2005&lt;/Year&gt;&lt;RecNum&gt;41&lt;/RecNum&gt;&lt;DisplayText&gt;[76]&lt;/DisplayText&gt;&lt;record&gt;&lt;rec-number&gt;41&lt;/rec-number&gt;&lt;foreign-keys&gt;&lt;key app="EN" db-id="d0vstffei2ze5sew5fwxp0dq9zxs5pvvsxpv" timestamp="1579917460"&gt;41&lt;/</w:instrText>
            </w:r>
            <w:r>
              <w:rPr>
                <w:rFonts w:ascii="inherit" w:hAnsi="inherit"/>
                <w:color w:val="000000"/>
                <w:sz w:val="16"/>
                <w:szCs w:val="16"/>
              </w:rPr>
              <w:instrText>key&gt;&lt;/foreign-keys&gt;&lt;ref-type name="Journal Article"&gt;17&lt;/ref-type&gt;&lt;contributors&gt;&lt;authors&gt;&lt;author&gt;Cooper, Gregory M&lt;/author&gt;&lt;author&gt;Stone, Eric A&lt;/author&gt;&lt;author&gt;Asimenos, George&lt;/author&gt;&lt;author&gt;Green, Eric D&lt;/author&gt;&lt;author&gt;Batzoglou, Serafim&lt;/author&gt;&lt;autho</w:instrText>
            </w:r>
            <w:r>
              <w:rPr>
                <w:rFonts w:ascii="inherit" w:hAnsi="inherit"/>
                <w:color w:val="000000"/>
                <w:sz w:val="16"/>
                <w:szCs w:val="16"/>
              </w:rPr>
              <w:instrText>r&gt;Sidow, Arend&lt;/author&gt;&lt;/authors&gt;&lt;/contributors&gt;&lt;titles&gt;&lt;title&gt;Distribution and intensity of constraint in mammalian genomic sequence&lt;/title&gt;&lt;secondary-title&gt;Genome research&lt;/secondary-title&gt;&lt;/titles&gt;&lt;periodical&gt;&lt;full-title&gt;Genome research&lt;/full-title&gt;&lt;/pe</w:instrText>
            </w:r>
            <w:r>
              <w:rPr>
                <w:rFonts w:ascii="inherit" w:hAnsi="inherit"/>
                <w:color w:val="000000"/>
                <w:sz w:val="16"/>
                <w:szCs w:val="16"/>
              </w:rPr>
              <w:instrText>riodical&gt;&lt;pages&gt;901-913&lt;/pages&gt;&lt;volume&gt;15&lt;/volume&gt;&lt;number&gt;7&lt;/number&gt;&lt;dates&gt;&lt;year&gt;2005&lt;/year&gt;&lt;/dates&gt;&lt;isbn&gt;1088-9051&lt;/isbn&gt;&lt;urls&gt;&lt;/urls&gt;&lt;/record&gt;&lt;/Cite&gt;&lt;/EndNote&gt;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[76]</w:t>
            </w:r>
            <w:r>
              <w:rPr>
                <w:rFonts w:ascii="inherit" w:hAnsi="inherit"/>
                <w:color w:val="000000"/>
                <w:sz w:val="16"/>
                <w:szCs w:val="16"/>
              </w:rPr>
              <w:fldChar w:fldCharType="end"/>
            </w:r>
            <w:r>
              <w:rPr>
                <w:rFonts w:ascii="inherit" w:hAnsi="inherit"/>
                <w:color w:val="000000"/>
                <w:sz w:val="16"/>
                <w:szCs w:val="16"/>
              </w:rPr>
              <w:t xml:space="preserve"> </w:t>
            </w:r>
          </w:p>
        </w:tc>
        <w:tc>
          <w:tcPr>
            <w:tcW w:w="4367"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32" w:tgtFrame="_blank" w:history="1">
              <w:r>
                <w:rPr>
                  <w:rStyle w:val="Hyperlink"/>
                  <w:rFonts w:ascii="inherit" w:hAnsi="inherit"/>
                  <w:color w:val="000000"/>
                  <w:sz w:val="16"/>
                  <w:szCs w:val="16"/>
                </w:rPr>
                <w:t>http:/</w:t>
              </w:r>
              <w:r>
                <w:rPr>
                  <w:rStyle w:val="Hyperlink"/>
                  <w:rFonts w:ascii="inherit" w:hAnsi="inherit"/>
                  <w:color w:val="000000"/>
                  <w:sz w:val="16"/>
                  <w:szCs w:val="16"/>
                </w:rPr>
                <w:t>/mendel.stanford.edu/SidowLab/downloads/gerp/</w:t>
              </w:r>
            </w:hyperlink>
            <w:r>
              <w:rPr>
                <w:rFonts w:ascii="inherit" w:hAnsi="inherit"/>
                <w:color w:val="000000"/>
                <w:sz w:val="16"/>
                <w:szCs w:val="16"/>
              </w:rPr>
              <w:t> </w:t>
            </w:r>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Conservation across species</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PhastCons</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&lt;EndNote&gt;&lt;Cite&gt;&lt;Author&gt;Siepel&lt;/Author&gt;&lt;Year&gt;2005&lt;/Year&gt;&lt;RecNum&gt;40&lt;/RecNum&gt;&lt;DisplayText&gt;[77]&lt;/DisplayText&gt;&lt;record&gt;&lt;rec-number&gt;40&lt;/rec-number&gt;&lt;foreign-keys&gt;&lt;key app="EN" db-id="d0vstffei2ze5sew5fwxp0dq9zxs5pvvsxpv" timestamp="1579917353"&gt;40&lt;/k</w:instrText>
            </w:r>
            <w:r>
              <w:rPr>
                <w:rFonts w:ascii="inherit" w:hAnsi="inherit"/>
                <w:color w:val="000000"/>
                <w:sz w:val="16"/>
                <w:szCs w:val="16"/>
              </w:rPr>
              <w:instrText>ey&gt;&lt;/foreign-keys&gt;&lt;ref-type name="Journal Article"&gt;17&lt;/ref-type&gt;&lt;contributors&gt;&lt;authors&gt;&lt;author&gt;Siepel, Adam&lt;/author&gt;&lt;author&gt;Bejerano, Gill&lt;/author&gt;&lt;author&gt;Pedersen, Jakob S&lt;/author&gt;&lt;author&gt;Hinrichs, Angie S&lt;/author&gt;&lt;author&gt;Hou, Minmei&lt;/author&gt;&lt;author&gt;Rosen</w:instrText>
            </w:r>
            <w:r>
              <w:rPr>
                <w:rFonts w:ascii="inherit" w:hAnsi="inherit"/>
                <w:color w:val="000000"/>
                <w:sz w:val="16"/>
                <w:szCs w:val="16"/>
              </w:rPr>
              <w:instrText xml:space="preserve">bloom, Kate&lt;/author&gt;&lt;author&gt;Clawson, Hiram&lt;/author&gt;&lt;author&gt;Spieth, John&lt;/author&gt;&lt;author&gt;Hillier, LaDeana W&lt;/author&gt;&lt;author&gt;Richards, Stephen&lt;/author&gt;&lt;/authors&gt;&lt;/contributors&gt;&lt;titles&gt;&lt;title&gt;Evolutionarily conserved elements in vertebrate, insect, worm, and </w:instrText>
            </w:r>
            <w:r>
              <w:rPr>
                <w:rFonts w:ascii="inherit" w:hAnsi="inherit"/>
                <w:color w:val="000000"/>
                <w:sz w:val="16"/>
                <w:szCs w:val="16"/>
              </w:rPr>
              <w:instrText>yeast genomes&lt;/title&gt;&lt;secondary-title&gt;Genome research&lt;/secondary-title&gt;&lt;/titles&gt;&lt;periodical&gt;&lt;full-title&gt;Genome research&lt;/full-title&gt;&lt;/periodical&gt;&lt;pages&gt;1034-1050&lt;/pages&gt;&lt;volume&gt;15&lt;/volume&gt;&lt;number&gt;8&lt;/number&gt;&lt;dates&gt;&lt;year&gt;2005&lt;/year&gt;&lt;/dates&gt;&lt;isbn&gt;1088-9051&lt;/i</w:instrText>
            </w:r>
            <w:r>
              <w:rPr>
                <w:rFonts w:ascii="inherit" w:hAnsi="inherit"/>
                <w:color w:val="000000"/>
                <w:sz w:val="16"/>
                <w:szCs w:val="16"/>
              </w:rPr>
              <w:instrText>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[77]</w:t>
            </w:r>
            <w:r>
              <w:rPr>
                <w:rFonts w:ascii="inherit" w:hAnsi="inherit"/>
                <w:color w:val="000000"/>
                <w:sz w:val="16"/>
                <w:szCs w:val="16"/>
              </w:rPr>
              <w:fldChar w:fldCharType="end"/>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33" w:history="1">
              <w:r>
                <w:rPr>
                  <w:rStyle w:val="Hyperlink"/>
                  <w:rFonts w:ascii="inherit" w:hAnsi="inherit"/>
                  <w:color w:val="000000"/>
                  <w:sz w:val="16"/>
                  <w:szCs w:val="16"/>
                </w:rPr>
                <w:t>http://compgen.cshl.edu/phast/</w:t>
              </w:r>
            </w:hyperlink>
            <w:r>
              <w:rPr>
                <w:rFonts w:ascii="inherit" w:hAnsi="inherit"/>
                <w:color w:val="000000"/>
                <w:sz w:val="16"/>
                <w:szCs w:val="16"/>
              </w:rPr>
              <w:t xml:space="preserve"> </w:t>
            </w:r>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Phylogenetic hidden Markov model</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tcPr>
          <w:p w:rsidR="00877997" w:rsidRDefault="00877997">
            <w:pPr>
              <w:spacing w:line="360" w:lineRule="auto"/>
              <w:rPr>
                <w:rFonts w:ascii="inherit" w:hAnsi="inherit"/>
                <w:color w:val="000000"/>
                <w:sz w:val="16"/>
                <w:szCs w:val="16"/>
              </w:rPr>
            </w:pPr>
          </w:p>
        </w:tc>
        <w:tc>
          <w:tcPr>
            <w:tcW w:w="0" w:type="auto"/>
            <w:tcBorders>
              <w:bottom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Panther-PSEP</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&lt;EndNote&gt;&lt;Cite&gt;&lt;Author&gt;Tang&lt;/Author&gt;&lt;Year&gt;2016&lt;/Year&gt;&lt;RecNum&gt;143</w:instrText>
            </w:r>
            <w:r>
              <w:rPr>
                <w:rFonts w:ascii="inherit" w:hAnsi="inherit"/>
                <w:color w:val="000000"/>
                <w:sz w:val="16"/>
                <w:szCs w:val="16"/>
              </w:rPr>
              <w:instrText>&lt;/RecNum&gt;&lt;DisplayText&gt;[78]&lt;/DisplayText&gt;&lt;record&gt;&lt;rec-number&gt;143&lt;/rec-number&gt;&lt;foreign-keys&gt;&lt;key app="EN" db-id="d0vstffei2ze5sew5fwxp0dq9zxs5pvvsxpv" timestamp="1583861483"&gt;143&lt;/key&gt;&lt;/foreign-keys&gt;&lt;ref-type name="Journal Article"&gt;17&lt;/ref-type&gt;&lt;contributors&gt;</w:instrText>
            </w:r>
            <w:r>
              <w:rPr>
                <w:rFonts w:ascii="inherit" w:hAnsi="inherit"/>
                <w:color w:val="000000"/>
                <w:sz w:val="16"/>
                <w:szCs w:val="16"/>
              </w:rPr>
              <w:instrText>&lt;authors&gt;&lt;author&gt;Tang, Haiming&lt;/author&gt;&lt;author&gt;Thomas, Paul D.&lt;/author&gt;&lt;/authors&gt;&lt;/contributors&gt;&lt;titles&gt;&lt;title&gt;PANTHER-PSEP: predicting disease-causing genetic variants using position-specific evolutionary preservation&lt;/title&gt;&lt;secondary-title&gt;Bioinformatic</w:instrText>
            </w:r>
            <w:r>
              <w:rPr>
                <w:rFonts w:ascii="inherit" w:hAnsi="inherit"/>
                <w:color w:val="000000"/>
                <w:sz w:val="16"/>
                <w:szCs w:val="16"/>
              </w:rPr>
              <w:instrText>s&lt;/secondary-title&gt;&lt;/titles&gt;&lt;periodical&gt;&lt;full-title&gt;Bioinformatics&lt;/full-title&gt;&lt;/periodical&gt;&lt;pages&gt;2230-2232&lt;/pages&gt;&lt;volume&gt;32&lt;/volume&gt;&lt;number&gt;14&lt;/number&gt;&lt;dates&gt;&lt;year&gt;2016&lt;/year&gt;&lt;/dates&gt;&lt;isbn&gt;1367-4803&lt;/isbn&gt;&lt;urls&gt;&lt;related-urls&gt;&lt;url&gt;https://doi.org/10.1093</w:instrText>
            </w:r>
            <w:r>
              <w:rPr>
                <w:rFonts w:ascii="inherit" w:hAnsi="inherit"/>
                <w:color w:val="000000"/>
                <w:sz w:val="16"/>
                <w:szCs w:val="16"/>
              </w:rPr>
              <w:instrText>/bioinformatics/btw222&lt;/url&gt;&lt;/related-urls&gt;&lt;/urls&gt;&lt;electronic-resource-num&gt;10.1093/bioinformatics/btw222&lt;/electronic-resource-num&gt;&lt;access-date&gt;3/10/2020&lt;/access-date&gt;&lt;/record&gt;&lt;/Cite&gt;&lt;/EndNote&gt;</w:instrText>
            </w:r>
            <w:r>
              <w:rPr>
                <w:rFonts w:ascii="inherit" w:hAnsi="inherit"/>
                <w:color w:val="000000"/>
                <w:sz w:val="16"/>
                <w:szCs w:val="16"/>
              </w:rPr>
              <w:fldChar w:fldCharType="separate"/>
            </w:r>
            <w:r>
              <w:rPr>
                <w:rFonts w:ascii="inherit" w:hAnsi="inherit"/>
                <w:noProof/>
                <w:color w:val="000000"/>
                <w:sz w:val="16"/>
                <w:szCs w:val="16"/>
              </w:rPr>
              <w:t>[78]</w:t>
            </w:r>
            <w:r>
              <w:rPr>
                <w:rFonts w:ascii="inherit" w:hAnsi="inherit"/>
                <w:color w:val="000000"/>
                <w:sz w:val="16"/>
                <w:szCs w:val="16"/>
              </w:rPr>
              <w:fldChar w:fldCharType="end"/>
            </w:r>
          </w:p>
        </w:tc>
        <w:tc>
          <w:tcPr>
            <w:tcW w:w="4367" w:type="dxa"/>
            <w:tcBorders>
              <w:bottom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color w:val="000000"/>
              </w:rPr>
            </w:pPr>
            <w:hyperlink r:id="rId34" w:history="1">
              <w:r>
                <w:rPr>
                  <w:rStyle w:val="Hyperlink"/>
                  <w:color w:val="000000"/>
                  <w:sz w:val="16"/>
                </w:rPr>
                <w:t>http://pantherdb.org/tools/csnpScoreForm.jsp</w:t>
              </w:r>
            </w:hyperlink>
          </w:p>
        </w:tc>
        <w:tc>
          <w:tcPr>
            <w:tcW w:w="2125" w:type="dxa"/>
            <w:tcBorders>
              <w:bottom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Position-specific evolutionary conservation</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cBorders>
          </w:tcPr>
          <w:p w:rsidR="00877997" w:rsidRDefault="00CB0676">
            <w:pPr>
              <w:spacing w:line="360" w:lineRule="auto"/>
              <w:rPr>
                <w:rFonts w:ascii="inherit" w:hAnsi="inherit"/>
                <w:color w:val="000000"/>
                <w:sz w:val="16"/>
                <w:szCs w:val="16"/>
              </w:rPr>
            </w:pPr>
            <w:r>
              <w:rPr>
                <w:rFonts w:ascii="inherit" w:hAnsi="inherit"/>
                <w:color w:val="000000"/>
                <w:sz w:val="16"/>
                <w:szCs w:val="16"/>
              </w:rPr>
              <w:t>Non-coding prediction</w:t>
            </w:r>
          </w:p>
        </w:tc>
        <w:tc>
          <w:tcPr>
            <w:tcW w:w="0" w:type="auto"/>
            <w:tcBorders>
              <w:top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DeepSEA</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&lt;EndNote&gt;&lt;Cite&gt;&lt;Author&gt;Zhou&lt;/Author&gt;&lt;Year&gt;2015&lt;/Year&gt;&lt;RecNum&gt;135&lt;/RecNum&gt;&lt;DisplayText&gt;[79]&lt;/DisplayText&gt;&lt;record&gt;&lt;rec-number&gt;135&lt;/rec-number&gt;&lt;foreign-keys&gt;&lt;key app="EN" db-id="d0vstffei2ze5sew5fwxp0dq9zxs5pvvsxpv" timestamp="1583858505"&gt;135&lt;/</w:instrText>
            </w:r>
            <w:r>
              <w:rPr>
                <w:rFonts w:ascii="inherit" w:hAnsi="inherit"/>
                <w:color w:val="000000"/>
                <w:sz w:val="16"/>
                <w:szCs w:val="16"/>
              </w:rPr>
              <w:instrText>key&gt;&lt;/foreign-keys&gt;&lt;ref-type name="Journal Article"&gt;17&lt;/ref-type&gt;&lt;contributors&gt;&lt;authors&gt;&lt;author&gt;Zhou, Jian&lt;/author&gt;&lt;author&gt;Troyanskaya, Olga G&lt;/author&gt;&lt;/authors&gt;&lt;/contributors&gt;&lt;titles&gt;&lt;title&gt;Predicting effects of noncoding variants with deep learning–based</w:instrText>
            </w:r>
            <w:r>
              <w:rPr>
                <w:rFonts w:ascii="inherit" w:hAnsi="inherit"/>
                <w:color w:val="000000"/>
                <w:sz w:val="16"/>
                <w:szCs w:val="16"/>
              </w:rPr>
              <w:instrText xml:space="preserve"> sequence model&lt;/title&gt;&lt;secondary-title&gt;Nature methods&lt;/secondary-title&gt;&lt;/titles&gt;&lt;periodical&gt;&lt;full-title&gt;Nature methods&lt;/full-title&gt;&lt;/periodical&gt;&lt;pages&gt;931-934&lt;/pages&gt;&lt;volume&gt;12&lt;/volume&gt;&lt;number&gt;10&lt;/number&gt;&lt;dates&gt;&lt;year&gt;2015&lt;/year&gt;&lt;/dates&gt;&lt;isbn&gt;1548-7105&lt;/is</w:instrText>
            </w:r>
            <w:r>
              <w:rPr>
                <w:rFonts w:ascii="inherit" w:hAnsi="inherit"/>
                <w:color w:val="000000"/>
                <w:sz w:val="16"/>
                <w:szCs w:val="16"/>
              </w:rPr>
              <w:instrText>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[79]</w:t>
            </w:r>
            <w:r>
              <w:rPr>
                <w:rFonts w:ascii="inherit" w:hAnsi="inherit"/>
                <w:color w:val="000000"/>
                <w:sz w:val="16"/>
                <w:szCs w:val="16"/>
              </w:rPr>
              <w:fldChar w:fldCharType="end"/>
            </w:r>
          </w:p>
        </w:tc>
        <w:tc>
          <w:tcPr>
            <w:tcW w:w="4367" w:type="dxa"/>
            <w:tcBorders>
              <w:top w:val="single" w:sz="4" w:space="0" w:color="000000"/>
            </w:tcBorders>
          </w:tcPr>
          <w:p w:rsidR="00877997" w:rsidRDefault="00CB0676">
            <w:pPr>
              <w:cnfStyle w:val="000000100000" w:firstRow="0" w:lastRow="0" w:firstColumn="0" w:lastColumn="0" w:oddVBand="0" w:evenVBand="0" w:oddHBand="1" w:evenHBand="0" w:firstRowFirstColumn="0" w:firstRowLastColumn="0" w:lastRowFirstColumn="0" w:lastRowLastColumn="0"/>
              <w:rPr>
                <w:color w:val="000000"/>
                <w:sz w:val="16"/>
                <w:szCs w:val="16"/>
              </w:rPr>
            </w:pPr>
            <w:hyperlink r:id="rId35" w:history="1">
              <w:r>
                <w:rPr>
                  <w:rStyle w:val="Hyperlink"/>
                  <w:color w:val="000000"/>
                  <w:sz w:val="16"/>
                  <w:szCs w:val="18"/>
                </w:rPr>
                <w:t>http://deepsea.princeton.edu/</w:t>
              </w:r>
            </w:hyperlink>
          </w:p>
        </w:tc>
        <w:tc>
          <w:tcPr>
            <w:tcW w:w="2125" w:type="dxa"/>
            <w:tcBorders>
              <w:top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Deep learning algorithm</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GenoCanyon</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&lt;EndNote&gt;&lt;Cite&gt;&lt;Author&gt;Lu&lt;/Author&gt;&lt;Year&gt;2015&lt;/Year&gt;&lt;RecNum&gt;138&lt;/RecNum&gt;&lt;DisplayText&gt;[80]&lt;/DisplayText&gt;&lt;record&gt;&lt;rec-number&gt;138&lt;/rec-number&gt;&lt;foreign-keys&gt;&lt;key app="EN" db-id="d0vstffei2ze5sew5fwxp0dq9zxs5pvvsxpv" timestamp="1583860164"&gt;138&lt;/ke</w:instrText>
            </w:r>
            <w:r>
              <w:rPr>
                <w:rFonts w:ascii="inherit" w:hAnsi="inherit"/>
                <w:color w:val="000000"/>
                <w:sz w:val="16"/>
                <w:szCs w:val="16"/>
              </w:rPr>
              <w:instrText>y&gt;&lt;/foreign-keys&gt;&lt;ref-type name="Journal Article"&gt;17&lt;/ref-type&gt;&lt;contributors&gt;&lt;authors&gt;&lt;author&gt;Lu, Qiongshi&lt;/author&gt;&lt;author&gt;Hu, Yiming&lt;/author&gt;&lt;author&gt;Sun, Jiehuan&lt;/author&gt;&lt;author&gt;Cheng, Yuwei&lt;/author&gt;&lt;author&gt;Cheung, Kei-Hoi&lt;/author&gt;&lt;author&gt;Zhao, Hongyu&lt;/au</w:instrText>
            </w:r>
            <w:r>
              <w:rPr>
                <w:rFonts w:ascii="inherit" w:hAnsi="inherit"/>
                <w:color w:val="000000"/>
                <w:sz w:val="16"/>
                <w:szCs w:val="16"/>
              </w:rPr>
              <w:instrText>thor&gt;&lt;/authors&gt;&lt;/contributors&gt;&lt;titles&gt;&lt;title&gt;A statistical framework to predict functional non-coding regions in the human genome through integrated analysis of annotation data&lt;/title&gt;&lt;secondary-title&gt;Scientific reports&lt;/secondary-title&gt;&lt;/titles&gt;&lt;periodica</w:instrText>
            </w:r>
            <w:r>
              <w:rPr>
                <w:rFonts w:ascii="inherit" w:hAnsi="inherit"/>
                <w:color w:val="000000"/>
                <w:sz w:val="16"/>
                <w:szCs w:val="16"/>
              </w:rPr>
              <w:instrText>l&gt;&lt;full-title&gt;Scientific Reports&lt;/full-title&gt;&lt;/periodical&gt;&lt;pages&gt;10576&lt;/pages&gt;&lt;volume&gt;5&lt;/volume&gt;&lt;dates&gt;&lt;year&gt;2015&lt;/year&gt;&lt;/dates&gt;&lt;isbn&gt;2045-2322&lt;/isbn&gt;&lt;urls&gt;&lt;/urls&gt;&lt;/record&gt;&lt;/Cite&gt;&lt;/EndNote&gt;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[80]</w:t>
            </w:r>
            <w:r>
              <w:rPr>
                <w:rFonts w:ascii="inherit" w:hAnsi="inherit"/>
                <w:color w:val="000000"/>
                <w:sz w:val="16"/>
                <w:szCs w:val="16"/>
              </w:rPr>
              <w:fldChar w:fldCharType="end"/>
            </w:r>
          </w:p>
        </w:tc>
        <w:tc>
          <w:tcPr>
            <w:tcW w:w="4367"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8"/>
              </w:rPr>
            </w:pPr>
            <w:hyperlink r:id="rId36" w:history="1">
              <w:r>
                <w:rPr>
                  <w:rStyle w:val="Hyperlink"/>
                  <w:color w:val="000000"/>
                  <w:sz w:val="16"/>
                  <w:szCs w:val="18"/>
                </w:rPr>
                <w:t>http://geno</w:t>
              </w:r>
              <w:r>
                <w:rPr>
                  <w:rStyle w:val="Hyperlink"/>
                  <w:color w:val="000000"/>
                  <w:sz w:val="16"/>
                  <w:szCs w:val="18"/>
                </w:rPr>
                <w:t>canyon.med.yale.edu</w:t>
              </w:r>
            </w:hyperlink>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Unsupervised learning</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tcPr>
          <w:p w:rsidR="00877997" w:rsidRDefault="00877997">
            <w:pPr>
              <w:spacing w:line="360" w:lineRule="auto"/>
              <w:rPr>
                <w:rFonts w:ascii="inherit" w:hAnsi="inherit"/>
                <w:color w:val="000000"/>
                <w:sz w:val="16"/>
                <w:szCs w:val="16"/>
              </w:rPr>
            </w:pPr>
          </w:p>
        </w:tc>
        <w:tc>
          <w:tcPr>
            <w:tcW w:w="0" w:type="auto"/>
            <w:tcBorders>
              <w:bottom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SInBaD</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&lt;EndNote&gt;&lt;Cite&gt;&lt;Author&gt;Lehmann&lt;/Author&gt;&lt;Year&gt;2012&lt;/Year&gt;&lt;RecNum&gt;145&lt;/RecNum&gt;&lt;DisplayText&gt;[81]&lt;/DisplayText&gt;&lt;record&gt;&lt;rec-number&gt;145&lt;/rec-number&gt;&lt;foreign-keys&gt;&lt;key app="EN" db-id="d0vstffei2ze5sew5fwxp0dq9zxs5pvvsxpv" timestamp="1583862039"&gt;14</w:instrText>
            </w:r>
            <w:r>
              <w:rPr>
                <w:rFonts w:ascii="inherit" w:hAnsi="inherit"/>
                <w:color w:val="000000"/>
                <w:sz w:val="16"/>
                <w:szCs w:val="16"/>
              </w:rPr>
              <w:instrText>5&lt;/key&gt;&lt;/foreign-keys&gt;&lt;ref-type name="Journal Article"&gt;17&lt;/ref-type&gt;&lt;contributors&gt;&lt;authors&gt;&lt;author&gt;Lehmann, Kjong-Van&lt;/author&gt;&lt;author&gt;Chen, Ting&lt;/author&gt;&lt;/authors&gt;&lt;/contributors&gt;&lt;titles&gt;&lt;title&gt;Exploring functional variant discovery in non-coding regions wi</w:instrText>
            </w:r>
            <w:r>
              <w:rPr>
                <w:rFonts w:ascii="inherit" w:hAnsi="inherit"/>
                <w:color w:val="000000"/>
                <w:sz w:val="16"/>
                <w:szCs w:val="16"/>
              </w:rPr>
              <w:instrText>th SInBaD&lt;/title&gt;&lt;secondary-title&gt;Nucleic Acids Research&lt;/secondary-title&gt;&lt;/titles&gt;&lt;periodical&gt;&lt;full-title&gt;Nucleic acids research&lt;/full-title&gt;&lt;/periodical&gt;&lt;pages&gt;e7-e7&lt;/pages&gt;&lt;volume&gt;41&lt;/volume&gt;&lt;number&gt;1&lt;/number&gt;&lt;dates&gt;&lt;year&gt;2012&lt;/year&gt;&lt;/dates&gt;&lt;isbn&gt;0305-1</w:instrText>
            </w:r>
            <w:r>
              <w:rPr>
                <w:rFonts w:ascii="inherit" w:hAnsi="inherit"/>
                <w:color w:val="000000"/>
                <w:sz w:val="16"/>
                <w:szCs w:val="16"/>
              </w:rPr>
              <w:instrText>048&lt;/isbn&gt;&lt;urls&gt;&lt;related-urls&gt;&lt;url&gt;https://doi.org/10.1093/nar/gks800&lt;/url&gt;&lt;/related-urls&gt;&lt;/urls&gt;&lt;electronic-resource-num&gt;10.1093/nar/gks800&lt;/electronic-resource-num&gt;&lt;access-date&gt;3/10/2020&lt;/access-date&gt;&lt;/record&gt;&lt;/Cite&gt;&lt;/EndNote&gt;</w:instrText>
            </w:r>
            <w:r>
              <w:rPr>
                <w:rFonts w:ascii="inherit" w:hAnsi="inherit"/>
                <w:color w:val="000000"/>
                <w:sz w:val="16"/>
                <w:szCs w:val="16"/>
              </w:rPr>
              <w:fldChar w:fldCharType="separate"/>
            </w:r>
            <w:r>
              <w:rPr>
                <w:rFonts w:ascii="inherit" w:hAnsi="inherit"/>
                <w:noProof/>
                <w:color w:val="000000"/>
                <w:sz w:val="16"/>
                <w:szCs w:val="16"/>
              </w:rPr>
              <w:t>[81]</w:t>
            </w:r>
            <w:r>
              <w:rPr>
                <w:rFonts w:ascii="inherit" w:hAnsi="inherit"/>
                <w:color w:val="000000"/>
                <w:sz w:val="16"/>
                <w:szCs w:val="16"/>
              </w:rPr>
              <w:fldChar w:fldCharType="end"/>
            </w:r>
          </w:p>
        </w:tc>
        <w:tc>
          <w:tcPr>
            <w:tcW w:w="4367" w:type="dxa"/>
            <w:tcBorders>
              <w:bottom w:val="single" w:sz="4" w:space="0" w:color="000000"/>
            </w:tcBorders>
          </w:tcPr>
          <w:p w:rsidR="00877997" w:rsidRDefault="00CB0676">
            <w:pPr>
              <w:cnfStyle w:val="000000100000" w:firstRow="0" w:lastRow="0" w:firstColumn="0" w:lastColumn="0" w:oddVBand="0" w:evenVBand="0" w:oddHBand="1" w:evenHBand="0" w:firstRowFirstColumn="0" w:firstRowLastColumn="0" w:lastRowFirstColumn="0" w:lastRowLastColumn="0"/>
              <w:rPr>
                <w:color w:val="000000"/>
                <w:sz w:val="16"/>
                <w:szCs w:val="18"/>
              </w:rPr>
            </w:pPr>
            <w:hyperlink r:id="rId37" w:history="1">
              <w:r>
                <w:rPr>
                  <w:rStyle w:val="Hyperlink"/>
                  <w:color w:val="000000"/>
                  <w:sz w:val="16"/>
                  <w:szCs w:val="18"/>
                </w:rPr>
                <w:t>http://tingchenlab.cmb.usc.edu/sinbad/</w:t>
              </w:r>
            </w:hyperlink>
          </w:p>
        </w:tc>
        <w:tc>
          <w:tcPr>
            <w:tcW w:w="2125" w:type="dxa"/>
            <w:tcBorders>
              <w:bottom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Sequence information based decision model</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cBorders>
          </w:tcPr>
          <w:p w:rsidR="00877997" w:rsidRDefault="00CB0676">
            <w:pPr>
              <w:spacing w:line="360" w:lineRule="auto"/>
              <w:rPr>
                <w:rFonts w:ascii="inherit" w:hAnsi="inherit"/>
                <w:color w:val="000000"/>
                <w:sz w:val="16"/>
                <w:szCs w:val="16"/>
              </w:rPr>
            </w:pPr>
            <w:r>
              <w:rPr>
                <w:rFonts w:ascii="inherit" w:hAnsi="inherit"/>
                <w:color w:val="000000"/>
                <w:sz w:val="16"/>
                <w:szCs w:val="16"/>
              </w:rPr>
              <w:t>protein prediction</w:t>
            </w:r>
          </w:p>
        </w:tc>
        <w:tc>
          <w:tcPr>
            <w:tcW w:w="0" w:type="auto"/>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AGGRESCAN3D</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&lt;EndNote&gt;&lt;Cite&gt;&lt;Author&gt;Zambrano&lt;/Author&gt;&lt;Year&gt;2015&lt;/Year&gt;&lt;RecNum&gt;133&lt;/RecNum&gt;&lt;DisplayText&gt;[82]</w:instrText>
            </w:r>
            <w:r>
              <w:rPr>
                <w:rFonts w:ascii="inherit" w:hAnsi="inherit"/>
                <w:color w:val="000000"/>
                <w:sz w:val="16"/>
                <w:szCs w:val="16"/>
              </w:rPr>
              <w:instrText>&lt;/DisplayText&gt;&lt;record&gt;&lt;rec-number&gt;133&lt;/rec-number&gt;&lt;foreign-keys&gt;&lt;key app="EN" db-id="d0vstffei2ze5sew5fwxp0dq9zxs5pvvsxpv" timestamp="1583857736"&gt;133&lt;/key&gt;&lt;/foreign-keys&gt;&lt;ref-type name="Journal Article"&gt;17&lt;/ref-type&gt;&lt;contributors&gt;&lt;authors&gt;&lt;author&gt;Zambrano,</w:instrText>
            </w:r>
            <w:r>
              <w:rPr>
                <w:rFonts w:ascii="inherit" w:hAnsi="inherit"/>
                <w:color w:val="000000"/>
                <w:sz w:val="16"/>
                <w:szCs w:val="16"/>
              </w:rPr>
              <w:instrText xml:space="preserve"> Rafael&lt;/author&gt;&lt;author&gt;Jamroz, Michal&lt;/author&gt;&lt;author&gt;Szczasiuk, Agata&lt;/author&gt;&lt;author&gt;Pujols, Jordi&lt;/author&gt;&lt;author&gt;Kmiecik, Sebastian&lt;/author&gt;&lt;author&gt;Ventura, Salvador&lt;/author&gt;&lt;/authors&gt;&lt;/contributors&gt;&lt;titles&gt;&lt;title&gt;AGGRESCAN3D (A3D): server for predict</w:instrText>
            </w:r>
            <w:r>
              <w:rPr>
                <w:rFonts w:ascii="inherit" w:hAnsi="inherit"/>
                <w:color w:val="000000"/>
                <w:sz w:val="16"/>
                <w:szCs w:val="16"/>
              </w:rPr>
              <w:instrText>ion of aggregation properties of protein structures&lt;/title&gt;&lt;secondary-title&gt;Nucleic Acids Research&lt;/secondary-title&gt;&lt;/titles&gt;&lt;periodical&gt;&lt;full-title&gt;Nucleic acids research&lt;/full-title&gt;&lt;/periodical&gt;&lt;pages&gt;W306-W313&lt;/pages&gt;&lt;volume&gt;43&lt;/volume&gt;&lt;number&gt;W1&lt;/numb</w:instrText>
            </w:r>
            <w:r>
              <w:rPr>
                <w:rFonts w:ascii="inherit" w:hAnsi="inherit"/>
                <w:color w:val="000000"/>
                <w:sz w:val="16"/>
                <w:szCs w:val="16"/>
              </w:rPr>
              <w:instrText>er&gt;&lt;dates&gt;&lt;year&gt;2015&lt;/year&gt;&lt;/dates&gt;&lt;isbn&gt;0305-1048&lt;/isbn&gt;&lt;urls&gt;&lt;related-urls&gt;&lt;url&gt;https://doi.org/10.1093/nar/gkv359&lt;/url&gt;&lt;/related-urls&gt;&lt;/urls&gt;&lt;electronic-resource-num&gt;10.1093/nar/gkv359&lt;/electronic-resource-num&gt;&lt;access-date&gt;3/10/2020&lt;/access-date&gt;&lt;/recor</w:instrText>
            </w:r>
            <w:r>
              <w:rPr>
                <w:rFonts w:ascii="inherit" w:hAnsi="inherit"/>
                <w:color w:val="000000"/>
                <w:sz w:val="16"/>
                <w:szCs w:val="16"/>
              </w:rPr>
              <w:instrText>d&gt;&lt;/Cite&gt;&lt;/EndNote&gt;</w:instrText>
            </w:r>
            <w:r>
              <w:rPr>
                <w:rFonts w:ascii="inherit" w:hAnsi="inherit"/>
                <w:color w:val="000000"/>
                <w:sz w:val="16"/>
                <w:szCs w:val="16"/>
              </w:rPr>
              <w:fldChar w:fldCharType="separate"/>
            </w:r>
            <w:r>
              <w:rPr>
                <w:rFonts w:ascii="inherit" w:hAnsi="inherit"/>
                <w:noProof/>
                <w:color w:val="000000"/>
                <w:sz w:val="16"/>
                <w:szCs w:val="16"/>
              </w:rPr>
              <w:t>[82]</w:t>
            </w:r>
            <w:r>
              <w:rPr>
                <w:rFonts w:ascii="inherit" w:hAnsi="inherit"/>
                <w:color w:val="000000"/>
                <w:sz w:val="16"/>
                <w:szCs w:val="16"/>
              </w:rPr>
              <w:fldChar w:fldCharType="end"/>
            </w:r>
          </w:p>
        </w:tc>
        <w:tc>
          <w:tcPr>
            <w:tcW w:w="4367" w:type="dxa"/>
            <w:tcBorders>
              <w:top w:val="single" w:sz="4" w:space="0" w:color="000000"/>
            </w:tcBorders>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8"/>
              </w:rPr>
            </w:pPr>
            <w:hyperlink r:id="rId38" w:history="1">
              <w:r>
                <w:rPr>
                  <w:rStyle w:val="Hyperlink"/>
                  <w:color w:val="000000"/>
                  <w:sz w:val="16"/>
                </w:rPr>
                <w:t>http://biocomp.chem.uw.edu.pl/A3D/</w:t>
              </w:r>
            </w:hyperlink>
          </w:p>
        </w:tc>
        <w:tc>
          <w:tcPr>
            <w:tcW w:w="2125" w:type="dxa"/>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Protein aggregation method</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DUET</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&lt;EndNote&gt;&lt;Cite&gt;&lt;Author&gt;Pires&lt;/Author&gt;&lt;Year&gt;2014&lt;/Year&gt;&lt;RecNum&gt;136&lt;/RecNum&gt;&lt;DisplayText&gt;[83]&lt;/DisplayText&gt;&lt;record&gt;&lt;rec-number&gt;136&lt;/rec-number&gt;&lt;foreign-keys&gt;&lt;key app="EN" db-id="d0vstffei2ze5sew5fwxp0dq9zxs5pvvsxpv" timestamp="1583858672"&gt;136&lt;</w:instrText>
            </w:r>
            <w:r>
              <w:rPr>
                <w:rFonts w:ascii="inherit" w:hAnsi="inherit"/>
                <w:color w:val="000000"/>
                <w:sz w:val="16"/>
                <w:szCs w:val="16"/>
              </w:rPr>
              <w:instrText>/key&gt;&lt;/foreign-keys&gt;&lt;ref-type name="Journal Article"&gt;17&lt;/ref-type&gt;&lt;contributors&gt;&lt;authors&gt;&lt;author&gt;Pires, Douglas E.V.&lt;/author&gt;&lt;author&gt;Ascher, David B.&lt;/author&gt;&lt;author&gt;Blundell, Tom L.&lt;/author&gt;&lt;/authors&gt;&lt;/contributors&gt;&lt;titles&gt;&lt;title&gt;DUET: a server for predic</w:instrText>
            </w:r>
            <w:r>
              <w:rPr>
                <w:rFonts w:ascii="inherit" w:hAnsi="inherit"/>
                <w:color w:val="000000"/>
                <w:sz w:val="16"/>
                <w:szCs w:val="16"/>
              </w:rPr>
              <w:instrText>ting effects of mutations on protein stability using an integrated computational approach&lt;/title&gt;&lt;secondary-title&gt;Nucleic Acids Research&lt;/secondary-title&gt;&lt;/titles&gt;&lt;periodical&gt;&lt;full-title&gt;Nucleic acids research&lt;/full-title&gt;&lt;/periodical&gt;&lt;pages&gt;W314-W319&lt;/pag</w:instrText>
            </w:r>
            <w:r>
              <w:rPr>
                <w:rFonts w:ascii="inherit" w:hAnsi="inherit"/>
                <w:color w:val="000000"/>
                <w:sz w:val="16"/>
                <w:szCs w:val="16"/>
              </w:rPr>
              <w:instrText>es&gt;&lt;volume&gt;42&lt;/volume&gt;&lt;number&gt;W1&lt;/number&gt;&lt;dates&gt;&lt;year&gt;2014&lt;/year&gt;&lt;/dates&gt;&lt;isbn&gt;0305-1048&lt;/isbn&gt;&lt;urls&gt;&lt;related-urls&gt;&lt;url&gt;https://doi.org/10.1093/nar/gku411&lt;/url&gt;&lt;/related-urls&gt;&lt;/urls&gt;&lt;electronic-resource-num&gt;10.1093/nar/gku411&lt;/electronic-resource-num&gt;&lt;acce</w:instrText>
            </w:r>
            <w:r>
              <w:rPr>
                <w:rFonts w:ascii="inherit" w:hAnsi="inherit"/>
                <w:color w:val="000000"/>
                <w:sz w:val="16"/>
                <w:szCs w:val="16"/>
              </w:rPr>
              <w:instrText>ss-date&gt;3/10/2020&lt;/access-date&gt;&lt;/record&gt;&lt;/Cite&gt;&lt;/EndNote&gt;</w:instrText>
            </w:r>
            <w:r>
              <w:rPr>
                <w:rFonts w:ascii="inherit" w:hAnsi="inherit"/>
                <w:color w:val="000000"/>
                <w:sz w:val="16"/>
                <w:szCs w:val="16"/>
              </w:rPr>
              <w:fldChar w:fldCharType="separate"/>
            </w:r>
            <w:r>
              <w:rPr>
                <w:rFonts w:ascii="inherit" w:hAnsi="inherit"/>
                <w:noProof/>
                <w:color w:val="000000"/>
                <w:sz w:val="16"/>
                <w:szCs w:val="16"/>
              </w:rPr>
              <w:t>[83]</w:t>
            </w:r>
            <w:r>
              <w:rPr>
                <w:rFonts w:ascii="inherit" w:hAnsi="inherit"/>
                <w:color w:val="000000"/>
                <w:sz w:val="16"/>
                <w:szCs w:val="16"/>
              </w:rPr>
              <w:fldChar w:fldCharType="end"/>
            </w:r>
          </w:p>
        </w:tc>
        <w:tc>
          <w:tcPr>
            <w:tcW w:w="4367" w:type="dxa"/>
          </w:tcPr>
          <w:p w:rsidR="00877997" w:rsidRDefault="00CB0676">
            <w:pPr>
              <w:cnfStyle w:val="000000100000" w:firstRow="0" w:lastRow="0" w:firstColumn="0" w:lastColumn="0" w:oddVBand="0" w:evenVBand="0" w:oddHBand="1" w:evenHBand="0" w:firstRowFirstColumn="0" w:firstRowLastColumn="0" w:lastRowFirstColumn="0" w:lastRowLastColumn="0"/>
              <w:rPr>
                <w:color w:val="000000"/>
                <w:sz w:val="16"/>
              </w:rPr>
            </w:pPr>
            <w:hyperlink r:id="rId39" w:history="1">
              <w:r>
                <w:rPr>
                  <w:rStyle w:val="Hyperlink"/>
                  <w:color w:val="000000"/>
                  <w:sz w:val="16"/>
                  <w:szCs w:val="16"/>
                </w:rPr>
                <w:t>http://structure.bioc.cam.ac.uk/duet</w:t>
              </w:r>
            </w:hyperlink>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Integrated computational approach</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HMMvar-func</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&lt;EndNote&gt;&lt;Cite&gt;&lt;Author&gt;Liu&lt;/Author&gt;&lt;Year&gt;2015&lt;/Year&gt;&lt;RecNum&gt;140&lt;/RecNum&gt;&lt;DisplayText&gt;[84]&lt;/DisplayText&gt;&lt;record&gt;&lt;rec-number&gt;140&lt;/rec-number&gt;&lt;foreign-keys&gt;&lt;key app="EN" db-id="d0vstffei2ze5sew5fwxp0dq9zxs5pvvsxpv" timestamp="1583860576"&gt;140&lt;/k</w:instrText>
            </w:r>
            <w:r>
              <w:rPr>
                <w:rFonts w:ascii="inherit" w:hAnsi="inherit"/>
                <w:color w:val="000000"/>
                <w:sz w:val="16"/>
                <w:szCs w:val="16"/>
              </w:rPr>
              <w:instrText>ey&gt;&lt;/foreign-keys&gt;&lt;ref-type name="Journal Article"&gt;17&lt;/ref-type&gt;&lt;contributors&gt;&lt;authors&gt;&lt;author&gt;Liu, Mingming&lt;/author&gt;&lt;author&gt;Watson, Layne T&lt;/author&gt;&lt;author&gt;Zhang, Liqing&lt;/author&gt;&lt;/authors&gt;&lt;/contributors&gt;&lt;titles&gt;&lt;title&gt;HMMvar-func: a new method for predict</w:instrText>
            </w:r>
            <w:r>
              <w:rPr>
                <w:rFonts w:ascii="inherit" w:hAnsi="inherit"/>
                <w:color w:val="000000"/>
                <w:sz w:val="16"/>
                <w:szCs w:val="16"/>
              </w:rPr>
              <w:instrText>ing the functional outcome of genetic variants&lt;/title&gt;&lt;secondary-title&gt;BMC bioinformatics&lt;/secondary-title&gt;&lt;/titles&gt;&lt;periodical&gt;&lt;full-title&gt;BMC Bioinformatics&lt;/full-title&gt;&lt;/periodical&gt;&lt;pages&gt;351&lt;/pages&gt;&lt;volume&gt;16&lt;/volume&gt;&lt;number&gt;1&lt;/number&gt;&lt;dates&gt;&lt;year&gt;2015</w:instrText>
            </w:r>
            <w:r>
              <w:rPr>
                <w:rFonts w:ascii="inherit" w:hAnsi="inherit"/>
                <w:color w:val="000000"/>
                <w:sz w:val="16"/>
                <w:szCs w:val="16"/>
              </w:rPr>
              <w:instrText>&lt;/year&gt;&lt;/dates&gt;&lt;isbn&gt;1471-2105&lt;/isbn&gt;&lt;urls&gt;&lt;/urls&gt;&lt;/record&gt;&lt;/Cite&gt;&lt;/EndNote&gt;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[84]</w:t>
            </w:r>
            <w:r>
              <w:rPr>
                <w:rFonts w:ascii="inherit" w:hAnsi="inherit"/>
                <w:color w:val="000000"/>
                <w:sz w:val="16"/>
                <w:szCs w:val="16"/>
              </w:rPr>
              <w:fldChar w:fldCharType="end"/>
            </w:r>
          </w:p>
        </w:tc>
        <w:tc>
          <w:tcPr>
            <w:tcW w:w="4367"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6"/>
              </w:rPr>
            </w:pPr>
            <w:hyperlink r:id="rId40" w:history="1">
              <w:r>
                <w:rPr>
                  <w:rStyle w:val="Hyperlink"/>
                  <w:color w:val="000000"/>
                  <w:sz w:val="16"/>
                  <w:szCs w:val="16"/>
                </w:rPr>
                <w:t>http://bioinformatics.cs.vt.edu/zhanglab/HMMvar/download.php</w:t>
              </w:r>
            </w:hyperlink>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Hidden Markov models</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LS-SNP/PDB</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&lt;EndNote&gt;&lt;Cite&gt;&lt;Author&gt;Ryan&lt;/Author&gt;&lt;Year&gt;2009&lt;/Year&gt;&lt;RecNum&gt;141&lt;/RecNum&gt;&lt;DisplayText&gt;[85]&lt;/DisplayText&gt;&lt;record&gt;&lt;rec-number&gt;141&lt;/rec-number&gt;&lt;foreig</w:instrText>
            </w:r>
            <w:r>
              <w:rPr>
                <w:rFonts w:ascii="inherit" w:hAnsi="inherit"/>
                <w:color w:val="000000"/>
                <w:sz w:val="16"/>
                <w:szCs w:val="16"/>
              </w:rPr>
              <w:instrText>n-keys&gt;&lt;key app="EN" db-id="d0vstffei2ze5sew5fwxp0dq9zxs5pvvsxpv" timestamp="1583861079"&gt;141&lt;/key&gt;&lt;/foreign-keys&gt;&lt;ref-type name="Journal Article"&gt;17&lt;/ref-type&gt;&lt;contributors&gt;&lt;authors&gt;&lt;author&gt;Ryan, Michael&lt;/author&gt;&lt;author&gt;Diekhans, Mark&lt;/author&gt;&lt;author&gt;Lien,</w:instrText>
            </w:r>
            <w:r>
              <w:rPr>
                <w:rFonts w:ascii="inherit" w:hAnsi="inherit"/>
                <w:color w:val="000000"/>
                <w:sz w:val="16"/>
                <w:szCs w:val="16"/>
              </w:rPr>
              <w:instrText xml:space="preserve"> Stephanie&lt;/author&gt;&lt;author&gt;Liu, Yun&lt;/author&gt;&lt;author&gt;Karchin, Rachel&lt;/author&gt;&lt;/authors&gt;&lt;/contributors&gt;&lt;titles&gt;&lt;title&gt;LS-SNP/PDB: annotated non-synonymous SNPs mapped to Protein Data Bank structures&lt;/title&gt;&lt;secondary-title&gt;Bioinformatics&lt;/secondary-title&gt;&lt;/t</w:instrText>
            </w:r>
            <w:r>
              <w:rPr>
                <w:rFonts w:ascii="inherit" w:hAnsi="inherit"/>
                <w:color w:val="000000"/>
                <w:sz w:val="16"/>
                <w:szCs w:val="16"/>
              </w:rPr>
              <w:instrText>itles&gt;&lt;periodical&gt;&lt;full-title&gt;Bioinformatics&lt;/full-title&gt;&lt;/periodical&gt;&lt;pages&gt;1431-1432&lt;/pages&gt;&lt;volume&gt;25&lt;/volume&gt;&lt;number&gt;11&lt;/number&gt;&lt;dates&gt;&lt;year&gt;2009&lt;/year&gt;&lt;/dates&gt;&lt;isbn&gt;1460-2059&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[85]</w:t>
            </w:r>
            <w:r>
              <w:rPr>
                <w:rFonts w:ascii="inherit" w:hAnsi="inherit"/>
                <w:color w:val="000000"/>
                <w:sz w:val="16"/>
                <w:szCs w:val="16"/>
              </w:rPr>
              <w:fldChar w:fldCharType="end"/>
            </w:r>
          </w:p>
        </w:tc>
        <w:tc>
          <w:tcPr>
            <w:tcW w:w="4367" w:type="dxa"/>
          </w:tcPr>
          <w:p w:rsidR="00877997" w:rsidRDefault="00CB0676">
            <w:pPr>
              <w:cnfStyle w:val="000000100000" w:firstRow="0" w:lastRow="0" w:firstColumn="0" w:lastColumn="0" w:oddVBand="0" w:evenVBand="0" w:oddHBand="1" w:evenHBand="0" w:firstRowFirstColumn="0" w:firstRowLastColumn="0" w:lastRowFirstColumn="0" w:lastRowLastColumn="0"/>
              <w:rPr>
                <w:color w:val="000000"/>
                <w:sz w:val="16"/>
                <w:szCs w:val="16"/>
              </w:rPr>
            </w:pPr>
            <w:hyperlink r:id="rId41" w:history="1">
              <w:r>
                <w:rPr>
                  <w:rStyle w:val="Hyperlink"/>
                  <w:color w:val="000000"/>
                  <w:sz w:val="16"/>
                  <w:szCs w:val="16"/>
                </w:rPr>
                <w:t>http://ls-snp.icm.jhu.edu/ls-snp-pdb</w:t>
              </w:r>
            </w:hyperlink>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Genome-wide mapping of SNVs onto protein structures</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NeEMO</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&lt;EndNote&gt;&lt;Cite&gt;&lt;Author&gt;Giollo&lt;/Author&gt;&lt;Year&gt;2014&lt;/Year&gt;&lt;RecNum&gt;142&lt;/RecNum&gt;&lt;DisplayText&gt;[86]&lt;/DisplayText&gt;&lt;record&gt;&lt;</w:instrText>
            </w:r>
            <w:r>
              <w:rPr>
                <w:rFonts w:ascii="inherit" w:hAnsi="inherit"/>
                <w:color w:val="000000"/>
                <w:sz w:val="16"/>
                <w:szCs w:val="16"/>
              </w:rPr>
              <w:instrText>rec-number&gt;142&lt;/rec-number&gt;&lt;foreign-keys&gt;&lt;key app="EN" db-id="d0vstffei2ze5sew5fwxp0dq9zxs5pvvsxpv" timestamp="1583861300"&gt;142&lt;/key&gt;&lt;/foreign-keys&gt;&lt;ref-type name="Journal Article"&gt;17&lt;/ref-type&gt;&lt;contributors&gt;&lt;authors&gt;&lt;author&gt;Giollo, Manuel&lt;/author&gt;&lt;author&gt;M</w:instrText>
            </w:r>
            <w:r>
              <w:rPr>
                <w:rFonts w:ascii="inherit" w:hAnsi="inherit"/>
                <w:color w:val="000000"/>
                <w:sz w:val="16"/>
                <w:szCs w:val="16"/>
              </w:rPr>
              <w:instrText>artin, Alberto JM&lt;/author&gt;&lt;author&gt;Walsh, Ian&lt;/author&gt;&lt;author&gt;Ferrari, Carlo&lt;/author&gt;&lt;author&gt;Tosatto, Silvio CE&lt;/author&gt;&lt;/authors&gt;&lt;/contributors&gt;&lt;titles&gt;&lt;title&gt;NeEMO: a method using residue interaction networks to improve prediction of protein stability upo</w:instrText>
            </w:r>
            <w:r>
              <w:rPr>
                <w:rFonts w:ascii="inherit" w:hAnsi="inherit"/>
                <w:color w:val="000000"/>
                <w:sz w:val="16"/>
                <w:szCs w:val="16"/>
              </w:rPr>
              <w:instrText>n mutation&lt;/title&gt;&lt;secondary-title&gt;BMC genomics&lt;/secondary-title&gt;&lt;/titles&gt;&lt;periodical&gt;&lt;full-title&gt;BMC genomics&lt;/full-title&gt;&lt;/periodical&gt;&lt;pages&gt;S7&lt;/pages&gt;&lt;volume&gt;15&lt;/volume&gt;&lt;number&gt;4&lt;/number&gt;&lt;dates&gt;&lt;year&gt;2014&lt;/year&gt;&lt;/dates&gt;&lt;isbn&gt;1471-2164&lt;/isbn&gt;&lt;urls&gt;&lt;/urls</w:instrText>
            </w:r>
            <w:r>
              <w:rPr>
                <w:rFonts w:ascii="inherit" w:hAnsi="inherit"/>
                <w:color w:val="000000"/>
                <w:sz w:val="16"/>
                <w:szCs w:val="16"/>
              </w:rPr>
              <w:instrText>&gt;&lt;/record&gt;&lt;/Cite&gt;&lt;/EndNote&gt;</w:instrText>
            </w:r>
            <w:r>
              <w:rPr>
                <w:rFonts w:ascii="inherit" w:hAnsi="inherit"/>
                <w:color w:val="000000"/>
                <w:sz w:val="16"/>
                <w:szCs w:val="16"/>
              </w:rPr>
              <w:fldChar w:fldCharType="separate"/>
            </w:r>
            <w:r>
              <w:rPr>
                <w:rFonts w:ascii="inherit" w:hAnsi="inherit"/>
                <w:noProof/>
                <w:color w:val="000000"/>
                <w:sz w:val="16"/>
                <w:szCs w:val="16"/>
              </w:rPr>
              <w:t>[86]</w:t>
            </w:r>
            <w:r>
              <w:rPr>
                <w:rFonts w:ascii="inherit" w:hAnsi="inherit"/>
                <w:color w:val="000000"/>
                <w:sz w:val="16"/>
                <w:szCs w:val="16"/>
              </w:rPr>
              <w:fldChar w:fldCharType="end"/>
            </w:r>
          </w:p>
        </w:tc>
        <w:tc>
          <w:tcPr>
            <w:tcW w:w="4367"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6"/>
              </w:rPr>
            </w:pPr>
            <w:hyperlink r:id="rId42" w:history="1">
              <w:r>
                <w:rPr>
                  <w:rStyle w:val="Hyperlink"/>
                  <w:color w:val="000000"/>
                  <w:sz w:val="16"/>
                  <w:szCs w:val="16"/>
                </w:rPr>
                <w:t>http://protein.bio.unipd.it/neemo/</w:t>
              </w:r>
            </w:hyperlink>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Residue interaction networks</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tcPr>
          <w:p w:rsidR="00877997" w:rsidRDefault="00877997">
            <w:pPr>
              <w:spacing w:line="360" w:lineRule="auto"/>
              <w:rPr>
                <w:rFonts w:ascii="inherit" w:hAnsi="inherit"/>
                <w:color w:val="000000"/>
                <w:sz w:val="16"/>
                <w:szCs w:val="16"/>
              </w:rPr>
            </w:pPr>
          </w:p>
        </w:tc>
        <w:tc>
          <w:tcPr>
            <w:tcW w:w="0" w:type="auto"/>
            <w:tcBorders>
              <w:bottom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PMut</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&lt;EndNote&gt;&lt;Cite&gt;&lt;Author&gt;Ló</w:instrText>
            </w:r>
            <w:r>
              <w:rPr>
                <w:rFonts w:ascii="inherit" w:hAnsi="inherit"/>
                <w:color w:val="000000"/>
                <w:sz w:val="16"/>
                <w:szCs w:val="16"/>
              </w:rPr>
              <w:instrText>pez-Ferrando&lt;/Author&gt;&lt;Year&gt;2017&lt;/Year&gt;&lt;RecNum&gt;144&lt;/RecNum&gt;&lt;DisplayText&gt;[87]&lt;/DisplayText&gt;&lt;record&gt;&lt;rec-number&gt;144&lt;/rec-number&gt;&lt;foreign-keys&gt;&lt;key app="EN" db-id="d0vstffei2ze5sew5fwxp0dq9zxs5pvvsxpv" timestamp="1583861749"&gt;144&lt;/key&gt;&lt;/foreign-keys&gt;&lt;ref-type n</w:instrText>
            </w:r>
            <w:r>
              <w:rPr>
                <w:rFonts w:ascii="inherit" w:hAnsi="inherit"/>
                <w:color w:val="000000"/>
                <w:sz w:val="16"/>
                <w:szCs w:val="16"/>
              </w:rPr>
              <w:instrText>ame="Journal Article"&gt;17&lt;/ref-type&gt;&lt;contributors&gt;&lt;authors&gt;&lt;author&gt;López-Ferrando, Víctor&lt;/author&gt;&lt;author&gt;Gazzo, Andrea&lt;/author&gt;&lt;author&gt;de la Cruz, Xavier&lt;/author&gt;&lt;author&gt;Orozco, Modesto&lt;/author&gt;&lt;author&gt;Gelpí, Josep Ll&lt;/author&gt;&lt;/authors&gt;&lt;/contributors&gt;&lt;titl</w:instrText>
            </w:r>
            <w:r>
              <w:rPr>
                <w:rFonts w:ascii="inherit" w:hAnsi="inherit"/>
                <w:color w:val="000000"/>
                <w:sz w:val="16"/>
                <w:szCs w:val="16"/>
              </w:rPr>
              <w:instrText>es&gt;&lt;title&gt;PMut: a web-based tool for the annotation of pathological variants on proteins, 2017 update&lt;/title&gt;&lt;secondary-title&gt;Nucleic Acids Research&lt;/secondary-title&gt;&lt;/titles&gt;&lt;periodical&gt;&lt;full-title&gt;Nucleic acids research&lt;/full-title&gt;&lt;/periodical&gt;&lt;pages&gt;W2</w:instrText>
            </w:r>
            <w:r>
              <w:rPr>
                <w:rFonts w:ascii="inherit" w:hAnsi="inherit"/>
                <w:color w:val="000000"/>
                <w:sz w:val="16"/>
                <w:szCs w:val="16"/>
              </w:rPr>
              <w:instrText>22-W228&lt;/pages&gt;&lt;volume&gt;45&lt;/volume&gt;&lt;number&gt;W1&lt;/number&gt;&lt;dates&gt;&lt;year&gt;2017&lt;/year&gt;&lt;/dates&gt;&lt;isbn&gt;0305-1048&lt;/isbn&gt;&lt;urls&gt;&lt;related-urls&gt;&lt;url&gt;https://doi.org/10.1093/nar/gkx313&lt;/url&gt;&lt;/related-urls&gt;&lt;/urls&gt;&lt;electronic-resource-num&gt;10.1093/nar/gkx313&lt;/electronic-resour</w:instrText>
            </w:r>
            <w:r>
              <w:rPr>
                <w:rFonts w:ascii="inherit" w:hAnsi="inherit"/>
                <w:color w:val="000000"/>
                <w:sz w:val="16"/>
                <w:szCs w:val="16"/>
              </w:rPr>
              <w:instrText>ce-num&gt;&lt;access-date&gt;3/10/2020&lt;/access-date&gt;&lt;/record&gt;&lt;/Cite&gt;&lt;/EndNote&gt;</w:instrText>
            </w:r>
            <w:r>
              <w:rPr>
                <w:rFonts w:ascii="inherit" w:hAnsi="inherit"/>
                <w:color w:val="000000"/>
                <w:sz w:val="16"/>
                <w:szCs w:val="16"/>
              </w:rPr>
              <w:fldChar w:fldCharType="separate"/>
            </w:r>
            <w:r>
              <w:rPr>
                <w:rFonts w:ascii="inherit" w:hAnsi="inherit"/>
                <w:noProof/>
                <w:color w:val="000000"/>
                <w:sz w:val="16"/>
                <w:szCs w:val="16"/>
              </w:rPr>
              <w:t>[87]</w:t>
            </w:r>
            <w:r>
              <w:rPr>
                <w:rFonts w:ascii="inherit" w:hAnsi="inherit"/>
                <w:color w:val="000000"/>
                <w:sz w:val="16"/>
                <w:szCs w:val="16"/>
              </w:rPr>
              <w:fldChar w:fldCharType="end"/>
            </w:r>
          </w:p>
        </w:tc>
        <w:tc>
          <w:tcPr>
            <w:tcW w:w="4367" w:type="dxa"/>
            <w:tcBorders>
              <w:bottom w:val="single" w:sz="4" w:space="0" w:color="000000"/>
            </w:tcBorders>
          </w:tcPr>
          <w:p w:rsidR="00877997" w:rsidRDefault="00CB0676">
            <w:pPr>
              <w:cnfStyle w:val="000000100000" w:firstRow="0" w:lastRow="0" w:firstColumn="0" w:lastColumn="0" w:oddVBand="0" w:evenVBand="0" w:oddHBand="1" w:evenHBand="0" w:firstRowFirstColumn="0" w:firstRowLastColumn="0" w:lastRowFirstColumn="0" w:lastRowLastColumn="0"/>
              <w:rPr>
                <w:color w:val="000000"/>
                <w:sz w:val="16"/>
                <w:szCs w:val="16"/>
              </w:rPr>
            </w:pPr>
            <w:hyperlink r:id="rId43" w:history="1">
              <w:r>
                <w:rPr>
                  <w:rStyle w:val="Hyperlink"/>
                  <w:color w:val="000000"/>
                  <w:sz w:val="16"/>
                  <w:szCs w:val="16"/>
                </w:rPr>
                <w:t>http://mmb.irbbarcelona.org/PMut</w:t>
              </w:r>
            </w:hyperlink>
          </w:p>
        </w:tc>
        <w:tc>
          <w:tcPr>
            <w:tcW w:w="2125" w:type="dxa"/>
            <w:tcBorders>
              <w:bottom w:val="single" w:sz="4" w:space="0" w:color="000000"/>
            </w:tcBorders>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Neural network</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cBorders>
          </w:tcPr>
          <w:p w:rsidR="00877997" w:rsidRDefault="00CB0676">
            <w:pPr>
              <w:spacing w:line="360" w:lineRule="auto"/>
              <w:rPr>
                <w:rFonts w:ascii="inherit" w:hAnsi="inherit"/>
                <w:color w:val="000000"/>
                <w:sz w:val="16"/>
                <w:szCs w:val="16"/>
              </w:rPr>
            </w:pPr>
            <w:r>
              <w:rPr>
                <w:rFonts w:ascii="inherit" w:hAnsi="inherit"/>
                <w:color w:val="000000"/>
                <w:sz w:val="16"/>
                <w:szCs w:val="16"/>
              </w:rPr>
              <w:t>Composite score</w:t>
            </w:r>
          </w:p>
        </w:tc>
        <w:tc>
          <w:tcPr>
            <w:tcW w:w="0" w:type="auto"/>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CADD</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&lt;EndNote&gt;&lt;Cite&gt;&lt;Author&gt;Kircher&lt;/Author&gt;&lt;Year&gt;2</w:instrText>
            </w:r>
            <w:r>
              <w:rPr>
                <w:rFonts w:ascii="inherit" w:hAnsi="inherit"/>
                <w:color w:val="000000"/>
                <w:sz w:val="16"/>
                <w:szCs w:val="16"/>
              </w:rPr>
              <w:instrText>014&lt;/Year&gt;&lt;RecNum&gt;38&lt;/RecNum&gt;&lt;DisplayText&gt;[88]&lt;/DisplayText&gt;&lt;record&gt;&lt;rec-number&gt;38&lt;/rec-number&gt;&lt;foreign-keys&gt;&lt;key app="EN" db-id="d0vstffei2ze5sew5fwxp0dq9zxs5pvvsxpv" timestamp="1579916749"&gt;38&lt;/key&gt;&lt;/foreign-keys&gt;&lt;ref-type name="Journal Article"&gt;17&lt;/ref-t</w:instrText>
            </w:r>
            <w:r>
              <w:rPr>
                <w:rFonts w:ascii="inherit" w:hAnsi="inherit"/>
                <w:color w:val="000000"/>
                <w:sz w:val="16"/>
                <w:szCs w:val="16"/>
              </w:rPr>
              <w:instrText>ype&gt;&lt;contributors&gt;&lt;authors&gt;&lt;author&gt;Kircher, Martin&lt;/author&gt;&lt;author&gt;Witten, Daniela M&lt;/author&gt;&lt;author&gt;Jain, Preti&lt;/author&gt;&lt;author&gt;O&amp;apos;Roak, Brian J&lt;/author&gt;&lt;author&gt;Cooper, Gregory M&lt;/author&gt;&lt;author&gt;Shendure, Jay&lt;/author&gt;&lt;/authors&gt;&lt;/contributors&gt;&lt;titles&gt;&lt;</w:instrText>
            </w:r>
            <w:r>
              <w:rPr>
                <w:rFonts w:ascii="inherit" w:hAnsi="inherit"/>
                <w:color w:val="000000"/>
                <w:sz w:val="16"/>
                <w:szCs w:val="16"/>
              </w:rPr>
              <w:instrText>title&gt;A general framework for estimating the relative pathogenicity of human genetic variants&lt;/title&gt;&lt;secondary-title&gt;Nature genetics&lt;/secondary-title&gt;&lt;/titles&gt;&lt;periodical&gt;&lt;full-title&gt;Nature genetics&lt;/full-title&gt;&lt;/periodical&gt;&lt;pages&gt;310&lt;/pages&gt;&lt;volume&gt;46&lt;/v</w:instrText>
            </w:r>
            <w:r>
              <w:rPr>
                <w:rFonts w:ascii="inherit" w:hAnsi="inherit"/>
                <w:color w:val="000000"/>
                <w:sz w:val="16"/>
                <w:szCs w:val="16"/>
              </w:rPr>
              <w:instrText>olume&gt;&lt;number&gt;3&lt;/number&gt;&lt;dates&gt;&lt;year&gt;2014&lt;/year&gt;&lt;/dates&gt;&lt;isbn&gt;1546-1718&lt;/isbn&gt;&lt;urls&gt;&lt;/urls&gt;&lt;/record&gt;&lt;/Cite&gt;&lt;/EndNote&gt;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[88]</w:t>
            </w:r>
            <w:r>
              <w:rPr>
                <w:rFonts w:ascii="inherit" w:hAnsi="inherit"/>
                <w:color w:val="000000"/>
                <w:sz w:val="16"/>
                <w:szCs w:val="16"/>
              </w:rPr>
              <w:fldChar w:fldCharType="end"/>
            </w:r>
            <w:r>
              <w:rPr>
                <w:rFonts w:ascii="inherit" w:hAnsi="inherit"/>
                <w:color w:val="000000"/>
                <w:sz w:val="16"/>
                <w:szCs w:val="16"/>
              </w:rPr>
              <w:t> </w:t>
            </w:r>
          </w:p>
        </w:tc>
        <w:tc>
          <w:tcPr>
            <w:tcW w:w="4367" w:type="dxa"/>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44" w:tgtFrame="_blank" w:history="1">
              <w:r>
                <w:rPr>
                  <w:rStyle w:val="Hyperlink"/>
                  <w:rFonts w:ascii="inherit" w:hAnsi="inherit"/>
                  <w:color w:val="000000"/>
                  <w:sz w:val="16"/>
                  <w:szCs w:val="16"/>
                </w:rPr>
                <w:t>http://cadd.gs.washington.edu/</w:t>
              </w:r>
            </w:hyperlink>
            <w:r>
              <w:rPr>
                <w:rFonts w:ascii="inherit" w:hAnsi="inherit"/>
                <w:color w:val="000000"/>
                <w:sz w:val="16"/>
                <w:szCs w:val="16"/>
              </w:rPr>
              <w:t> </w:t>
            </w:r>
          </w:p>
        </w:tc>
        <w:tc>
          <w:tcPr>
            <w:tcW w:w="2125" w:type="dxa"/>
            <w:tcBorders>
              <w:top w:val="single" w:sz="4" w:space="0" w:color="000000"/>
            </w:tcBorders>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 xml:space="preserve">Multiple genomic </w:t>
            </w:r>
            <w:r>
              <w:rPr>
                <w:rFonts w:ascii="inherit" w:hAnsi="inherit"/>
                <w:color w:val="000000"/>
                <w:sz w:val="16"/>
                <w:szCs w:val="16"/>
              </w:rPr>
              <w:t>annotations </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M-CAP</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&lt;EndNote&gt;&lt;Cite&gt;&lt;Author&gt;Jagadeesh&lt;/Author&gt;&lt;Year&gt;2016&lt;/Year&gt;&lt;RecNum&gt;37&lt;/RecNum&gt;&lt;DisplayText&gt;[51]&lt;/DisplayText&gt;&lt;record&gt;&lt;rec-number&gt;37&lt;/rec-number&gt;&lt;foreign-keys&gt;&lt;key app="EN" db-id="d0vstffei2ze5sew5fwxp0dq9zxs5pvvsxpv" times</w:instrText>
            </w:r>
            <w:r>
              <w:rPr>
                <w:rFonts w:ascii="inherit" w:hAnsi="inherit"/>
                <w:color w:val="000000"/>
                <w:sz w:val="16"/>
                <w:szCs w:val="16"/>
              </w:rPr>
              <w:instrText>tamp="1579916625"&gt;37&lt;/key&gt;&lt;/foreign-keys&gt;&lt;ref-type name="Journal Article"&gt;17&lt;/ref-type&gt;&lt;contributors&gt;&lt;authors&gt;&lt;author&gt;Jagadeesh, Karthik A.&lt;/author&gt;&lt;author&gt;Wenger, Aaron M.&lt;/author&gt;&lt;author&gt;Berger, Mark J.&lt;/author&gt;&lt;author&gt;Guturu, Harendra&lt;/author&gt;&lt;author&gt;St</w:instrText>
            </w:r>
            <w:r>
              <w:rPr>
                <w:rFonts w:ascii="inherit" w:hAnsi="inherit"/>
                <w:color w:val="000000"/>
                <w:sz w:val="16"/>
                <w:szCs w:val="16"/>
              </w:rPr>
              <w:instrText>enson, Peter D.&lt;/author&gt;&lt;author&gt;Cooper, David N.&lt;/author&gt;&lt;author&gt;Bernstein, Jonathan A.&lt;/author&gt;&lt;author&gt;Bejerano, Gill&lt;/author&gt;&lt;/authors&gt;&lt;/contributors&gt;&lt;titles&gt;&lt;title&gt;M-CAP eliminates a majority of variants of uncertain significance in clinical exomes at h</w:instrText>
            </w:r>
            <w:r>
              <w:rPr>
                <w:rFonts w:ascii="inherit" w:hAnsi="inherit"/>
                <w:color w:val="000000"/>
                <w:sz w:val="16"/>
                <w:szCs w:val="16"/>
              </w:rPr>
              <w:instrText>igh sensitivity&lt;/title&gt;&lt;secondary-title&gt;Nature Genetics&lt;/secondary-title&gt;&lt;/titles&gt;&lt;periodical&gt;&lt;full-title&gt;Nature genetics&lt;/full-title&gt;&lt;/periodical&gt;&lt;pages&gt;1581-1586&lt;/pages&gt;&lt;volume&gt;48&lt;/volume&gt;&lt;number&gt;12&lt;/number&gt;&lt;dates&gt;&lt;year&gt;2016&lt;/year&gt;&lt;pub-dates&gt;&lt;date&gt;2016/1</w:instrText>
            </w:r>
            <w:r>
              <w:rPr>
                <w:rFonts w:ascii="inherit" w:hAnsi="inherit"/>
                <w:color w:val="000000"/>
                <w:sz w:val="16"/>
                <w:szCs w:val="16"/>
              </w:rPr>
              <w:instrText>2/01&lt;/date&gt;&lt;/pub-dates&gt;&lt;/dates&gt;&lt;isbn&gt;1546-1718&lt;/isbn&gt;&lt;urls&gt;&lt;related-urls&gt;&lt;url&gt;https://doi.org/10.1038/ng.3703&lt;/url&gt;&lt;/related-urls&gt;&lt;/urls&gt;&lt;electronic-resource-num&gt;10.1038/ng.3703&lt;/electronic-resource-num&gt;&lt;/record&gt;&lt;/Cite&gt;&lt;/EndNote&gt;</w:instrText>
            </w:r>
            <w:r>
              <w:rPr>
                <w:rFonts w:ascii="inherit" w:hAnsi="inherit"/>
                <w:color w:val="000000"/>
                <w:sz w:val="16"/>
                <w:szCs w:val="16"/>
              </w:rPr>
              <w:fldChar w:fldCharType="separate"/>
            </w:r>
            <w:r>
              <w:rPr>
                <w:rFonts w:ascii="inherit" w:hAnsi="inherit"/>
                <w:noProof/>
                <w:color w:val="000000"/>
                <w:sz w:val="16"/>
                <w:szCs w:val="16"/>
              </w:rPr>
              <w:t>[51]</w:t>
            </w:r>
            <w:r>
              <w:rPr>
                <w:rFonts w:ascii="inherit" w:hAnsi="inherit"/>
                <w:color w:val="000000"/>
                <w:sz w:val="16"/>
                <w:szCs w:val="16"/>
              </w:rPr>
              <w:fldChar w:fldCharType="end"/>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45" w:history="1">
              <w:r>
                <w:rPr>
                  <w:rStyle w:val="Hyperlink"/>
                  <w:rFonts w:ascii="inherit" w:hAnsi="inherit"/>
                  <w:color w:val="000000"/>
                  <w:sz w:val="16"/>
                  <w:szCs w:val="16"/>
                </w:rPr>
                <w:t>http://bejerano.stanford.edu/mcap/</w:t>
              </w:r>
            </w:hyperlink>
            <w:r>
              <w:rPr>
                <w:rFonts w:ascii="inherit" w:hAnsi="inherit"/>
                <w:color w:val="000000"/>
                <w:sz w:val="16"/>
                <w:szCs w:val="16"/>
              </w:rPr>
              <w:t xml:space="preserve"> </w:t>
            </w:r>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Machine-learning composite score</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Eigen</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&lt;EndNote&gt;&lt;Cite&gt;&lt;Author&gt;Ionita-Laza&lt;/Author&gt;&lt;Year&gt;2016&lt;/Year&gt;&lt;RecNum&gt;17&lt;/RecNum&gt;&lt;DisplayText&gt;[89]&lt;/DisplayText&gt;&lt;record&gt;&lt;rec-number&gt;17&lt;</w:instrText>
            </w:r>
            <w:r>
              <w:rPr>
                <w:rFonts w:ascii="inherit" w:hAnsi="inherit"/>
                <w:color w:val="000000"/>
                <w:sz w:val="16"/>
                <w:szCs w:val="16"/>
              </w:rPr>
              <w:instrText>/rec-number&gt;&lt;foreign-keys&gt;&lt;key app="EN" db-id="d0vstffei2ze5sew5fwxp0dq9zxs5pvvsxpv" timestamp="1579850648"&gt;17&lt;/key&gt;&lt;/foreign-keys&gt;&lt;ref-type name="Journal Article"&gt;17&lt;/ref-type&gt;&lt;contributors&gt;&lt;authors&gt;&lt;author&gt;Ionita-Laza, Iuliana&lt;/author&gt;&lt;author&gt;McCallum, K</w:instrText>
            </w:r>
            <w:r>
              <w:rPr>
                <w:rFonts w:ascii="inherit" w:hAnsi="inherit"/>
                <w:color w:val="000000"/>
                <w:sz w:val="16"/>
                <w:szCs w:val="16"/>
              </w:rPr>
              <w:instrText>enneth&lt;/author&gt;&lt;author&gt;Xu, Bin&lt;/author&gt;&lt;author&gt;Buxbaum, Joseph D&lt;/author&gt;&lt;/authors&gt;&lt;/contributors&gt;&lt;titles&gt;&lt;title&gt;A spectral approach integrating functional genomic annotations for coding and noncoding variants&lt;/title&gt;&lt;secondary-title&gt;Nature genetics&lt;/secon</w:instrText>
            </w:r>
            <w:r>
              <w:rPr>
                <w:rFonts w:ascii="inherit" w:hAnsi="inherit"/>
                <w:color w:val="000000"/>
                <w:sz w:val="16"/>
                <w:szCs w:val="16"/>
              </w:rPr>
              <w:instrText>dary-title&gt;&lt;/titles&gt;&lt;periodical&gt;&lt;full-title&gt;Nature genetics&lt;/full-title&gt;&lt;/periodical&gt;&lt;pages&gt;214&lt;/pages&gt;&lt;volume&gt;48&lt;/volume&gt;&lt;number&gt;2&lt;/number&gt;&lt;dates&gt;&lt;year&gt;2016&lt;/year&gt;&lt;/dates&gt;&lt;isbn&gt;1546-1718&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[89]</w:t>
            </w:r>
            <w:r>
              <w:rPr>
                <w:rFonts w:ascii="inherit" w:hAnsi="inherit"/>
                <w:color w:val="000000"/>
                <w:sz w:val="16"/>
                <w:szCs w:val="16"/>
              </w:rPr>
              <w:fldChar w:fldCharType="end"/>
            </w:r>
          </w:p>
        </w:tc>
        <w:tc>
          <w:tcPr>
            <w:tcW w:w="4367"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hyperlink r:id="rId46" w:history="1">
              <w:r>
                <w:rPr>
                  <w:rStyle w:val="Hyperlink"/>
                  <w:rFonts w:ascii="inherit" w:hAnsi="inherit"/>
                  <w:color w:val="000000"/>
                  <w:sz w:val="16"/>
                  <w:szCs w:val="16"/>
                </w:rPr>
                <w:t>http://www.columbia.edu/~ii2135/eigen.html</w:t>
              </w:r>
            </w:hyperlink>
            <w:r>
              <w:rPr>
                <w:rFonts w:ascii="inherit" w:hAnsi="inherit"/>
                <w:color w:val="000000"/>
                <w:sz w:val="16"/>
                <w:szCs w:val="16"/>
              </w:rPr>
              <w:t xml:space="preserve"> </w:t>
            </w:r>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Unsupervised spectral model</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Dann</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&lt;EndNote&gt;&lt;Cite&gt;&lt;Author&gt;Quang&lt;/Author&gt;&lt;Year&gt;2015&lt;/Year&gt;&lt;RecNum&gt;39&lt;/RecNum&gt;&lt;DisplayText&gt;[52]&lt;/DisplayText&gt;&lt;r</w:instrText>
            </w:r>
            <w:r>
              <w:rPr>
                <w:rFonts w:ascii="inherit" w:hAnsi="inherit"/>
                <w:color w:val="000000"/>
                <w:sz w:val="16"/>
                <w:szCs w:val="16"/>
              </w:rPr>
              <w:instrText>ecord&gt;&lt;rec-number&gt;39&lt;/rec-number&gt;&lt;foreign-keys&gt;&lt;key app="EN" db-id="d0vstffei2ze5sew5fwxp0dq9zxs5pvvsxpv" timestamp="1579917116"&gt;39&lt;/key&gt;&lt;/foreign-keys&gt;&lt;ref-type name="Journal Article"&gt;17&lt;/ref-type&gt;&lt;contributors&gt;&lt;authors&gt;&lt;author&gt;Quang, Daniel&lt;/author&gt;&lt;auth</w:instrText>
            </w:r>
            <w:r>
              <w:rPr>
                <w:rFonts w:ascii="inherit" w:hAnsi="inherit"/>
                <w:color w:val="000000"/>
                <w:sz w:val="16"/>
                <w:szCs w:val="16"/>
              </w:rPr>
              <w:instrText>or&gt;Chen, Yifei&lt;/author&gt;&lt;author&gt;Xie, Xiaohui&lt;/author&gt;&lt;/authors&gt;&lt;/contributors&gt;&lt;titles&gt;&lt;title&gt;DANN: a deep learning approach for annotating the pathogenicity of genetic variants&lt;/title&gt;&lt;secondary-title&gt;Bioinformatics&lt;/secondary-title&gt;&lt;/titles&gt;&lt;periodical&gt;&lt;fu</w:instrText>
            </w:r>
            <w:r>
              <w:rPr>
                <w:rFonts w:ascii="inherit" w:hAnsi="inherit"/>
                <w:color w:val="000000"/>
                <w:sz w:val="16"/>
                <w:szCs w:val="16"/>
              </w:rPr>
              <w:instrText>ll-title&gt;Bioinformatics&lt;/full-title&gt;&lt;/periodical&gt;&lt;pages&gt;761-763&lt;/pages&gt;&lt;volume&gt;31&lt;/volume&gt;&lt;number&gt;5&lt;/number&gt;&lt;dates&gt;&lt;year&gt;2015&lt;/year&gt;&lt;/dates&gt;&lt;isbn&gt;1367-4803&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[52]</w:t>
            </w:r>
            <w:r>
              <w:rPr>
                <w:rFonts w:ascii="inherit" w:hAnsi="inherit"/>
                <w:color w:val="000000"/>
                <w:sz w:val="16"/>
                <w:szCs w:val="16"/>
              </w:rPr>
              <w:fldChar w:fldCharType="end"/>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hyperlink r:id="rId47" w:history="1">
              <w:r>
                <w:rPr>
                  <w:rStyle w:val="Hyperlink"/>
                  <w:rFonts w:ascii="inherit" w:hAnsi="inherit"/>
                  <w:color w:val="000000"/>
                  <w:sz w:val="16"/>
                  <w:szCs w:val="16"/>
                </w:rPr>
                <w:t>http://cbcl.ics.uci.edu/public_data/DANN</w:t>
              </w:r>
            </w:hyperlink>
            <w:r>
              <w:rPr>
                <w:rFonts w:ascii="inherit" w:hAnsi="inherit"/>
                <w:color w:val="000000"/>
                <w:sz w:val="16"/>
                <w:szCs w:val="16"/>
              </w:rPr>
              <w:t xml:space="preserve"> </w:t>
            </w:r>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Deep neural network</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REVEL</w:t>
            </w:r>
            <w:r>
              <w:rPr>
                <w:rFonts w:ascii="inherit" w:hAnsi="inherit"/>
                <w:color w:val="000000"/>
                <w:sz w:val="16"/>
                <w:szCs w:val="16"/>
              </w:rPr>
              <w:fldChar w:fldCharType="begin"/>
            </w:r>
            <w:r>
              <w:rPr>
                <w:rFonts w:ascii="inherit" w:hAnsi="inherit"/>
                <w:color w:val="000000"/>
                <w:sz w:val="16"/>
                <w:szCs w:val="16"/>
              </w:rPr>
              <w:instrText xml:space="preserve"> ADDIN EN.CITE &lt;EndNote&gt;&lt;Cite&gt;&lt;Author&gt;Ioannidis&lt;/Author&gt;&lt;Year&gt;2016&lt;/Year&gt;&lt;RecNum&gt;117&lt;/RecNum&gt;&lt;DisplayText&gt;[90]&lt;/DisplayText&gt;&lt;record&gt;&lt;rec-number&gt;117&lt;/rec-number&gt;&lt;foreign-keys&gt;&lt;ke</w:instrText>
            </w:r>
            <w:r>
              <w:rPr>
                <w:rFonts w:ascii="inherit" w:hAnsi="inherit"/>
                <w:color w:val="000000"/>
                <w:sz w:val="16"/>
                <w:szCs w:val="16"/>
              </w:rPr>
              <w:instrText>y app="EN" db-id="d0vstffei2ze5sew5fwxp0dq9zxs5pvvsxpv" timestamp="1583785464"&gt;117&lt;/key&gt;&lt;/foreign-keys&gt;&lt;ref-type name="Journal Article"&gt;17&lt;/ref-type&gt;&lt;contributors&gt;&lt;authors&gt;&lt;author&gt;Ioannidis, Nilah M&lt;/author&gt;&lt;author&gt;Rothstein, Joseph H&lt;/author&gt;&lt;author&gt;Pejav</w:instrText>
            </w:r>
            <w:r>
              <w:rPr>
                <w:rFonts w:ascii="inherit" w:hAnsi="inherit"/>
                <w:color w:val="000000"/>
                <w:sz w:val="16"/>
                <w:szCs w:val="16"/>
              </w:rPr>
              <w:instrText>er, Vikas&lt;/author&gt;&lt;author&gt;Middha, Sumit&lt;/author&gt;&lt;author&gt;McDonnell, Shannon K&lt;/author&gt;&lt;author&gt;Baheti, Saurabh&lt;/author&gt;&lt;author&gt;Musolf, Anthony&lt;/author&gt;&lt;author&gt;Li, Qing&lt;/author&gt;&lt;author&gt;Holzinger, Emily&lt;/author&gt;&lt;author&gt;Karyadi, Danielle&lt;/author&gt;&lt;/authors&gt;&lt;/con</w:instrText>
            </w:r>
            <w:r>
              <w:rPr>
                <w:rFonts w:ascii="inherit" w:hAnsi="inherit"/>
                <w:color w:val="000000"/>
                <w:sz w:val="16"/>
                <w:szCs w:val="16"/>
              </w:rPr>
              <w:instrText>tributors&gt;&lt;titles&gt;&lt;title&gt;REVEL: an ensemble method for predicting the pathogenicity of rare missense variants&lt;/title&gt;&lt;secondary-title&gt;The American Journal of Human Genetics&lt;/secondary-title&gt;&lt;/titles&gt;&lt;periodical&gt;&lt;full-title&gt;The American Journal of Human Gen</w:instrText>
            </w:r>
            <w:r>
              <w:rPr>
                <w:rFonts w:ascii="inherit" w:hAnsi="inherit"/>
                <w:color w:val="000000"/>
                <w:sz w:val="16"/>
                <w:szCs w:val="16"/>
              </w:rPr>
              <w:instrText>etics&lt;/full-title&gt;&lt;/periodical&gt;&lt;pages&gt;877-885&lt;/pages&gt;&lt;volume&gt;99&lt;/volume&gt;&lt;number&gt;4&lt;/number&gt;&lt;dates&gt;&lt;year&gt;2016&lt;/year&gt;&lt;/dates&gt;&lt;isbn&gt;0002-9297&lt;/isbn&gt;&lt;urls&gt;&lt;/urls&gt;&lt;/record&gt;&lt;/Cite&gt;&lt;/EndNote&gt;</w:instrText>
            </w:r>
            <w:r>
              <w:rPr>
                <w:rFonts w:ascii="inherit" w:hAnsi="inherit"/>
                <w:color w:val="000000"/>
                <w:sz w:val="16"/>
                <w:szCs w:val="16"/>
              </w:rPr>
              <w:fldChar w:fldCharType="separate"/>
            </w:r>
            <w:r>
              <w:rPr>
                <w:rFonts w:ascii="inherit" w:hAnsi="inherit"/>
                <w:noProof/>
                <w:color w:val="000000"/>
                <w:sz w:val="16"/>
                <w:szCs w:val="16"/>
              </w:rPr>
              <w:t>[90]</w:t>
            </w:r>
            <w:r>
              <w:rPr>
                <w:rFonts w:ascii="inherit" w:hAnsi="inherit"/>
                <w:color w:val="000000"/>
                <w:sz w:val="16"/>
                <w:szCs w:val="16"/>
              </w:rPr>
              <w:fldChar w:fldCharType="end"/>
            </w:r>
          </w:p>
        </w:tc>
        <w:tc>
          <w:tcPr>
            <w:tcW w:w="4367"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6"/>
              </w:rPr>
            </w:pPr>
            <w:hyperlink r:id="rId48" w:tgtFrame="_blank" w:history="1">
              <w:r>
                <w:rPr>
                  <w:rStyle w:val="Hyperlink"/>
                  <w:rFonts w:ascii="Georgia" w:hAnsi="Georgia"/>
                  <w:color w:val="000000"/>
                  <w:sz w:val="16"/>
                  <w:szCs w:val="16"/>
                </w:rPr>
                <w:t>https://sites.google.com/site/revelgenomics/</w:t>
              </w:r>
            </w:hyperlink>
          </w:p>
          <w:p w:rsidR="00877997" w:rsidRDefault="00877997">
            <w:pPr>
              <w:spacing w:line="360" w:lineRule="auto"/>
              <w:cnfStyle w:val="000000000000" w:firstRow="0" w:lastRow="0" w:firstColumn="0" w:lastColumn="0" w:oddVBand="0" w:evenVBand="0" w:oddHBand="0" w:evenHBand="0" w:firstRowFirstColumn="0" w:firstRowLastColumn="0" w:lastRowFirstColumn="0" w:lastRowLastColumn="0"/>
              <w:rPr>
                <w:color w:val="000000"/>
              </w:rPr>
            </w:pPr>
          </w:p>
        </w:tc>
        <w:tc>
          <w:tcPr>
            <w:tcW w:w="2125" w:type="dxa"/>
          </w:tcPr>
          <w:p w:rsidR="00877997" w:rsidRDefault="00CB0676">
            <w:pPr>
              <w:spacing w:line="360" w:lineRule="auto"/>
              <w:cnfStyle w:val="000000000000" w:firstRow="0" w:lastRow="0" w:firstColumn="0" w:lastColumn="0" w:oddVBand="0" w:evenVBand="0" w:oddHBand="0"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Ensemble learning method</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77997" w:rsidRDefault="00877997">
            <w:pPr>
              <w:spacing w:line="360" w:lineRule="auto"/>
              <w:rPr>
                <w:rFonts w:ascii="inherit" w:hAnsi="inherit"/>
                <w:color w:val="000000"/>
                <w:sz w:val="16"/>
                <w:szCs w:val="16"/>
              </w:rPr>
            </w:pP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Alamut</w:t>
            </w:r>
          </w:p>
        </w:tc>
        <w:tc>
          <w:tcPr>
            <w:tcW w:w="4367"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rPr>
            </w:pPr>
            <w:hyperlink r:id="rId49" w:history="1">
              <w:r>
                <w:rPr>
                  <w:rStyle w:val="Hyperlink"/>
                  <w:rFonts w:ascii="inherit" w:hAnsi="inherit"/>
                  <w:color w:val="000000"/>
                  <w:sz w:val="16"/>
                  <w:szCs w:val="16"/>
                </w:rPr>
                <w:t>https://interactive-biosoftware/alamut-visual</w:t>
              </w:r>
            </w:hyperlink>
          </w:p>
        </w:tc>
        <w:tc>
          <w:tcPr>
            <w:tcW w:w="2125" w:type="dxa"/>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rFonts w:ascii="inherit" w:hAnsi="inherit"/>
                <w:color w:val="000000"/>
                <w:sz w:val="16"/>
                <w:szCs w:val="16"/>
              </w:rPr>
            </w:pPr>
            <w:r>
              <w:rPr>
                <w:rFonts w:ascii="inherit" w:hAnsi="inherit"/>
                <w:color w:val="000000"/>
                <w:sz w:val="16"/>
                <w:szCs w:val="16"/>
              </w:rPr>
              <w:t xml:space="preserve">Composite score using splicing, missense and ESE </w:t>
            </w:r>
            <w:r>
              <w:rPr>
                <w:rFonts w:ascii="inherit" w:hAnsi="inherit"/>
                <w:color w:val="000000"/>
                <w:sz w:val="16"/>
                <w:szCs w:val="16"/>
              </w:rPr>
              <w:t>prediction tools</w:t>
            </w:r>
          </w:p>
        </w:tc>
      </w:tr>
    </w:tbl>
    <w:p w:rsidR="00877997" w:rsidRDefault="00877997">
      <w:pPr>
        <w:rPr>
          <w:i/>
          <w:color w:val="000000"/>
          <w:sz w:val="20"/>
          <w:szCs w:val="20"/>
        </w:rPr>
      </w:pPr>
    </w:p>
    <w:p w:rsidR="00877997" w:rsidRDefault="00CB0676">
      <w:pPr>
        <w:rPr>
          <w:color w:val="000000"/>
        </w:rPr>
      </w:pPr>
      <w:r>
        <w:rPr>
          <w:i/>
          <w:color w:val="000000"/>
          <w:sz w:val="16"/>
          <w:szCs w:val="16"/>
        </w:rPr>
        <w:t>Alamut is a commercial product and does not have a corresponding research paper. Updated versions are available from the source links. [ESE - exonic splicing enhancer; SNV – single nucleotide variant].</w:t>
      </w:r>
    </w:p>
    <w:p w:rsidR="00877997" w:rsidRDefault="00877997">
      <w:pPr>
        <w:rPr>
          <w:i/>
          <w:color w:val="000000"/>
          <w:sz w:val="20"/>
          <w:szCs w:val="20"/>
        </w:rPr>
      </w:pPr>
    </w:p>
    <w:p w:rsidR="00877997" w:rsidRDefault="00877997">
      <w:pPr>
        <w:rPr>
          <w:i/>
          <w:color w:val="000000"/>
          <w:sz w:val="20"/>
          <w:szCs w:val="20"/>
        </w:rPr>
      </w:pP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 xml:space="preserve">Although </w:t>
      </w:r>
      <w:r>
        <w:rPr>
          <w:i/>
          <w:color w:val="000000"/>
          <w:sz w:val="20"/>
          <w:szCs w:val="20"/>
        </w:rPr>
        <w:t>in silico</w:t>
      </w:r>
      <w:r>
        <w:rPr>
          <w:color w:val="000000"/>
          <w:sz w:val="20"/>
          <w:szCs w:val="20"/>
        </w:rPr>
        <w:t xml:space="preserve"> tools can hel</w:t>
      </w:r>
      <w:r>
        <w:rPr>
          <w:color w:val="000000"/>
          <w:sz w:val="20"/>
          <w:szCs w:val="20"/>
        </w:rPr>
        <w:t xml:space="preserve">p to prioritise variants, that is not to say they predict disease-causality. Most metrics cannot discriminate by gene; however new methods are shifting data interpretation from the variant to the gene-level. GenePy is a gene-based pathogenicity score that </w:t>
      </w:r>
      <w:r>
        <w:rPr>
          <w:color w:val="000000"/>
          <w:sz w:val="20"/>
          <w:szCs w:val="20"/>
        </w:rPr>
        <w:t>can be applied to both cohorts and individuals. This metric correctly selected pathogenic genes for inflammatory bowel disease</w:t>
      </w:r>
      <w:r>
        <w:rPr>
          <w:color w:val="000000"/>
          <w:sz w:val="20"/>
          <w:szCs w:val="20"/>
        </w:rPr>
        <w:fldChar w:fldCharType="begin"/>
      </w:r>
      <w:r>
        <w:rPr>
          <w:color w:val="000000"/>
          <w:sz w:val="20"/>
          <w:szCs w:val="20"/>
        </w:rPr>
        <w:instrText xml:space="preserve"> ADDIN EN.CITE &lt;EndNote&gt;&lt;Cite&gt;&lt;Author&gt;Mossotto&lt;/Author&gt;&lt;Year&gt;2019&lt;/Year&gt;&lt;RecNum&gt;8&lt;/RecNum&gt;&lt;DisplayText&gt;[91]&lt;/DisplayText&gt;&lt;record&gt;&lt;</w:instrText>
      </w:r>
      <w:r>
        <w:rPr>
          <w:color w:val="000000"/>
          <w:sz w:val="20"/>
          <w:szCs w:val="20"/>
        </w:rPr>
        <w:instrText>rec-number&gt;8&lt;/rec-number&gt;&lt;foreign-keys&gt;&lt;key app="EN" db-id="d0vstffei2ze5sew5fwxp0dq9zxs5pvvsxpv" timestamp="1579849857"&gt;8&lt;/key&gt;&lt;/foreign-keys&gt;&lt;ref-type name="Journal Article"&gt;17&lt;/ref-type&gt;&lt;contributors&gt;&lt;authors&gt;&lt;author&gt;Mossotto, E.&lt;/author&gt;&lt;author&gt;Ashton,</w:instrText>
      </w:r>
      <w:r>
        <w:rPr>
          <w:color w:val="000000"/>
          <w:sz w:val="20"/>
          <w:szCs w:val="20"/>
        </w:rPr>
        <w:instrText xml:space="preserve"> J. J.&lt;/author&gt;&lt;author&gt;O’Gorman, L.&lt;/author&gt;&lt;author&gt;Pengelly, R. J.&lt;/author&gt;&lt;author&gt;Beattie, R. M.&lt;/author&gt;&lt;author&gt;MacArthur, B. D.&lt;/author&gt;&lt;author&gt;Ennis, S.&lt;/author&gt;&lt;/authors&gt;&lt;/contributors&gt;&lt;titles&gt;&lt;title&gt;GenePy - a score for estimating gene pathogenicity</w:instrText>
      </w:r>
      <w:r>
        <w:rPr>
          <w:color w:val="000000"/>
          <w:sz w:val="20"/>
          <w:szCs w:val="20"/>
        </w:rPr>
        <w:instrText xml:space="preserve"> in individuals using next-generation sequencing data&lt;/title&gt;&lt;secondary-title&gt;BMC Bioinformatics&lt;/secondary-title&gt;&lt;/titles&gt;&lt;periodical&gt;&lt;full-title&gt;BMC Bioinformatics&lt;/full-title&gt;&lt;/periodical&gt;&lt;pages&gt;254&lt;/pages&gt;&lt;volume&gt;20&lt;/volume&gt;&lt;number&gt;1&lt;/number&gt;&lt;dates&gt;&lt;ye</w:instrText>
      </w:r>
      <w:r>
        <w:rPr>
          <w:color w:val="000000"/>
          <w:sz w:val="20"/>
          <w:szCs w:val="20"/>
        </w:rPr>
        <w:instrText>ar&gt;2019&lt;/year&gt;&lt;pub-dates&gt;&lt;date&gt;2019/05/16&lt;/date&gt;&lt;/pub-dates&gt;&lt;/dates&gt;&lt;isbn&gt;1471-2105&lt;/isbn&gt;&lt;urls&gt;&lt;related-urls&gt;&lt;url&gt;https://doi.org/10.1186/s12859-019-2877-3&lt;/url&gt;&lt;/related-urls&gt;&lt;/urls&gt;&lt;electronic-resource-num&gt;10.1186/s12859-019-2877-3&lt;/electronic-resource-</w:instrText>
      </w:r>
      <w:r>
        <w:rPr>
          <w:color w:val="000000"/>
          <w:sz w:val="20"/>
          <w:szCs w:val="20"/>
        </w:rPr>
        <w:instrText>num&gt;&lt;/record&gt;&lt;/Cite&gt;&lt;/EndNote&gt;</w:instrText>
      </w:r>
      <w:r>
        <w:rPr>
          <w:color w:val="000000"/>
          <w:sz w:val="20"/>
          <w:szCs w:val="20"/>
        </w:rPr>
        <w:fldChar w:fldCharType="separate"/>
      </w:r>
      <w:r>
        <w:rPr>
          <w:noProof/>
          <w:color w:val="000000"/>
          <w:sz w:val="20"/>
          <w:szCs w:val="20"/>
        </w:rPr>
        <w:t>[91]</w:t>
      </w:r>
      <w:r>
        <w:rPr>
          <w:color w:val="000000"/>
          <w:sz w:val="20"/>
          <w:szCs w:val="20"/>
        </w:rPr>
        <w:fldChar w:fldCharType="end"/>
      </w:r>
      <w:r>
        <w:rPr>
          <w:color w:val="000000"/>
          <w:sz w:val="20"/>
          <w:szCs w:val="20"/>
        </w:rPr>
        <w:t>. However, no current method can link a specific phenotype to a gene based on biological function - all gene-based metrics reflect the burden of mutation within genes of equally-predicted causality.</w:t>
      </w:r>
    </w:p>
    <w:p w:rsidR="00877997" w:rsidRDefault="00877997">
      <w:pPr>
        <w:rPr>
          <w:color w:val="000000"/>
          <w:sz w:val="20"/>
          <w:szCs w:val="20"/>
        </w:rPr>
      </w:pPr>
    </w:p>
    <w:p w:rsidR="00877997" w:rsidRDefault="00CB0676">
      <w:pPr>
        <w:rPr>
          <w:b/>
          <w:bCs/>
          <w:color w:val="000000"/>
          <w:sz w:val="20"/>
          <w:szCs w:val="20"/>
        </w:rPr>
      </w:pPr>
      <w:r>
        <w:rPr>
          <w:b/>
          <w:bCs/>
          <w:color w:val="000000"/>
          <w:sz w:val="20"/>
          <w:szCs w:val="20"/>
        </w:rPr>
        <w:t>Tissue-specific ann</w:t>
      </w:r>
      <w:r>
        <w:rPr>
          <w:b/>
          <w:bCs/>
          <w:color w:val="000000"/>
          <w:sz w:val="20"/>
          <w:szCs w:val="20"/>
        </w:rPr>
        <w:t>otation</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Tissue-specific annotation has been a neglected area of variant interpretation. The genotype tissue expression (GTEx) portal has facilitated</w:t>
      </w:r>
      <w:r>
        <w:rPr>
          <w:color w:val="000000"/>
          <w:sz w:val="20"/>
          <w:szCs w:val="20"/>
        </w:rPr>
        <w:t xml:space="preserve"> the study of tissue-specific gene expression and regulation important for variant analysis, e.g. a predicted pathogenic variant only expressed in testes in the context of a strong neurodevelopmental phenotype would likely be deprioritised. Equally, a vari</w:t>
      </w:r>
      <w:r>
        <w:rPr>
          <w:color w:val="000000"/>
          <w:sz w:val="20"/>
          <w:szCs w:val="20"/>
        </w:rPr>
        <w:t xml:space="preserve">ant strongly expressed in the kidney for a nephrological phenotype would warrant further scrutiny, even if overall tissue expression was low. That said, prudence is advised here; GTEx data were collected from cadavers, which will not necessarily represent </w:t>
      </w:r>
      <w:r>
        <w:rPr>
          <w:i/>
          <w:color w:val="000000"/>
          <w:sz w:val="20"/>
          <w:szCs w:val="20"/>
        </w:rPr>
        <w:t>in utero</w:t>
      </w:r>
      <w:r>
        <w:rPr>
          <w:color w:val="000000"/>
          <w:sz w:val="20"/>
          <w:szCs w:val="20"/>
        </w:rPr>
        <w:t xml:space="preserve"> isoform gene expression when disease pathogenesis may have occurred</w:t>
      </w:r>
      <w:r>
        <w:rPr>
          <w:color w:val="000000"/>
          <w:sz w:val="20"/>
          <w:szCs w:val="20"/>
        </w:rPr>
        <w:fldChar w:fldCharType="begin"/>
      </w:r>
      <w:r>
        <w:rPr>
          <w:color w:val="000000"/>
          <w:sz w:val="20"/>
          <w:szCs w:val="20"/>
        </w:rPr>
        <w:instrText xml:space="preserve"> ADDIN EN.CITE &lt;EndNote&gt;&lt;Cite&gt;&lt;Author&gt;Lonsdale&lt;/Author&gt;&lt;Year&gt;2013&lt;/Year&gt;&lt;RecNum&gt;61&lt;/RecNum&gt;&lt;DisplayText&gt;[92]&lt;/DisplayText&gt;&lt;record&gt;&lt;rec-number&gt;61&lt;/rec-number&gt;&lt;foreign-keys&gt;&lt;key app=</w:instrText>
      </w:r>
      <w:r>
        <w:rPr>
          <w:color w:val="000000"/>
          <w:sz w:val="20"/>
          <w:szCs w:val="20"/>
        </w:rPr>
        <w:instrText>"EN" db-id="d0vstffei2ze5sew5fwxp0dq9zxs5pvvsxpv" timestamp="1579957185"&gt;61&lt;/key&gt;&lt;/foreign-keys&gt;&lt;ref-type name="Journal Article"&gt;17&lt;/ref-type&gt;&lt;contributors&gt;&lt;authors&gt;&lt;author&gt;Lonsdale, John&lt;/author&gt;&lt;author&gt;Thomas, Jeffrey&lt;/author&gt;&lt;author&gt;Salvatore, Mike&lt;/aut</w:instrText>
      </w:r>
      <w:r>
        <w:rPr>
          <w:color w:val="000000"/>
          <w:sz w:val="20"/>
          <w:szCs w:val="20"/>
        </w:rPr>
        <w:instrText>hor&gt;&lt;author&gt;Phillips, Rebecca&lt;/author&gt;&lt;author&gt;Lo, Edmund&lt;/author&gt;&lt;author&gt;Shad, Saboor&lt;/author&gt;&lt;author&gt;Hasz, Richard&lt;/author&gt;&lt;author&gt;Walters, Gary&lt;/author&gt;&lt;author&gt;Garcia, Fernando&lt;/author&gt;&lt;author&gt;Young, Nancy&lt;/author&gt;&lt;/authors&gt;&lt;/contributors&gt;&lt;titles&gt;&lt;title&gt;</w:instrText>
      </w:r>
      <w:r>
        <w:rPr>
          <w:color w:val="000000"/>
          <w:sz w:val="20"/>
          <w:szCs w:val="20"/>
        </w:rPr>
        <w:instrText>The genotype-tissue expression (GTEx) project&lt;/title&gt;&lt;secondary-title&gt;Nature genetics&lt;/secondary-title&gt;&lt;/titles&gt;&lt;periodical&gt;&lt;full-title&gt;Nature genetics&lt;/full-title&gt;&lt;/periodical&gt;&lt;pages&gt;580&lt;/pages&gt;&lt;volume&gt;45&lt;/volume&gt;&lt;number&gt;6&lt;/number&gt;&lt;dates&gt;&lt;year&gt;2013&lt;/year&gt;</w:instrText>
      </w:r>
      <w:r>
        <w:rPr>
          <w:color w:val="000000"/>
          <w:sz w:val="20"/>
          <w:szCs w:val="20"/>
        </w:rPr>
        <w:instrText>&lt;/dates&gt;&lt;isbn&gt;1546-1718&lt;/isbn&gt;&lt;urls&gt;&lt;/urls&gt;&lt;/record&gt;&lt;/Cite&gt;&lt;/EndNote&gt;</w:instrText>
      </w:r>
      <w:r>
        <w:rPr>
          <w:color w:val="000000"/>
          <w:sz w:val="20"/>
          <w:szCs w:val="20"/>
        </w:rPr>
        <w:fldChar w:fldCharType="separate"/>
      </w:r>
      <w:r>
        <w:rPr>
          <w:noProof/>
          <w:color w:val="000000"/>
          <w:sz w:val="20"/>
          <w:szCs w:val="20"/>
        </w:rPr>
        <w:t>[92]</w:t>
      </w:r>
      <w:r>
        <w:rPr>
          <w:color w:val="000000"/>
          <w:sz w:val="20"/>
          <w:szCs w:val="20"/>
        </w:rPr>
        <w:fldChar w:fldCharType="end"/>
      </w:r>
      <w:r>
        <w:rPr>
          <w:color w:val="000000"/>
          <w:sz w:val="20"/>
          <w:szCs w:val="20"/>
        </w:rPr>
        <w:t xml:space="preserve">. Furthermore, some individuals present mosaicism and variants will be missed if the tissue of origin is not sequenced. </w:t>
      </w:r>
    </w:p>
    <w:p w:rsidR="00877997" w:rsidRDefault="00877997">
      <w:pPr>
        <w:spacing w:line="360" w:lineRule="auto"/>
        <w:rPr>
          <w:color w:val="000000"/>
          <w:sz w:val="20"/>
          <w:szCs w:val="20"/>
        </w:rPr>
      </w:pPr>
    </w:p>
    <w:p w:rsidR="00877997" w:rsidRDefault="00CB0676">
      <w:pPr>
        <w:spacing w:line="360" w:lineRule="auto"/>
        <w:rPr>
          <w:b/>
          <w:color w:val="000000"/>
          <w:sz w:val="20"/>
          <w:szCs w:val="20"/>
        </w:rPr>
      </w:pPr>
      <w:r>
        <w:rPr>
          <w:b/>
          <w:color w:val="000000"/>
          <w:sz w:val="20"/>
          <w:szCs w:val="20"/>
        </w:rPr>
        <w:t>Transcript-specific annotation</w:t>
      </w:r>
    </w:p>
    <w:p w:rsidR="00877997" w:rsidRDefault="00877997">
      <w:pPr>
        <w:spacing w:line="360" w:lineRule="auto"/>
        <w:rPr>
          <w:color w:val="000000"/>
          <w:sz w:val="20"/>
          <w:szCs w:val="20"/>
        </w:rPr>
      </w:pPr>
    </w:p>
    <w:p w:rsidR="00877997" w:rsidRDefault="00CB0676">
      <w:pPr>
        <w:spacing w:line="360" w:lineRule="auto"/>
        <w:rPr>
          <w:color w:val="000000"/>
        </w:rPr>
      </w:pPr>
      <w:r>
        <w:rPr>
          <w:color w:val="000000"/>
          <w:sz w:val="20"/>
          <w:szCs w:val="20"/>
        </w:rPr>
        <w:t>Transcript-specific annota</w:t>
      </w:r>
      <w:r>
        <w:rPr>
          <w:color w:val="000000"/>
          <w:sz w:val="20"/>
          <w:szCs w:val="20"/>
        </w:rPr>
        <w:t>tion considers how a variant affects all annotated transcripts of that given gene. Certain disorders are transcript-specific, i.e. only variants disrupting particular transcripts cause disease. Protein truncating variants in titan (</w:t>
      </w:r>
      <w:r>
        <w:rPr>
          <w:i/>
          <w:color w:val="000000"/>
          <w:sz w:val="20"/>
          <w:szCs w:val="20"/>
        </w:rPr>
        <w:t>TTN)</w:t>
      </w:r>
      <w:r>
        <w:rPr>
          <w:color w:val="000000"/>
          <w:sz w:val="20"/>
          <w:szCs w:val="20"/>
        </w:rPr>
        <w:t xml:space="preserve"> - one of the larges</w:t>
      </w:r>
      <w:r>
        <w:rPr>
          <w:color w:val="000000"/>
          <w:sz w:val="20"/>
          <w:szCs w:val="20"/>
        </w:rPr>
        <w:t>t genes encoding an essential protein component of striated muscle - cause dilated cardiomyopathy</w:t>
      </w:r>
      <w:r>
        <w:rPr>
          <w:color w:val="000000"/>
          <w:sz w:val="20"/>
          <w:szCs w:val="20"/>
        </w:rPr>
        <w:fldChar w:fldCharType="begin"/>
      </w:r>
      <w:r>
        <w:rPr>
          <w:color w:val="000000"/>
          <w:sz w:val="20"/>
          <w:szCs w:val="20"/>
        </w:rPr>
        <w:instrText xml:space="preserve"> ADDIN EN.CITE &lt;EndNote&gt;&lt;Cite&gt;&lt;Author&gt;Ware&lt;/Author&gt;&lt;Year&gt;2016&lt;/Year&gt;&lt;RecNum&gt;71&lt;/RecNum&gt;&lt;DisplayText&gt;[93]&lt;/DisplayText&gt;&lt;record&gt;&lt;rec-number&gt;71&lt;/rec-number&gt;&lt;forei</w:instrText>
      </w:r>
      <w:r>
        <w:rPr>
          <w:color w:val="000000"/>
          <w:sz w:val="20"/>
          <w:szCs w:val="20"/>
        </w:rPr>
        <w:instrText>gn-keys&gt;&lt;key app="EN" db-id="d0vstffei2ze5sew5fwxp0dq9zxs5pvvsxpv" timestamp="1580031833"&gt;71&lt;/key&gt;&lt;/foreign-keys&gt;&lt;ref-type name="Journal Article"&gt;17&lt;/ref-type&gt;&lt;contributors&gt;&lt;authors&gt;&lt;author&gt;Ware, James S&lt;/author&gt;&lt;author&gt;Li, Jian&lt;/author&gt;&lt;author&gt;Mazaika, Er</w:instrText>
      </w:r>
      <w:r>
        <w:rPr>
          <w:color w:val="000000"/>
          <w:sz w:val="20"/>
          <w:szCs w:val="20"/>
        </w:rPr>
        <w:instrText>ica&lt;/author&gt;&lt;author&gt;Yasso, Christopher M&lt;/author&gt;&lt;author&gt;DeSouza, Tiffany&lt;/author&gt;&lt;author&gt;Cappola, Thomas P&lt;/author&gt;&lt;author&gt;Tsai, Emily J&lt;/author&gt;&lt;author&gt;Hilfiker-Kleiner, Denise&lt;/author&gt;&lt;author&gt;Kamiya, Chizuko A&lt;/author&gt;&lt;author&gt;Mazzarotto, Francesco&lt;/auth</w:instrText>
      </w:r>
      <w:r>
        <w:rPr>
          <w:color w:val="000000"/>
          <w:sz w:val="20"/>
          <w:szCs w:val="20"/>
        </w:rPr>
        <w:instrText>or&gt;&lt;/authors&gt;&lt;/contributors&gt;&lt;titles&gt;&lt;title&gt;Shared genetic predisposition in peripartum and dilated cardiomyopathies&lt;/title&gt;&lt;secondary-title&gt;New England Journal of Medicine&lt;/secondary-title&gt;&lt;/titles&gt;&lt;periodical&gt;&lt;full-title&gt;New England Journal of Medicine&lt;/f</w:instrText>
      </w:r>
      <w:r>
        <w:rPr>
          <w:color w:val="000000"/>
          <w:sz w:val="20"/>
          <w:szCs w:val="20"/>
        </w:rPr>
        <w:instrText>ull-title&gt;&lt;/periodical&gt;&lt;pages&gt;233-241&lt;/pages&gt;&lt;volume&gt;374&lt;/volume&gt;&lt;number&gt;3&lt;/number&gt;&lt;dates&gt;&lt;year&gt;2016&lt;/year&gt;&lt;/dates&gt;&lt;isbn&gt;0028-4793&lt;/isbn&gt;&lt;urls&gt;&lt;/urls&gt;&lt;/record&gt;&lt;/Cite&gt;&lt;/EndNote&gt;</w:instrText>
      </w:r>
      <w:r>
        <w:rPr>
          <w:color w:val="000000"/>
          <w:sz w:val="20"/>
          <w:szCs w:val="20"/>
        </w:rPr>
        <w:fldChar w:fldCharType="separate"/>
      </w:r>
      <w:r>
        <w:rPr>
          <w:noProof/>
          <w:color w:val="000000"/>
          <w:sz w:val="20"/>
          <w:szCs w:val="20"/>
        </w:rPr>
        <w:t>[93]</w:t>
      </w:r>
      <w:r>
        <w:rPr>
          <w:color w:val="000000"/>
          <w:sz w:val="20"/>
          <w:szCs w:val="20"/>
        </w:rPr>
        <w:fldChar w:fldCharType="end"/>
      </w:r>
      <w:r>
        <w:rPr>
          <w:color w:val="000000"/>
          <w:sz w:val="20"/>
          <w:szCs w:val="20"/>
        </w:rPr>
        <w:t>, yet loss-of-function variants are found in healthy individuals. In heal</w:t>
      </w:r>
      <w:r>
        <w:rPr>
          <w:color w:val="000000"/>
          <w:sz w:val="20"/>
          <w:szCs w:val="20"/>
        </w:rPr>
        <w:t>thy controls, loss-of-function variants occur in exons absent from dominantly expressed isoforms (the resultant spliced RNA as a result of a given transcript)</w:t>
      </w:r>
      <w:r>
        <w:rPr>
          <w:color w:val="000000"/>
          <w:sz w:val="20"/>
          <w:szCs w:val="20"/>
        </w:rPr>
        <w:fldChar w:fldCharType="begin"/>
      </w:r>
      <w:r>
        <w:rPr>
          <w:color w:val="000000"/>
          <w:sz w:val="20"/>
          <w:szCs w:val="20"/>
        </w:rPr>
        <w:instrText xml:space="preserve"> ADDIN EN.CITE &lt;EndNote&gt;&lt;Cite&gt;&lt;Author&gt;Roberts&lt;/Author&gt;&lt;Year&gt;2015&lt;/Year&gt;&lt;RecNum&gt;65&lt;/RecNum&gt;&lt;Display</w:instrText>
      </w:r>
      <w:r>
        <w:rPr>
          <w:color w:val="000000"/>
          <w:sz w:val="20"/>
          <w:szCs w:val="20"/>
        </w:rPr>
        <w:instrText>Text&gt;[94]&lt;/DisplayText&gt;&lt;record&gt;&lt;rec-number&gt;65&lt;/rec-number&gt;&lt;foreign-keys&gt;&lt;key app="EN" db-id="d0vstffei2ze5sew5fwxp0dq9zxs5pvvsxpv" timestamp="1580008934"&gt;65&lt;/key&gt;&lt;/foreign-keys&gt;&lt;ref-type name="Journal Article"&gt;17&lt;/ref-type&gt;&lt;contributors&gt;&lt;authors&gt;&lt;author&gt;Ro</w:instrText>
      </w:r>
      <w:r>
        <w:rPr>
          <w:color w:val="000000"/>
          <w:sz w:val="20"/>
          <w:szCs w:val="20"/>
        </w:rPr>
        <w:instrText>berts, Angharad M&lt;/author&gt;&lt;author&gt;Ware, James S&lt;/author&gt;&lt;author&gt;Herman, Daniel S&lt;/author&gt;&lt;author&gt;Schafer, Sebastian&lt;/author&gt;&lt;author&gt;Baksi, John&lt;/author&gt;&lt;author&gt;Bick, Alexander G&lt;/author&gt;&lt;author&gt;Buchan, Rachel J&lt;/author&gt;&lt;author&gt;Walsh, Roddy&lt;/author&gt;&lt;author&gt;</w:instrText>
      </w:r>
      <w:r>
        <w:rPr>
          <w:color w:val="000000"/>
          <w:sz w:val="20"/>
          <w:szCs w:val="20"/>
        </w:rPr>
        <w:instrText>John, Shibu&lt;/author&gt;&lt;author&gt;Wilkinson, Samuel&lt;/author&gt;&lt;/authors&gt;&lt;/contributors&gt;&lt;titles&gt;&lt;title&gt;Integrated allelic, transcriptional, and phenomic dissection of the cardiac effects of titin truncations in health and disease&lt;/title&gt;&lt;secondary-title&gt;Science tra</w:instrText>
      </w:r>
      <w:r>
        <w:rPr>
          <w:color w:val="000000"/>
          <w:sz w:val="20"/>
          <w:szCs w:val="20"/>
        </w:rPr>
        <w:instrText>nslational medicine&lt;/secondary-title&gt;&lt;/titles&gt;&lt;periodical&gt;&lt;full-title&gt;Science translational medicine&lt;/full-title&gt;&lt;/periodical&gt;&lt;pages&gt;270ra6-270ra6&lt;/pages&gt;&lt;volume&gt;7&lt;/volume&gt;&lt;number&gt;270&lt;/number&gt;&lt;dates&gt;&lt;year&gt;2015&lt;/year&gt;&lt;/dates&gt;&lt;isbn&gt;1946-6234&lt;/isbn&gt;&lt;urls&gt;&lt;/ur</w:instrText>
      </w:r>
      <w:r>
        <w:rPr>
          <w:color w:val="000000"/>
          <w:sz w:val="20"/>
          <w:szCs w:val="20"/>
        </w:rPr>
        <w:instrText>ls&gt;&lt;/record&gt;&lt;/Cite&gt;&lt;/EndNote&gt;</w:instrText>
      </w:r>
      <w:r>
        <w:rPr>
          <w:color w:val="000000"/>
          <w:sz w:val="20"/>
          <w:szCs w:val="20"/>
        </w:rPr>
        <w:fldChar w:fldCharType="separate"/>
      </w:r>
      <w:r>
        <w:rPr>
          <w:noProof/>
          <w:color w:val="000000"/>
          <w:sz w:val="20"/>
          <w:szCs w:val="20"/>
        </w:rPr>
        <w:t>[94]</w:t>
      </w:r>
      <w:r>
        <w:rPr>
          <w:color w:val="000000"/>
          <w:sz w:val="20"/>
          <w:szCs w:val="20"/>
        </w:rPr>
        <w:fldChar w:fldCharType="end"/>
      </w:r>
      <w:r>
        <w:rPr>
          <w:color w:val="000000"/>
          <w:sz w:val="20"/>
          <w:szCs w:val="20"/>
        </w:rPr>
        <w:t>. This is where nomenclature and understanding variant notation is essential. Diagnostic reports often describe variants with coding (</w:t>
      </w:r>
      <w:r>
        <w:rPr>
          <w:i/>
          <w:color w:val="000000"/>
          <w:sz w:val="20"/>
          <w:szCs w:val="20"/>
        </w:rPr>
        <w:t>c.)</w:t>
      </w:r>
      <w:r>
        <w:rPr>
          <w:color w:val="000000"/>
          <w:sz w:val="20"/>
          <w:szCs w:val="20"/>
        </w:rPr>
        <w:t xml:space="preserve"> and protein (</w:t>
      </w:r>
      <w:r>
        <w:rPr>
          <w:i/>
          <w:color w:val="000000"/>
          <w:sz w:val="20"/>
          <w:szCs w:val="20"/>
        </w:rPr>
        <w:t>p.)</w:t>
      </w:r>
      <w:r>
        <w:rPr>
          <w:color w:val="000000"/>
          <w:sz w:val="20"/>
          <w:szCs w:val="20"/>
        </w:rPr>
        <w:t xml:space="preserve"> notation in keeping with HGVS guidance</w:t>
      </w:r>
      <w:r>
        <w:rPr>
          <w:color w:val="000000"/>
          <w:sz w:val="20"/>
          <w:szCs w:val="20"/>
        </w:rPr>
        <w:fldChar w:fldCharType="begin"/>
      </w:r>
      <w:r>
        <w:rPr>
          <w:color w:val="000000"/>
          <w:sz w:val="20"/>
          <w:szCs w:val="20"/>
        </w:rPr>
        <w:instrText xml:space="preserve"> ADDIN EN.CITE &lt;EndNote&gt;&lt;Ci</w:instrText>
      </w:r>
      <w:r>
        <w:rPr>
          <w:color w:val="000000"/>
          <w:sz w:val="20"/>
          <w:szCs w:val="20"/>
        </w:rPr>
        <w:instrText>te&gt;&lt;Author&gt;den Dunnen&lt;/Author&gt;&lt;Year&gt;2016&lt;/Year&gt;&lt;RecNum&gt;62&lt;/RecNum&gt;&lt;DisplayText&gt;[95]&lt;/DisplayText&gt;&lt;record&gt;&lt;rec-number&gt;62&lt;/rec-number&gt;&lt;foreign-keys&gt;&lt;key app="EN" db-id="d0vstffei2ze5sew5fwxp0dq9zxs5pvvsxpv" timestamp="1579957336"&gt;62&lt;/key&gt;&lt;/foreign-keys&gt;&lt;ref-</w:instrText>
      </w:r>
      <w:r>
        <w:rPr>
          <w:color w:val="000000"/>
          <w:sz w:val="20"/>
          <w:szCs w:val="20"/>
        </w:rPr>
        <w:instrText>type name="Journal Article"&gt;17&lt;/ref-type&gt;&lt;contributors&gt;&lt;authors&gt;&lt;author&gt;den Dunnen, Johan T&lt;/author&gt;&lt;author&gt;Dalgleish, Raymond&lt;/author&gt;&lt;author&gt;Maglott, Donna R&lt;/author&gt;&lt;author&gt;Hart, Reece K&lt;/author&gt;&lt;author&gt;Greenblatt, Marc S&lt;/author&gt;&lt;author&gt;McGowan</w:instrText>
      </w:r>
      <w:r>
        <w:rPr>
          <w:rFonts w:ascii="Cambria Math" w:hAnsi="Cambria Math"/>
          <w:color w:val="000000"/>
          <w:sz w:val="20"/>
          <w:szCs w:val="20"/>
        </w:rPr>
        <w:instrText>‐</w:instrText>
      </w:r>
      <w:r>
        <w:rPr>
          <w:color w:val="000000"/>
          <w:sz w:val="20"/>
          <w:szCs w:val="20"/>
        </w:rPr>
        <w:instrText>Jordan,</w:instrText>
      </w:r>
      <w:r>
        <w:rPr>
          <w:color w:val="000000"/>
          <w:sz w:val="20"/>
          <w:szCs w:val="20"/>
        </w:rPr>
        <w:instrText xml:space="preserve"> Jean&lt;/author&gt;&lt;author&gt;Roux, Anne</w:instrText>
      </w:r>
      <w:r>
        <w:rPr>
          <w:rFonts w:ascii="Cambria Math" w:hAnsi="Cambria Math"/>
          <w:color w:val="000000"/>
          <w:sz w:val="20"/>
          <w:szCs w:val="20"/>
        </w:rPr>
        <w:instrText>‐</w:instrText>
      </w:r>
      <w:r>
        <w:rPr>
          <w:color w:val="000000"/>
          <w:sz w:val="20"/>
          <w:szCs w:val="20"/>
        </w:rPr>
        <w:instrText>Francoise&lt;/author&gt;&lt;author&gt;Smith, Timothy&lt;/author&gt;&lt;author&gt;Antonarakis, Stylianos E&lt;/author&gt;&lt;author&gt;Taschner, Peter EM&lt;/author&gt;&lt;/authors&gt;&lt;/contributors&gt;&lt;titles&gt;&lt;title&gt;HGVS recommendations for the description of sequence varia</w:instrText>
      </w:r>
      <w:r>
        <w:rPr>
          <w:color w:val="000000"/>
          <w:sz w:val="20"/>
          <w:szCs w:val="20"/>
        </w:rPr>
        <w:instrText>nts: 2016 update&lt;/title&gt;&lt;secondary-title&gt;Human mutation&lt;/secondary-title&gt;&lt;/titles&gt;&lt;periodical&gt;&lt;full-title&gt;Human mutation&lt;/full-title&gt;&lt;/periodical&gt;&lt;pages&gt;564-569&lt;/pages&gt;&lt;volume&gt;37&lt;/volume&gt;&lt;number&gt;6&lt;/number&gt;&lt;dates&gt;&lt;year&gt;2016&lt;/year&gt;&lt;/dates&gt;&lt;isbn&gt;1059-7794&lt;/is</w:instrText>
      </w:r>
      <w:r>
        <w:rPr>
          <w:color w:val="000000"/>
          <w:sz w:val="20"/>
          <w:szCs w:val="20"/>
        </w:rPr>
        <w:instrText>bn&gt;&lt;urls&gt;&lt;/urls&gt;&lt;/record&gt;&lt;/Cite&gt;&lt;/EndNote&gt;</w:instrText>
      </w:r>
      <w:r>
        <w:rPr>
          <w:color w:val="000000"/>
          <w:sz w:val="20"/>
          <w:szCs w:val="20"/>
        </w:rPr>
        <w:fldChar w:fldCharType="separate"/>
      </w:r>
      <w:r>
        <w:rPr>
          <w:noProof/>
          <w:color w:val="000000"/>
          <w:sz w:val="20"/>
          <w:szCs w:val="20"/>
        </w:rPr>
        <w:t>[95]</w:t>
      </w:r>
      <w:r>
        <w:rPr>
          <w:color w:val="000000"/>
          <w:sz w:val="20"/>
          <w:szCs w:val="20"/>
        </w:rPr>
        <w:fldChar w:fldCharType="end"/>
      </w:r>
      <w:r>
        <w:rPr>
          <w:color w:val="000000"/>
          <w:sz w:val="20"/>
          <w:szCs w:val="20"/>
        </w:rPr>
        <w:t>, yet often neglect to include which transcript the variant relates to. To confuse matters further, there are different annotation databases (RefSeq, Gencode, Ensembl) and transcripts vary between them. Neve</w:t>
      </w:r>
      <w:r>
        <w:rPr>
          <w:color w:val="000000"/>
          <w:sz w:val="20"/>
          <w:szCs w:val="20"/>
        </w:rPr>
        <w:t>rtheless, reporting variants using genome (</w:t>
      </w:r>
      <w:r>
        <w:rPr>
          <w:i/>
          <w:color w:val="000000"/>
          <w:sz w:val="20"/>
          <w:szCs w:val="20"/>
        </w:rPr>
        <w:t>g.)</w:t>
      </w:r>
      <w:r>
        <w:rPr>
          <w:color w:val="000000"/>
          <w:sz w:val="20"/>
          <w:szCs w:val="20"/>
        </w:rPr>
        <w:t xml:space="preserve"> nomenclature e.g. 1-55516888-G-A is preferable as all transcript consequences (from any preferred annotation database) can be assessed, e.g. a variant may be loss-of-function on one transcript yet intronic on </w:t>
      </w:r>
      <w:r>
        <w:rPr>
          <w:color w:val="000000"/>
          <w:sz w:val="20"/>
          <w:szCs w:val="20"/>
        </w:rPr>
        <w:t>all others (</w:t>
      </w:r>
      <w:r>
        <w:rPr>
          <w:b/>
          <w:color w:val="000000"/>
          <w:sz w:val="20"/>
          <w:szCs w:val="20"/>
        </w:rPr>
        <w:t>Figure 2</w:t>
      </w:r>
      <w:r>
        <w:rPr>
          <w:color w:val="000000"/>
          <w:sz w:val="20"/>
          <w:szCs w:val="20"/>
        </w:rPr>
        <w:t xml:space="preserve">). Furthermore, the same loss-of-function variant may disrupt a poorly expressed </w:t>
      </w:r>
      <w:r>
        <w:rPr>
          <w:color w:val="000000"/>
          <w:sz w:val="20"/>
          <w:szCs w:val="20"/>
        </w:rPr>
        <w:lastRenderedPageBreak/>
        <w:t>transcript in only one (clinically irrelevant) tissue. If this loss-of-function variant was reported without the transcript information e.g. p.Trp71Ter, th</w:t>
      </w:r>
      <w:r>
        <w:rPr>
          <w:color w:val="000000"/>
          <w:sz w:val="20"/>
          <w:szCs w:val="20"/>
        </w:rPr>
        <w:t>en an analyst could be forgiven for assuming the variant may be pathogenic if found in a known disease gene. On the other hand, this same variant may be uniquely and moderately expressed in a tissue of interest, yet have low overall tissue expression, risk</w:t>
      </w:r>
      <w:r>
        <w:rPr>
          <w:color w:val="000000"/>
          <w:sz w:val="20"/>
          <w:szCs w:val="20"/>
        </w:rPr>
        <w:t>ing its exclusion. This is where amalgamating both tissue- and transcript-specific information is most valuable.</w:t>
      </w:r>
    </w:p>
    <w:p w:rsidR="00877997" w:rsidRDefault="00877997">
      <w:pPr>
        <w:rPr>
          <w:color w:val="000000"/>
          <w:sz w:val="20"/>
          <w:szCs w:val="20"/>
        </w:rPr>
      </w:pPr>
    </w:p>
    <w:p w:rsidR="00877997" w:rsidRDefault="00877997">
      <w:pPr>
        <w:rPr>
          <w:color w:val="000000"/>
          <w:sz w:val="20"/>
          <w:szCs w:val="20"/>
        </w:rPr>
      </w:pPr>
    </w:p>
    <w:p w:rsidR="00877997" w:rsidRDefault="00CB0676">
      <w:pPr>
        <w:rPr>
          <w:color w:val="000000"/>
          <w:sz w:val="20"/>
          <w:szCs w:val="20"/>
        </w:rPr>
      </w:pPr>
      <w:r>
        <w:rPr>
          <w:b/>
          <w:color w:val="000000"/>
          <w:sz w:val="20"/>
          <w:szCs w:val="20"/>
        </w:rPr>
        <w:t xml:space="preserve">Figure 2 | </w:t>
      </w:r>
      <w:r>
        <w:rPr>
          <w:color w:val="000000"/>
          <w:sz w:val="20"/>
          <w:szCs w:val="20"/>
        </w:rPr>
        <w:t>Schematic of the 3-184966166-TC-T variant and its transcript-specific annotations.</w:t>
      </w:r>
    </w:p>
    <w:p w:rsidR="00877997" w:rsidRDefault="00CB0676">
      <w:pPr>
        <w:rPr>
          <w:color w:val="000000"/>
          <w:sz w:val="20"/>
          <w:szCs w:val="20"/>
        </w:rPr>
      </w:pPr>
      <w:r>
        <w:rPr>
          <w:noProof/>
          <w:color w:val="000000"/>
          <w:sz w:val="20"/>
          <w:szCs w:val="20"/>
          <w:lang w:val="en-GB" w:eastAsia="en-GB"/>
        </w:rPr>
        <w:drawing>
          <wp:inline distT="0" distB="0" distL="0" distR="0">
            <wp:extent cx="5943600" cy="1947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947545"/>
                    </a:xfrm>
                    <a:prstGeom prst="rect">
                      <a:avLst/>
                    </a:prstGeom>
                  </pic:spPr>
                </pic:pic>
              </a:graphicData>
            </a:graphic>
          </wp:inline>
        </w:drawing>
      </w:r>
    </w:p>
    <w:p w:rsidR="00877997" w:rsidRDefault="00CB0676">
      <w:pPr>
        <w:rPr>
          <w:i/>
          <w:color w:val="000000"/>
          <w:sz w:val="16"/>
          <w:szCs w:val="20"/>
        </w:rPr>
      </w:pPr>
      <w:r>
        <w:rPr>
          <w:b/>
          <w:i/>
          <w:color w:val="000000"/>
          <w:sz w:val="16"/>
          <w:szCs w:val="20"/>
        </w:rPr>
        <w:t>(A)</w:t>
      </w:r>
      <w:r>
        <w:rPr>
          <w:i/>
          <w:color w:val="000000"/>
          <w:sz w:val="16"/>
          <w:szCs w:val="20"/>
        </w:rPr>
        <w:t xml:space="preserve"> shows how the </w:t>
      </w:r>
      <w:r>
        <w:rPr>
          <w:i/>
          <w:color w:val="000000"/>
          <w:sz w:val="16"/>
          <w:szCs w:val="20"/>
        </w:rPr>
        <w:t>3-184966166-TC-T variant causes a frameshift event on one transcript (ENST00000440662) and is intronic on the two remaining transcripts, including the canonical transcript identified by the asterisk (ENST00000231887*). If the variant were just annotated as</w:t>
      </w:r>
      <w:r>
        <w:rPr>
          <w:i/>
          <w:color w:val="000000"/>
          <w:sz w:val="16"/>
          <w:szCs w:val="20"/>
        </w:rPr>
        <w:t xml:space="preserve"> EHHADH: p.Trp71Ter, this would neglect important transcript-specific information that would otherwise lower the pathogenicity of the variant. </w:t>
      </w:r>
      <w:r>
        <w:rPr>
          <w:b/>
          <w:i/>
          <w:color w:val="000000"/>
          <w:sz w:val="16"/>
          <w:szCs w:val="20"/>
        </w:rPr>
        <w:t>(B)</w:t>
      </w:r>
      <w:r>
        <w:rPr>
          <w:i/>
          <w:color w:val="000000"/>
          <w:sz w:val="16"/>
          <w:szCs w:val="20"/>
        </w:rPr>
        <w:t xml:space="preserve"> Shows the individual transcripts and their corresponding exons (blue boxes). The canonical transcript is shad</w:t>
      </w:r>
      <w:r>
        <w:rPr>
          <w:i/>
          <w:color w:val="000000"/>
          <w:sz w:val="16"/>
          <w:szCs w:val="20"/>
        </w:rPr>
        <w:t>ed in dark blue. Mean isoform expression of each transcript across GTEx tissues is shown on the right. The dotted orange line shows the position of the variant across all annotated transcripts. The transcript harbouring the p.Trp71Ter variant only disrupts</w:t>
      </w:r>
      <w:r>
        <w:rPr>
          <w:i/>
          <w:color w:val="000000"/>
          <w:sz w:val="16"/>
          <w:szCs w:val="20"/>
        </w:rPr>
        <w:t xml:space="preserve"> the coding sequence of the ENST00000440662 isoform and has low mean expression across tissues, suggesting this transcript is not biologically important. Contrastingly, the canonical transcript (ENST00000231887*) is highly expressed approaching 3.5 transcr</w:t>
      </w:r>
      <w:r>
        <w:rPr>
          <w:i/>
          <w:color w:val="000000"/>
          <w:sz w:val="16"/>
          <w:szCs w:val="20"/>
        </w:rPr>
        <w:t>ipts per million, yet the variant is intronic for this transcript. Therefore, by using transcript level annotation, variant pathogenicity can be more accurately assessed and avoid providing a false sense of pathogenicity, particularly if the gene has a kno</w:t>
      </w:r>
      <w:r>
        <w:rPr>
          <w:i/>
          <w:color w:val="000000"/>
          <w:sz w:val="16"/>
          <w:szCs w:val="20"/>
        </w:rPr>
        <w:t>wn disease association.</w:t>
      </w:r>
    </w:p>
    <w:p w:rsidR="00877997" w:rsidRDefault="00877997">
      <w:pPr>
        <w:rPr>
          <w:i/>
          <w:color w:val="000000"/>
          <w:sz w:val="16"/>
          <w:szCs w:val="20"/>
        </w:rPr>
      </w:pP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 xml:space="preserve">To aid in the interpretation of transcript-specific annotation, Cummings </w:t>
      </w:r>
      <w:r>
        <w:rPr>
          <w:i/>
          <w:color w:val="000000"/>
          <w:sz w:val="20"/>
          <w:szCs w:val="20"/>
        </w:rPr>
        <w:t>et al</w:t>
      </w:r>
      <w:r>
        <w:rPr>
          <w:color w:val="000000"/>
          <w:sz w:val="20"/>
          <w:szCs w:val="20"/>
        </w:rPr>
        <w:t>.</w:t>
      </w:r>
      <w:r>
        <w:rPr>
          <w:color w:val="000000"/>
          <w:sz w:val="20"/>
          <w:szCs w:val="20"/>
        </w:rPr>
        <w:fldChar w:fldCharType="begin"/>
      </w:r>
      <w:r>
        <w:rPr>
          <w:color w:val="000000"/>
          <w:sz w:val="20"/>
          <w:szCs w:val="20"/>
        </w:rPr>
        <w:instrText xml:space="preserve"> ADDIN EN.CITE &lt;EndNote&gt;&lt;Cite&gt;&lt;Author&gt;Cummings&lt;/Author&gt;&lt;Year&gt;2019&lt;/Year&gt;&lt;RecNum&gt;7&lt;/RecNum&gt;&lt;DisplayText&gt;[37]&lt;/DisplayText&gt;&lt;record&gt;&lt;rec-number&gt;7&lt;/rec-num</w:instrText>
      </w:r>
      <w:r>
        <w:rPr>
          <w:color w:val="000000"/>
          <w:sz w:val="20"/>
          <w:szCs w:val="20"/>
        </w:rPr>
        <w:instrText>ber&gt;&lt;foreign-keys&gt;&lt;key app="EN" db-id="d0vstffei2ze5sew5fwxp0dq9zxs5pvvsxpv" timestamp="1579849793"&gt;7&lt;/key&gt;&lt;/foreign-keys&gt;&lt;ref-type name="Journal Article"&gt;17&lt;/ref-type&gt;&lt;contributors&gt;&lt;authors&gt;&lt;author&gt;Cummings, Beryl B.&lt;/author&gt;&lt;author&gt;Karczewski, Konrad J.&lt;</w:instrText>
      </w:r>
      <w:r>
        <w:rPr>
          <w:color w:val="000000"/>
          <w:sz w:val="20"/>
          <w:szCs w:val="20"/>
        </w:rPr>
        <w:instrText>/author&gt;&lt;author&gt;Kosmicki, Jack A.&lt;/author&gt;&lt;author&gt;Seaby, Eleanor G.&lt;/author&gt;&lt;author&gt;Watts, Nicholas A.&lt;/author&gt;&lt;author&gt;Singer-Berk, Moriel&lt;/author&gt;&lt;author&gt;Mudge, Jonathan M.&lt;/author&gt;&lt;author&gt;Karjalainen, Juha&lt;/author&gt;&lt;author&gt;Kyle Satterstrom, F.&lt;/author&gt;&lt;au</w:instrText>
      </w:r>
      <w:r>
        <w:rPr>
          <w:color w:val="000000"/>
          <w:sz w:val="20"/>
          <w:szCs w:val="20"/>
        </w:rPr>
        <w:instrText>thor&gt;O’Donnell-Luria, Anne&lt;/author&gt;&lt;author&gt;Poterba, Timothy&lt;/author&gt;&lt;author&gt;Seed, Cotton&lt;/author&gt;&lt;author&gt;Solomonson, Matthew&lt;/author&gt;&lt;author&gt;Alföldi, Jessica&lt;/author&gt;&lt;author&gt;Daly, Mark J.&lt;/author&gt;&lt;author&gt;MacArthur, Daniel G.&lt;/author&gt;&lt;/authors&gt;&lt;/contributor</w:instrText>
      </w:r>
      <w:r>
        <w:rPr>
          <w:color w:val="000000"/>
          <w:sz w:val="20"/>
          <w:szCs w:val="20"/>
        </w:rPr>
        <w:instrText>s&gt;&lt;titles&gt;&lt;title&gt;Transcript expression-aware annotation improves rare variant discovery and interpretation&lt;/title&gt;&lt;secondary-title&gt;bioRxiv&lt;/secondary-title&gt;&lt;/titles&gt;&lt;periodical&gt;&lt;full-title&gt;bioRxiv&lt;/full-title&gt;&lt;/periodical&gt;&lt;pages&gt;554444&lt;/pages&gt;&lt;dates&gt;&lt;year&gt;</w:instrText>
      </w:r>
      <w:r>
        <w:rPr>
          <w:color w:val="000000"/>
          <w:sz w:val="20"/>
          <w:szCs w:val="20"/>
        </w:rPr>
        <w:instrText>2019&lt;/year&gt;&lt;/dates&gt;&lt;urls&gt;&lt;related-urls&gt;&lt;url&gt;https://www.biorxiv.org/content/biorxiv/early/2019/02/19/554444.full.pdf&lt;/url&gt;&lt;/related-urls&gt;&lt;/urls&gt;&lt;electronic-resource-num&gt;10.1101/554444&lt;/electronic-resource-num&gt;&lt;/record&gt;&lt;/Cite&gt;&lt;/EndNote&gt;</w:instrText>
      </w:r>
      <w:r>
        <w:rPr>
          <w:color w:val="000000"/>
          <w:sz w:val="20"/>
          <w:szCs w:val="20"/>
        </w:rPr>
        <w:fldChar w:fldCharType="separate"/>
      </w:r>
      <w:r>
        <w:rPr>
          <w:noProof/>
          <w:color w:val="000000"/>
          <w:sz w:val="20"/>
          <w:szCs w:val="20"/>
        </w:rPr>
        <w:t>[37]</w:t>
      </w:r>
      <w:r>
        <w:rPr>
          <w:color w:val="000000"/>
          <w:sz w:val="20"/>
          <w:szCs w:val="20"/>
        </w:rPr>
        <w:fldChar w:fldCharType="end"/>
      </w:r>
      <w:r>
        <w:rPr>
          <w:color w:val="000000"/>
          <w:sz w:val="20"/>
          <w:szCs w:val="20"/>
        </w:rPr>
        <w:t xml:space="preserve"> developed a t</w:t>
      </w:r>
      <w:r>
        <w:rPr>
          <w:color w:val="000000"/>
          <w:sz w:val="20"/>
          <w:szCs w:val="20"/>
        </w:rPr>
        <w:t>ool that facilitates the rapid visualisation of isoform expression values across tissues, called the proportion expressed across transcript (pext) score. Pext is capable of differentiating between weakly and highly evolutionarily conserved exons and thus s</w:t>
      </w:r>
      <w:r>
        <w:rPr>
          <w:color w:val="000000"/>
          <w:sz w:val="20"/>
          <w:szCs w:val="20"/>
        </w:rPr>
        <w:t>erves as a surrogate for functional importance (</w:t>
      </w:r>
      <w:r>
        <w:rPr>
          <w:b/>
          <w:color w:val="000000"/>
          <w:sz w:val="20"/>
          <w:szCs w:val="20"/>
        </w:rPr>
        <w:t>Figure 3</w:t>
      </w:r>
      <w:r>
        <w:rPr>
          <w:color w:val="000000"/>
          <w:sz w:val="20"/>
          <w:szCs w:val="20"/>
        </w:rPr>
        <w:t>). The integration of pext into the gnomAD browser now provides an opportunity to rapidly exclude variants from weakly expressed exons.</w:t>
      </w:r>
    </w:p>
    <w:p w:rsidR="00877997" w:rsidRDefault="00877997">
      <w:pPr>
        <w:rPr>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877997">
      <w:pPr>
        <w:rPr>
          <w:b/>
          <w:color w:val="000000"/>
          <w:sz w:val="20"/>
          <w:szCs w:val="20"/>
        </w:rPr>
      </w:pPr>
    </w:p>
    <w:p w:rsidR="00877997" w:rsidRDefault="00CB0676">
      <w:pPr>
        <w:rPr>
          <w:color w:val="000000"/>
          <w:sz w:val="20"/>
          <w:szCs w:val="20"/>
        </w:rPr>
      </w:pPr>
      <w:r>
        <w:rPr>
          <w:b/>
          <w:color w:val="000000"/>
          <w:sz w:val="20"/>
          <w:szCs w:val="20"/>
        </w:rPr>
        <w:t>Figure</w:t>
      </w:r>
      <w:r>
        <w:rPr>
          <w:color w:val="000000"/>
          <w:sz w:val="20"/>
          <w:szCs w:val="20"/>
        </w:rPr>
        <w:t xml:space="preserve"> </w:t>
      </w:r>
      <w:r>
        <w:rPr>
          <w:b/>
          <w:color w:val="000000"/>
          <w:sz w:val="20"/>
          <w:szCs w:val="20"/>
        </w:rPr>
        <w:t xml:space="preserve">3 | </w:t>
      </w:r>
      <w:r>
        <w:rPr>
          <w:color w:val="000000"/>
          <w:sz w:val="20"/>
          <w:szCs w:val="16"/>
        </w:rPr>
        <w:t>Schematic of how pext enables visuali</w:t>
      </w:r>
      <w:r>
        <w:rPr>
          <w:color w:val="000000"/>
          <w:sz w:val="20"/>
          <w:szCs w:val="16"/>
        </w:rPr>
        <w:t>sation of isoform expression across exonic regions.</w:t>
      </w:r>
    </w:p>
    <w:p w:rsidR="00877997" w:rsidRDefault="00CB0676">
      <w:pPr>
        <w:rPr>
          <w:color w:val="000000"/>
        </w:rPr>
      </w:pPr>
      <w:r>
        <w:rPr>
          <w:noProof/>
          <w:color w:val="000000"/>
          <w:lang w:val="en-GB" w:eastAsia="en-GB"/>
        </w:rPr>
        <w:drawing>
          <wp:inline distT="0" distB="0" distL="0" distR="0">
            <wp:extent cx="5943600" cy="36899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689985"/>
                    </a:xfrm>
                    <a:prstGeom prst="rect">
                      <a:avLst/>
                    </a:prstGeom>
                  </pic:spPr>
                </pic:pic>
              </a:graphicData>
            </a:graphic>
          </wp:inline>
        </w:drawing>
      </w:r>
    </w:p>
    <w:p w:rsidR="00877997" w:rsidRDefault="00CB0676">
      <w:pPr>
        <w:rPr>
          <w:i/>
          <w:color w:val="000000"/>
          <w:sz w:val="16"/>
          <w:szCs w:val="16"/>
        </w:rPr>
      </w:pPr>
      <w:r>
        <w:rPr>
          <w:i/>
          <w:color w:val="000000"/>
          <w:sz w:val="16"/>
          <w:szCs w:val="16"/>
        </w:rPr>
        <w:t>Pext values are integrated from the GTEx dataset by computing the median expression of a transcript for GTEx tissue samples. The expression of a given base is defined as the summed expression of all tra</w:t>
      </w:r>
      <w:r>
        <w:rPr>
          <w:i/>
          <w:color w:val="000000"/>
          <w:sz w:val="16"/>
          <w:szCs w:val="16"/>
        </w:rPr>
        <w:t>nscripts that touch that base. This is repeated for every GTEx tissue and then normalised by the whole gene expression in that tissue. Transcript 1 has low tissue expression compared with transcripts 2 and 3. The overhanging region of exon 2 (on transcript</w:t>
      </w:r>
      <w:r>
        <w:rPr>
          <w:i/>
          <w:color w:val="000000"/>
          <w:sz w:val="16"/>
          <w:szCs w:val="16"/>
        </w:rPr>
        <w:t xml:space="preserve"> 1) has a base pext of 1 TPM and therefore this region is likely to have low conservation or be enriched for annotation errors. Therefore, a variant in the region of the yellow star would be easily identified as a low priority candidate due to the relative</w:t>
      </w:r>
      <w:r>
        <w:rPr>
          <w:i/>
          <w:color w:val="000000"/>
          <w:sz w:val="16"/>
          <w:szCs w:val="16"/>
        </w:rPr>
        <w:t xml:space="preserve"> drop in mean pext secondary to low tissue expression in GTEx across that region. The caveat to this rule is where transcript 1 is uniquely expressed in the tissue of interest, and therefore expression values should be assessed against tissues of interest,</w:t>
      </w:r>
      <w:r>
        <w:rPr>
          <w:i/>
          <w:color w:val="000000"/>
          <w:sz w:val="16"/>
          <w:szCs w:val="16"/>
        </w:rPr>
        <w:t xml:space="preserve"> rather than just the mean expression across all tissues. The integration of pext into the gnomAD browser allows the analyst to visualise both mean pext and tissue specific-pext. [GTEx – genotype tissue expression; TPM - transcript per million]. Figure is </w:t>
      </w:r>
      <w:r>
        <w:rPr>
          <w:i/>
          <w:color w:val="000000"/>
          <w:sz w:val="16"/>
          <w:szCs w:val="16"/>
        </w:rPr>
        <w:t>adapted from Cummings et al.</w:t>
      </w:r>
      <w:r>
        <w:rPr>
          <w:i/>
          <w:color w:val="000000"/>
          <w:sz w:val="16"/>
          <w:szCs w:val="16"/>
        </w:rPr>
        <w:fldChar w:fldCharType="begin"/>
      </w:r>
      <w:r>
        <w:rPr>
          <w:i/>
          <w:color w:val="000000"/>
          <w:sz w:val="16"/>
          <w:szCs w:val="16"/>
        </w:rPr>
        <w:instrText xml:space="preserve"> ADDIN EN.CITE &lt;EndNote&gt;&lt;Cite&gt;&lt;Author&gt;Cummings&lt;/Author&gt;&lt;Year&gt;2019&lt;/Year&gt;&lt;RecNum&gt;7&lt;/RecNum&gt;&lt;DisplayText&gt;[37]&lt;/DisplayText&gt;&lt;record&gt;&lt;rec-number&gt;7&lt;/rec-number&gt;&lt;foreign-keys&gt;&lt;key app="EN" db-id="d0vstffei2ze5sew5fwxp0dq9zxs5pvvsxpv" </w:instrText>
      </w:r>
      <w:r>
        <w:rPr>
          <w:i/>
          <w:color w:val="000000"/>
          <w:sz w:val="16"/>
          <w:szCs w:val="16"/>
        </w:rPr>
        <w:instrText>timestamp="1579849793"&gt;7&lt;/key&gt;&lt;/foreign-keys&gt;&lt;ref-type name="Journal Article"&gt;17&lt;/ref-type&gt;&lt;contributors&gt;&lt;authors&gt;&lt;author&gt;Cummings, Beryl B.&lt;/author&gt;&lt;author&gt;Karczewski, Konrad J.&lt;/author&gt;&lt;author&gt;Kosmicki, Jack A.&lt;/author&gt;&lt;author&gt;Seaby, Eleanor G.&lt;/author&gt;&lt;</w:instrText>
      </w:r>
      <w:r>
        <w:rPr>
          <w:i/>
          <w:color w:val="000000"/>
          <w:sz w:val="16"/>
          <w:szCs w:val="16"/>
        </w:rPr>
        <w:instrText>author&gt;Watts, Nicholas A.&lt;/author&gt;&lt;author&gt;Singer-Berk, Moriel&lt;/author&gt;&lt;author&gt;Mudge, Jonathan M.&lt;/author&gt;&lt;author&gt;Karjalainen, Juha&lt;/author&gt;&lt;author&gt;Kyle Satterstrom, F.&lt;/author&gt;&lt;author&gt;O’Donnell-Luria, Anne&lt;/author&gt;&lt;author&gt;Poterba, Timothy&lt;/author&gt;&lt;author&gt;S</w:instrText>
      </w:r>
      <w:r>
        <w:rPr>
          <w:i/>
          <w:color w:val="000000"/>
          <w:sz w:val="16"/>
          <w:szCs w:val="16"/>
        </w:rPr>
        <w:instrText>eed, Cotton&lt;/author&gt;&lt;author&gt;Solomonson, Matthew&lt;/author&gt;&lt;author&gt;Alföldi, Jessica&lt;/author&gt;&lt;author&gt;Daly, Mark J.&lt;/author&gt;&lt;author&gt;MacArthur, Daniel G.&lt;/author&gt;&lt;/authors&gt;&lt;/contributors&gt;&lt;titles&gt;&lt;title&gt;Transcript expression-aware annotation improves rare variant</w:instrText>
      </w:r>
      <w:r>
        <w:rPr>
          <w:i/>
          <w:color w:val="000000"/>
          <w:sz w:val="16"/>
          <w:szCs w:val="16"/>
        </w:rPr>
        <w:instrText xml:space="preserve"> discovery and interpretation&lt;/title&gt;&lt;secondary-title&gt;bioRxiv&lt;/secondary-title&gt;&lt;/titles&gt;&lt;periodical&gt;&lt;full-title&gt;bioRxiv&lt;/full-title&gt;&lt;/periodical&gt;&lt;pages&gt;554444&lt;/pages&gt;&lt;dates&gt;&lt;year&gt;2019&lt;/year&gt;&lt;/dates&gt;&lt;urls&gt;&lt;related-urls&gt;&lt;url&gt;https://www.biorxiv.org/content/b</w:instrText>
      </w:r>
      <w:r>
        <w:rPr>
          <w:i/>
          <w:color w:val="000000"/>
          <w:sz w:val="16"/>
          <w:szCs w:val="16"/>
        </w:rPr>
        <w:instrText>iorxiv/early/2019/02/19/554444.full.pdf&lt;/url&gt;&lt;/related-urls&gt;&lt;/urls&gt;&lt;electronic-resource-num&gt;10.1101/554444&lt;/electronic-resource-num&gt;&lt;/record&gt;&lt;/Cite&gt;&lt;/EndNote&gt;</w:instrText>
      </w:r>
      <w:r>
        <w:rPr>
          <w:i/>
          <w:color w:val="000000"/>
          <w:sz w:val="16"/>
          <w:szCs w:val="16"/>
        </w:rPr>
        <w:fldChar w:fldCharType="separate"/>
      </w:r>
      <w:r>
        <w:rPr>
          <w:i/>
          <w:noProof/>
          <w:color w:val="000000"/>
          <w:sz w:val="16"/>
          <w:szCs w:val="16"/>
        </w:rPr>
        <w:t>[37]</w:t>
      </w:r>
      <w:r>
        <w:rPr>
          <w:i/>
          <w:color w:val="000000"/>
          <w:sz w:val="16"/>
          <w:szCs w:val="16"/>
        </w:rPr>
        <w:fldChar w:fldCharType="end"/>
      </w:r>
      <w:r>
        <w:rPr>
          <w:i/>
          <w:color w:val="000000"/>
          <w:sz w:val="16"/>
          <w:szCs w:val="16"/>
        </w:rPr>
        <w:t>.</w:t>
      </w:r>
    </w:p>
    <w:p w:rsidR="00877997" w:rsidRDefault="00877997">
      <w:pPr>
        <w:rPr>
          <w:b/>
          <w:bCs/>
          <w:color w:val="000000"/>
          <w:sz w:val="20"/>
          <w:szCs w:val="20"/>
        </w:rPr>
      </w:pPr>
    </w:p>
    <w:p w:rsidR="00877997" w:rsidRDefault="00CB0676">
      <w:pPr>
        <w:rPr>
          <w:b/>
          <w:bCs/>
          <w:color w:val="000000"/>
          <w:sz w:val="20"/>
          <w:szCs w:val="20"/>
        </w:rPr>
      </w:pPr>
      <w:r>
        <w:rPr>
          <w:b/>
          <w:bCs/>
          <w:color w:val="000000"/>
          <w:sz w:val="20"/>
          <w:szCs w:val="20"/>
        </w:rPr>
        <w:t>Incomplete penetrance</w:t>
      </w:r>
    </w:p>
    <w:p w:rsidR="00877997" w:rsidRDefault="00877997">
      <w:pPr>
        <w:rPr>
          <w:b/>
          <w:bCs/>
          <w:color w:val="000000"/>
          <w:sz w:val="20"/>
          <w:szCs w:val="20"/>
        </w:rPr>
      </w:pPr>
    </w:p>
    <w:p w:rsidR="00877997" w:rsidRDefault="00CB0676">
      <w:pPr>
        <w:spacing w:line="360" w:lineRule="auto"/>
        <w:rPr>
          <w:color w:val="000000"/>
          <w:sz w:val="20"/>
          <w:szCs w:val="20"/>
        </w:rPr>
      </w:pPr>
      <w:r>
        <w:rPr>
          <w:color w:val="000000"/>
          <w:sz w:val="20"/>
          <w:szCs w:val="20"/>
        </w:rPr>
        <w:t>Harbouring</w:t>
      </w:r>
      <w:r>
        <w:rPr>
          <w:color w:val="000000"/>
          <w:sz w:val="20"/>
          <w:szCs w:val="20"/>
        </w:rPr>
        <w:t xml:space="preserve"> a disease-causing variant does not always result in expression of disease, a phenomenon known as incomplete penetrance, reviewed elsewhere</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[96]</w:t>
      </w:r>
      <w:r>
        <w:rPr>
          <w:color w:val="000000"/>
          <w:sz w:val="20"/>
          <w:szCs w:val="20"/>
        </w:rPr>
        <w:fldChar w:fldCharType="end"/>
      </w:r>
      <w:r>
        <w:rPr>
          <w:color w:val="000000"/>
          <w:sz w:val="20"/>
          <w:szCs w:val="20"/>
        </w:rPr>
        <w:t>. To illustrate this, gnomAD (which is depleted for individuals with rar</w:t>
      </w:r>
      <w:r>
        <w:rPr>
          <w:color w:val="000000"/>
          <w:sz w:val="20"/>
          <w:szCs w:val="20"/>
        </w:rPr>
        <w:t>e childhood diseases) contains known pathogenic variants in haploinsufficient genes (</w:t>
      </w:r>
      <w:r>
        <w:rPr>
          <w:i/>
          <w:color w:val="000000"/>
          <w:sz w:val="20"/>
          <w:szCs w:val="20"/>
        </w:rPr>
        <w:t>RB1</w:t>
      </w:r>
      <w:r>
        <w:rPr>
          <w:color w:val="000000"/>
          <w:sz w:val="20"/>
          <w:szCs w:val="20"/>
        </w:rPr>
        <w:t xml:space="preserve">, </w:t>
      </w:r>
      <w:r>
        <w:rPr>
          <w:i/>
          <w:color w:val="000000"/>
          <w:sz w:val="20"/>
          <w:szCs w:val="20"/>
        </w:rPr>
        <w:t>APC)</w:t>
      </w:r>
      <w:r>
        <w:rPr>
          <w:color w:val="000000"/>
          <w:sz w:val="20"/>
          <w:szCs w:val="20"/>
        </w:rPr>
        <w:t xml:space="preserve">. Indeed, incomplete penetrance is not uncommon; several examples exist whereby pathogenic variants do not always present clinically in the individuals who carry </w:t>
      </w:r>
      <w:r>
        <w:rPr>
          <w:color w:val="000000"/>
          <w:sz w:val="20"/>
          <w:szCs w:val="20"/>
        </w:rPr>
        <w:t>them (</w:t>
      </w:r>
      <w:r>
        <w:rPr>
          <w:b/>
          <w:color w:val="000000"/>
          <w:sz w:val="20"/>
          <w:szCs w:val="20"/>
        </w:rPr>
        <w:t>Table 3</w:t>
      </w:r>
      <w:r>
        <w:rPr>
          <w:color w:val="000000"/>
          <w:sz w:val="20"/>
          <w:szCs w:val="20"/>
        </w:rPr>
        <w:t>)</w:t>
      </w:r>
      <w:r>
        <w:rPr>
          <w:color w:val="000000"/>
          <w:sz w:val="20"/>
          <w:szCs w:val="20"/>
        </w:rPr>
        <w:fldChar w:fldCharType="begin"/>
      </w:r>
      <w:r>
        <w:rPr>
          <w:color w:val="000000"/>
          <w:sz w:val="20"/>
          <w:szCs w:val="20"/>
        </w:rPr>
        <w:instrText xml:space="preserve"> ADDIN EN.CITE &lt;EndNote&gt;&lt;Cite&gt;&lt;Author&gt;Chen&lt;/Author&gt;&lt;Year&gt;2016&lt;/Year&gt;&lt;RecNum&gt;12&lt;/RecNum&gt;&lt;DisplayText&gt;[97]&lt;/DisplayText&gt;&lt;record&gt;&lt;rec-number&gt;12&lt;/rec-number&gt;&lt;foreign-keys&gt;&lt;key app="EN" db-id="d0vstffei2ze5sew5fwxp0dq9zxs5pvvsxpv" timestamp="15798</w:instrText>
      </w:r>
      <w:r>
        <w:rPr>
          <w:color w:val="000000"/>
          <w:sz w:val="20"/>
          <w:szCs w:val="20"/>
        </w:rPr>
        <w:instrText>50303"&gt;12&lt;/key&gt;&lt;/foreign-keys&gt;&lt;ref-type name="Journal Article"&gt;17&lt;/ref-type&gt;&lt;contributors&gt;&lt;authors&gt;&lt;author&gt;Chen, Rong&lt;/author&gt;&lt;author&gt;Shi, Lisong&lt;/author&gt;&lt;author&gt;Hakenberg, Jörg&lt;/author&gt;&lt;author&gt;Naughton, Brian&lt;/author&gt;&lt;author&gt;Sklar, Pamela&lt;/author&gt;&lt;author&gt;</w:instrText>
      </w:r>
      <w:r>
        <w:rPr>
          <w:color w:val="000000"/>
          <w:sz w:val="20"/>
          <w:szCs w:val="20"/>
        </w:rPr>
        <w:instrText>Zhang, Jianguo&lt;/author&gt;&lt;author&gt;Zhou, Hanlin&lt;/author&gt;&lt;author&gt;Tian, Lifeng&lt;/author&gt;&lt;author&gt;Prakash, Om&lt;/author&gt;&lt;author&gt;Lemire, Mathieu&lt;/author&gt;&lt;/authors&gt;&lt;/contributors&gt;&lt;titles&gt;&lt;title&gt;Analysis of 589,306 genomes identifies individuals resilient to severe Mend</w:instrText>
      </w:r>
      <w:r>
        <w:rPr>
          <w:color w:val="000000"/>
          <w:sz w:val="20"/>
          <w:szCs w:val="20"/>
        </w:rPr>
        <w:instrText>elian childhood diseases&lt;/title&gt;&lt;secondary-title&gt;Nature biotechnology&lt;/secondary-title&gt;&lt;/titles&gt;&lt;periodical&gt;&lt;full-title&gt;Nature biotechnology&lt;/full-title&gt;&lt;/periodical&gt;&lt;pages&gt;531&lt;/pages&gt;&lt;volume&gt;34&lt;/volume&gt;&lt;number&gt;5&lt;/number&gt;&lt;dates&gt;&lt;year&gt;2016&lt;/year&gt;&lt;/dates&gt;&lt;is</w:instrText>
      </w:r>
      <w:r>
        <w:rPr>
          <w:color w:val="000000"/>
          <w:sz w:val="20"/>
          <w:szCs w:val="20"/>
        </w:rPr>
        <w:instrText>bn&gt;1546-1696&lt;/isbn&gt;&lt;urls&gt;&lt;/urls&gt;&lt;/record&gt;&lt;/Cite&gt;&lt;/EndNote&gt;</w:instrText>
      </w:r>
      <w:r>
        <w:rPr>
          <w:color w:val="000000"/>
          <w:sz w:val="20"/>
          <w:szCs w:val="20"/>
        </w:rPr>
        <w:fldChar w:fldCharType="separate"/>
      </w:r>
      <w:r>
        <w:rPr>
          <w:noProof/>
          <w:color w:val="000000"/>
          <w:sz w:val="20"/>
          <w:szCs w:val="20"/>
        </w:rPr>
        <w:t>[97]</w:t>
      </w:r>
      <w:r>
        <w:rPr>
          <w:color w:val="000000"/>
          <w:sz w:val="20"/>
          <w:szCs w:val="20"/>
        </w:rPr>
        <w:fldChar w:fldCharType="end"/>
      </w:r>
      <w:r>
        <w:rPr>
          <w:color w:val="000000"/>
          <w:sz w:val="20"/>
          <w:szCs w:val="20"/>
        </w:rPr>
        <w:t>.</w:t>
      </w:r>
    </w:p>
    <w:p w:rsidR="00877997" w:rsidRDefault="00877997">
      <w:pPr>
        <w:rPr>
          <w:color w:val="000000"/>
          <w:sz w:val="20"/>
          <w:szCs w:val="20"/>
        </w:rPr>
      </w:pPr>
    </w:p>
    <w:p w:rsidR="00877997" w:rsidRDefault="00CB0676">
      <w:pPr>
        <w:rPr>
          <w:bCs/>
          <w:color w:val="000000"/>
          <w:sz w:val="20"/>
          <w:szCs w:val="20"/>
        </w:rPr>
      </w:pPr>
      <w:r>
        <w:rPr>
          <w:b/>
          <w:bCs/>
          <w:color w:val="000000"/>
          <w:sz w:val="20"/>
          <w:szCs w:val="20"/>
        </w:rPr>
        <w:t xml:space="preserve">Table 3 | </w:t>
      </w:r>
      <w:r>
        <w:rPr>
          <w:bCs/>
          <w:color w:val="000000"/>
          <w:sz w:val="20"/>
          <w:szCs w:val="20"/>
        </w:rPr>
        <w:t>Examples of incompletely penetrant genes.</w:t>
      </w:r>
    </w:p>
    <w:p w:rsidR="00877997" w:rsidRDefault="00877997">
      <w:pPr>
        <w:rPr>
          <w:bCs/>
          <w:color w:val="000000"/>
          <w:sz w:val="20"/>
          <w:szCs w:val="20"/>
        </w:rPr>
      </w:pPr>
    </w:p>
    <w:tbl>
      <w:tblPr>
        <w:tblStyle w:val="PlainTable3"/>
        <w:tblW w:w="9895" w:type="dxa"/>
        <w:tblLook w:val="04A0" w:firstRow="1" w:lastRow="0" w:firstColumn="1" w:lastColumn="0" w:noHBand="0" w:noVBand="1"/>
      </w:tblPr>
      <w:tblGrid>
        <w:gridCol w:w="2070"/>
        <w:gridCol w:w="2397"/>
        <w:gridCol w:w="5428"/>
      </w:tblGrid>
      <w:tr w:rsidR="00877997" w:rsidTr="008779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rsidR="00877997" w:rsidRDefault="00CB0676">
            <w:pPr>
              <w:rPr>
                <w:b w:val="0"/>
                <w:bCs w:val="0"/>
                <w:color w:val="000000"/>
                <w:sz w:val="16"/>
                <w:szCs w:val="16"/>
              </w:rPr>
            </w:pPr>
            <w:r>
              <w:rPr>
                <w:b w:val="0"/>
                <w:bCs w:val="0"/>
                <w:color w:val="000000"/>
                <w:sz w:val="16"/>
                <w:szCs w:val="16"/>
              </w:rPr>
              <w:t>Gene(s)</w:t>
            </w:r>
          </w:p>
        </w:tc>
        <w:tc>
          <w:tcPr>
            <w:tcW w:w="2397" w:type="dxa"/>
          </w:tcPr>
          <w:p w:rsidR="00877997" w:rsidRDefault="00CB0676">
            <w:pP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b w:val="0"/>
                <w:bCs w:val="0"/>
                <w:color w:val="000000"/>
                <w:sz w:val="16"/>
                <w:szCs w:val="16"/>
              </w:rPr>
              <w:t>Phenotype</w:t>
            </w:r>
          </w:p>
        </w:tc>
        <w:tc>
          <w:tcPr>
            <w:tcW w:w="5428" w:type="dxa"/>
          </w:tcPr>
          <w:p w:rsidR="00877997" w:rsidRDefault="00CB0676">
            <w:pP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b w:val="0"/>
                <w:bCs w:val="0"/>
                <w:color w:val="000000"/>
                <w:sz w:val="16"/>
                <w:szCs w:val="16"/>
              </w:rPr>
              <w:t>Paper</w:t>
            </w:r>
          </w:p>
        </w:tc>
      </w:tr>
      <w:tr w:rsidR="00877997" w:rsidTr="0087799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070" w:type="dxa"/>
          </w:tcPr>
          <w:p w:rsidR="00877997" w:rsidRDefault="00CB0676">
            <w:pPr>
              <w:rPr>
                <w:b w:val="0"/>
                <w:i/>
                <w:color w:val="000000"/>
                <w:sz w:val="16"/>
                <w:szCs w:val="16"/>
              </w:rPr>
            </w:pPr>
            <w:r>
              <w:rPr>
                <w:b w:val="0"/>
                <w:i/>
                <w:color w:val="000000"/>
                <w:sz w:val="16"/>
                <w:szCs w:val="16"/>
              </w:rPr>
              <w:t>CX46</w:t>
            </w:r>
          </w:p>
        </w:tc>
        <w:tc>
          <w:tcPr>
            <w:tcW w:w="2397" w:type="dxa"/>
          </w:tcPr>
          <w:p w:rsidR="00877997" w:rsidRDefault="00CB0676">
            <w:pP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Congenital cataract</w:t>
            </w:r>
          </w:p>
        </w:tc>
        <w:tc>
          <w:tcPr>
            <w:tcW w:w="5428" w:type="dxa"/>
          </w:tcPr>
          <w:p w:rsidR="00877997" w:rsidRDefault="00CB0676">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Shawky</w:t>
            </w:r>
            <w:r>
              <w:rPr>
                <w:rStyle w:val="Hyperlink"/>
                <w:color w:val="000000"/>
                <w:sz w:val="16"/>
                <w:szCs w:val="16"/>
                <w:u w:val="none"/>
              </w:rPr>
              <w:t xml:space="preserve"> </w:t>
            </w:r>
            <w:r>
              <w:rPr>
                <w:rStyle w:val="Hyperlink"/>
                <w:i/>
                <w:color w:val="000000"/>
                <w:sz w:val="16"/>
                <w:szCs w:val="16"/>
                <w:u w:val="none"/>
              </w:rPr>
              <w:t>et al</w:t>
            </w:r>
            <w:r>
              <w:rPr>
                <w:rStyle w:val="Hyperlink"/>
                <w:color w:val="000000"/>
                <w:sz w:val="16"/>
                <w:szCs w:val="16"/>
                <w:u w:val="none"/>
              </w:rPr>
              <w:t>.</w:t>
            </w:r>
            <w:r>
              <w:rPr>
                <w:rStyle w:val="Hyperlink"/>
                <w:color w:val="000000"/>
                <w:sz w:val="16"/>
                <w:szCs w:val="16"/>
                <w:u w:val="none"/>
              </w:rPr>
              <w:fldChar w:fldCharType="begin"/>
            </w:r>
            <w:r>
              <w:rPr>
                <w:rStyle w:val="Hyperlink"/>
                <w:color w:val="000000"/>
                <w:sz w:val="16"/>
                <w:szCs w:val="16"/>
                <w:u w:val="none"/>
              </w:rPr>
              <w:instrText xml:space="preserve"> ADDIN EN.CITE &lt;EndNote&gt;&lt;Cite&gt;&lt;Author&gt;Shawky&lt;/Author&gt;&lt;Year&gt;2014&lt;/Year&gt;&lt;RecNum&gt;72&lt;/RecNum&gt;&lt;DisplayText&gt;[98]&lt;/DisplayText&gt;&lt;record&gt;&lt;rec-number&gt;72&lt;/rec-number&gt;&lt;foreign-keys&gt;&lt;key app="EN" db-id="d0vstffei2ze5sew5fwxp0dq9zxs5pvvsxpv" timestamp="1580031962"&gt;72&lt;/k</w:instrText>
            </w:r>
            <w:r>
              <w:rPr>
                <w:rStyle w:val="Hyperlink"/>
                <w:color w:val="000000"/>
                <w:sz w:val="16"/>
                <w:szCs w:val="16"/>
                <w:u w:val="none"/>
              </w:rPr>
              <w:instrText>ey&gt;&lt;/foreign-keys&gt;&lt;ref-type name="Journal Article"&gt;17&lt;/ref-type&gt;&lt;contributors&gt;&lt;authors&gt;&lt;author&gt;Shawky, Rabah M&lt;/author&gt;&lt;/authors&gt;&lt;/contributors&gt;&lt;titles&gt;&lt;title&gt;Reduced penetrance in human inherited disease&lt;/title&gt;&lt;secondary-title&gt;Egyptian Journal of Medical</w:instrText>
            </w:r>
            <w:r>
              <w:rPr>
                <w:rStyle w:val="Hyperlink"/>
                <w:color w:val="000000"/>
                <w:sz w:val="16"/>
                <w:szCs w:val="16"/>
                <w:u w:val="none"/>
              </w:rPr>
              <w:instrText xml:space="preserve"> Human Genetics&lt;/secondary-title&gt;&lt;/titles&gt;&lt;periodical&gt;&lt;full-title&gt;Egyptian Journal of Medical Human Genetics&lt;/full-title&gt;&lt;/periodical&gt;&lt;pages&gt;103-111&lt;/pages&gt;&lt;volume&gt;15&lt;/volume&gt;&lt;number&gt;2&lt;/number&gt;&lt;dates&gt;&lt;year&gt;2014&lt;/year&gt;&lt;/dates&gt;&lt;isbn&gt;1110-8630&lt;/isbn&gt;&lt;urls&gt;&lt;/u</w:instrText>
            </w:r>
            <w:r>
              <w:rPr>
                <w:rStyle w:val="Hyperlink"/>
                <w:color w:val="000000"/>
                <w:sz w:val="16"/>
                <w:szCs w:val="16"/>
                <w:u w:val="none"/>
              </w:rPr>
              <w:instrText>rls&gt;&lt;/record&gt;&lt;/Cite&gt;&lt;/EndNote&gt;</w:instrText>
            </w:r>
            <w:r>
              <w:rPr>
                <w:rStyle w:val="Hyperlink"/>
                <w:color w:val="000000"/>
                <w:sz w:val="16"/>
                <w:szCs w:val="16"/>
                <w:u w:val="none"/>
              </w:rPr>
              <w:fldChar w:fldCharType="separate"/>
            </w:r>
            <w:r>
              <w:rPr>
                <w:rStyle w:val="Hyperlink"/>
                <w:noProof/>
                <w:color w:val="000000"/>
                <w:sz w:val="16"/>
                <w:szCs w:val="16"/>
                <w:u w:val="none"/>
              </w:rPr>
              <w:t>[98]</w:t>
            </w:r>
            <w:r>
              <w:rPr>
                <w:rStyle w:val="Hyperlink"/>
                <w:color w:val="000000"/>
                <w:sz w:val="16"/>
                <w:szCs w:val="16"/>
                <w:u w:val="none"/>
              </w:rPr>
              <w:fldChar w:fldCharType="end"/>
            </w:r>
          </w:p>
        </w:tc>
      </w:tr>
      <w:tr w:rsidR="00877997" w:rsidTr="00877997">
        <w:tc>
          <w:tcPr>
            <w:cnfStyle w:val="001000000000" w:firstRow="0" w:lastRow="0" w:firstColumn="1" w:lastColumn="0" w:oddVBand="0" w:evenVBand="0" w:oddHBand="0" w:evenHBand="0" w:firstRowFirstColumn="0" w:firstRowLastColumn="0" w:lastRowFirstColumn="0" w:lastRowLastColumn="0"/>
            <w:tcW w:w="2070" w:type="dxa"/>
          </w:tcPr>
          <w:p w:rsidR="00877997" w:rsidRDefault="00CB0676">
            <w:pPr>
              <w:rPr>
                <w:b w:val="0"/>
                <w:bCs w:val="0"/>
                <w:i/>
                <w:color w:val="000000"/>
                <w:sz w:val="16"/>
                <w:szCs w:val="16"/>
              </w:rPr>
            </w:pPr>
            <w:r>
              <w:rPr>
                <w:b w:val="0"/>
                <w:bCs w:val="0"/>
                <w:i/>
                <w:color w:val="000000"/>
                <w:sz w:val="16"/>
                <w:szCs w:val="16"/>
              </w:rPr>
              <w:t>ASXL1</w:t>
            </w:r>
          </w:p>
        </w:tc>
        <w:tc>
          <w:tcPr>
            <w:tcW w:w="2397"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Bohring-Opitz syndrome</w:t>
            </w:r>
          </w:p>
        </w:tc>
        <w:tc>
          <w:tcPr>
            <w:tcW w:w="5428"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Ropers</w:t>
            </w:r>
            <w:r>
              <w:rPr>
                <w:rStyle w:val="Hyperlink"/>
                <w:color w:val="000000"/>
                <w:sz w:val="16"/>
                <w:szCs w:val="16"/>
                <w:u w:val="none"/>
              </w:rPr>
              <w:t xml:space="preserve"> </w:t>
            </w:r>
            <w:r>
              <w:rPr>
                <w:rStyle w:val="Hyperlink"/>
                <w:i/>
                <w:color w:val="000000"/>
                <w:sz w:val="16"/>
                <w:szCs w:val="16"/>
                <w:u w:val="none"/>
              </w:rPr>
              <w:t>et al.</w:t>
            </w:r>
            <w:r>
              <w:rPr>
                <w:rStyle w:val="Hyperlink"/>
                <w:color w:val="000000"/>
                <w:sz w:val="16"/>
                <w:szCs w:val="16"/>
                <w:u w:val="none"/>
              </w:rPr>
              <w:fldChar w:fldCharType="begin"/>
            </w:r>
            <w:r>
              <w:rPr>
                <w:rStyle w:val="Hyperlink"/>
                <w:color w:val="000000"/>
                <w:sz w:val="16"/>
                <w:szCs w:val="16"/>
                <w:u w:val="none"/>
              </w:rPr>
              <w:instrText xml:space="preserve"> ADDIN EN.CITE &lt;EndNote&gt;&lt;Cite&gt;&lt;Author&gt;Ropers&lt;/Author&gt;&lt;Year&gt;2015&lt;/Year&gt;&lt;RecNum&gt;73&lt;/RecNum&gt;&lt;DisplayText&gt;[99]&lt;/DisplayText&gt;&lt;record&gt;&lt;rec-number&gt;73&lt;/rec-number&gt;&lt;foreign-keys&gt;&lt;key app="EN" db-id="d0vstffei2ze5sew5fwxp0dq9zxs5pvvsxpv" timestamp="1580032045"&gt;73&lt;/k</w:instrText>
            </w:r>
            <w:r>
              <w:rPr>
                <w:rStyle w:val="Hyperlink"/>
                <w:color w:val="000000"/>
                <w:sz w:val="16"/>
                <w:szCs w:val="16"/>
                <w:u w:val="none"/>
              </w:rPr>
              <w:instrText>ey&gt;&lt;/foreign-keys&gt;&lt;ref-type name="Journal Article"&gt;17&lt;/ref-type&gt;&lt;contributors&gt;&lt;authors&gt;&lt;author&gt;Ropers, H Hilger&lt;/author&gt;&lt;author&gt;Wienker, Thomas&lt;/author&gt;&lt;/authors&gt;&lt;/contributors&gt;&lt;titles&gt;&lt;title&gt;Penetrance of pathogenic mutations in haploinsufficient genes fo</w:instrText>
            </w:r>
            <w:r>
              <w:rPr>
                <w:rStyle w:val="Hyperlink"/>
                <w:color w:val="000000"/>
                <w:sz w:val="16"/>
                <w:szCs w:val="16"/>
                <w:u w:val="none"/>
              </w:rPr>
              <w:instrText>r intellectual disability and related disorders&lt;/title&gt;&lt;secondary-title&gt;European journal of medical genetics&lt;/secondary-title&gt;&lt;/titles&gt;&lt;periodical&gt;&lt;full-title&gt;European journal of medical genetics&lt;/full-title&gt;&lt;/periodical&gt;&lt;pages&gt;715-718&lt;/pages&gt;&lt;volume&gt;58&lt;/v</w:instrText>
            </w:r>
            <w:r>
              <w:rPr>
                <w:rStyle w:val="Hyperlink"/>
                <w:color w:val="000000"/>
                <w:sz w:val="16"/>
                <w:szCs w:val="16"/>
                <w:u w:val="none"/>
              </w:rPr>
              <w:instrText>olume&gt;&lt;number&gt;12&lt;/number&gt;&lt;dates&gt;&lt;year&gt;2015&lt;/year&gt;&lt;/dates&gt;&lt;isbn&gt;1769-7212&lt;/isbn&gt;&lt;urls&gt;&lt;/urls&gt;&lt;/record&gt;&lt;/Cite&gt;&lt;/EndNote&gt;</w:instrText>
            </w:r>
            <w:r>
              <w:rPr>
                <w:rStyle w:val="Hyperlink"/>
                <w:color w:val="000000"/>
                <w:sz w:val="16"/>
                <w:szCs w:val="16"/>
                <w:u w:val="none"/>
              </w:rPr>
              <w:fldChar w:fldCharType="separate"/>
            </w:r>
            <w:r>
              <w:rPr>
                <w:rStyle w:val="Hyperlink"/>
                <w:noProof/>
                <w:color w:val="000000"/>
                <w:sz w:val="16"/>
                <w:szCs w:val="16"/>
                <w:u w:val="none"/>
              </w:rPr>
              <w:t>[99]</w:t>
            </w:r>
            <w:r>
              <w:rPr>
                <w:rStyle w:val="Hyperlink"/>
                <w:color w:val="000000"/>
                <w:sz w:val="16"/>
                <w:szCs w:val="16"/>
                <w:u w:val="none"/>
              </w:rPr>
              <w:fldChar w:fldCharType="end"/>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77997" w:rsidRDefault="00CB0676">
            <w:pPr>
              <w:rPr>
                <w:b w:val="0"/>
                <w:bCs w:val="0"/>
                <w:i/>
                <w:color w:val="000000"/>
                <w:sz w:val="16"/>
                <w:szCs w:val="16"/>
              </w:rPr>
            </w:pPr>
            <w:r>
              <w:rPr>
                <w:b w:val="0"/>
                <w:bCs w:val="0"/>
                <w:i/>
                <w:color w:val="000000"/>
                <w:sz w:val="16"/>
                <w:szCs w:val="16"/>
              </w:rPr>
              <w:t>NF1</w:t>
            </w:r>
          </w:p>
        </w:tc>
        <w:tc>
          <w:tcPr>
            <w:tcW w:w="2397" w:type="dxa"/>
          </w:tcPr>
          <w:p w:rsidR="00877997" w:rsidRDefault="00CB0676">
            <w:pP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Neurofibromatosis type 1</w:t>
            </w:r>
          </w:p>
        </w:tc>
        <w:tc>
          <w:tcPr>
            <w:tcW w:w="5428" w:type="dxa"/>
          </w:tcPr>
          <w:p w:rsidR="00877997" w:rsidRDefault="00CB0676">
            <w:pPr>
              <w:cnfStyle w:val="000000100000" w:firstRow="0" w:lastRow="0" w:firstColumn="0" w:lastColumn="0" w:oddVBand="0" w:evenVBand="0" w:oddHBand="1" w:evenHBand="0" w:firstRowFirstColumn="0" w:firstRowLastColumn="0" w:lastRowFirstColumn="0" w:lastRowLastColumn="0"/>
              <w:rPr>
                <w:color w:val="000000"/>
                <w:sz w:val="16"/>
                <w:szCs w:val="16"/>
              </w:rPr>
            </w:pPr>
            <w:r>
              <w:rPr>
                <w:rStyle w:val="Hyperlink"/>
                <w:color w:val="000000"/>
                <w:sz w:val="16"/>
                <w:szCs w:val="16"/>
                <w:u w:val="none"/>
              </w:rPr>
              <w:t xml:space="preserve">Fahsold </w:t>
            </w:r>
            <w:r>
              <w:rPr>
                <w:rStyle w:val="Hyperlink"/>
                <w:i/>
                <w:color w:val="000000"/>
                <w:sz w:val="16"/>
                <w:szCs w:val="16"/>
                <w:u w:val="none"/>
              </w:rPr>
              <w:t>et al</w:t>
            </w:r>
            <w:r>
              <w:rPr>
                <w:rStyle w:val="Hyperlink"/>
                <w:color w:val="000000"/>
                <w:sz w:val="16"/>
                <w:szCs w:val="16"/>
                <w:u w:val="none"/>
              </w:rPr>
              <w:t>.</w:t>
            </w:r>
            <w:r>
              <w:rPr>
                <w:rStyle w:val="Hyperlink"/>
                <w:color w:val="000000"/>
                <w:sz w:val="16"/>
                <w:szCs w:val="16"/>
                <w:u w:val="none"/>
              </w:rPr>
              <w:fldChar w:fldCharType="begin"/>
            </w:r>
            <w:r>
              <w:rPr>
                <w:rStyle w:val="Hyperlink"/>
                <w:color w:val="000000"/>
                <w:sz w:val="16"/>
                <w:szCs w:val="16"/>
                <w:u w:val="none"/>
              </w:rPr>
              <w:instrText xml:space="preserve"> ADDIN EN.CITE &lt;EndNote&gt;&lt;Cite&gt;&lt;Author&gt;Fahsold&lt;/Author&gt;&lt;Year&gt;2000&lt;/Year&gt;&lt;RecNum&gt;74&lt;/Rec</w:instrText>
            </w:r>
            <w:r>
              <w:rPr>
                <w:rStyle w:val="Hyperlink"/>
                <w:color w:val="000000"/>
                <w:sz w:val="16"/>
                <w:szCs w:val="16"/>
                <w:u w:val="none"/>
              </w:rPr>
              <w:instrText>Num&gt;&lt;DisplayText&gt;[100]&lt;/DisplayText&gt;&lt;record&gt;&lt;rec-number&gt;74&lt;/rec-number&gt;&lt;foreign-keys&gt;&lt;key app="EN" db-id="d0vstffei2ze5sew5fwxp0dq9zxs5pvvsxpv" timestamp="1580032114"&gt;74&lt;/key&gt;&lt;/foreign-keys&gt;&lt;ref-type name="Journal Article"&gt;17&lt;/ref-type&gt;&lt;contributors&gt;&lt;autho</w:instrText>
            </w:r>
            <w:r>
              <w:rPr>
                <w:rStyle w:val="Hyperlink"/>
                <w:color w:val="000000"/>
                <w:sz w:val="16"/>
                <w:szCs w:val="16"/>
                <w:u w:val="none"/>
              </w:rPr>
              <w:instrText>rs&gt;&lt;author&gt;Fahsold, Raimund&lt;/author&gt;&lt;author&gt;Hoffmeyer, Sven&lt;/author&gt;&lt;author&gt;Mischung, Claudia&lt;/author&gt;&lt;author&gt;Gille, Christoph&lt;/author&gt;&lt;author&gt;Ehlers, Christian&lt;/author&gt;&lt;author&gt;Kücükceylan, Nazan&lt;/author&gt;&lt;author&gt;Abdel-Nour, Maher&lt;/author&gt;&lt;author&gt;Gewies, An</w:instrText>
            </w:r>
            <w:r>
              <w:rPr>
                <w:rStyle w:val="Hyperlink"/>
                <w:color w:val="000000"/>
                <w:sz w:val="16"/>
                <w:szCs w:val="16"/>
                <w:u w:val="none"/>
              </w:rPr>
              <w:instrText>dreas&lt;/author&gt;&lt;author&gt;Peters, Hartmut&lt;/author&gt;&lt;author&gt;Kaufmann, Dieter&lt;/author&gt;&lt;/authors&gt;&lt;/contributors&gt;&lt;titles&gt;&lt;title&gt;Minor lesion mutational spectrum of the entire NF1 gene does not explain its high mutability but points to a functional domain upstream o</w:instrText>
            </w:r>
            <w:r>
              <w:rPr>
                <w:rStyle w:val="Hyperlink"/>
                <w:color w:val="000000"/>
                <w:sz w:val="16"/>
                <w:szCs w:val="16"/>
                <w:u w:val="none"/>
              </w:rPr>
              <w:instrText>f the GAP-related domain&lt;/title&gt;&lt;secondary-title&gt;The American Journal of Human Genetics&lt;/secondary-title&gt;&lt;/titles&gt;&lt;periodical&gt;&lt;full-title&gt;The American Journal of Human Genetics&lt;/full-title&gt;&lt;/periodical&gt;&lt;pages&gt;790-818&lt;/pages&gt;&lt;volume&gt;66&lt;/volume&gt;&lt;number&gt;3&lt;/nu</w:instrText>
            </w:r>
            <w:r>
              <w:rPr>
                <w:rStyle w:val="Hyperlink"/>
                <w:color w:val="000000"/>
                <w:sz w:val="16"/>
                <w:szCs w:val="16"/>
                <w:u w:val="none"/>
              </w:rPr>
              <w:instrText>mber&gt;&lt;dates&gt;&lt;year&gt;2000&lt;/year&gt;&lt;/dates&gt;&lt;isbn&gt;0002-9297&lt;/isbn&gt;&lt;urls&gt;&lt;/urls&gt;&lt;/record&gt;&lt;/Cite&gt;&lt;/EndNote&gt;</w:instrText>
            </w:r>
            <w:r>
              <w:rPr>
                <w:rStyle w:val="Hyperlink"/>
                <w:color w:val="000000"/>
                <w:sz w:val="16"/>
                <w:szCs w:val="16"/>
                <w:u w:val="none"/>
              </w:rPr>
              <w:fldChar w:fldCharType="separate"/>
            </w:r>
            <w:r>
              <w:rPr>
                <w:rStyle w:val="Hyperlink"/>
                <w:noProof/>
                <w:color w:val="000000"/>
                <w:sz w:val="16"/>
                <w:szCs w:val="16"/>
                <w:u w:val="none"/>
              </w:rPr>
              <w:t>[100]</w:t>
            </w:r>
            <w:r>
              <w:rPr>
                <w:rStyle w:val="Hyperlink"/>
                <w:color w:val="000000"/>
                <w:sz w:val="16"/>
                <w:szCs w:val="16"/>
                <w:u w:val="none"/>
              </w:rPr>
              <w:fldChar w:fldCharType="end"/>
            </w:r>
            <w:r>
              <w:rPr>
                <w:rStyle w:val="Hyperlink"/>
                <w:color w:val="000000"/>
                <w:sz w:val="16"/>
                <w:szCs w:val="16"/>
                <w:u w:val="none"/>
              </w:rPr>
              <w:t xml:space="preserve"> </w:t>
            </w:r>
          </w:p>
        </w:tc>
      </w:tr>
      <w:tr w:rsidR="00877997" w:rsidTr="00877997">
        <w:tc>
          <w:tcPr>
            <w:cnfStyle w:val="001000000000" w:firstRow="0" w:lastRow="0" w:firstColumn="1" w:lastColumn="0" w:oddVBand="0" w:evenVBand="0" w:oddHBand="0" w:evenHBand="0" w:firstRowFirstColumn="0" w:firstRowLastColumn="0" w:lastRowFirstColumn="0" w:lastRowLastColumn="0"/>
            <w:tcW w:w="2070" w:type="dxa"/>
          </w:tcPr>
          <w:p w:rsidR="00877997" w:rsidRDefault="00CB0676">
            <w:pPr>
              <w:rPr>
                <w:b w:val="0"/>
                <w:bCs w:val="0"/>
                <w:i/>
                <w:color w:val="000000"/>
                <w:sz w:val="16"/>
                <w:szCs w:val="16"/>
              </w:rPr>
            </w:pPr>
            <w:r>
              <w:rPr>
                <w:b w:val="0"/>
                <w:bCs w:val="0"/>
                <w:i/>
                <w:color w:val="000000"/>
                <w:sz w:val="16"/>
                <w:szCs w:val="16"/>
              </w:rPr>
              <w:t>CFH, CFI, CFB, C3, MCB</w:t>
            </w:r>
          </w:p>
        </w:tc>
        <w:tc>
          <w:tcPr>
            <w:tcW w:w="2397" w:type="dxa"/>
          </w:tcPr>
          <w:p w:rsidR="00877997" w:rsidRDefault="00CB0676">
            <w:pPr>
              <w:cnfStyle w:val="000000000000" w:firstRow="0" w:lastRow="0" w:firstColumn="0" w:lastColumn="0" w:oddVBand="0" w:evenVBand="0" w:oddHBand="0" w:evenHBand="0" w:firstRowFirstColumn="0" w:firstRowLastColumn="0" w:lastRowFirstColumn="0" w:lastRowLastColumn="0"/>
              <w:rPr>
                <w:bCs/>
                <w:color w:val="000000"/>
                <w:sz w:val="16"/>
                <w:szCs w:val="16"/>
              </w:rPr>
            </w:pPr>
            <w:r>
              <w:rPr>
                <w:bCs/>
                <w:color w:val="000000"/>
                <w:sz w:val="16"/>
                <w:szCs w:val="16"/>
              </w:rPr>
              <w:t>Atypical haemolytic syndrome</w:t>
            </w:r>
          </w:p>
        </w:tc>
        <w:tc>
          <w:tcPr>
            <w:tcW w:w="5428"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Bresin</w:t>
            </w:r>
            <w:r>
              <w:rPr>
                <w:rStyle w:val="Hyperlink"/>
                <w:color w:val="000000"/>
                <w:sz w:val="16"/>
                <w:szCs w:val="16"/>
                <w:u w:val="none"/>
              </w:rPr>
              <w:t xml:space="preserve"> </w:t>
            </w:r>
            <w:r>
              <w:rPr>
                <w:rStyle w:val="Hyperlink"/>
                <w:i/>
                <w:color w:val="000000"/>
                <w:sz w:val="16"/>
                <w:szCs w:val="16"/>
                <w:u w:val="none"/>
              </w:rPr>
              <w:t>et al</w:t>
            </w:r>
            <w:r>
              <w:rPr>
                <w:rStyle w:val="Hyperlink"/>
                <w:color w:val="000000"/>
                <w:sz w:val="16"/>
                <w:szCs w:val="16"/>
                <w:u w:val="none"/>
              </w:rPr>
              <w:t>.</w:t>
            </w:r>
            <w:r>
              <w:rPr>
                <w:rStyle w:val="Hyperlink"/>
                <w:color w:val="000000"/>
                <w:sz w:val="16"/>
                <w:szCs w:val="16"/>
                <w:u w:val="none"/>
              </w:rPr>
              <w:fldChar w:fldCharType="begin"/>
            </w:r>
            <w:r>
              <w:rPr>
                <w:rStyle w:val="Hyperlink"/>
                <w:color w:val="000000"/>
                <w:sz w:val="16"/>
                <w:szCs w:val="16"/>
                <w:u w:val="none"/>
              </w:rPr>
              <w:instrText xml:space="preserve"> ADDIN EN.CITE &lt;EndNote&gt;&lt;Cite&gt;&lt;Author&gt;Bresin&lt;/Author&gt;&lt;Year&gt;2013&lt;/Year&gt;&lt;RecNum&gt;75&lt;/</w:instrText>
            </w:r>
            <w:r>
              <w:rPr>
                <w:rStyle w:val="Hyperlink"/>
                <w:color w:val="000000"/>
                <w:sz w:val="16"/>
                <w:szCs w:val="16"/>
                <w:u w:val="none"/>
              </w:rPr>
              <w:instrText>RecNum&gt;&lt;DisplayText&gt;[101]&lt;/DisplayText&gt;&lt;record&gt;&lt;rec-number&gt;75&lt;/rec-number&gt;&lt;foreign-keys&gt;&lt;key app="EN" db-id="d0vstffei2ze5sew5fwxp0dq9zxs5pvvsxpv" timestamp="1580032197"&gt;75&lt;/key&gt;&lt;/foreign-keys&gt;&lt;ref-type name="Journal Article"&gt;17&lt;/ref-type&gt;&lt;contributors&gt;&lt;au</w:instrText>
            </w:r>
            <w:r>
              <w:rPr>
                <w:rStyle w:val="Hyperlink"/>
                <w:color w:val="000000"/>
                <w:sz w:val="16"/>
                <w:szCs w:val="16"/>
                <w:u w:val="none"/>
              </w:rPr>
              <w:instrText>thors&gt;&lt;author&gt;Bresin, Elena&lt;/author&gt;&lt;author&gt;Rurali, Erica&lt;/author&gt;&lt;author&gt;Caprioli, Jessica&lt;/author&gt;&lt;author&gt;Sanchez-Corral, Pilar&lt;/author&gt;&lt;author&gt;Fremeaux-Bacchi, Veronique&lt;/author&gt;&lt;author&gt;De Cordoba, Santiago Rodriguez&lt;/author&gt;&lt;author&gt;Pinto, Sheila&lt;/autho</w:instrText>
            </w:r>
            <w:r>
              <w:rPr>
                <w:rStyle w:val="Hyperlink"/>
                <w:color w:val="000000"/>
                <w:sz w:val="16"/>
                <w:szCs w:val="16"/>
                <w:u w:val="none"/>
              </w:rPr>
              <w:instrText>r&gt;&lt;author&gt;Goodship, Timothy HJ&lt;/author&gt;&lt;author&gt;Alberti, Marta&lt;/author&gt;&lt;author&gt;Ribes, David&lt;/author&gt;&lt;/authors&gt;&lt;/contributors&gt;&lt;titles&gt;&lt;title&gt;Combined complement gene mutations in atypical hemolytic uremic syndrome influence clinical phenotype&lt;/title&gt;&lt;seconda</w:instrText>
            </w:r>
            <w:r>
              <w:rPr>
                <w:rStyle w:val="Hyperlink"/>
                <w:color w:val="000000"/>
                <w:sz w:val="16"/>
                <w:szCs w:val="16"/>
                <w:u w:val="none"/>
              </w:rPr>
              <w:instrText>ry-title&gt;Journal of the American Society of Nephrology&lt;/secondary-title&gt;&lt;/titles&gt;&lt;periodical&gt;&lt;full-title&gt;Journal of the American Society of Nephrology&lt;/full-title&gt;&lt;/periodical&gt;&lt;pages&gt;475-486&lt;/pages&gt;&lt;volume&gt;24&lt;/volume&gt;&lt;number&gt;3&lt;/number&gt;&lt;dates&gt;&lt;year&gt;2013&lt;/ye</w:instrText>
            </w:r>
            <w:r>
              <w:rPr>
                <w:rStyle w:val="Hyperlink"/>
                <w:color w:val="000000"/>
                <w:sz w:val="16"/>
                <w:szCs w:val="16"/>
                <w:u w:val="none"/>
              </w:rPr>
              <w:instrText>ar&gt;&lt;/dates&gt;&lt;isbn&gt;1046-6673&lt;/isbn&gt;&lt;urls&gt;&lt;/urls&gt;&lt;/record&gt;&lt;/Cite&gt;&lt;/EndNote&gt;</w:instrText>
            </w:r>
            <w:r>
              <w:rPr>
                <w:rStyle w:val="Hyperlink"/>
                <w:color w:val="000000"/>
                <w:sz w:val="16"/>
                <w:szCs w:val="16"/>
                <w:u w:val="none"/>
              </w:rPr>
              <w:fldChar w:fldCharType="separate"/>
            </w:r>
            <w:r>
              <w:rPr>
                <w:rStyle w:val="Hyperlink"/>
                <w:noProof/>
                <w:color w:val="000000"/>
                <w:sz w:val="16"/>
                <w:szCs w:val="16"/>
                <w:u w:val="none"/>
              </w:rPr>
              <w:t>[101]</w:t>
            </w:r>
            <w:r>
              <w:rPr>
                <w:rStyle w:val="Hyperlink"/>
                <w:color w:val="000000"/>
                <w:sz w:val="16"/>
                <w:szCs w:val="16"/>
                <w:u w:val="none"/>
              </w:rPr>
              <w:fldChar w:fldCharType="end"/>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77997" w:rsidRDefault="00CB0676">
            <w:pPr>
              <w:rPr>
                <w:b w:val="0"/>
                <w:bCs w:val="0"/>
                <w:i/>
                <w:color w:val="000000"/>
                <w:sz w:val="16"/>
                <w:szCs w:val="16"/>
              </w:rPr>
            </w:pPr>
            <w:r>
              <w:rPr>
                <w:b w:val="0"/>
                <w:bCs w:val="0"/>
                <w:i/>
                <w:color w:val="000000"/>
                <w:sz w:val="16"/>
                <w:szCs w:val="16"/>
              </w:rPr>
              <w:t>COL1A1, COL1A2</w:t>
            </w:r>
          </w:p>
        </w:tc>
        <w:tc>
          <w:tcPr>
            <w:tcW w:w="2397" w:type="dxa"/>
          </w:tcPr>
          <w:p w:rsidR="00877997" w:rsidRDefault="00CB0676">
            <w:pP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Osteogenesis imperfecta</w:t>
            </w:r>
          </w:p>
        </w:tc>
        <w:tc>
          <w:tcPr>
            <w:tcW w:w="5428" w:type="dxa"/>
          </w:tcPr>
          <w:p w:rsidR="00877997" w:rsidRDefault="00CB0676">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Veitia</w:t>
            </w:r>
            <w:r>
              <w:rPr>
                <w:rStyle w:val="Hyperlink"/>
                <w:color w:val="000000"/>
                <w:sz w:val="16"/>
                <w:szCs w:val="16"/>
                <w:u w:val="none"/>
              </w:rPr>
              <w:t xml:space="preserve"> </w:t>
            </w:r>
            <w:r>
              <w:rPr>
                <w:rStyle w:val="Hyperlink"/>
                <w:i/>
                <w:color w:val="000000"/>
                <w:sz w:val="16"/>
                <w:szCs w:val="16"/>
                <w:u w:val="none"/>
              </w:rPr>
              <w:t>et al</w:t>
            </w:r>
            <w:r>
              <w:rPr>
                <w:rStyle w:val="Hyperlink"/>
                <w:color w:val="000000"/>
                <w:sz w:val="16"/>
                <w:szCs w:val="16"/>
                <w:u w:val="none"/>
              </w:rPr>
              <w:t>.</w:t>
            </w:r>
            <w:r>
              <w:rPr>
                <w:rStyle w:val="Hyperlink"/>
                <w:color w:val="000000"/>
                <w:sz w:val="16"/>
                <w:szCs w:val="16"/>
                <w:u w:val="none"/>
              </w:rPr>
              <w:fldChar w:fldCharType="begin"/>
            </w:r>
            <w:r>
              <w:rPr>
                <w:rStyle w:val="Hyperlink"/>
                <w:color w:val="000000"/>
                <w:sz w:val="16"/>
                <w:szCs w:val="16"/>
                <w:u w:val="none"/>
              </w:rPr>
              <w:instrText xml:space="preserve"> ADDIN EN.CITE &lt;EndNote&gt;&lt;Cite&gt;&lt;Author&gt;Veitia&lt;/Author&gt;&lt;Year&gt;2018&lt;/Year&gt;&lt;RecNum&gt;76&lt;/RecNum&gt;&lt;DisplayText&gt;[102]&lt;/DisplayText&gt;&lt;</w:instrText>
            </w:r>
            <w:r>
              <w:rPr>
                <w:rStyle w:val="Hyperlink"/>
                <w:color w:val="000000"/>
                <w:sz w:val="16"/>
                <w:szCs w:val="16"/>
                <w:u w:val="none"/>
              </w:rPr>
              <w:instrText>record&gt;&lt;rec-number&gt;76&lt;/rec-number&gt;&lt;foreign-keys&gt;&lt;key app="EN" db-id="d0vstffei2ze5sew5fwxp0dq9zxs5pvvsxpv" timestamp="1580032256"&gt;76&lt;/key&gt;&lt;/foreign-keys&gt;&lt;ref-type name="Journal Article"&gt;17&lt;/ref-type&gt;&lt;contributors&gt;&lt;authors&gt;&lt;author&gt;Veitia, R.A.&lt;/author&gt;&lt;auth</w:instrText>
            </w:r>
            <w:r>
              <w:rPr>
                <w:rStyle w:val="Hyperlink"/>
                <w:color w:val="000000"/>
                <w:sz w:val="16"/>
                <w:szCs w:val="16"/>
                <w:u w:val="none"/>
              </w:rPr>
              <w:instrText>or&gt;Caburet, S.&lt;/author&gt;&lt;author&gt;Birchler, J.A.&lt;/author&gt;&lt;/authors&gt;&lt;/contributors&gt;&lt;titles&gt;&lt;title&gt;Mechanisms of Mendelian dominance&lt;/title&gt;&lt;secondary-title&gt;Clinical Genetics&lt;/secondary-title&gt;&lt;/titles&gt;&lt;periodical&gt;&lt;full-title&gt;Clinical Genetics&lt;/full-title&gt;&lt;/peri</w:instrText>
            </w:r>
            <w:r>
              <w:rPr>
                <w:rStyle w:val="Hyperlink"/>
                <w:color w:val="000000"/>
                <w:sz w:val="16"/>
                <w:szCs w:val="16"/>
                <w:u w:val="none"/>
              </w:rPr>
              <w:instrText>odical&gt;&lt;pages&gt;419-428&lt;/pages&gt;&lt;volume&gt;93&lt;/volume&gt;&lt;number&gt;3&lt;/number&gt;&lt;dates&gt;&lt;year&gt;2018&lt;/year&gt;&lt;/dates&gt;&lt;isbn&gt;0009-9163&lt;/isbn&gt;&lt;urls&gt;&lt;related-urls&gt;&lt;url&gt;https://onlinelibrary.wiley.com/doi/abs/10.1111/cge.13107&lt;/url&gt;&lt;/related-urls&gt;&lt;/urls&gt;&lt;electronic-resource-num&gt;1</w:instrText>
            </w:r>
            <w:r>
              <w:rPr>
                <w:rStyle w:val="Hyperlink"/>
                <w:color w:val="000000"/>
                <w:sz w:val="16"/>
                <w:szCs w:val="16"/>
                <w:u w:val="none"/>
              </w:rPr>
              <w:instrText>0.1111/cge.13107&lt;/electronic-resource-num&gt;&lt;/record&gt;&lt;/Cite&gt;&lt;/EndNote&gt;</w:instrText>
            </w:r>
            <w:r>
              <w:rPr>
                <w:rStyle w:val="Hyperlink"/>
                <w:color w:val="000000"/>
                <w:sz w:val="16"/>
                <w:szCs w:val="16"/>
                <w:u w:val="none"/>
              </w:rPr>
              <w:fldChar w:fldCharType="separate"/>
            </w:r>
            <w:r>
              <w:rPr>
                <w:rStyle w:val="Hyperlink"/>
                <w:noProof/>
                <w:color w:val="000000"/>
                <w:sz w:val="16"/>
                <w:szCs w:val="16"/>
                <w:u w:val="none"/>
              </w:rPr>
              <w:t>[102]</w:t>
            </w:r>
            <w:r>
              <w:rPr>
                <w:rStyle w:val="Hyperlink"/>
                <w:color w:val="000000"/>
                <w:sz w:val="16"/>
                <w:szCs w:val="16"/>
                <w:u w:val="none"/>
              </w:rPr>
              <w:fldChar w:fldCharType="end"/>
            </w:r>
          </w:p>
        </w:tc>
      </w:tr>
      <w:tr w:rsidR="00877997" w:rsidTr="00877997">
        <w:tc>
          <w:tcPr>
            <w:cnfStyle w:val="001000000000" w:firstRow="0" w:lastRow="0" w:firstColumn="1" w:lastColumn="0" w:oddVBand="0" w:evenVBand="0" w:oddHBand="0" w:evenHBand="0" w:firstRowFirstColumn="0" w:firstRowLastColumn="0" w:lastRowFirstColumn="0" w:lastRowLastColumn="0"/>
            <w:tcW w:w="2070" w:type="dxa"/>
          </w:tcPr>
          <w:p w:rsidR="00877997" w:rsidRDefault="00CB0676">
            <w:pPr>
              <w:rPr>
                <w:b w:val="0"/>
                <w:bCs w:val="0"/>
                <w:i/>
                <w:color w:val="000000"/>
                <w:sz w:val="16"/>
                <w:szCs w:val="16"/>
              </w:rPr>
            </w:pPr>
            <w:r>
              <w:rPr>
                <w:b w:val="0"/>
                <w:bCs w:val="0"/>
                <w:i/>
                <w:color w:val="000000"/>
                <w:sz w:val="16"/>
                <w:szCs w:val="16"/>
              </w:rPr>
              <w:t>LRRK2</w:t>
            </w:r>
          </w:p>
        </w:tc>
        <w:tc>
          <w:tcPr>
            <w:tcW w:w="2397" w:type="dxa"/>
          </w:tcPr>
          <w:p w:rsidR="00877997" w:rsidRDefault="00CB0676">
            <w:pPr>
              <w:cnfStyle w:val="000000000000" w:firstRow="0" w:lastRow="0" w:firstColumn="0" w:lastColumn="0" w:oddVBand="0" w:evenVBand="0" w:oddHBand="0" w:evenHBand="0" w:firstRowFirstColumn="0" w:firstRowLastColumn="0" w:lastRowFirstColumn="0" w:lastRowLastColumn="0"/>
              <w:rPr>
                <w:bCs/>
                <w:color w:val="000000"/>
                <w:sz w:val="16"/>
                <w:szCs w:val="16"/>
              </w:rPr>
            </w:pPr>
            <w:r>
              <w:rPr>
                <w:bCs/>
                <w:color w:val="000000"/>
                <w:sz w:val="16"/>
                <w:szCs w:val="16"/>
              </w:rPr>
              <w:t>Parkinsons disease</w:t>
            </w:r>
          </w:p>
        </w:tc>
        <w:tc>
          <w:tcPr>
            <w:tcW w:w="5428"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Alessi </w:t>
            </w:r>
            <w:r>
              <w:rPr>
                <w:i/>
                <w:color w:val="000000"/>
                <w:sz w:val="16"/>
                <w:szCs w:val="16"/>
              </w:rPr>
              <w:t>et al</w:t>
            </w:r>
            <w:r>
              <w:rPr>
                <w:color w:val="000000"/>
                <w:sz w:val="16"/>
                <w:szCs w:val="16"/>
              </w:rPr>
              <w:t>.</w:t>
            </w:r>
            <w:r>
              <w:rPr>
                <w:color w:val="000000"/>
                <w:sz w:val="16"/>
                <w:szCs w:val="16"/>
              </w:rPr>
              <w:fldChar w:fldCharType="begin"/>
            </w:r>
            <w:r>
              <w:rPr>
                <w:color w:val="000000"/>
                <w:sz w:val="16"/>
                <w:szCs w:val="16"/>
              </w:rPr>
              <w:instrText xml:space="preserve"> ADDIN EN.CITE &lt;EndNote&gt;&lt;Cite&gt;&lt;Author&gt;Alessi&lt;/Author&gt;&lt;Year&gt;2018&lt;/Year&gt;&lt;RecNum&gt;77&lt;/RecNum&gt;&lt;DisplayText&gt;[103]&lt;/DisplayText&gt;&lt;record&gt;&lt;rec-number&gt;77&lt;/rec-number&gt;&lt;foreign-keys&gt;&lt;key app="EN" db-id="d0vstffei2ze5sew5fwxp0dq9zxs5pvvsxpv" timestamp="1580032328"&gt;77&lt;/</w:instrText>
            </w:r>
            <w:r>
              <w:rPr>
                <w:color w:val="000000"/>
                <w:sz w:val="16"/>
                <w:szCs w:val="16"/>
              </w:rPr>
              <w:instrText>key&gt;&lt;/foreign-keys&gt;&lt;ref-type name="Journal Article"&gt;17&lt;/ref-type&gt;&lt;contributors&gt;&lt;authors&gt;&lt;author&gt;Alessi, Dario R&lt;/author&gt;&lt;author&gt;Sammler, Esther&lt;/author&gt;&lt;/authors&gt;&lt;/contributors&gt;&lt;titles&gt;&lt;title&gt;LRRK2 kinase in Parkinson&amp;apos;s disease&lt;/title&gt;&lt;secondary-title</w:instrText>
            </w:r>
            <w:r>
              <w:rPr>
                <w:color w:val="000000"/>
                <w:sz w:val="16"/>
                <w:szCs w:val="16"/>
              </w:rPr>
              <w:instrText>&gt;Science&lt;/secondary-title&gt;&lt;/titles&gt;&lt;periodical&gt;&lt;full-title&gt;Science&lt;/full-title&gt;&lt;/periodical&gt;&lt;pages&gt;36-37&lt;/pages&gt;&lt;volume&gt;360&lt;/volume&gt;&lt;number&gt;6384&lt;/number&gt;&lt;dates&gt;&lt;year&gt;2018&lt;/year&gt;&lt;/dates&gt;&lt;isbn&gt;0036-8075&lt;/isbn&gt;&lt;urls&gt;&lt;/urls&gt;&lt;/record&gt;&lt;/Cite&gt;&lt;/EndNote&gt;</w:instrText>
            </w:r>
            <w:r>
              <w:rPr>
                <w:color w:val="000000"/>
                <w:sz w:val="16"/>
                <w:szCs w:val="16"/>
              </w:rPr>
              <w:fldChar w:fldCharType="separate"/>
            </w:r>
            <w:r>
              <w:rPr>
                <w:noProof/>
                <w:color w:val="000000"/>
                <w:sz w:val="16"/>
                <w:szCs w:val="16"/>
              </w:rPr>
              <w:t>[103]</w:t>
            </w:r>
            <w:r>
              <w:rPr>
                <w:color w:val="000000"/>
                <w:sz w:val="16"/>
                <w:szCs w:val="16"/>
              </w:rPr>
              <w:fldChar w:fldCharType="end"/>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77997" w:rsidRDefault="00CB0676">
            <w:pPr>
              <w:rPr>
                <w:b w:val="0"/>
                <w:bCs w:val="0"/>
                <w:i/>
                <w:color w:val="000000"/>
                <w:sz w:val="16"/>
                <w:szCs w:val="16"/>
              </w:rPr>
            </w:pPr>
            <w:r>
              <w:rPr>
                <w:b w:val="0"/>
                <w:bCs w:val="0"/>
                <w:i/>
                <w:color w:val="000000"/>
                <w:sz w:val="16"/>
                <w:szCs w:val="16"/>
              </w:rPr>
              <w:t>SCN5A</w:t>
            </w:r>
          </w:p>
        </w:tc>
        <w:tc>
          <w:tcPr>
            <w:tcW w:w="2397" w:type="dxa"/>
          </w:tcPr>
          <w:p w:rsidR="00877997" w:rsidRDefault="00CB0676">
            <w:pP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Brugada syndrome</w:t>
            </w:r>
          </w:p>
        </w:tc>
        <w:tc>
          <w:tcPr>
            <w:tcW w:w="5428" w:type="dxa"/>
          </w:tcPr>
          <w:p w:rsidR="00877997" w:rsidRDefault="00CB0676">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Gourraud</w:t>
            </w:r>
            <w:r>
              <w:rPr>
                <w:rStyle w:val="Hyperlink"/>
                <w:color w:val="000000"/>
                <w:sz w:val="16"/>
                <w:szCs w:val="16"/>
                <w:u w:val="none"/>
              </w:rPr>
              <w:t xml:space="preserve"> </w:t>
            </w:r>
            <w:r>
              <w:rPr>
                <w:rStyle w:val="Hyperlink"/>
                <w:i/>
                <w:color w:val="000000"/>
                <w:sz w:val="16"/>
                <w:szCs w:val="16"/>
                <w:u w:val="none"/>
              </w:rPr>
              <w:t>et al</w:t>
            </w:r>
            <w:r>
              <w:rPr>
                <w:rStyle w:val="Hyperlink"/>
                <w:color w:val="000000"/>
                <w:sz w:val="16"/>
                <w:szCs w:val="16"/>
                <w:u w:val="none"/>
              </w:rPr>
              <w:t>.</w:t>
            </w:r>
            <w:r>
              <w:rPr>
                <w:rStyle w:val="Hyperlink"/>
                <w:color w:val="000000"/>
                <w:sz w:val="16"/>
                <w:szCs w:val="16"/>
                <w:u w:val="none"/>
              </w:rPr>
              <w:fldChar w:fldCharType="begin"/>
            </w:r>
            <w:r>
              <w:rPr>
                <w:rStyle w:val="Hyperlink"/>
                <w:color w:val="000000"/>
                <w:sz w:val="16"/>
                <w:szCs w:val="16"/>
                <w:u w:val="none"/>
              </w:rPr>
              <w:instrText xml:space="preserve"> ADDIN EN.CITE &lt;EndNote&gt;&lt;Cite&gt;&lt;Author&gt;Gourraud&lt;/Author&gt;&lt;Year&gt;2016&lt;/Year&gt;&lt;RecNum&gt;79&lt;/RecNum&gt;&lt;DisplayText&gt;[104]&lt;/DisplayText&gt;&lt;record&gt;&lt;rec-number&gt;79&lt;/rec-number&gt;&lt;foreign-keys&gt;&lt;key app="EN" db-id="d0vstffei2ze5sew5fwxp0dq9</w:instrText>
            </w:r>
            <w:r>
              <w:rPr>
                <w:rStyle w:val="Hyperlink"/>
                <w:color w:val="000000"/>
                <w:sz w:val="16"/>
                <w:szCs w:val="16"/>
                <w:u w:val="none"/>
              </w:rPr>
              <w:instrText>zxs5pvvsxpv" timestamp="1580032413"&gt;79&lt;/key&gt;&lt;/foreign-keys&gt;&lt;ref-type name="Journal Article"&gt;17&lt;/ref-type&gt;&lt;contributors&gt;&lt;authors&gt;&lt;author&gt;Gourraud, Jean-Baptiste&lt;/author&gt;&lt;author&gt;Barc, Julien&lt;/author&gt;&lt;author&gt;Thollet, Aurélie&lt;/author&gt;&lt;author&gt;Le Scouarnec, Sole</w:instrText>
            </w:r>
            <w:r>
              <w:rPr>
                <w:rStyle w:val="Hyperlink"/>
                <w:color w:val="000000"/>
                <w:sz w:val="16"/>
                <w:szCs w:val="16"/>
                <w:u w:val="none"/>
              </w:rPr>
              <w:instrText>na&lt;/author&gt;&lt;author&gt;Le Marec, Hervé&lt;/author&gt;&lt;author&gt;Schott, Jean-Jacques&lt;/author&gt;&lt;author&gt;Redon, Richard&lt;/author&gt;&lt;author&gt;Probst, Vincent&lt;/author&gt;&lt;/authors&gt;&lt;/contributors&gt;&lt;titles&gt;&lt;title&gt;The Brugada syndrome: a rare arrhythmia disorder with complex inheritance</w:instrText>
            </w:r>
            <w:r>
              <w:rPr>
                <w:rStyle w:val="Hyperlink"/>
                <w:color w:val="000000"/>
                <w:sz w:val="16"/>
                <w:szCs w:val="16"/>
                <w:u w:val="none"/>
              </w:rPr>
              <w:instrText>&lt;/title&gt;&lt;secondary-title&gt;Frontiers in cardiovascular medicine&lt;/secondary-title&gt;&lt;/titles&gt;&lt;periodical&gt;&lt;full-title&gt;Frontiers in cardiovascular medicine&lt;/full-title&gt;&lt;/periodical&gt;&lt;pages&gt;9&lt;/pages&gt;&lt;volume&gt;3&lt;/volume&gt;&lt;dates&gt;&lt;year&gt;2016&lt;/year&gt;&lt;/dates&gt;&lt;isbn&gt;2297-055X&lt;</w:instrText>
            </w:r>
            <w:r>
              <w:rPr>
                <w:rStyle w:val="Hyperlink"/>
                <w:color w:val="000000"/>
                <w:sz w:val="16"/>
                <w:szCs w:val="16"/>
                <w:u w:val="none"/>
              </w:rPr>
              <w:instrText>/isbn&gt;&lt;urls&gt;&lt;/urls&gt;&lt;/record&gt;&lt;/Cite&gt;&lt;/EndNote&gt;</w:instrText>
            </w:r>
            <w:r>
              <w:rPr>
                <w:rStyle w:val="Hyperlink"/>
                <w:color w:val="000000"/>
                <w:sz w:val="16"/>
                <w:szCs w:val="16"/>
                <w:u w:val="none"/>
              </w:rPr>
              <w:fldChar w:fldCharType="separate"/>
            </w:r>
            <w:r>
              <w:rPr>
                <w:rStyle w:val="Hyperlink"/>
                <w:noProof/>
                <w:color w:val="000000"/>
                <w:sz w:val="16"/>
                <w:szCs w:val="16"/>
                <w:u w:val="none"/>
              </w:rPr>
              <w:t>[104]</w:t>
            </w:r>
            <w:r>
              <w:rPr>
                <w:rStyle w:val="Hyperlink"/>
                <w:color w:val="000000"/>
                <w:sz w:val="16"/>
                <w:szCs w:val="16"/>
                <w:u w:val="none"/>
              </w:rPr>
              <w:fldChar w:fldCharType="end"/>
            </w:r>
            <w:r>
              <w:rPr>
                <w:rStyle w:val="Hyperlink"/>
                <w:color w:val="000000"/>
                <w:sz w:val="16"/>
                <w:szCs w:val="16"/>
                <w:u w:val="none"/>
              </w:rPr>
              <w:t xml:space="preserve"> </w:t>
            </w:r>
          </w:p>
        </w:tc>
      </w:tr>
      <w:tr w:rsidR="00877997" w:rsidTr="00877997">
        <w:trPr>
          <w:trHeight w:val="69"/>
        </w:trPr>
        <w:tc>
          <w:tcPr>
            <w:cnfStyle w:val="001000000000" w:firstRow="0" w:lastRow="0" w:firstColumn="1" w:lastColumn="0" w:oddVBand="0" w:evenVBand="0" w:oddHBand="0" w:evenHBand="0" w:firstRowFirstColumn="0" w:firstRowLastColumn="0" w:lastRowFirstColumn="0" w:lastRowLastColumn="0"/>
            <w:tcW w:w="2070" w:type="dxa"/>
          </w:tcPr>
          <w:p w:rsidR="00877997" w:rsidRDefault="00CB0676">
            <w:pPr>
              <w:rPr>
                <w:b w:val="0"/>
                <w:bCs w:val="0"/>
                <w:i/>
                <w:color w:val="000000"/>
                <w:sz w:val="16"/>
                <w:szCs w:val="16"/>
              </w:rPr>
            </w:pPr>
            <w:r>
              <w:rPr>
                <w:b w:val="0"/>
                <w:bCs w:val="0"/>
                <w:i/>
                <w:color w:val="000000"/>
                <w:sz w:val="16"/>
                <w:szCs w:val="16"/>
              </w:rPr>
              <w:t>DCC</w:t>
            </w:r>
          </w:p>
        </w:tc>
        <w:tc>
          <w:tcPr>
            <w:tcW w:w="2397" w:type="dxa"/>
          </w:tcPr>
          <w:p w:rsidR="00877997" w:rsidRDefault="00CB0676">
            <w:pPr>
              <w:cnfStyle w:val="000000000000" w:firstRow="0" w:lastRow="0" w:firstColumn="0" w:lastColumn="0" w:oddVBand="0" w:evenVBand="0" w:oddHBand="0" w:evenHBand="0" w:firstRowFirstColumn="0" w:firstRowLastColumn="0" w:lastRowFirstColumn="0" w:lastRowLastColumn="0"/>
              <w:rPr>
                <w:bCs/>
                <w:color w:val="000000"/>
                <w:sz w:val="16"/>
                <w:szCs w:val="16"/>
              </w:rPr>
            </w:pPr>
            <w:r>
              <w:rPr>
                <w:bCs/>
                <w:color w:val="000000"/>
                <w:sz w:val="16"/>
                <w:szCs w:val="16"/>
              </w:rPr>
              <w:t>Agenesis of the corpus callosum</w:t>
            </w:r>
          </w:p>
        </w:tc>
        <w:tc>
          <w:tcPr>
            <w:tcW w:w="5428" w:type="dxa"/>
          </w:tcPr>
          <w:p w:rsidR="00877997" w:rsidRDefault="00CB0676">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Marsh</w:t>
            </w:r>
            <w:r>
              <w:rPr>
                <w:rStyle w:val="Hyperlink"/>
                <w:color w:val="000000"/>
                <w:sz w:val="16"/>
                <w:szCs w:val="16"/>
                <w:u w:val="none"/>
              </w:rPr>
              <w:t xml:space="preserve"> </w:t>
            </w:r>
            <w:r>
              <w:rPr>
                <w:rStyle w:val="Hyperlink"/>
                <w:i/>
                <w:color w:val="000000"/>
                <w:sz w:val="16"/>
                <w:szCs w:val="16"/>
                <w:u w:val="none"/>
              </w:rPr>
              <w:t>et al</w:t>
            </w:r>
            <w:r>
              <w:rPr>
                <w:rStyle w:val="Hyperlink"/>
                <w:color w:val="000000"/>
                <w:sz w:val="16"/>
                <w:szCs w:val="16"/>
                <w:u w:val="none"/>
              </w:rPr>
              <w:t>.</w:t>
            </w:r>
            <w:r>
              <w:rPr>
                <w:rStyle w:val="Hyperlink"/>
                <w:color w:val="000000"/>
                <w:sz w:val="16"/>
                <w:szCs w:val="16"/>
                <w:u w:val="none"/>
              </w:rPr>
              <w:fldChar w:fldCharType="begin"/>
            </w:r>
            <w:r>
              <w:rPr>
                <w:rStyle w:val="Hyperlink"/>
                <w:color w:val="000000"/>
                <w:sz w:val="16"/>
                <w:szCs w:val="16"/>
                <w:u w:val="none"/>
              </w:rPr>
              <w:instrText xml:space="preserve"> ADDIN EN.CITE &lt;EndNote&gt;&lt;Cite&gt;&lt;Author&gt;Marsh&lt;/Author&gt;&lt;Year&gt;2017&lt;/Year&gt;&lt;RecNum&gt;80&lt;/RecNum&gt;&lt;DisplayText&gt;[105]&lt;/DisplayText&gt;&lt;record&gt;&lt;rec-number&gt;80&lt;/rec-numb</w:instrText>
            </w:r>
            <w:r>
              <w:rPr>
                <w:rStyle w:val="Hyperlink"/>
                <w:color w:val="000000"/>
                <w:sz w:val="16"/>
                <w:szCs w:val="16"/>
                <w:u w:val="none"/>
              </w:rPr>
              <w:instrText>er&gt;&lt;foreign-keys&gt;&lt;key app="EN" db-id="d0vstffei2ze5sew5fwxp0dq9zxs5pvvsxpv" timestamp="1580032472"&gt;80&lt;/key&gt;&lt;/foreign-keys&gt;&lt;ref-type name="Journal Article"&gt;17&lt;/ref-type&gt;&lt;contributors&gt;&lt;authors&gt;&lt;author&gt;Marsh, Ashley PL&lt;/author&gt;&lt;author&gt;Heron, Delphine&lt;/author&gt;</w:instrText>
            </w:r>
            <w:r>
              <w:rPr>
                <w:rStyle w:val="Hyperlink"/>
                <w:color w:val="000000"/>
                <w:sz w:val="16"/>
                <w:szCs w:val="16"/>
                <w:u w:val="none"/>
              </w:rPr>
              <w:instrText>&lt;author&gt;Edwards, Timothy J&lt;/author&gt;&lt;author&gt;Quartier, Angélique&lt;/author&gt;&lt;author&gt;Galea, Charles&lt;/author&gt;&lt;author&gt;Nava, Caroline&lt;/author&gt;&lt;author&gt;Rastetter, Agnès&lt;/author&gt;&lt;author&gt;Moutard, Marie-Laure&lt;/author&gt;&lt;author&gt;Anderson, Vicki&lt;/author&gt;&lt;author&gt;Bitoun, Pierr</w:instrText>
            </w:r>
            <w:r>
              <w:rPr>
                <w:rStyle w:val="Hyperlink"/>
                <w:color w:val="000000"/>
                <w:sz w:val="16"/>
                <w:szCs w:val="16"/>
                <w:u w:val="none"/>
              </w:rPr>
              <w:instrText>e&lt;/author&gt;&lt;/authors&gt;&lt;/contributors&gt;&lt;titles&gt;&lt;title&gt;Mutations in DCC cause isolated agenesis of the corpus callosum with incomplete penetrance&lt;/title&gt;&lt;secondary-title&gt;Nature genetics&lt;/secondary-title&gt;&lt;/titles&gt;&lt;periodical&gt;&lt;full-title&gt;Nature genetics&lt;/full-tit</w:instrText>
            </w:r>
            <w:r>
              <w:rPr>
                <w:rStyle w:val="Hyperlink"/>
                <w:color w:val="000000"/>
                <w:sz w:val="16"/>
                <w:szCs w:val="16"/>
                <w:u w:val="none"/>
              </w:rPr>
              <w:instrText>le&gt;&lt;/periodical&gt;&lt;pages&gt;511-514&lt;/pages&gt;&lt;volume&gt;49&lt;/volume&gt;&lt;number&gt;4&lt;/number&gt;&lt;dates&gt;&lt;year&gt;2017&lt;/year&gt;&lt;/dates&gt;&lt;isbn&gt;1546-1718&lt;/isbn&gt;&lt;urls&gt;&lt;/urls&gt;&lt;/record&gt;&lt;/Cite&gt;&lt;/EndNote&gt;</w:instrText>
            </w:r>
            <w:r>
              <w:rPr>
                <w:rStyle w:val="Hyperlink"/>
                <w:color w:val="000000"/>
                <w:sz w:val="16"/>
                <w:szCs w:val="16"/>
                <w:u w:val="none"/>
              </w:rPr>
              <w:fldChar w:fldCharType="separate"/>
            </w:r>
            <w:r>
              <w:rPr>
                <w:rStyle w:val="Hyperlink"/>
                <w:noProof/>
                <w:color w:val="000000"/>
                <w:sz w:val="16"/>
                <w:szCs w:val="16"/>
                <w:u w:val="none"/>
              </w:rPr>
              <w:t>[105]</w:t>
            </w:r>
            <w:r>
              <w:rPr>
                <w:rStyle w:val="Hyperlink"/>
                <w:color w:val="000000"/>
                <w:sz w:val="16"/>
                <w:szCs w:val="16"/>
                <w:u w:val="none"/>
              </w:rPr>
              <w:fldChar w:fldCharType="end"/>
            </w:r>
          </w:p>
          <w:p w:rsidR="00877997" w:rsidRDefault="00877997">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bl>
    <w:p w:rsidR="00877997" w:rsidRDefault="00CB0676">
      <w:pPr>
        <w:rPr>
          <w:i/>
          <w:color w:val="000000"/>
          <w:sz w:val="16"/>
          <w:szCs w:val="20"/>
        </w:rPr>
      </w:pPr>
      <w:r>
        <w:rPr>
          <w:bCs/>
          <w:i/>
          <w:color w:val="000000"/>
          <w:sz w:val="16"/>
          <w:szCs w:val="16"/>
        </w:rPr>
        <w:lastRenderedPageBreak/>
        <w:t>Examples of genes displaying incomplete or reduced penetrance</w:t>
      </w:r>
      <w:r>
        <w:rPr>
          <w:i/>
          <w:color w:val="000000"/>
          <w:sz w:val="16"/>
          <w:szCs w:val="20"/>
        </w:rPr>
        <w:t xml:space="preserve"> </w:t>
      </w:r>
      <w:r>
        <w:rPr>
          <w:i/>
          <w:color w:val="000000"/>
          <w:sz w:val="16"/>
          <w:szCs w:val="20"/>
        </w:rPr>
        <w:t>supported by scientific literature across a diverse range of phenotypes.</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Population sequencing projects have revealed a high burden of potential protein-damaging variants in apparently healthy individuals</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[35, 47, 96]</w:t>
      </w:r>
      <w:r>
        <w:rPr>
          <w:color w:val="000000"/>
          <w:sz w:val="20"/>
          <w:szCs w:val="20"/>
        </w:rPr>
        <w:fldChar w:fldCharType="end"/>
      </w:r>
      <w:r>
        <w:rPr>
          <w:color w:val="000000"/>
          <w:sz w:val="20"/>
          <w:szCs w:val="20"/>
        </w:rPr>
        <w:t>. Data extracted from the UK biobank, are beginning to evaluate rare disease-causing variants and refine penetrance estimates</w:t>
      </w:r>
      <w:r>
        <w:rPr>
          <w:color w:val="000000"/>
          <w:sz w:val="20"/>
          <w:szCs w:val="20"/>
        </w:rPr>
        <w:fldChar w:fldCharType="begin"/>
      </w:r>
      <w:r>
        <w:rPr>
          <w:color w:val="000000"/>
          <w:sz w:val="20"/>
          <w:szCs w:val="20"/>
        </w:rPr>
        <w:instrText xml:space="preserve"> ADDIN EN.CITE &lt;EndNote&gt;&lt;Cite&gt;&lt;Author&gt;Wright&lt;/Author&gt;&lt;Year&gt;2019&lt;/Year&gt;&lt;RecNum&gt;129&lt;/RecNum&gt;&lt;DisplayText&gt;[106]&lt;/DisplayText&gt;&lt;record</w:instrText>
      </w:r>
      <w:r>
        <w:rPr>
          <w:color w:val="000000"/>
          <w:sz w:val="20"/>
          <w:szCs w:val="20"/>
        </w:rPr>
        <w:instrText>&gt;&lt;rec-number&gt;129&lt;/rec-number&gt;&lt;foreign-keys&gt;&lt;key app="EN" db-id="d0vstffei2ze5sew5fwxp0dq9zxs5pvvsxpv" timestamp="1583798478"&gt;129&lt;/key&gt;&lt;/foreign-keys&gt;&lt;ref-type name="Journal Article"&gt;17&lt;/ref-type&gt;&lt;contributors&gt;&lt;authors&gt;&lt;author&gt;Wright, Caroline F&lt;/author&gt;&lt;au</w:instrText>
      </w:r>
      <w:r>
        <w:rPr>
          <w:color w:val="000000"/>
          <w:sz w:val="20"/>
          <w:szCs w:val="20"/>
        </w:rPr>
        <w:instrText>thor&gt;West, Ben&lt;/author&gt;&lt;author&gt;Tuke, Marcus&lt;/author&gt;&lt;author&gt;Jones, Samuel E&lt;/author&gt;&lt;author&gt;Patel, Kashyap&lt;/author&gt;&lt;author&gt;Laver, Thomas W&lt;/author&gt;&lt;author&gt;Beaumont, Robin N&lt;/author&gt;&lt;author&gt;Tyrrell, Jessica&lt;/author&gt;&lt;author&gt;Wood, Andrew R&lt;/author&gt;&lt;author&gt;Fra</w:instrText>
      </w:r>
      <w:r>
        <w:rPr>
          <w:color w:val="000000"/>
          <w:sz w:val="20"/>
          <w:szCs w:val="20"/>
        </w:rPr>
        <w:instrText>yling, Timothy M&lt;/author&gt;&lt;/authors&gt;&lt;/contributors&gt;&lt;titles&gt;&lt;title&gt;Assessing the pathogenicity, penetrance, and expressivity of putative disease-causing variants in a population setting&lt;/title&gt;&lt;secondary-title&gt;The American Journal of Human Genetics&lt;/secondar</w:instrText>
      </w:r>
      <w:r>
        <w:rPr>
          <w:color w:val="000000"/>
          <w:sz w:val="20"/>
          <w:szCs w:val="20"/>
        </w:rPr>
        <w:instrText>y-title&gt;&lt;/titles&gt;&lt;periodical&gt;&lt;full-title&gt;The American Journal of Human Genetics&lt;/full-title&gt;&lt;/periodical&gt;&lt;pages&gt;275-286&lt;/pages&gt;&lt;volume&gt;104&lt;/volume&gt;&lt;number&gt;2&lt;/number&gt;&lt;dates&gt;&lt;year&gt;2019&lt;/year&gt;&lt;/dates&gt;&lt;isbn&gt;0002-9297&lt;/isbn&gt;&lt;urls&gt;&lt;/urls&gt;&lt;/record&gt;&lt;/Cite&gt;&lt;/EndNot</w:instrText>
      </w:r>
      <w:r>
        <w:rPr>
          <w:color w:val="000000"/>
          <w:sz w:val="20"/>
          <w:szCs w:val="20"/>
        </w:rPr>
        <w:instrText>e&gt;</w:instrText>
      </w:r>
      <w:r>
        <w:rPr>
          <w:color w:val="000000"/>
          <w:sz w:val="20"/>
          <w:szCs w:val="20"/>
        </w:rPr>
        <w:fldChar w:fldCharType="separate"/>
      </w:r>
      <w:r>
        <w:rPr>
          <w:noProof/>
          <w:color w:val="000000"/>
          <w:sz w:val="20"/>
          <w:szCs w:val="20"/>
        </w:rPr>
        <w:t>[106]</w:t>
      </w:r>
      <w:r>
        <w:rPr>
          <w:color w:val="000000"/>
          <w:sz w:val="20"/>
          <w:szCs w:val="20"/>
        </w:rPr>
        <w:fldChar w:fldCharType="end"/>
      </w:r>
      <w:r>
        <w:rPr>
          <w:color w:val="000000"/>
          <w:sz w:val="20"/>
          <w:szCs w:val="20"/>
        </w:rPr>
        <w:t>. This challenges the analysis of NGS data when some genetic diseases may segregate through unaffected parents at allele frequencies higher than expected for a fully penetrant disease variant. On the other hand, some variants may be fully penetra</w:t>
      </w:r>
      <w:r>
        <w:rPr>
          <w:color w:val="000000"/>
          <w:sz w:val="20"/>
          <w:szCs w:val="20"/>
        </w:rPr>
        <w:t>nt, yet modifier genes or rescue events may vary phenotype expressivity.</w:t>
      </w:r>
    </w:p>
    <w:p w:rsidR="00877997" w:rsidRDefault="00877997">
      <w:pPr>
        <w:rPr>
          <w:color w:val="000000"/>
          <w:sz w:val="20"/>
          <w:szCs w:val="20"/>
        </w:rPr>
      </w:pPr>
    </w:p>
    <w:p w:rsidR="00877997" w:rsidRDefault="00CB0676">
      <w:pPr>
        <w:rPr>
          <w:b/>
          <w:bCs/>
          <w:color w:val="000000"/>
          <w:sz w:val="20"/>
          <w:szCs w:val="20"/>
        </w:rPr>
      </w:pPr>
      <w:r>
        <w:rPr>
          <w:b/>
          <w:bCs/>
          <w:color w:val="000000"/>
          <w:sz w:val="20"/>
          <w:szCs w:val="20"/>
        </w:rPr>
        <w:t>Non-coding variation</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Until recently, non-coding DNA (comprising 98% of the human genome) was considered ‘junk’. With the falling costs of WGS</w:t>
      </w:r>
      <w:r>
        <w:rPr>
          <w:color w:val="000000"/>
          <w:sz w:val="20"/>
          <w:szCs w:val="20"/>
        </w:rPr>
        <w:t xml:space="preserve"> and advancing technologies (</w:t>
      </w:r>
      <w:r>
        <w:rPr>
          <w:b/>
          <w:color w:val="000000"/>
          <w:sz w:val="20"/>
          <w:szCs w:val="20"/>
        </w:rPr>
        <w:t>Table 4</w:t>
      </w:r>
      <w:r>
        <w:rPr>
          <w:color w:val="000000"/>
          <w:sz w:val="20"/>
          <w:szCs w:val="20"/>
        </w:rPr>
        <w:t>), non-coding variation is proving itself to be important for gene regulation, epigenetics and 3D genome structure</w:t>
      </w:r>
      <w:r>
        <w:rPr>
          <w:color w:val="000000"/>
          <w:sz w:val="20"/>
          <w:szCs w:val="20"/>
        </w:rPr>
        <w:fldChar w:fldCharType="begin"/>
      </w:r>
      <w:r>
        <w:rPr>
          <w:color w:val="000000"/>
          <w:sz w:val="20"/>
          <w:szCs w:val="20"/>
        </w:rPr>
        <w:instrText xml:space="preserve"> ADDIN EN.CITE &lt;EndNote&gt;&lt;Cite&gt;&lt;Author&gt;Spielmann&lt;/Author&gt;&lt;Year&gt;2018&lt;/Year&gt;&lt;RecNum&gt;21&lt;/RecNum&gt;&lt;DisplayText&gt;[</w:instrText>
      </w:r>
      <w:r>
        <w:rPr>
          <w:color w:val="000000"/>
          <w:sz w:val="20"/>
          <w:szCs w:val="20"/>
        </w:rPr>
        <w:instrText>107]&lt;/DisplayText&gt;&lt;record&gt;&lt;rec-number&gt;21&lt;/rec-number&gt;&lt;foreign-keys&gt;&lt;key app="EN" db-id="d0vstffei2ze5sew5fwxp0dq9zxs5pvvsxpv" timestamp="1579851137"&gt;21&lt;/key&gt;&lt;/foreign-keys&gt;&lt;ref-type name="Journal Article"&gt;17&lt;/ref-type&gt;&lt;contributors&gt;&lt;authors&gt;&lt;author&gt;Spielma</w:instrText>
      </w:r>
      <w:r>
        <w:rPr>
          <w:color w:val="000000"/>
          <w:sz w:val="20"/>
          <w:szCs w:val="20"/>
        </w:rPr>
        <w:instrText>nn, Malte&lt;/author&gt;&lt;author&gt;Lupiáñez, Darío G.&lt;/author&gt;&lt;author&gt;Mundlos, Stefan&lt;/author&gt;&lt;/authors&gt;&lt;/contributors&gt;&lt;titles&gt;&lt;title&gt;Structural variation in the 3D genome&lt;/title&gt;&lt;secondary-title&gt;Nature Reviews Genetics&lt;/secondary-title&gt;&lt;/titles&gt;&lt;periodical&gt;&lt;full-t</w:instrText>
      </w:r>
      <w:r>
        <w:rPr>
          <w:color w:val="000000"/>
          <w:sz w:val="20"/>
          <w:szCs w:val="20"/>
        </w:rPr>
        <w:instrText>itle&gt;Nature Reviews Genetics&lt;/full-title&gt;&lt;/periodical&gt;&lt;pages&gt;453-467&lt;/pages&gt;&lt;volume&gt;19&lt;/volume&gt;&lt;number&gt;7&lt;/number&gt;&lt;dates&gt;&lt;year&gt;2018&lt;/year&gt;&lt;pub-dates&gt;&lt;date&gt;2018/07/01&lt;/date&gt;&lt;/pub-dates&gt;&lt;/dates&gt;&lt;isbn&gt;1471-0064&lt;/isbn&gt;&lt;urls&gt;&lt;related-urls&gt;&lt;url&gt;https://doi.org/10</w:instrText>
      </w:r>
      <w:r>
        <w:rPr>
          <w:color w:val="000000"/>
          <w:sz w:val="20"/>
          <w:szCs w:val="20"/>
        </w:rPr>
        <w:instrText>.1038/s41576-018-0007-0&lt;/url&gt;&lt;/related-urls&gt;&lt;/urls&gt;&lt;electronic-resource-num&gt;10.1038/s41576-018-0007-0&lt;/electronic-resource-num&gt;&lt;/record&gt;&lt;/Cite&gt;&lt;/EndNote&gt;</w:instrText>
      </w:r>
      <w:r>
        <w:rPr>
          <w:color w:val="000000"/>
          <w:sz w:val="20"/>
          <w:szCs w:val="20"/>
        </w:rPr>
        <w:fldChar w:fldCharType="separate"/>
      </w:r>
      <w:r>
        <w:rPr>
          <w:noProof/>
          <w:color w:val="000000"/>
          <w:sz w:val="20"/>
          <w:szCs w:val="20"/>
        </w:rPr>
        <w:t>[107]</w:t>
      </w:r>
      <w:r>
        <w:rPr>
          <w:color w:val="000000"/>
          <w:sz w:val="20"/>
          <w:szCs w:val="20"/>
        </w:rPr>
        <w:fldChar w:fldCharType="end"/>
      </w:r>
      <w:r>
        <w:rPr>
          <w:color w:val="000000"/>
          <w:sz w:val="20"/>
          <w:szCs w:val="20"/>
        </w:rPr>
        <w:t xml:space="preserve">. </w:t>
      </w:r>
      <w:r>
        <w:rPr>
          <w:color w:val="000000"/>
          <w:sz w:val="20"/>
          <w:szCs w:val="20"/>
        </w:rPr>
        <w:br/>
      </w:r>
    </w:p>
    <w:p w:rsidR="00877997" w:rsidRDefault="00CB0676">
      <w:pPr>
        <w:rPr>
          <w:b/>
          <w:color w:val="000000"/>
          <w:sz w:val="20"/>
          <w:szCs w:val="20"/>
        </w:rPr>
      </w:pPr>
      <w:r>
        <w:rPr>
          <w:b/>
          <w:color w:val="000000"/>
          <w:sz w:val="20"/>
          <w:szCs w:val="20"/>
        </w:rPr>
        <w:t xml:space="preserve">Table 4 | </w:t>
      </w:r>
      <w:r>
        <w:rPr>
          <w:color w:val="000000"/>
          <w:sz w:val="20"/>
          <w:szCs w:val="16"/>
        </w:rPr>
        <w:t xml:space="preserve">Description of technologies for the detection of </w:t>
      </w:r>
      <w:r>
        <w:rPr>
          <w:color w:val="000000"/>
          <w:sz w:val="20"/>
          <w:szCs w:val="20"/>
        </w:rPr>
        <w:t>gene regulation, epigenetics and</w:t>
      </w:r>
      <w:r>
        <w:rPr>
          <w:color w:val="000000"/>
          <w:sz w:val="20"/>
          <w:szCs w:val="20"/>
        </w:rPr>
        <w:t xml:space="preserve"> genome structure</w:t>
      </w:r>
      <w:r>
        <w:rPr>
          <w:color w:val="000000"/>
          <w:sz w:val="20"/>
          <w:szCs w:val="16"/>
        </w:rPr>
        <w:t>.</w:t>
      </w:r>
    </w:p>
    <w:tbl>
      <w:tblPr>
        <w:tblStyle w:val="PlainTable3"/>
        <w:tblW w:w="10320" w:type="dxa"/>
        <w:tblLook w:val="04A0" w:firstRow="1" w:lastRow="0" w:firstColumn="1" w:lastColumn="0" w:noHBand="0" w:noVBand="1"/>
      </w:tblPr>
      <w:tblGrid>
        <w:gridCol w:w="1843"/>
        <w:gridCol w:w="8477"/>
      </w:tblGrid>
      <w:tr w:rsidR="00877997" w:rsidTr="008779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877997" w:rsidRDefault="00CB0676">
            <w:pPr>
              <w:spacing w:after="225" w:line="360" w:lineRule="atLeast"/>
              <w:rPr>
                <w:b w:val="0"/>
                <w:bCs w:val="0"/>
                <w:color w:val="000000"/>
                <w:sz w:val="16"/>
                <w:szCs w:val="16"/>
              </w:rPr>
            </w:pPr>
            <w:r>
              <w:rPr>
                <w:color w:val="000000"/>
                <w:sz w:val="16"/>
                <w:szCs w:val="16"/>
              </w:rPr>
              <w:t>Type</w:t>
            </w:r>
          </w:p>
        </w:tc>
        <w:tc>
          <w:tcPr>
            <w:tcW w:w="0" w:type="auto"/>
          </w:tcPr>
          <w:p w:rsidR="00877997" w:rsidRDefault="00CB0676">
            <w:pPr>
              <w:spacing w:after="225" w:line="360" w:lineRule="atLeast"/>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Description</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877997" w:rsidRDefault="00CB0676">
            <w:pPr>
              <w:spacing w:after="225" w:line="360" w:lineRule="atLeast"/>
              <w:rPr>
                <w:color w:val="000000"/>
                <w:sz w:val="16"/>
                <w:szCs w:val="16"/>
              </w:rPr>
            </w:pPr>
            <w:r>
              <w:rPr>
                <w:i/>
                <w:iCs/>
                <w:color w:val="000000"/>
                <w:sz w:val="16"/>
                <w:szCs w:val="16"/>
              </w:rPr>
              <w:t>technologies to assess non-coding variation</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ChIP</w:t>
            </w:r>
            <w:r>
              <w:rPr>
                <w:rFonts w:ascii="Cambria Math" w:hAnsi="Cambria Math"/>
                <w:color w:val="000000"/>
                <w:sz w:val="16"/>
                <w:szCs w:val="16"/>
              </w:rPr>
              <w:t>‐</w:t>
            </w:r>
            <w:r>
              <w:rPr>
                <w:color w:val="000000"/>
                <w:sz w:val="16"/>
                <w:szCs w:val="16"/>
              </w:rPr>
              <w:t>seq</w:t>
            </w:r>
          </w:p>
        </w:tc>
        <w:tc>
          <w:tcPr>
            <w:tcW w:w="0" w:type="auto"/>
          </w:tcPr>
          <w:p w:rsidR="00877997" w:rsidRDefault="00CB0676">
            <w:pPr>
              <w:spacing w:after="225" w:line="360" w:lineRule="atLeas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ChIP</w:t>
            </w:r>
            <w:r>
              <w:rPr>
                <w:rFonts w:ascii="Cambria Math" w:hAnsi="Cambria Math"/>
                <w:color w:val="000000"/>
                <w:sz w:val="16"/>
                <w:szCs w:val="16"/>
              </w:rPr>
              <w:t>‐</w:t>
            </w:r>
            <w:r>
              <w:rPr>
                <w:color w:val="000000"/>
                <w:sz w:val="16"/>
                <w:szCs w:val="16"/>
              </w:rPr>
              <w:t>sequencing (ChIP-seq) is a method to analyse protein interactions with DNA. ChIP-seq</w:t>
            </w:r>
            <w:r>
              <w:rPr>
                <w:color w:val="000000"/>
                <w:sz w:val="16"/>
                <w:szCs w:val="16"/>
              </w:rPr>
              <w:t xml:space="preserve"> combines chromatin immunoprecipitation (ChIP) with DNA sequencing to identify DNA regions bound by proteins of interest. Histone marks indicating regulatory properties include H3K4me3, H3K27me3, and H3K27ac. Transcription factor binding sites can be analy</w:t>
            </w:r>
            <w:r>
              <w:rPr>
                <w:color w:val="000000"/>
                <w:sz w:val="16"/>
                <w:szCs w:val="16"/>
              </w:rPr>
              <w:t>sed using ChIP</w:t>
            </w:r>
            <w:r>
              <w:rPr>
                <w:rFonts w:ascii="Cambria Math" w:hAnsi="Cambria Math"/>
                <w:color w:val="000000"/>
                <w:sz w:val="16"/>
                <w:szCs w:val="16"/>
              </w:rPr>
              <w:t>‐</w:t>
            </w:r>
            <w:r>
              <w:rPr>
                <w:color w:val="000000"/>
                <w:sz w:val="16"/>
                <w:szCs w:val="16"/>
              </w:rPr>
              <w:t>seq in a genome</w:t>
            </w:r>
            <w:r>
              <w:rPr>
                <w:rFonts w:ascii="Cambria Math" w:hAnsi="Cambria Math"/>
                <w:color w:val="000000"/>
                <w:sz w:val="16"/>
                <w:szCs w:val="16"/>
              </w:rPr>
              <w:t>‐</w:t>
            </w:r>
            <w:r>
              <w:rPr>
                <w:color w:val="000000"/>
                <w:sz w:val="16"/>
                <w:szCs w:val="16"/>
              </w:rPr>
              <w:t>wide manner.</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DNase</w:t>
            </w:r>
            <w:r>
              <w:rPr>
                <w:rFonts w:ascii="Cambria Math" w:hAnsi="Cambria Math"/>
                <w:color w:val="000000"/>
                <w:sz w:val="16"/>
                <w:szCs w:val="16"/>
              </w:rPr>
              <w:t>‐</w:t>
            </w:r>
            <w:r>
              <w:rPr>
                <w:color w:val="000000"/>
                <w:sz w:val="16"/>
                <w:szCs w:val="16"/>
              </w:rPr>
              <w:t>seq, ATAC</w:t>
            </w:r>
            <w:r>
              <w:rPr>
                <w:rFonts w:ascii="Cambria Math" w:hAnsi="Cambria Math"/>
                <w:color w:val="000000"/>
                <w:sz w:val="16"/>
                <w:szCs w:val="16"/>
              </w:rPr>
              <w:t>‐</w:t>
            </w:r>
            <w:r>
              <w:rPr>
                <w:color w:val="000000"/>
                <w:sz w:val="16"/>
                <w:szCs w:val="16"/>
              </w:rPr>
              <w:t>seq and FAIRE</w:t>
            </w:r>
            <w:r>
              <w:rPr>
                <w:rFonts w:ascii="Cambria Math" w:hAnsi="Cambria Math"/>
                <w:color w:val="000000"/>
                <w:sz w:val="16"/>
                <w:szCs w:val="16"/>
              </w:rPr>
              <w:t>‐</w:t>
            </w:r>
            <w:r>
              <w:rPr>
                <w:color w:val="000000"/>
                <w:sz w:val="16"/>
                <w:szCs w:val="16"/>
              </w:rPr>
              <w:t>seq</w:t>
            </w:r>
          </w:p>
        </w:tc>
        <w:tc>
          <w:tcPr>
            <w:tcW w:w="0" w:type="auto"/>
          </w:tcPr>
          <w:p w:rsidR="00877997" w:rsidRDefault="00CB0676">
            <w:pPr>
              <w:spacing w:after="225" w:line="360" w:lineRule="atLeas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These technologies identify ‘open chromatin’ regions where DNA binding proteins can access target DNA sequences.</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Hi</w:t>
            </w:r>
            <w:r>
              <w:rPr>
                <w:rFonts w:ascii="Cambria Math" w:hAnsi="Cambria Math"/>
                <w:color w:val="000000"/>
                <w:sz w:val="16"/>
                <w:szCs w:val="16"/>
              </w:rPr>
              <w:t>‐</w:t>
            </w:r>
            <w:r>
              <w:rPr>
                <w:color w:val="000000"/>
                <w:sz w:val="16"/>
                <w:szCs w:val="16"/>
              </w:rPr>
              <w:t>C and ChIA</w:t>
            </w:r>
            <w:r>
              <w:rPr>
                <w:rFonts w:ascii="Cambria Math" w:hAnsi="Cambria Math"/>
                <w:color w:val="000000"/>
                <w:sz w:val="16"/>
                <w:szCs w:val="16"/>
              </w:rPr>
              <w:t>‐</w:t>
            </w:r>
            <w:r>
              <w:rPr>
                <w:color w:val="000000"/>
                <w:sz w:val="16"/>
                <w:szCs w:val="16"/>
              </w:rPr>
              <w:t>PET</w:t>
            </w:r>
          </w:p>
        </w:tc>
        <w:tc>
          <w:tcPr>
            <w:tcW w:w="0" w:type="auto"/>
          </w:tcPr>
          <w:p w:rsidR="00877997" w:rsidRDefault="00CB0676">
            <w:pPr>
              <w:spacing w:after="225" w:line="360" w:lineRule="atLeas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These technologies are chromosome conformatio</w:t>
            </w:r>
            <w:r>
              <w:rPr>
                <w:color w:val="000000"/>
                <w:sz w:val="16"/>
                <w:szCs w:val="16"/>
              </w:rPr>
              <w:t>n capture</w:t>
            </w:r>
            <w:r>
              <w:rPr>
                <w:rFonts w:ascii="Cambria Math" w:hAnsi="Cambria Math"/>
                <w:color w:val="000000"/>
                <w:sz w:val="16"/>
                <w:szCs w:val="16"/>
              </w:rPr>
              <w:t>‐</w:t>
            </w:r>
            <w:r>
              <w:rPr>
                <w:color w:val="000000"/>
                <w:sz w:val="16"/>
                <w:szCs w:val="16"/>
              </w:rPr>
              <w:t>based methods for genome</w:t>
            </w:r>
            <w:r>
              <w:rPr>
                <w:rFonts w:ascii="Cambria Math" w:hAnsi="Cambria Math"/>
                <w:color w:val="000000"/>
                <w:sz w:val="16"/>
                <w:szCs w:val="16"/>
              </w:rPr>
              <w:t>‐</w:t>
            </w:r>
            <w:r>
              <w:rPr>
                <w:color w:val="000000"/>
                <w:sz w:val="16"/>
                <w:szCs w:val="16"/>
              </w:rPr>
              <w:t>wide analysis of 3D chromatin interactions. Hi</w:t>
            </w:r>
            <w:r>
              <w:rPr>
                <w:rFonts w:ascii="Cambria Math" w:hAnsi="Cambria Math"/>
                <w:color w:val="000000"/>
                <w:sz w:val="16"/>
                <w:szCs w:val="16"/>
              </w:rPr>
              <w:t>‐</w:t>
            </w:r>
            <w:r>
              <w:rPr>
                <w:color w:val="000000"/>
                <w:sz w:val="16"/>
                <w:szCs w:val="16"/>
              </w:rPr>
              <w:t>C is capable of detecting all possible interactions between DNA sequences in the genome, such as topological association domains. Chromatin interaction analysis by paired-end</w:t>
            </w:r>
            <w:r>
              <w:rPr>
                <w:color w:val="000000"/>
                <w:sz w:val="16"/>
                <w:szCs w:val="16"/>
              </w:rPr>
              <w:t xml:space="preserve"> tag sequencing (ChIA</w:t>
            </w:r>
            <w:r>
              <w:rPr>
                <w:rFonts w:ascii="Cambria Math" w:hAnsi="Cambria Math"/>
                <w:color w:val="000000"/>
                <w:sz w:val="16"/>
                <w:szCs w:val="16"/>
              </w:rPr>
              <w:t>‐</w:t>
            </w:r>
            <w:r>
              <w:rPr>
                <w:color w:val="000000"/>
                <w:sz w:val="16"/>
                <w:szCs w:val="16"/>
              </w:rPr>
              <w:t xml:space="preserve">PET) incorporates ChIP-based enrichment and high-throughput sequencing to determine </w:t>
            </w:r>
            <w:r>
              <w:rPr>
                <w:i/>
                <w:color w:val="000000"/>
                <w:sz w:val="16"/>
                <w:szCs w:val="16"/>
              </w:rPr>
              <w:t>de novo</w:t>
            </w:r>
            <w:r>
              <w:rPr>
                <w:color w:val="000000"/>
                <w:sz w:val="16"/>
                <w:szCs w:val="16"/>
              </w:rPr>
              <w:t xml:space="preserve"> long range chromatin interactions across the genome.</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MeDIP</w:t>
            </w:r>
            <w:r>
              <w:rPr>
                <w:rFonts w:ascii="Cambria Math" w:hAnsi="Cambria Math"/>
                <w:color w:val="000000"/>
                <w:sz w:val="16"/>
                <w:szCs w:val="16"/>
              </w:rPr>
              <w:t>‐</w:t>
            </w:r>
            <w:r>
              <w:rPr>
                <w:color w:val="000000"/>
                <w:sz w:val="16"/>
                <w:szCs w:val="16"/>
              </w:rPr>
              <w:t>seq and whole</w:t>
            </w:r>
            <w:r>
              <w:rPr>
                <w:rFonts w:ascii="Cambria Math" w:hAnsi="Cambria Math"/>
                <w:color w:val="000000"/>
                <w:sz w:val="16"/>
                <w:szCs w:val="16"/>
              </w:rPr>
              <w:t>‐</w:t>
            </w:r>
            <w:r>
              <w:rPr>
                <w:color w:val="000000"/>
                <w:sz w:val="16"/>
                <w:szCs w:val="16"/>
              </w:rPr>
              <w:t>genome bisulfite</w:t>
            </w:r>
            <w:r>
              <w:rPr>
                <w:rFonts w:ascii="Cambria Math" w:hAnsi="Cambria Math"/>
                <w:color w:val="000000"/>
                <w:sz w:val="16"/>
                <w:szCs w:val="16"/>
              </w:rPr>
              <w:t>‐</w:t>
            </w:r>
            <w:r>
              <w:rPr>
                <w:color w:val="000000"/>
                <w:sz w:val="16"/>
                <w:szCs w:val="16"/>
              </w:rPr>
              <w:t>seq</w:t>
            </w:r>
          </w:p>
        </w:tc>
        <w:tc>
          <w:tcPr>
            <w:tcW w:w="0" w:type="auto"/>
          </w:tcPr>
          <w:p w:rsidR="00877997" w:rsidRDefault="00CB0676">
            <w:pPr>
              <w:spacing w:line="360"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sz w:val="16"/>
                <w:szCs w:val="16"/>
              </w:rPr>
              <w:t>These technologies provide genome</w:t>
            </w:r>
            <w:r>
              <w:rPr>
                <w:rFonts w:ascii="Cambria Math" w:hAnsi="Cambria Math"/>
                <w:color w:val="000000"/>
                <w:sz w:val="16"/>
                <w:szCs w:val="16"/>
              </w:rPr>
              <w:t>‐</w:t>
            </w:r>
            <w:r>
              <w:rPr>
                <w:color w:val="000000"/>
                <w:sz w:val="16"/>
                <w:szCs w:val="16"/>
              </w:rPr>
              <w:t>wide analysis</w:t>
            </w:r>
            <w:r>
              <w:rPr>
                <w:color w:val="000000"/>
                <w:sz w:val="16"/>
                <w:szCs w:val="16"/>
              </w:rPr>
              <w:t xml:space="preserve"> of methylated DNA sequences. MeDIP</w:t>
            </w:r>
            <w:r>
              <w:rPr>
                <w:rFonts w:ascii="Cambria Math" w:hAnsi="Cambria Math"/>
                <w:color w:val="000000"/>
                <w:sz w:val="16"/>
                <w:szCs w:val="16"/>
              </w:rPr>
              <w:t>‐</w:t>
            </w:r>
            <w:r>
              <w:rPr>
                <w:color w:val="000000"/>
                <w:sz w:val="16"/>
                <w:szCs w:val="16"/>
              </w:rPr>
              <w:t>seq combines ChIP and high-throughput sequencing. Whole</w:t>
            </w:r>
            <w:r>
              <w:rPr>
                <w:rFonts w:ascii="Cambria Math" w:hAnsi="Cambria Math"/>
                <w:color w:val="000000"/>
                <w:sz w:val="16"/>
                <w:szCs w:val="16"/>
              </w:rPr>
              <w:t>‐</w:t>
            </w:r>
            <w:r>
              <w:rPr>
                <w:color w:val="000000"/>
                <w:sz w:val="16"/>
                <w:szCs w:val="16"/>
              </w:rPr>
              <w:t>genome bisulfite</w:t>
            </w:r>
            <w:r>
              <w:rPr>
                <w:rFonts w:ascii="Cambria Math" w:hAnsi="Cambria Math"/>
                <w:color w:val="000000"/>
                <w:sz w:val="16"/>
                <w:szCs w:val="16"/>
              </w:rPr>
              <w:t>‐</w:t>
            </w:r>
            <w:r>
              <w:rPr>
                <w:color w:val="000000"/>
                <w:sz w:val="16"/>
                <w:szCs w:val="16"/>
              </w:rPr>
              <w:t>seq uses both treated (with sodium bisulfite) and untreated genomic DNA to identify methylated regions.</w:t>
            </w:r>
          </w:p>
          <w:p w:rsidR="00877997" w:rsidRDefault="00877997">
            <w:pPr>
              <w:cnfStyle w:val="000000100000" w:firstRow="0" w:lastRow="0" w:firstColumn="0" w:lastColumn="0" w:oddVBand="0" w:evenVBand="0" w:oddHBand="1" w:evenHBand="0" w:firstRowFirstColumn="0" w:firstRowLastColumn="0" w:lastRowFirstColumn="0" w:lastRowLastColumn="0"/>
              <w:rPr>
                <w:color w:val="000000"/>
                <w:sz w:val="16"/>
                <w:szCs w:val="16"/>
              </w:rPr>
            </w:pPr>
          </w:p>
        </w:tc>
      </w:tr>
    </w:tbl>
    <w:p w:rsidR="00877997" w:rsidRDefault="00CB0676">
      <w:pPr>
        <w:rPr>
          <w:i/>
          <w:color w:val="000000"/>
          <w:sz w:val="16"/>
          <w:szCs w:val="16"/>
        </w:rPr>
      </w:pPr>
      <w:r>
        <w:rPr>
          <w:i/>
          <w:color w:val="000000"/>
          <w:sz w:val="16"/>
          <w:szCs w:val="16"/>
        </w:rPr>
        <w:t>ATAC-seq</w:t>
      </w:r>
      <w:r>
        <w:rPr>
          <w:i/>
          <w:color w:val="000000"/>
          <w:sz w:val="16"/>
          <w:szCs w:val="16"/>
        </w:rPr>
        <w:t xml:space="preserve"> – assay for transposase-accessible chromatin using sequencing assay; ChIA-PET – chromatin interaction analysis by paired-end tag sequencing; ChIP-seq – chromatin immunoprecipitation sequencing; DNASE-seq – Dnase I hypersensitive sites sequencing; FAIRE-se</w:t>
      </w:r>
      <w:r>
        <w:rPr>
          <w:i/>
          <w:color w:val="000000"/>
          <w:sz w:val="16"/>
          <w:szCs w:val="16"/>
        </w:rPr>
        <w:t>q – formaldehyde-assisted isolation of regulatory elements sequencing; MEDIP-seq – methylated DNA immunoprecipitation sequencing.</w:t>
      </w:r>
    </w:p>
    <w:p w:rsidR="00877997" w:rsidRDefault="00877997">
      <w:pPr>
        <w:spacing w:line="360" w:lineRule="auto"/>
        <w:rPr>
          <w:color w:val="000000"/>
          <w:sz w:val="20"/>
          <w:szCs w:val="20"/>
        </w:rPr>
      </w:pP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lastRenderedPageBreak/>
        <w:t xml:space="preserve">Efforts to understand non-coding variation have come through the ENCODE project, which has provided experimental </w:t>
      </w:r>
      <w:r>
        <w:rPr>
          <w:color w:val="000000"/>
          <w:sz w:val="20"/>
          <w:szCs w:val="20"/>
        </w:rPr>
        <w:t>evidence on the function of non-coding regulatory elements and gained new insights into the nature of transcription, chromatin structure and histone modification</w:t>
      </w:r>
      <w:r>
        <w:rPr>
          <w:color w:val="000000"/>
          <w:sz w:val="20"/>
          <w:szCs w:val="20"/>
        </w:rPr>
        <w:fldChar w:fldCharType="begin"/>
      </w:r>
      <w:r>
        <w:rPr>
          <w:color w:val="000000"/>
          <w:sz w:val="20"/>
          <w:szCs w:val="20"/>
        </w:rPr>
        <w:instrText xml:space="preserve"> ADDIN EN.CITE &lt;EndNote&gt;&lt;Cite&gt;&lt;Author&gt;Zhang&lt;/Author&gt;&lt;Year&gt;2015&lt;/Year&gt;&lt;RecNum&gt;14&lt;/RecNum&gt;&lt;Displa</w:instrText>
      </w:r>
      <w:r>
        <w:rPr>
          <w:color w:val="000000"/>
          <w:sz w:val="20"/>
          <w:szCs w:val="20"/>
        </w:rPr>
        <w:instrText>yText&gt;[108]&lt;/DisplayText&gt;&lt;record&gt;&lt;rec-number&gt;14&lt;/rec-number&gt;&lt;foreign-keys&gt;&lt;key app="EN" db-id="d0vstffei2ze5sew5fwxp0dq9zxs5pvvsxpv" timestamp="1579850533"&gt;14&lt;/key&gt;&lt;/foreign-keys&gt;&lt;ref-type name="Journal Article"&gt;17&lt;/ref-type&gt;&lt;contributors&gt;&lt;authors&gt;&lt;author&gt;</w:instrText>
      </w:r>
      <w:r>
        <w:rPr>
          <w:color w:val="000000"/>
          <w:sz w:val="20"/>
          <w:szCs w:val="20"/>
        </w:rPr>
        <w:instrText>Zhang, Feng&lt;/author&gt;&lt;author&gt;Lupski, James R&lt;/author&gt;&lt;/authors&gt;&lt;/contributors&gt;&lt;titles&gt;&lt;title&gt;Non-coding genetic variants in human disease&lt;/title&gt;&lt;secondary-title&gt;Human molecular genetics&lt;/secondary-title&gt;&lt;/titles&gt;&lt;periodical&gt;&lt;full-title&gt;Human molecular gene</w:instrText>
      </w:r>
      <w:r>
        <w:rPr>
          <w:color w:val="000000"/>
          <w:sz w:val="20"/>
          <w:szCs w:val="20"/>
        </w:rPr>
        <w:instrText>tics&lt;/full-title&gt;&lt;/periodical&gt;&lt;pages&gt;R102-R110&lt;/pages&gt;&lt;volume&gt;24&lt;/volume&gt;&lt;number&gt;R1&lt;/number&gt;&lt;dates&gt;&lt;year&gt;2015&lt;/year&gt;&lt;/dates&gt;&lt;isbn&gt;1460-2083&lt;/isbn&gt;&lt;urls&gt;&lt;/urls&gt;&lt;/record&gt;&lt;/Cite&gt;&lt;/EndNote&gt;</w:instrText>
      </w:r>
      <w:r>
        <w:rPr>
          <w:color w:val="000000"/>
          <w:sz w:val="20"/>
          <w:szCs w:val="20"/>
        </w:rPr>
        <w:fldChar w:fldCharType="separate"/>
      </w:r>
      <w:r>
        <w:rPr>
          <w:noProof/>
          <w:color w:val="000000"/>
          <w:sz w:val="20"/>
          <w:szCs w:val="20"/>
        </w:rPr>
        <w:t>[108]</w:t>
      </w:r>
      <w:r>
        <w:rPr>
          <w:color w:val="000000"/>
          <w:sz w:val="20"/>
          <w:szCs w:val="20"/>
        </w:rPr>
        <w:fldChar w:fldCharType="end"/>
      </w:r>
      <w:r>
        <w:rPr>
          <w:color w:val="000000"/>
          <w:sz w:val="20"/>
          <w:szCs w:val="20"/>
        </w:rPr>
        <w:t>. Results suggest that 80% of the genome contains elements link</w:t>
      </w:r>
      <w:r>
        <w:rPr>
          <w:color w:val="000000"/>
          <w:sz w:val="20"/>
          <w:szCs w:val="20"/>
        </w:rPr>
        <w:t xml:space="preserve">ed to biochemical function, and that intergenic regions contain </w:t>
      </w:r>
      <w:r>
        <w:rPr>
          <w:i/>
          <w:color w:val="000000"/>
          <w:sz w:val="20"/>
          <w:szCs w:val="20"/>
        </w:rPr>
        <w:t>cis</w:t>
      </w:r>
      <w:r>
        <w:rPr>
          <w:color w:val="000000"/>
          <w:sz w:val="20"/>
          <w:szCs w:val="20"/>
        </w:rPr>
        <w:t>-regulatory elements such as enhancers, promoters, silencers and untranslated RNA transcripts with regulatory function (</w:t>
      </w:r>
      <w:r>
        <w:rPr>
          <w:b/>
          <w:color w:val="000000"/>
          <w:sz w:val="20"/>
          <w:szCs w:val="20"/>
        </w:rPr>
        <w:t>Table 5</w:t>
      </w:r>
      <w:r>
        <w:rPr>
          <w:color w:val="000000"/>
          <w:sz w:val="20"/>
          <w:szCs w:val="20"/>
        </w:rPr>
        <w:t>)</w:t>
      </w:r>
      <w:r>
        <w:rPr>
          <w:color w:val="000000"/>
          <w:sz w:val="20"/>
          <w:szCs w:val="20"/>
        </w:rPr>
        <w:fldChar w:fldCharType="begin"/>
      </w:r>
      <w:r>
        <w:rPr>
          <w:color w:val="000000"/>
          <w:sz w:val="20"/>
          <w:szCs w:val="20"/>
        </w:rPr>
        <w:instrText xml:space="preserve"> ADDIN EN.CITE &lt;EndNote&gt;&lt;Cite&gt;&lt;Author&gt;Spielmann&lt;/Author&gt;&lt;Year</w:instrText>
      </w:r>
      <w:r>
        <w:rPr>
          <w:color w:val="000000"/>
          <w:sz w:val="20"/>
          <w:szCs w:val="20"/>
        </w:rPr>
        <w:instrText>&gt;2016&lt;/Year&gt;&lt;RecNum&gt;15&lt;/RecNum&gt;&lt;DisplayText&gt;[109]&lt;/DisplayText&gt;&lt;record&gt;&lt;rec-number&gt;15&lt;/rec-number&gt;&lt;foreign-keys&gt;&lt;key app="EN" db-id="d0vstffei2ze5sew5fwxp0dq9zxs5pvvsxpv" timestamp="1579850570"&gt;15&lt;/key&gt;&lt;/foreign-keys&gt;&lt;ref-type name="Journal Article"&gt;17&lt;/re</w:instrText>
      </w:r>
      <w:r>
        <w:rPr>
          <w:color w:val="000000"/>
          <w:sz w:val="20"/>
          <w:szCs w:val="20"/>
        </w:rPr>
        <w:instrText>f-type&gt;&lt;contributors&gt;&lt;authors&gt;&lt;author&gt;Spielmann, Malte&lt;/author&gt;&lt;author&gt;Mundlos, Stefan&lt;/author&gt;&lt;/authors&gt;&lt;/contributors&gt;&lt;titles&gt;&lt;title&gt;Looking beyond the genes: the role of non-coding variants in human disease&lt;/title&gt;&lt;secondary-title&gt;Human molecular geneti</w:instrText>
      </w:r>
      <w:r>
        <w:rPr>
          <w:color w:val="000000"/>
          <w:sz w:val="20"/>
          <w:szCs w:val="20"/>
        </w:rPr>
        <w:instrText>cs&lt;/secondary-title&gt;&lt;/titles&gt;&lt;periodical&gt;&lt;full-title&gt;Human molecular genetics&lt;/full-title&gt;&lt;/periodical&gt;&lt;pages&gt;R157-R165&lt;/pages&gt;&lt;volume&gt;25&lt;/volume&gt;&lt;number&gt;R2&lt;/number&gt;&lt;dates&gt;&lt;year&gt;2016&lt;/year&gt;&lt;/dates&gt;&lt;isbn&gt;1460-2083&lt;/isbn&gt;&lt;urls&gt;&lt;/urls&gt;&lt;/record&gt;&lt;/Cite&gt;&lt;/EndNot</w:instrText>
      </w:r>
      <w:r>
        <w:rPr>
          <w:color w:val="000000"/>
          <w:sz w:val="20"/>
          <w:szCs w:val="20"/>
        </w:rPr>
        <w:instrText>e&gt;</w:instrText>
      </w:r>
      <w:r>
        <w:rPr>
          <w:color w:val="000000"/>
          <w:sz w:val="20"/>
          <w:szCs w:val="20"/>
        </w:rPr>
        <w:fldChar w:fldCharType="separate"/>
      </w:r>
      <w:r>
        <w:rPr>
          <w:noProof/>
          <w:color w:val="000000"/>
          <w:sz w:val="20"/>
          <w:szCs w:val="20"/>
        </w:rPr>
        <w:t>[109]</w:t>
      </w:r>
      <w:r>
        <w:rPr>
          <w:color w:val="000000"/>
          <w:sz w:val="20"/>
          <w:szCs w:val="20"/>
        </w:rPr>
        <w:fldChar w:fldCharType="end"/>
      </w:r>
      <w:r>
        <w:rPr>
          <w:color w:val="000000"/>
          <w:sz w:val="20"/>
          <w:szCs w:val="20"/>
        </w:rPr>
        <w:t xml:space="preserve">. </w:t>
      </w:r>
      <w:r>
        <w:rPr>
          <w:i/>
          <w:color w:val="000000"/>
          <w:sz w:val="20"/>
          <w:szCs w:val="20"/>
        </w:rPr>
        <w:t>In silico</w:t>
      </w:r>
      <w:r>
        <w:rPr>
          <w:color w:val="000000"/>
          <w:sz w:val="20"/>
          <w:szCs w:val="20"/>
        </w:rPr>
        <w:t xml:space="preserve"> methods that exploit ENCODE data and use machine-learning to predict the functional impact of non-coding single nucleotide variants are emerging</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[61, 62, 89, 110]</w:t>
      </w:r>
      <w:r>
        <w:rPr>
          <w:color w:val="000000"/>
          <w:sz w:val="20"/>
          <w:szCs w:val="20"/>
        </w:rPr>
        <w:fldChar w:fldCharType="end"/>
      </w:r>
      <w:r>
        <w:rPr>
          <w:color w:val="000000"/>
          <w:sz w:val="20"/>
          <w:szCs w:val="20"/>
        </w:rPr>
        <w:t>. However, the routine integrati</w:t>
      </w:r>
      <w:r>
        <w:rPr>
          <w:color w:val="000000"/>
          <w:sz w:val="20"/>
          <w:szCs w:val="20"/>
        </w:rPr>
        <w:t>on of these metrics is lacking, not least because the same variant may have conflicting effects in different tissues, individuals, and developmental stages and most analytical workflows are ill-equipped to interpret their effects</w:t>
      </w:r>
      <w:r>
        <w:rPr>
          <w:color w:val="000000"/>
          <w:sz w:val="20"/>
          <w:szCs w:val="20"/>
        </w:rPr>
        <w:fldChar w:fldCharType="begin"/>
      </w:r>
      <w:r>
        <w:rPr>
          <w:color w:val="000000"/>
          <w:sz w:val="20"/>
          <w:szCs w:val="20"/>
        </w:rPr>
        <w:instrText xml:space="preserve"> ADDIN EN.CITE &lt;EndNote&gt;&lt;Ci</w:instrText>
      </w:r>
      <w:r>
        <w:rPr>
          <w:color w:val="000000"/>
          <w:sz w:val="20"/>
          <w:szCs w:val="20"/>
        </w:rPr>
        <w:instrText>te&gt;&lt;Author&gt;Ritchie&lt;/Author&gt;&lt;Year&gt;2014&lt;/Year&gt;&lt;RecNum&gt;18&lt;/RecNum&gt;&lt;DisplayText&gt;[62]&lt;/DisplayText&gt;&lt;record&gt;&lt;rec-number&gt;18&lt;/rec-number&gt;&lt;foreign-keys&gt;&lt;key app="EN" db-id="d0vstffei2ze5sew5fwxp0dq9zxs5pvvsxpv" timestamp="1579850700"&gt;18&lt;/key&gt;&lt;/foreign-keys&gt;&lt;ref-typ</w:instrText>
      </w:r>
      <w:r>
        <w:rPr>
          <w:color w:val="000000"/>
          <w:sz w:val="20"/>
          <w:szCs w:val="20"/>
        </w:rPr>
        <w:instrText>e name="Journal Article"&gt;17&lt;/ref-type&gt;&lt;contributors&gt;&lt;authors&gt;&lt;author&gt;Ritchie, Graham RS&lt;/author&gt;&lt;author&gt;Dunham, Ian&lt;/author&gt;&lt;author&gt;Zeggini, Eleftheria&lt;/author&gt;&lt;author&gt;Flicek, Paul&lt;/author&gt;&lt;/authors&gt;&lt;/contributors&gt;&lt;titles&gt;&lt;title&gt;Functional annotation of no</w:instrText>
      </w:r>
      <w:r>
        <w:rPr>
          <w:color w:val="000000"/>
          <w:sz w:val="20"/>
          <w:szCs w:val="20"/>
        </w:rPr>
        <w:instrText>ncoding sequence variants&lt;/title&gt;&lt;secondary-title&gt;Nature methods&lt;/secondary-title&gt;&lt;/titles&gt;&lt;periodical&gt;&lt;full-title&gt;Nature methods&lt;/full-title&gt;&lt;/periodical&gt;&lt;pages&gt;294&lt;/pages&gt;&lt;volume&gt;11&lt;/volume&gt;&lt;number&gt;3&lt;/number&gt;&lt;dates&gt;&lt;year&gt;2014&lt;/year&gt;&lt;/dates&gt;&lt;isbn&gt;1548-710</w:instrText>
      </w:r>
      <w:r>
        <w:rPr>
          <w:color w:val="000000"/>
          <w:sz w:val="20"/>
          <w:szCs w:val="20"/>
        </w:rPr>
        <w:instrText>5&lt;/isbn&gt;&lt;urls&gt;&lt;/urls&gt;&lt;/record&gt;&lt;/Cite&gt;&lt;/EndNote&gt;</w:instrText>
      </w:r>
      <w:r>
        <w:rPr>
          <w:color w:val="000000"/>
          <w:sz w:val="20"/>
          <w:szCs w:val="20"/>
        </w:rPr>
        <w:fldChar w:fldCharType="separate"/>
      </w:r>
      <w:r>
        <w:rPr>
          <w:noProof/>
          <w:color w:val="000000"/>
          <w:sz w:val="20"/>
          <w:szCs w:val="20"/>
        </w:rPr>
        <w:t>[62]</w:t>
      </w:r>
      <w:r>
        <w:rPr>
          <w:color w:val="000000"/>
          <w:sz w:val="20"/>
          <w:szCs w:val="20"/>
        </w:rPr>
        <w:fldChar w:fldCharType="end"/>
      </w:r>
      <w:r>
        <w:rPr>
          <w:color w:val="000000"/>
          <w:sz w:val="20"/>
          <w:szCs w:val="20"/>
        </w:rPr>
        <w:t xml:space="preserve">. </w:t>
      </w:r>
    </w:p>
    <w:p w:rsidR="00877997" w:rsidRDefault="00877997">
      <w:pPr>
        <w:rPr>
          <w:color w:val="000000"/>
          <w:sz w:val="20"/>
          <w:szCs w:val="20"/>
        </w:rPr>
      </w:pPr>
    </w:p>
    <w:p w:rsidR="00877997" w:rsidRDefault="00877997">
      <w:pPr>
        <w:rPr>
          <w:b/>
          <w:color w:val="000000"/>
          <w:sz w:val="20"/>
          <w:szCs w:val="20"/>
        </w:rPr>
      </w:pPr>
    </w:p>
    <w:p w:rsidR="00877997" w:rsidRDefault="00CB0676">
      <w:pPr>
        <w:rPr>
          <w:color w:val="000000"/>
          <w:sz w:val="20"/>
          <w:szCs w:val="20"/>
        </w:rPr>
      </w:pPr>
      <w:r>
        <w:rPr>
          <w:b/>
          <w:color w:val="000000"/>
          <w:sz w:val="20"/>
          <w:szCs w:val="20"/>
        </w:rPr>
        <w:t xml:space="preserve">Table 5 | </w:t>
      </w:r>
      <w:r>
        <w:rPr>
          <w:color w:val="000000"/>
          <w:sz w:val="20"/>
          <w:szCs w:val="16"/>
        </w:rPr>
        <w:t>Description of non-coding variant classes.</w:t>
      </w:r>
    </w:p>
    <w:tbl>
      <w:tblPr>
        <w:tblStyle w:val="PlainTable3"/>
        <w:tblW w:w="10320" w:type="dxa"/>
        <w:tblLook w:val="04A0" w:firstRow="1" w:lastRow="0" w:firstColumn="1" w:lastColumn="0" w:noHBand="0" w:noVBand="1"/>
      </w:tblPr>
      <w:tblGrid>
        <w:gridCol w:w="2145"/>
        <w:gridCol w:w="8175"/>
      </w:tblGrid>
      <w:tr w:rsidR="00877997" w:rsidTr="008779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877997" w:rsidRDefault="00CB0676">
            <w:pPr>
              <w:spacing w:after="225" w:line="360" w:lineRule="atLeast"/>
              <w:rPr>
                <w:b w:val="0"/>
                <w:bCs w:val="0"/>
                <w:color w:val="000000"/>
                <w:sz w:val="16"/>
                <w:szCs w:val="16"/>
              </w:rPr>
            </w:pPr>
            <w:r>
              <w:rPr>
                <w:color w:val="000000"/>
                <w:sz w:val="16"/>
                <w:szCs w:val="16"/>
              </w:rPr>
              <w:t>Type</w:t>
            </w:r>
          </w:p>
        </w:tc>
        <w:tc>
          <w:tcPr>
            <w:tcW w:w="0" w:type="auto"/>
          </w:tcPr>
          <w:p w:rsidR="00877997" w:rsidRDefault="00CB0676">
            <w:pPr>
              <w:spacing w:after="225" w:line="360" w:lineRule="atLeast"/>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Description</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877997" w:rsidRDefault="00CB0676">
            <w:pPr>
              <w:spacing w:after="225" w:line="360" w:lineRule="atLeast"/>
              <w:rPr>
                <w:color w:val="000000"/>
                <w:sz w:val="16"/>
                <w:szCs w:val="16"/>
              </w:rPr>
            </w:pPr>
            <w:r>
              <w:rPr>
                <w:i/>
                <w:iCs/>
                <w:color w:val="000000"/>
                <w:sz w:val="16"/>
                <w:szCs w:val="16"/>
              </w:rPr>
              <w:t>Representative functional non</w:t>
            </w:r>
            <w:r>
              <w:rPr>
                <w:rFonts w:ascii="Cambria Math" w:hAnsi="Cambria Math"/>
                <w:i/>
                <w:iCs/>
                <w:color w:val="000000"/>
                <w:sz w:val="16"/>
                <w:szCs w:val="16"/>
              </w:rPr>
              <w:t>‐</w:t>
            </w:r>
            <w:r>
              <w:rPr>
                <w:i/>
                <w:iCs/>
                <w:color w:val="000000"/>
                <w:sz w:val="16"/>
                <w:szCs w:val="16"/>
              </w:rPr>
              <w:t>coding elements</w:t>
            </w:r>
          </w:p>
        </w:tc>
      </w:tr>
      <w:tr w:rsidR="00877997" w:rsidTr="00877997">
        <w:trPr>
          <w:trHeight w:val="1503"/>
        </w:trPr>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Untranslated region</w:t>
            </w:r>
          </w:p>
        </w:tc>
        <w:tc>
          <w:tcPr>
            <w:tcW w:w="0" w:type="auto"/>
          </w:tcPr>
          <w:p w:rsidR="00877997" w:rsidRDefault="00CB0676">
            <w:pPr>
              <w:spacing w:after="225" w:line="360" w:lineRule="atLeas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Untranslated regions (UTRs)</w:t>
            </w:r>
            <w:r>
              <w:rPr>
                <w:color w:val="000000"/>
                <w:sz w:val="16"/>
                <w:szCs w:val="16"/>
              </w:rPr>
              <w:t xml:space="preserve"> are transcribed DNA included in the mature mRNA but not translated into protein. The 5’ (upstream) UTR and 3’ (downstream) UTR are important for translational control, mRNA stability and intracellular localisation. The 5’ UTR contains the 5’ cap and the 3</w:t>
            </w:r>
            <w:r>
              <w:rPr>
                <w:color w:val="000000"/>
                <w:sz w:val="16"/>
                <w:szCs w:val="16"/>
              </w:rPr>
              <w:t>’ UTR contains the polyadenylation signal (AAUAAA) and miRNA-binding sites.</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Promoter</w:t>
            </w:r>
          </w:p>
        </w:tc>
        <w:tc>
          <w:tcPr>
            <w:tcW w:w="0" w:type="auto"/>
          </w:tcPr>
          <w:p w:rsidR="00877997" w:rsidRDefault="00CB0676">
            <w:pPr>
              <w:spacing w:after="225" w:line="360" w:lineRule="atLeas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Promoters provide binding for the promoter machinery that initiates gene transcription, typically located upstream of a gene. Epigenetic markers for active and repressive</w:t>
            </w:r>
            <w:r>
              <w:rPr>
                <w:color w:val="000000"/>
                <w:sz w:val="16"/>
                <w:szCs w:val="16"/>
              </w:rPr>
              <w:t xml:space="preserve"> promoters include H3K4me3 and H3K27me3, respectively.</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Enhancer</w:t>
            </w:r>
          </w:p>
        </w:tc>
        <w:tc>
          <w:tcPr>
            <w:tcW w:w="0" w:type="auto"/>
          </w:tcPr>
          <w:p w:rsidR="00877997" w:rsidRDefault="00CB0676">
            <w:pPr>
              <w:spacing w:after="225" w:line="360" w:lineRule="atLeas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Enhancers provide binding sites for proteins that help active transcription and control of expression levels of distal gene(s). H3K27ac is known as the representative mark of active enhancers</w:t>
            </w:r>
            <w:r>
              <w:rPr>
                <w:color w:val="000000"/>
                <w:sz w:val="16"/>
                <w:szCs w:val="16"/>
              </w:rPr>
              <w:t>.</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Silencer</w:t>
            </w:r>
          </w:p>
        </w:tc>
        <w:tc>
          <w:tcPr>
            <w:tcW w:w="0" w:type="auto"/>
          </w:tcPr>
          <w:p w:rsidR="00877997" w:rsidRDefault="00CB0676">
            <w:pPr>
              <w:spacing w:after="225" w:line="360" w:lineRule="atLeas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Silencers provide binding sites for proteins important in the repression of transcription.</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Transcription factor binding sites</w:t>
            </w:r>
          </w:p>
        </w:tc>
        <w:tc>
          <w:tcPr>
            <w:tcW w:w="0" w:type="auto"/>
          </w:tcPr>
          <w:p w:rsidR="00877997" w:rsidRDefault="00CB0676">
            <w:pPr>
              <w:spacing w:after="225" w:line="360" w:lineRule="atLeas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TF binding sites are genomic elements bound by TF proteins that play a crucial role in regulation of gene transcripti</w:t>
            </w:r>
            <w:r>
              <w:rPr>
                <w:color w:val="000000"/>
                <w:sz w:val="16"/>
                <w:szCs w:val="16"/>
              </w:rPr>
              <w:t xml:space="preserve">on. TFs bind preferably to specific DNA sequence motifs in </w:t>
            </w:r>
            <w:r>
              <w:rPr>
                <w:i/>
                <w:color w:val="000000"/>
                <w:sz w:val="16"/>
                <w:szCs w:val="16"/>
              </w:rPr>
              <w:t>cis</w:t>
            </w:r>
            <w:r>
              <w:rPr>
                <w:color w:val="000000"/>
                <w:sz w:val="16"/>
                <w:szCs w:val="16"/>
              </w:rPr>
              <w:t>-regulatory regions of promoter and enhancer DNA.</w:t>
            </w:r>
          </w:p>
        </w:tc>
      </w:tr>
      <w:tr w:rsidR="00877997" w:rsidTr="00877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Insulators</w:t>
            </w:r>
          </w:p>
        </w:tc>
        <w:tc>
          <w:tcPr>
            <w:tcW w:w="0" w:type="auto"/>
          </w:tcPr>
          <w:p w:rsidR="00877997" w:rsidRDefault="00CB0676">
            <w:pPr>
              <w:spacing w:after="225" w:line="360" w:lineRule="atLeas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Insulators are DNA elements that act as a blocker of interactions between regulatory elements (e.g., enhancer-blocker insultators) and/or a barrier to propagation of repressive chromatin (barrier insulators).</w:t>
            </w:r>
          </w:p>
        </w:tc>
      </w:tr>
      <w:tr w:rsidR="00877997" w:rsidTr="00877997">
        <w:tc>
          <w:tcPr>
            <w:cnfStyle w:val="001000000000" w:firstRow="0" w:lastRow="0" w:firstColumn="1" w:lastColumn="0" w:oddVBand="0" w:evenVBand="0" w:oddHBand="0" w:evenHBand="0" w:firstRowFirstColumn="0" w:firstRowLastColumn="0" w:lastRowFirstColumn="0" w:lastRowLastColumn="0"/>
            <w:tcW w:w="0" w:type="auto"/>
          </w:tcPr>
          <w:p w:rsidR="00877997" w:rsidRDefault="00CB0676">
            <w:pPr>
              <w:spacing w:after="225" w:line="360" w:lineRule="atLeast"/>
              <w:rPr>
                <w:color w:val="000000"/>
                <w:sz w:val="16"/>
                <w:szCs w:val="16"/>
              </w:rPr>
            </w:pPr>
            <w:r>
              <w:rPr>
                <w:color w:val="000000"/>
                <w:sz w:val="16"/>
                <w:szCs w:val="16"/>
              </w:rPr>
              <w:t>Transcribed non</w:t>
            </w:r>
            <w:r>
              <w:rPr>
                <w:rFonts w:ascii="Cambria Math" w:hAnsi="Cambria Math"/>
                <w:color w:val="000000"/>
                <w:sz w:val="16"/>
                <w:szCs w:val="16"/>
              </w:rPr>
              <w:t>‐</w:t>
            </w:r>
            <w:r>
              <w:rPr>
                <w:color w:val="000000"/>
                <w:sz w:val="16"/>
                <w:szCs w:val="16"/>
              </w:rPr>
              <w:t>coding regions</w:t>
            </w:r>
          </w:p>
        </w:tc>
        <w:tc>
          <w:tcPr>
            <w:tcW w:w="0" w:type="auto"/>
          </w:tcPr>
          <w:p w:rsidR="00877997" w:rsidRDefault="00CB0676">
            <w:pPr>
              <w:spacing w:after="225" w:line="360" w:lineRule="atLeas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Some non-coding</w:t>
            </w:r>
            <w:r>
              <w:rPr>
                <w:color w:val="000000"/>
                <w:sz w:val="16"/>
                <w:szCs w:val="16"/>
              </w:rPr>
              <w:t xml:space="preserve"> DNA is transcribed into functional RNA but not translated into protein. Specific examples include transfer RNA, ribosomal RNA, miRNA, long (intergenic) non</w:t>
            </w:r>
            <w:r>
              <w:rPr>
                <w:rFonts w:ascii="Cambria Math" w:hAnsi="Cambria Math"/>
                <w:color w:val="000000"/>
                <w:sz w:val="16"/>
                <w:szCs w:val="16"/>
              </w:rPr>
              <w:t>‐</w:t>
            </w:r>
            <w:r>
              <w:rPr>
                <w:color w:val="000000"/>
                <w:sz w:val="16"/>
                <w:szCs w:val="16"/>
              </w:rPr>
              <w:t>coding RNA, small nucleolar RNA, and others.</w:t>
            </w:r>
          </w:p>
        </w:tc>
      </w:tr>
    </w:tbl>
    <w:p w:rsidR="00877997" w:rsidRDefault="00877997">
      <w:pPr>
        <w:rPr>
          <w:color w:val="000000"/>
          <w:sz w:val="20"/>
          <w:szCs w:val="20"/>
        </w:rPr>
      </w:pPr>
    </w:p>
    <w:p w:rsidR="00877997" w:rsidRDefault="00CB0676">
      <w:pPr>
        <w:rPr>
          <w:i/>
          <w:color w:val="000000"/>
          <w:sz w:val="16"/>
          <w:szCs w:val="16"/>
        </w:rPr>
      </w:pPr>
      <w:r>
        <w:rPr>
          <w:i/>
          <w:color w:val="000000"/>
          <w:sz w:val="16"/>
          <w:szCs w:val="16"/>
        </w:rPr>
        <w:t xml:space="preserve"> [TF – transcription factor; miRNA – microRNA; UTR –</w:t>
      </w:r>
      <w:r>
        <w:rPr>
          <w:i/>
          <w:color w:val="000000"/>
          <w:sz w:val="16"/>
          <w:szCs w:val="16"/>
        </w:rPr>
        <w:t xml:space="preserve"> untranslated region].</w:t>
      </w:r>
    </w:p>
    <w:p w:rsidR="00877997" w:rsidRDefault="00877997">
      <w:pPr>
        <w:rPr>
          <w:color w:val="000000"/>
          <w:sz w:val="20"/>
          <w:szCs w:val="20"/>
        </w:rPr>
      </w:pPr>
    </w:p>
    <w:p w:rsidR="00877997" w:rsidRDefault="00877997">
      <w:pPr>
        <w:rPr>
          <w:b/>
          <w:bCs/>
          <w:color w:val="000000"/>
          <w:sz w:val="20"/>
          <w:szCs w:val="20"/>
        </w:rPr>
      </w:pPr>
    </w:p>
    <w:p w:rsidR="00877997" w:rsidRDefault="00CB0676">
      <w:pPr>
        <w:rPr>
          <w:b/>
          <w:bCs/>
          <w:color w:val="000000"/>
          <w:sz w:val="20"/>
          <w:szCs w:val="20"/>
        </w:rPr>
      </w:pPr>
      <w:r>
        <w:rPr>
          <w:b/>
          <w:bCs/>
          <w:color w:val="000000"/>
          <w:sz w:val="20"/>
          <w:szCs w:val="20"/>
        </w:rPr>
        <w:lastRenderedPageBreak/>
        <w:t>Structural variation</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Structural variants (SVs) are genomic rearrangements larger than 50 base-pairs.</w:t>
      </w:r>
      <w:r>
        <w:rPr>
          <w:color w:val="000000"/>
          <w:sz w:val="20"/>
          <w:szCs w:val="20"/>
        </w:rPr>
        <w:t xml:space="preserve"> SVs not only affect gene dosage, but can modulate the basic mechanisms of gene regulation by altering the copy number of regulatory elements and by modifying the 3D genome through topological associating domains. SV disease mechanisms are reviewed elsewhe</w:t>
      </w:r>
      <w:r>
        <w:rPr>
          <w:color w:val="000000"/>
          <w:sz w:val="20"/>
          <w:szCs w:val="20"/>
        </w:rPr>
        <w:t>re</w:t>
      </w:r>
      <w:r>
        <w:rPr>
          <w:color w:val="000000"/>
          <w:sz w:val="20"/>
          <w:szCs w:val="20"/>
        </w:rPr>
        <w:fldChar w:fldCharType="begin"/>
      </w:r>
      <w:r>
        <w:rPr>
          <w:color w:val="000000"/>
          <w:sz w:val="20"/>
          <w:szCs w:val="20"/>
        </w:rPr>
        <w:instrText xml:space="preserve"> ADDIN EN.CITE &lt;EndNote&gt;&lt;Cite&gt;&lt;Author&gt;Spielmann&lt;/Author&gt;&lt;Year&gt;2018&lt;/Year&gt;&lt;RecNum&gt;21&lt;/RecNum&gt;&lt;DisplayText&gt;[107]&lt;/DisplayText&gt;&lt;record&gt;&lt;rec-number&gt;21&lt;/rec-number&gt;&lt;foreign-keys&gt;&lt;key app="EN" db-id="d0vstffei2ze5sew5fwxp0dq9zxs5pvvsxpv" timestamp="1579851137"</w:instrText>
      </w:r>
      <w:r>
        <w:rPr>
          <w:color w:val="000000"/>
          <w:sz w:val="20"/>
          <w:szCs w:val="20"/>
        </w:rPr>
        <w:instrText>&gt;21&lt;/key&gt;&lt;/foreign-keys&gt;&lt;ref-type name="Journal Article"&gt;17&lt;/ref-type&gt;&lt;contributors&gt;&lt;authors&gt;&lt;author&gt;Spielmann, Malte&lt;/author&gt;&lt;author&gt;Lupiáñez, Darío G.&lt;/author&gt;&lt;author&gt;Mundlos, Stefan&lt;/author&gt;&lt;/authors&gt;&lt;/contributors&gt;&lt;titles&gt;&lt;title&gt;Structural variation in</w:instrText>
      </w:r>
      <w:r>
        <w:rPr>
          <w:color w:val="000000"/>
          <w:sz w:val="20"/>
          <w:szCs w:val="20"/>
        </w:rPr>
        <w:instrText xml:space="preserve"> the 3D genome&lt;/title&gt;&lt;secondary-title&gt;Nature Reviews Genetics&lt;/secondary-title&gt;&lt;/titles&gt;&lt;periodical&gt;&lt;full-title&gt;Nature Reviews Genetics&lt;/full-title&gt;&lt;/periodical&gt;&lt;pages&gt;453-467&lt;/pages&gt;&lt;volume&gt;19&lt;/volume&gt;&lt;number&gt;7&lt;/number&gt;&lt;dates&gt;&lt;year&gt;2018&lt;/year&gt;&lt;pub-dates&gt;</w:instrText>
      </w:r>
      <w:r>
        <w:rPr>
          <w:color w:val="000000"/>
          <w:sz w:val="20"/>
          <w:szCs w:val="20"/>
        </w:rPr>
        <w:instrText>&lt;date&gt;2018/07/01&lt;/date&gt;&lt;/pub-dates&gt;&lt;/dates&gt;&lt;isbn&gt;1471-0064&lt;/isbn&gt;&lt;urls&gt;&lt;related-urls&gt;&lt;url&gt;https://doi.org/10.1038/s41576-018-0007-0&lt;/url&gt;&lt;/related-urls&gt;&lt;/urls&gt;&lt;electronic-resource-num&gt;10.1038/s41576-018-0007-0&lt;/electronic-resource-num&gt;&lt;/record&gt;&lt;/Cite&gt;&lt;/End</w:instrText>
      </w:r>
      <w:r>
        <w:rPr>
          <w:color w:val="000000"/>
          <w:sz w:val="20"/>
          <w:szCs w:val="20"/>
        </w:rPr>
        <w:instrText>Note&gt;</w:instrText>
      </w:r>
      <w:r>
        <w:rPr>
          <w:color w:val="000000"/>
          <w:sz w:val="20"/>
          <w:szCs w:val="20"/>
        </w:rPr>
        <w:fldChar w:fldCharType="separate"/>
      </w:r>
      <w:r>
        <w:rPr>
          <w:noProof/>
          <w:color w:val="000000"/>
          <w:sz w:val="20"/>
          <w:szCs w:val="20"/>
        </w:rPr>
        <w:t>[107]</w:t>
      </w:r>
      <w:r>
        <w:rPr>
          <w:color w:val="000000"/>
          <w:sz w:val="20"/>
          <w:szCs w:val="20"/>
        </w:rPr>
        <w:fldChar w:fldCharType="end"/>
      </w:r>
      <w:r>
        <w:rPr>
          <w:color w:val="000000"/>
          <w:sz w:val="20"/>
          <w:szCs w:val="20"/>
        </w:rPr>
        <w:t>.</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 xml:space="preserve">SVs can be balanced (inversions and translocations), or unbalanced (deletions, insertions and duplications) and we are only beginning to appreciate their prevalence. A preprint by Collins </w:t>
      </w:r>
      <w:r>
        <w:rPr>
          <w:i/>
          <w:color w:val="000000"/>
          <w:sz w:val="20"/>
          <w:szCs w:val="20"/>
        </w:rPr>
        <w:t>et al.</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[111]</w:t>
      </w:r>
      <w:r>
        <w:rPr>
          <w:color w:val="000000"/>
          <w:sz w:val="20"/>
          <w:szCs w:val="20"/>
        </w:rPr>
        <w:fldChar w:fldCharType="end"/>
      </w:r>
      <w:r>
        <w:rPr>
          <w:color w:val="000000"/>
          <w:sz w:val="20"/>
          <w:szCs w:val="20"/>
        </w:rPr>
        <w:t xml:space="preserve"> catalogued 433,371 distinct SVs across &gt;14,000 genomes in gnomAD, producing 7,439 SVs on average per individual, contributing to approximately 25-29% of all rare protein truncating events. Therefore, there is likely to be an appreciable burden of rare pat</w:t>
      </w:r>
      <w:r>
        <w:rPr>
          <w:color w:val="000000"/>
          <w:sz w:val="20"/>
          <w:szCs w:val="20"/>
        </w:rPr>
        <w:t>hogenic variation secondary to SVs undetected by current clinical testing standards. This has often been suspected, particularly in cases when one pathogenic variant is detected in a recessive gene of interest and there’s suspicion for a ‘second hit’ somew</w:t>
      </w:r>
      <w:r>
        <w:rPr>
          <w:color w:val="000000"/>
          <w:sz w:val="20"/>
          <w:szCs w:val="20"/>
        </w:rPr>
        <w:t>here else in the genome. Indeed, a recent preprint showed that 4% of undiagnosed genomes were solved using SV calling</w:t>
      </w:r>
      <w:r>
        <w:rPr>
          <w:color w:val="000000"/>
          <w:sz w:val="20"/>
          <w:szCs w:val="20"/>
        </w:rPr>
        <w:fldChar w:fldCharType="begin"/>
      </w:r>
      <w:r>
        <w:rPr>
          <w:color w:val="000000"/>
          <w:sz w:val="20"/>
          <w:szCs w:val="20"/>
        </w:rPr>
        <w:instrText xml:space="preserve"> ADDIN EN.CITE &lt;EndNote&gt;&lt;Cite&gt;&lt;Author&gt;Holt&lt;/Author&gt;&lt;Year&gt;2019&lt;/Year&gt;&lt;RecNum&gt;23&lt;/RecNum&gt;&lt;DisplayText&gt;[112]&lt;/DisplayText&gt;&lt;record&gt;&lt;rec-number&gt;</w:instrText>
      </w:r>
      <w:r>
        <w:rPr>
          <w:color w:val="000000"/>
          <w:sz w:val="20"/>
          <w:szCs w:val="20"/>
        </w:rPr>
        <w:instrText>23&lt;/rec-number&gt;&lt;foreign-keys&gt;&lt;key app="EN" db-id="d0vstffei2ze5sew5fwxp0dq9zxs5pvvsxpv" timestamp="1579851370"&gt;23&lt;/key&gt;&lt;/foreign-keys&gt;&lt;ref-type name="Journal Article"&gt;17&lt;/ref-type&gt;&lt;contributors&gt;&lt;authors&gt;&lt;author&gt;Holt, James M.&lt;/author&gt;&lt;author&gt;Birch, Camille</w:instrText>
      </w:r>
      <w:r>
        <w:rPr>
          <w:color w:val="000000"/>
          <w:sz w:val="20"/>
          <w:szCs w:val="20"/>
        </w:rPr>
        <w:instrText xml:space="preserve"> L.&lt;/author&gt;&lt;author&gt;Brown, Donna M.&lt;/author&gt;&lt;author&gt;Gajapathy, Manavalan&lt;/author&gt;&lt;author&gt;Sosonkina, Nadiya&lt;/author&gt;&lt;author&gt;Wilk, Brandon&lt;/author&gt;&lt;author&gt;Wilk, Melissa A.&lt;/author&gt;&lt;author&gt;Spillmann, Rebecca C.&lt;/author&gt;&lt;author&gt;Stong, Nicholas&lt;/author&gt;&lt;author&gt;</w:instrText>
      </w:r>
      <w:r>
        <w:rPr>
          <w:color w:val="000000"/>
          <w:sz w:val="20"/>
          <w:szCs w:val="20"/>
        </w:rPr>
        <w:instrText>Lee, Hane&lt;/author&gt;&lt;author&gt;Huang, Alden Y.&lt;/author&gt;&lt;author&gt;Bonner, Devon&lt;/author&gt;&lt;author&gt;Kohler, Jennefer N.&lt;/author&gt;&lt;author&gt;Macnamara, Ellen F.&lt;/author&gt;&lt;author&gt;Nelson, Stanley F.&lt;/author&gt;&lt;author&gt;Shashi, Vandana&lt;/author&gt;&lt;author&gt;Worthey, Elizabeth A.&lt;/author</w:instrText>
      </w:r>
      <w:r>
        <w:rPr>
          <w:color w:val="000000"/>
          <w:sz w:val="20"/>
          <w:szCs w:val="20"/>
        </w:rPr>
        <w:instrText>&gt;&lt;/authors&gt;&lt;/contributors&gt;&lt;titles&gt;&lt;title&gt;Identification of Pathogenic Structural Variants in Rare Disease Patients through Genome Sequencing&lt;/title&gt;&lt;secondary-title&gt;bioRxiv&lt;/secondary-title&gt;&lt;/titles&gt;&lt;periodical&gt;&lt;full-title&gt;bioRxiv&lt;/full-title&gt;&lt;/periodical&gt;</w:instrText>
      </w:r>
      <w:r>
        <w:rPr>
          <w:color w:val="000000"/>
          <w:sz w:val="20"/>
          <w:szCs w:val="20"/>
        </w:rPr>
        <w:instrText>&lt;pages&gt;627661&lt;/pages&gt;&lt;dates&gt;&lt;year&gt;2019&lt;/year&gt;&lt;/dates&gt;&lt;urls&gt;&lt;related-urls&gt;&lt;url&gt;https://www.biorxiv.org/content/biorxiv/early/2019/05/15/627661.full.pdf&lt;/url&gt;&lt;/related-urls&gt;&lt;/urls&gt;&lt;electronic-resource-num&gt;10.1101/627661&lt;/electronic-resource-num&gt;&lt;/record&gt;&lt;/Ci</w:instrText>
      </w:r>
      <w:r>
        <w:rPr>
          <w:color w:val="000000"/>
          <w:sz w:val="20"/>
          <w:szCs w:val="20"/>
        </w:rPr>
        <w:instrText>te&gt;&lt;/EndNote&gt;</w:instrText>
      </w:r>
      <w:r>
        <w:rPr>
          <w:color w:val="000000"/>
          <w:sz w:val="20"/>
          <w:szCs w:val="20"/>
        </w:rPr>
        <w:fldChar w:fldCharType="separate"/>
      </w:r>
      <w:r>
        <w:rPr>
          <w:noProof/>
          <w:color w:val="000000"/>
          <w:sz w:val="20"/>
          <w:szCs w:val="20"/>
        </w:rPr>
        <w:t>[112]</w:t>
      </w:r>
      <w:r>
        <w:rPr>
          <w:color w:val="000000"/>
          <w:sz w:val="20"/>
          <w:szCs w:val="20"/>
        </w:rPr>
        <w:fldChar w:fldCharType="end"/>
      </w:r>
      <w:r>
        <w:rPr>
          <w:color w:val="000000"/>
          <w:sz w:val="20"/>
          <w:szCs w:val="20"/>
        </w:rPr>
        <w:t>.</w:t>
      </w:r>
    </w:p>
    <w:p w:rsidR="00877997" w:rsidRDefault="00877997">
      <w:pPr>
        <w:spacing w:line="360" w:lineRule="auto"/>
        <w:rPr>
          <w:color w:val="000000"/>
          <w:sz w:val="20"/>
          <w:szCs w:val="20"/>
        </w:rPr>
      </w:pPr>
    </w:p>
    <w:p w:rsidR="00877997" w:rsidRDefault="00CB0676">
      <w:pPr>
        <w:spacing w:line="360" w:lineRule="auto"/>
        <w:rPr>
          <w:color w:val="000000"/>
        </w:rPr>
      </w:pPr>
      <w:r>
        <w:rPr>
          <w:color w:val="000000"/>
          <w:sz w:val="20"/>
          <w:szCs w:val="20"/>
        </w:rPr>
        <w:t xml:space="preserve">The most well studied SVs are unbalanced SVs, or copy number variants (CNVs). Array comparative genomic hybridisation is the first-line diagnostic CNV test, however its low resolution and inability to detect balanced rearrangements </w:t>
      </w:r>
      <w:r>
        <w:rPr>
          <w:color w:val="000000"/>
          <w:sz w:val="20"/>
          <w:szCs w:val="20"/>
        </w:rPr>
        <w:t>mean that a large proportion of SVs are missed</w:t>
      </w:r>
      <w:r>
        <w:rPr>
          <w:color w:val="000000"/>
          <w:sz w:val="20"/>
          <w:szCs w:val="20"/>
        </w:rPr>
        <w:fldChar w:fldCharType="begin"/>
      </w:r>
      <w:r>
        <w:rPr>
          <w:color w:val="000000"/>
          <w:sz w:val="20"/>
          <w:szCs w:val="20"/>
        </w:rPr>
        <w:instrText xml:space="preserve"> ADDIN EN.CITE &lt;EndNote&gt;&lt;Cite&gt;&lt;Author&gt;Spielmann&lt;/Author&gt;&lt;Year&gt;2018&lt;/Year&gt;&lt;RecNum&gt;21&lt;/RecNum&gt;&lt;DisplayText&gt;[107]&lt;/DisplayText&gt;&lt;record&gt;&lt;rec-number&gt;21&lt;/rec-number&gt;&lt;foreign-keys&gt;&lt;key app="EN" db-id="d0vstffei2ze5sew</w:instrText>
      </w:r>
      <w:r>
        <w:rPr>
          <w:color w:val="000000"/>
          <w:sz w:val="20"/>
          <w:szCs w:val="20"/>
        </w:rPr>
        <w:instrText>5fwxp0dq9zxs5pvvsxpv" timestamp="1579851137"&gt;21&lt;/key&gt;&lt;/foreign-keys&gt;&lt;ref-type name="Journal Article"&gt;17&lt;/ref-type&gt;&lt;contributors&gt;&lt;authors&gt;&lt;author&gt;Spielmann, Malte&lt;/author&gt;&lt;author&gt;Lupiáñez, Darío G.&lt;/author&gt;&lt;author&gt;Mundlos, Stefan&lt;/author&gt;&lt;/authors&gt;&lt;/contrib</w:instrText>
      </w:r>
      <w:r>
        <w:rPr>
          <w:color w:val="000000"/>
          <w:sz w:val="20"/>
          <w:szCs w:val="20"/>
        </w:rPr>
        <w:instrText>utors&gt;&lt;titles&gt;&lt;title&gt;Structural variation in the 3D genome&lt;/title&gt;&lt;secondary-title&gt;Nature Reviews Genetics&lt;/secondary-title&gt;&lt;/titles&gt;&lt;periodical&gt;&lt;full-title&gt;Nature Reviews Genetics&lt;/full-title&gt;&lt;/periodical&gt;&lt;pages&gt;453-467&lt;/pages&gt;&lt;volume&gt;19&lt;/volume&gt;&lt;number&gt;7</w:instrText>
      </w:r>
      <w:r>
        <w:rPr>
          <w:color w:val="000000"/>
          <w:sz w:val="20"/>
          <w:szCs w:val="20"/>
        </w:rPr>
        <w:instrText>&lt;/number&gt;&lt;dates&gt;&lt;year&gt;2018&lt;/year&gt;&lt;pub-dates&gt;&lt;date&gt;2018/07/01&lt;/date&gt;&lt;/pub-dates&gt;&lt;/dates&gt;&lt;isbn&gt;1471-0064&lt;/isbn&gt;&lt;urls&gt;&lt;related-urls&gt;&lt;url&gt;https://doi.org/10.1038/s41576-018-0007-0&lt;/url&gt;&lt;/related-urls&gt;&lt;/urls&gt;&lt;electronic-resource-num&gt;10.1038/s41576-018-0007-0&lt;/e</w:instrText>
      </w:r>
      <w:r>
        <w:rPr>
          <w:color w:val="000000"/>
          <w:sz w:val="20"/>
          <w:szCs w:val="20"/>
        </w:rPr>
        <w:instrText>lectronic-resource-num&gt;&lt;/record&gt;&lt;/Cite&gt;&lt;/EndNote&gt;</w:instrText>
      </w:r>
      <w:r>
        <w:rPr>
          <w:color w:val="000000"/>
          <w:sz w:val="20"/>
          <w:szCs w:val="20"/>
        </w:rPr>
        <w:fldChar w:fldCharType="separate"/>
      </w:r>
      <w:r>
        <w:rPr>
          <w:noProof/>
          <w:color w:val="000000"/>
          <w:sz w:val="20"/>
          <w:szCs w:val="20"/>
        </w:rPr>
        <w:t>[107]</w:t>
      </w:r>
      <w:r>
        <w:rPr>
          <w:color w:val="000000"/>
          <w:sz w:val="20"/>
          <w:szCs w:val="20"/>
        </w:rPr>
        <w:fldChar w:fldCharType="end"/>
      </w:r>
      <w:r>
        <w:rPr>
          <w:color w:val="000000"/>
          <w:sz w:val="20"/>
          <w:szCs w:val="20"/>
        </w:rPr>
        <w:t>. As technologies have advanced, the detection of SVs has moved away from cytogenetics towards NGS (</w:t>
      </w:r>
      <w:r>
        <w:rPr>
          <w:b/>
          <w:color w:val="000000"/>
          <w:sz w:val="20"/>
          <w:szCs w:val="20"/>
        </w:rPr>
        <w:t>Table 6</w:t>
      </w:r>
      <w:r>
        <w:rPr>
          <w:color w:val="000000"/>
          <w:sz w:val="20"/>
          <w:szCs w:val="20"/>
        </w:rPr>
        <w:t xml:space="preserve">). Methods to detect SVs from short-read WGS data has been made possible by an abundance of </w:t>
      </w:r>
      <w:r>
        <w:rPr>
          <w:color w:val="000000"/>
          <w:sz w:val="20"/>
          <w:szCs w:val="20"/>
        </w:rPr>
        <w:t>tools that exploit paired-end reads, read depth, and split reads (</w:t>
      </w:r>
      <w:r>
        <w:rPr>
          <w:b/>
          <w:color w:val="000000"/>
          <w:sz w:val="20"/>
          <w:szCs w:val="20"/>
        </w:rPr>
        <w:t>Figure 4</w:t>
      </w:r>
      <w:r>
        <w:rPr>
          <w:color w:val="000000"/>
          <w:sz w:val="20"/>
          <w:szCs w:val="20"/>
        </w:rPr>
        <w:t>). Theoretically, all SV classes can be detected at a finer scale than offered by traditional methods. However, these methods are limited, particularly from short-read data where map</w:t>
      </w:r>
      <w:r>
        <w:rPr>
          <w:color w:val="000000"/>
          <w:sz w:val="20"/>
          <w:szCs w:val="20"/>
        </w:rPr>
        <w:t>ping is notoriously inaccurate round repetitive regions, and most analytical pipelines do not support SV calling when their throughput is predominantly WES. Long-read sequencing (LRS) is emerging as a solution and has already revealed many times more SVs p</w:t>
      </w:r>
      <w:r>
        <w:rPr>
          <w:color w:val="000000"/>
          <w:sz w:val="20"/>
          <w:szCs w:val="20"/>
        </w:rPr>
        <w:t>er genome when compared with SRS; however, cost is still a substantial issue</w:t>
      </w:r>
      <w:r>
        <w:rPr>
          <w:color w:val="000000"/>
          <w:sz w:val="20"/>
          <w:szCs w:val="20"/>
        </w:rPr>
        <w:fldChar w:fldCharType="begin"/>
      </w:r>
      <w:r>
        <w:rPr>
          <w:color w:val="000000"/>
          <w:sz w:val="20"/>
          <w:szCs w:val="20"/>
        </w:rPr>
        <w:instrText xml:space="preserve"> ADDIN EN.CITE &lt;EndNote&gt;&lt;Cite&gt;&lt;Author&gt;Merker&lt;/Author&gt;&lt;Year&gt;2018&lt;/Year&gt;&lt;RecNum&gt;24&lt;/RecNum&gt;&lt;DisplayText&gt;[113]&lt;/DisplayText&gt;&lt;record&gt;&lt;rec-number&gt;24&lt;/rec-number&gt;&lt;foreign-keys&gt;&lt;key app="</w:instrText>
      </w:r>
      <w:r>
        <w:rPr>
          <w:color w:val="000000"/>
          <w:sz w:val="20"/>
          <w:szCs w:val="20"/>
        </w:rPr>
        <w:instrText>EN" db-id="d0vstffei2ze5sew5fwxp0dq9zxs5pvvsxpv" timestamp="1579851410"&gt;24&lt;/key&gt;&lt;/foreign-keys&gt;&lt;ref-type name="Journal Article"&gt;17&lt;/ref-type&gt;&lt;contributors&gt;&lt;authors&gt;&lt;author&gt;Merker, Jason D.&lt;/author&gt;&lt;author&gt;Wenger, Aaron M.&lt;/author&gt;&lt;author&gt;Sneddon, Tam&lt;/auth</w:instrText>
      </w:r>
      <w:r>
        <w:rPr>
          <w:color w:val="000000"/>
          <w:sz w:val="20"/>
          <w:szCs w:val="20"/>
        </w:rPr>
        <w:instrText>or&gt;&lt;author&gt;Grove, Megan&lt;/author&gt;&lt;author&gt;Zappala, Zachary&lt;/author&gt;&lt;author&gt;Fresard, Laure&lt;/author&gt;&lt;author&gt;Waggott, Daryl&lt;/author&gt;&lt;author&gt;Utiramerur, Sowmi&lt;/author&gt;&lt;author&gt;Hou, Yanli&lt;/author&gt;&lt;author&gt;Smith, Kevin S.&lt;/author&gt;&lt;author&gt;Montgomery, Stephen B.&lt;/auth</w:instrText>
      </w:r>
      <w:r>
        <w:rPr>
          <w:color w:val="000000"/>
          <w:sz w:val="20"/>
          <w:szCs w:val="20"/>
        </w:rPr>
        <w:instrText>or&gt;&lt;author&gt;Wheeler, Matthew&lt;/author&gt;&lt;author&gt;Buchan, Jillian G.&lt;/author&gt;&lt;author&gt;Lambert, Christine C.&lt;/author&gt;&lt;author&gt;Eng, Kevin S.&lt;/author&gt;&lt;author&gt;Hickey, Luke&lt;/author&gt;&lt;author&gt;Korlach, Jonas&lt;/author&gt;&lt;author&gt;Ford, James&lt;/author&gt;&lt;author&gt;Ashley, Euan A.&lt;/auth</w:instrText>
      </w:r>
      <w:r>
        <w:rPr>
          <w:color w:val="000000"/>
          <w:sz w:val="20"/>
          <w:szCs w:val="20"/>
        </w:rPr>
        <w:instrText>or&gt;&lt;/authors&gt;&lt;/contributors&gt;&lt;titles&gt;&lt;title&gt;Long-read genome sequencing identifies causal structural variation in a Mendelian disease&lt;/title&gt;&lt;secondary-title&gt;Genetics in Medicine&lt;/secondary-title&gt;&lt;/titles&gt;&lt;periodical&gt;&lt;full-title&gt;Genetics in Medicine&lt;/full-t</w:instrText>
      </w:r>
      <w:r>
        <w:rPr>
          <w:color w:val="000000"/>
          <w:sz w:val="20"/>
          <w:szCs w:val="20"/>
        </w:rPr>
        <w:instrText>itle&gt;&lt;/periodical&gt;&lt;pages&gt;159-163&lt;/pages&gt;&lt;volume&gt;20&lt;/volume&gt;&lt;number&gt;1&lt;/number&gt;&lt;dates&gt;&lt;year&gt;2018&lt;/year&gt;&lt;pub-dates&gt;&lt;date&gt;2018/01/01&lt;/date&gt;&lt;/pub-dates&gt;&lt;/dates&gt;&lt;isbn&gt;1530-0366&lt;/isbn&gt;&lt;urls&gt;&lt;related-urls&gt;&lt;url&gt;https://doi.org/10.1038/gim.2017.86&lt;/url&gt;&lt;/related-url</w:instrText>
      </w:r>
      <w:r>
        <w:rPr>
          <w:color w:val="000000"/>
          <w:sz w:val="20"/>
          <w:szCs w:val="20"/>
        </w:rPr>
        <w:instrText>s&gt;&lt;/urls&gt;&lt;electronic-resource-num&gt;10.1038/gim.2017.86&lt;/electronic-resource-num&gt;&lt;/record&gt;&lt;/Cite&gt;&lt;/EndNote&gt;</w:instrText>
      </w:r>
      <w:r>
        <w:rPr>
          <w:color w:val="000000"/>
          <w:sz w:val="20"/>
          <w:szCs w:val="20"/>
        </w:rPr>
        <w:fldChar w:fldCharType="separate"/>
      </w:r>
      <w:r>
        <w:rPr>
          <w:noProof/>
          <w:color w:val="000000"/>
          <w:sz w:val="20"/>
          <w:szCs w:val="20"/>
        </w:rPr>
        <w:t>[113]</w:t>
      </w:r>
      <w:r>
        <w:rPr>
          <w:color w:val="000000"/>
          <w:sz w:val="20"/>
          <w:szCs w:val="20"/>
        </w:rPr>
        <w:fldChar w:fldCharType="end"/>
      </w:r>
      <w:r>
        <w:rPr>
          <w:color w:val="000000"/>
          <w:sz w:val="20"/>
          <w:szCs w:val="20"/>
        </w:rPr>
        <w:t>. Linked-read technology, provided by 10X Genomics, integrates SRS with long range information. Long molecules of DNA are fragmented and labell</w:t>
      </w:r>
      <w:r>
        <w:rPr>
          <w:color w:val="000000"/>
          <w:sz w:val="20"/>
          <w:szCs w:val="20"/>
        </w:rPr>
        <w:t>ed with a barcode; these fragments undergo SRS, producing a set of labelled reads that originate from the same DNA molecule. This technology is cheaper compared with LRS and facilitates simultaneous detection of small and large variants from a single libra</w:t>
      </w:r>
      <w:r>
        <w:rPr>
          <w:color w:val="000000"/>
          <w:sz w:val="20"/>
          <w:szCs w:val="20"/>
        </w:rPr>
        <w:t>ry, however this technology is prone to the same limitations as both SRS and LRS.</w:t>
      </w:r>
      <w:r>
        <w:rPr>
          <w:color w:val="000000"/>
          <w:sz w:val="20"/>
          <w:szCs w:val="20"/>
        </w:rPr>
        <w:fldChar w:fldCharType="begin"/>
      </w:r>
      <w:r>
        <w:rPr>
          <w:color w:val="000000"/>
          <w:sz w:val="20"/>
          <w:szCs w:val="20"/>
        </w:rPr>
        <w:instrText xml:space="preserve"> ADDIN EN.CITE &lt;EndNote&gt;&lt;Cite&gt;&lt;Author&gt;Marks&lt;/Author&gt;&lt;Year&gt;2019&lt;/Year&gt;&lt;RecNum&gt;120&lt;/RecNum&gt;&lt;DisplayText&gt;[114]&lt;/DisplayText&gt;&lt;record&gt;&lt;rec-number&gt;120&lt;/rec-number&gt;&lt;foreign-keys&gt;&lt;key</w:instrText>
      </w:r>
      <w:r>
        <w:rPr>
          <w:color w:val="000000"/>
          <w:sz w:val="20"/>
          <w:szCs w:val="20"/>
        </w:rPr>
        <w:instrText xml:space="preserve"> app="EN" db-id="d0vstffei2ze5sew5fwxp0dq9zxs5pvvsxpv" timestamp="1583789423"&gt;120&lt;/key&gt;&lt;/foreign-keys&gt;&lt;ref-type name="Journal Article"&gt;17&lt;/ref-type&gt;&lt;contributors&gt;&lt;authors&gt;&lt;author&gt;Marks, Patrick&lt;/author&gt;&lt;author&gt;Garcia, Sarah&lt;/author&gt;&lt;author&gt;Barrio, Alvaro M</w:instrText>
      </w:r>
      <w:r>
        <w:rPr>
          <w:color w:val="000000"/>
          <w:sz w:val="20"/>
          <w:szCs w:val="20"/>
        </w:rPr>
        <w:instrText>artinez&lt;/author&gt;&lt;author&gt;Belhocine, Kamila&lt;/author&gt;&lt;author&gt;Bernate, Jorge&lt;/author&gt;&lt;author&gt;Bharadwaj, Rajiv&lt;/author&gt;&lt;author&gt;Bjornson, Keith&lt;/author&gt;&lt;author&gt;Catalanotti, Claudia&lt;/author&gt;&lt;author&gt;Delaney, Josh&lt;/author&gt;&lt;author&gt;Fehr, Adrian&lt;/author&gt;&lt;/authors&gt;&lt;/co</w:instrText>
      </w:r>
      <w:r>
        <w:rPr>
          <w:color w:val="000000"/>
          <w:sz w:val="20"/>
          <w:szCs w:val="20"/>
        </w:rPr>
        <w:instrText>ntributors&gt;&lt;titles&gt;&lt;title&gt;Resolving the full spectrum of human genome variation using Linked-Reads&lt;/title&gt;&lt;secondary-title&gt;Genome research&lt;/secondary-title&gt;&lt;/titles&gt;&lt;periodical&gt;&lt;full-title&gt;Genome research&lt;/full-title&gt;&lt;/periodical&gt;&lt;pages&gt;635-645&lt;/pages&gt;&lt;vol</w:instrText>
      </w:r>
      <w:r>
        <w:rPr>
          <w:color w:val="000000"/>
          <w:sz w:val="20"/>
          <w:szCs w:val="20"/>
        </w:rPr>
        <w:instrText>ume&gt;29&lt;/volume&gt;&lt;number&gt;4&lt;/number&gt;&lt;dates&gt;&lt;year&gt;2019&lt;/year&gt;&lt;/dates&gt;&lt;isbn&gt;1088-9051&lt;/isbn&gt;&lt;urls&gt;&lt;/urls&gt;&lt;/record&gt;&lt;/Cite&gt;&lt;/EndNote&gt;</w:instrText>
      </w:r>
      <w:r>
        <w:rPr>
          <w:color w:val="000000"/>
          <w:sz w:val="20"/>
          <w:szCs w:val="20"/>
        </w:rPr>
        <w:fldChar w:fldCharType="separate"/>
      </w:r>
      <w:r>
        <w:rPr>
          <w:noProof/>
          <w:color w:val="000000"/>
          <w:sz w:val="20"/>
          <w:szCs w:val="20"/>
        </w:rPr>
        <w:t>[114]</w:t>
      </w:r>
      <w:r>
        <w:rPr>
          <w:color w:val="000000"/>
          <w:sz w:val="20"/>
          <w:szCs w:val="20"/>
        </w:rPr>
        <w:fldChar w:fldCharType="end"/>
      </w:r>
    </w:p>
    <w:p w:rsidR="00877997" w:rsidRDefault="00877997">
      <w:pPr>
        <w:rPr>
          <w:color w:val="000000"/>
          <w:sz w:val="18"/>
        </w:rPr>
      </w:pPr>
    </w:p>
    <w:p w:rsidR="00877997" w:rsidRDefault="00877997">
      <w:pPr>
        <w:rPr>
          <w:color w:val="000000"/>
          <w:sz w:val="18"/>
        </w:rPr>
      </w:pPr>
    </w:p>
    <w:p w:rsidR="00877997" w:rsidRDefault="00CB0676">
      <w:pPr>
        <w:rPr>
          <w:color w:val="000000"/>
          <w:sz w:val="22"/>
          <w:szCs w:val="20"/>
        </w:rPr>
      </w:pPr>
      <w:r>
        <w:rPr>
          <w:b/>
          <w:color w:val="000000"/>
          <w:sz w:val="20"/>
          <w:szCs w:val="20"/>
        </w:rPr>
        <w:t>Table</w:t>
      </w:r>
      <w:r>
        <w:rPr>
          <w:color w:val="000000"/>
          <w:sz w:val="20"/>
          <w:szCs w:val="20"/>
        </w:rPr>
        <w:t xml:space="preserve"> </w:t>
      </w:r>
      <w:r>
        <w:rPr>
          <w:b/>
          <w:color w:val="000000"/>
          <w:sz w:val="20"/>
          <w:szCs w:val="20"/>
        </w:rPr>
        <w:t xml:space="preserve">6 | </w:t>
      </w:r>
      <w:r>
        <w:rPr>
          <w:color w:val="000000"/>
          <w:sz w:val="20"/>
          <w:szCs w:val="18"/>
        </w:rPr>
        <w:t xml:space="preserve">Methods for the detection of structural variants and their corresponding advantages and </w:t>
      </w:r>
      <w:r>
        <w:rPr>
          <w:color w:val="000000"/>
          <w:sz w:val="20"/>
          <w:szCs w:val="18"/>
        </w:rPr>
        <w:t>disadvantages.</w:t>
      </w:r>
    </w:p>
    <w:p w:rsidR="00877997" w:rsidRDefault="00877997">
      <w:pPr>
        <w:rPr>
          <w:color w:val="000000"/>
          <w:sz w:val="20"/>
          <w:szCs w:val="20"/>
        </w:rPr>
      </w:pPr>
    </w:p>
    <w:tbl>
      <w:tblPr>
        <w:tblStyle w:val="PlainTable3"/>
        <w:tblW w:w="9990" w:type="dxa"/>
        <w:tblLook w:val="04A0" w:firstRow="1" w:lastRow="0" w:firstColumn="1" w:lastColumn="0" w:noHBand="0" w:noVBand="1"/>
      </w:tblPr>
      <w:tblGrid>
        <w:gridCol w:w="1686"/>
        <w:gridCol w:w="4152"/>
        <w:gridCol w:w="4152"/>
      </w:tblGrid>
      <w:tr w:rsidR="00877997" w:rsidTr="00877997">
        <w:trPr>
          <w:cnfStyle w:val="100000000000" w:firstRow="1" w:lastRow="0" w:firstColumn="0" w:lastColumn="0" w:oddVBand="0" w:evenVBand="0" w:oddHBand="0" w:evenHBand="0" w:firstRowFirstColumn="0" w:firstRowLastColumn="0" w:lastRowFirstColumn="0" w:lastRowLastColumn="0"/>
          <w:trHeight w:val="14"/>
        </w:trPr>
        <w:tc>
          <w:tcPr>
            <w:cnfStyle w:val="001000000100" w:firstRow="0" w:lastRow="0" w:firstColumn="1" w:lastColumn="0" w:oddVBand="0" w:evenVBand="0" w:oddHBand="0" w:evenHBand="0" w:firstRowFirstColumn="1" w:firstRowLastColumn="0" w:lastRowFirstColumn="0" w:lastRowLastColumn="0"/>
            <w:tcW w:w="1686" w:type="dxa"/>
          </w:tcPr>
          <w:p w:rsidR="00877997" w:rsidRDefault="00CB0676">
            <w:pPr>
              <w:spacing w:line="360" w:lineRule="auto"/>
              <w:rPr>
                <w:b w:val="0"/>
                <w:color w:val="000000"/>
                <w:sz w:val="16"/>
                <w:szCs w:val="20"/>
              </w:rPr>
            </w:pPr>
            <w:r>
              <w:rPr>
                <w:b w:val="0"/>
                <w:color w:val="000000"/>
                <w:sz w:val="16"/>
                <w:szCs w:val="20"/>
              </w:rPr>
              <w:t>Methods</w:t>
            </w:r>
          </w:p>
        </w:tc>
        <w:tc>
          <w:tcPr>
            <w:tcW w:w="4152" w:type="dxa"/>
          </w:tcPr>
          <w:p w:rsidR="00877997" w:rsidRDefault="00CB0676">
            <w:pPr>
              <w:spacing w:line="360" w:lineRule="auto"/>
              <w:cnfStyle w:val="100000000000" w:firstRow="1" w:lastRow="0" w:firstColumn="0" w:lastColumn="0" w:oddVBand="0" w:evenVBand="0" w:oddHBand="0" w:evenHBand="0" w:firstRowFirstColumn="0" w:firstRowLastColumn="0" w:lastRowFirstColumn="0" w:lastRowLastColumn="0"/>
              <w:rPr>
                <w:b w:val="0"/>
                <w:color w:val="000000"/>
                <w:sz w:val="16"/>
                <w:szCs w:val="20"/>
              </w:rPr>
            </w:pPr>
            <w:r>
              <w:rPr>
                <w:b w:val="0"/>
                <w:color w:val="000000"/>
                <w:sz w:val="16"/>
                <w:szCs w:val="20"/>
              </w:rPr>
              <w:t>Advantages</w:t>
            </w:r>
          </w:p>
        </w:tc>
        <w:tc>
          <w:tcPr>
            <w:tcW w:w="4152" w:type="dxa"/>
          </w:tcPr>
          <w:p w:rsidR="00877997" w:rsidRDefault="00CB0676">
            <w:pPr>
              <w:spacing w:line="360" w:lineRule="auto"/>
              <w:cnfStyle w:val="100000000000" w:firstRow="1" w:lastRow="0" w:firstColumn="0" w:lastColumn="0" w:oddVBand="0" w:evenVBand="0" w:oddHBand="0" w:evenHBand="0" w:firstRowFirstColumn="0" w:firstRowLastColumn="0" w:lastRowFirstColumn="0" w:lastRowLastColumn="0"/>
              <w:rPr>
                <w:b w:val="0"/>
                <w:color w:val="000000"/>
                <w:sz w:val="16"/>
                <w:szCs w:val="20"/>
              </w:rPr>
            </w:pPr>
            <w:r>
              <w:rPr>
                <w:b w:val="0"/>
                <w:color w:val="000000"/>
                <w:sz w:val="16"/>
                <w:szCs w:val="20"/>
              </w:rPr>
              <w:t>Disadvantages</w:t>
            </w:r>
          </w:p>
        </w:tc>
      </w:tr>
      <w:tr w:rsidR="00877997" w:rsidTr="0087799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686" w:type="dxa"/>
          </w:tcPr>
          <w:p w:rsidR="00877997" w:rsidRDefault="00CB0676">
            <w:pPr>
              <w:spacing w:line="360" w:lineRule="auto"/>
              <w:rPr>
                <w:color w:val="000000"/>
                <w:sz w:val="16"/>
                <w:szCs w:val="20"/>
              </w:rPr>
            </w:pPr>
            <w:r>
              <w:rPr>
                <w:color w:val="000000"/>
                <w:sz w:val="16"/>
                <w:szCs w:val="20"/>
              </w:rPr>
              <w:t>G banded karyotype</w:t>
            </w:r>
          </w:p>
        </w:tc>
        <w:tc>
          <w:tcPr>
            <w:tcW w:w="4152" w:type="dxa"/>
          </w:tcPr>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Unbiased</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Good for aneuploidy</w:t>
            </w:r>
          </w:p>
        </w:tc>
        <w:tc>
          <w:tcPr>
            <w:tcW w:w="4152" w:type="dxa"/>
          </w:tcPr>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Limited resolution (5-7 megabases)</w:t>
            </w:r>
          </w:p>
        </w:tc>
      </w:tr>
      <w:tr w:rsidR="00877997" w:rsidTr="00877997">
        <w:trPr>
          <w:trHeight w:val="14"/>
        </w:trPr>
        <w:tc>
          <w:tcPr>
            <w:cnfStyle w:val="001000000000" w:firstRow="0" w:lastRow="0" w:firstColumn="1" w:lastColumn="0" w:oddVBand="0" w:evenVBand="0" w:oddHBand="0" w:evenHBand="0" w:firstRowFirstColumn="0" w:firstRowLastColumn="0" w:lastRowFirstColumn="0" w:lastRowLastColumn="0"/>
            <w:tcW w:w="1686" w:type="dxa"/>
          </w:tcPr>
          <w:p w:rsidR="00877997" w:rsidRDefault="00CB0676">
            <w:pPr>
              <w:spacing w:line="360" w:lineRule="auto"/>
              <w:rPr>
                <w:color w:val="000000"/>
                <w:sz w:val="16"/>
                <w:szCs w:val="20"/>
              </w:rPr>
            </w:pPr>
            <w:r>
              <w:rPr>
                <w:color w:val="000000"/>
                <w:sz w:val="16"/>
                <w:szCs w:val="20"/>
              </w:rPr>
              <w:t>FISH</w:t>
            </w:r>
          </w:p>
        </w:tc>
        <w:tc>
          <w:tcPr>
            <w:tcW w:w="4152" w:type="dxa"/>
          </w:tcPr>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Uses fixed interphase cells</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Assesses balanced translocations</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lastRenderedPageBreak/>
              <w:t>Detects mosaicism and tumour heterogeneity</w:t>
            </w:r>
          </w:p>
        </w:tc>
        <w:tc>
          <w:tcPr>
            <w:tcW w:w="4152" w:type="dxa"/>
          </w:tcPr>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lastRenderedPageBreak/>
              <w:t>Requires multiple probes/assays to test multiple loci</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lastRenderedPageBreak/>
              <w:t>Low resolution (100-200 kilobases)</w:t>
            </w:r>
          </w:p>
        </w:tc>
      </w:tr>
      <w:tr w:rsidR="00877997" w:rsidTr="0087799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686" w:type="dxa"/>
          </w:tcPr>
          <w:p w:rsidR="00877997" w:rsidRDefault="00CB0676">
            <w:pPr>
              <w:spacing w:line="360" w:lineRule="auto"/>
              <w:rPr>
                <w:color w:val="000000"/>
                <w:sz w:val="16"/>
                <w:szCs w:val="20"/>
              </w:rPr>
            </w:pPr>
            <w:r>
              <w:rPr>
                <w:color w:val="000000"/>
                <w:sz w:val="16"/>
                <w:szCs w:val="20"/>
              </w:rPr>
              <w:lastRenderedPageBreak/>
              <w:t>Array CGH</w:t>
            </w:r>
          </w:p>
        </w:tc>
        <w:tc>
          <w:tcPr>
            <w:tcW w:w="4152" w:type="dxa"/>
          </w:tcPr>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Good for CNV and loss of heterozygosity</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Better resolution than FISH</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Low cost per data point</w:t>
            </w:r>
          </w:p>
        </w:tc>
        <w:tc>
          <w:tcPr>
            <w:tcW w:w="4152" w:type="dxa"/>
          </w:tcPr>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Resolution still limited (50-100 kilobases)</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Cannot detect balanc</w:t>
            </w:r>
            <w:r>
              <w:rPr>
                <w:color w:val="000000"/>
                <w:sz w:val="16"/>
                <w:szCs w:val="20"/>
              </w:rPr>
              <w:t>ed translocations</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Cannot detect copy neutral CNVs</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Low throughput</w:t>
            </w:r>
          </w:p>
        </w:tc>
      </w:tr>
      <w:tr w:rsidR="00877997" w:rsidTr="00877997">
        <w:trPr>
          <w:trHeight w:val="14"/>
        </w:trPr>
        <w:tc>
          <w:tcPr>
            <w:cnfStyle w:val="001000000000" w:firstRow="0" w:lastRow="0" w:firstColumn="1" w:lastColumn="0" w:oddVBand="0" w:evenVBand="0" w:oddHBand="0" w:evenHBand="0" w:firstRowFirstColumn="0" w:firstRowLastColumn="0" w:lastRowFirstColumn="0" w:lastRowLastColumn="0"/>
            <w:tcW w:w="1686" w:type="dxa"/>
          </w:tcPr>
          <w:p w:rsidR="00877997" w:rsidRDefault="00CB0676">
            <w:pPr>
              <w:spacing w:line="360" w:lineRule="auto"/>
              <w:rPr>
                <w:color w:val="000000"/>
                <w:sz w:val="16"/>
                <w:szCs w:val="20"/>
              </w:rPr>
            </w:pPr>
            <w:r>
              <w:rPr>
                <w:color w:val="000000"/>
                <w:sz w:val="16"/>
                <w:szCs w:val="20"/>
              </w:rPr>
              <w:t>MLPA</w:t>
            </w:r>
          </w:p>
        </w:tc>
        <w:tc>
          <w:tcPr>
            <w:tcW w:w="4152" w:type="dxa"/>
          </w:tcPr>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Detects small rearrangements up to 50bp</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High throughput</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Uses up to 40 probes</w:t>
            </w:r>
          </w:p>
        </w:tc>
        <w:tc>
          <w:tcPr>
            <w:tcW w:w="4152" w:type="dxa"/>
          </w:tcPr>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Cannot detect copy neutral CNVs</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Poor for mosaicism and tumour heterogeneity</w:t>
            </w:r>
          </w:p>
        </w:tc>
      </w:tr>
      <w:tr w:rsidR="00877997" w:rsidTr="0087799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686" w:type="dxa"/>
          </w:tcPr>
          <w:p w:rsidR="00877997" w:rsidRDefault="00CB0676">
            <w:pPr>
              <w:spacing w:line="360" w:lineRule="auto"/>
              <w:rPr>
                <w:color w:val="000000"/>
                <w:sz w:val="16"/>
                <w:szCs w:val="20"/>
              </w:rPr>
            </w:pPr>
            <w:r>
              <w:rPr>
                <w:color w:val="000000"/>
                <w:sz w:val="16"/>
                <w:szCs w:val="20"/>
              </w:rPr>
              <w:t xml:space="preserve">Short read sequencing </w:t>
            </w:r>
            <w:r>
              <w:rPr>
                <w:color w:val="000000"/>
                <w:sz w:val="16"/>
                <w:szCs w:val="20"/>
              </w:rPr>
              <w:t>(SRS)</w:t>
            </w:r>
          </w:p>
        </w:tc>
        <w:tc>
          <w:tcPr>
            <w:tcW w:w="4152" w:type="dxa"/>
          </w:tcPr>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Can detect full range of genetic variation</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High throughput</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Resolution from 50bp</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Greater per base accuracy than LRS</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Deeper coverage</w:t>
            </w:r>
          </w:p>
        </w:tc>
        <w:tc>
          <w:tcPr>
            <w:tcW w:w="4152" w:type="dxa"/>
          </w:tcPr>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Dependent on coverage</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Susceptible to GC bias</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Prone to errors particularly around low complexity regions</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Requires WGS to</w:t>
            </w:r>
            <w:r>
              <w:rPr>
                <w:color w:val="000000"/>
                <w:sz w:val="16"/>
                <w:szCs w:val="20"/>
              </w:rPr>
              <w:t xml:space="preserve"> assess all SV classes</w:t>
            </w:r>
          </w:p>
        </w:tc>
      </w:tr>
      <w:tr w:rsidR="00877997" w:rsidTr="00877997">
        <w:trPr>
          <w:trHeight w:val="14"/>
        </w:trPr>
        <w:tc>
          <w:tcPr>
            <w:cnfStyle w:val="001000000000" w:firstRow="0" w:lastRow="0" w:firstColumn="1" w:lastColumn="0" w:oddVBand="0" w:evenVBand="0" w:oddHBand="0" w:evenHBand="0" w:firstRowFirstColumn="0" w:firstRowLastColumn="0" w:lastRowFirstColumn="0" w:lastRowLastColumn="0"/>
            <w:tcW w:w="1686" w:type="dxa"/>
          </w:tcPr>
          <w:p w:rsidR="00877997" w:rsidRDefault="00CB0676">
            <w:pPr>
              <w:spacing w:line="360" w:lineRule="auto"/>
              <w:rPr>
                <w:color w:val="000000"/>
                <w:sz w:val="16"/>
                <w:szCs w:val="20"/>
              </w:rPr>
            </w:pPr>
            <w:r>
              <w:rPr>
                <w:color w:val="000000"/>
                <w:sz w:val="16"/>
                <w:szCs w:val="20"/>
              </w:rPr>
              <w:t>Long read sequencing (LRS)</w:t>
            </w:r>
          </w:p>
        </w:tc>
        <w:tc>
          <w:tcPr>
            <w:tcW w:w="4152" w:type="dxa"/>
          </w:tcPr>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Can detect full range of genetic variation</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High throughput</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Detects more SVs than SRS</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More uniform coverage</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Greater overall accuracy than SRS</w:t>
            </w:r>
          </w:p>
        </w:tc>
        <w:tc>
          <w:tcPr>
            <w:tcW w:w="4152" w:type="dxa"/>
          </w:tcPr>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Expensive</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Lower per base accuracy than SRS</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 xml:space="preserve">Lower depth of </w:t>
            </w:r>
            <w:r>
              <w:rPr>
                <w:color w:val="000000"/>
                <w:sz w:val="16"/>
                <w:szCs w:val="20"/>
              </w:rPr>
              <w:t>coverage</w:t>
            </w:r>
          </w:p>
          <w:p w:rsidR="00877997" w:rsidRDefault="00CB0676">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Pr>
                <w:color w:val="000000"/>
                <w:sz w:val="16"/>
                <w:szCs w:val="20"/>
              </w:rPr>
              <w:t>Cannot resolve sequences larger than input DNA</w:t>
            </w:r>
          </w:p>
        </w:tc>
      </w:tr>
      <w:tr w:rsidR="00877997" w:rsidTr="0087799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686" w:type="dxa"/>
          </w:tcPr>
          <w:p w:rsidR="00877997" w:rsidRDefault="00CB0676">
            <w:pPr>
              <w:spacing w:line="360" w:lineRule="auto"/>
              <w:rPr>
                <w:color w:val="000000"/>
                <w:sz w:val="16"/>
                <w:szCs w:val="20"/>
              </w:rPr>
            </w:pPr>
            <w:r>
              <w:rPr>
                <w:color w:val="000000"/>
                <w:sz w:val="16"/>
                <w:szCs w:val="20"/>
              </w:rPr>
              <w:t xml:space="preserve">Linked-read sequencing </w:t>
            </w:r>
          </w:p>
        </w:tc>
        <w:tc>
          <w:tcPr>
            <w:tcW w:w="4152" w:type="dxa"/>
          </w:tcPr>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Can detect full range of genetic variation</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Constructs long range haplotypes</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Low error rate</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Lower cost compared with LRS</w:t>
            </w:r>
          </w:p>
        </w:tc>
        <w:tc>
          <w:tcPr>
            <w:tcW w:w="4152" w:type="dxa"/>
          </w:tcPr>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Cannot resolve sequences larger than input DNA</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Suscepti</w:t>
            </w:r>
            <w:r>
              <w:rPr>
                <w:color w:val="000000"/>
                <w:sz w:val="16"/>
                <w:szCs w:val="20"/>
              </w:rPr>
              <w:t>ble to GC bias</w:t>
            </w:r>
          </w:p>
          <w:p w:rsidR="00877997" w:rsidRDefault="00CB0676">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color w:val="000000"/>
                <w:sz w:val="16"/>
                <w:szCs w:val="20"/>
              </w:rPr>
            </w:pPr>
            <w:r>
              <w:rPr>
                <w:color w:val="000000"/>
                <w:sz w:val="16"/>
                <w:szCs w:val="20"/>
              </w:rPr>
              <w:t>Reduced performance around small indel calling</w:t>
            </w:r>
          </w:p>
        </w:tc>
      </w:tr>
    </w:tbl>
    <w:p w:rsidR="00877997" w:rsidRDefault="00CB0676">
      <w:pPr>
        <w:rPr>
          <w:i/>
          <w:color w:val="000000"/>
          <w:sz w:val="16"/>
          <w:szCs w:val="16"/>
        </w:rPr>
      </w:pPr>
      <w:r>
        <w:rPr>
          <w:i/>
          <w:color w:val="000000"/>
          <w:sz w:val="16"/>
          <w:szCs w:val="16"/>
        </w:rPr>
        <w:t xml:space="preserve">[Bp – base pair; CGH – comparative genomic hybridisation; CNV – copy number variant; FISH – fluorescence in situ hybridisation; kbp – kilo-base pair; </w:t>
      </w:r>
      <w:r>
        <w:rPr>
          <w:i/>
          <w:color w:val="000000"/>
          <w:sz w:val="16"/>
          <w:szCs w:val="16"/>
        </w:rPr>
        <w:t>LRS – long read sequencing; MLPA – multiplex ligation-dependent probe amplification; SRS – short read sequencing; SV – structural variant; WGS – whole genome sequencing].</w:t>
      </w:r>
    </w:p>
    <w:p w:rsidR="00877997" w:rsidRDefault="00877997">
      <w:pPr>
        <w:rPr>
          <w:color w:val="000000"/>
          <w:sz w:val="20"/>
          <w:szCs w:val="20"/>
        </w:rPr>
      </w:pPr>
    </w:p>
    <w:p w:rsidR="00877997" w:rsidRDefault="00877997">
      <w:pPr>
        <w:rPr>
          <w:color w:val="000000"/>
          <w:sz w:val="20"/>
          <w:szCs w:val="20"/>
        </w:rPr>
      </w:pPr>
    </w:p>
    <w:p w:rsidR="00877997" w:rsidRDefault="00877997">
      <w:pPr>
        <w:rPr>
          <w:color w:val="000000"/>
          <w:sz w:val="20"/>
          <w:szCs w:val="20"/>
        </w:rPr>
      </w:pPr>
    </w:p>
    <w:p w:rsidR="00877997" w:rsidRDefault="00CB0676">
      <w:pPr>
        <w:rPr>
          <w:bCs/>
          <w:i/>
          <w:color w:val="000000"/>
          <w:sz w:val="20"/>
          <w:szCs w:val="16"/>
        </w:rPr>
      </w:pPr>
      <w:r>
        <w:rPr>
          <w:b/>
          <w:color w:val="000000"/>
          <w:sz w:val="20"/>
          <w:szCs w:val="20"/>
        </w:rPr>
        <w:t>Figure 4</w:t>
      </w:r>
      <w:r>
        <w:rPr>
          <w:noProof/>
          <w:color w:val="000000"/>
        </w:rPr>
        <w:t xml:space="preserve"> | </w:t>
      </w:r>
      <w:r>
        <w:rPr>
          <w:bCs/>
          <w:color w:val="000000"/>
          <w:sz w:val="20"/>
          <w:szCs w:val="16"/>
        </w:rPr>
        <w:t>Methods to detect structural variation using next generation sequencing</w:t>
      </w:r>
      <w:r>
        <w:rPr>
          <w:bCs/>
          <w:color w:val="000000"/>
          <w:sz w:val="20"/>
          <w:szCs w:val="16"/>
        </w:rPr>
        <w:t xml:space="preserve"> data.</w:t>
      </w:r>
      <w:r>
        <w:rPr>
          <w:bCs/>
          <w:i/>
          <w:color w:val="000000"/>
          <w:sz w:val="20"/>
          <w:szCs w:val="16"/>
        </w:rPr>
        <w:t xml:space="preserve">  </w:t>
      </w:r>
    </w:p>
    <w:p w:rsidR="00877997" w:rsidRDefault="00CB0676">
      <w:pPr>
        <w:rPr>
          <w:b/>
          <w:color w:val="000000"/>
          <w:sz w:val="20"/>
          <w:szCs w:val="20"/>
        </w:rPr>
      </w:pPr>
      <w:r>
        <w:rPr>
          <w:b/>
          <w:noProof/>
          <w:color w:val="000000"/>
          <w:sz w:val="20"/>
          <w:szCs w:val="20"/>
        </w:rPr>
        <w:lastRenderedPageBreak/>
        <w:drawing>
          <wp:inline distT="0" distB="0" distL="0" distR="0">
            <wp:extent cx="5943600" cy="5198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5198110"/>
                    </a:xfrm>
                    <a:prstGeom prst="rect">
                      <a:avLst/>
                    </a:prstGeom>
                  </pic:spPr>
                </pic:pic>
              </a:graphicData>
            </a:graphic>
          </wp:inline>
        </w:drawing>
      </w:r>
    </w:p>
    <w:p w:rsidR="00877997" w:rsidRDefault="00CB0676">
      <w:pPr>
        <w:rPr>
          <w:bCs/>
          <w:i/>
          <w:color w:val="000000"/>
          <w:sz w:val="16"/>
          <w:szCs w:val="16"/>
        </w:rPr>
      </w:pPr>
      <w:r>
        <w:rPr>
          <w:b/>
          <w:bCs/>
          <w:i/>
          <w:color w:val="000000"/>
          <w:sz w:val="16"/>
          <w:szCs w:val="16"/>
        </w:rPr>
        <w:t>Read depth</w:t>
      </w:r>
      <w:r>
        <w:rPr>
          <w:bCs/>
          <w:i/>
          <w:color w:val="000000"/>
          <w:sz w:val="16"/>
          <w:szCs w:val="16"/>
        </w:rPr>
        <w:t xml:space="preserve"> is exploited to assess deletions and duplications. Reads aligned to the reference genome will show increased coverage over duplicated regions and decreased coverage in the presence of a deletion. </w:t>
      </w:r>
      <w:r>
        <w:rPr>
          <w:b/>
          <w:bCs/>
          <w:i/>
          <w:color w:val="000000"/>
          <w:sz w:val="16"/>
          <w:szCs w:val="16"/>
        </w:rPr>
        <w:t>Paired reads</w:t>
      </w:r>
      <w:r>
        <w:rPr>
          <w:bCs/>
          <w:i/>
          <w:color w:val="000000"/>
          <w:sz w:val="16"/>
          <w:szCs w:val="16"/>
        </w:rPr>
        <w:t xml:space="preserve"> are sequenced from either end, leaving an insertion gap in the middle. </w:t>
      </w:r>
      <w:r>
        <w:rPr>
          <w:bCs/>
          <w:i/>
          <w:color w:val="000000"/>
          <w:sz w:val="16"/>
          <w:szCs w:val="16"/>
          <w:u w:val="single"/>
        </w:rPr>
        <w:t>In a deletion</w:t>
      </w:r>
      <w:r>
        <w:rPr>
          <w:bCs/>
          <w:i/>
          <w:color w:val="000000"/>
          <w:sz w:val="16"/>
          <w:szCs w:val="16"/>
        </w:rPr>
        <w:t xml:space="preserve"> the read pairs align to the reference further apart than expected. Dotted red lines denote change in read position/orientation between sample and reference. </w:t>
      </w:r>
      <w:r>
        <w:rPr>
          <w:bCs/>
          <w:i/>
          <w:color w:val="000000"/>
          <w:sz w:val="16"/>
          <w:szCs w:val="16"/>
          <w:u w:val="single"/>
        </w:rPr>
        <w:t>In a tandem d</w:t>
      </w:r>
      <w:r>
        <w:rPr>
          <w:bCs/>
          <w:i/>
          <w:color w:val="000000"/>
          <w:sz w:val="16"/>
          <w:szCs w:val="16"/>
          <w:u w:val="single"/>
        </w:rPr>
        <w:t>uplication</w:t>
      </w:r>
      <w:r>
        <w:rPr>
          <w:bCs/>
          <w:i/>
          <w:color w:val="000000"/>
          <w:sz w:val="16"/>
          <w:szCs w:val="16"/>
        </w:rPr>
        <w:t xml:space="preserve"> the orientation of the read pair is reversed in the reference. </w:t>
      </w:r>
      <w:r>
        <w:rPr>
          <w:bCs/>
          <w:i/>
          <w:color w:val="000000"/>
          <w:sz w:val="16"/>
          <w:szCs w:val="16"/>
          <w:u w:val="single"/>
        </w:rPr>
        <w:t>In an insertion</w:t>
      </w:r>
      <w:r>
        <w:rPr>
          <w:bCs/>
          <w:i/>
          <w:color w:val="000000"/>
          <w:sz w:val="16"/>
          <w:szCs w:val="16"/>
        </w:rPr>
        <w:t xml:space="preserve"> the read pairs are aligned closer together than expected i.e. their insert size is less than expected. </w:t>
      </w:r>
      <w:r>
        <w:rPr>
          <w:bCs/>
          <w:i/>
          <w:color w:val="000000"/>
          <w:sz w:val="16"/>
          <w:szCs w:val="16"/>
          <w:u w:val="single"/>
        </w:rPr>
        <w:t>For inversions</w:t>
      </w:r>
      <w:r>
        <w:rPr>
          <w:bCs/>
          <w:i/>
          <w:color w:val="000000"/>
          <w:sz w:val="16"/>
          <w:szCs w:val="16"/>
        </w:rPr>
        <w:t>, the paired reads align in the same direction (e</w:t>
      </w:r>
      <w:r>
        <w:rPr>
          <w:bCs/>
          <w:i/>
          <w:color w:val="000000"/>
          <w:sz w:val="16"/>
          <w:szCs w:val="16"/>
        </w:rPr>
        <w:t xml:space="preserve">ither in the forward or reverse direction). </w:t>
      </w:r>
      <w:r>
        <w:rPr>
          <w:bCs/>
          <w:i/>
          <w:color w:val="000000"/>
          <w:sz w:val="16"/>
          <w:szCs w:val="16"/>
          <w:u w:val="single"/>
        </w:rPr>
        <w:t>For a translocation</w:t>
      </w:r>
      <w:r>
        <w:rPr>
          <w:bCs/>
          <w:i/>
          <w:color w:val="000000"/>
          <w:sz w:val="16"/>
          <w:szCs w:val="16"/>
        </w:rPr>
        <w:t xml:space="preserve">, the reads pairs are mapped to different chromosomes. </w:t>
      </w:r>
      <w:r>
        <w:rPr>
          <w:b/>
          <w:bCs/>
          <w:i/>
          <w:color w:val="000000"/>
          <w:sz w:val="16"/>
          <w:szCs w:val="16"/>
        </w:rPr>
        <w:t>Split reads</w:t>
      </w:r>
      <w:r>
        <w:rPr>
          <w:bCs/>
          <w:i/>
          <w:color w:val="000000"/>
          <w:sz w:val="16"/>
          <w:szCs w:val="16"/>
        </w:rPr>
        <w:t xml:space="preserve"> occur over breakpoints. </w:t>
      </w:r>
      <w:r>
        <w:rPr>
          <w:bCs/>
          <w:i/>
          <w:color w:val="000000"/>
          <w:sz w:val="16"/>
          <w:szCs w:val="16"/>
          <w:u w:val="single"/>
        </w:rPr>
        <w:t>For a deletion</w:t>
      </w:r>
      <w:r>
        <w:rPr>
          <w:bCs/>
          <w:i/>
          <w:color w:val="000000"/>
          <w:sz w:val="16"/>
          <w:szCs w:val="16"/>
        </w:rPr>
        <w:t xml:space="preserve">, reads across the breakpoint will be split in the reference. </w:t>
      </w:r>
      <w:r>
        <w:rPr>
          <w:bCs/>
          <w:i/>
          <w:color w:val="000000"/>
          <w:sz w:val="16"/>
          <w:szCs w:val="16"/>
          <w:u w:val="single"/>
        </w:rPr>
        <w:t>For a tandem duplication</w:t>
      </w:r>
      <w:r>
        <w:rPr>
          <w:bCs/>
          <w:i/>
          <w:color w:val="000000"/>
          <w:sz w:val="16"/>
          <w:szCs w:val="16"/>
        </w:rPr>
        <w:t xml:space="preserve">, </w:t>
      </w:r>
      <w:r>
        <w:rPr>
          <w:bCs/>
          <w:i/>
          <w:color w:val="000000"/>
          <w:sz w:val="16"/>
          <w:szCs w:val="16"/>
        </w:rPr>
        <w:t xml:space="preserve">reads spanning the concatenation of the duplication will be split where the insertion begins and ends. </w:t>
      </w:r>
      <w:r>
        <w:rPr>
          <w:bCs/>
          <w:i/>
          <w:color w:val="000000"/>
          <w:sz w:val="16"/>
          <w:szCs w:val="16"/>
          <w:u w:val="single"/>
        </w:rPr>
        <w:t>For an insertion</w:t>
      </w:r>
      <w:r>
        <w:rPr>
          <w:bCs/>
          <w:i/>
          <w:color w:val="000000"/>
          <w:sz w:val="16"/>
          <w:szCs w:val="16"/>
        </w:rPr>
        <w:t xml:space="preserve">, reads will split at the point where the insertion begins or ends. </w:t>
      </w:r>
      <w:r>
        <w:rPr>
          <w:bCs/>
          <w:i/>
          <w:color w:val="000000"/>
          <w:sz w:val="16"/>
          <w:szCs w:val="16"/>
          <w:u w:val="single"/>
        </w:rPr>
        <w:t>For an inversion</w:t>
      </w:r>
      <w:r>
        <w:rPr>
          <w:bCs/>
          <w:i/>
          <w:color w:val="000000"/>
          <w:sz w:val="16"/>
          <w:szCs w:val="16"/>
        </w:rPr>
        <w:t>, the right read pair is split at the point where the</w:t>
      </w:r>
      <w:r>
        <w:rPr>
          <w:bCs/>
          <w:i/>
          <w:color w:val="000000"/>
          <w:sz w:val="16"/>
          <w:szCs w:val="16"/>
        </w:rPr>
        <w:t xml:space="preserve"> inversion begins. The remaining split read will change orientation and align at the reverse end of the inversion. </w:t>
      </w:r>
      <w:r>
        <w:rPr>
          <w:bCs/>
          <w:i/>
          <w:color w:val="000000"/>
          <w:sz w:val="16"/>
          <w:szCs w:val="16"/>
          <w:u w:val="single"/>
        </w:rPr>
        <w:t>For a translocation</w:t>
      </w:r>
      <w:r>
        <w:rPr>
          <w:bCs/>
          <w:i/>
          <w:color w:val="000000"/>
          <w:sz w:val="16"/>
          <w:szCs w:val="16"/>
        </w:rPr>
        <w:t>, reads spanning the join between translocated regions will be split and align with their independent chromosomes e.g. chr</w:t>
      </w:r>
      <w:r>
        <w:rPr>
          <w:bCs/>
          <w:i/>
          <w:color w:val="000000"/>
          <w:sz w:val="16"/>
          <w:szCs w:val="16"/>
        </w:rPr>
        <w:t xml:space="preserve">omosome 1 (chr1) and chromosome 8 (chr8).  </w:t>
      </w:r>
    </w:p>
    <w:p w:rsidR="00877997" w:rsidRDefault="00877997">
      <w:pPr>
        <w:rPr>
          <w:bCs/>
          <w:i/>
          <w:color w:val="000000"/>
          <w:sz w:val="16"/>
          <w:szCs w:val="16"/>
        </w:rPr>
      </w:pPr>
    </w:p>
    <w:p w:rsidR="00877997" w:rsidRDefault="00877997">
      <w:pPr>
        <w:rPr>
          <w:b/>
          <w:bCs/>
          <w:color w:val="000000"/>
          <w:sz w:val="20"/>
          <w:szCs w:val="20"/>
        </w:rPr>
      </w:pPr>
    </w:p>
    <w:p w:rsidR="00877997" w:rsidRDefault="00877997">
      <w:pPr>
        <w:rPr>
          <w:b/>
          <w:bCs/>
          <w:color w:val="000000"/>
          <w:sz w:val="20"/>
          <w:szCs w:val="20"/>
        </w:rPr>
      </w:pPr>
    </w:p>
    <w:p w:rsidR="00877997" w:rsidRDefault="00CB0676">
      <w:pPr>
        <w:rPr>
          <w:b/>
          <w:bCs/>
          <w:color w:val="000000"/>
          <w:sz w:val="20"/>
          <w:szCs w:val="20"/>
        </w:rPr>
      </w:pPr>
      <w:r>
        <w:rPr>
          <w:b/>
          <w:bCs/>
          <w:color w:val="000000"/>
          <w:sz w:val="20"/>
          <w:szCs w:val="20"/>
        </w:rPr>
        <w:t>Applying supporting evidence from literature</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When a list of candidates remains following variant prioritisation, scrupulous assessment of the scientific literature is mandatory to evaluate biological signific</w:t>
      </w:r>
      <w:r>
        <w:rPr>
          <w:color w:val="000000"/>
          <w:sz w:val="20"/>
          <w:szCs w:val="20"/>
        </w:rPr>
        <w:t>ance. This is achieved by reading papers on a gene(s) of interest and accessing databases such as OMIM</w:t>
      </w:r>
      <w:r>
        <w:rPr>
          <w:color w:val="000000"/>
          <w:sz w:val="20"/>
          <w:szCs w:val="20"/>
        </w:rPr>
        <w:fldChar w:fldCharType="begin"/>
      </w:r>
      <w:r>
        <w:rPr>
          <w:color w:val="000000"/>
          <w:sz w:val="20"/>
          <w:szCs w:val="20"/>
        </w:rPr>
        <w:instrText xml:space="preserve"> ADDIN EN.CITE &lt;EndNote&gt;&lt;Cite&gt;&lt;Author&gt;Hamosh&lt;/Author&gt;&lt;Year&gt;2005&lt;/Year&gt;&lt;RecNum&gt;67&lt;/RecNum&gt;&lt;DisplayText&gt;[115]&lt;/DisplayText&gt;&lt;record&gt;&lt;rec-number&gt;67&lt;/rec-numbe</w:instrText>
      </w:r>
      <w:r>
        <w:rPr>
          <w:color w:val="000000"/>
          <w:sz w:val="20"/>
          <w:szCs w:val="20"/>
        </w:rPr>
        <w:instrText>r&gt;&lt;foreign-keys&gt;&lt;key app="EN" db-id="d0vstffei2ze5sew5fwxp0dq9zxs5pvvsxpv" timestamp="1580021261"&gt;67&lt;/key&gt;&lt;/foreign-keys&gt;&lt;ref-type name="Journal Article"&gt;17&lt;/ref-type&gt;&lt;contributors&gt;&lt;authors&gt;&lt;author&gt;Hamosh, Ada&lt;/author&gt;&lt;author&gt;Scott, Alan F&lt;/author&gt;&lt;author&gt;</w:instrText>
      </w:r>
      <w:r>
        <w:rPr>
          <w:color w:val="000000"/>
          <w:sz w:val="20"/>
          <w:szCs w:val="20"/>
        </w:rPr>
        <w:instrText>Amberger, Joanna S&lt;/author&gt;&lt;author&gt;Bocchini, Carol A&lt;/author&gt;&lt;author&gt;McKusick, Victor A&lt;/author&gt;&lt;/authors&gt;&lt;/contributors&gt;&lt;titles&gt;&lt;title&gt;Online Mendelian Inheritance in Man (OMIM), a knowledgebase of human genes and genetic disorders&lt;/title&gt;&lt;secondary-title</w:instrText>
      </w:r>
      <w:r>
        <w:rPr>
          <w:color w:val="000000"/>
          <w:sz w:val="20"/>
          <w:szCs w:val="20"/>
        </w:rPr>
        <w:instrText>&gt;Nucleic acids research&lt;/secondary-title&gt;&lt;/titles&gt;&lt;periodical&gt;&lt;full-title&gt;Nucleic acids research&lt;/full-title&gt;&lt;/periodical&gt;&lt;pages&gt;D514-D517&lt;/pages&gt;&lt;volume&gt;33&lt;/volume&gt;&lt;number&gt;suppl_1&lt;/number&gt;&lt;dates&gt;&lt;year&gt;2005&lt;/year&gt;&lt;/dates&gt;&lt;isbn&gt;0305-1048&lt;/isbn&gt;&lt;urls&gt;&lt;/urls&gt;</w:instrText>
      </w:r>
      <w:r>
        <w:rPr>
          <w:color w:val="000000"/>
          <w:sz w:val="20"/>
          <w:szCs w:val="20"/>
        </w:rPr>
        <w:instrText>&lt;/record&gt;&lt;/Cite&gt;&lt;/EndNote&gt;</w:instrText>
      </w:r>
      <w:r>
        <w:rPr>
          <w:color w:val="000000"/>
          <w:sz w:val="20"/>
          <w:szCs w:val="20"/>
        </w:rPr>
        <w:fldChar w:fldCharType="separate"/>
      </w:r>
      <w:r>
        <w:rPr>
          <w:noProof/>
          <w:color w:val="000000"/>
          <w:sz w:val="20"/>
          <w:szCs w:val="20"/>
        </w:rPr>
        <w:t>[115]</w:t>
      </w:r>
      <w:r>
        <w:rPr>
          <w:color w:val="000000"/>
          <w:sz w:val="20"/>
          <w:szCs w:val="20"/>
        </w:rPr>
        <w:fldChar w:fldCharType="end"/>
      </w:r>
      <w:r>
        <w:rPr>
          <w:color w:val="000000"/>
          <w:sz w:val="20"/>
          <w:szCs w:val="20"/>
        </w:rPr>
        <w:t xml:space="preserve"> (http://omim.org/), ClinVar</w:t>
      </w:r>
      <w:r>
        <w:rPr>
          <w:color w:val="000000"/>
          <w:sz w:val="20"/>
          <w:szCs w:val="20"/>
        </w:rPr>
        <w:fldChar w:fldCharType="begin"/>
      </w:r>
      <w:r>
        <w:rPr>
          <w:color w:val="000000"/>
          <w:sz w:val="20"/>
          <w:szCs w:val="20"/>
        </w:rPr>
        <w:instrText xml:space="preserve"> ADDIN EN.CITE &lt;EndNote&gt;&lt;Cite&gt;&lt;Author&gt;Landrum&lt;/Author&gt;&lt;Year&gt;2014&lt;/Year&gt;&lt;RecNum&gt;66&lt;/RecNum&gt;&lt;DisplayText&gt;[116]&lt;/DisplayText&gt;&lt;record&gt;&lt;rec-number&gt;66&lt;/rec-number&gt;&lt;foreign-keys&gt;&lt;key app="EN" db-id="d0</w:instrText>
      </w:r>
      <w:r>
        <w:rPr>
          <w:color w:val="000000"/>
          <w:sz w:val="20"/>
          <w:szCs w:val="20"/>
        </w:rPr>
        <w:instrText>vstffei2ze5sew5fwxp0dq9zxs5pvvsxpv" timestamp="1580021225"&gt;66&lt;/key&gt;&lt;/foreign-keys&gt;&lt;ref-type name="Journal Article"&gt;17&lt;/ref-type&gt;&lt;contributors&gt;&lt;authors&gt;&lt;author&gt;Landrum, Melissa J&lt;/author&gt;&lt;author&gt;Lee, Jennifer M&lt;/author&gt;&lt;author&gt;Riley, George R&lt;/author&gt;&lt;autho</w:instrText>
      </w:r>
      <w:r>
        <w:rPr>
          <w:color w:val="000000"/>
          <w:sz w:val="20"/>
          <w:szCs w:val="20"/>
        </w:rPr>
        <w:instrText>r&gt;Jang, Wonhee&lt;/author&gt;&lt;author&gt;Rubinstein, Wendy S&lt;/author&gt;&lt;author&gt;Church, Deanna M&lt;/author&gt;&lt;author&gt;Maglott, Donna R&lt;/author&gt;&lt;/authors&gt;&lt;/contributors&gt;&lt;titles&gt;&lt;title&gt;ClinVar: public archive of relationships among sequence variation and human phenotype&lt;/titl</w:instrText>
      </w:r>
      <w:r>
        <w:rPr>
          <w:color w:val="000000"/>
          <w:sz w:val="20"/>
          <w:szCs w:val="20"/>
        </w:rPr>
        <w:instrText>e&gt;&lt;secondary-title&gt;Nucleic acids research&lt;/secondary-title&gt;&lt;/titles&gt;&lt;periodical&gt;&lt;full-title&gt;Nucleic acids research&lt;/full-title&gt;&lt;/periodical&gt;&lt;pages&gt;D980-D985&lt;/pages&gt;&lt;volume&gt;42&lt;/volume&gt;&lt;number&gt;D1&lt;/number&gt;&lt;dates&gt;&lt;year&gt;2014&lt;/year&gt;&lt;/dates&gt;&lt;isbn&gt;1362-4962&lt;/isbn&gt;</w:instrText>
      </w:r>
      <w:r>
        <w:rPr>
          <w:color w:val="000000"/>
          <w:sz w:val="20"/>
          <w:szCs w:val="20"/>
        </w:rPr>
        <w:instrText>&lt;urls&gt;&lt;/urls&gt;&lt;/record&gt;&lt;/Cite&gt;&lt;/EndNote&gt;</w:instrText>
      </w:r>
      <w:r>
        <w:rPr>
          <w:color w:val="000000"/>
          <w:sz w:val="20"/>
          <w:szCs w:val="20"/>
        </w:rPr>
        <w:fldChar w:fldCharType="separate"/>
      </w:r>
      <w:r>
        <w:rPr>
          <w:noProof/>
          <w:color w:val="000000"/>
          <w:sz w:val="20"/>
          <w:szCs w:val="20"/>
        </w:rPr>
        <w:t>[116]</w:t>
      </w:r>
      <w:r>
        <w:rPr>
          <w:color w:val="000000"/>
          <w:sz w:val="20"/>
          <w:szCs w:val="20"/>
        </w:rPr>
        <w:fldChar w:fldCharType="end"/>
      </w:r>
      <w:r>
        <w:rPr>
          <w:color w:val="000000"/>
          <w:sz w:val="20"/>
          <w:szCs w:val="20"/>
        </w:rPr>
        <w:t xml:space="preserve"> (https://www.ncbi.nlm.nih.gov/clinvar/), and Decipher</w:t>
      </w:r>
      <w:r>
        <w:rPr>
          <w:color w:val="000000"/>
          <w:sz w:val="20"/>
          <w:szCs w:val="20"/>
        </w:rPr>
        <w:fldChar w:fldCharType="begin"/>
      </w:r>
      <w:r>
        <w:rPr>
          <w:color w:val="000000"/>
          <w:sz w:val="20"/>
          <w:szCs w:val="20"/>
        </w:rPr>
        <w:instrText xml:space="preserve"> ADDIN EN.CITE &lt;EndNote&gt;&lt;Cite&gt;&lt;Author&gt;Firth&lt;/Author&gt;&lt;Year&gt;2009&lt;/Year&gt;&lt;RecNum&gt;130&lt;/RecNum&gt;&lt;DisplayText&gt;[117]&lt;/DisplayText&gt;&lt;record&gt;&lt;rec-number&gt;130&lt;/rec-numbe</w:instrText>
      </w:r>
      <w:r>
        <w:rPr>
          <w:color w:val="000000"/>
          <w:sz w:val="20"/>
          <w:szCs w:val="20"/>
        </w:rPr>
        <w:instrText>r&gt;&lt;foreign-keys&gt;&lt;key app="EN" db-id="d0vstffei2ze5sew5fwxp0dq9zxs5pvvsxpv" timestamp="1583798697"&gt;130&lt;/key&gt;&lt;/foreign-keys&gt;&lt;ref-type name="Journal Article"&gt;17&lt;/ref-type&gt;&lt;contributors&gt;&lt;authors&gt;&lt;author&gt;Firth, Helen V&lt;/author&gt;&lt;author&gt;Richards, Shola M&lt;/author&gt;</w:instrText>
      </w:r>
      <w:r>
        <w:rPr>
          <w:color w:val="000000"/>
          <w:sz w:val="20"/>
          <w:szCs w:val="20"/>
        </w:rPr>
        <w:instrText>&lt;author&gt;Bevan, A Paul&lt;/author&gt;&lt;author&gt;Clayton, Stephen&lt;/author&gt;&lt;author&gt;Corpas, Manuel&lt;/author&gt;&lt;author&gt;Rajan, Diana&lt;/author&gt;&lt;author&gt;Van Vooren, Steven&lt;/author&gt;&lt;author&gt;Moreau, Yves&lt;/author&gt;&lt;author&gt;Pettett, Roger M&lt;/author&gt;&lt;author&gt;Carter, Nigel P&lt;/author&gt;&lt;/au</w:instrText>
      </w:r>
      <w:r>
        <w:rPr>
          <w:color w:val="000000"/>
          <w:sz w:val="20"/>
          <w:szCs w:val="20"/>
        </w:rPr>
        <w:instrText>thors&gt;&lt;/contributors&gt;&lt;titles&gt;&lt;title&gt;DECIPHER: database of chromosomal imbalance and phenotype in humans using ensembl resources&lt;/title&gt;&lt;secondary-title&gt;The American Journal of Human Genetics&lt;/secondary-title&gt;&lt;/titles&gt;&lt;periodical&gt;&lt;full-title&gt;The American Jo</w:instrText>
      </w:r>
      <w:r>
        <w:rPr>
          <w:color w:val="000000"/>
          <w:sz w:val="20"/>
          <w:szCs w:val="20"/>
        </w:rPr>
        <w:instrText>urnal of Human Genetics&lt;/full-title&gt;&lt;/periodical&gt;&lt;pages&gt;524-533&lt;/pages&gt;&lt;volume&gt;84&lt;/volume&gt;&lt;number&gt;4&lt;/number&gt;&lt;dates&gt;&lt;year&gt;2009&lt;/year&gt;&lt;/dates&gt;&lt;isbn&gt;0002-9297&lt;/isbn&gt;&lt;urls&gt;&lt;/urls&gt;&lt;/record&gt;&lt;/Cite&gt;&lt;/EndNote&gt;</w:instrText>
      </w:r>
      <w:r>
        <w:rPr>
          <w:color w:val="000000"/>
          <w:sz w:val="20"/>
          <w:szCs w:val="20"/>
        </w:rPr>
        <w:fldChar w:fldCharType="separate"/>
      </w:r>
      <w:r>
        <w:rPr>
          <w:noProof/>
          <w:color w:val="000000"/>
          <w:sz w:val="20"/>
          <w:szCs w:val="20"/>
        </w:rPr>
        <w:t>[117]</w:t>
      </w:r>
      <w:r>
        <w:rPr>
          <w:color w:val="000000"/>
          <w:sz w:val="20"/>
          <w:szCs w:val="20"/>
        </w:rPr>
        <w:fldChar w:fldCharType="end"/>
      </w:r>
      <w:r>
        <w:rPr>
          <w:color w:val="000000"/>
          <w:sz w:val="20"/>
          <w:szCs w:val="20"/>
        </w:rPr>
        <w:t xml:space="preserve"> (</w:t>
      </w:r>
      <w:hyperlink r:id="rId53" w:history="1">
        <w:r>
          <w:rPr>
            <w:rStyle w:val="Hyperlink"/>
            <w:color w:val="000000"/>
            <w:sz w:val="20"/>
            <w:szCs w:val="20"/>
          </w:rPr>
          <w:t>https://decipher.sanger.ac.uk/</w:t>
        </w:r>
      </w:hyperlink>
      <w:r>
        <w:rPr>
          <w:color w:val="000000"/>
          <w:sz w:val="20"/>
          <w:szCs w:val="20"/>
        </w:rPr>
        <w:t xml:space="preserve">), which catalogue genotype/phenotype relationships with degrees of supporting evidence. This part of analysis is perhaps the most time-consuming as it involves evaluating copious </w:t>
      </w:r>
      <w:r>
        <w:rPr>
          <w:color w:val="000000"/>
          <w:sz w:val="20"/>
          <w:szCs w:val="20"/>
        </w:rPr>
        <w:lastRenderedPageBreak/>
        <w:t>a</w:t>
      </w:r>
      <w:r>
        <w:rPr>
          <w:color w:val="000000"/>
          <w:sz w:val="20"/>
          <w:szCs w:val="20"/>
        </w:rPr>
        <w:t>mounts of evidence. Often the only genotype/phenotype association is through a genome wide association study; yet rare pathogenic variants may not present the same phenotype.</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There is also a risk that published papers make false associations between a gen</w:t>
      </w:r>
      <w:r>
        <w:rPr>
          <w:color w:val="000000"/>
          <w:sz w:val="20"/>
          <w:szCs w:val="20"/>
        </w:rPr>
        <w:t xml:space="preserve">e and disease. This was apparent in historical papers that linked ‘rare’ (at the time) segregating variants as pathogenic for a particular phenotype based on public databases primarily representing Europeans. Some rare variants in European populations may </w:t>
      </w:r>
      <w:r>
        <w:rPr>
          <w:color w:val="000000"/>
          <w:sz w:val="20"/>
          <w:szCs w:val="20"/>
        </w:rPr>
        <w:t xml:space="preserve">be common in other ethnicities. Only when public repositories started to include a diverse range of ethnicities did these ‘rare variants’ prove to be common and not disease causing at all. For example, the </w:t>
      </w:r>
      <w:r>
        <w:rPr>
          <w:i/>
          <w:color w:val="000000"/>
          <w:sz w:val="20"/>
          <w:szCs w:val="20"/>
        </w:rPr>
        <w:t>MYBPC3</w:t>
      </w:r>
      <w:r>
        <w:rPr>
          <w:color w:val="000000"/>
          <w:sz w:val="20"/>
          <w:szCs w:val="20"/>
        </w:rPr>
        <w:t xml:space="preserve"> (p.G278E) variant was classified as pathoge</w:t>
      </w:r>
      <w:r>
        <w:rPr>
          <w:color w:val="000000"/>
          <w:sz w:val="20"/>
          <w:szCs w:val="20"/>
        </w:rPr>
        <w:t>nic for hypertrophic cardiomyopathy in African populations. The variant was later reclassified as benign when found to be common in Africans</w:t>
      </w:r>
      <w:r>
        <w:rPr>
          <w:color w:val="000000"/>
          <w:sz w:val="20"/>
          <w:szCs w:val="20"/>
        </w:rPr>
        <w:fldChar w:fldCharType="begin"/>
      </w:r>
      <w:r>
        <w:rPr>
          <w:color w:val="000000"/>
          <w:sz w:val="20"/>
          <w:szCs w:val="20"/>
        </w:rPr>
        <w:instrText xml:space="preserve"> ADDIN EN.CITE &lt;EndNote&gt;&lt;Cite&gt;&lt;Author&gt;Manrai&lt;/Author&gt;&lt;Year&gt;2016&lt;/Year&gt;&lt;RecNum&gt;2&lt;/RecNum&gt;&lt;DisplayText&gt;[118]&lt;/DisplayT</w:instrText>
      </w:r>
      <w:r>
        <w:rPr>
          <w:color w:val="000000"/>
          <w:sz w:val="20"/>
          <w:szCs w:val="20"/>
        </w:rPr>
        <w:instrText>ext&gt;&lt;record&gt;&lt;rec-number&gt;2&lt;/rec-number&gt;&lt;foreign-keys&gt;&lt;key app="EN" db-id="d0vstffei2ze5sew5fwxp0dq9zxs5pvvsxpv" timestamp="1579848910"&gt;2&lt;/key&gt;&lt;/foreign-keys&gt;&lt;ref-type name="Journal Article"&gt;17&lt;/ref-type&gt;&lt;contributors&gt;&lt;authors&gt;&lt;author&gt;Manrai, Arjun K.&lt;/autho</w:instrText>
      </w:r>
      <w:r>
        <w:rPr>
          <w:color w:val="000000"/>
          <w:sz w:val="20"/>
          <w:szCs w:val="20"/>
        </w:rPr>
        <w:instrText>r&gt;&lt;author&gt;Funke, Birgit H.&lt;/author&gt;&lt;author&gt;Rehm, Heidi L.&lt;/author&gt;&lt;author&gt;Olesen, Morten S.&lt;/author&gt;&lt;author&gt;Maron, Bradley A.&lt;/author&gt;&lt;author&gt;Szolovits, Peter&lt;/author&gt;&lt;author&gt;Margulies, David M.&lt;/author&gt;&lt;author&gt;Loscalzo, Joseph&lt;/author&gt;&lt;author&gt;Kohane, Isaa</w:instrText>
      </w:r>
      <w:r>
        <w:rPr>
          <w:color w:val="000000"/>
          <w:sz w:val="20"/>
          <w:szCs w:val="20"/>
        </w:rPr>
        <w:instrText>c S.&lt;/author&gt;&lt;/authors&gt;&lt;/contributors&gt;&lt;titles&gt;&lt;title&gt;Genetic Misdiagnoses and the Potential for Health Disparities&lt;/title&gt;&lt;secondary-title&gt;New England Journal of Medicine&lt;/secondary-title&gt;&lt;/titles&gt;&lt;periodical&gt;&lt;full-title&gt;New England Journal of Medicine&lt;/fu</w:instrText>
      </w:r>
      <w:r>
        <w:rPr>
          <w:color w:val="000000"/>
          <w:sz w:val="20"/>
          <w:szCs w:val="20"/>
        </w:rPr>
        <w:instrText>ll-title&gt;&lt;/periodical&gt;&lt;pages&gt;655-665&lt;/pages&gt;&lt;volume&gt;375&lt;/volume&gt;&lt;number&gt;7&lt;/number&gt;&lt;dates&gt;&lt;year&gt;2016&lt;/year&gt;&lt;/dates&gt;&lt;accession-num&gt;27532831&lt;/accession-num&gt;&lt;urls&gt;&lt;related-urls&gt;&lt;url&gt;https://www.nejm.org/doi/full/10.1056/NEJMsa1507092&lt;/url&gt;&lt;/related-urls&gt;&lt;/urls</w:instrText>
      </w:r>
      <w:r>
        <w:rPr>
          <w:color w:val="000000"/>
          <w:sz w:val="20"/>
          <w:szCs w:val="20"/>
        </w:rPr>
        <w:instrText>&gt;&lt;electronic-resource-num&gt;10.1056/NEJMsa1507092&lt;/electronic-resource-num&gt;&lt;/record&gt;&lt;/Cite&gt;&lt;/EndNote&gt;</w:instrText>
      </w:r>
      <w:r>
        <w:rPr>
          <w:color w:val="000000"/>
          <w:sz w:val="20"/>
          <w:szCs w:val="20"/>
        </w:rPr>
        <w:fldChar w:fldCharType="separate"/>
      </w:r>
      <w:r>
        <w:rPr>
          <w:noProof/>
          <w:color w:val="000000"/>
          <w:sz w:val="20"/>
          <w:szCs w:val="20"/>
        </w:rPr>
        <w:t>[118]</w:t>
      </w:r>
      <w:r>
        <w:rPr>
          <w:color w:val="000000"/>
          <w:sz w:val="20"/>
          <w:szCs w:val="20"/>
        </w:rPr>
        <w:fldChar w:fldCharType="end"/>
      </w:r>
      <w:r>
        <w:rPr>
          <w:color w:val="000000"/>
          <w:sz w:val="20"/>
          <w:szCs w:val="20"/>
        </w:rPr>
        <w:t>. Additionally, as public repositories have increased in size, many presumed disease-causing variants have been deemed ‘too common’ to be pathogenic</w:t>
      </w:r>
      <w:r>
        <w:rPr>
          <w:color w:val="000000"/>
          <w:sz w:val="20"/>
          <w:szCs w:val="20"/>
        </w:rPr>
        <w:fldChar w:fldCharType="begin"/>
      </w:r>
      <w:r>
        <w:rPr>
          <w:color w:val="000000"/>
          <w:sz w:val="20"/>
          <w:szCs w:val="20"/>
        </w:rPr>
        <w:instrText xml:space="preserve"> </w:instrText>
      </w:r>
      <w:r>
        <w:rPr>
          <w:color w:val="000000"/>
          <w:sz w:val="20"/>
          <w:szCs w:val="20"/>
        </w:rPr>
        <w:instrText>ADDIN EN.CITE &lt;EndNote&gt;&lt;Cite&gt;&lt;Author&gt;Lek&lt;/Author&gt;&lt;Year&gt;2016&lt;/Year&gt;&lt;RecNum&gt;1&lt;/RecNum&gt;&lt;DisplayText&gt;[119]&lt;/DisplayText&gt;&lt;record&gt;&lt;rec-number&gt;1&lt;/rec-number&gt;&lt;foreign-keys&gt;&lt;key app="EN" db-id="d0vstffei2ze5sew5fwxp0dq9zxs5pvvsxpv" timestamp="1579848017"&gt;1&lt;/key&gt;&lt;/f</w:instrText>
      </w:r>
      <w:r>
        <w:rPr>
          <w:color w:val="000000"/>
          <w:sz w:val="20"/>
          <w:szCs w:val="20"/>
        </w:rPr>
        <w:instrText>oreign-keys&gt;&lt;ref-type name="Journal Article"&gt;17&lt;/ref-type&gt;&lt;contributors&gt;&lt;authors&gt;&lt;author&gt;Lek, Monkol&lt;/author&gt;&lt;author&gt;Karczewski, Konrad J&lt;/author&gt;&lt;author&gt;Minikel, Eric V&lt;/author&gt;&lt;author&gt;Samocha, Kaitlin E&lt;/author&gt;&lt;author&gt;Banks, Eric&lt;/author&gt;&lt;author&gt;Fennell</w:instrText>
      </w:r>
      <w:r>
        <w:rPr>
          <w:color w:val="000000"/>
          <w:sz w:val="20"/>
          <w:szCs w:val="20"/>
        </w:rPr>
        <w:instrText>, Timothy&lt;/author&gt;&lt;author&gt;O’Donnell-Luria, Anne H&lt;/author&gt;&lt;author&gt;Ware, James S&lt;/author&gt;&lt;author&gt;Hill, Andrew J&lt;/author&gt;&lt;author&gt;Cummings, Beryl B&lt;/author&gt;&lt;/authors&gt;&lt;/contributors&gt;&lt;titles&gt;&lt;title&gt;Analysis of protein-coding genetic variation in 60,706 humans&lt;/</w:instrText>
      </w:r>
      <w:r>
        <w:rPr>
          <w:color w:val="000000"/>
          <w:sz w:val="20"/>
          <w:szCs w:val="20"/>
        </w:rPr>
        <w:instrText>title&gt;&lt;secondary-title&gt;Nature&lt;/secondary-title&gt;&lt;/titles&gt;&lt;periodical&gt;&lt;full-title&gt;Nature&lt;/full-title&gt;&lt;/periodical&gt;&lt;pages&gt;285-291&lt;/pages&gt;&lt;volume&gt;536&lt;/volume&gt;&lt;number&gt;7616&lt;/number&gt;&lt;dates&gt;&lt;year&gt;2016&lt;/year&gt;&lt;/dates&gt;&lt;isbn&gt;1476-4687&lt;/isbn&gt;&lt;urls&gt;&lt;/urls&gt;&lt;/record&gt;&lt;/Cit</w:instrText>
      </w:r>
      <w:r>
        <w:rPr>
          <w:color w:val="000000"/>
          <w:sz w:val="20"/>
          <w:szCs w:val="20"/>
        </w:rPr>
        <w:instrText>e&gt;&lt;/EndNote&gt;</w:instrText>
      </w:r>
      <w:r>
        <w:rPr>
          <w:color w:val="000000"/>
          <w:sz w:val="20"/>
          <w:szCs w:val="20"/>
        </w:rPr>
        <w:fldChar w:fldCharType="separate"/>
      </w:r>
      <w:r>
        <w:rPr>
          <w:noProof/>
          <w:color w:val="000000"/>
          <w:sz w:val="20"/>
          <w:szCs w:val="20"/>
        </w:rPr>
        <w:t>[119]</w:t>
      </w:r>
      <w:r>
        <w:rPr>
          <w:color w:val="000000"/>
          <w:sz w:val="20"/>
          <w:szCs w:val="20"/>
        </w:rPr>
        <w:fldChar w:fldCharType="end"/>
      </w:r>
      <w:r>
        <w:rPr>
          <w:color w:val="000000"/>
          <w:sz w:val="20"/>
          <w:szCs w:val="20"/>
        </w:rPr>
        <w:t>. Removing these variants from the literature is impossible, but the data-sharing ethos of ClinVar ameliorates this issue by encouraging evidence-based submissions which may refute previous claims of pathogenicity. By leveraging knowled</w:t>
      </w:r>
      <w:r>
        <w:rPr>
          <w:color w:val="000000"/>
          <w:sz w:val="20"/>
          <w:szCs w:val="20"/>
        </w:rPr>
        <w:t>ge from multiple submissions, clinical significance and assertion criteria, ClinVar can be exploited as an important tool for the accurate interpretation of variant pathogenicity</w:t>
      </w:r>
      <w:r>
        <w:rPr>
          <w:color w:val="000000"/>
          <w:sz w:val="20"/>
          <w:szCs w:val="20"/>
        </w:rPr>
        <w:fldChar w:fldCharType="begin"/>
      </w:r>
      <w:r>
        <w:rPr>
          <w:color w:val="000000"/>
          <w:sz w:val="20"/>
          <w:szCs w:val="20"/>
        </w:rPr>
        <w:instrText xml:space="preserve"> ADDIN EN.CITE &lt;EndNote&gt;&lt;Cite&gt;&lt;Author&gt;Shah&lt;/Author&gt;&lt;Year&gt;2018&lt;/Year&gt;&lt;RecNum&gt;26</w:instrText>
      </w:r>
      <w:r>
        <w:rPr>
          <w:color w:val="000000"/>
          <w:sz w:val="20"/>
          <w:szCs w:val="20"/>
        </w:rPr>
        <w:instrText>&lt;/RecNum&gt;&lt;DisplayText&gt;[120]&lt;/DisplayText&gt;&lt;record&gt;&lt;rec-number&gt;26&lt;/rec-number&gt;&lt;foreign-keys&gt;&lt;key app="EN" db-id="d0vstffei2ze5sew5fwxp0dq9zxs5pvvsxpv" timestamp="1579854706"&gt;26&lt;/key&gt;&lt;/foreign-keys&gt;&lt;ref-type name="Journal Article"&gt;17&lt;/ref-type&gt;&lt;contributors&gt;&lt;</w:instrText>
      </w:r>
      <w:r>
        <w:rPr>
          <w:color w:val="000000"/>
          <w:sz w:val="20"/>
          <w:szCs w:val="20"/>
        </w:rPr>
        <w:instrText>authors&gt;&lt;author&gt;Shah, Naisha&lt;/author&gt;&lt;author&gt;Hou, Ying-Chen Claire&lt;/author&gt;&lt;author&gt;Yu, Hung-Chun&lt;/author&gt;&lt;author&gt;Sainger, Rachana&lt;/author&gt;&lt;author&gt;Caskey, C Thomas&lt;/author&gt;&lt;author&gt;Venter, J Craig&lt;/author&gt;&lt;author&gt;Telenti, Amalio&lt;/author&gt;&lt;/authors&gt;&lt;/contribut</w:instrText>
      </w:r>
      <w:r>
        <w:rPr>
          <w:color w:val="000000"/>
          <w:sz w:val="20"/>
          <w:szCs w:val="20"/>
        </w:rPr>
        <w:instrText>ors&gt;&lt;titles&gt;&lt;title&gt;Identification of misclassified ClinVar variants via disease population prevalence&lt;/title&gt;&lt;secondary-title&gt;The American Journal of Human Genetics&lt;/secondary-title&gt;&lt;/titles&gt;&lt;periodical&gt;&lt;full-title&gt;The American Journal of Human Genetics&lt;/f</w:instrText>
      </w:r>
      <w:r>
        <w:rPr>
          <w:color w:val="000000"/>
          <w:sz w:val="20"/>
          <w:szCs w:val="20"/>
        </w:rPr>
        <w:instrText>ull-title&gt;&lt;/periodical&gt;&lt;pages&gt;609-619&lt;/pages&gt;&lt;volume&gt;102&lt;/volume&gt;&lt;number&gt;4&lt;/number&gt;&lt;dates&gt;&lt;year&gt;2018&lt;/year&gt;&lt;/dates&gt;&lt;isbn&gt;0002-9297&lt;/isbn&gt;&lt;urls&gt;&lt;/urls&gt;&lt;/record&gt;&lt;/Cite&gt;&lt;/EndNote&gt;</w:instrText>
      </w:r>
      <w:r>
        <w:rPr>
          <w:color w:val="000000"/>
          <w:sz w:val="20"/>
          <w:szCs w:val="20"/>
        </w:rPr>
        <w:fldChar w:fldCharType="separate"/>
      </w:r>
      <w:r>
        <w:rPr>
          <w:noProof/>
          <w:color w:val="000000"/>
          <w:sz w:val="20"/>
          <w:szCs w:val="20"/>
        </w:rPr>
        <w:t>[120]</w:t>
      </w:r>
      <w:r>
        <w:rPr>
          <w:color w:val="000000"/>
          <w:sz w:val="20"/>
          <w:szCs w:val="20"/>
        </w:rPr>
        <w:fldChar w:fldCharType="end"/>
      </w:r>
      <w:r>
        <w:rPr>
          <w:color w:val="000000"/>
          <w:sz w:val="20"/>
          <w:szCs w:val="20"/>
        </w:rPr>
        <w:t>.</w:t>
      </w:r>
    </w:p>
    <w:p w:rsidR="00877997" w:rsidRDefault="00877997">
      <w:pPr>
        <w:rPr>
          <w:color w:val="000000"/>
          <w:sz w:val="20"/>
          <w:szCs w:val="20"/>
        </w:rPr>
      </w:pPr>
    </w:p>
    <w:p w:rsidR="00877997" w:rsidRDefault="00CB0676">
      <w:pPr>
        <w:rPr>
          <w:b/>
          <w:bCs/>
          <w:color w:val="000000"/>
          <w:sz w:val="20"/>
          <w:szCs w:val="20"/>
        </w:rPr>
      </w:pPr>
      <w:r>
        <w:rPr>
          <w:b/>
          <w:bCs/>
          <w:color w:val="000000"/>
          <w:sz w:val="20"/>
          <w:szCs w:val="20"/>
        </w:rPr>
        <w:t>Genes of unknown function and functional validation</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Although phenoty</w:t>
      </w:r>
      <w:r>
        <w:rPr>
          <w:color w:val="000000"/>
          <w:sz w:val="20"/>
          <w:szCs w:val="20"/>
        </w:rPr>
        <w:t>pe-genotype associations are continually expanding, most variants remain variants of unknown significance (VUS). Perhaps the biggest challenge in reaching a diagnosis is the paucity of knowledge into the biological function of all 20,000 genes. It is estim</w:t>
      </w:r>
      <w:r>
        <w:rPr>
          <w:color w:val="000000"/>
          <w:sz w:val="20"/>
          <w:szCs w:val="20"/>
        </w:rPr>
        <w:t>ated that 70-75% of human genes still have no known function in human health and 50% of disease genes are yet to be discovered</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[7, 121, 122]</w:t>
      </w:r>
      <w:r>
        <w:rPr>
          <w:color w:val="000000"/>
          <w:sz w:val="20"/>
          <w:szCs w:val="20"/>
        </w:rPr>
        <w:fldChar w:fldCharType="end"/>
      </w:r>
      <w:r>
        <w:rPr>
          <w:color w:val="000000"/>
          <w:sz w:val="20"/>
          <w:szCs w:val="20"/>
        </w:rPr>
        <w:t>. Regretfully, most WES/WGS does not yield a diagnosis and consequently mult</w:t>
      </w:r>
      <w:r>
        <w:rPr>
          <w:color w:val="000000"/>
          <w:sz w:val="20"/>
          <w:szCs w:val="20"/>
        </w:rPr>
        <w:t>iple VUS candidates remain. New diagnoses cannot be made without functional studies on potential candidates; this is an unrealistic and financially unviable method to discover new disease-causing genes and is a major bottleneck. The MatchMaker Exchange</w:t>
      </w:r>
      <w:r>
        <w:rPr>
          <w:color w:val="000000"/>
          <w:sz w:val="20"/>
          <w:szCs w:val="20"/>
        </w:rPr>
        <w:fldChar w:fldCharType="begin"/>
      </w:r>
      <w:r>
        <w:rPr>
          <w:color w:val="000000"/>
          <w:sz w:val="20"/>
          <w:szCs w:val="20"/>
        </w:rPr>
        <w:instrText xml:space="preserve"> ADD</w:instrText>
      </w:r>
      <w:r>
        <w:rPr>
          <w:color w:val="000000"/>
          <w:sz w:val="20"/>
          <w:szCs w:val="20"/>
        </w:rPr>
        <w:instrText>IN EN.CITE &lt;EndNote&gt;&lt;Cite&gt;&lt;Author&gt;Philippakis&lt;/Author&gt;&lt;Year&gt;2015&lt;/Year&gt;&lt;RecNum&gt;27&lt;/RecNum&gt;&lt;DisplayText&gt;[123]&lt;/DisplayText&gt;&lt;record&gt;&lt;rec-number&gt;27&lt;/rec-number&gt;&lt;foreign-keys&gt;&lt;key app="EN" db-id="d0vstffei2ze5sew5fwxp0dq9zxs5pvvsxpv" timestamp="1579854777"&gt;27&lt;</w:instrText>
      </w:r>
      <w:r>
        <w:rPr>
          <w:color w:val="000000"/>
          <w:sz w:val="20"/>
          <w:szCs w:val="20"/>
        </w:rPr>
        <w:instrText>/key&gt;&lt;/foreign-keys&gt;&lt;ref-type name="Journal Article"&gt;17&lt;/ref-type&gt;&lt;contributors&gt;&lt;authors&gt;&lt;author&gt;Philippakis, Anthony A&lt;/author&gt;&lt;author&gt;Azzariti, Danielle R&lt;/author&gt;&lt;author&gt;Beltran, Sergi&lt;/author&gt;&lt;author&gt;Brookes, Anthony J&lt;/author&gt;&lt;author&gt;Brownstein, Cathe</w:instrText>
      </w:r>
      <w:r>
        <w:rPr>
          <w:color w:val="000000"/>
          <w:sz w:val="20"/>
          <w:szCs w:val="20"/>
        </w:rPr>
        <w:instrText>rine A&lt;/author&gt;&lt;author&gt;Brudno, Michael&lt;/author&gt;&lt;author&gt;Brunner, Han G&lt;/author&gt;&lt;author&gt;Buske, Orion J&lt;/author&gt;&lt;author&gt;Carey, Knox&lt;/author&gt;&lt;author&gt;Doll, Cassie&lt;/author&gt;&lt;/authors&gt;&lt;/contributors&gt;&lt;titles&gt;&lt;title&gt;The Matchmaker Exchange: a platform for rare disea</w:instrText>
      </w:r>
      <w:r>
        <w:rPr>
          <w:color w:val="000000"/>
          <w:sz w:val="20"/>
          <w:szCs w:val="20"/>
        </w:rPr>
        <w:instrText>se gene discovery&lt;/title&gt;&lt;secondary-title&gt;Human mutation&lt;/secondary-title&gt;&lt;/titles&gt;&lt;periodical&gt;&lt;full-title&gt;Human mutation&lt;/full-title&gt;&lt;/periodical&gt;&lt;pages&gt;915-921&lt;/pages&gt;&lt;volume&gt;36&lt;/volume&gt;&lt;number&gt;10&lt;/number&gt;&lt;dates&gt;&lt;year&gt;2015&lt;/year&gt;&lt;/dates&gt;&lt;isbn&gt;1059-7794&lt;/</w:instrText>
      </w:r>
      <w:r>
        <w:rPr>
          <w:color w:val="000000"/>
          <w:sz w:val="20"/>
          <w:szCs w:val="20"/>
        </w:rPr>
        <w:instrText>isbn&gt;&lt;urls&gt;&lt;/urls&gt;&lt;/record&gt;&lt;/Cite&gt;&lt;/EndNote&gt;</w:instrText>
      </w:r>
      <w:r>
        <w:rPr>
          <w:color w:val="000000"/>
          <w:sz w:val="20"/>
          <w:szCs w:val="20"/>
        </w:rPr>
        <w:fldChar w:fldCharType="separate"/>
      </w:r>
      <w:r>
        <w:rPr>
          <w:noProof/>
          <w:color w:val="000000"/>
          <w:sz w:val="20"/>
          <w:szCs w:val="20"/>
        </w:rPr>
        <w:t>[123]</w:t>
      </w:r>
      <w:r>
        <w:rPr>
          <w:color w:val="000000"/>
          <w:sz w:val="20"/>
          <w:szCs w:val="20"/>
        </w:rPr>
        <w:fldChar w:fldCharType="end"/>
      </w:r>
      <w:r>
        <w:rPr>
          <w:color w:val="000000"/>
          <w:sz w:val="20"/>
          <w:szCs w:val="20"/>
        </w:rPr>
        <w:t xml:space="preserve"> is aiding in this regard; clinicians and analysts can share patient phenotype and genotype data in hope of finding a match. Discovering additional affected kindreds promotes novel disease-gene discovery </w:t>
      </w:r>
      <w:r>
        <w:rPr>
          <w:color w:val="000000"/>
          <w:sz w:val="20"/>
          <w:szCs w:val="20"/>
        </w:rPr>
        <w:t>through functional experiments and shared phenotype data. It is noteworthy though that functional validation is not synonymous with causation. For one, rescue events can restore a given genotype and proving a gene is knocked out/down does not mean it is pa</w:t>
      </w:r>
      <w:r>
        <w:rPr>
          <w:color w:val="000000"/>
          <w:sz w:val="20"/>
          <w:szCs w:val="20"/>
        </w:rPr>
        <w:t>thogenic. Furthermore, many functional studies use mouse models; these are contentious and at best can only approximate effects in humans. Zebrafish and xenopus serve as alternatives due to their short generation time and high fecundity, yet are less relat</w:t>
      </w:r>
      <w:r>
        <w:rPr>
          <w:color w:val="000000"/>
          <w:sz w:val="20"/>
          <w:szCs w:val="20"/>
        </w:rPr>
        <w:t>ed to humans than mice</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[124, 125]</w:t>
      </w:r>
      <w:r>
        <w:rPr>
          <w:color w:val="000000"/>
          <w:sz w:val="20"/>
          <w:szCs w:val="20"/>
        </w:rPr>
        <w:fldChar w:fldCharType="end"/>
      </w:r>
      <w:r>
        <w:rPr>
          <w:color w:val="000000"/>
          <w:sz w:val="20"/>
          <w:szCs w:val="20"/>
        </w:rPr>
        <w:t>. There has been a recent trend towards CRISPR/cas9 gene editing of organoids derived from human or embryonic stem cells, however, many syndromes overlap multiple cell types, therefor</w:t>
      </w:r>
      <w:r>
        <w:rPr>
          <w:color w:val="000000"/>
          <w:sz w:val="20"/>
          <w:szCs w:val="20"/>
        </w:rPr>
        <w:t>e organisms often serve as a superior method</w:t>
      </w:r>
      <w:r>
        <w:rPr>
          <w:color w:val="000000"/>
          <w:sz w:val="20"/>
          <w:szCs w:val="20"/>
        </w:rPr>
        <w:fldChar w:fldCharType="begin"/>
      </w:r>
      <w:r>
        <w:rPr>
          <w:color w:val="000000"/>
          <w:sz w:val="20"/>
          <w:szCs w:val="20"/>
        </w:rPr>
        <w:instrText xml:space="preserve"> ADDIN EN.CITE &lt;EndNote&gt;&lt;Cite&gt;&lt;Author&gt;Fujii&lt;/Author&gt;&lt;Year&gt;2019&lt;/Year&gt;&lt;RecNum&gt;96&lt;/RecNum&gt;&lt;DisplayText&gt;[126]&lt;/DisplayText&gt;&lt;record&gt;&lt;rec-number&gt;96&lt;/rec-number&gt;&lt;foreign-keys&gt;&lt;key app="EN" db-id="d0vstffei2ze5sew5fwxp0</w:instrText>
      </w:r>
      <w:r>
        <w:rPr>
          <w:color w:val="000000"/>
          <w:sz w:val="20"/>
          <w:szCs w:val="20"/>
        </w:rPr>
        <w:instrText>dq9zxs5pvvsxpv" timestamp="1580662523"&gt;96&lt;/key&gt;&lt;/foreign-keys&gt;&lt;ref-type name="Journal Article"&gt;17&lt;/ref-type&gt;&lt;contributors&gt;&lt;authors&gt;&lt;author&gt;Fujii, Masayuki&lt;/author&gt;&lt;author&gt;Clevers, Hans&lt;/author&gt;&lt;author&gt;Sato, Toshiro&lt;/author&gt;&lt;/authors&gt;&lt;/contributors&gt;&lt;titles&gt;</w:instrText>
      </w:r>
      <w:r>
        <w:rPr>
          <w:color w:val="000000"/>
          <w:sz w:val="20"/>
          <w:szCs w:val="20"/>
        </w:rPr>
        <w:instrText>&lt;title&gt;Modeling Human Digestive Diseases With CRISPR-Cas9–Modified Organoids&lt;/title&gt;&lt;secondary-title&gt;Gastroenterology&lt;/secondary-title&gt;&lt;/titles&gt;&lt;periodical&gt;&lt;full-title&gt;Gastroenterology&lt;/full-title&gt;&lt;/periodical&gt;&lt;pages&gt;562-576&lt;/pages&gt;&lt;volume&gt;156&lt;/volume&gt;&lt;num</w:instrText>
      </w:r>
      <w:r>
        <w:rPr>
          <w:color w:val="000000"/>
          <w:sz w:val="20"/>
          <w:szCs w:val="20"/>
        </w:rPr>
        <w:instrText>ber&gt;3&lt;/number&gt;&lt;dates&gt;&lt;year&gt;2019&lt;/year&gt;&lt;/dates&gt;&lt;isbn&gt;0016-5085&lt;/isbn&gt;&lt;urls&gt;&lt;/urls&gt;&lt;/record&gt;&lt;/Cite&gt;&lt;/EndNote&gt;</w:instrText>
      </w:r>
      <w:r>
        <w:rPr>
          <w:color w:val="000000"/>
          <w:sz w:val="20"/>
          <w:szCs w:val="20"/>
        </w:rPr>
        <w:fldChar w:fldCharType="separate"/>
      </w:r>
      <w:r>
        <w:rPr>
          <w:noProof/>
          <w:color w:val="000000"/>
          <w:sz w:val="20"/>
          <w:szCs w:val="20"/>
        </w:rPr>
        <w:t>[126]</w:t>
      </w:r>
      <w:r>
        <w:rPr>
          <w:color w:val="000000"/>
          <w:sz w:val="20"/>
          <w:szCs w:val="20"/>
        </w:rPr>
        <w:fldChar w:fldCharType="end"/>
      </w:r>
      <w:r>
        <w:rPr>
          <w:color w:val="000000"/>
          <w:sz w:val="20"/>
          <w:szCs w:val="20"/>
        </w:rPr>
        <w:t>.</w:t>
      </w:r>
    </w:p>
    <w:p w:rsidR="00877997" w:rsidRDefault="00877997">
      <w:pPr>
        <w:rPr>
          <w:color w:val="000000"/>
          <w:sz w:val="20"/>
          <w:szCs w:val="20"/>
        </w:rPr>
      </w:pPr>
    </w:p>
    <w:p w:rsidR="00877997" w:rsidRDefault="00877997">
      <w:pPr>
        <w:rPr>
          <w:b/>
          <w:color w:val="000000"/>
          <w:sz w:val="20"/>
          <w:szCs w:val="20"/>
        </w:rPr>
      </w:pPr>
    </w:p>
    <w:p w:rsidR="00877997" w:rsidRDefault="00CB0676">
      <w:pPr>
        <w:rPr>
          <w:b/>
          <w:color w:val="000000"/>
          <w:sz w:val="20"/>
          <w:szCs w:val="20"/>
        </w:rPr>
      </w:pPr>
      <w:r>
        <w:rPr>
          <w:b/>
          <w:color w:val="000000"/>
          <w:sz w:val="20"/>
          <w:szCs w:val="20"/>
        </w:rPr>
        <w:t>Prioritising candidates using constraint metrics</w:t>
      </w:r>
    </w:p>
    <w:p w:rsidR="00877997" w:rsidRDefault="00877997">
      <w:pPr>
        <w:rPr>
          <w:b/>
          <w:color w:val="000000"/>
          <w:sz w:val="20"/>
          <w:szCs w:val="20"/>
        </w:rPr>
      </w:pPr>
    </w:p>
    <w:p w:rsidR="00877997" w:rsidRDefault="00CB0676">
      <w:pPr>
        <w:spacing w:line="360" w:lineRule="auto"/>
        <w:rPr>
          <w:color w:val="000000"/>
          <w:sz w:val="20"/>
          <w:szCs w:val="20"/>
        </w:rPr>
      </w:pPr>
      <w:r>
        <w:rPr>
          <w:color w:val="000000"/>
          <w:sz w:val="20"/>
          <w:szCs w:val="20"/>
        </w:rPr>
        <w:t>If it were possible to introduce disruptive mutations into human genes and survey their</w:t>
      </w:r>
      <w:r>
        <w:rPr>
          <w:color w:val="000000"/>
          <w:sz w:val="20"/>
          <w:szCs w:val="20"/>
        </w:rPr>
        <w:t xml:space="preserve"> effects, many genetic</w:t>
      </w:r>
    </w:p>
    <w:p w:rsidR="00877997" w:rsidRDefault="00CB0676">
      <w:pPr>
        <w:spacing w:line="360" w:lineRule="auto"/>
        <w:rPr>
          <w:color w:val="000000"/>
          <w:sz w:val="20"/>
          <w:szCs w:val="20"/>
        </w:rPr>
      </w:pPr>
      <w:r>
        <w:rPr>
          <w:color w:val="000000"/>
          <w:sz w:val="20"/>
          <w:szCs w:val="20"/>
        </w:rPr>
        <w:lastRenderedPageBreak/>
        <w:t>disorders would already be discovered. However, it is not ethical to create human knockouts. Therefore, these are only identified when comparing naturally-occurring knockouts with patient phenotypes</w:t>
      </w:r>
      <w:r>
        <w:rPr>
          <w:color w:val="000000"/>
          <w:sz w:val="20"/>
          <w:szCs w:val="20"/>
        </w:rPr>
        <w:fldChar w:fldCharType="begin"/>
      </w:r>
      <w:r>
        <w:rPr>
          <w:color w:val="000000"/>
          <w:sz w:val="20"/>
          <w:szCs w:val="20"/>
        </w:rPr>
        <w:instrText xml:space="preserve"> ADDIN EN.CITE &lt;EndNote&gt;&lt;Cite&gt;&lt;Auth</w:instrText>
      </w:r>
      <w:r>
        <w:rPr>
          <w:color w:val="000000"/>
          <w:sz w:val="20"/>
          <w:szCs w:val="20"/>
        </w:rPr>
        <w:instrText>or&gt;Perdigoto&lt;/Author&gt;&lt;Year&gt;2017&lt;/Year&gt;&lt;RecNum&gt;131&lt;/RecNum&gt;&lt;DisplayText&gt;[127, 128]&lt;/DisplayText&gt;&lt;record&gt;&lt;rec-number&gt;131&lt;/rec-number&gt;&lt;foreign-keys&gt;&lt;key app="EN" db-id="d0vstffei2ze5sew5fwxp0dq9zxs5pvvsxpv" timestamp="1583799461"&gt;131&lt;/key&gt;&lt;/foreign-keys&gt;&lt;ref-</w:instrText>
      </w:r>
      <w:r>
        <w:rPr>
          <w:color w:val="000000"/>
          <w:sz w:val="20"/>
          <w:szCs w:val="20"/>
        </w:rPr>
        <w:instrText>type name="Journal Article"&gt;17&lt;/ref-type&gt;&lt;contributors&gt;&lt;authors&gt;&lt;author&gt;Perdigoto, Carolina&lt;/author&gt;&lt;/authors&gt;&lt;/contributors&gt;&lt;titles&gt;&lt;title&gt;Mutations: dawn of the human knockout project&lt;/title&gt;&lt;secondary-title&gt;Nature Reviews Genetics&lt;/secondary-title&gt;&lt;/tit</w:instrText>
      </w:r>
      <w:r>
        <w:rPr>
          <w:color w:val="000000"/>
          <w:sz w:val="20"/>
          <w:szCs w:val="20"/>
        </w:rPr>
        <w:instrText>les&gt;&lt;periodical&gt;&lt;full-title&gt;Nature Reviews Genetics&lt;/full-title&gt;&lt;/periodical&gt;&lt;pages&gt;328&lt;/pages&gt;&lt;volume&gt;18&lt;/volume&gt;&lt;number&gt;6&lt;/number&gt;&lt;dates&gt;&lt;year&gt;2017&lt;/year&gt;&lt;/dates&gt;&lt;isbn&gt;1471-0064&lt;/isbn&gt;&lt;urls&gt;&lt;/urls&gt;&lt;/record&gt;&lt;/Cite&gt;&lt;Cite&gt;&lt;Author&gt;Saleheen&lt;/Author&gt;&lt;Year&gt;2017</w:instrText>
      </w:r>
      <w:r>
        <w:rPr>
          <w:color w:val="000000"/>
          <w:sz w:val="20"/>
          <w:szCs w:val="20"/>
        </w:rPr>
        <w:instrText>&lt;/Year&gt;&lt;RecNum&gt;132&lt;/RecNum&gt;&lt;record&gt;&lt;rec-number&gt;132&lt;/rec-number&gt;&lt;foreign-keys&gt;&lt;key app="EN" db-id="d0vstffei2ze5sew5fwxp0dq9zxs5pvvsxpv" timestamp="1583799726"&gt;132&lt;/key&gt;&lt;/foreign-keys&gt;&lt;ref-type name="Journal Article"&gt;17&lt;/ref-type&gt;&lt;contributors&gt;&lt;authors&gt;&lt;aut</w:instrText>
      </w:r>
      <w:r>
        <w:rPr>
          <w:color w:val="000000"/>
          <w:sz w:val="20"/>
          <w:szCs w:val="20"/>
        </w:rPr>
        <w:instrText>hor&gt;Saleheen, Danish&lt;/author&gt;&lt;author&gt;Natarajan, Pradeep&lt;/author&gt;&lt;author&gt;Armean, Irina M&lt;/author&gt;&lt;author&gt;Zhao, Wei&lt;/author&gt;&lt;author&gt;Rasheed, Asif&lt;/author&gt;&lt;author&gt;Khetarpal, Sumeet A&lt;/author&gt;&lt;author&gt;Won, Hong-Hee&lt;/author&gt;&lt;author&gt;Karczewski, Konrad J&lt;/author&gt;&lt;</w:instrText>
      </w:r>
      <w:r>
        <w:rPr>
          <w:color w:val="000000"/>
          <w:sz w:val="20"/>
          <w:szCs w:val="20"/>
        </w:rPr>
        <w:instrText>author&gt;O’Donnell-Luria, Anne H&lt;/author&gt;&lt;author&gt;Samocha, Kaitlin E&lt;/author&gt;&lt;/authors&gt;&lt;/contributors&gt;&lt;titles&gt;&lt;title&gt;Human knockouts and phenotypic analysis in a cohort with a high rate of consanguinity&lt;/title&gt;&lt;secondary-title&gt;Nature&lt;/secondary-title&gt;&lt;/titles</w:instrText>
      </w:r>
      <w:r>
        <w:rPr>
          <w:color w:val="000000"/>
          <w:sz w:val="20"/>
          <w:szCs w:val="20"/>
        </w:rPr>
        <w:instrText>&gt;&lt;periodical&gt;&lt;full-title&gt;Nature&lt;/full-title&gt;&lt;/periodical&gt;&lt;pages&gt;235-239&lt;/pages&gt;&lt;volume&gt;544&lt;/volume&gt;&lt;number&gt;7649&lt;/number&gt;&lt;dates&gt;&lt;year&gt;2017&lt;/year&gt;&lt;/dates&gt;&lt;isbn&gt;1476-4687&lt;/isbn&gt;&lt;urls&gt;&lt;/urls&gt;&lt;/record&gt;&lt;/Cite&gt;&lt;/EndNote&gt;</w:instrText>
      </w:r>
      <w:r>
        <w:rPr>
          <w:color w:val="000000"/>
          <w:sz w:val="20"/>
          <w:szCs w:val="20"/>
        </w:rPr>
        <w:fldChar w:fldCharType="separate"/>
      </w:r>
      <w:r>
        <w:rPr>
          <w:noProof/>
          <w:color w:val="000000"/>
          <w:sz w:val="20"/>
          <w:szCs w:val="20"/>
        </w:rPr>
        <w:t>[127, 128]</w:t>
      </w:r>
      <w:r>
        <w:rPr>
          <w:color w:val="000000"/>
          <w:sz w:val="20"/>
          <w:szCs w:val="20"/>
        </w:rPr>
        <w:fldChar w:fldCharType="end"/>
      </w:r>
      <w:r>
        <w:rPr>
          <w:color w:val="000000"/>
          <w:sz w:val="20"/>
          <w:szCs w:val="20"/>
        </w:rPr>
        <w:t>. Yet, with ~100 per genome</w:t>
      </w:r>
      <w:r>
        <w:rPr>
          <w:color w:val="000000"/>
          <w:sz w:val="20"/>
          <w:szCs w:val="20"/>
        </w:rPr>
        <w:fldChar w:fldCharType="begin"/>
      </w:r>
      <w:r>
        <w:rPr>
          <w:color w:val="000000"/>
          <w:sz w:val="20"/>
          <w:szCs w:val="20"/>
        </w:rPr>
        <w:instrText xml:space="preserve"> AD</w:instrText>
      </w:r>
      <w:r>
        <w:rPr>
          <w:color w:val="000000"/>
          <w:sz w:val="20"/>
          <w:szCs w:val="20"/>
        </w:rPr>
        <w:instrText>DIN EN.CITE &lt;EndNote&gt;&lt;Cite&gt;&lt;Author&gt;MacArthur&lt;/Author&gt;&lt;Year&gt;2012&lt;/Year&gt;&lt;RecNum&gt;5&lt;/RecNum&gt;&lt;DisplayText&gt;[47]&lt;/DisplayText&gt;&lt;record&gt;&lt;rec-number&gt;5&lt;/rec-number&gt;&lt;foreign-keys&gt;&lt;key app="EN" db-id="d0vstffei2ze5sew5fwxp0dq9zxs5pvvsxpv" timestamp="1579849645"&gt;5&lt;/key&gt;</w:instrText>
      </w:r>
      <w:r>
        <w:rPr>
          <w:color w:val="000000"/>
          <w:sz w:val="20"/>
          <w:szCs w:val="20"/>
        </w:rPr>
        <w:instrText>&lt;/foreign-keys&gt;&lt;ref-type name="Journal Article"&gt;17&lt;/ref-type&gt;&lt;contributors&gt;&lt;authors&gt;&lt;author&gt;MacArthur, Daniel G&lt;/author&gt;&lt;author&gt;Balasubramanian, Suganthi&lt;/author&gt;&lt;author&gt;Frankish, Adam&lt;/author&gt;&lt;author&gt;Huang, Ni&lt;/author&gt;&lt;author&gt;Morris, James&lt;/author&gt;&lt;author</w:instrText>
      </w:r>
      <w:r>
        <w:rPr>
          <w:color w:val="000000"/>
          <w:sz w:val="20"/>
          <w:szCs w:val="20"/>
        </w:rPr>
        <w:instrText>&gt;Walter, Klaudia&lt;/author&gt;&lt;author&gt;Jostins, Luke&lt;/author&gt;&lt;author&gt;Habegger, Lukas&lt;/author&gt;&lt;author&gt;Pickrell, Joseph K&lt;/author&gt;&lt;author&gt;Montgomery, Stephen B&lt;/author&gt;&lt;/authors&gt;&lt;/contributors&gt;&lt;titles&gt;&lt;title&gt;A systematic survey of loss-of-function variants in huma</w:instrText>
      </w:r>
      <w:r>
        <w:rPr>
          <w:color w:val="000000"/>
          <w:sz w:val="20"/>
          <w:szCs w:val="20"/>
        </w:rPr>
        <w:instrText>n protein-coding genes&lt;/title&gt;&lt;secondary-title&gt;Science&lt;/secondary-title&gt;&lt;/titles&gt;&lt;periodical&gt;&lt;full-title&gt;Science&lt;/full-title&gt;&lt;/periodical&gt;&lt;pages&gt;823-828&lt;/pages&gt;&lt;volume&gt;335&lt;/volume&gt;&lt;number&gt;6070&lt;/number&gt;&lt;dates&gt;&lt;year&gt;2012&lt;/year&gt;&lt;/dates&gt;&lt;isbn&gt;0036-8075&lt;/isbn&gt;&lt;</w:instrText>
      </w:r>
      <w:r>
        <w:rPr>
          <w:color w:val="000000"/>
          <w:sz w:val="20"/>
          <w:szCs w:val="20"/>
        </w:rPr>
        <w:instrText>urls&gt;&lt;/urls&gt;&lt;/record&gt;&lt;/Cite&gt;&lt;/EndNote&gt;</w:instrText>
      </w:r>
      <w:r>
        <w:rPr>
          <w:color w:val="000000"/>
          <w:sz w:val="20"/>
          <w:szCs w:val="20"/>
        </w:rPr>
        <w:fldChar w:fldCharType="separate"/>
      </w:r>
      <w:r>
        <w:rPr>
          <w:noProof/>
          <w:color w:val="000000"/>
          <w:sz w:val="20"/>
          <w:szCs w:val="20"/>
        </w:rPr>
        <w:t>[47]</w:t>
      </w:r>
      <w:r>
        <w:rPr>
          <w:color w:val="000000"/>
          <w:sz w:val="20"/>
          <w:szCs w:val="20"/>
        </w:rPr>
        <w:fldChar w:fldCharType="end"/>
      </w:r>
      <w:r>
        <w:rPr>
          <w:color w:val="000000"/>
          <w:sz w:val="20"/>
          <w:szCs w:val="20"/>
        </w:rPr>
        <w:t>,</w:t>
      </w:r>
      <w:r>
        <w:rPr>
          <w:color w:val="000000"/>
          <w:sz w:val="13"/>
          <w:szCs w:val="13"/>
        </w:rPr>
        <w:t xml:space="preserve"> </w:t>
      </w:r>
      <w:r>
        <w:rPr>
          <w:color w:val="000000"/>
          <w:sz w:val="20"/>
          <w:szCs w:val="20"/>
        </w:rPr>
        <w:t>it is difficult to assign which knockout, if any, is responsible.</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Instead, the aggregation of large population datasets has begun to reveal the natural variation of inactivating</w:t>
      </w:r>
    </w:p>
    <w:p w:rsidR="00877997" w:rsidRDefault="00CB0676">
      <w:pPr>
        <w:spacing w:line="360" w:lineRule="auto"/>
        <w:rPr>
          <w:color w:val="000000"/>
          <w:sz w:val="20"/>
          <w:szCs w:val="20"/>
        </w:rPr>
      </w:pPr>
      <w:r>
        <w:rPr>
          <w:color w:val="000000"/>
          <w:sz w:val="20"/>
          <w:szCs w:val="20"/>
        </w:rPr>
        <w:t xml:space="preserve">variants across the human </w:t>
      </w:r>
      <w:r>
        <w:rPr>
          <w:color w:val="000000"/>
          <w:sz w:val="20"/>
          <w:szCs w:val="20"/>
        </w:rPr>
        <w:t>genome, serving as a model for human gene inactivation. We can leverage population data to evaluate the strength of natural selection at a gene level and model constraint (or shift in allele frequency distribution) compared to an expectation. In 2019, Karc</w:t>
      </w:r>
      <w:r>
        <w:rPr>
          <w:color w:val="000000"/>
          <w:sz w:val="20"/>
          <w:szCs w:val="20"/>
        </w:rPr>
        <w:t xml:space="preserve">zewski </w:t>
      </w:r>
      <w:r>
        <w:rPr>
          <w:i/>
          <w:color w:val="000000"/>
          <w:sz w:val="20"/>
          <w:szCs w:val="20"/>
        </w:rPr>
        <w:t>et al.</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[35]</w:t>
      </w:r>
      <w:r>
        <w:rPr>
          <w:color w:val="000000"/>
          <w:sz w:val="20"/>
          <w:szCs w:val="20"/>
        </w:rPr>
        <w:fldChar w:fldCharType="end"/>
      </w:r>
      <w:r>
        <w:rPr>
          <w:color w:val="000000"/>
          <w:sz w:val="20"/>
          <w:szCs w:val="20"/>
        </w:rPr>
        <w:t xml:space="preserve"> developed a continuous measure of intolerance to predicted loss-of-function variation modelled on 141,000 WES/WGS samples from the gnomAD database, thus placing each gene on a spectrum of loss-of-f</w:t>
      </w:r>
      <w:r>
        <w:rPr>
          <w:color w:val="000000"/>
          <w:sz w:val="20"/>
          <w:szCs w:val="20"/>
        </w:rPr>
        <w:t xml:space="preserve">unction intolerance. This method, called the lower observed/expected upper bound fraction (LOEUF) can predict haploinsufficient genes even in the absence of biological function. Furthermore, similar approaches can be applied to detect missense constraint, </w:t>
      </w:r>
      <w:r>
        <w:rPr>
          <w:color w:val="000000"/>
          <w:sz w:val="20"/>
          <w:szCs w:val="20"/>
        </w:rPr>
        <w:t>including at a regional level, and prioritise both dominant and recessive disease genes</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[38, 129]</w:t>
      </w:r>
      <w:r>
        <w:rPr>
          <w:color w:val="000000"/>
          <w:sz w:val="20"/>
          <w:szCs w:val="20"/>
        </w:rPr>
        <w:fldChar w:fldCharType="end"/>
      </w:r>
      <w:r>
        <w:rPr>
          <w:color w:val="000000"/>
          <w:sz w:val="20"/>
          <w:szCs w:val="20"/>
        </w:rPr>
        <w:t xml:space="preserve">. </w:t>
      </w:r>
    </w:p>
    <w:p w:rsidR="00877997" w:rsidRDefault="00877997">
      <w:pPr>
        <w:rPr>
          <w:color w:val="000000"/>
          <w:sz w:val="20"/>
          <w:szCs w:val="20"/>
        </w:rPr>
      </w:pPr>
    </w:p>
    <w:p w:rsidR="00877997" w:rsidRDefault="00CB0676">
      <w:pPr>
        <w:rPr>
          <w:color w:val="000000"/>
          <w:sz w:val="20"/>
          <w:szCs w:val="20"/>
        </w:rPr>
      </w:pPr>
      <w:r>
        <w:rPr>
          <w:b/>
          <w:bCs/>
          <w:color w:val="000000"/>
          <w:sz w:val="20"/>
          <w:szCs w:val="20"/>
        </w:rPr>
        <w:t>Discussion</w:t>
      </w:r>
    </w:p>
    <w:p w:rsidR="00877997" w:rsidRDefault="00877997">
      <w:pPr>
        <w:rPr>
          <w:b/>
          <w:bCs/>
          <w:color w:val="000000"/>
          <w:sz w:val="20"/>
          <w:szCs w:val="20"/>
        </w:rPr>
      </w:pPr>
    </w:p>
    <w:p w:rsidR="00877997" w:rsidRDefault="00CB0676">
      <w:pPr>
        <w:spacing w:line="360" w:lineRule="auto"/>
        <w:rPr>
          <w:color w:val="000000"/>
          <w:sz w:val="20"/>
          <w:szCs w:val="20"/>
        </w:rPr>
      </w:pPr>
      <w:r>
        <w:rPr>
          <w:color w:val="000000"/>
          <w:sz w:val="20"/>
          <w:szCs w:val="20"/>
        </w:rPr>
        <w:t>The genomics field is moving at an unprecedented pace</w:t>
      </w:r>
      <w:r>
        <w:rPr>
          <w:color w:val="000000"/>
          <w:sz w:val="20"/>
          <w:szCs w:val="20"/>
        </w:rPr>
        <w:t xml:space="preserve"> in an era of global collaboration. Efforts to help resolve incomplete penetrance, non-coding variation and structural variants are rapidly advancing and the use of LRS shows real promise. The drive towards data sharing and open-access resources are uplift</w:t>
      </w:r>
      <w:r>
        <w:rPr>
          <w:color w:val="000000"/>
          <w:sz w:val="20"/>
          <w:szCs w:val="20"/>
        </w:rPr>
        <w:t>ing novel gene discoveries and refining computational methods. Community assessment efforts to evaluate computational methods are helping to resolve genomic issues around variant annotation and variant calling</w:t>
      </w:r>
      <w:r>
        <w:rPr>
          <w:color w:val="000000"/>
          <w:sz w:val="20"/>
          <w:szCs w:val="20"/>
        </w:rPr>
        <w:fldChar w:fldCharType="begin"/>
      </w:r>
      <w:r>
        <w:rPr>
          <w:color w:val="000000"/>
          <w:sz w:val="20"/>
          <w:szCs w:val="20"/>
        </w:rPr>
        <w:instrText xml:space="preserve"> ADDIN EN.CITE &lt;EndNote&gt;&lt;Cite&gt;&lt;Author&gt;Hoskins&lt;/</w:instrText>
      </w:r>
      <w:r>
        <w:rPr>
          <w:color w:val="000000"/>
          <w:sz w:val="20"/>
          <w:szCs w:val="20"/>
        </w:rPr>
        <w:instrText>Author&gt;&lt;Year&gt;2017&lt;/Year&gt;&lt;RecNum&gt;109&lt;/RecNum&gt;&lt;DisplayText&gt;[9]&lt;/DisplayText&gt;&lt;record&gt;&lt;rec-number&gt;109&lt;/rec-number&gt;&lt;foreign-keys&gt;&lt;key app="EN" db-id="d0vstffei2ze5sew5fwxp0dq9zxs5pvvsxpv" timestamp="1583769271"&gt;109&lt;/key&gt;&lt;/foreign-keys&gt;&lt;ref-type name="Journal Ar</w:instrText>
      </w:r>
      <w:r>
        <w:rPr>
          <w:color w:val="000000"/>
          <w:sz w:val="20"/>
          <w:szCs w:val="20"/>
        </w:rPr>
        <w:instrText>ticle"&gt;17&lt;/ref-type&gt;&lt;contributors&gt;&lt;authors&gt;&lt;author&gt;Hoskins, Roger A&lt;/author&gt;&lt;author&gt;Repo, Susanna&lt;/author&gt;&lt;author&gt;Barsky, Daniel&lt;/author&gt;&lt;author&gt;Andreoletti, Gaia&lt;/author&gt;&lt;author&gt;Moult, John&lt;/author&gt;&lt;author&gt;Brenner, Steven E&lt;/author&gt;&lt;/authors&gt;&lt;/contributor</w:instrText>
      </w:r>
      <w:r>
        <w:rPr>
          <w:color w:val="000000"/>
          <w:sz w:val="20"/>
          <w:szCs w:val="20"/>
        </w:rPr>
        <w:instrText>s&gt;&lt;titles&gt;&lt;title&gt;Reports from CAGI: the critical assessment of genome interpretation&lt;/title&gt;&lt;secondary-title&gt;Human mutation&lt;/secondary-title&gt;&lt;/titles&gt;&lt;periodical&gt;&lt;full-title&gt;Human mutation&lt;/full-title&gt;&lt;/periodical&gt;&lt;pages&gt;1039-1041&lt;/pages&gt;&lt;volume&gt;38&lt;/volume</w:instrText>
      </w:r>
      <w:r>
        <w:rPr>
          <w:color w:val="000000"/>
          <w:sz w:val="20"/>
          <w:szCs w:val="20"/>
        </w:rPr>
        <w:instrText>&gt;&lt;number&gt;9&lt;/number&gt;&lt;dates&gt;&lt;year&gt;2017&lt;/year&gt;&lt;/dates&gt;&lt;isbn&gt;1059-7794&lt;/isbn&gt;&lt;urls&gt;&lt;/urls&gt;&lt;/record&gt;&lt;/Cite&gt;&lt;/EndNote&gt;</w:instrText>
      </w:r>
      <w:r>
        <w:rPr>
          <w:color w:val="000000"/>
          <w:sz w:val="20"/>
          <w:szCs w:val="20"/>
        </w:rPr>
        <w:fldChar w:fldCharType="separate"/>
      </w:r>
      <w:r>
        <w:rPr>
          <w:noProof/>
          <w:color w:val="000000"/>
          <w:sz w:val="20"/>
          <w:szCs w:val="20"/>
        </w:rPr>
        <w:t>[9]</w:t>
      </w:r>
      <w:r>
        <w:rPr>
          <w:color w:val="000000"/>
          <w:sz w:val="20"/>
          <w:szCs w:val="20"/>
        </w:rPr>
        <w:fldChar w:fldCharType="end"/>
      </w:r>
      <w:r>
        <w:rPr>
          <w:color w:val="000000"/>
          <w:sz w:val="20"/>
          <w:szCs w:val="20"/>
        </w:rPr>
        <w:t>. Population aggregation databases are widening the spectrum of genomic variation across populations and these data can be used to model m</w:t>
      </w:r>
      <w:r>
        <w:rPr>
          <w:color w:val="000000"/>
          <w:sz w:val="20"/>
          <w:szCs w:val="20"/>
        </w:rPr>
        <w:t>utational patterns and predict essentiality of genes</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[35]</w:t>
      </w:r>
      <w:r>
        <w:rPr>
          <w:color w:val="000000"/>
          <w:sz w:val="20"/>
          <w:szCs w:val="20"/>
        </w:rPr>
        <w:fldChar w:fldCharType="end"/>
      </w:r>
      <w:r>
        <w:rPr>
          <w:color w:val="000000"/>
          <w:sz w:val="20"/>
          <w:szCs w:val="20"/>
        </w:rPr>
        <w:t>. National genomic sequencing projects are accelerating health research and personalised medicine</w:t>
      </w:r>
      <w:r>
        <w:rPr>
          <w:color w:val="000000"/>
          <w:sz w:val="20"/>
          <w:szCs w:val="20"/>
        </w:rPr>
        <w:fldChar w:fldCharType="begin"/>
      </w:r>
      <w:r>
        <w:rPr>
          <w:color w:val="000000"/>
          <w:sz w:val="20"/>
          <w:szCs w:val="20"/>
        </w:rPr>
        <w:instrText xml:space="preserve"> ADDIN EN.CITE &lt;EndNote&gt;&lt;Cite&gt;&lt;Author&gt;Sankar&lt;/Author&gt;&lt;Year&gt;201</w:instrText>
      </w:r>
      <w:r>
        <w:rPr>
          <w:color w:val="000000"/>
          <w:sz w:val="20"/>
          <w:szCs w:val="20"/>
        </w:rPr>
        <w:instrText>7&lt;/Year&gt;&lt;RecNum&gt;54&lt;/RecNum&gt;&lt;DisplayText&gt;[6, 130]&lt;/DisplayText&gt;&lt;record&gt;&lt;rec-number&gt;54&lt;/rec-number&gt;&lt;foreign-keys&gt;&lt;key app="EN" db-id="d0vstffei2ze5sew5fwxp0dq9zxs5pvvsxpv" timestamp="1579936622"&gt;54&lt;/key&gt;&lt;/foreign-keys&gt;&lt;ref-type name="Journal Article"&gt;17&lt;/ref</w:instrText>
      </w:r>
      <w:r>
        <w:rPr>
          <w:color w:val="000000"/>
          <w:sz w:val="20"/>
          <w:szCs w:val="20"/>
        </w:rPr>
        <w:instrText>-type&gt;&lt;contributors&gt;&lt;authors&gt;&lt;author&gt;Sankar, Pamela L&lt;/author&gt;&lt;author&gt;Parker, Lisa S&lt;/author&gt;&lt;/authors&gt;&lt;/contributors&gt;&lt;titles&gt;&lt;title&gt;The Precision Medicine Initiative’s All of Us Research Program: an agenda for research on its ethical, legal, and social is</w:instrText>
      </w:r>
      <w:r>
        <w:rPr>
          <w:color w:val="000000"/>
          <w:sz w:val="20"/>
          <w:szCs w:val="20"/>
        </w:rPr>
        <w:instrText>sues&lt;/title&gt;&lt;secondary-title&gt;Genetics in Medicine&lt;/secondary-title&gt;&lt;/titles&gt;&lt;periodical&gt;&lt;full-title&gt;Genetics in Medicine&lt;/full-title&gt;&lt;/periodical&gt;&lt;pages&gt;743-750&lt;/pages&gt;&lt;volume&gt;19&lt;/volume&gt;&lt;number&gt;7&lt;/number&gt;&lt;dates&gt;&lt;year&gt;2017&lt;/year&gt;&lt;/dates&gt;&lt;isbn&gt;1530-0366&lt;/is</w:instrText>
      </w:r>
      <w:r>
        <w:rPr>
          <w:color w:val="000000"/>
          <w:sz w:val="20"/>
          <w:szCs w:val="20"/>
        </w:rPr>
        <w:instrText>bn&gt;&lt;urls&gt;&lt;/urls&gt;&lt;/record&gt;&lt;/Cite&gt;&lt;Cite&gt;&lt;Author&gt;Turnbull&lt;/Author&gt;&lt;Year&gt;2018&lt;/Year&gt;&lt;RecNum&gt;53&lt;/RecNum&gt;&lt;record&gt;&lt;rec-number&gt;53&lt;/rec-number&gt;&lt;foreign-keys&gt;&lt;key app="EN" db-id="d0vstffei2ze5sew5fwxp0dq9zxs5pvvsxpv" timestamp="1579936535"&gt;53&lt;/key&gt;&lt;/foreign-keys&gt;&lt;re</w:instrText>
      </w:r>
      <w:r>
        <w:rPr>
          <w:color w:val="000000"/>
          <w:sz w:val="20"/>
          <w:szCs w:val="20"/>
        </w:rPr>
        <w:instrText>f-type name="Journal Article"&gt;17&lt;/ref-type&gt;&lt;contributors&gt;&lt;authors&gt;&lt;author&gt;Turnbull, Clare&lt;/author&gt;&lt;author&gt;Scott, Richard H&lt;/author&gt;&lt;author&gt;Thomas, Ellen&lt;/author&gt;&lt;author&gt;Jones, Louise&lt;/author&gt;&lt;author&gt;Murugaesu, Nirupa&lt;/author&gt;&lt;author&gt;Pretty, Freya Boardman&lt;</w:instrText>
      </w:r>
      <w:r>
        <w:rPr>
          <w:color w:val="000000"/>
          <w:sz w:val="20"/>
          <w:szCs w:val="20"/>
        </w:rPr>
        <w:instrText>/author&gt;&lt;author&gt;Halai, Dina&lt;/author&gt;&lt;author&gt;Baple, Emma&lt;/author&gt;&lt;author&gt;Craig, Clare&lt;/author&gt;&lt;author&gt;Hamblin, Angela&lt;/author&gt;&lt;/authors&gt;&lt;/contributors&gt;&lt;titles&gt;&lt;title&gt;The 100 000 Genomes Project: bringing whole genome sequencing to the NHS&lt;/title&gt;&lt;secondary-</w:instrText>
      </w:r>
      <w:r>
        <w:rPr>
          <w:color w:val="000000"/>
          <w:sz w:val="20"/>
          <w:szCs w:val="20"/>
        </w:rPr>
        <w:instrText>title&gt;Bmj&lt;/secondary-title&gt;&lt;/titles&gt;&lt;periodical&gt;&lt;full-title&gt;Bmj&lt;/full-title&gt;&lt;/periodical&gt;&lt;pages&gt;k1687&lt;/pages&gt;&lt;volume&gt;361&lt;/volume&gt;&lt;dates&gt;&lt;year&gt;2018&lt;/year&gt;&lt;/dates&gt;&lt;isbn&gt;0959-8138&lt;/isbn&gt;&lt;urls&gt;&lt;/urls&gt;&lt;/record&gt;&lt;/Cite&gt;&lt;/EndNote&gt;</w:instrText>
      </w:r>
      <w:r>
        <w:rPr>
          <w:color w:val="000000"/>
          <w:sz w:val="20"/>
          <w:szCs w:val="20"/>
        </w:rPr>
        <w:fldChar w:fldCharType="separate"/>
      </w:r>
      <w:r>
        <w:rPr>
          <w:noProof/>
          <w:color w:val="000000"/>
          <w:sz w:val="20"/>
          <w:szCs w:val="20"/>
        </w:rPr>
        <w:t>[6, 130]</w:t>
      </w:r>
      <w:r>
        <w:rPr>
          <w:color w:val="000000"/>
          <w:sz w:val="20"/>
          <w:szCs w:val="20"/>
        </w:rPr>
        <w:fldChar w:fldCharType="end"/>
      </w:r>
      <w:r>
        <w:rPr>
          <w:color w:val="000000"/>
          <w:sz w:val="20"/>
          <w:szCs w:val="20"/>
        </w:rPr>
        <w:t>. That said, the data s</w:t>
      </w:r>
      <w:r>
        <w:rPr>
          <w:color w:val="000000"/>
          <w:sz w:val="20"/>
          <w:szCs w:val="20"/>
        </w:rPr>
        <w:t>haring process is complex with issues around data access permissions, firewalls, and data compatibility</w:t>
      </w:r>
      <w:r>
        <w:rPr>
          <w:color w:val="000000"/>
          <w:sz w:val="20"/>
          <w:szCs w:val="20"/>
        </w:rPr>
        <w:fldChar w:fldCharType="begin"/>
      </w:r>
      <w:r>
        <w:rPr>
          <w:color w:val="000000"/>
          <w:sz w:val="20"/>
          <w:szCs w:val="20"/>
        </w:rPr>
        <w:instrText xml:space="preserve"> ADDIN EN.CITE &lt;EndNote&gt;&lt;Cite&gt;&lt;Author&gt;Kaye&lt;/Author&gt;&lt;Year&gt;2012&lt;/Year&gt;&lt;RecNum&gt;147&lt;/RecNum&gt;&lt;DisplayText&gt;[131]&lt;/DisplayText&gt;&lt;record&gt;&lt;rec-number&gt;147&lt;/rec-numb</w:instrText>
      </w:r>
      <w:r>
        <w:rPr>
          <w:color w:val="000000"/>
          <w:sz w:val="20"/>
          <w:szCs w:val="20"/>
        </w:rPr>
        <w:instrText>er&gt;&lt;foreign-keys&gt;&lt;key app="EN" db-id="d0vstffei2ze5sew5fwxp0dq9zxs5pvvsxpv" timestamp="1583866684"&gt;147&lt;/key&gt;&lt;/foreign-keys&gt;&lt;ref-type name="Journal Article"&gt;17&lt;/ref-type&gt;&lt;contributors&gt;&lt;authors&gt;&lt;author&gt;Kaye, Jane&lt;/author&gt;&lt;/authors&gt;&lt;/contributors&gt;&lt;titles&gt;&lt;tit</w:instrText>
      </w:r>
      <w:r>
        <w:rPr>
          <w:color w:val="000000"/>
          <w:sz w:val="20"/>
          <w:szCs w:val="20"/>
        </w:rPr>
        <w:instrText>le&gt;The tension between data sharing and the protection of privacy in genomics research&lt;/title&gt;&lt;secondary-title&gt;Annual review of genomics and human genetics&lt;/secondary-title&gt;&lt;/titles&gt;&lt;periodical&gt;&lt;full-title&gt;Annual review of genomics and human genetics&lt;/full</w:instrText>
      </w:r>
      <w:r>
        <w:rPr>
          <w:color w:val="000000"/>
          <w:sz w:val="20"/>
          <w:szCs w:val="20"/>
        </w:rPr>
        <w:instrText>-title&gt;&lt;/periodical&gt;&lt;pages&gt;415-431&lt;/pages&gt;&lt;volume&gt;13&lt;/volume&gt;&lt;dates&gt;&lt;year&gt;2012&lt;/year&gt;&lt;/dates&gt;&lt;isbn&gt;1527-8204&lt;/isbn&gt;&lt;urls&gt;&lt;/urls&gt;&lt;/record&gt;&lt;/Cite&gt;&lt;/EndNote&gt;</w:instrText>
      </w:r>
      <w:r>
        <w:rPr>
          <w:color w:val="000000"/>
          <w:sz w:val="20"/>
          <w:szCs w:val="20"/>
        </w:rPr>
        <w:fldChar w:fldCharType="separate"/>
      </w:r>
      <w:r>
        <w:rPr>
          <w:noProof/>
          <w:color w:val="000000"/>
          <w:sz w:val="20"/>
          <w:szCs w:val="20"/>
        </w:rPr>
        <w:t>[131]</w:t>
      </w:r>
      <w:r>
        <w:rPr>
          <w:color w:val="000000"/>
          <w:sz w:val="20"/>
          <w:szCs w:val="20"/>
        </w:rPr>
        <w:fldChar w:fldCharType="end"/>
      </w:r>
      <w:r>
        <w:rPr>
          <w:color w:val="000000"/>
          <w:sz w:val="20"/>
          <w:szCs w:val="20"/>
        </w:rPr>
        <w:t>.</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Despite the huge advances in genomics, current approaches to rare disease diagnosis and nov</w:t>
      </w:r>
      <w:r>
        <w:rPr>
          <w:color w:val="000000"/>
          <w:sz w:val="20"/>
          <w:szCs w:val="20"/>
        </w:rPr>
        <w:t>el discoveries are still hindered by vast data of uncertain significance found in genes of unknown function. Even with myriad advancing methods, diagnosing rare disease is extremely challenging without a prior correlation between a clinical phenotype and c</w:t>
      </w:r>
      <w:r>
        <w:rPr>
          <w:color w:val="000000"/>
          <w:sz w:val="20"/>
          <w:szCs w:val="20"/>
        </w:rPr>
        <w:t xml:space="preserve">ausal gene. This is particularly frustrating when, for many rare disease patients, the causal mutation is present in their sequencing data. New gene discovery is still largely confined by taking single patient cases and bringing the phenotype to the gene; </w:t>
      </w:r>
      <w:r>
        <w:rPr>
          <w:color w:val="000000"/>
          <w:sz w:val="20"/>
          <w:szCs w:val="20"/>
        </w:rPr>
        <w:t>an approach limited by intensive functional experiments on genes of equally-predicted causality. Therefore, there is perhaps need to re-think the current approach to NGS analysis.</w:t>
      </w:r>
    </w:p>
    <w:p w:rsidR="00877997" w:rsidRDefault="00877997">
      <w:pPr>
        <w:rPr>
          <w:color w:val="000000"/>
          <w:sz w:val="20"/>
          <w:szCs w:val="20"/>
        </w:rPr>
      </w:pPr>
    </w:p>
    <w:p w:rsidR="00877997" w:rsidRDefault="00CB0676">
      <w:pPr>
        <w:rPr>
          <w:rFonts w:ascii="Segoe UI Symbol" w:hAnsi="Segoe UI Symbol"/>
          <w:color w:val="000000"/>
          <w:sz w:val="20"/>
          <w:szCs w:val="20"/>
        </w:rPr>
      </w:pPr>
      <w:r>
        <w:rPr>
          <w:b/>
          <w:bCs/>
          <w:color w:val="000000"/>
          <w:sz w:val="20"/>
          <w:szCs w:val="20"/>
        </w:rPr>
        <w:t>Shifting the current diagnostic paradigm</w:t>
      </w:r>
      <w:r>
        <w:rPr>
          <w:rFonts w:ascii="Segoe UI Symbol" w:hAnsi="Segoe UI Symbol"/>
          <w:color w:val="000000"/>
          <w:sz w:val="20"/>
          <w:szCs w:val="20"/>
        </w:rPr>
        <w:br/>
      </w:r>
    </w:p>
    <w:p w:rsidR="00877997" w:rsidRDefault="00CB0676">
      <w:pPr>
        <w:spacing w:line="360" w:lineRule="auto"/>
        <w:rPr>
          <w:color w:val="000000"/>
          <w:sz w:val="20"/>
          <w:szCs w:val="20"/>
        </w:rPr>
      </w:pPr>
      <w:r>
        <w:rPr>
          <w:color w:val="000000"/>
          <w:sz w:val="20"/>
          <w:szCs w:val="20"/>
        </w:rPr>
        <w:t>Large-scale rare disease sequenci</w:t>
      </w:r>
      <w:r>
        <w:rPr>
          <w:color w:val="000000"/>
          <w:sz w:val="20"/>
          <w:szCs w:val="20"/>
        </w:rPr>
        <w:t>ng projects are working to end the diagnostic odyssey tainting rare disease</w:t>
      </w:r>
      <w:r>
        <w:rPr>
          <w:color w:val="000000"/>
          <w:sz w:val="20"/>
          <w:szCs w:val="20"/>
        </w:rPr>
        <w:fldChar w:fldCharType="begin"/>
      </w:r>
      <w:r>
        <w:rPr>
          <w:color w:val="000000"/>
          <w:sz w:val="20"/>
          <w:szCs w:val="20"/>
        </w:rPr>
        <w:instrText xml:space="preserve"> ADDIN EN.CITE &lt;EndNote&gt;&lt;Cite&gt;&lt;Author&gt;Turnbull&lt;/Author&gt;&lt;Year&gt;2018&lt;/Year&gt;&lt;RecNum&gt;53&lt;/RecNum&gt;&lt;DisplayText&gt;[6, 130]&lt;/DisplayText&gt;&lt;record&gt;&lt;rec-number&gt;53&lt;/rec-number&gt;&lt;foreign-keys&gt;&lt;key a</w:instrText>
      </w:r>
      <w:r>
        <w:rPr>
          <w:color w:val="000000"/>
          <w:sz w:val="20"/>
          <w:szCs w:val="20"/>
        </w:rPr>
        <w:instrText>pp="EN" db-id="d0vstffei2ze5sew5fwxp0dq9zxs5pvvsxpv" timestamp="1579936535"&gt;53&lt;/key&gt;&lt;/foreign-keys&gt;&lt;ref-type name="Journal Article"&gt;17&lt;/ref-type&gt;&lt;contributors&gt;&lt;authors&gt;&lt;author&gt;Turnbull, Clare&lt;/author&gt;&lt;author&gt;Scott, Richard H&lt;/author&gt;&lt;author&gt;Thomas, Ellen&lt;/</w:instrText>
      </w:r>
      <w:r>
        <w:rPr>
          <w:color w:val="000000"/>
          <w:sz w:val="20"/>
          <w:szCs w:val="20"/>
        </w:rPr>
        <w:instrText>author&gt;&lt;author&gt;Jones, Louise&lt;/author&gt;&lt;author&gt;Murugaesu, Nirupa&lt;/author&gt;&lt;author&gt;Pretty, Freya Boardman&lt;/author&gt;&lt;author&gt;Halai, Dina&lt;/author&gt;&lt;author&gt;Baple, Emma&lt;/author&gt;&lt;author&gt;Craig, Clare&lt;/author&gt;&lt;author&gt;Hamblin, Angela&lt;/author&gt;&lt;/authors&gt;&lt;/contributors&gt;&lt;tit</w:instrText>
      </w:r>
      <w:r>
        <w:rPr>
          <w:color w:val="000000"/>
          <w:sz w:val="20"/>
          <w:szCs w:val="20"/>
        </w:rPr>
        <w:instrText>les&gt;&lt;title&gt;The 100 000 Genomes Project: bringing whole genome sequencing to the NHS&lt;/title&gt;&lt;secondary-title&gt;Bmj&lt;/secondary-title&gt;&lt;/titles&gt;&lt;periodical&gt;&lt;full-title&gt;Bmj&lt;/full-title&gt;&lt;/periodical&gt;&lt;pages&gt;k1687&lt;/pages&gt;&lt;volume&gt;361&lt;/volume&gt;&lt;dates&gt;&lt;year&gt;2018&lt;/year&gt;&lt;</w:instrText>
      </w:r>
      <w:r>
        <w:rPr>
          <w:color w:val="000000"/>
          <w:sz w:val="20"/>
          <w:szCs w:val="20"/>
        </w:rPr>
        <w:instrText>/dates&gt;&lt;isbn&gt;0959-8138&lt;/isbn&gt;&lt;urls&gt;&lt;/urls&gt;&lt;/record&gt;&lt;/Cite&gt;&lt;Cite&gt;&lt;Author&gt;Sankar&lt;/Author&gt;&lt;Year&gt;2017&lt;/Year&gt;&lt;RecNum&gt;54&lt;/RecNum&gt;&lt;record&gt;&lt;rec-number&gt;54&lt;/rec-number&gt;&lt;foreign-keys&gt;&lt;key app="EN" db-id="d0vstffei2ze5sew5fwxp0dq9zxs5pvvsxpv" timestamp="1579936622"&gt;54</w:instrText>
      </w:r>
      <w:r>
        <w:rPr>
          <w:color w:val="000000"/>
          <w:sz w:val="20"/>
          <w:szCs w:val="20"/>
        </w:rPr>
        <w:instrText>&lt;/key&gt;&lt;/foreign-keys&gt;&lt;ref-type name="Journal Article"&gt;17&lt;/ref-type&gt;&lt;contributors&gt;&lt;authors&gt;&lt;author&gt;Sankar, Pamela L&lt;/author&gt;&lt;author&gt;Parker, Lisa S&lt;/author&gt;&lt;/authors&gt;&lt;/contributors&gt;&lt;titles&gt;&lt;title&gt;The Precision Medicine Initiative’s All of Us Research Program</w:instrText>
      </w:r>
      <w:r>
        <w:rPr>
          <w:color w:val="000000"/>
          <w:sz w:val="20"/>
          <w:szCs w:val="20"/>
        </w:rPr>
        <w:instrText>: an agenda for research on its ethical, legal, and social issues&lt;/title&gt;&lt;secondary-title&gt;Genetics in Medicine&lt;/secondary-title&gt;&lt;/titles&gt;&lt;periodical&gt;&lt;full-title&gt;Genetics in Medicine&lt;/full-title&gt;&lt;/periodical&gt;&lt;pages&gt;743-750&lt;/pages&gt;&lt;volume&gt;19&lt;/volume&gt;&lt;number&gt;</w:instrText>
      </w:r>
      <w:r>
        <w:rPr>
          <w:color w:val="000000"/>
          <w:sz w:val="20"/>
          <w:szCs w:val="20"/>
        </w:rPr>
        <w:instrText>7&lt;/number&gt;&lt;dates&gt;&lt;year&gt;2017&lt;/year&gt;&lt;/dates&gt;&lt;isbn&gt;1530-0366&lt;/isbn&gt;&lt;urls&gt;&lt;/urls&gt;&lt;/record&gt;&lt;/Cite&gt;&lt;/EndNote&gt;</w:instrText>
      </w:r>
      <w:r>
        <w:rPr>
          <w:color w:val="000000"/>
          <w:sz w:val="20"/>
          <w:szCs w:val="20"/>
        </w:rPr>
        <w:fldChar w:fldCharType="separate"/>
      </w:r>
      <w:r>
        <w:rPr>
          <w:noProof/>
          <w:color w:val="000000"/>
          <w:sz w:val="20"/>
          <w:szCs w:val="20"/>
        </w:rPr>
        <w:t>[6, 130]</w:t>
      </w:r>
      <w:r>
        <w:rPr>
          <w:color w:val="000000"/>
          <w:sz w:val="20"/>
          <w:szCs w:val="20"/>
        </w:rPr>
        <w:fldChar w:fldCharType="end"/>
      </w:r>
      <w:r>
        <w:rPr>
          <w:color w:val="000000"/>
          <w:sz w:val="20"/>
          <w:szCs w:val="20"/>
        </w:rPr>
        <w:t xml:space="preserve">.  By amassing large cohorts, there are opportunities to improve novel gene discovery using bespoke methodology. </w:t>
      </w:r>
      <w:r>
        <w:rPr>
          <w:color w:val="000000"/>
          <w:sz w:val="20"/>
          <w:szCs w:val="20"/>
        </w:rPr>
        <w:lastRenderedPageBreak/>
        <w:t>The Deciphering Developmental</w:t>
      </w:r>
      <w:r>
        <w:rPr>
          <w:color w:val="000000"/>
          <w:sz w:val="20"/>
          <w:szCs w:val="20"/>
        </w:rPr>
        <w:t xml:space="preserve"> Disorders project has utilised large cohorts to discover novel disease genes by exploiting statistically-driven methods e.g. by computing rare mutational burden in genes versus controls</w:t>
      </w:r>
      <w:r>
        <w:rPr>
          <w:color w:val="000000"/>
          <w:sz w:val="20"/>
          <w:szCs w:val="20"/>
        </w:rPr>
        <w:fldChar w:fldCharType="begin"/>
      </w:r>
      <w:r>
        <w:rPr>
          <w:color w:val="000000"/>
          <w:sz w:val="20"/>
          <w:szCs w:val="20"/>
        </w:rPr>
        <w:instrText xml:space="preserve"> ADDIN EN.CITE &lt;EndNote&gt;&lt;Cite&gt;&lt;Author&gt;Study&lt;/Author&gt;&lt;Year&gt;2015&lt;/Year&gt;&lt;</w:instrText>
      </w:r>
      <w:r>
        <w:rPr>
          <w:color w:val="000000"/>
          <w:sz w:val="20"/>
          <w:szCs w:val="20"/>
        </w:rPr>
        <w:instrText>RecNum&gt;146&lt;/RecNum&gt;&lt;DisplayText&gt;[132]&lt;/DisplayText&gt;&lt;record&gt;&lt;rec-number&gt;146&lt;/rec-number&gt;&lt;foreign-keys&gt;&lt;key app="EN" db-id="d0vstffei2ze5sew5fwxp0dq9zxs5pvvsxpv" timestamp="1583863475"&gt;146&lt;/key&gt;&lt;/foreign-keys&gt;&lt;ref-type name="Journal Article"&gt;17&lt;/ref-type&gt;&lt;co</w:instrText>
      </w:r>
      <w:r>
        <w:rPr>
          <w:color w:val="000000"/>
          <w:sz w:val="20"/>
          <w:szCs w:val="20"/>
        </w:rPr>
        <w:instrText>ntributors&gt;&lt;authors&gt;&lt;author&gt;Study, The Deciphering Developmental Disorders&lt;/author&gt;&lt;author&gt;Fitzgerald, TW&lt;/author&gt;&lt;author&gt;Gerety, SS&lt;/author&gt;&lt;author&gt;Jones, WD&lt;/author&gt;&lt;author&gt;van Kogelenberg, M&lt;/author&gt;&lt;author&gt;King, DA&lt;/author&gt;&lt;author&gt;McRae, J&lt;/author&gt;&lt;aut</w:instrText>
      </w:r>
      <w:r>
        <w:rPr>
          <w:color w:val="000000"/>
          <w:sz w:val="20"/>
          <w:szCs w:val="20"/>
        </w:rPr>
        <w:instrText>hor&gt;Morley, KI&lt;/author&gt;&lt;author&gt;Parthiban, V&lt;/author&gt;&lt;author&gt;Al-Turki, S&lt;/author&gt;&lt;/authors&gt;&lt;/contributors&gt;&lt;titles&gt;&lt;title&gt;Large-scale discovery of novel genetic causes of developmental disorders&lt;/title&gt;&lt;secondary-title&gt;Nature&lt;/secondary-title&gt;&lt;/titles&gt;&lt;perio</w:instrText>
      </w:r>
      <w:r>
        <w:rPr>
          <w:color w:val="000000"/>
          <w:sz w:val="20"/>
          <w:szCs w:val="20"/>
        </w:rPr>
        <w:instrText>dical&gt;&lt;full-title&gt;Nature&lt;/full-title&gt;&lt;/periodical&gt;&lt;pages&gt;223-228&lt;/pages&gt;&lt;volume&gt;519&lt;/volume&gt;&lt;number&gt;7542&lt;/number&gt;&lt;dates&gt;&lt;year&gt;2015&lt;/year&gt;&lt;/dates&gt;&lt;isbn&gt;1476-4687&lt;/isbn&gt;&lt;urls&gt;&lt;/urls&gt;&lt;/record&gt;&lt;/Cite&gt;&lt;/EndNote&gt;</w:instrText>
      </w:r>
      <w:r>
        <w:rPr>
          <w:color w:val="000000"/>
          <w:sz w:val="20"/>
          <w:szCs w:val="20"/>
        </w:rPr>
        <w:fldChar w:fldCharType="separate"/>
      </w:r>
      <w:r>
        <w:rPr>
          <w:noProof/>
          <w:color w:val="000000"/>
          <w:sz w:val="20"/>
          <w:szCs w:val="20"/>
        </w:rPr>
        <w:t>[132]</w:t>
      </w:r>
      <w:r>
        <w:rPr>
          <w:color w:val="000000"/>
          <w:sz w:val="20"/>
          <w:szCs w:val="20"/>
        </w:rPr>
        <w:fldChar w:fldCharType="end"/>
      </w:r>
      <w:r>
        <w:rPr>
          <w:color w:val="000000"/>
          <w:sz w:val="20"/>
          <w:szCs w:val="20"/>
        </w:rPr>
        <w:t>.</w:t>
      </w: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color w:val="000000"/>
          <w:sz w:val="20"/>
          <w:szCs w:val="20"/>
        </w:rPr>
        <w:t>New constraint metrics such as LOEUF pr</w:t>
      </w:r>
      <w:r>
        <w:rPr>
          <w:color w:val="000000"/>
          <w:sz w:val="20"/>
          <w:szCs w:val="20"/>
        </w:rPr>
        <w:t>ovides a continuous spectrum of intolerance to gene inactivation and can be used to discover novel disease genes</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[35]</w:t>
      </w:r>
      <w:r>
        <w:rPr>
          <w:color w:val="000000"/>
          <w:sz w:val="20"/>
          <w:szCs w:val="20"/>
        </w:rPr>
        <w:fldChar w:fldCharType="end"/>
      </w:r>
      <w:r>
        <w:rPr>
          <w:color w:val="000000"/>
          <w:sz w:val="20"/>
          <w:szCs w:val="20"/>
        </w:rPr>
        <w:t>. Using the extremes of this spectrum, there is an opportunity to</w:t>
      </w:r>
      <w:r>
        <w:rPr>
          <w:color w:val="000000"/>
          <w:sz w:val="20"/>
          <w:szCs w:val="20"/>
        </w:rPr>
        <w:t xml:space="preserve"> identify predicted haploinsufficient disease genes yet to be discovered by accurately focusing genomic analysis to the most damaging (loss-of-function)</w:t>
      </w:r>
      <w:r>
        <w:rPr>
          <w:rFonts w:ascii="Segoe UI Symbol" w:hAnsi="Segoe UI Symbol"/>
          <w:color w:val="000000"/>
          <w:sz w:val="20"/>
          <w:szCs w:val="20"/>
        </w:rPr>
        <w:t xml:space="preserve"> </w:t>
      </w:r>
      <w:r>
        <w:rPr>
          <w:color w:val="000000"/>
          <w:sz w:val="20"/>
          <w:szCs w:val="20"/>
        </w:rPr>
        <w:t>variants in LOEUF constrained genes. In essence, adopting a gene-to-patient based approach that matches</w:t>
      </w:r>
      <w:r>
        <w:rPr>
          <w:color w:val="000000"/>
          <w:sz w:val="20"/>
          <w:szCs w:val="20"/>
        </w:rPr>
        <w:t xml:space="preserve"> predicted pathogenic variants to rare disease patients, thus reducing most of the analytical noise that currently precludes</w:t>
      </w:r>
      <w:r>
        <w:rPr>
          <w:rFonts w:ascii="Segoe UI Symbol" w:hAnsi="Segoe UI Symbol"/>
          <w:color w:val="000000"/>
          <w:sz w:val="20"/>
          <w:szCs w:val="20"/>
        </w:rPr>
        <w:t xml:space="preserve"> </w:t>
      </w:r>
      <w:r>
        <w:rPr>
          <w:color w:val="000000"/>
          <w:sz w:val="20"/>
          <w:szCs w:val="20"/>
        </w:rPr>
        <w:t>novel discoveries (</w:t>
      </w:r>
      <w:r>
        <w:rPr>
          <w:b/>
          <w:color w:val="000000"/>
          <w:sz w:val="20"/>
          <w:szCs w:val="20"/>
        </w:rPr>
        <w:t>Figure 5</w:t>
      </w:r>
      <w:r>
        <w:rPr>
          <w:color w:val="000000"/>
          <w:sz w:val="20"/>
          <w:szCs w:val="20"/>
        </w:rPr>
        <w:t>) and building a much-needed phenotypic catalogue of human gene knockouts that has otherwise been unachi</w:t>
      </w:r>
      <w:r>
        <w:rPr>
          <w:color w:val="000000"/>
          <w:sz w:val="20"/>
          <w:szCs w:val="20"/>
        </w:rPr>
        <w:t>evable. This will be most valuable if and when phenotype data are accurate, comprehensive and collected longitudinally. Given the rarity of these mutations, this is only achievable by exploiting massive cohort sizes, now possible by recent global efforts</w:t>
      </w:r>
      <w:r>
        <w:rPr>
          <w:rFonts w:ascii="Segoe UI Symbol" w:hAnsi="Segoe UI Symbol"/>
          <w:color w:val="000000"/>
          <w:sz w:val="20"/>
          <w:szCs w:val="20"/>
        </w:rPr>
        <w:t>.</w:t>
      </w:r>
      <w:r>
        <w:rPr>
          <w:color w:val="000000"/>
          <w:sz w:val="20"/>
          <w:szCs w:val="20"/>
        </w:rPr>
        <w:t xml:space="preserve"> </w:t>
      </w:r>
      <w:r>
        <w:rPr>
          <w:color w:val="000000"/>
          <w:sz w:val="20"/>
          <w:szCs w:val="20"/>
        </w:rPr>
        <w:t>This method is best applied to non-embryonically lethal diseases caused by variants in haploinsufficient genes, but also shows promise for recessive inheritance; genes that falls in the middle of the LOEUF spectrum are enriched for recessive diseases and c</w:t>
      </w:r>
      <w:r>
        <w:rPr>
          <w:color w:val="000000"/>
          <w:sz w:val="20"/>
          <w:szCs w:val="20"/>
        </w:rPr>
        <w:t>an be targeted accordingly</w:t>
      </w:r>
      <w:r>
        <w:rPr>
          <w:color w:val="000000"/>
          <w:sz w:val="20"/>
          <w:szCs w:val="20"/>
        </w:rPr>
        <w:fldChar w:fldCharType="begin"/>
      </w:r>
      <w:r>
        <w:rPr>
          <w:color w:val="000000"/>
          <w:sz w:val="20"/>
          <w:szCs w:val="20"/>
        </w:rPr>
        <w:instrText xml:space="preserve"> ADDIN EN.CITE </w:instrText>
      </w:r>
      <w:r>
        <w:rPr>
          <w:color w:val="000000"/>
          <w:sz w:val="20"/>
          <w:szCs w:val="20"/>
        </w:rPr>
        <w:fldChar w:fldCharType="separate"/>
      </w:r>
      <w:r>
        <w:rPr>
          <w:color w:val="000000"/>
          <w:sz w:val="20"/>
          <w:szCs w:val="20"/>
        </w:rPr>
        <w:fldChar w:fldCharType="begin"/>
      </w:r>
      <w:r>
        <w:rPr>
          <w:color w:val="000000"/>
          <w:sz w:val="20"/>
          <w:szCs w:val="20"/>
        </w:rPr>
        <w:instrText xml:space="preserve"> ADDIN EN.CITE.DATA 蜉</w:instrText>
      </w:r>
      <w:r>
        <w:rPr>
          <w:color w:val="000000"/>
          <w:sz w:val="20"/>
          <w:szCs w:val="20"/>
        </w:rPr>
        <w:fldChar w:fldCharType="end"/>
      </w:r>
      <w:r>
        <w:rPr>
          <w:noProof/>
          <w:color w:val="000000"/>
          <w:sz w:val="20"/>
          <w:szCs w:val="20"/>
        </w:rPr>
        <w:t>[35]</w:t>
      </w:r>
      <w:r>
        <w:rPr>
          <w:color w:val="000000"/>
          <w:sz w:val="20"/>
          <w:szCs w:val="20"/>
        </w:rPr>
        <w:fldChar w:fldCharType="end"/>
      </w:r>
      <w:r>
        <w:rPr>
          <w:color w:val="000000"/>
          <w:sz w:val="20"/>
          <w:szCs w:val="20"/>
        </w:rPr>
        <w:t xml:space="preserve">. </w:t>
      </w:r>
    </w:p>
    <w:p w:rsidR="00877997" w:rsidRDefault="00877997">
      <w:pPr>
        <w:spacing w:line="360" w:lineRule="auto"/>
        <w:rPr>
          <w:b/>
          <w:color w:val="000000"/>
          <w:sz w:val="20"/>
          <w:szCs w:val="20"/>
        </w:rPr>
      </w:pPr>
    </w:p>
    <w:p w:rsidR="00877997" w:rsidRDefault="00CB0676">
      <w:pPr>
        <w:spacing w:line="360" w:lineRule="auto"/>
        <w:rPr>
          <w:color w:val="000000"/>
          <w:sz w:val="20"/>
          <w:szCs w:val="20"/>
        </w:rPr>
      </w:pPr>
      <w:r>
        <w:rPr>
          <w:b/>
          <w:color w:val="000000"/>
          <w:sz w:val="20"/>
          <w:szCs w:val="20"/>
        </w:rPr>
        <w:t xml:space="preserve">Figure 5 | </w:t>
      </w:r>
      <w:r>
        <w:rPr>
          <w:color w:val="000000"/>
          <w:sz w:val="20"/>
          <w:szCs w:val="16"/>
        </w:rPr>
        <w:t>A proposed method for novel disease-gene discovery.</w:t>
      </w:r>
      <w:r>
        <w:rPr>
          <w:i/>
          <w:color w:val="000000"/>
          <w:sz w:val="20"/>
          <w:szCs w:val="16"/>
        </w:rPr>
        <w:t xml:space="preserve"> </w:t>
      </w:r>
    </w:p>
    <w:p w:rsidR="00877997" w:rsidRDefault="00CB0676">
      <w:pPr>
        <w:spacing w:line="360" w:lineRule="auto"/>
        <w:rPr>
          <w:color w:val="000000"/>
          <w:sz w:val="20"/>
          <w:szCs w:val="20"/>
        </w:rPr>
      </w:pPr>
      <w:r>
        <w:rPr>
          <w:noProof/>
          <w:color w:val="000000"/>
          <w:sz w:val="20"/>
          <w:szCs w:val="20"/>
        </w:rPr>
        <w:lastRenderedPageBreak/>
        <w:drawing>
          <wp:inline distT="0" distB="0" distL="0" distR="0">
            <wp:extent cx="5943600" cy="4641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641850"/>
                    </a:xfrm>
                    <a:prstGeom prst="rect">
                      <a:avLst/>
                    </a:prstGeom>
                  </pic:spPr>
                </pic:pic>
              </a:graphicData>
            </a:graphic>
          </wp:inline>
        </w:drawing>
      </w:r>
      <w:r>
        <w:rPr>
          <w:color w:val="000000"/>
          <w:sz w:val="20"/>
          <w:szCs w:val="20"/>
        </w:rPr>
        <w:t xml:space="preserve"> </w:t>
      </w:r>
    </w:p>
    <w:p w:rsidR="00877997" w:rsidRDefault="00CB0676">
      <w:pPr>
        <w:spacing w:line="360" w:lineRule="auto"/>
        <w:rPr>
          <w:i/>
          <w:color w:val="000000"/>
          <w:sz w:val="16"/>
          <w:szCs w:val="16"/>
        </w:rPr>
      </w:pPr>
      <w:r>
        <w:rPr>
          <w:i/>
          <w:color w:val="000000"/>
          <w:sz w:val="16"/>
          <w:szCs w:val="16"/>
        </w:rPr>
        <w:t xml:space="preserve"> </w:t>
      </w:r>
      <w:r>
        <w:rPr>
          <w:b/>
          <w:i/>
          <w:color w:val="000000"/>
          <w:sz w:val="16"/>
          <w:szCs w:val="16"/>
        </w:rPr>
        <w:t>(1)</w:t>
      </w:r>
      <w:r>
        <w:rPr>
          <w:i/>
          <w:color w:val="000000"/>
          <w:sz w:val="16"/>
          <w:szCs w:val="16"/>
        </w:rPr>
        <w:t xml:space="preserve"> The current ‘patient to gene approach’. Following sequencing of a given patient (A) there is usually a high b</w:t>
      </w:r>
      <w:r>
        <w:rPr>
          <w:i/>
          <w:color w:val="000000"/>
          <w:sz w:val="16"/>
          <w:szCs w:val="16"/>
        </w:rPr>
        <w:t>urden of variants of unknown significance. One of these candidates may be the causal variant (red), however with literature lacking on the function of all 20,000 human genes, all candidates are essentially of equally-predicted causality; at least until a t</w:t>
      </w:r>
      <w:r>
        <w:rPr>
          <w:i/>
          <w:color w:val="000000"/>
          <w:sz w:val="16"/>
          <w:szCs w:val="16"/>
        </w:rPr>
        <w:t xml:space="preserve">ime that functional experiments can validate pathogenicity. </w:t>
      </w:r>
      <w:r>
        <w:rPr>
          <w:b/>
          <w:i/>
          <w:color w:val="000000"/>
          <w:sz w:val="16"/>
          <w:szCs w:val="16"/>
        </w:rPr>
        <w:t>(2)</w:t>
      </w:r>
      <w:r>
        <w:rPr>
          <w:i/>
          <w:color w:val="000000"/>
          <w:sz w:val="16"/>
          <w:szCs w:val="16"/>
        </w:rPr>
        <w:t xml:space="preserve"> A proposed new method that reverses the patient-to-gene approach. Here, genes are ranked based on predicted haploinsufficiency, modelled from population data (LOEUF constraint metric). High co</w:t>
      </w:r>
      <w:r>
        <w:rPr>
          <w:i/>
          <w:color w:val="000000"/>
          <w:sz w:val="16"/>
          <w:szCs w:val="16"/>
        </w:rPr>
        <w:t>nfidence inactivating variants are filtered on a curated list of predicted disease-causing genes and are extracted from rare disease cohorts independent of phenotype. These predicted pathogenic variants are then matched to individual patients (B, C, D, E a</w:t>
      </w:r>
      <w:r>
        <w:rPr>
          <w:i/>
          <w:color w:val="000000"/>
          <w:sz w:val="16"/>
          <w:szCs w:val="16"/>
        </w:rPr>
        <w:t xml:space="preserve">nd F). </w:t>
      </w:r>
    </w:p>
    <w:p w:rsidR="00877997" w:rsidRDefault="00877997">
      <w:pPr>
        <w:rPr>
          <w:color w:val="000000"/>
          <w:sz w:val="20"/>
          <w:szCs w:val="20"/>
        </w:rPr>
      </w:pPr>
    </w:p>
    <w:p w:rsidR="00877997" w:rsidRDefault="00877997">
      <w:pPr>
        <w:rPr>
          <w:color w:val="000000"/>
          <w:sz w:val="20"/>
          <w:szCs w:val="20"/>
        </w:rPr>
      </w:pPr>
    </w:p>
    <w:p w:rsidR="00877997" w:rsidRDefault="00CB0676">
      <w:pPr>
        <w:rPr>
          <w:b/>
          <w:color w:val="000000"/>
          <w:sz w:val="20"/>
          <w:szCs w:val="20"/>
        </w:rPr>
      </w:pPr>
      <w:r>
        <w:rPr>
          <w:b/>
          <w:color w:val="000000"/>
          <w:sz w:val="20"/>
          <w:szCs w:val="20"/>
        </w:rPr>
        <w:t>Conclusion</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t>Diagnosing rare diseases is challenging, however the pace at which genomics has moved from a research setting into mainstream clinical medicine exemplifies its utility. Methods are continually advancing to improve variant analysis and</w:t>
      </w:r>
      <w:r>
        <w:rPr>
          <w:color w:val="000000"/>
          <w:sz w:val="20"/>
          <w:szCs w:val="20"/>
        </w:rPr>
        <w:t xml:space="preserve"> interpretation, particularly by modelling gene constraint from population data, utilising machine-learning and deep neural networks to predict variant consequence, and visualising transcript- and tissue-specific annotation. Furthermore, recent efforts to </w:t>
      </w:r>
      <w:r>
        <w:rPr>
          <w:color w:val="000000"/>
          <w:sz w:val="20"/>
          <w:szCs w:val="20"/>
        </w:rPr>
        <w:t xml:space="preserve">understand the non-coding genome are revealing a large spectrum of variation implicated in disease. </w:t>
      </w:r>
    </w:p>
    <w:p w:rsidR="00877997" w:rsidRDefault="00877997">
      <w:pPr>
        <w:rPr>
          <w:color w:val="000000"/>
          <w:sz w:val="20"/>
          <w:szCs w:val="20"/>
        </w:rPr>
      </w:pPr>
    </w:p>
    <w:p w:rsidR="00877997" w:rsidRDefault="00CB0676">
      <w:pPr>
        <w:spacing w:line="360" w:lineRule="auto"/>
        <w:rPr>
          <w:color w:val="000000"/>
          <w:sz w:val="20"/>
          <w:szCs w:val="20"/>
        </w:rPr>
      </w:pPr>
      <w:r>
        <w:rPr>
          <w:color w:val="000000"/>
          <w:sz w:val="20"/>
          <w:szCs w:val="20"/>
        </w:rPr>
        <w:lastRenderedPageBreak/>
        <w:t>With a wealth of research into the human genome, it is expected that diagnostic rates will continue to rise. Rethinking current practices by utilising lar</w:t>
      </w:r>
      <w:r>
        <w:rPr>
          <w:color w:val="000000"/>
          <w:sz w:val="20"/>
          <w:szCs w:val="20"/>
        </w:rPr>
        <w:t>ge cohorts and adopting gene-based approaches may accelerate novel gene discovery, where functional experiments on genes of equally-predicted causality have been a major bottleneck. The mainstream integration of SV calling into informatics pipelines is lik</w:t>
      </w:r>
      <w:r>
        <w:rPr>
          <w:color w:val="000000"/>
          <w:sz w:val="20"/>
          <w:szCs w:val="20"/>
        </w:rPr>
        <w:t>ely to resolve a percentage of undiagnosed rare diseases and it is hoped that as control cohorts increase in size, incomplete penetrance will be more accurately quantified. Genomics has already revolutionised rare disease diagnostics, and as we start the n</w:t>
      </w:r>
      <w:r>
        <w:rPr>
          <w:color w:val="000000"/>
          <w:sz w:val="20"/>
          <w:szCs w:val="20"/>
        </w:rPr>
        <w:t>ew decade we can likely look ahead to significant diagnostic uplift which will facilitate the development of personalised therapies and begin to end the diagnostic odyssey of rare disease.</w:t>
      </w:r>
    </w:p>
    <w:p w:rsidR="00877997" w:rsidRDefault="00877997">
      <w:pPr>
        <w:spacing w:line="360" w:lineRule="auto"/>
        <w:rPr>
          <w:color w:val="000000"/>
          <w:sz w:val="20"/>
          <w:szCs w:val="20"/>
        </w:rPr>
      </w:pPr>
    </w:p>
    <w:p w:rsidR="00877997" w:rsidRDefault="00877997">
      <w:pPr>
        <w:spacing w:line="360" w:lineRule="auto"/>
        <w:rPr>
          <w:color w:val="000000"/>
          <w:sz w:val="20"/>
          <w:szCs w:val="20"/>
        </w:rPr>
      </w:pPr>
    </w:p>
    <w:p w:rsidR="00877997" w:rsidRDefault="00CB0676">
      <w:pPr>
        <w:spacing w:line="360" w:lineRule="auto"/>
        <w:rPr>
          <w:b/>
          <w:color w:val="000000"/>
          <w:sz w:val="20"/>
          <w:szCs w:val="20"/>
        </w:rPr>
      </w:pPr>
      <w:r>
        <w:rPr>
          <w:b/>
          <w:color w:val="000000"/>
          <w:sz w:val="20"/>
          <w:szCs w:val="20"/>
        </w:rPr>
        <w:t>Key points</w:t>
      </w:r>
    </w:p>
    <w:p w:rsidR="00877997" w:rsidRDefault="00CB0676">
      <w:pPr>
        <w:pStyle w:val="ListParagraph"/>
        <w:numPr>
          <w:ilvl w:val="0"/>
          <w:numId w:val="9"/>
        </w:numPr>
        <w:spacing w:line="360" w:lineRule="auto"/>
        <w:rPr>
          <w:color w:val="000000"/>
          <w:sz w:val="20"/>
          <w:szCs w:val="20"/>
        </w:rPr>
      </w:pPr>
      <w:r>
        <w:rPr>
          <w:color w:val="000000"/>
          <w:sz w:val="20"/>
          <w:szCs w:val="20"/>
        </w:rPr>
        <w:t>Genomics has revolutionised</w:t>
      </w:r>
      <w:r>
        <w:rPr>
          <w:color w:val="000000"/>
          <w:sz w:val="20"/>
          <w:szCs w:val="20"/>
        </w:rPr>
        <w:t xml:space="preserve"> rare disease diagnostics. Consequently, whole exome and genome sequencing are now recognised clinical diagnostic tests.</w:t>
      </w:r>
    </w:p>
    <w:p w:rsidR="00877997" w:rsidRDefault="00CB0676">
      <w:pPr>
        <w:pStyle w:val="ListParagraph"/>
        <w:numPr>
          <w:ilvl w:val="0"/>
          <w:numId w:val="9"/>
        </w:numPr>
        <w:spacing w:line="360" w:lineRule="auto"/>
        <w:rPr>
          <w:color w:val="000000"/>
          <w:sz w:val="20"/>
          <w:szCs w:val="20"/>
        </w:rPr>
      </w:pPr>
      <w:r>
        <w:rPr>
          <w:color w:val="000000"/>
          <w:sz w:val="20"/>
          <w:szCs w:val="20"/>
        </w:rPr>
        <w:t>Current diagnostic rates for exome and genome sequencing are ~30% on average. This is challenged by clinical diagnostic testing limitin</w:t>
      </w:r>
      <w:r>
        <w:rPr>
          <w:color w:val="000000"/>
          <w:sz w:val="20"/>
          <w:szCs w:val="20"/>
        </w:rPr>
        <w:t>g analysis to known disease genes. Therefore, disease variants in genes of unknown function are missed. Novel disease-gene discovery is required to uplift diagnostic rates and is being facilitated by national genome sequencing projects, whereby patients ar</w:t>
      </w:r>
      <w:r>
        <w:rPr>
          <w:color w:val="000000"/>
          <w:sz w:val="20"/>
          <w:szCs w:val="20"/>
        </w:rPr>
        <w:t>e contemporaneously consented for both diagnostic and research studies.</w:t>
      </w:r>
    </w:p>
    <w:p w:rsidR="00877997" w:rsidRDefault="00CB0676">
      <w:pPr>
        <w:pStyle w:val="ListParagraph"/>
        <w:numPr>
          <w:ilvl w:val="0"/>
          <w:numId w:val="9"/>
        </w:numPr>
        <w:spacing w:line="360" w:lineRule="auto"/>
        <w:rPr>
          <w:color w:val="000000"/>
          <w:sz w:val="20"/>
          <w:szCs w:val="20"/>
        </w:rPr>
      </w:pPr>
      <w:r>
        <w:rPr>
          <w:color w:val="000000"/>
          <w:sz w:val="20"/>
          <w:szCs w:val="20"/>
        </w:rPr>
        <w:t>Over 75% of the phenotypical consequences of variants in the exome are unaccounted for. Therefore, there is still much to be understood about the biological function of all ~20,000 hum</w:t>
      </w:r>
      <w:r>
        <w:rPr>
          <w:color w:val="000000"/>
          <w:sz w:val="20"/>
          <w:szCs w:val="20"/>
        </w:rPr>
        <w:t>an genes before clinical diagnostic testing will significantly uplift diagnostic rates.</w:t>
      </w:r>
    </w:p>
    <w:p w:rsidR="00877997" w:rsidRDefault="00CB0676">
      <w:pPr>
        <w:pStyle w:val="ListParagraph"/>
        <w:numPr>
          <w:ilvl w:val="0"/>
          <w:numId w:val="9"/>
        </w:numPr>
        <w:spacing w:line="360" w:lineRule="auto"/>
        <w:rPr>
          <w:color w:val="000000"/>
          <w:sz w:val="20"/>
          <w:szCs w:val="20"/>
        </w:rPr>
      </w:pPr>
      <w:r>
        <w:rPr>
          <w:color w:val="000000"/>
          <w:sz w:val="20"/>
          <w:szCs w:val="20"/>
        </w:rPr>
        <w:t>Many disease variants reside outside of coding regions. Research into</w:t>
      </w:r>
      <w:r>
        <w:rPr>
          <w:color w:val="000000"/>
          <w:sz w:val="20"/>
          <w:szCs w:val="20"/>
        </w:rPr>
        <w:t xml:space="preserve"> structural variants and non-coding variation is rapidly advancing. Long-read sequencing shows real promise in elucidating the role of non-coding DNA and structural variation, however cost is a substantial issue.</w:t>
      </w:r>
    </w:p>
    <w:p w:rsidR="00877997" w:rsidRDefault="00CB0676">
      <w:pPr>
        <w:pStyle w:val="ListParagraph"/>
        <w:numPr>
          <w:ilvl w:val="0"/>
          <w:numId w:val="9"/>
        </w:numPr>
        <w:spacing w:line="360" w:lineRule="auto"/>
        <w:rPr>
          <w:color w:val="000000"/>
          <w:sz w:val="20"/>
          <w:szCs w:val="20"/>
        </w:rPr>
      </w:pPr>
      <w:r>
        <w:rPr>
          <w:color w:val="000000"/>
          <w:sz w:val="20"/>
          <w:szCs w:val="20"/>
        </w:rPr>
        <w:t>Variant interpretation is challenging and i</w:t>
      </w:r>
      <w:r>
        <w:rPr>
          <w:color w:val="000000"/>
          <w:sz w:val="20"/>
          <w:szCs w:val="20"/>
        </w:rPr>
        <w:t xml:space="preserve">s hindered by millions of variants called per genome. Utilising segregation, </w:t>
      </w:r>
      <w:r>
        <w:rPr>
          <w:i/>
          <w:color w:val="000000"/>
          <w:sz w:val="20"/>
          <w:szCs w:val="20"/>
        </w:rPr>
        <w:t>in silico</w:t>
      </w:r>
      <w:r>
        <w:rPr>
          <w:color w:val="000000"/>
          <w:sz w:val="20"/>
          <w:szCs w:val="20"/>
        </w:rPr>
        <w:t xml:space="preserve"> tools and allele frequencies can help in this regard, however in many cases, multiple variants of uncertain significance remain. These require functional studies to vali</w:t>
      </w:r>
      <w:r>
        <w:rPr>
          <w:color w:val="000000"/>
          <w:sz w:val="20"/>
          <w:szCs w:val="20"/>
        </w:rPr>
        <w:t>date their effects, which is impossible to achieve for multiple candidates per exome/genome. Leveraging large datasets and exploiting constraint metrics provide an opportunity to adopt gene-to-patient based approaches.</w:t>
      </w:r>
    </w:p>
    <w:p w:rsidR="00877997" w:rsidRDefault="00877997">
      <w:pPr>
        <w:spacing w:line="360" w:lineRule="auto"/>
        <w:rPr>
          <w:color w:val="000000"/>
          <w:sz w:val="20"/>
          <w:szCs w:val="20"/>
        </w:rPr>
      </w:pPr>
    </w:p>
    <w:p w:rsidR="00877997" w:rsidRDefault="00CB0676">
      <w:pPr>
        <w:spacing w:line="360" w:lineRule="auto"/>
        <w:rPr>
          <w:b/>
          <w:color w:val="000000"/>
          <w:sz w:val="20"/>
          <w:szCs w:val="20"/>
        </w:rPr>
      </w:pPr>
      <w:r>
        <w:rPr>
          <w:b/>
          <w:color w:val="000000"/>
          <w:sz w:val="20"/>
          <w:szCs w:val="20"/>
        </w:rPr>
        <w:t>Keywords</w:t>
      </w:r>
    </w:p>
    <w:p w:rsidR="00877997" w:rsidRDefault="00CB0676">
      <w:pPr>
        <w:spacing w:line="360" w:lineRule="auto"/>
        <w:rPr>
          <w:color w:val="000000"/>
          <w:sz w:val="20"/>
          <w:szCs w:val="20"/>
        </w:rPr>
      </w:pPr>
      <w:r>
        <w:rPr>
          <w:color w:val="000000"/>
          <w:sz w:val="20"/>
          <w:szCs w:val="20"/>
        </w:rPr>
        <w:t>Rare disease, genomics, dia</w:t>
      </w:r>
      <w:r>
        <w:rPr>
          <w:color w:val="000000"/>
          <w:sz w:val="20"/>
          <w:szCs w:val="20"/>
        </w:rPr>
        <w:t>gnostics, exome sequencing, novel gene discovery, diagnostic odyssey</w:t>
      </w:r>
    </w:p>
    <w:p w:rsidR="00877997" w:rsidRDefault="00877997">
      <w:pPr>
        <w:spacing w:line="360" w:lineRule="auto"/>
        <w:rPr>
          <w:color w:val="000000"/>
          <w:sz w:val="20"/>
          <w:szCs w:val="20"/>
        </w:rPr>
      </w:pPr>
    </w:p>
    <w:p w:rsidR="00877997" w:rsidRDefault="00CB0676">
      <w:pPr>
        <w:spacing w:line="360" w:lineRule="auto"/>
        <w:rPr>
          <w:b/>
          <w:color w:val="000000"/>
          <w:sz w:val="20"/>
          <w:szCs w:val="20"/>
        </w:rPr>
      </w:pPr>
      <w:r>
        <w:rPr>
          <w:b/>
          <w:color w:val="000000"/>
          <w:sz w:val="20"/>
          <w:szCs w:val="20"/>
        </w:rPr>
        <w:t>Funding</w:t>
      </w:r>
    </w:p>
    <w:p w:rsidR="00877997" w:rsidRDefault="00CB0676">
      <w:pPr>
        <w:spacing w:line="360" w:lineRule="auto"/>
        <w:rPr>
          <w:color w:val="000000"/>
          <w:sz w:val="20"/>
          <w:szCs w:val="20"/>
        </w:rPr>
      </w:pPr>
      <w:r>
        <w:rPr>
          <w:color w:val="000000"/>
          <w:sz w:val="20"/>
          <w:szCs w:val="20"/>
        </w:rPr>
        <w:t>EGS is supported by the Kerkut Charitable Trust.</w:t>
      </w:r>
    </w:p>
    <w:p w:rsidR="00877997" w:rsidRDefault="00877997">
      <w:pPr>
        <w:spacing w:line="360" w:lineRule="auto"/>
        <w:rPr>
          <w:color w:val="000000"/>
          <w:sz w:val="20"/>
          <w:szCs w:val="20"/>
        </w:rPr>
      </w:pPr>
    </w:p>
    <w:p w:rsidR="00877997" w:rsidRDefault="00877997">
      <w:pPr>
        <w:spacing w:line="360" w:lineRule="auto"/>
        <w:rPr>
          <w:color w:val="000000"/>
          <w:sz w:val="20"/>
          <w:szCs w:val="20"/>
        </w:rPr>
      </w:pPr>
    </w:p>
    <w:p w:rsidR="00877997" w:rsidRDefault="00CB0676">
      <w:pPr>
        <w:spacing w:line="360" w:lineRule="auto"/>
        <w:rPr>
          <w:color w:val="000000"/>
          <w:sz w:val="20"/>
          <w:szCs w:val="20"/>
        </w:rPr>
      </w:pPr>
      <w:r>
        <w:rPr>
          <w:b/>
          <w:color w:val="000000"/>
          <w:sz w:val="20"/>
          <w:szCs w:val="16"/>
        </w:rPr>
        <w:lastRenderedPageBreak/>
        <w:t>References:</w:t>
      </w:r>
    </w:p>
    <w:p w:rsidR="00877997" w:rsidRDefault="00877997">
      <w:pPr>
        <w:rPr>
          <w:color w:val="000000"/>
          <w:sz w:val="20"/>
          <w:szCs w:val="16"/>
        </w:rPr>
      </w:pPr>
    </w:p>
    <w:p w:rsidR="00877997" w:rsidRDefault="00CB0676">
      <w:pPr>
        <w:pStyle w:val="EndNoteBibliography"/>
        <w:rPr>
          <w:color w:val="000000"/>
        </w:rPr>
      </w:pPr>
      <w:r>
        <w:rPr>
          <w:color w:val="000000"/>
          <w:sz w:val="20"/>
          <w:szCs w:val="20"/>
        </w:rPr>
        <w:t xml:space="preserve"> ADDIN EN.REFLIST </w:t>
      </w:r>
      <w:r>
        <w:rPr>
          <w:noProof/>
          <w:color w:val="000000"/>
        </w:rPr>
        <w:t>1.</w:t>
      </w:r>
      <w:r>
        <w:rPr>
          <w:noProof/>
          <w:color w:val="000000"/>
        </w:rPr>
        <w:tab/>
        <w:t xml:space="preserve">Biesecker LG, Green RC. Diagnostic clinical genome and exome sequencing, New England Journal </w:t>
      </w:r>
      <w:r>
        <w:rPr>
          <w:noProof/>
          <w:color w:val="000000"/>
        </w:rPr>
        <w:t>of Medicine 2014;370:2418-2425.</w:t>
      </w:r>
    </w:p>
    <w:p w:rsidR="00877997" w:rsidRDefault="00CB0676">
      <w:pPr>
        <w:pStyle w:val="EndNoteBibliography"/>
        <w:rPr>
          <w:color w:val="000000"/>
        </w:rPr>
      </w:pPr>
      <w:r>
        <w:rPr>
          <w:noProof/>
          <w:color w:val="000000"/>
        </w:rPr>
        <w:t>2.</w:t>
      </w:r>
      <w:r>
        <w:rPr>
          <w:noProof/>
          <w:color w:val="000000"/>
        </w:rPr>
        <w:tab/>
        <w:t>Adams DR, Eng CM. Next-generation sequencing to diagnose suspected genetic disorders, New England Journal of Medicine 2018;379:1353-1362.</w:t>
      </w:r>
    </w:p>
    <w:p w:rsidR="00877997" w:rsidRDefault="00CB0676">
      <w:pPr>
        <w:pStyle w:val="EndNoteBibliography"/>
        <w:rPr>
          <w:color w:val="000000"/>
        </w:rPr>
      </w:pPr>
      <w:r>
        <w:rPr>
          <w:noProof/>
          <w:color w:val="000000"/>
        </w:rPr>
        <w:t>3.</w:t>
      </w:r>
      <w:r>
        <w:rPr>
          <w:noProof/>
          <w:color w:val="000000"/>
        </w:rPr>
        <w:tab/>
        <w:t>Retterer K, Juusola J, Cho MT et al. Clinical application of whole-exome sequenc</w:t>
      </w:r>
      <w:r>
        <w:rPr>
          <w:noProof/>
          <w:color w:val="000000"/>
        </w:rPr>
        <w:t>ing across clinical indications, Genetics in Medicine 2016;18:696-704.</w:t>
      </w:r>
    </w:p>
    <w:p w:rsidR="00877997" w:rsidRDefault="00CB0676">
      <w:pPr>
        <w:pStyle w:val="EndNoteBibliography"/>
        <w:rPr>
          <w:color w:val="000000"/>
        </w:rPr>
      </w:pPr>
      <w:r>
        <w:rPr>
          <w:noProof/>
          <w:color w:val="000000"/>
        </w:rPr>
        <w:t>4.</w:t>
      </w:r>
      <w:r>
        <w:rPr>
          <w:noProof/>
          <w:color w:val="000000"/>
        </w:rPr>
        <w:tab/>
        <w:t>Lee H, Deignan JL, Dorrani N et al. Clinical exome sequencing for genetic identification of rare Mendelian disorders, Jama 2014;312:1880-1887.</w:t>
      </w:r>
    </w:p>
    <w:p w:rsidR="00877997" w:rsidRDefault="00CB0676">
      <w:pPr>
        <w:pStyle w:val="EndNoteBibliography"/>
        <w:rPr>
          <w:color w:val="000000"/>
        </w:rPr>
      </w:pPr>
      <w:r>
        <w:rPr>
          <w:noProof/>
          <w:color w:val="000000"/>
        </w:rPr>
        <w:t>5.</w:t>
      </w:r>
      <w:r>
        <w:rPr>
          <w:noProof/>
          <w:color w:val="000000"/>
        </w:rPr>
        <w:tab/>
        <w:t>Siva N. 1000 Genomes project. Nature</w:t>
      </w:r>
      <w:r>
        <w:rPr>
          <w:noProof/>
          <w:color w:val="000000"/>
        </w:rPr>
        <w:t xml:space="preserve"> Publishing Group, 2008.</w:t>
      </w:r>
    </w:p>
    <w:p w:rsidR="00877997" w:rsidRDefault="00CB0676">
      <w:pPr>
        <w:pStyle w:val="EndNoteBibliography"/>
        <w:rPr>
          <w:color w:val="000000"/>
        </w:rPr>
      </w:pPr>
      <w:r>
        <w:rPr>
          <w:noProof/>
          <w:color w:val="000000"/>
        </w:rPr>
        <w:t>6.</w:t>
      </w:r>
      <w:r>
        <w:rPr>
          <w:noProof/>
          <w:color w:val="000000"/>
        </w:rPr>
        <w:tab/>
        <w:t>Sankar PL, Parker LS. The Precision Medicine Initiative’s All of Us Research Program: an agenda for research on its ethical, legal, and social issues, Genetics in Medicine 2017;19:743-750.</w:t>
      </w:r>
    </w:p>
    <w:p w:rsidR="00877997" w:rsidRDefault="00CB0676">
      <w:pPr>
        <w:pStyle w:val="EndNoteBibliography"/>
        <w:rPr>
          <w:color w:val="000000"/>
        </w:rPr>
      </w:pPr>
      <w:r>
        <w:rPr>
          <w:noProof/>
          <w:color w:val="000000"/>
        </w:rPr>
        <w:t>7.</w:t>
      </w:r>
      <w:r>
        <w:rPr>
          <w:noProof/>
          <w:color w:val="000000"/>
        </w:rPr>
        <w:tab/>
        <w:t xml:space="preserve">Posey JE, O’Donnell-Luria AH, Chong </w:t>
      </w:r>
      <w:r>
        <w:rPr>
          <w:noProof/>
          <w:color w:val="000000"/>
        </w:rPr>
        <w:t>JX et al. Insights into genetics, human biology and disease gleaned from family based genomic studies, Genetics in Medicine 2019;21:798-812.</w:t>
      </w:r>
    </w:p>
    <w:p w:rsidR="00877997" w:rsidRDefault="00CB0676">
      <w:pPr>
        <w:pStyle w:val="EndNoteBibliography"/>
        <w:rPr>
          <w:color w:val="000000"/>
        </w:rPr>
      </w:pPr>
      <w:r>
        <w:rPr>
          <w:noProof/>
          <w:color w:val="000000"/>
        </w:rPr>
        <w:t>8.</w:t>
      </w:r>
      <w:r>
        <w:rPr>
          <w:noProof/>
          <w:color w:val="000000"/>
        </w:rPr>
        <w:tab/>
        <w:t>Saez-Rodriguez J, Costello JC, Friend SH et al. Crowdsourcing biomedical research: leveraging communities as inn</w:t>
      </w:r>
      <w:r>
        <w:rPr>
          <w:noProof/>
          <w:color w:val="000000"/>
        </w:rPr>
        <w:t>ovation engines, Nature Reviews Genetics 2016;17:470.</w:t>
      </w:r>
    </w:p>
    <w:p w:rsidR="00877997" w:rsidRDefault="00CB0676">
      <w:pPr>
        <w:pStyle w:val="EndNoteBibliography"/>
        <w:rPr>
          <w:color w:val="000000"/>
        </w:rPr>
      </w:pPr>
      <w:r>
        <w:rPr>
          <w:noProof/>
          <w:color w:val="000000"/>
        </w:rPr>
        <w:t>9.</w:t>
      </w:r>
      <w:r>
        <w:rPr>
          <w:noProof/>
          <w:color w:val="000000"/>
        </w:rPr>
        <w:tab/>
        <w:t>Hoskins RA, Repo S, Barsky D et al. Reports from CAGI: the critical assessment of genome interpretation, Human mutation 2017;38:1039-1041.</w:t>
      </w:r>
    </w:p>
    <w:p w:rsidR="00877997" w:rsidRDefault="00CB0676">
      <w:pPr>
        <w:pStyle w:val="EndNoteBibliography"/>
        <w:rPr>
          <w:color w:val="000000"/>
        </w:rPr>
      </w:pPr>
      <w:r>
        <w:rPr>
          <w:noProof/>
          <w:color w:val="000000"/>
        </w:rPr>
        <w:t>10.</w:t>
      </w:r>
      <w:r>
        <w:rPr>
          <w:noProof/>
          <w:color w:val="000000"/>
        </w:rPr>
        <w:tab/>
        <w:t>Vissers LE, de Ligt J, Gilissen C et al. A de novo parad</w:t>
      </w:r>
      <w:r>
        <w:rPr>
          <w:noProof/>
          <w:color w:val="000000"/>
        </w:rPr>
        <w:t>igm for mental retardation, Nature genetics 2010;42:1109-1112.</w:t>
      </w:r>
    </w:p>
    <w:p w:rsidR="00877997" w:rsidRDefault="00CB0676">
      <w:pPr>
        <w:pStyle w:val="EndNoteBibliography"/>
        <w:rPr>
          <w:color w:val="000000"/>
        </w:rPr>
      </w:pPr>
      <w:r>
        <w:rPr>
          <w:noProof/>
          <w:color w:val="000000"/>
        </w:rPr>
        <w:t>11.</w:t>
      </w:r>
      <w:r>
        <w:rPr>
          <w:noProof/>
          <w:color w:val="000000"/>
        </w:rPr>
        <w:tab/>
        <w:t>Bamshad MJ, Ng SB, Bigham AW et al. Exome sequencing as a tool for Mendelian disease gene discovery, Nature Reviews Genetics 2011;12:745-755.</w:t>
      </w:r>
    </w:p>
    <w:p w:rsidR="00877997" w:rsidRDefault="00CB0676">
      <w:pPr>
        <w:pStyle w:val="EndNoteBibliography"/>
        <w:rPr>
          <w:color w:val="000000"/>
        </w:rPr>
      </w:pPr>
      <w:r>
        <w:rPr>
          <w:noProof/>
          <w:color w:val="000000"/>
        </w:rPr>
        <w:t>12.</w:t>
      </w:r>
      <w:r>
        <w:rPr>
          <w:noProof/>
          <w:color w:val="000000"/>
        </w:rPr>
        <w:tab/>
        <w:t>Seaby EG, Pengelly RJ, Ennis S. Exome seque</w:t>
      </w:r>
      <w:r>
        <w:rPr>
          <w:noProof/>
          <w:color w:val="000000"/>
        </w:rPr>
        <w:t>ncing explained: a practical guide to its clinical application, Briefings in Functional Genomics 2015;15:374-384.</w:t>
      </w:r>
    </w:p>
    <w:p w:rsidR="00877997" w:rsidRDefault="00CB0676">
      <w:pPr>
        <w:pStyle w:val="EndNoteBibliography"/>
        <w:rPr>
          <w:color w:val="000000"/>
        </w:rPr>
      </w:pPr>
      <w:r>
        <w:rPr>
          <w:noProof/>
          <w:color w:val="000000"/>
        </w:rPr>
        <w:t>13.</w:t>
      </w:r>
      <w:r>
        <w:rPr>
          <w:noProof/>
          <w:color w:val="000000"/>
        </w:rPr>
        <w:tab/>
        <w:t>Stals KL, Wakeling M, Baptista J et al. Diagnosis of lethal or prenatal</w:t>
      </w:r>
      <w:r>
        <w:rPr>
          <w:rFonts w:ascii="Cambria Math" w:hAnsi="Cambria Math"/>
          <w:noProof/>
          <w:color w:val="000000"/>
        </w:rPr>
        <w:t>‐</w:t>
      </w:r>
      <w:r>
        <w:rPr>
          <w:noProof/>
          <w:color w:val="000000"/>
        </w:rPr>
        <w:t xml:space="preserve">onset autosomal recessive disorders by parental exome sequencing, </w:t>
      </w:r>
      <w:r>
        <w:rPr>
          <w:noProof/>
          <w:color w:val="000000"/>
        </w:rPr>
        <w:t>Prenatal diagnosis 2018;38:33-43.</w:t>
      </w:r>
    </w:p>
    <w:p w:rsidR="00877997" w:rsidRDefault="00CB0676">
      <w:pPr>
        <w:pStyle w:val="EndNoteBibliography"/>
        <w:rPr>
          <w:color w:val="000000"/>
        </w:rPr>
      </w:pPr>
      <w:r>
        <w:rPr>
          <w:noProof/>
          <w:color w:val="000000"/>
        </w:rPr>
        <w:t>14.</w:t>
      </w:r>
      <w:r>
        <w:rPr>
          <w:noProof/>
          <w:color w:val="000000"/>
        </w:rPr>
        <w:tab/>
        <w:t>Robinson PN, Köhler S, Bauer S et al. The Human Phenotype Ontology: a tool for annotating and analyzing human hereditary disease, The American Journal of Human Genetics 2008;83:610-615.</w:t>
      </w:r>
    </w:p>
    <w:p w:rsidR="00877997" w:rsidRDefault="00CB0676">
      <w:pPr>
        <w:pStyle w:val="EndNoteBibliography"/>
        <w:rPr>
          <w:color w:val="000000"/>
        </w:rPr>
      </w:pPr>
      <w:r>
        <w:rPr>
          <w:noProof/>
          <w:color w:val="000000"/>
        </w:rPr>
        <w:t>15.</w:t>
      </w:r>
      <w:r>
        <w:rPr>
          <w:noProof/>
          <w:color w:val="000000"/>
        </w:rPr>
        <w:tab/>
        <w:t>Seaby EG, Gilbert RD, Andreo</w:t>
      </w:r>
      <w:r>
        <w:rPr>
          <w:noProof/>
          <w:color w:val="000000"/>
        </w:rPr>
        <w:t>letti G et al. Unexpected findings in a child with atypical hemolytic uremic syndrome: An example of how genomics is changing the clinical diagnostic paradigm, Frontiers in pediatrics 2017;5:113.</w:t>
      </w:r>
    </w:p>
    <w:p w:rsidR="00877997" w:rsidRDefault="00CB0676">
      <w:pPr>
        <w:pStyle w:val="EndNoteBibliography"/>
        <w:rPr>
          <w:color w:val="000000"/>
        </w:rPr>
      </w:pPr>
      <w:r>
        <w:rPr>
          <w:noProof/>
          <w:color w:val="000000"/>
        </w:rPr>
        <w:t>16.</w:t>
      </w:r>
      <w:r>
        <w:rPr>
          <w:noProof/>
          <w:color w:val="000000"/>
        </w:rPr>
        <w:tab/>
        <w:t xml:space="preserve">Escalona M, Rocha S, Posada D. A comparison of </w:t>
      </w:r>
      <w:r>
        <w:rPr>
          <w:noProof/>
          <w:color w:val="000000"/>
        </w:rPr>
        <w:t>tools for the simulation of genomic next-generation sequencing data, Nature Reviews Genetics 2016;17:459.</w:t>
      </w:r>
    </w:p>
    <w:p w:rsidR="00877997" w:rsidRDefault="00CB0676">
      <w:pPr>
        <w:pStyle w:val="EndNoteBibliography"/>
        <w:rPr>
          <w:color w:val="000000"/>
        </w:rPr>
      </w:pPr>
      <w:r>
        <w:rPr>
          <w:noProof/>
          <w:color w:val="000000"/>
        </w:rPr>
        <w:t>17.</w:t>
      </w:r>
      <w:r>
        <w:rPr>
          <w:noProof/>
          <w:color w:val="000000"/>
        </w:rPr>
        <w:tab/>
        <w:t>Roy S, Coldren C, Karunamurthy A et al. Standards and guidelines for validating next-generation sequencing bioinformatics pipelines: a joint recom</w:t>
      </w:r>
      <w:r>
        <w:rPr>
          <w:noProof/>
          <w:color w:val="000000"/>
        </w:rPr>
        <w:t>mendation of the Association for Molecular Pathology and the College of American Pathologists, The Journal of Molecular Diagnostics 2018;20:4-27.</w:t>
      </w:r>
    </w:p>
    <w:p w:rsidR="00877997" w:rsidRDefault="00CB0676">
      <w:pPr>
        <w:pStyle w:val="EndNoteBibliography"/>
        <w:rPr>
          <w:color w:val="000000"/>
        </w:rPr>
      </w:pPr>
      <w:r>
        <w:rPr>
          <w:noProof/>
          <w:color w:val="000000"/>
        </w:rPr>
        <w:t>18.</w:t>
      </w:r>
      <w:r>
        <w:rPr>
          <w:noProof/>
          <w:color w:val="000000"/>
        </w:rPr>
        <w:tab/>
        <w:t>DePristo MA, Banks E, Poplin R et al. A framework for variation discovery and genotyping using next-genera</w:t>
      </w:r>
      <w:r>
        <w:rPr>
          <w:noProof/>
          <w:color w:val="000000"/>
        </w:rPr>
        <w:t>tion DNA sequencing data, Nature genetics 2011;43:491.</w:t>
      </w:r>
    </w:p>
    <w:p w:rsidR="00877997" w:rsidRDefault="00CB0676">
      <w:pPr>
        <w:pStyle w:val="EndNoteBibliography"/>
        <w:rPr>
          <w:color w:val="000000"/>
        </w:rPr>
      </w:pPr>
      <w:r>
        <w:rPr>
          <w:noProof/>
          <w:color w:val="000000"/>
        </w:rPr>
        <w:t>19.</w:t>
      </w:r>
      <w:r>
        <w:rPr>
          <w:noProof/>
          <w:color w:val="000000"/>
        </w:rPr>
        <w:tab/>
        <w:t>Cornish A, Guda C. A comparison of variant calling pipelines using genome in a bottle as a reference, BioMed research international 2015;2015.</w:t>
      </w:r>
    </w:p>
    <w:p w:rsidR="00877997" w:rsidRDefault="00CB0676">
      <w:pPr>
        <w:pStyle w:val="EndNoteBibliography"/>
        <w:rPr>
          <w:color w:val="000000"/>
        </w:rPr>
      </w:pPr>
      <w:r>
        <w:rPr>
          <w:noProof/>
          <w:color w:val="000000"/>
        </w:rPr>
        <w:t>20.</w:t>
      </w:r>
      <w:r>
        <w:rPr>
          <w:noProof/>
          <w:color w:val="000000"/>
        </w:rPr>
        <w:tab/>
        <w:t xml:space="preserve">Robinson JT, Thorvaldsdóttir H, Winckler W et al. </w:t>
      </w:r>
      <w:r>
        <w:rPr>
          <w:noProof/>
          <w:color w:val="000000"/>
        </w:rPr>
        <w:t>Integrative genomics viewer, Nature biotechnology 2011;29:24-26.</w:t>
      </w:r>
    </w:p>
    <w:p w:rsidR="00877997" w:rsidRDefault="00CB0676">
      <w:pPr>
        <w:pStyle w:val="EndNoteBibliography"/>
        <w:rPr>
          <w:color w:val="000000"/>
        </w:rPr>
      </w:pPr>
      <w:r>
        <w:rPr>
          <w:noProof/>
          <w:color w:val="000000"/>
        </w:rPr>
        <w:lastRenderedPageBreak/>
        <w:t>21.</w:t>
      </w:r>
      <w:r>
        <w:rPr>
          <w:noProof/>
          <w:color w:val="000000"/>
        </w:rPr>
        <w:tab/>
        <w:t>Fujita PA, Rhead B, Zweig AS et al. The UCSC genome browser database: update 2011, Nucleic acids research 2010;39:D876-D882.</w:t>
      </w:r>
    </w:p>
    <w:p w:rsidR="00877997" w:rsidRDefault="00CB0676">
      <w:pPr>
        <w:pStyle w:val="EndNoteBibliography"/>
        <w:rPr>
          <w:color w:val="000000"/>
        </w:rPr>
      </w:pPr>
      <w:r>
        <w:rPr>
          <w:noProof/>
          <w:color w:val="000000"/>
        </w:rPr>
        <w:t>22.</w:t>
      </w:r>
      <w:r>
        <w:rPr>
          <w:noProof/>
          <w:color w:val="000000"/>
        </w:rPr>
        <w:tab/>
        <w:t>Sims D, Sudbery I, Ilott NE et al. Sequencing depth and co</w:t>
      </w:r>
      <w:r>
        <w:rPr>
          <w:noProof/>
          <w:color w:val="000000"/>
        </w:rPr>
        <w:t>verage: key considerations in genomic analyses, Nature Reviews Genetics 2014;15:121.</w:t>
      </w:r>
    </w:p>
    <w:p w:rsidR="00877997" w:rsidRDefault="00CB0676">
      <w:pPr>
        <w:pStyle w:val="EndNoteBibliography"/>
        <w:rPr>
          <w:color w:val="000000"/>
        </w:rPr>
      </w:pPr>
      <w:r>
        <w:rPr>
          <w:noProof/>
          <w:color w:val="000000"/>
        </w:rPr>
        <w:t>23.</w:t>
      </w:r>
      <w:r>
        <w:rPr>
          <w:noProof/>
          <w:color w:val="000000"/>
        </w:rPr>
        <w:tab/>
        <w:t>Tavtigian SV, Greenblatt MS, Harrison SM et al. Modeling the ACMG/AMP variant classification guidelines as a Bayesian classification framework, Genetics in Medicine 20</w:t>
      </w:r>
      <w:r>
        <w:rPr>
          <w:noProof/>
          <w:color w:val="000000"/>
        </w:rPr>
        <w:t>18;20:1054-1060.</w:t>
      </w:r>
    </w:p>
    <w:p w:rsidR="00877997" w:rsidRDefault="00CB0676">
      <w:pPr>
        <w:pStyle w:val="EndNoteBibliography"/>
        <w:rPr>
          <w:color w:val="000000"/>
        </w:rPr>
      </w:pPr>
      <w:r>
        <w:rPr>
          <w:noProof/>
          <w:color w:val="000000"/>
        </w:rPr>
        <w:t>24.</w:t>
      </w:r>
      <w:r>
        <w:rPr>
          <w:noProof/>
          <w:color w:val="000000"/>
        </w:rPr>
        <w:tab/>
        <w:t>Amendola LM, Jarvik GP, Leo MC et al. Performance of ACMG-AMP variant-interpretation guidelines among nine laboratories in the Clinical Sequencing Exploratory Research Consortium, The American Journal of Human Genetics 2016;98:1067-107</w:t>
      </w:r>
      <w:r>
        <w:rPr>
          <w:noProof/>
          <w:color w:val="000000"/>
        </w:rPr>
        <w:t>6.</w:t>
      </w:r>
    </w:p>
    <w:p w:rsidR="00877997" w:rsidRDefault="00CB0676">
      <w:pPr>
        <w:pStyle w:val="EndNoteBibliography"/>
        <w:rPr>
          <w:color w:val="000000"/>
        </w:rPr>
      </w:pPr>
      <w:r>
        <w:rPr>
          <w:noProof/>
          <w:color w:val="000000"/>
        </w:rPr>
        <w:t>25.</w:t>
      </w:r>
      <w:r>
        <w:rPr>
          <w:noProof/>
          <w:color w:val="000000"/>
        </w:rPr>
        <w:tab/>
        <w:t>Wenger AM, Guturu H, Bernstein JA et al. Systematic reanalysis of clinical exome data yields additional diagnoses: implications for providers, Genetics in Medicine 2017;19:209-214.</w:t>
      </w:r>
    </w:p>
    <w:p w:rsidR="00877997" w:rsidRDefault="00CB0676">
      <w:pPr>
        <w:pStyle w:val="EndNoteBibliography"/>
        <w:rPr>
          <w:color w:val="000000"/>
        </w:rPr>
      </w:pPr>
      <w:r>
        <w:rPr>
          <w:noProof/>
          <w:color w:val="000000"/>
        </w:rPr>
        <w:t>26.</w:t>
      </w:r>
      <w:r>
        <w:rPr>
          <w:noProof/>
          <w:color w:val="000000"/>
        </w:rPr>
        <w:tab/>
        <w:t>Nambot S, Thevenon J, Kuentz P et al. Clinical whole-exome seque</w:t>
      </w:r>
      <w:r>
        <w:rPr>
          <w:noProof/>
          <w:color w:val="000000"/>
        </w:rPr>
        <w:t>ncing for the diagnosis of rare disorders with congenital anomalies and/or intellectual disability: substantial interest of prospective annual reanalysis, Genetics in Medicine 2018;20:645-654.</w:t>
      </w:r>
    </w:p>
    <w:p w:rsidR="00877997" w:rsidRDefault="00CB0676">
      <w:pPr>
        <w:pStyle w:val="EndNoteBibliography"/>
        <w:rPr>
          <w:color w:val="000000"/>
        </w:rPr>
      </w:pPr>
      <w:r>
        <w:rPr>
          <w:noProof/>
          <w:color w:val="000000"/>
        </w:rPr>
        <w:t>27.</w:t>
      </w:r>
      <w:r>
        <w:rPr>
          <w:noProof/>
          <w:color w:val="000000"/>
        </w:rPr>
        <w:tab/>
        <w:t>Ewans LJ, Schofield D, Shrestha R et al. Whole-exome sequen</w:t>
      </w:r>
      <w:r>
        <w:rPr>
          <w:noProof/>
          <w:color w:val="000000"/>
        </w:rPr>
        <w:t>cing reanalysis at 12 months boosts diagnosis and is cost-effective when applied early in Mendelian disorders, Genetics in Medicine 2018;20:1564-1574.</w:t>
      </w:r>
    </w:p>
    <w:p w:rsidR="00877997" w:rsidRDefault="00CB0676">
      <w:pPr>
        <w:pStyle w:val="EndNoteBibliography"/>
        <w:rPr>
          <w:color w:val="000000"/>
        </w:rPr>
      </w:pPr>
      <w:r>
        <w:rPr>
          <w:noProof/>
          <w:color w:val="000000"/>
        </w:rPr>
        <w:t>28.</w:t>
      </w:r>
      <w:r>
        <w:rPr>
          <w:noProof/>
          <w:color w:val="000000"/>
        </w:rPr>
        <w:tab/>
        <w:t>Acuna-Hidalgo R, Veltman JA, Hoischen A. New insights into the generation and role of de novo mutatio</w:t>
      </w:r>
      <w:r>
        <w:rPr>
          <w:noProof/>
          <w:color w:val="000000"/>
        </w:rPr>
        <w:t>ns in health and disease, Genome Biology 2016;17:241.</w:t>
      </w:r>
    </w:p>
    <w:p w:rsidR="00877997" w:rsidRDefault="00CB0676">
      <w:pPr>
        <w:pStyle w:val="EndNoteBibliography"/>
        <w:rPr>
          <w:color w:val="000000"/>
        </w:rPr>
      </w:pPr>
      <w:r>
        <w:rPr>
          <w:noProof/>
          <w:color w:val="000000"/>
        </w:rPr>
        <w:t>29.</w:t>
      </w:r>
      <w:r>
        <w:rPr>
          <w:noProof/>
          <w:color w:val="000000"/>
        </w:rPr>
        <w:tab/>
        <w:t>Deciphering Developmental Disorders S. Prevalence and architecture of de novo mutations in developmental disorders, Nature 2017;542:433-438.</w:t>
      </w:r>
    </w:p>
    <w:p w:rsidR="00877997" w:rsidRDefault="00CB0676">
      <w:pPr>
        <w:pStyle w:val="EndNoteBibliography"/>
        <w:rPr>
          <w:color w:val="000000"/>
        </w:rPr>
      </w:pPr>
      <w:r>
        <w:rPr>
          <w:noProof/>
          <w:color w:val="000000"/>
        </w:rPr>
        <w:t>30.</w:t>
      </w:r>
      <w:r>
        <w:rPr>
          <w:noProof/>
          <w:color w:val="000000"/>
        </w:rPr>
        <w:tab/>
        <w:t>Kong A, Frigge ML, Masson G et al. Rate of de novo mu</w:t>
      </w:r>
      <w:r>
        <w:rPr>
          <w:noProof/>
          <w:color w:val="000000"/>
        </w:rPr>
        <w:t>tations and the importance of father’s age to disease risk, Nature 2012;488:471-475.</w:t>
      </w:r>
    </w:p>
    <w:p w:rsidR="00877997" w:rsidRDefault="00CB0676">
      <w:pPr>
        <w:pStyle w:val="EndNoteBibliography"/>
        <w:rPr>
          <w:color w:val="000000"/>
        </w:rPr>
      </w:pPr>
      <w:r>
        <w:rPr>
          <w:noProof/>
          <w:color w:val="000000"/>
        </w:rPr>
        <w:t>31.</w:t>
      </w:r>
      <w:r>
        <w:rPr>
          <w:noProof/>
          <w:color w:val="000000"/>
        </w:rPr>
        <w:tab/>
        <w:t>Rahbari R, Wuster A, Lindsay SJ et al. Timing, rates and spectra of human germline mutation, Nature genetics 2016;48:126-133.</w:t>
      </w:r>
    </w:p>
    <w:p w:rsidR="00877997" w:rsidRDefault="00CB0676">
      <w:pPr>
        <w:pStyle w:val="EndNoteBibliography"/>
        <w:rPr>
          <w:color w:val="000000"/>
        </w:rPr>
      </w:pPr>
      <w:r>
        <w:rPr>
          <w:noProof/>
          <w:color w:val="000000"/>
        </w:rPr>
        <w:t>32.</w:t>
      </w:r>
      <w:r>
        <w:rPr>
          <w:noProof/>
          <w:color w:val="000000"/>
        </w:rPr>
        <w:tab/>
        <w:t xml:space="preserve">Arnadottir GA, Jensson BO, Marelsson </w:t>
      </w:r>
      <w:r>
        <w:rPr>
          <w:noProof/>
          <w:color w:val="000000"/>
        </w:rPr>
        <w:t>SE et al. Compound heterozygous mutations in UBA5 causing early-onset epileptic encephalopathy in two sisters, BMC Medical Genetics 2017;18:103.</w:t>
      </w:r>
    </w:p>
    <w:p w:rsidR="00877997" w:rsidRDefault="00CB0676">
      <w:pPr>
        <w:pStyle w:val="EndNoteBibliography"/>
        <w:rPr>
          <w:color w:val="000000"/>
        </w:rPr>
      </w:pPr>
      <w:r>
        <w:rPr>
          <w:noProof/>
          <w:color w:val="000000"/>
        </w:rPr>
        <w:t>33.</w:t>
      </w:r>
      <w:r>
        <w:rPr>
          <w:noProof/>
          <w:color w:val="000000"/>
        </w:rPr>
        <w:tab/>
        <w:t>Zernant J, Lee W, Collison FT et al. Frequent hypomorphic alleles account for a significant fraction of ABC</w:t>
      </w:r>
      <w:r>
        <w:rPr>
          <w:noProof/>
          <w:color w:val="000000"/>
        </w:rPr>
        <w:t>A4 disease and distinguish it from age-related macular degeneration, Journal of Medical Genetics 2017;54:404-412.</w:t>
      </w:r>
    </w:p>
    <w:p w:rsidR="00877997" w:rsidRDefault="00CB0676">
      <w:pPr>
        <w:pStyle w:val="EndNoteBibliography"/>
        <w:rPr>
          <w:color w:val="000000"/>
        </w:rPr>
      </w:pPr>
      <w:r>
        <w:rPr>
          <w:noProof/>
          <w:color w:val="000000"/>
        </w:rPr>
        <w:t>34.</w:t>
      </w:r>
      <w:r>
        <w:rPr>
          <w:noProof/>
          <w:color w:val="000000"/>
        </w:rPr>
        <w:tab/>
        <w:t xml:space="preserve">Karczewski KJ, Weisburd B, Thomas B et al. The ExAC browser: displaying reference data information from over 60 000 exomes, Nucleic acids </w:t>
      </w:r>
      <w:r>
        <w:rPr>
          <w:noProof/>
          <w:color w:val="000000"/>
        </w:rPr>
        <w:t>research 2017;45:D840-D845.</w:t>
      </w:r>
    </w:p>
    <w:p w:rsidR="00877997" w:rsidRDefault="00CB0676">
      <w:pPr>
        <w:pStyle w:val="EndNoteBibliography"/>
        <w:rPr>
          <w:color w:val="000000"/>
        </w:rPr>
      </w:pPr>
      <w:r>
        <w:rPr>
          <w:noProof/>
          <w:color w:val="000000"/>
        </w:rPr>
        <w:t>35.</w:t>
      </w:r>
      <w:r>
        <w:rPr>
          <w:noProof/>
          <w:color w:val="000000"/>
        </w:rPr>
        <w:tab/>
        <w:t>Karczewski KJ, Francioli LC, Tiao G et al. Variation across 141,456 human exomes and genomes reveals the spectrum of loss-of-function intolerance across human protein-coding genes, bioRxiv 2019:531210.</w:t>
      </w:r>
    </w:p>
    <w:p w:rsidR="00877997" w:rsidRDefault="00CB0676">
      <w:pPr>
        <w:pStyle w:val="EndNoteBibliography"/>
        <w:rPr>
          <w:color w:val="000000"/>
        </w:rPr>
      </w:pPr>
      <w:r>
        <w:rPr>
          <w:noProof/>
          <w:color w:val="000000"/>
        </w:rPr>
        <w:t>36.</w:t>
      </w:r>
      <w:r>
        <w:rPr>
          <w:noProof/>
          <w:color w:val="000000"/>
        </w:rPr>
        <w:tab/>
        <w:t>Whiffin N, Minikel</w:t>
      </w:r>
      <w:r>
        <w:rPr>
          <w:noProof/>
          <w:color w:val="000000"/>
        </w:rPr>
        <w:t xml:space="preserve"> E, Walsh R et al. Using high-resolution variant frequencies to empower clinical genome interpretation, Genetics in Medicine 2017;19:1151-1158.</w:t>
      </w:r>
    </w:p>
    <w:p w:rsidR="00877997" w:rsidRDefault="00CB0676">
      <w:pPr>
        <w:pStyle w:val="EndNoteBibliography"/>
        <w:rPr>
          <w:color w:val="000000"/>
        </w:rPr>
      </w:pPr>
      <w:r>
        <w:rPr>
          <w:noProof/>
          <w:color w:val="000000"/>
        </w:rPr>
        <w:t>37.</w:t>
      </w:r>
      <w:r>
        <w:rPr>
          <w:noProof/>
          <w:color w:val="000000"/>
        </w:rPr>
        <w:tab/>
        <w:t xml:space="preserve">Cummings BB, Karczewski KJ, Kosmicki JA et al. Transcript expression-aware annotation improves rare variant </w:t>
      </w:r>
      <w:r>
        <w:rPr>
          <w:noProof/>
          <w:color w:val="000000"/>
        </w:rPr>
        <w:t>discovery and interpretation, bioRxiv 2019:554444.</w:t>
      </w:r>
    </w:p>
    <w:p w:rsidR="00877997" w:rsidRDefault="00CB0676">
      <w:pPr>
        <w:pStyle w:val="EndNoteBibliography"/>
        <w:rPr>
          <w:color w:val="000000"/>
        </w:rPr>
      </w:pPr>
      <w:r>
        <w:rPr>
          <w:noProof/>
          <w:color w:val="000000"/>
        </w:rPr>
        <w:t>38.</w:t>
      </w:r>
      <w:r>
        <w:rPr>
          <w:noProof/>
          <w:color w:val="000000"/>
        </w:rPr>
        <w:tab/>
        <w:t>Havrilla JM, Pedersen BS, Layer RM et al. A map of constrained coding regions in the human genome, Nature genetics 2019;51:88-95.</w:t>
      </w:r>
    </w:p>
    <w:p w:rsidR="00877997" w:rsidRDefault="00CB0676">
      <w:pPr>
        <w:pStyle w:val="EndNoteBibliography"/>
        <w:rPr>
          <w:color w:val="000000"/>
        </w:rPr>
      </w:pPr>
      <w:r>
        <w:rPr>
          <w:noProof/>
          <w:color w:val="000000"/>
        </w:rPr>
        <w:t>39.</w:t>
      </w:r>
      <w:r>
        <w:rPr>
          <w:noProof/>
          <w:color w:val="000000"/>
        </w:rPr>
        <w:tab/>
        <w:t>Samocha KE, Kosmicki JA, Karczewski KJ et al. Regional missense con</w:t>
      </w:r>
      <w:r>
        <w:rPr>
          <w:noProof/>
          <w:color w:val="000000"/>
        </w:rPr>
        <w:t>straint improves variant deleteriousness prediction, bioRxiv 2017:148353.</w:t>
      </w:r>
    </w:p>
    <w:p w:rsidR="00877997" w:rsidRDefault="00CB0676">
      <w:pPr>
        <w:pStyle w:val="EndNoteBibliography"/>
        <w:rPr>
          <w:color w:val="000000"/>
        </w:rPr>
      </w:pPr>
      <w:r>
        <w:rPr>
          <w:noProof/>
          <w:color w:val="000000"/>
        </w:rPr>
        <w:t>40.</w:t>
      </w:r>
      <w:r>
        <w:rPr>
          <w:noProof/>
          <w:color w:val="000000"/>
        </w:rPr>
        <w:tab/>
        <w:t>Hurst LD. The sound of silence, Nature 2011;471:582-583.</w:t>
      </w:r>
    </w:p>
    <w:p w:rsidR="00877997" w:rsidRDefault="00CB0676">
      <w:pPr>
        <w:pStyle w:val="EndNoteBibliography"/>
        <w:rPr>
          <w:color w:val="000000"/>
        </w:rPr>
      </w:pPr>
      <w:r>
        <w:rPr>
          <w:noProof/>
          <w:color w:val="000000"/>
        </w:rPr>
        <w:lastRenderedPageBreak/>
        <w:t>41.</w:t>
      </w:r>
      <w:r>
        <w:rPr>
          <w:noProof/>
          <w:color w:val="000000"/>
        </w:rPr>
        <w:tab/>
        <w:t>Hunt RC, Simhadri VL, Iandoli M et al. Exposing synonymous mutations, Trends in Genetics 2014;30:308-321.</w:t>
      </w:r>
    </w:p>
    <w:p w:rsidR="00877997" w:rsidRDefault="00CB0676">
      <w:pPr>
        <w:pStyle w:val="EndNoteBibliography"/>
        <w:rPr>
          <w:color w:val="000000"/>
        </w:rPr>
      </w:pPr>
      <w:r>
        <w:rPr>
          <w:noProof/>
          <w:color w:val="000000"/>
        </w:rPr>
        <w:t>42.</w:t>
      </w:r>
      <w:r>
        <w:rPr>
          <w:noProof/>
          <w:color w:val="000000"/>
        </w:rPr>
        <w:tab/>
        <w:t xml:space="preserve">Bao S, </w:t>
      </w:r>
      <w:r>
        <w:rPr>
          <w:noProof/>
          <w:color w:val="000000"/>
        </w:rPr>
        <w:t>Moakley DF, Zhang C. The splicing code goes deep, Cell 2019;176:414-416.</w:t>
      </w:r>
    </w:p>
    <w:p w:rsidR="00877997" w:rsidRDefault="00CB0676">
      <w:pPr>
        <w:pStyle w:val="EndNoteBibliography"/>
        <w:rPr>
          <w:color w:val="000000"/>
        </w:rPr>
      </w:pPr>
      <w:r>
        <w:rPr>
          <w:noProof/>
          <w:color w:val="000000"/>
        </w:rPr>
        <w:t>43.</w:t>
      </w:r>
      <w:r>
        <w:rPr>
          <w:noProof/>
          <w:color w:val="000000"/>
        </w:rPr>
        <w:tab/>
        <w:t>Wai HA, Lord J, Lyon M et al. Blood RNA analysis can increase clinical diagnostic rate and resolve variants of uncertain significance, Genetics in Medicine 2020:1-10.</w:t>
      </w:r>
    </w:p>
    <w:p w:rsidR="00877997" w:rsidRDefault="00CB0676">
      <w:pPr>
        <w:pStyle w:val="EndNoteBibliography"/>
        <w:rPr>
          <w:color w:val="000000"/>
        </w:rPr>
      </w:pPr>
      <w:r>
        <w:rPr>
          <w:noProof/>
          <w:color w:val="000000"/>
        </w:rPr>
        <w:t>44.</w:t>
      </w:r>
      <w:r>
        <w:rPr>
          <w:noProof/>
          <w:color w:val="000000"/>
        </w:rPr>
        <w:tab/>
        <w:t xml:space="preserve">Soemedi </w:t>
      </w:r>
      <w:r>
        <w:rPr>
          <w:noProof/>
          <w:color w:val="000000"/>
        </w:rPr>
        <w:t>R, Cygan KJ, Rhine CL et al. Pathogenic variants that alter protein code often disrupt splicing, Nature genetics 2017;49:848.</w:t>
      </w:r>
    </w:p>
    <w:p w:rsidR="00877997" w:rsidRDefault="00CB0676">
      <w:pPr>
        <w:pStyle w:val="EndNoteBibliography"/>
        <w:rPr>
          <w:color w:val="000000"/>
        </w:rPr>
      </w:pPr>
      <w:r>
        <w:rPr>
          <w:noProof/>
          <w:color w:val="000000"/>
        </w:rPr>
        <w:t>45.</w:t>
      </w:r>
      <w:r>
        <w:rPr>
          <w:noProof/>
          <w:color w:val="000000"/>
        </w:rPr>
        <w:tab/>
        <w:t xml:space="preserve">Adamson SI, Zhan L, Graveley BR. Vex-seq: high-throughput identification of the impact of genetic variation on </w:t>
      </w:r>
      <w:r>
        <w:rPr>
          <w:noProof/>
          <w:color w:val="000000"/>
        </w:rPr>
        <w:t>pre-mRNA splicing efficiency, Genome Biology 2018;19:71.</w:t>
      </w:r>
    </w:p>
    <w:p w:rsidR="00877997" w:rsidRDefault="00CB0676">
      <w:pPr>
        <w:pStyle w:val="EndNoteBibliography"/>
        <w:rPr>
          <w:color w:val="000000"/>
        </w:rPr>
      </w:pPr>
      <w:r>
        <w:rPr>
          <w:noProof/>
          <w:color w:val="000000"/>
        </w:rPr>
        <w:t>46.</w:t>
      </w:r>
      <w:r>
        <w:rPr>
          <w:noProof/>
          <w:color w:val="000000"/>
        </w:rPr>
        <w:tab/>
        <w:t>Lin M, Whitmire S, Chen J et al. Effects of short indels on protein structure and function in human genomes, Scientific Reports 2017;7:9313.</w:t>
      </w:r>
    </w:p>
    <w:p w:rsidR="00877997" w:rsidRDefault="00CB0676">
      <w:pPr>
        <w:pStyle w:val="EndNoteBibliography"/>
        <w:rPr>
          <w:color w:val="000000"/>
        </w:rPr>
      </w:pPr>
      <w:r>
        <w:rPr>
          <w:noProof/>
          <w:color w:val="000000"/>
        </w:rPr>
        <w:t>47.</w:t>
      </w:r>
      <w:r>
        <w:rPr>
          <w:noProof/>
          <w:color w:val="000000"/>
        </w:rPr>
        <w:tab/>
        <w:t>MacArthur DG, Balasubramanian S, Frankish A et al.</w:t>
      </w:r>
      <w:r>
        <w:rPr>
          <w:noProof/>
          <w:color w:val="000000"/>
        </w:rPr>
        <w:t xml:space="preserve"> A systematic survey of loss-of-function variants in human protein-coding genes, Science 2012;335:823-828.</w:t>
      </w:r>
    </w:p>
    <w:p w:rsidR="00877997" w:rsidRDefault="00CB0676">
      <w:pPr>
        <w:pStyle w:val="EndNoteBibliography"/>
        <w:rPr>
          <w:color w:val="000000"/>
        </w:rPr>
      </w:pPr>
      <w:r>
        <w:rPr>
          <w:noProof/>
          <w:color w:val="000000"/>
        </w:rPr>
        <w:t>48.</w:t>
      </w:r>
      <w:r>
        <w:rPr>
          <w:noProof/>
          <w:color w:val="000000"/>
        </w:rPr>
        <w:tab/>
        <w:t>Consortium GP. A global reference for human genetic variation, Nature 2015;526:68-74.</w:t>
      </w:r>
    </w:p>
    <w:p w:rsidR="00877997" w:rsidRDefault="00CB0676">
      <w:pPr>
        <w:pStyle w:val="EndNoteBibliography"/>
        <w:rPr>
          <w:color w:val="000000"/>
        </w:rPr>
      </w:pPr>
      <w:r>
        <w:rPr>
          <w:noProof/>
          <w:color w:val="000000"/>
        </w:rPr>
        <w:t>49.</w:t>
      </w:r>
      <w:r>
        <w:rPr>
          <w:noProof/>
          <w:color w:val="000000"/>
        </w:rPr>
        <w:tab/>
        <w:t>Shen H, Li J, Zhang J et al. Comprehensive characteriza</w:t>
      </w:r>
      <w:r>
        <w:rPr>
          <w:noProof/>
          <w:color w:val="000000"/>
        </w:rPr>
        <w:t>tion of human genome variation by high coverage whole-genome sequencing of forty four Caucasians, PloS one 2013;8:e59494-e59494.</w:t>
      </w:r>
    </w:p>
    <w:p w:rsidR="00877997" w:rsidRDefault="00CB0676">
      <w:pPr>
        <w:pStyle w:val="EndNoteBibliography"/>
        <w:rPr>
          <w:color w:val="000000"/>
        </w:rPr>
      </w:pPr>
      <w:r>
        <w:rPr>
          <w:noProof/>
          <w:color w:val="000000"/>
        </w:rPr>
        <w:t>50.</w:t>
      </w:r>
      <w:r>
        <w:rPr>
          <w:noProof/>
          <w:color w:val="000000"/>
        </w:rPr>
        <w:tab/>
        <w:t>Jiang Y, Turinsky AL, Brudno M. The missing indels: an estimate of indel variation in a human genome and analysis of factor</w:t>
      </w:r>
      <w:r>
        <w:rPr>
          <w:noProof/>
          <w:color w:val="000000"/>
        </w:rPr>
        <w:t>s that impede detection, Nucleic acids research 2015;43:7217-7228.</w:t>
      </w:r>
    </w:p>
    <w:p w:rsidR="00877997" w:rsidRDefault="00CB0676">
      <w:pPr>
        <w:pStyle w:val="EndNoteBibliography"/>
        <w:rPr>
          <w:color w:val="000000"/>
        </w:rPr>
      </w:pPr>
      <w:r>
        <w:rPr>
          <w:noProof/>
          <w:color w:val="000000"/>
        </w:rPr>
        <w:t>51.</w:t>
      </w:r>
      <w:r>
        <w:rPr>
          <w:noProof/>
          <w:color w:val="000000"/>
        </w:rPr>
        <w:tab/>
        <w:t>Jagadeesh KA, Wenger AM, Berger MJ et al. M-CAP eliminates a majority of variants of uncertain significance in clinical exomes at high sensitivity, Nature genetics 2016;48:1581-1586.</w:t>
      </w:r>
    </w:p>
    <w:p w:rsidR="00877997" w:rsidRDefault="00CB0676">
      <w:pPr>
        <w:pStyle w:val="EndNoteBibliography"/>
        <w:rPr>
          <w:color w:val="000000"/>
        </w:rPr>
      </w:pPr>
      <w:r>
        <w:rPr>
          <w:noProof/>
          <w:color w:val="000000"/>
        </w:rPr>
        <w:t>52</w:t>
      </w:r>
      <w:r>
        <w:rPr>
          <w:noProof/>
          <w:color w:val="000000"/>
        </w:rPr>
        <w:t>.</w:t>
      </w:r>
      <w:r>
        <w:rPr>
          <w:noProof/>
          <w:color w:val="000000"/>
        </w:rPr>
        <w:tab/>
        <w:t>Quang D, Chen Y, Xie X. DANN: a deep learning approach for annotating the pathogenicity of genetic variants, Bioinformatics 2015;31:761-763.</w:t>
      </w:r>
    </w:p>
    <w:p w:rsidR="00877997" w:rsidRDefault="00CB0676">
      <w:pPr>
        <w:pStyle w:val="EndNoteBibliography"/>
        <w:rPr>
          <w:color w:val="000000"/>
        </w:rPr>
      </w:pPr>
      <w:r>
        <w:rPr>
          <w:noProof/>
          <w:color w:val="000000"/>
        </w:rPr>
        <w:t>53.</w:t>
      </w:r>
      <w:r>
        <w:rPr>
          <w:noProof/>
          <w:color w:val="000000"/>
        </w:rPr>
        <w:tab/>
        <w:t xml:space="preserve">Li J, Shi L, Zhang K et al. VarCards: an integrated genetic and clinical database for coding variants in the </w:t>
      </w:r>
      <w:r>
        <w:rPr>
          <w:noProof/>
          <w:color w:val="000000"/>
        </w:rPr>
        <w:t>human genome, Nucleic acids research 2018;46:D1039-D1048.</w:t>
      </w:r>
    </w:p>
    <w:p w:rsidR="00877997" w:rsidRDefault="00CB0676">
      <w:pPr>
        <w:pStyle w:val="EndNoteBibliography"/>
        <w:rPr>
          <w:color w:val="000000"/>
        </w:rPr>
      </w:pPr>
      <w:r>
        <w:rPr>
          <w:noProof/>
          <w:color w:val="000000"/>
        </w:rPr>
        <w:t>54.</w:t>
      </w:r>
      <w:r>
        <w:rPr>
          <w:noProof/>
          <w:color w:val="000000"/>
        </w:rPr>
        <w:tab/>
        <w:t>Sim N-L, Kumar P, Hu J et al. SIFT web server: predicting effects of amino acid substitutions on proteins, Nucleic acids research 2012;40:W452-W457.</w:t>
      </w:r>
    </w:p>
    <w:p w:rsidR="00877997" w:rsidRDefault="00CB0676">
      <w:pPr>
        <w:pStyle w:val="EndNoteBibliography"/>
        <w:rPr>
          <w:color w:val="000000"/>
        </w:rPr>
      </w:pPr>
      <w:r>
        <w:rPr>
          <w:noProof/>
          <w:color w:val="000000"/>
        </w:rPr>
        <w:t>55.</w:t>
      </w:r>
      <w:r>
        <w:rPr>
          <w:noProof/>
          <w:color w:val="000000"/>
        </w:rPr>
        <w:tab/>
        <w:t xml:space="preserve">Adzhubei IA, Schmidt S, Peshkin L et al. </w:t>
      </w:r>
      <w:r>
        <w:rPr>
          <w:noProof/>
          <w:color w:val="000000"/>
        </w:rPr>
        <w:t>A method and server for predicting damaging missense mutations, Nature methods 2010;7:248-249.</w:t>
      </w:r>
    </w:p>
    <w:p w:rsidR="00877997" w:rsidRDefault="00CB0676">
      <w:pPr>
        <w:pStyle w:val="EndNoteBibliography"/>
        <w:rPr>
          <w:color w:val="000000"/>
        </w:rPr>
      </w:pPr>
      <w:r>
        <w:rPr>
          <w:noProof/>
          <w:color w:val="000000"/>
        </w:rPr>
        <w:t>56.</w:t>
      </w:r>
      <w:r>
        <w:rPr>
          <w:noProof/>
          <w:color w:val="000000"/>
        </w:rPr>
        <w:tab/>
        <w:t>Schwarz JM, Cooper DN, Schuelke M et al. MutationTaster2: mutation prediction for the deep-sequencing age, Nature methods 2014;11:361-362.</w:t>
      </w:r>
    </w:p>
    <w:p w:rsidR="00877997" w:rsidRDefault="00CB0676">
      <w:pPr>
        <w:pStyle w:val="EndNoteBibliography"/>
        <w:rPr>
          <w:color w:val="000000"/>
        </w:rPr>
      </w:pPr>
      <w:r>
        <w:rPr>
          <w:noProof/>
          <w:color w:val="000000"/>
        </w:rPr>
        <w:t>57.</w:t>
      </w:r>
      <w:r>
        <w:rPr>
          <w:noProof/>
          <w:color w:val="000000"/>
        </w:rPr>
        <w:tab/>
        <w:t>Grantham R. Am</w:t>
      </w:r>
      <w:r>
        <w:rPr>
          <w:noProof/>
          <w:color w:val="000000"/>
        </w:rPr>
        <w:t>ino acid difference formula to help explain protein evolution, Science 1974;185:862-864.</w:t>
      </w:r>
    </w:p>
    <w:p w:rsidR="00877997" w:rsidRDefault="00CB0676">
      <w:pPr>
        <w:pStyle w:val="EndNoteBibliography"/>
        <w:rPr>
          <w:color w:val="000000"/>
        </w:rPr>
      </w:pPr>
      <w:r>
        <w:rPr>
          <w:noProof/>
          <w:color w:val="000000"/>
        </w:rPr>
        <w:t>58.</w:t>
      </w:r>
      <w:r>
        <w:rPr>
          <w:noProof/>
          <w:color w:val="000000"/>
        </w:rPr>
        <w:tab/>
        <w:t>Choi Y, Sims GE, Murphy S et al. Predicting the functional effect of amino acid substitutions and indels, PloS one 2012;7.</w:t>
      </w:r>
    </w:p>
    <w:p w:rsidR="00877997" w:rsidRDefault="00CB0676">
      <w:pPr>
        <w:pStyle w:val="EndNoteBibliography"/>
        <w:rPr>
          <w:color w:val="000000"/>
        </w:rPr>
      </w:pPr>
      <w:r>
        <w:rPr>
          <w:noProof/>
          <w:color w:val="000000"/>
        </w:rPr>
        <w:t>59.</w:t>
      </w:r>
      <w:r>
        <w:rPr>
          <w:noProof/>
          <w:color w:val="000000"/>
        </w:rPr>
        <w:tab/>
        <w:t xml:space="preserve">Alirezaie N, Kernohan KD, Hartley T </w:t>
      </w:r>
      <w:r>
        <w:rPr>
          <w:noProof/>
          <w:color w:val="000000"/>
        </w:rPr>
        <w:t>et al. ClinPred: prediction tool to identify disease-relevant nonsynonymous single-nucleotide variants, The American Journal of Human Genetics 2018;103:474-483.</w:t>
      </w:r>
    </w:p>
    <w:p w:rsidR="00877997" w:rsidRDefault="00CB0676">
      <w:pPr>
        <w:pStyle w:val="EndNoteBibliography"/>
        <w:rPr>
          <w:color w:val="000000"/>
        </w:rPr>
      </w:pPr>
      <w:r>
        <w:rPr>
          <w:noProof/>
          <w:color w:val="000000"/>
        </w:rPr>
        <w:t>60.</w:t>
      </w:r>
      <w:r>
        <w:rPr>
          <w:noProof/>
          <w:color w:val="000000"/>
        </w:rPr>
        <w:tab/>
        <w:t>Wang M, Zhao X-M, Takemoto K et al. FunSAV: predicting the functional effect of single amin</w:t>
      </w:r>
      <w:r>
        <w:rPr>
          <w:noProof/>
          <w:color w:val="000000"/>
        </w:rPr>
        <w:t>o acid variants using a two-stage random forest model, PloS one 2012;7.</w:t>
      </w:r>
    </w:p>
    <w:p w:rsidR="00877997" w:rsidRDefault="00CB0676">
      <w:pPr>
        <w:pStyle w:val="EndNoteBibliography"/>
        <w:rPr>
          <w:color w:val="000000"/>
        </w:rPr>
      </w:pPr>
      <w:r>
        <w:rPr>
          <w:noProof/>
          <w:color w:val="000000"/>
        </w:rPr>
        <w:t>61.</w:t>
      </w:r>
      <w:r>
        <w:rPr>
          <w:noProof/>
          <w:color w:val="000000"/>
        </w:rPr>
        <w:tab/>
        <w:t>Shihab HA, Rogers MF, Gough J et al. An integrative approach to predicting the functional effects of non-coding and coding sequence variation, Bioinformatics 2015;31:1536-1543.</w:t>
      </w:r>
    </w:p>
    <w:p w:rsidR="00877997" w:rsidRDefault="00CB0676">
      <w:pPr>
        <w:pStyle w:val="EndNoteBibliography"/>
        <w:rPr>
          <w:color w:val="000000"/>
        </w:rPr>
      </w:pPr>
      <w:r>
        <w:rPr>
          <w:noProof/>
          <w:color w:val="000000"/>
        </w:rPr>
        <w:t>62.</w:t>
      </w:r>
      <w:r>
        <w:rPr>
          <w:noProof/>
          <w:color w:val="000000"/>
        </w:rPr>
        <w:tab/>
        <w:t>Ritchie GR, Dunham I, Zeggini E et al. Functional annotation of noncoding sequence variants, Nature methods 2014;11:294.</w:t>
      </w:r>
    </w:p>
    <w:p w:rsidR="00877997" w:rsidRDefault="00CB0676">
      <w:pPr>
        <w:pStyle w:val="EndNoteBibliography"/>
        <w:rPr>
          <w:color w:val="000000"/>
        </w:rPr>
      </w:pPr>
      <w:r>
        <w:rPr>
          <w:noProof/>
          <w:color w:val="000000"/>
        </w:rPr>
        <w:lastRenderedPageBreak/>
        <w:t>63.</w:t>
      </w:r>
      <w:r>
        <w:rPr>
          <w:noProof/>
          <w:color w:val="000000"/>
        </w:rPr>
        <w:tab/>
        <w:t>Gelfman S, Wang Q, McSweeney KM et al. Annotating pathogenic non-coding variants in genic regions, Nature Communications 2017;8:23</w:t>
      </w:r>
      <w:r>
        <w:rPr>
          <w:noProof/>
          <w:color w:val="000000"/>
        </w:rPr>
        <w:t>6.</w:t>
      </w:r>
    </w:p>
    <w:p w:rsidR="00877997" w:rsidRDefault="00CB0676">
      <w:pPr>
        <w:pStyle w:val="EndNoteBibliography"/>
        <w:rPr>
          <w:color w:val="000000"/>
        </w:rPr>
      </w:pPr>
      <w:r>
        <w:rPr>
          <w:noProof/>
          <w:color w:val="000000"/>
        </w:rPr>
        <w:t>64.</w:t>
      </w:r>
      <w:r>
        <w:rPr>
          <w:noProof/>
          <w:color w:val="000000"/>
        </w:rPr>
        <w:tab/>
        <w:t>Ratan A, Olson TL, Loughran TP et al. Identification of indels in next-generation sequencing data, BMC Bioinformatics 2015;16:42.</w:t>
      </w:r>
    </w:p>
    <w:p w:rsidR="00877997" w:rsidRDefault="00CB0676">
      <w:pPr>
        <w:pStyle w:val="EndNoteBibliography"/>
        <w:rPr>
          <w:color w:val="000000"/>
        </w:rPr>
      </w:pPr>
      <w:r>
        <w:rPr>
          <w:noProof/>
          <w:color w:val="000000"/>
        </w:rPr>
        <w:t>65.</w:t>
      </w:r>
      <w:r>
        <w:rPr>
          <w:noProof/>
          <w:color w:val="000000"/>
        </w:rPr>
        <w:tab/>
        <w:t xml:space="preserve">Mose LE, Wilkerson MD, Hayes DN et al. ABRA: improved coding indel detection via assembly-based </w:t>
      </w:r>
      <w:r>
        <w:rPr>
          <w:noProof/>
          <w:color w:val="000000"/>
        </w:rPr>
        <w:t>realignment, Bioinformatics 2014;30:2813-2815.</w:t>
      </w:r>
    </w:p>
    <w:p w:rsidR="00877997" w:rsidRDefault="00CB0676">
      <w:pPr>
        <w:pStyle w:val="EndNoteBibliography"/>
        <w:rPr>
          <w:color w:val="000000"/>
        </w:rPr>
      </w:pPr>
      <w:r>
        <w:rPr>
          <w:noProof/>
          <w:color w:val="000000"/>
        </w:rPr>
        <w:t>66.</w:t>
      </w:r>
      <w:r>
        <w:rPr>
          <w:noProof/>
          <w:color w:val="000000"/>
        </w:rPr>
        <w:tab/>
        <w:t>Koboldt DC, Chen K, Wylie T et al. VarScan: variant detection in massively parallel sequencing of individual and pooled samples, Bioinformatics 2009;25:2283-2285.</w:t>
      </w:r>
    </w:p>
    <w:p w:rsidR="00877997" w:rsidRDefault="00CB0676">
      <w:pPr>
        <w:pStyle w:val="EndNoteBibliography"/>
        <w:rPr>
          <w:color w:val="000000"/>
        </w:rPr>
      </w:pPr>
      <w:r>
        <w:rPr>
          <w:noProof/>
          <w:color w:val="000000"/>
        </w:rPr>
        <w:t>67.</w:t>
      </w:r>
      <w:r>
        <w:rPr>
          <w:noProof/>
          <w:color w:val="000000"/>
        </w:rPr>
        <w:tab/>
        <w:t>Albers CA, Lunter G, MacArthur DG et a</w:t>
      </w:r>
      <w:r>
        <w:rPr>
          <w:noProof/>
          <w:color w:val="000000"/>
        </w:rPr>
        <w:t>l. Dindel: accurate indel calls from short-read data, Genome research 2011;21:961-973.</w:t>
      </w:r>
    </w:p>
    <w:p w:rsidR="00877997" w:rsidRDefault="00CB0676">
      <w:pPr>
        <w:pStyle w:val="EndNoteBibliography"/>
        <w:rPr>
          <w:color w:val="000000"/>
        </w:rPr>
      </w:pPr>
      <w:r>
        <w:rPr>
          <w:noProof/>
          <w:color w:val="000000"/>
        </w:rPr>
        <w:t>68.</w:t>
      </w:r>
      <w:r>
        <w:rPr>
          <w:noProof/>
          <w:color w:val="000000"/>
        </w:rPr>
        <w:tab/>
        <w:t>Folkman L, Yang Y, Li Z et al. DDIG-in: detecting disease-causing genetic variations due to frameshifting indels and nonsense mutations employing sequence and struct</w:t>
      </w:r>
      <w:r>
        <w:rPr>
          <w:noProof/>
          <w:color w:val="000000"/>
        </w:rPr>
        <w:t>ural properties at nucleotide and protein levels, Bioinformatics 2015;31:1599-1606.</w:t>
      </w:r>
    </w:p>
    <w:p w:rsidR="00877997" w:rsidRDefault="00CB0676">
      <w:pPr>
        <w:pStyle w:val="EndNoteBibliography"/>
        <w:rPr>
          <w:color w:val="000000"/>
        </w:rPr>
      </w:pPr>
      <w:r>
        <w:rPr>
          <w:noProof/>
          <w:color w:val="000000"/>
        </w:rPr>
        <w:t>69.</w:t>
      </w:r>
      <w:r>
        <w:rPr>
          <w:noProof/>
          <w:color w:val="000000"/>
        </w:rPr>
        <w:tab/>
        <w:t>Poplin R, Chang P-C, Alexander D et al. A universal SNP and small-indel variant caller using deep neural networks, Nature biotechnology 2018;36:983-987.</w:t>
      </w:r>
    </w:p>
    <w:p w:rsidR="00877997" w:rsidRDefault="00CB0676">
      <w:pPr>
        <w:pStyle w:val="EndNoteBibliography"/>
        <w:rPr>
          <w:color w:val="000000"/>
        </w:rPr>
      </w:pPr>
      <w:r>
        <w:rPr>
          <w:noProof/>
          <w:color w:val="000000"/>
        </w:rPr>
        <w:t>70.</w:t>
      </w:r>
      <w:r>
        <w:rPr>
          <w:noProof/>
          <w:color w:val="000000"/>
        </w:rPr>
        <w:tab/>
        <w:t>Pertea M, L</w:t>
      </w:r>
      <w:r>
        <w:rPr>
          <w:noProof/>
          <w:color w:val="000000"/>
        </w:rPr>
        <w:t>in X, Salzberg SL. GeneSplicer: a new computational method for splice site prediction, Nucleic acids research 2001;29:1185-1190.</w:t>
      </w:r>
    </w:p>
    <w:p w:rsidR="00877997" w:rsidRDefault="00CB0676">
      <w:pPr>
        <w:pStyle w:val="EndNoteBibliography"/>
        <w:rPr>
          <w:color w:val="000000"/>
        </w:rPr>
      </w:pPr>
      <w:r>
        <w:rPr>
          <w:noProof/>
          <w:color w:val="000000"/>
        </w:rPr>
        <w:t>71.</w:t>
      </w:r>
      <w:r>
        <w:rPr>
          <w:noProof/>
          <w:color w:val="000000"/>
        </w:rPr>
        <w:tab/>
        <w:t>Yeo G, Burge CB. Maximum entropy modeling of short sequence motifs with applications to RNA splicing signals, Journal of co</w:t>
      </w:r>
      <w:r>
        <w:rPr>
          <w:noProof/>
          <w:color w:val="000000"/>
        </w:rPr>
        <w:t>mputational biology 2004;11:377-394.</w:t>
      </w:r>
    </w:p>
    <w:p w:rsidR="00877997" w:rsidRDefault="00CB0676">
      <w:pPr>
        <w:pStyle w:val="EndNoteBibliography"/>
        <w:rPr>
          <w:color w:val="000000"/>
        </w:rPr>
      </w:pPr>
      <w:r>
        <w:rPr>
          <w:noProof/>
          <w:color w:val="000000"/>
        </w:rPr>
        <w:t>72.</w:t>
      </w:r>
      <w:r>
        <w:rPr>
          <w:noProof/>
          <w:color w:val="000000"/>
        </w:rPr>
        <w:tab/>
        <w:t>Desmet F-O, Hamroun D, Lalande M et al. Human Splicing Finder: an online bioinformatics tool to predict splicing signals, Nucleic acids research 2009;37:e67-e67.</w:t>
      </w:r>
    </w:p>
    <w:p w:rsidR="00877997" w:rsidRDefault="00CB0676">
      <w:pPr>
        <w:pStyle w:val="EndNoteBibliography"/>
        <w:rPr>
          <w:color w:val="000000"/>
        </w:rPr>
      </w:pPr>
      <w:r>
        <w:rPr>
          <w:noProof/>
          <w:color w:val="000000"/>
        </w:rPr>
        <w:t>73.</w:t>
      </w:r>
      <w:r>
        <w:rPr>
          <w:noProof/>
          <w:color w:val="000000"/>
        </w:rPr>
        <w:tab/>
        <w:t>Mort M, Sterne-Weiler T, Li B et al. MutPred Spli</w:t>
      </w:r>
      <w:r>
        <w:rPr>
          <w:noProof/>
          <w:color w:val="000000"/>
        </w:rPr>
        <w:t>ce: machine learning-based prediction of exonic variants that disrupt splicing, Genome Biology 2014;15:R19.</w:t>
      </w:r>
    </w:p>
    <w:p w:rsidR="00877997" w:rsidRDefault="00CB0676">
      <w:pPr>
        <w:pStyle w:val="EndNoteBibliography"/>
        <w:rPr>
          <w:color w:val="000000"/>
        </w:rPr>
      </w:pPr>
      <w:r>
        <w:rPr>
          <w:noProof/>
          <w:color w:val="000000"/>
        </w:rPr>
        <w:t>74.</w:t>
      </w:r>
      <w:r>
        <w:rPr>
          <w:noProof/>
          <w:color w:val="000000"/>
        </w:rPr>
        <w:tab/>
        <w:t xml:space="preserve">Jaganathan K, Panagiotopoulou SK, McRae JF et al. Predicting splicing from primary sequence with deep learning, Cell </w:t>
      </w:r>
      <w:r>
        <w:rPr>
          <w:noProof/>
          <w:color w:val="000000"/>
        </w:rPr>
        <w:t>2019;176:535-548. e524.</w:t>
      </w:r>
    </w:p>
    <w:p w:rsidR="00877997" w:rsidRDefault="00CB0676">
      <w:pPr>
        <w:pStyle w:val="EndNoteBibliography"/>
        <w:rPr>
          <w:color w:val="000000"/>
        </w:rPr>
      </w:pPr>
      <w:r>
        <w:rPr>
          <w:noProof/>
          <w:color w:val="000000"/>
        </w:rPr>
        <w:t>75.</w:t>
      </w:r>
      <w:r>
        <w:rPr>
          <w:noProof/>
          <w:color w:val="000000"/>
        </w:rPr>
        <w:tab/>
        <w:t>Pollard KS, Hubisz MJ, Rosenbloom KR et al. Detection of nonneutral substitution rates on mammalian phylogenies, Genome research 2010;20:110-121.</w:t>
      </w:r>
    </w:p>
    <w:p w:rsidR="00877997" w:rsidRDefault="00CB0676">
      <w:pPr>
        <w:pStyle w:val="EndNoteBibliography"/>
        <w:rPr>
          <w:color w:val="000000"/>
        </w:rPr>
      </w:pPr>
      <w:r>
        <w:rPr>
          <w:noProof/>
          <w:color w:val="000000"/>
        </w:rPr>
        <w:t>76.</w:t>
      </w:r>
      <w:r>
        <w:rPr>
          <w:noProof/>
          <w:color w:val="000000"/>
        </w:rPr>
        <w:tab/>
        <w:t>Cooper GM, Stone EA, Asimenos G et al. Distribution and intensity of constrain</w:t>
      </w:r>
      <w:r>
        <w:rPr>
          <w:noProof/>
          <w:color w:val="000000"/>
        </w:rPr>
        <w:t>t in mammalian genomic sequence, Genome research 2005;15:901-913.</w:t>
      </w:r>
    </w:p>
    <w:p w:rsidR="00877997" w:rsidRDefault="00CB0676">
      <w:pPr>
        <w:pStyle w:val="EndNoteBibliography"/>
        <w:rPr>
          <w:color w:val="000000"/>
        </w:rPr>
      </w:pPr>
      <w:r>
        <w:rPr>
          <w:noProof/>
          <w:color w:val="000000"/>
        </w:rPr>
        <w:t>77.</w:t>
      </w:r>
      <w:r>
        <w:rPr>
          <w:noProof/>
          <w:color w:val="000000"/>
        </w:rPr>
        <w:tab/>
        <w:t>Siepel A, Bejerano G, Pedersen JS et al. Evolutionarily conserved elements in vertebrate, insect, worm, and yeast genomes, Genome research 2005;15:1034-1050.</w:t>
      </w:r>
    </w:p>
    <w:p w:rsidR="00877997" w:rsidRDefault="00CB0676">
      <w:pPr>
        <w:pStyle w:val="EndNoteBibliography"/>
        <w:rPr>
          <w:color w:val="000000"/>
        </w:rPr>
      </w:pPr>
      <w:r>
        <w:rPr>
          <w:noProof/>
          <w:color w:val="000000"/>
        </w:rPr>
        <w:t>78.</w:t>
      </w:r>
      <w:r>
        <w:rPr>
          <w:noProof/>
          <w:color w:val="000000"/>
        </w:rPr>
        <w:tab/>
        <w:t>Tang H, Thomas PD. PANTH</w:t>
      </w:r>
      <w:r>
        <w:rPr>
          <w:noProof/>
          <w:color w:val="000000"/>
        </w:rPr>
        <w:t>ER-PSEP: predicting disease-causing genetic variants using position-specific evolutionary preservation, Bioinformatics 2016;32:2230-2232.</w:t>
      </w:r>
    </w:p>
    <w:p w:rsidR="00877997" w:rsidRDefault="00CB0676">
      <w:pPr>
        <w:pStyle w:val="EndNoteBibliography"/>
        <w:rPr>
          <w:color w:val="000000"/>
        </w:rPr>
      </w:pPr>
      <w:r>
        <w:rPr>
          <w:noProof/>
          <w:color w:val="000000"/>
        </w:rPr>
        <w:t>79.</w:t>
      </w:r>
      <w:r>
        <w:rPr>
          <w:noProof/>
          <w:color w:val="000000"/>
        </w:rPr>
        <w:tab/>
        <w:t>Zhou J, Troyanskaya OG. Predicting effects of noncoding variants with deep learning–based sequence model, Nature m</w:t>
      </w:r>
      <w:r>
        <w:rPr>
          <w:noProof/>
          <w:color w:val="000000"/>
        </w:rPr>
        <w:t>ethods 2015;12:931-934.</w:t>
      </w:r>
    </w:p>
    <w:p w:rsidR="00877997" w:rsidRDefault="00CB0676">
      <w:pPr>
        <w:pStyle w:val="EndNoteBibliography"/>
        <w:rPr>
          <w:color w:val="000000"/>
        </w:rPr>
      </w:pPr>
      <w:r>
        <w:rPr>
          <w:noProof/>
          <w:color w:val="000000"/>
        </w:rPr>
        <w:t>80.</w:t>
      </w:r>
      <w:r>
        <w:rPr>
          <w:noProof/>
          <w:color w:val="000000"/>
        </w:rPr>
        <w:tab/>
        <w:t>Lu Q, Hu Y, Sun J et al. A statistical framework to predict functional non-coding regions in the human genome through integrated analysis of annotation data, Scientific Reports 2015;5:10576.</w:t>
      </w:r>
    </w:p>
    <w:p w:rsidR="00877997" w:rsidRDefault="00CB0676">
      <w:pPr>
        <w:pStyle w:val="EndNoteBibliography"/>
        <w:rPr>
          <w:color w:val="000000"/>
        </w:rPr>
      </w:pPr>
      <w:r>
        <w:rPr>
          <w:noProof/>
          <w:color w:val="000000"/>
        </w:rPr>
        <w:t>81.</w:t>
      </w:r>
      <w:r>
        <w:rPr>
          <w:noProof/>
          <w:color w:val="000000"/>
        </w:rPr>
        <w:tab/>
        <w:t>Lehmann K-V, Chen T. Exploring fu</w:t>
      </w:r>
      <w:r>
        <w:rPr>
          <w:noProof/>
          <w:color w:val="000000"/>
        </w:rPr>
        <w:t>nctional variant discovery in non-coding regions with SInBaD, Nucleic acids research 2012;41:e7-e7.</w:t>
      </w:r>
    </w:p>
    <w:p w:rsidR="00877997" w:rsidRDefault="00CB0676">
      <w:pPr>
        <w:pStyle w:val="EndNoteBibliography"/>
        <w:rPr>
          <w:color w:val="000000"/>
        </w:rPr>
      </w:pPr>
      <w:r>
        <w:rPr>
          <w:noProof/>
          <w:color w:val="000000"/>
        </w:rPr>
        <w:t>82.</w:t>
      </w:r>
      <w:r>
        <w:rPr>
          <w:noProof/>
          <w:color w:val="000000"/>
        </w:rPr>
        <w:tab/>
        <w:t>Zambrano R, Jamroz M, Szczasiuk A et al. AGGRESCAN3D (A3D): server for prediction of aggregation properties of protein structures, Nucleic acids researc</w:t>
      </w:r>
      <w:r>
        <w:rPr>
          <w:noProof/>
          <w:color w:val="000000"/>
        </w:rPr>
        <w:t>h 2015;43:W306-W313.</w:t>
      </w:r>
    </w:p>
    <w:p w:rsidR="00877997" w:rsidRDefault="00CB0676">
      <w:pPr>
        <w:pStyle w:val="EndNoteBibliography"/>
        <w:rPr>
          <w:color w:val="000000"/>
        </w:rPr>
      </w:pPr>
      <w:r>
        <w:rPr>
          <w:noProof/>
          <w:color w:val="000000"/>
        </w:rPr>
        <w:t>83.</w:t>
      </w:r>
      <w:r>
        <w:rPr>
          <w:noProof/>
          <w:color w:val="000000"/>
        </w:rPr>
        <w:tab/>
        <w:t>Pires DEV, Ascher DB, Blundell TL. DUET: a server for predicting effects of mutations on protein stability using an integrated computational approach, Nucleic acids research 2014;42:W314-W319.</w:t>
      </w:r>
    </w:p>
    <w:p w:rsidR="00877997" w:rsidRDefault="00CB0676">
      <w:pPr>
        <w:pStyle w:val="EndNoteBibliography"/>
        <w:rPr>
          <w:color w:val="000000"/>
        </w:rPr>
      </w:pPr>
      <w:r>
        <w:rPr>
          <w:noProof/>
          <w:color w:val="000000"/>
        </w:rPr>
        <w:lastRenderedPageBreak/>
        <w:t>84.</w:t>
      </w:r>
      <w:r>
        <w:rPr>
          <w:noProof/>
          <w:color w:val="000000"/>
        </w:rPr>
        <w:tab/>
        <w:t>Liu M, Watson LT, Zhang L. HMMvar-</w:t>
      </w:r>
      <w:r>
        <w:rPr>
          <w:noProof/>
          <w:color w:val="000000"/>
        </w:rPr>
        <w:t>func: a new method for predicting the functional outcome of genetic variants, BMC Bioinformatics 2015;16:351.</w:t>
      </w:r>
    </w:p>
    <w:p w:rsidR="00877997" w:rsidRDefault="00CB0676">
      <w:pPr>
        <w:pStyle w:val="EndNoteBibliography"/>
        <w:rPr>
          <w:color w:val="000000"/>
        </w:rPr>
      </w:pPr>
      <w:r>
        <w:rPr>
          <w:noProof/>
          <w:color w:val="000000"/>
        </w:rPr>
        <w:t>85.</w:t>
      </w:r>
      <w:r>
        <w:rPr>
          <w:noProof/>
          <w:color w:val="000000"/>
        </w:rPr>
        <w:tab/>
        <w:t>Ryan M, Diekhans M, Lien S et al. LS-SNP/PDB: annotated non-synonymous SNPs mapped to Protein Data Bank structures, Bioinformatics 2009;25:143</w:t>
      </w:r>
      <w:r>
        <w:rPr>
          <w:noProof/>
          <w:color w:val="000000"/>
        </w:rPr>
        <w:t>1-1432.</w:t>
      </w:r>
    </w:p>
    <w:p w:rsidR="00877997" w:rsidRDefault="00CB0676">
      <w:pPr>
        <w:pStyle w:val="EndNoteBibliography"/>
        <w:rPr>
          <w:color w:val="000000"/>
        </w:rPr>
      </w:pPr>
      <w:r>
        <w:rPr>
          <w:noProof/>
          <w:color w:val="000000"/>
        </w:rPr>
        <w:t>86.</w:t>
      </w:r>
      <w:r>
        <w:rPr>
          <w:noProof/>
          <w:color w:val="000000"/>
        </w:rPr>
        <w:tab/>
        <w:t>Giollo M, Martin AJ, Walsh I et al. NeEMO: a method using residue interaction networks to improve prediction of protein stability upon mutation, BMC genomics 2014;15:S7.</w:t>
      </w:r>
    </w:p>
    <w:p w:rsidR="00877997" w:rsidRDefault="00CB0676">
      <w:pPr>
        <w:pStyle w:val="EndNoteBibliography"/>
        <w:rPr>
          <w:color w:val="000000"/>
        </w:rPr>
      </w:pPr>
      <w:r>
        <w:rPr>
          <w:noProof/>
          <w:color w:val="000000"/>
        </w:rPr>
        <w:t>87.</w:t>
      </w:r>
      <w:r>
        <w:rPr>
          <w:noProof/>
          <w:color w:val="000000"/>
        </w:rPr>
        <w:tab/>
        <w:t xml:space="preserve">López-Ferrando V, Gazzo A, de la Cruz X et al. PMut: a web-based tool </w:t>
      </w:r>
      <w:r>
        <w:rPr>
          <w:noProof/>
          <w:color w:val="000000"/>
        </w:rPr>
        <w:t>for the annotation of pathological variants on proteins, 2017 update, Nucleic acids research 2017;45:W222-W228.</w:t>
      </w:r>
    </w:p>
    <w:p w:rsidR="00877997" w:rsidRDefault="00CB0676">
      <w:pPr>
        <w:pStyle w:val="EndNoteBibliography"/>
        <w:rPr>
          <w:color w:val="000000"/>
        </w:rPr>
      </w:pPr>
      <w:r>
        <w:rPr>
          <w:noProof/>
          <w:color w:val="000000"/>
        </w:rPr>
        <w:t>88.</w:t>
      </w:r>
      <w:r>
        <w:rPr>
          <w:noProof/>
          <w:color w:val="000000"/>
        </w:rPr>
        <w:tab/>
        <w:t>Kircher M, Witten DM, Jain P et al. A general framework for estimating the relative pathogenicity of human genetic variants, Nature genetics</w:t>
      </w:r>
      <w:r>
        <w:rPr>
          <w:noProof/>
          <w:color w:val="000000"/>
        </w:rPr>
        <w:t xml:space="preserve"> 2014;46:310.</w:t>
      </w:r>
    </w:p>
    <w:p w:rsidR="00877997" w:rsidRDefault="00CB0676">
      <w:pPr>
        <w:pStyle w:val="EndNoteBibliography"/>
        <w:rPr>
          <w:color w:val="000000"/>
        </w:rPr>
      </w:pPr>
      <w:r>
        <w:rPr>
          <w:noProof/>
          <w:color w:val="000000"/>
        </w:rPr>
        <w:t>89.</w:t>
      </w:r>
      <w:r>
        <w:rPr>
          <w:noProof/>
          <w:color w:val="000000"/>
        </w:rPr>
        <w:tab/>
        <w:t>Ionita-Laza I, McCallum K, Xu B et al. A spectral approach integrating functional genomic annotations for coding and noncoding variants, Nature genetics 2016;48:214.</w:t>
      </w:r>
    </w:p>
    <w:p w:rsidR="00877997" w:rsidRDefault="00CB0676">
      <w:pPr>
        <w:pStyle w:val="EndNoteBibliography"/>
        <w:rPr>
          <w:color w:val="000000"/>
        </w:rPr>
      </w:pPr>
      <w:r>
        <w:rPr>
          <w:noProof/>
          <w:color w:val="000000"/>
        </w:rPr>
        <w:t>90.</w:t>
      </w:r>
      <w:r>
        <w:rPr>
          <w:noProof/>
          <w:color w:val="000000"/>
        </w:rPr>
        <w:tab/>
        <w:t>Ioannidis NM, Rothstein JH, Pejaver V et al. REVEL: an ensemble meth</w:t>
      </w:r>
      <w:r>
        <w:rPr>
          <w:noProof/>
          <w:color w:val="000000"/>
        </w:rPr>
        <w:t>od for predicting the pathogenicity of rare missense variants, The American Journal of Human Genetics 2016;99:877-885.</w:t>
      </w:r>
    </w:p>
    <w:p w:rsidR="00877997" w:rsidRDefault="00CB0676">
      <w:pPr>
        <w:pStyle w:val="EndNoteBibliography"/>
        <w:rPr>
          <w:color w:val="000000"/>
        </w:rPr>
      </w:pPr>
      <w:r>
        <w:rPr>
          <w:noProof/>
          <w:color w:val="000000"/>
        </w:rPr>
        <w:t>91.</w:t>
      </w:r>
      <w:r>
        <w:rPr>
          <w:noProof/>
          <w:color w:val="000000"/>
        </w:rPr>
        <w:tab/>
        <w:t>Mossotto E, Ashton JJ, O’Gorman L et al. GenePy - a score for estimating gene pathogenicity in individuals using next-generation sequ</w:t>
      </w:r>
      <w:r>
        <w:rPr>
          <w:noProof/>
          <w:color w:val="000000"/>
        </w:rPr>
        <w:t>encing data, BMC Bioinformatics 2019;20:254.</w:t>
      </w:r>
    </w:p>
    <w:p w:rsidR="00877997" w:rsidRDefault="00CB0676">
      <w:pPr>
        <w:pStyle w:val="EndNoteBibliography"/>
        <w:rPr>
          <w:color w:val="000000"/>
        </w:rPr>
      </w:pPr>
      <w:r>
        <w:rPr>
          <w:noProof/>
          <w:color w:val="000000"/>
        </w:rPr>
        <w:t>92.</w:t>
      </w:r>
      <w:r>
        <w:rPr>
          <w:noProof/>
          <w:color w:val="000000"/>
        </w:rPr>
        <w:tab/>
        <w:t>Lonsdale J, Thomas J, Salvatore M et al. The genotype-tissue expression (GTEx) project, Nature genetics 2013;45:580.</w:t>
      </w:r>
    </w:p>
    <w:p w:rsidR="00877997" w:rsidRDefault="00CB0676">
      <w:pPr>
        <w:pStyle w:val="EndNoteBibliography"/>
        <w:rPr>
          <w:color w:val="000000"/>
        </w:rPr>
      </w:pPr>
      <w:r>
        <w:rPr>
          <w:noProof/>
          <w:color w:val="000000"/>
        </w:rPr>
        <w:t>93.</w:t>
      </w:r>
      <w:r>
        <w:rPr>
          <w:noProof/>
          <w:color w:val="000000"/>
        </w:rPr>
        <w:tab/>
        <w:t>Ware JS, Li J, Mazaika E et al. Shared genetic predisposition in peripartum and dilate</w:t>
      </w:r>
      <w:r>
        <w:rPr>
          <w:noProof/>
          <w:color w:val="000000"/>
        </w:rPr>
        <w:t>d cardiomyopathies, New England Journal of Medicine 2016;374:233-241.</w:t>
      </w:r>
    </w:p>
    <w:p w:rsidR="00877997" w:rsidRDefault="00CB0676">
      <w:pPr>
        <w:pStyle w:val="EndNoteBibliography"/>
        <w:rPr>
          <w:color w:val="000000"/>
        </w:rPr>
      </w:pPr>
      <w:r>
        <w:rPr>
          <w:noProof/>
          <w:color w:val="000000"/>
        </w:rPr>
        <w:t>94.</w:t>
      </w:r>
      <w:r>
        <w:rPr>
          <w:noProof/>
          <w:color w:val="000000"/>
        </w:rPr>
        <w:tab/>
        <w:t>Roberts AM, Ware JS, Herman DS et al. Integrated allelic, transcriptional, and phenomic dissection of the cardiac effects of titin truncations in health and disease, Science translat</w:t>
      </w:r>
      <w:r>
        <w:rPr>
          <w:noProof/>
          <w:color w:val="000000"/>
        </w:rPr>
        <w:t>ional medicine 2015;7:270ra276-270ra276.</w:t>
      </w:r>
    </w:p>
    <w:p w:rsidR="00877997" w:rsidRDefault="00CB0676">
      <w:pPr>
        <w:pStyle w:val="EndNoteBibliography"/>
        <w:rPr>
          <w:color w:val="000000"/>
        </w:rPr>
      </w:pPr>
      <w:r>
        <w:rPr>
          <w:noProof/>
          <w:color w:val="000000"/>
        </w:rPr>
        <w:t>95.</w:t>
      </w:r>
      <w:r>
        <w:rPr>
          <w:noProof/>
          <w:color w:val="000000"/>
        </w:rPr>
        <w:tab/>
        <w:t>den Dunnen JT, Dalgleish R, Maglott DR et al. HGVS recommendations for the description of sequence variants: 2016 update, Human mutation 2016;37:564-569.</w:t>
      </w:r>
    </w:p>
    <w:p w:rsidR="00877997" w:rsidRDefault="00CB0676">
      <w:pPr>
        <w:pStyle w:val="EndNoteBibliography"/>
        <w:rPr>
          <w:color w:val="000000"/>
        </w:rPr>
      </w:pPr>
      <w:r>
        <w:rPr>
          <w:noProof/>
          <w:color w:val="000000"/>
        </w:rPr>
        <w:t>96.</w:t>
      </w:r>
      <w:r>
        <w:rPr>
          <w:noProof/>
          <w:color w:val="000000"/>
        </w:rPr>
        <w:tab/>
        <w:t>Cooper DN, Krawczak M, Polychronakos C et al. Where g</w:t>
      </w:r>
      <w:r>
        <w:rPr>
          <w:noProof/>
          <w:color w:val="000000"/>
        </w:rPr>
        <w:t>enotype is not predictive of phenotype: towards an understanding of the molecular basis of reduced penetrance in human inherited disease, Human genetics 2013;132:1077-1130.</w:t>
      </w:r>
    </w:p>
    <w:p w:rsidR="00877997" w:rsidRDefault="00CB0676">
      <w:pPr>
        <w:pStyle w:val="EndNoteBibliography"/>
        <w:rPr>
          <w:color w:val="000000"/>
        </w:rPr>
      </w:pPr>
      <w:r>
        <w:rPr>
          <w:noProof/>
          <w:color w:val="000000"/>
        </w:rPr>
        <w:t>97.</w:t>
      </w:r>
      <w:r>
        <w:rPr>
          <w:noProof/>
          <w:color w:val="000000"/>
        </w:rPr>
        <w:tab/>
        <w:t>Chen R, Shi L, Hakenberg J et al. Analysis of 589,306 genomes identifies indivi</w:t>
      </w:r>
      <w:r>
        <w:rPr>
          <w:noProof/>
          <w:color w:val="000000"/>
        </w:rPr>
        <w:t>duals resilient to severe Mendelian childhood diseases, Nature biotechnology 2016;34:531.</w:t>
      </w:r>
    </w:p>
    <w:p w:rsidR="00877997" w:rsidRDefault="00CB0676">
      <w:pPr>
        <w:pStyle w:val="EndNoteBibliography"/>
        <w:rPr>
          <w:color w:val="000000"/>
        </w:rPr>
      </w:pPr>
      <w:r>
        <w:rPr>
          <w:noProof/>
          <w:color w:val="000000"/>
        </w:rPr>
        <w:t>98.</w:t>
      </w:r>
      <w:r>
        <w:rPr>
          <w:noProof/>
          <w:color w:val="000000"/>
        </w:rPr>
        <w:tab/>
        <w:t>Shawky RM. Reduced penetrance in human inherited disease, Egyptian Journal of Medical Human Genetics 2014;15:103-111.</w:t>
      </w:r>
    </w:p>
    <w:p w:rsidR="00877997" w:rsidRDefault="00CB0676">
      <w:pPr>
        <w:pStyle w:val="EndNoteBibliography"/>
        <w:rPr>
          <w:color w:val="000000"/>
        </w:rPr>
      </w:pPr>
      <w:r>
        <w:rPr>
          <w:noProof/>
          <w:color w:val="000000"/>
        </w:rPr>
        <w:t>99.</w:t>
      </w:r>
      <w:r>
        <w:rPr>
          <w:noProof/>
          <w:color w:val="000000"/>
        </w:rPr>
        <w:tab/>
        <w:t>Ropers HH, Wienker T. Penetrance of path</w:t>
      </w:r>
      <w:r>
        <w:rPr>
          <w:noProof/>
          <w:color w:val="000000"/>
        </w:rPr>
        <w:t>ogenic mutations in haploinsufficient genes for intellectual disability and related disorders, European journal of medical genetics 2015;58:715-718.</w:t>
      </w:r>
    </w:p>
    <w:p w:rsidR="00877997" w:rsidRDefault="00CB0676">
      <w:pPr>
        <w:pStyle w:val="EndNoteBibliography"/>
        <w:rPr>
          <w:color w:val="000000"/>
        </w:rPr>
      </w:pPr>
      <w:r>
        <w:rPr>
          <w:noProof/>
          <w:color w:val="000000"/>
        </w:rPr>
        <w:t>100.</w:t>
      </w:r>
      <w:r>
        <w:rPr>
          <w:noProof/>
          <w:color w:val="000000"/>
        </w:rPr>
        <w:tab/>
        <w:t>Fahsold R, Hoffmeyer S, Mischung C et al. Minor lesion mutational spectrum of the entire NF1 gene does</w:t>
      </w:r>
      <w:r>
        <w:rPr>
          <w:noProof/>
          <w:color w:val="000000"/>
        </w:rPr>
        <w:t xml:space="preserve"> not explain its high mutability but points to a functional domain upstream of the GAP-related domain, The American Journal of Human Genetics 2000;66:790-818.</w:t>
      </w:r>
    </w:p>
    <w:p w:rsidR="00877997" w:rsidRDefault="00CB0676">
      <w:pPr>
        <w:pStyle w:val="EndNoteBibliography"/>
        <w:rPr>
          <w:color w:val="000000"/>
        </w:rPr>
      </w:pPr>
      <w:r>
        <w:rPr>
          <w:noProof/>
          <w:color w:val="000000"/>
        </w:rPr>
        <w:t>101.</w:t>
      </w:r>
      <w:r>
        <w:rPr>
          <w:noProof/>
          <w:color w:val="000000"/>
        </w:rPr>
        <w:tab/>
        <w:t>Bresin E, Rurali E, Caprioli J et al. Combined complement gene mutations in atypical hemolyt</w:t>
      </w:r>
      <w:r>
        <w:rPr>
          <w:noProof/>
          <w:color w:val="000000"/>
        </w:rPr>
        <w:t>ic uremic syndrome influence clinical phenotype, Journal of the American Society of Nephrology 2013;24:475-486.</w:t>
      </w:r>
    </w:p>
    <w:p w:rsidR="00877997" w:rsidRDefault="00CB0676">
      <w:pPr>
        <w:pStyle w:val="EndNoteBibliography"/>
        <w:rPr>
          <w:color w:val="000000"/>
        </w:rPr>
      </w:pPr>
      <w:r>
        <w:rPr>
          <w:noProof/>
          <w:color w:val="000000"/>
        </w:rPr>
        <w:t>102.</w:t>
      </w:r>
      <w:r>
        <w:rPr>
          <w:noProof/>
          <w:color w:val="000000"/>
        </w:rPr>
        <w:tab/>
        <w:t>Veitia RA, Caburet S, Birchler JA. Mechanisms of Mendelian dominance, Clinical Genetics 2018;93:419-428.</w:t>
      </w:r>
    </w:p>
    <w:p w:rsidR="00877997" w:rsidRDefault="00CB0676">
      <w:pPr>
        <w:pStyle w:val="EndNoteBibliography"/>
        <w:rPr>
          <w:color w:val="000000"/>
        </w:rPr>
      </w:pPr>
      <w:r>
        <w:rPr>
          <w:noProof/>
          <w:color w:val="000000"/>
        </w:rPr>
        <w:lastRenderedPageBreak/>
        <w:t>103.</w:t>
      </w:r>
      <w:r>
        <w:rPr>
          <w:noProof/>
          <w:color w:val="000000"/>
        </w:rPr>
        <w:tab/>
        <w:t xml:space="preserve">Alessi DR, Sammler E. </w:t>
      </w:r>
      <w:r>
        <w:rPr>
          <w:noProof/>
          <w:color w:val="000000"/>
        </w:rPr>
        <w:t>LRRK2 kinase in Parkinson's disease, Science 2018;360:36-37.</w:t>
      </w:r>
    </w:p>
    <w:p w:rsidR="00877997" w:rsidRDefault="00CB0676">
      <w:pPr>
        <w:pStyle w:val="EndNoteBibliography"/>
        <w:rPr>
          <w:color w:val="000000"/>
        </w:rPr>
      </w:pPr>
      <w:r>
        <w:rPr>
          <w:noProof/>
          <w:color w:val="000000"/>
        </w:rPr>
        <w:t>104.</w:t>
      </w:r>
      <w:r>
        <w:rPr>
          <w:noProof/>
          <w:color w:val="000000"/>
        </w:rPr>
        <w:tab/>
        <w:t>Gourraud J-B, Barc J, Thollet A et al. The Brugada syndrome: a rare arrhythmia disorder with complex inheritance, Frontiers in cardiovascular medicine 2016;3:9.</w:t>
      </w:r>
    </w:p>
    <w:p w:rsidR="00877997" w:rsidRDefault="00CB0676">
      <w:pPr>
        <w:pStyle w:val="EndNoteBibliography"/>
        <w:rPr>
          <w:color w:val="000000"/>
        </w:rPr>
      </w:pPr>
      <w:r>
        <w:rPr>
          <w:noProof/>
          <w:color w:val="000000"/>
        </w:rPr>
        <w:t>105.</w:t>
      </w:r>
      <w:r>
        <w:rPr>
          <w:noProof/>
          <w:color w:val="000000"/>
        </w:rPr>
        <w:tab/>
        <w:t>Marsh AP, Heron D, Edwar</w:t>
      </w:r>
      <w:r>
        <w:rPr>
          <w:noProof/>
          <w:color w:val="000000"/>
        </w:rPr>
        <w:t>ds TJ et al. Mutations in DCC cause isolated agenesis of the corpus callosum with incomplete penetrance, Nature genetics 2017;49:511-514.</w:t>
      </w:r>
    </w:p>
    <w:p w:rsidR="00877997" w:rsidRDefault="00CB0676">
      <w:pPr>
        <w:pStyle w:val="EndNoteBibliography"/>
        <w:rPr>
          <w:color w:val="000000"/>
        </w:rPr>
      </w:pPr>
      <w:r>
        <w:rPr>
          <w:noProof/>
          <w:color w:val="000000"/>
        </w:rPr>
        <w:t>106.</w:t>
      </w:r>
      <w:r>
        <w:rPr>
          <w:noProof/>
          <w:color w:val="000000"/>
        </w:rPr>
        <w:tab/>
        <w:t>Wright CF, West B, Tuke M et al. Assessing the pathogenicity, penetrance, and expressivity of putative disease-ca</w:t>
      </w:r>
      <w:r>
        <w:rPr>
          <w:noProof/>
          <w:color w:val="000000"/>
        </w:rPr>
        <w:t>using variants in a population setting, The American Journal of Human Genetics 2019;104:275-286.</w:t>
      </w:r>
    </w:p>
    <w:p w:rsidR="00877997" w:rsidRDefault="00CB0676">
      <w:pPr>
        <w:pStyle w:val="EndNoteBibliography"/>
        <w:rPr>
          <w:color w:val="000000"/>
        </w:rPr>
      </w:pPr>
      <w:r>
        <w:rPr>
          <w:noProof/>
          <w:color w:val="000000"/>
        </w:rPr>
        <w:t>107.</w:t>
      </w:r>
      <w:r>
        <w:rPr>
          <w:noProof/>
          <w:color w:val="000000"/>
        </w:rPr>
        <w:tab/>
        <w:t>Spielmann M, Lupiáñez DG, Mundlos S. Structural variation in the 3D genome, Nature Reviews Genetics 2018;19:453-467.</w:t>
      </w:r>
    </w:p>
    <w:p w:rsidR="00877997" w:rsidRDefault="00CB0676">
      <w:pPr>
        <w:pStyle w:val="EndNoteBibliography"/>
        <w:rPr>
          <w:color w:val="000000"/>
        </w:rPr>
      </w:pPr>
      <w:r>
        <w:rPr>
          <w:noProof/>
          <w:color w:val="000000"/>
        </w:rPr>
        <w:t>108.</w:t>
      </w:r>
      <w:r>
        <w:rPr>
          <w:noProof/>
          <w:color w:val="000000"/>
        </w:rPr>
        <w:tab/>
        <w:t>Zhang F, Lupski JR. Non-coding g</w:t>
      </w:r>
      <w:r>
        <w:rPr>
          <w:noProof/>
          <w:color w:val="000000"/>
        </w:rPr>
        <w:t>enetic variants in human disease, Human molecular genetics 2015;24:R102-R110.</w:t>
      </w:r>
    </w:p>
    <w:p w:rsidR="00877997" w:rsidRDefault="00CB0676">
      <w:pPr>
        <w:pStyle w:val="EndNoteBibliography"/>
        <w:rPr>
          <w:color w:val="000000"/>
        </w:rPr>
      </w:pPr>
      <w:r>
        <w:rPr>
          <w:noProof/>
          <w:color w:val="000000"/>
        </w:rPr>
        <w:t>109.</w:t>
      </w:r>
      <w:r>
        <w:rPr>
          <w:noProof/>
          <w:color w:val="000000"/>
        </w:rPr>
        <w:tab/>
        <w:t>Spielmann M, Mundlos S. Looking beyond the genes: the role of non-coding variants in human disease, Human molecular genetics 2016;25:R157-R165.</w:t>
      </w:r>
    </w:p>
    <w:p w:rsidR="00877997" w:rsidRDefault="00CB0676">
      <w:pPr>
        <w:pStyle w:val="EndNoteBibliography"/>
        <w:rPr>
          <w:color w:val="000000"/>
        </w:rPr>
      </w:pPr>
      <w:r>
        <w:rPr>
          <w:noProof/>
          <w:color w:val="000000"/>
        </w:rPr>
        <w:t>110.</w:t>
      </w:r>
      <w:r>
        <w:rPr>
          <w:noProof/>
          <w:color w:val="000000"/>
        </w:rPr>
        <w:tab/>
        <w:t>Huang Y-F, Gulko B, Siep</w:t>
      </w:r>
      <w:r>
        <w:rPr>
          <w:noProof/>
          <w:color w:val="000000"/>
        </w:rPr>
        <w:t>el A. Fast, scalable prediction of deleterious noncoding variants from functional and population genomic data, Nature genetics 2017;49:618.</w:t>
      </w:r>
    </w:p>
    <w:p w:rsidR="00877997" w:rsidRDefault="00CB0676">
      <w:pPr>
        <w:pStyle w:val="EndNoteBibliography"/>
        <w:rPr>
          <w:color w:val="000000"/>
        </w:rPr>
      </w:pPr>
      <w:r>
        <w:rPr>
          <w:noProof/>
          <w:color w:val="000000"/>
        </w:rPr>
        <w:t>111.</w:t>
      </w:r>
      <w:r>
        <w:rPr>
          <w:noProof/>
          <w:color w:val="000000"/>
        </w:rPr>
        <w:tab/>
        <w:t xml:space="preserve">Collins RL, Brand H, Karczewski KJ et al. An open resource of structural variation for medical and </w:t>
      </w:r>
      <w:r>
        <w:rPr>
          <w:noProof/>
          <w:color w:val="000000"/>
        </w:rPr>
        <w:t>population genetics, bioRxiv 2019:578674.</w:t>
      </w:r>
    </w:p>
    <w:p w:rsidR="00877997" w:rsidRDefault="00CB0676">
      <w:pPr>
        <w:pStyle w:val="EndNoteBibliography"/>
        <w:rPr>
          <w:color w:val="000000"/>
        </w:rPr>
      </w:pPr>
      <w:r>
        <w:rPr>
          <w:noProof/>
          <w:color w:val="000000"/>
        </w:rPr>
        <w:t>112.</w:t>
      </w:r>
      <w:r>
        <w:rPr>
          <w:noProof/>
          <w:color w:val="000000"/>
        </w:rPr>
        <w:tab/>
        <w:t>Holt JM, Birch CL, Brown DM et al. Identification of Pathogenic Structural Variants in Rare Disease Patients through Genome Sequencing, bioRxiv 2019:627661.</w:t>
      </w:r>
    </w:p>
    <w:p w:rsidR="00877997" w:rsidRDefault="00CB0676">
      <w:pPr>
        <w:pStyle w:val="EndNoteBibliography"/>
        <w:rPr>
          <w:color w:val="000000"/>
        </w:rPr>
      </w:pPr>
      <w:r>
        <w:rPr>
          <w:noProof/>
          <w:color w:val="000000"/>
        </w:rPr>
        <w:t>113.</w:t>
      </w:r>
      <w:r>
        <w:rPr>
          <w:noProof/>
          <w:color w:val="000000"/>
        </w:rPr>
        <w:tab/>
        <w:t>Merker JD, Wenger AM, Sneddon T et al. Long-rea</w:t>
      </w:r>
      <w:r>
        <w:rPr>
          <w:noProof/>
          <w:color w:val="000000"/>
        </w:rPr>
        <w:t>d genome sequencing identifies causal structural variation in a Mendelian disease, Genetics in Medicine 2018;20:159-163.</w:t>
      </w:r>
    </w:p>
    <w:p w:rsidR="00877997" w:rsidRDefault="00CB0676">
      <w:pPr>
        <w:pStyle w:val="EndNoteBibliography"/>
        <w:rPr>
          <w:color w:val="000000"/>
        </w:rPr>
      </w:pPr>
      <w:r>
        <w:rPr>
          <w:noProof/>
          <w:color w:val="000000"/>
        </w:rPr>
        <w:t>114.</w:t>
      </w:r>
      <w:r>
        <w:rPr>
          <w:noProof/>
          <w:color w:val="000000"/>
        </w:rPr>
        <w:tab/>
        <w:t>Marks P, Garcia S, Barrio AM et al. Resolving the full spectrum of human genome variation using Linked-Reads, Genome research 2019</w:t>
      </w:r>
      <w:r>
        <w:rPr>
          <w:noProof/>
          <w:color w:val="000000"/>
        </w:rPr>
        <w:t>;29:635-645.</w:t>
      </w:r>
    </w:p>
    <w:p w:rsidR="00877997" w:rsidRDefault="00CB0676">
      <w:pPr>
        <w:pStyle w:val="EndNoteBibliography"/>
        <w:rPr>
          <w:color w:val="000000"/>
        </w:rPr>
      </w:pPr>
      <w:r>
        <w:rPr>
          <w:noProof/>
          <w:color w:val="000000"/>
        </w:rPr>
        <w:t>115.</w:t>
      </w:r>
      <w:r>
        <w:rPr>
          <w:noProof/>
          <w:color w:val="000000"/>
        </w:rPr>
        <w:tab/>
        <w:t>Hamosh A, Scott AF, Amberger JS et al. Online Mendelian Inheritance in Man (OMIM), a knowledgebase of human genes and genetic disorders, Nucleic acids research 2005;33:D514-D517.</w:t>
      </w:r>
    </w:p>
    <w:p w:rsidR="00877997" w:rsidRDefault="00CB0676">
      <w:pPr>
        <w:pStyle w:val="EndNoteBibliography"/>
        <w:rPr>
          <w:color w:val="000000"/>
        </w:rPr>
      </w:pPr>
      <w:r>
        <w:rPr>
          <w:noProof/>
          <w:color w:val="000000"/>
        </w:rPr>
        <w:t>116.</w:t>
      </w:r>
      <w:r>
        <w:rPr>
          <w:noProof/>
          <w:color w:val="000000"/>
        </w:rPr>
        <w:tab/>
        <w:t>Landrum MJ, Lee JM, Riley GR et al. ClinVar: public ar</w:t>
      </w:r>
      <w:r>
        <w:rPr>
          <w:noProof/>
          <w:color w:val="000000"/>
        </w:rPr>
        <w:t>chive of relationships among sequence variation and human phenotype, Nucleic acids research 2014;42:D980-D985.</w:t>
      </w:r>
    </w:p>
    <w:p w:rsidR="00877997" w:rsidRDefault="00CB0676">
      <w:pPr>
        <w:pStyle w:val="EndNoteBibliography"/>
        <w:rPr>
          <w:color w:val="000000"/>
        </w:rPr>
      </w:pPr>
      <w:r>
        <w:rPr>
          <w:noProof/>
          <w:color w:val="000000"/>
        </w:rPr>
        <w:t>117.</w:t>
      </w:r>
      <w:r>
        <w:rPr>
          <w:noProof/>
          <w:color w:val="000000"/>
        </w:rPr>
        <w:tab/>
        <w:t>Firth HV, Richards SM, Bevan AP et al. DECIPHER: database of chromosomal imbalance and phenotype in humans using ensembl resources, The Amer</w:t>
      </w:r>
      <w:r>
        <w:rPr>
          <w:noProof/>
          <w:color w:val="000000"/>
        </w:rPr>
        <w:t>ican Journal of Human Genetics 2009;84:524-533.</w:t>
      </w:r>
    </w:p>
    <w:p w:rsidR="00877997" w:rsidRDefault="00CB0676">
      <w:pPr>
        <w:pStyle w:val="EndNoteBibliography"/>
        <w:rPr>
          <w:color w:val="000000"/>
        </w:rPr>
      </w:pPr>
      <w:r>
        <w:rPr>
          <w:noProof/>
          <w:color w:val="000000"/>
        </w:rPr>
        <w:t>118.</w:t>
      </w:r>
      <w:r>
        <w:rPr>
          <w:noProof/>
          <w:color w:val="000000"/>
        </w:rPr>
        <w:tab/>
        <w:t>Manrai AK, Funke BH, Rehm HL et al. Genetic Misdiagnoses and the Potential for Health Disparities, New England Journal of Medicine 2016;375:655-665.</w:t>
      </w:r>
    </w:p>
    <w:p w:rsidR="00877997" w:rsidRDefault="00CB0676">
      <w:pPr>
        <w:pStyle w:val="EndNoteBibliography"/>
        <w:rPr>
          <w:color w:val="000000"/>
        </w:rPr>
      </w:pPr>
      <w:r>
        <w:rPr>
          <w:noProof/>
          <w:color w:val="000000"/>
        </w:rPr>
        <w:t>119.</w:t>
      </w:r>
      <w:r>
        <w:rPr>
          <w:noProof/>
          <w:color w:val="000000"/>
        </w:rPr>
        <w:tab/>
        <w:t xml:space="preserve">Lek M, Karczewski KJ, Minikel EV et al. Analysis </w:t>
      </w:r>
      <w:r>
        <w:rPr>
          <w:noProof/>
          <w:color w:val="000000"/>
        </w:rPr>
        <w:t>of protein-coding genetic variation in 60,706 humans, Nature 2016;536:285-291.</w:t>
      </w:r>
    </w:p>
    <w:p w:rsidR="00877997" w:rsidRDefault="00CB0676">
      <w:pPr>
        <w:pStyle w:val="EndNoteBibliography"/>
        <w:rPr>
          <w:color w:val="000000"/>
        </w:rPr>
      </w:pPr>
      <w:r>
        <w:rPr>
          <w:noProof/>
          <w:color w:val="000000"/>
        </w:rPr>
        <w:t>120.</w:t>
      </w:r>
      <w:r>
        <w:rPr>
          <w:noProof/>
          <w:color w:val="000000"/>
        </w:rPr>
        <w:tab/>
        <w:t>Shah N, Hou Y-CC, Yu H-C et al. Identification of misclassified ClinVar variants via disease population prevalence, The American Journal of Human Genetics 2018;102:609-619.</w:t>
      </w:r>
    </w:p>
    <w:p w:rsidR="00877997" w:rsidRDefault="00CB0676">
      <w:pPr>
        <w:pStyle w:val="EndNoteBibliography"/>
        <w:rPr>
          <w:color w:val="000000"/>
        </w:rPr>
      </w:pPr>
      <w:r>
        <w:rPr>
          <w:noProof/>
          <w:color w:val="000000"/>
        </w:rPr>
        <w:t>121.</w:t>
      </w:r>
      <w:r>
        <w:rPr>
          <w:noProof/>
          <w:color w:val="000000"/>
        </w:rPr>
        <w:tab/>
        <w:t>Wright CF, FitzPatrick DR, Firth HV. Paediatric genomics: diagnosing rare disease in children, Nature Reviews Genetics 2018;19:253.</w:t>
      </w:r>
    </w:p>
    <w:p w:rsidR="00877997" w:rsidRDefault="00CB0676">
      <w:pPr>
        <w:pStyle w:val="EndNoteBibliography"/>
        <w:rPr>
          <w:color w:val="000000"/>
        </w:rPr>
      </w:pPr>
      <w:r>
        <w:rPr>
          <w:noProof/>
          <w:color w:val="000000"/>
        </w:rPr>
        <w:t>122.</w:t>
      </w:r>
      <w:r>
        <w:rPr>
          <w:noProof/>
          <w:color w:val="000000"/>
        </w:rPr>
        <w:tab/>
        <w:t>Pengelly RJ, Vergara-Lope A, Alyousfi D et al. Understanding the disease genome: gene essentiality and the interp</w:t>
      </w:r>
      <w:r>
        <w:rPr>
          <w:noProof/>
          <w:color w:val="000000"/>
        </w:rPr>
        <w:t>lay of selection, recombination and mutation, Briefings in Bioinformatics 2017;20:267-273.</w:t>
      </w:r>
    </w:p>
    <w:p w:rsidR="00877997" w:rsidRDefault="00CB0676">
      <w:pPr>
        <w:pStyle w:val="EndNoteBibliography"/>
        <w:rPr>
          <w:color w:val="000000"/>
        </w:rPr>
      </w:pPr>
      <w:r>
        <w:rPr>
          <w:noProof/>
          <w:color w:val="000000"/>
        </w:rPr>
        <w:t>123.</w:t>
      </w:r>
      <w:r>
        <w:rPr>
          <w:noProof/>
          <w:color w:val="000000"/>
        </w:rPr>
        <w:tab/>
        <w:t>Philippakis AA, Azzariti DR, Beltran S et al. The Matchmaker Exchange: a platform for rare disease gene discovery, Human mutation 2015;36:915-921.</w:t>
      </w:r>
    </w:p>
    <w:p w:rsidR="00877997" w:rsidRDefault="00CB0676">
      <w:pPr>
        <w:pStyle w:val="EndNoteBibliography"/>
        <w:rPr>
          <w:color w:val="000000"/>
        </w:rPr>
      </w:pPr>
      <w:r>
        <w:rPr>
          <w:noProof/>
          <w:color w:val="000000"/>
        </w:rPr>
        <w:lastRenderedPageBreak/>
        <w:t>124.</w:t>
      </w:r>
      <w:r>
        <w:rPr>
          <w:noProof/>
          <w:color w:val="000000"/>
        </w:rPr>
        <w:tab/>
        <w:t>Stainier</w:t>
      </w:r>
      <w:r>
        <w:rPr>
          <w:noProof/>
          <w:color w:val="000000"/>
        </w:rPr>
        <w:t xml:space="preserve"> DYR, Raz E, Lawson ND et al. Guidelines for morpholino use in zebrafish, PLoS genetics 2017;13:e1007000-e1007000.</w:t>
      </w:r>
    </w:p>
    <w:p w:rsidR="00877997" w:rsidRDefault="00CB0676">
      <w:pPr>
        <w:pStyle w:val="EndNoteBibliography"/>
        <w:rPr>
          <w:color w:val="000000"/>
        </w:rPr>
      </w:pPr>
      <w:r>
        <w:rPr>
          <w:noProof/>
          <w:color w:val="000000"/>
        </w:rPr>
        <w:t>125.</w:t>
      </w:r>
      <w:r>
        <w:rPr>
          <w:noProof/>
          <w:color w:val="000000"/>
        </w:rPr>
        <w:tab/>
        <w:t>Nenni MJ, Fisher ME, James-Zorn C et al. Xenbase: facilitating the use of Xenopus to model human disease, Frontiers in physiology 2019;1</w:t>
      </w:r>
      <w:r>
        <w:rPr>
          <w:noProof/>
          <w:color w:val="000000"/>
        </w:rPr>
        <w:t>0:154.</w:t>
      </w:r>
    </w:p>
    <w:p w:rsidR="00877997" w:rsidRDefault="00CB0676">
      <w:pPr>
        <w:pStyle w:val="EndNoteBibliography"/>
        <w:rPr>
          <w:color w:val="000000"/>
        </w:rPr>
      </w:pPr>
      <w:r>
        <w:rPr>
          <w:noProof/>
          <w:color w:val="000000"/>
        </w:rPr>
        <w:t>126.</w:t>
      </w:r>
      <w:r>
        <w:rPr>
          <w:noProof/>
          <w:color w:val="000000"/>
        </w:rPr>
        <w:tab/>
        <w:t>Fujii M, Clevers H, Sato T. Modeling Human Digestive Diseases With CRISPR-Cas9–Modified Organoids, Gastroenterology 2019;156:562-576.</w:t>
      </w:r>
    </w:p>
    <w:p w:rsidR="00877997" w:rsidRDefault="00CB0676">
      <w:pPr>
        <w:pStyle w:val="EndNoteBibliography"/>
        <w:rPr>
          <w:color w:val="000000"/>
        </w:rPr>
      </w:pPr>
      <w:r>
        <w:rPr>
          <w:noProof/>
          <w:color w:val="000000"/>
        </w:rPr>
        <w:t>127.</w:t>
      </w:r>
      <w:r>
        <w:rPr>
          <w:noProof/>
          <w:color w:val="000000"/>
        </w:rPr>
        <w:tab/>
        <w:t>Perdigoto C. Mutations: dawn of the human knockout project, Nature Reviews Genetics 2017;18:328.</w:t>
      </w:r>
    </w:p>
    <w:p w:rsidR="00877997" w:rsidRDefault="00CB0676">
      <w:pPr>
        <w:pStyle w:val="EndNoteBibliography"/>
        <w:rPr>
          <w:color w:val="000000"/>
        </w:rPr>
      </w:pPr>
      <w:r>
        <w:rPr>
          <w:noProof/>
          <w:color w:val="000000"/>
        </w:rPr>
        <w:t>128.</w:t>
      </w:r>
      <w:r>
        <w:rPr>
          <w:noProof/>
          <w:color w:val="000000"/>
        </w:rPr>
        <w:tab/>
        <w:t>Sal</w:t>
      </w:r>
      <w:r>
        <w:rPr>
          <w:noProof/>
          <w:color w:val="000000"/>
        </w:rPr>
        <w:t>eheen D, Natarajan P, Armean IM et al. Human knockouts and phenotypic analysis in a cohort with a high rate of consanguinity, Nature 2017;544:235-239.</w:t>
      </w:r>
    </w:p>
    <w:p w:rsidR="00877997" w:rsidRDefault="00CB0676">
      <w:pPr>
        <w:pStyle w:val="EndNoteBibliography"/>
        <w:rPr>
          <w:color w:val="000000"/>
        </w:rPr>
      </w:pPr>
      <w:r>
        <w:rPr>
          <w:noProof/>
          <w:color w:val="000000"/>
        </w:rPr>
        <w:t>129.</w:t>
      </w:r>
      <w:r>
        <w:rPr>
          <w:noProof/>
          <w:color w:val="000000"/>
        </w:rPr>
        <w:tab/>
        <w:t>Abramovs N, Brass A, Tassabehji M. GeVIR is a continuous gene-level metric that uses variant distrib</w:t>
      </w:r>
      <w:r>
        <w:rPr>
          <w:noProof/>
          <w:color w:val="000000"/>
        </w:rPr>
        <w:t>ution patterns to prioritize disease candidate genes, Nature genetics 2020;52:35-39.</w:t>
      </w:r>
    </w:p>
    <w:p w:rsidR="00877997" w:rsidRDefault="00CB0676">
      <w:pPr>
        <w:pStyle w:val="EndNoteBibliography"/>
        <w:rPr>
          <w:color w:val="000000"/>
        </w:rPr>
      </w:pPr>
      <w:r>
        <w:rPr>
          <w:noProof/>
          <w:color w:val="000000"/>
        </w:rPr>
        <w:t>130.</w:t>
      </w:r>
      <w:r>
        <w:rPr>
          <w:noProof/>
          <w:color w:val="000000"/>
        </w:rPr>
        <w:tab/>
        <w:t>Turnbull C, Scott RH, Thomas E et al. The 100 000 Genomes Project: bringing whole genome sequencing to the NHS, Bmj 2018;361:k1687.</w:t>
      </w:r>
    </w:p>
    <w:p w:rsidR="00877997" w:rsidRDefault="00CB0676">
      <w:pPr>
        <w:pStyle w:val="EndNoteBibliography"/>
        <w:rPr>
          <w:color w:val="000000"/>
        </w:rPr>
      </w:pPr>
      <w:r>
        <w:rPr>
          <w:noProof/>
          <w:color w:val="000000"/>
        </w:rPr>
        <w:t>131.</w:t>
      </w:r>
      <w:r>
        <w:rPr>
          <w:noProof/>
          <w:color w:val="000000"/>
        </w:rPr>
        <w:tab/>
        <w:t>Kaye J. The tension between d</w:t>
      </w:r>
      <w:r>
        <w:rPr>
          <w:noProof/>
          <w:color w:val="000000"/>
        </w:rPr>
        <w:t>ata sharing and the protection of privacy in genomics research, Annual review of genomics and human genetics 2012;13:415-431.</w:t>
      </w:r>
    </w:p>
    <w:p w:rsidR="00877997" w:rsidRDefault="00CB0676">
      <w:pPr>
        <w:pStyle w:val="EndNoteBibliography"/>
        <w:rPr>
          <w:color w:val="000000"/>
        </w:rPr>
      </w:pPr>
      <w:r>
        <w:rPr>
          <w:noProof/>
          <w:color w:val="000000"/>
        </w:rPr>
        <w:t>132.</w:t>
      </w:r>
      <w:r>
        <w:rPr>
          <w:noProof/>
          <w:color w:val="000000"/>
        </w:rPr>
        <w:tab/>
        <w:t xml:space="preserve">Study TDDD, Fitzgerald T, Gerety S et al. Large-scale discovery of novel genetic causes of developmental disorders, </w:t>
      </w:r>
      <w:r>
        <w:rPr>
          <w:noProof/>
          <w:color w:val="000000"/>
        </w:rPr>
        <w:t>Nature 2015;519:223-228.</w:t>
      </w:r>
    </w:p>
    <w:p w:rsidR="00877997" w:rsidRDefault="00877997">
      <w:pPr>
        <w:rPr>
          <w:sz w:val="16"/>
          <w:szCs w:val="16"/>
        </w:rPr>
      </w:pPr>
    </w:p>
    <w:sectPr w:rsidR="008779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charset w:val="00"/>
    <w:family w:val="roman"/>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F0195"/>
    <w:multiLevelType w:val="hybridMultilevel"/>
    <w:tmpl w:val="9496BC7A"/>
    <w:lvl w:ilvl="0" w:tplc="EEB6665E">
      <w:start w:val="1"/>
      <w:numFmt w:val="bullet"/>
      <w:lvlText w:val="-"/>
      <w:lvlJc w:val="left"/>
      <w:pPr>
        <w:ind w:left="720" w:hanging="360"/>
      </w:pPr>
      <w:rPr>
        <w:rFonts w:ascii="Times New Roman" w:hAnsi="Times New Roman"/>
      </w:rPr>
    </w:lvl>
    <w:lvl w:ilvl="1" w:tplc="ABFEB42C">
      <w:start w:val="1"/>
      <w:numFmt w:val="bullet"/>
      <w:lvlText w:val="o"/>
      <w:lvlJc w:val="left"/>
      <w:pPr>
        <w:ind w:left="1440" w:hanging="360"/>
      </w:pPr>
      <w:rPr>
        <w:rFonts w:ascii="Courier New" w:hAnsi="Courier New"/>
      </w:rPr>
    </w:lvl>
    <w:lvl w:ilvl="2" w:tplc="92124DEA">
      <w:start w:val="1"/>
      <w:numFmt w:val="bullet"/>
      <w:lvlText w:val=""/>
      <w:lvlJc w:val="left"/>
      <w:pPr>
        <w:ind w:left="2160" w:hanging="360"/>
      </w:pPr>
      <w:rPr>
        <w:rFonts w:ascii="Wingdings" w:hAnsi="Wingdings"/>
      </w:rPr>
    </w:lvl>
    <w:lvl w:ilvl="3" w:tplc="9E8C0EA6">
      <w:start w:val="1"/>
      <w:numFmt w:val="bullet"/>
      <w:lvlText w:val=""/>
      <w:lvlJc w:val="left"/>
      <w:pPr>
        <w:ind w:left="2880" w:hanging="360"/>
      </w:pPr>
      <w:rPr>
        <w:rFonts w:ascii="Symbol" w:hAnsi="Symbol"/>
      </w:rPr>
    </w:lvl>
    <w:lvl w:ilvl="4" w:tplc="333CFB06">
      <w:start w:val="1"/>
      <w:numFmt w:val="bullet"/>
      <w:lvlText w:val="o"/>
      <w:lvlJc w:val="left"/>
      <w:pPr>
        <w:ind w:left="3600" w:hanging="360"/>
      </w:pPr>
      <w:rPr>
        <w:rFonts w:ascii="Courier New" w:hAnsi="Courier New"/>
      </w:rPr>
    </w:lvl>
    <w:lvl w:ilvl="5" w:tplc="B6B4C85E">
      <w:start w:val="1"/>
      <w:numFmt w:val="bullet"/>
      <w:lvlText w:val=""/>
      <w:lvlJc w:val="left"/>
      <w:pPr>
        <w:ind w:left="4320" w:hanging="360"/>
      </w:pPr>
      <w:rPr>
        <w:rFonts w:ascii="Wingdings" w:hAnsi="Wingdings"/>
      </w:rPr>
    </w:lvl>
    <w:lvl w:ilvl="6" w:tplc="3A52BE8E">
      <w:start w:val="1"/>
      <w:numFmt w:val="bullet"/>
      <w:lvlText w:val=""/>
      <w:lvlJc w:val="left"/>
      <w:pPr>
        <w:ind w:left="5040" w:hanging="360"/>
      </w:pPr>
      <w:rPr>
        <w:rFonts w:ascii="Symbol" w:hAnsi="Symbol"/>
      </w:rPr>
    </w:lvl>
    <w:lvl w:ilvl="7" w:tplc="BF9A201A">
      <w:start w:val="1"/>
      <w:numFmt w:val="bullet"/>
      <w:lvlText w:val="o"/>
      <w:lvlJc w:val="left"/>
      <w:pPr>
        <w:ind w:left="5760" w:hanging="360"/>
      </w:pPr>
      <w:rPr>
        <w:rFonts w:ascii="Courier New" w:hAnsi="Courier New"/>
      </w:rPr>
    </w:lvl>
    <w:lvl w:ilvl="8" w:tplc="F46EAA76">
      <w:start w:val="1"/>
      <w:numFmt w:val="bullet"/>
      <w:lvlText w:val=""/>
      <w:lvlJc w:val="left"/>
      <w:pPr>
        <w:ind w:left="6480" w:hanging="360"/>
      </w:pPr>
      <w:rPr>
        <w:rFonts w:ascii="Wingdings" w:hAnsi="Wingdings"/>
      </w:rPr>
    </w:lvl>
  </w:abstractNum>
  <w:abstractNum w:abstractNumId="1" w15:restartNumberingAfterBreak="0">
    <w:nsid w:val="212127DB"/>
    <w:multiLevelType w:val="hybridMultilevel"/>
    <w:tmpl w:val="1E0891BC"/>
    <w:lvl w:ilvl="0" w:tplc="E258063C">
      <w:start w:val="1"/>
      <w:numFmt w:val="decimal"/>
      <w:lvlText w:val="%1)"/>
      <w:lvlJc w:val="left"/>
      <w:pPr>
        <w:ind w:left="720" w:hanging="360"/>
      </w:pPr>
    </w:lvl>
    <w:lvl w:ilvl="1" w:tplc="A412BE60">
      <w:start w:val="1"/>
      <w:numFmt w:val="lowerLetter"/>
      <w:lvlText w:val="%2."/>
      <w:lvlJc w:val="left"/>
      <w:pPr>
        <w:ind w:left="1440" w:hanging="360"/>
      </w:pPr>
    </w:lvl>
    <w:lvl w:ilvl="2" w:tplc="21AE7554">
      <w:start w:val="1"/>
      <w:numFmt w:val="lowerRoman"/>
      <w:lvlText w:val="%3."/>
      <w:lvlJc w:val="right"/>
      <w:pPr>
        <w:ind w:left="2160" w:hanging="180"/>
      </w:pPr>
    </w:lvl>
    <w:lvl w:ilvl="3" w:tplc="89564FDA">
      <w:start w:val="1"/>
      <w:numFmt w:val="decimal"/>
      <w:lvlText w:val="%4."/>
      <w:lvlJc w:val="left"/>
      <w:pPr>
        <w:ind w:left="2880" w:hanging="360"/>
      </w:pPr>
    </w:lvl>
    <w:lvl w:ilvl="4" w:tplc="B4FEEEC0">
      <w:start w:val="1"/>
      <w:numFmt w:val="lowerLetter"/>
      <w:lvlText w:val="%5."/>
      <w:lvlJc w:val="left"/>
      <w:pPr>
        <w:ind w:left="3600" w:hanging="360"/>
      </w:pPr>
    </w:lvl>
    <w:lvl w:ilvl="5" w:tplc="DDF6AAB4">
      <w:start w:val="1"/>
      <w:numFmt w:val="lowerRoman"/>
      <w:lvlText w:val="%6."/>
      <w:lvlJc w:val="right"/>
      <w:pPr>
        <w:ind w:left="4320" w:hanging="180"/>
      </w:pPr>
    </w:lvl>
    <w:lvl w:ilvl="6" w:tplc="36E66D00">
      <w:start w:val="1"/>
      <w:numFmt w:val="decimal"/>
      <w:lvlText w:val="%7."/>
      <w:lvlJc w:val="left"/>
      <w:pPr>
        <w:ind w:left="5040" w:hanging="360"/>
      </w:pPr>
    </w:lvl>
    <w:lvl w:ilvl="7" w:tplc="250CAD7C">
      <w:start w:val="1"/>
      <w:numFmt w:val="lowerLetter"/>
      <w:lvlText w:val="%8."/>
      <w:lvlJc w:val="left"/>
      <w:pPr>
        <w:ind w:left="5760" w:hanging="360"/>
      </w:pPr>
    </w:lvl>
    <w:lvl w:ilvl="8" w:tplc="0E4013FA">
      <w:start w:val="1"/>
      <w:numFmt w:val="lowerRoman"/>
      <w:lvlText w:val="%9."/>
      <w:lvlJc w:val="right"/>
      <w:pPr>
        <w:ind w:left="6480" w:hanging="180"/>
      </w:pPr>
    </w:lvl>
  </w:abstractNum>
  <w:abstractNum w:abstractNumId="2" w15:restartNumberingAfterBreak="0">
    <w:nsid w:val="29887676"/>
    <w:multiLevelType w:val="hybridMultilevel"/>
    <w:tmpl w:val="BE02C9AC"/>
    <w:lvl w:ilvl="0" w:tplc="DCFA1DB4">
      <w:start w:val="1"/>
      <w:numFmt w:val="bullet"/>
      <w:lvlText w:val="○"/>
      <w:lvlJc w:val="left"/>
      <w:pPr>
        <w:tabs>
          <w:tab w:val="num" w:pos="720"/>
        </w:tabs>
        <w:ind w:left="720" w:hanging="360"/>
      </w:pPr>
      <w:rPr>
        <w:rFonts w:ascii="Arial" w:hAnsi="Arial"/>
      </w:rPr>
    </w:lvl>
    <w:lvl w:ilvl="1" w:tplc="F56E4112">
      <w:start w:val="1"/>
      <w:numFmt w:val="bullet"/>
      <w:lvlText w:val="○"/>
      <w:lvlJc w:val="left"/>
      <w:pPr>
        <w:tabs>
          <w:tab w:val="num" w:pos="1440"/>
        </w:tabs>
        <w:ind w:left="1440" w:hanging="360"/>
      </w:pPr>
      <w:rPr>
        <w:rFonts w:ascii="Arial" w:hAnsi="Arial"/>
      </w:rPr>
    </w:lvl>
    <w:lvl w:ilvl="2" w:tplc="DE3AF31A">
      <w:start w:val="1"/>
      <w:numFmt w:val="bullet"/>
      <w:lvlText w:val="○"/>
      <w:lvlJc w:val="left"/>
      <w:pPr>
        <w:tabs>
          <w:tab w:val="num" w:pos="2160"/>
        </w:tabs>
        <w:ind w:left="2160" w:hanging="360"/>
      </w:pPr>
      <w:rPr>
        <w:rFonts w:ascii="Arial" w:hAnsi="Arial"/>
      </w:rPr>
    </w:lvl>
    <w:lvl w:ilvl="3" w:tplc="C32025D2">
      <w:start w:val="1"/>
      <w:numFmt w:val="bullet"/>
      <w:lvlText w:val="○"/>
      <w:lvlJc w:val="left"/>
      <w:pPr>
        <w:tabs>
          <w:tab w:val="num" w:pos="2880"/>
        </w:tabs>
        <w:ind w:left="2880" w:hanging="360"/>
      </w:pPr>
      <w:rPr>
        <w:rFonts w:ascii="Arial" w:hAnsi="Arial"/>
      </w:rPr>
    </w:lvl>
    <w:lvl w:ilvl="4" w:tplc="4F525290">
      <w:start w:val="1"/>
      <w:numFmt w:val="bullet"/>
      <w:lvlText w:val="○"/>
      <w:lvlJc w:val="left"/>
      <w:pPr>
        <w:tabs>
          <w:tab w:val="num" w:pos="3600"/>
        </w:tabs>
        <w:ind w:left="3600" w:hanging="360"/>
      </w:pPr>
      <w:rPr>
        <w:rFonts w:ascii="Arial" w:hAnsi="Arial"/>
      </w:rPr>
    </w:lvl>
    <w:lvl w:ilvl="5" w:tplc="BE264CF4">
      <w:start w:val="1"/>
      <w:numFmt w:val="bullet"/>
      <w:lvlText w:val="○"/>
      <w:lvlJc w:val="left"/>
      <w:pPr>
        <w:tabs>
          <w:tab w:val="num" w:pos="4320"/>
        </w:tabs>
        <w:ind w:left="4320" w:hanging="360"/>
      </w:pPr>
      <w:rPr>
        <w:rFonts w:ascii="Arial" w:hAnsi="Arial"/>
      </w:rPr>
    </w:lvl>
    <w:lvl w:ilvl="6" w:tplc="8F72703E">
      <w:start w:val="1"/>
      <w:numFmt w:val="bullet"/>
      <w:lvlText w:val="○"/>
      <w:lvlJc w:val="left"/>
      <w:pPr>
        <w:tabs>
          <w:tab w:val="num" w:pos="5040"/>
        </w:tabs>
        <w:ind w:left="5040" w:hanging="360"/>
      </w:pPr>
      <w:rPr>
        <w:rFonts w:ascii="Arial" w:hAnsi="Arial"/>
      </w:rPr>
    </w:lvl>
    <w:lvl w:ilvl="7" w:tplc="54FCD0DC">
      <w:start w:val="1"/>
      <w:numFmt w:val="bullet"/>
      <w:lvlText w:val="○"/>
      <w:lvlJc w:val="left"/>
      <w:pPr>
        <w:tabs>
          <w:tab w:val="num" w:pos="5760"/>
        </w:tabs>
        <w:ind w:left="5760" w:hanging="360"/>
      </w:pPr>
      <w:rPr>
        <w:rFonts w:ascii="Arial" w:hAnsi="Arial"/>
      </w:rPr>
    </w:lvl>
    <w:lvl w:ilvl="8" w:tplc="FDFA1084">
      <w:start w:val="1"/>
      <w:numFmt w:val="bullet"/>
      <w:lvlText w:val="○"/>
      <w:lvlJc w:val="left"/>
      <w:pPr>
        <w:tabs>
          <w:tab w:val="num" w:pos="6480"/>
        </w:tabs>
        <w:ind w:left="6480" w:hanging="360"/>
      </w:pPr>
      <w:rPr>
        <w:rFonts w:ascii="Arial" w:hAnsi="Arial"/>
      </w:rPr>
    </w:lvl>
  </w:abstractNum>
  <w:abstractNum w:abstractNumId="3" w15:restartNumberingAfterBreak="0">
    <w:nsid w:val="417B4E47"/>
    <w:multiLevelType w:val="hybridMultilevel"/>
    <w:tmpl w:val="9D9E459C"/>
    <w:lvl w:ilvl="0" w:tplc="950C51C0">
      <w:start w:val="3"/>
      <w:numFmt w:val="bullet"/>
      <w:lvlText w:val="-"/>
      <w:lvlJc w:val="left"/>
      <w:pPr>
        <w:ind w:left="720" w:hanging="360"/>
      </w:pPr>
      <w:rPr>
        <w:rFonts w:ascii="Times New Roman" w:hAnsi="Times New Roman"/>
      </w:rPr>
    </w:lvl>
    <w:lvl w:ilvl="1" w:tplc="8AA8C4D0">
      <w:start w:val="1"/>
      <w:numFmt w:val="bullet"/>
      <w:lvlText w:val="o"/>
      <w:lvlJc w:val="left"/>
      <w:pPr>
        <w:ind w:left="1440" w:hanging="360"/>
      </w:pPr>
      <w:rPr>
        <w:rFonts w:ascii="Courier New" w:hAnsi="Courier New"/>
      </w:rPr>
    </w:lvl>
    <w:lvl w:ilvl="2" w:tplc="DC821E50">
      <w:start w:val="1"/>
      <w:numFmt w:val="bullet"/>
      <w:lvlText w:val=""/>
      <w:lvlJc w:val="left"/>
      <w:pPr>
        <w:ind w:left="2160" w:hanging="360"/>
      </w:pPr>
      <w:rPr>
        <w:rFonts w:ascii="Wingdings" w:hAnsi="Wingdings"/>
      </w:rPr>
    </w:lvl>
    <w:lvl w:ilvl="3" w:tplc="2D2A2594">
      <w:start w:val="1"/>
      <w:numFmt w:val="bullet"/>
      <w:lvlText w:val=""/>
      <w:lvlJc w:val="left"/>
      <w:pPr>
        <w:ind w:left="2880" w:hanging="360"/>
      </w:pPr>
      <w:rPr>
        <w:rFonts w:ascii="Symbol" w:hAnsi="Symbol"/>
      </w:rPr>
    </w:lvl>
    <w:lvl w:ilvl="4" w:tplc="17D22426">
      <w:start w:val="1"/>
      <w:numFmt w:val="bullet"/>
      <w:lvlText w:val="o"/>
      <w:lvlJc w:val="left"/>
      <w:pPr>
        <w:ind w:left="3600" w:hanging="360"/>
      </w:pPr>
      <w:rPr>
        <w:rFonts w:ascii="Courier New" w:hAnsi="Courier New"/>
      </w:rPr>
    </w:lvl>
    <w:lvl w:ilvl="5" w:tplc="20CE0B26">
      <w:start w:val="1"/>
      <w:numFmt w:val="bullet"/>
      <w:lvlText w:val=""/>
      <w:lvlJc w:val="left"/>
      <w:pPr>
        <w:ind w:left="4320" w:hanging="360"/>
      </w:pPr>
      <w:rPr>
        <w:rFonts w:ascii="Wingdings" w:hAnsi="Wingdings"/>
      </w:rPr>
    </w:lvl>
    <w:lvl w:ilvl="6" w:tplc="2418096A">
      <w:start w:val="1"/>
      <w:numFmt w:val="bullet"/>
      <w:lvlText w:val=""/>
      <w:lvlJc w:val="left"/>
      <w:pPr>
        <w:ind w:left="5040" w:hanging="360"/>
      </w:pPr>
      <w:rPr>
        <w:rFonts w:ascii="Symbol" w:hAnsi="Symbol"/>
      </w:rPr>
    </w:lvl>
    <w:lvl w:ilvl="7" w:tplc="83EA1486">
      <w:start w:val="1"/>
      <w:numFmt w:val="bullet"/>
      <w:lvlText w:val="o"/>
      <w:lvlJc w:val="left"/>
      <w:pPr>
        <w:ind w:left="5760" w:hanging="360"/>
      </w:pPr>
      <w:rPr>
        <w:rFonts w:ascii="Courier New" w:hAnsi="Courier New"/>
      </w:rPr>
    </w:lvl>
    <w:lvl w:ilvl="8" w:tplc="A8601C14">
      <w:start w:val="1"/>
      <w:numFmt w:val="bullet"/>
      <w:lvlText w:val=""/>
      <w:lvlJc w:val="left"/>
      <w:pPr>
        <w:ind w:left="6480" w:hanging="360"/>
      </w:pPr>
      <w:rPr>
        <w:rFonts w:ascii="Wingdings" w:hAnsi="Wingdings"/>
      </w:rPr>
    </w:lvl>
  </w:abstractNum>
  <w:abstractNum w:abstractNumId="4" w15:restartNumberingAfterBreak="0">
    <w:nsid w:val="4CCC6493"/>
    <w:multiLevelType w:val="hybridMultilevel"/>
    <w:tmpl w:val="15244936"/>
    <w:lvl w:ilvl="0" w:tplc="2794A222">
      <w:start w:val="1"/>
      <w:numFmt w:val="upperLetter"/>
      <w:lvlText w:val="(%1)"/>
      <w:lvlJc w:val="left"/>
      <w:pPr>
        <w:ind w:left="720" w:hanging="360"/>
      </w:pPr>
    </w:lvl>
    <w:lvl w:ilvl="1" w:tplc="772AEF32">
      <w:start w:val="1"/>
      <w:numFmt w:val="lowerLetter"/>
      <w:lvlText w:val="%2."/>
      <w:lvlJc w:val="left"/>
      <w:pPr>
        <w:ind w:left="1440" w:hanging="360"/>
      </w:pPr>
    </w:lvl>
    <w:lvl w:ilvl="2" w:tplc="EC40E2B0">
      <w:start w:val="1"/>
      <w:numFmt w:val="lowerRoman"/>
      <w:lvlText w:val="%3."/>
      <w:lvlJc w:val="right"/>
      <w:pPr>
        <w:ind w:left="2160" w:hanging="180"/>
      </w:pPr>
    </w:lvl>
    <w:lvl w:ilvl="3" w:tplc="1A84B9CE">
      <w:start w:val="1"/>
      <w:numFmt w:val="decimal"/>
      <w:lvlText w:val="%4."/>
      <w:lvlJc w:val="left"/>
      <w:pPr>
        <w:ind w:left="2880" w:hanging="360"/>
      </w:pPr>
    </w:lvl>
    <w:lvl w:ilvl="4" w:tplc="B290DD00">
      <w:start w:val="1"/>
      <w:numFmt w:val="lowerLetter"/>
      <w:lvlText w:val="%5."/>
      <w:lvlJc w:val="left"/>
      <w:pPr>
        <w:ind w:left="3600" w:hanging="360"/>
      </w:pPr>
    </w:lvl>
    <w:lvl w:ilvl="5" w:tplc="0D782512">
      <w:start w:val="1"/>
      <w:numFmt w:val="lowerRoman"/>
      <w:lvlText w:val="%6."/>
      <w:lvlJc w:val="right"/>
      <w:pPr>
        <w:ind w:left="4320" w:hanging="180"/>
      </w:pPr>
    </w:lvl>
    <w:lvl w:ilvl="6" w:tplc="7568B48A">
      <w:start w:val="1"/>
      <w:numFmt w:val="decimal"/>
      <w:lvlText w:val="%7."/>
      <w:lvlJc w:val="left"/>
      <w:pPr>
        <w:ind w:left="5040" w:hanging="360"/>
      </w:pPr>
    </w:lvl>
    <w:lvl w:ilvl="7" w:tplc="7F5E9E8E">
      <w:start w:val="1"/>
      <w:numFmt w:val="lowerLetter"/>
      <w:lvlText w:val="%8."/>
      <w:lvlJc w:val="left"/>
      <w:pPr>
        <w:ind w:left="5760" w:hanging="360"/>
      </w:pPr>
    </w:lvl>
    <w:lvl w:ilvl="8" w:tplc="5C7EA9BE">
      <w:start w:val="1"/>
      <w:numFmt w:val="lowerRoman"/>
      <w:lvlText w:val="%9."/>
      <w:lvlJc w:val="right"/>
      <w:pPr>
        <w:ind w:left="6480" w:hanging="180"/>
      </w:pPr>
    </w:lvl>
  </w:abstractNum>
  <w:abstractNum w:abstractNumId="5" w15:restartNumberingAfterBreak="0">
    <w:nsid w:val="51E03342"/>
    <w:multiLevelType w:val="hybridMultilevel"/>
    <w:tmpl w:val="00000001"/>
    <w:lvl w:ilvl="0" w:tplc="FB48BBBC">
      <w:start w:val="1"/>
      <w:numFmt w:val="bullet"/>
      <w:lvlText w:val="⁃"/>
      <w:lvlJc w:val="left"/>
      <w:pPr>
        <w:ind w:left="720" w:hanging="360"/>
      </w:pPr>
    </w:lvl>
    <w:lvl w:ilvl="1" w:tplc="C2082C78">
      <w:numFmt w:val="decimal"/>
      <w:lvlText w:val=""/>
      <w:lvlJc w:val="left"/>
    </w:lvl>
    <w:lvl w:ilvl="2" w:tplc="69FA12F6">
      <w:numFmt w:val="decimal"/>
      <w:lvlText w:val=""/>
      <w:lvlJc w:val="left"/>
    </w:lvl>
    <w:lvl w:ilvl="3" w:tplc="CD04BC2C">
      <w:numFmt w:val="decimal"/>
      <w:lvlText w:val=""/>
      <w:lvlJc w:val="left"/>
    </w:lvl>
    <w:lvl w:ilvl="4" w:tplc="952A12B4">
      <w:numFmt w:val="decimal"/>
      <w:lvlText w:val=""/>
      <w:lvlJc w:val="left"/>
    </w:lvl>
    <w:lvl w:ilvl="5" w:tplc="E042DE0A">
      <w:numFmt w:val="decimal"/>
      <w:lvlText w:val=""/>
      <w:lvlJc w:val="left"/>
    </w:lvl>
    <w:lvl w:ilvl="6" w:tplc="CCEAB622">
      <w:numFmt w:val="decimal"/>
      <w:lvlText w:val=""/>
      <w:lvlJc w:val="left"/>
    </w:lvl>
    <w:lvl w:ilvl="7" w:tplc="CC72A4FA">
      <w:numFmt w:val="decimal"/>
      <w:lvlText w:val=""/>
      <w:lvlJc w:val="left"/>
    </w:lvl>
    <w:lvl w:ilvl="8" w:tplc="918875F0">
      <w:numFmt w:val="decimal"/>
      <w:lvlText w:val=""/>
      <w:lvlJc w:val="left"/>
    </w:lvl>
  </w:abstractNum>
  <w:abstractNum w:abstractNumId="6" w15:restartNumberingAfterBreak="0">
    <w:nsid w:val="5492199F"/>
    <w:multiLevelType w:val="hybridMultilevel"/>
    <w:tmpl w:val="25A45E5E"/>
    <w:lvl w:ilvl="0" w:tplc="C3B6C3CA">
      <w:start w:val="1"/>
      <w:numFmt w:val="bullet"/>
      <w:lvlText w:val="-"/>
      <w:lvlJc w:val="left"/>
      <w:pPr>
        <w:ind w:left="720" w:hanging="360"/>
      </w:pPr>
      <w:rPr>
        <w:rFonts w:ascii="Times New Roman" w:hAnsi="Times New Roman"/>
      </w:rPr>
    </w:lvl>
    <w:lvl w:ilvl="1" w:tplc="B3CACA02">
      <w:start w:val="1"/>
      <w:numFmt w:val="bullet"/>
      <w:lvlText w:val="o"/>
      <w:lvlJc w:val="left"/>
      <w:pPr>
        <w:ind w:left="1440" w:hanging="360"/>
      </w:pPr>
      <w:rPr>
        <w:rFonts w:ascii="Courier New" w:hAnsi="Courier New"/>
      </w:rPr>
    </w:lvl>
    <w:lvl w:ilvl="2" w:tplc="435A600C">
      <w:start w:val="1"/>
      <w:numFmt w:val="bullet"/>
      <w:lvlText w:val=""/>
      <w:lvlJc w:val="left"/>
      <w:pPr>
        <w:ind w:left="2160" w:hanging="360"/>
      </w:pPr>
      <w:rPr>
        <w:rFonts w:ascii="Wingdings" w:hAnsi="Wingdings"/>
      </w:rPr>
    </w:lvl>
    <w:lvl w:ilvl="3" w:tplc="3740F5C6">
      <w:start w:val="1"/>
      <w:numFmt w:val="bullet"/>
      <w:lvlText w:val=""/>
      <w:lvlJc w:val="left"/>
      <w:pPr>
        <w:ind w:left="2880" w:hanging="360"/>
      </w:pPr>
      <w:rPr>
        <w:rFonts w:ascii="Symbol" w:hAnsi="Symbol"/>
      </w:rPr>
    </w:lvl>
    <w:lvl w:ilvl="4" w:tplc="4BA8EAD0">
      <w:start w:val="1"/>
      <w:numFmt w:val="bullet"/>
      <w:lvlText w:val="o"/>
      <w:lvlJc w:val="left"/>
      <w:pPr>
        <w:ind w:left="3600" w:hanging="360"/>
      </w:pPr>
      <w:rPr>
        <w:rFonts w:ascii="Courier New" w:hAnsi="Courier New"/>
      </w:rPr>
    </w:lvl>
    <w:lvl w:ilvl="5" w:tplc="BFA221E4">
      <w:start w:val="1"/>
      <w:numFmt w:val="bullet"/>
      <w:lvlText w:val=""/>
      <w:lvlJc w:val="left"/>
      <w:pPr>
        <w:ind w:left="4320" w:hanging="360"/>
      </w:pPr>
      <w:rPr>
        <w:rFonts w:ascii="Wingdings" w:hAnsi="Wingdings"/>
      </w:rPr>
    </w:lvl>
    <w:lvl w:ilvl="6" w:tplc="8B025DC0">
      <w:start w:val="1"/>
      <w:numFmt w:val="bullet"/>
      <w:lvlText w:val=""/>
      <w:lvlJc w:val="left"/>
      <w:pPr>
        <w:ind w:left="5040" w:hanging="360"/>
      </w:pPr>
      <w:rPr>
        <w:rFonts w:ascii="Symbol" w:hAnsi="Symbol"/>
      </w:rPr>
    </w:lvl>
    <w:lvl w:ilvl="7" w:tplc="1F263FAC">
      <w:start w:val="1"/>
      <w:numFmt w:val="bullet"/>
      <w:lvlText w:val="o"/>
      <w:lvlJc w:val="left"/>
      <w:pPr>
        <w:ind w:left="5760" w:hanging="360"/>
      </w:pPr>
      <w:rPr>
        <w:rFonts w:ascii="Courier New" w:hAnsi="Courier New"/>
      </w:rPr>
    </w:lvl>
    <w:lvl w:ilvl="8" w:tplc="0366C512">
      <w:start w:val="1"/>
      <w:numFmt w:val="bullet"/>
      <w:lvlText w:val=""/>
      <w:lvlJc w:val="left"/>
      <w:pPr>
        <w:ind w:left="6480" w:hanging="360"/>
      </w:pPr>
      <w:rPr>
        <w:rFonts w:ascii="Wingdings" w:hAnsi="Wingdings"/>
      </w:rPr>
    </w:lvl>
  </w:abstractNum>
  <w:abstractNum w:abstractNumId="7" w15:restartNumberingAfterBreak="0">
    <w:nsid w:val="6C7A507E"/>
    <w:multiLevelType w:val="hybridMultilevel"/>
    <w:tmpl w:val="00000002"/>
    <w:lvl w:ilvl="0" w:tplc="B81471AE">
      <w:start w:val="1"/>
      <w:numFmt w:val="bullet"/>
      <w:lvlText w:val="⁃"/>
      <w:lvlJc w:val="left"/>
      <w:pPr>
        <w:ind w:left="720" w:hanging="360"/>
      </w:pPr>
    </w:lvl>
    <w:lvl w:ilvl="1" w:tplc="B4D4C548">
      <w:numFmt w:val="decimal"/>
      <w:lvlText w:val=""/>
      <w:lvlJc w:val="left"/>
    </w:lvl>
    <w:lvl w:ilvl="2" w:tplc="DBEA46B2">
      <w:numFmt w:val="decimal"/>
      <w:lvlText w:val=""/>
      <w:lvlJc w:val="left"/>
    </w:lvl>
    <w:lvl w:ilvl="3" w:tplc="9B185730">
      <w:numFmt w:val="decimal"/>
      <w:lvlText w:val=""/>
      <w:lvlJc w:val="left"/>
    </w:lvl>
    <w:lvl w:ilvl="4" w:tplc="5ED0E210">
      <w:numFmt w:val="decimal"/>
      <w:lvlText w:val=""/>
      <w:lvlJc w:val="left"/>
    </w:lvl>
    <w:lvl w:ilvl="5" w:tplc="308CD986">
      <w:numFmt w:val="decimal"/>
      <w:lvlText w:val=""/>
      <w:lvlJc w:val="left"/>
    </w:lvl>
    <w:lvl w:ilvl="6" w:tplc="643A7DAE">
      <w:numFmt w:val="decimal"/>
      <w:lvlText w:val=""/>
      <w:lvlJc w:val="left"/>
    </w:lvl>
    <w:lvl w:ilvl="7" w:tplc="15D60D5A">
      <w:numFmt w:val="decimal"/>
      <w:lvlText w:val=""/>
      <w:lvlJc w:val="left"/>
    </w:lvl>
    <w:lvl w:ilvl="8" w:tplc="8F403298">
      <w:numFmt w:val="decimal"/>
      <w:lvlText w:val=""/>
      <w:lvlJc w:val="left"/>
    </w:lvl>
  </w:abstractNum>
  <w:abstractNum w:abstractNumId="8" w15:restartNumberingAfterBreak="0">
    <w:nsid w:val="74C03BFF"/>
    <w:multiLevelType w:val="hybridMultilevel"/>
    <w:tmpl w:val="B782AAB0"/>
    <w:lvl w:ilvl="0" w:tplc="20303DBC">
      <w:start w:val="1"/>
      <w:numFmt w:val="bullet"/>
      <w:lvlText w:val="-"/>
      <w:lvlJc w:val="left"/>
      <w:pPr>
        <w:ind w:left="720" w:hanging="360"/>
      </w:pPr>
      <w:rPr>
        <w:rFonts w:ascii="Times New Roman" w:hAnsi="Times New Roman"/>
      </w:rPr>
    </w:lvl>
    <w:lvl w:ilvl="1" w:tplc="CFDCD1A8">
      <w:start w:val="1"/>
      <w:numFmt w:val="bullet"/>
      <w:lvlText w:val="o"/>
      <w:lvlJc w:val="left"/>
      <w:pPr>
        <w:ind w:left="1440" w:hanging="360"/>
      </w:pPr>
      <w:rPr>
        <w:rFonts w:ascii="Courier New" w:hAnsi="Courier New"/>
      </w:rPr>
    </w:lvl>
    <w:lvl w:ilvl="2" w:tplc="97A4DABE">
      <w:start w:val="1"/>
      <w:numFmt w:val="bullet"/>
      <w:lvlText w:val=""/>
      <w:lvlJc w:val="left"/>
      <w:pPr>
        <w:ind w:left="2160" w:hanging="360"/>
      </w:pPr>
      <w:rPr>
        <w:rFonts w:ascii="Wingdings" w:hAnsi="Wingdings"/>
      </w:rPr>
    </w:lvl>
    <w:lvl w:ilvl="3" w:tplc="23386D52">
      <w:start w:val="1"/>
      <w:numFmt w:val="bullet"/>
      <w:lvlText w:val=""/>
      <w:lvlJc w:val="left"/>
      <w:pPr>
        <w:ind w:left="2880" w:hanging="360"/>
      </w:pPr>
      <w:rPr>
        <w:rFonts w:ascii="Symbol" w:hAnsi="Symbol"/>
      </w:rPr>
    </w:lvl>
    <w:lvl w:ilvl="4" w:tplc="7DD2503E">
      <w:start w:val="1"/>
      <w:numFmt w:val="bullet"/>
      <w:lvlText w:val="o"/>
      <w:lvlJc w:val="left"/>
      <w:pPr>
        <w:ind w:left="3600" w:hanging="360"/>
      </w:pPr>
      <w:rPr>
        <w:rFonts w:ascii="Courier New" w:hAnsi="Courier New"/>
      </w:rPr>
    </w:lvl>
    <w:lvl w:ilvl="5" w:tplc="BCC43200">
      <w:start w:val="1"/>
      <w:numFmt w:val="bullet"/>
      <w:lvlText w:val=""/>
      <w:lvlJc w:val="left"/>
      <w:pPr>
        <w:ind w:left="4320" w:hanging="360"/>
      </w:pPr>
      <w:rPr>
        <w:rFonts w:ascii="Wingdings" w:hAnsi="Wingdings"/>
      </w:rPr>
    </w:lvl>
    <w:lvl w:ilvl="6" w:tplc="B09266CE">
      <w:start w:val="1"/>
      <w:numFmt w:val="bullet"/>
      <w:lvlText w:val=""/>
      <w:lvlJc w:val="left"/>
      <w:pPr>
        <w:ind w:left="5040" w:hanging="360"/>
      </w:pPr>
      <w:rPr>
        <w:rFonts w:ascii="Symbol" w:hAnsi="Symbol"/>
      </w:rPr>
    </w:lvl>
    <w:lvl w:ilvl="7" w:tplc="4FBE9EE6">
      <w:start w:val="1"/>
      <w:numFmt w:val="bullet"/>
      <w:lvlText w:val="o"/>
      <w:lvlJc w:val="left"/>
      <w:pPr>
        <w:ind w:left="5760" w:hanging="360"/>
      </w:pPr>
      <w:rPr>
        <w:rFonts w:ascii="Courier New" w:hAnsi="Courier New"/>
      </w:rPr>
    </w:lvl>
    <w:lvl w:ilvl="8" w:tplc="766EBFE0">
      <w:start w:val="1"/>
      <w:numFmt w:val="bullet"/>
      <w:lvlText w:val=""/>
      <w:lvlJc w:val="left"/>
      <w:pPr>
        <w:ind w:left="6480" w:hanging="360"/>
      </w:pPr>
      <w:rPr>
        <w:rFonts w:ascii="Wingdings" w:hAnsi="Wingdings"/>
      </w:rPr>
    </w:lvl>
  </w:abstractNum>
  <w:abstractNum w:abstractNumId="9" w15:restartNumberingAfterBreak="0">
    <w:nsid w:val="7ECA5807"/>
    <w:multiLevelType w:val="hybridMultilevel"/>
    <w:tmpl w:val="1A82567C"/>
    <w:lvl w:ilvl="0" w:tplc="77B032A8">
      <w:start w:val="1"/>
      <w:numFmt w:val="bullet"/>
      <w:lvlText w:val="-"/>
      <w:lvlJc w:val="left"/>
      <w:pPr>
        <w:ind w:left="720" w:hanging="360"/>
      </w:pPr>
      <w:rPr>
        <w:rFonts w:ascii="Times New Roman" w:hAnsi="Times New Roman"/>
      </w:rPr>
    </w:lvl>
    <w:lvl w:ilvl="1" w:tplc="D5D86BC2">
      <w:start w:val="1"/>
      <w:numFmt w:val="bullet"/>
      <w:lvlText w:val="o"/>
      <w:lvlJc w:val="left"/>
      <w:pPr>
        <w:ind w:left="1440" w:hanging="360"/>
      </w:pPr>
      <w:rPr>
        <w:rFonts w:ascii="Courier New" w:hAnsi="Courier New"/>
      </w:rPr>
    </w:lvl>
    <w:lvl w:ilvl="2" w:tplc="7D2A5A0C">
      <w:start w:val="1"/>
      <w:numFmt w:val="bullet"/>
      <w:lvlText w:val=""/>
      <w:lvlJc w:val="left"/>
      <w:pPr>
        <w:ind w:left="2160" w:hanging="360"/>
      </w:pPr>
      <w:rPr>
        <w:rFonts w:ascii="Wingdings" w:hAnsi="Wingdings"/>
      </w:rPr>
    </w:lvl>
    <w:lvl w:ilvl="3" w:tplc="19DA2678">
      <w:start w:val="1"/>
      <w:numFmt w:val="bullet"/>
      <w:lvlText w:val=""/>
      <w:lvlJc w:val="left"/>
      <w:pPr>
        <w:ind w:left="2880" w:hanging="360"/>
      </w:pPr>
      <w:rPr>
        <w:rFonts w:ascii="Symbol" w:hAnsi="Symbol"/>
      </w:rPr>
    </w:lvl>
    <w:lvl w:ilvl="4" w:tplc="3DFC50A2">
      <w:start w:val="1"/>
      <w:numFmt w:val="bullet"/>
      <w:lvlText w:val="o"/>
      <w:lvlJc w:val="left"/>
      <w:pPr>
        <w:ind w:left="3600" w:hanging="360"/>
      </w:pPr>
      <w:rPr>
        <w:rFonts w:ascii="Courier New" w:hAnsi="Courier New"/>
      </w:rPr>
    </w:lvl>
    <w:lvl w:ilvl="5" w:tplc="EA5E9570">
      <w:start w:val="1"/>
      <w:numFmt w:val="bullet"/>
      <w:lvlText w:val=""/>
      <w:lvlJc w:val="left"/>
      <w:pPr>
        <w:ind w:left="4320" w:hanging="360"/>
      </w:pPr>
      <w:rPr>
        <w:rFonts w:ascii="Wingdings" w:hAnsi="Wingdings"/>
      </w:rPr>
    </w:lvl>
    <w:lvl w:ilvl="6" w:tplc="6F3834EC">
      <w:start w:val="1"/>
      <w:numFmt w:val="bullet"/>
      <w:lvlText w:val=""/>
      <w:lvlJc w:val="left"/>
      <w:pPr>
        <w:ind w:left="5040" w:hanging="360"/>
      </w:pPr>
      <w:rPr>
        <w:rFonts w:ascii="Symbol" w:hAnsi="Symbol"/>
      </w:rPr>
    </w:lvl>
    <w:lvl w:ilvl="7" w:tplc="8FA8A846">
      <w:start w:val="1"/>
      <w:numFmt w:val="bullet"/>
      <w:lvlText w:val="o"/>
      <w:lvlJc w:val="left"/>
      <w:pPr>
        <w:ind w:left="5760" w:hanging="360"/>
      </w:pPr>
      <w:rPr>
        <w:rFonts w:ascii="Courier New" w:hAnsi="Courier New"/>
      </w:rPr>
    </w:lvl>
    <w:lvl w:ilvl="8" w:tplc="2B2CAF2E">
      <w:start w:val="1"/>
      <w:numFmt w:val="bullet"/>
      <w:lvlText w:val=""/>
      <w:lvlJc w:val="left"/>
      <w:pPr>
        <w:ind w:left="6480" w:hanging="360"/>
      </w:pPr>
      <w:rPr>
        <w:rFonts w:ascii="Wingdings" w:hAnsi="Wingdings"/>
      </w:rPr>
    </w:lvl>
  </w:abstractNum>
  <w:num w:numId="1">
    <w:abstractNumId w:val="5"/>
  </w:num>
  <w:num w:numId="2">
    <w:abstractNumId w:val="7"/>
  </w:num>
  <w:num w:numId="3">
    <w:abstractNumId w:val="6"/>
  </w:num>
  <w:num w:numId="4">
    <w:abstractNumId w:val="2"/>
  </w:num>
  <w:num w:numId="5">
    <w:abstractNumId w:val="8"/>
  </w:num>
  <w:num w:numId="6">
    <w:abstractNumId w:val="9"/>
  </w:num>
  <w:num w:numId="7">
    <w:abstractNumId w:val="4"/>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efings Functional Genom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vstffei2ze5sew5fwxp0dq9zxs5pvvsxpv&quot;&gt;My EndNote Library&lt;record-ids&gt;&lt;item&gt;1&lt;/item&gt;&lt;item&gt;2&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70&lt;/item&gt;&lt;item&gt;71&lt;/item&gt;&lt;item&gt;72&lt;/item&gt;&lt;item&gt;73&lt;/item&gt;&lt;item&gt;74&lt;/item&gt;&lt;item&gt;75&lt;/item&gt;&lt;item&gt;76&lt;/item&gt;&lt;item&gt;77&lt;/item&gt;&lt;item&gt;79&lt;/item&gt;&lt;item&gt;80&lt;/item&gt;&lt;item&gt;82&lt;/item&gt;&lt;item&gt;83&lt;/item&gt;&lt;item&gt;84&lt;/item&gt;&lt;item&gt;85&lt;/item&gt;&lt;item&gt;86&lt;/item&gt;&lt;item&gt;87&lt;/item&gt;&lt;item&gt;88&lt;/item&gt;&lt;item&gt;89&lt;/item&gt;&lt;item&gt;91&lt;/item&gt;&lt;item&gt;92&lt;/item&gt;&lt;item&gt;93&lt;/item&gt;&lt;item&gt;94&lt;/item&gt;&lt;item&gt;95&lt;/item&gt;&lt;item&gt;96&lt;/item&gt;&lt;item&gt;97&lt;/item&gt;&lt;item&gt;98&lt;/item&gt;&lt;item&gt;100&lt;/item&gt;&lt;item&gt;102&lt;/item&gt;&lt;item&gt;105&lt;/item&gt;&lt;item&gt;106&lt;/item&gt;&lt;item&gt;107&lt;/item&gt;&lt;item&gt;108&lt;/item&gt;&lt;item&gt;109&lt;/item&gt;&lt;item&gt;110&lt;/item&gt;&lt;item&gt;111&lt;/item&gt;&lt;item&gt;112&lt;/item&gt;&lt;item&gt;113&lt;/item&gt;&lt;item&gt;114&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40&lt;/item&gt;&lt;item&gt;141&lt;/item&gt;&lt;item&gt;142&lt;/item&gt;&lt;item&gt;143&lt;/item&gt;&lt;item&gt;144&lt;/item&gt;&lt;item&gt;145&lt;/item&gt;&lt;item&gt;146&lt;/item&gt;&lt;item&gt;147&lt;/item&gt;&lt;/record-ids&gt;&lt;/item&gt;&lt;/Libraries&gt;"/>
  </w:docVars>
  <w:rsids>
    <w:rsidRoot w:val="00C7023F"/>
    <w:rsid w:val="00001C61"/>
    <w:rsid w:val="00011EF0"/>
    <w:rsid w:val="000228FA"/>
    <w:rsid w:val="00022A7C"/>
    <w:rsid w:val="0002768B"/>
    <w:rsid w:val="000375FB"/>
    <w:rsid w:val="000431E2"/>
    <w:rsid w:val="00044566"/>
    <w:rsid w:val="00046F66"/>
    <w:rsid w:val="000474CC"/>
    <w:rsid w:val="00047833"/>
    <w:rsid w:val="00060770"/>
    <w:rsid w:val="00067E5B"/>
    <w:rsid w:val="000731C5"/>
    <w:rsid w:val="00076836"/>
    <w:rsid w:val="00090480"/>
    <w:rsid w:val="00090482"/>
    <w:rsid w:val="000908CA"/>
    <w:rsid w:val="00092588"/>
    <w:rsid w:val="000925BF"/>
    <w:rsid w:val="000A0316"/>
    <w:rsid w:val="000A60AA"/>
    <w:rsid w:val="000A7A11"/>
    <w:rsid w:val="000A7FE4"/>
    <w:rsid w:val="000B183B"/>
    <w:rsid w:val="000B1BC6"/>
    <w:rsid w:val="000B5DAA"/>
    <w:rsid w:val="000B5FA0"/>
    <w:rsid w:val="000C5DE8"/>
    <w:rsid w:val="000D2863"/>
    <w:rsid w:val="000D52E9"/>
    <w:rsid w:val="000D58F1"/>
    <w:rsid w:val="000D7062"/>
    <w:rsid w:val="000E18E9"/>
    <w:rsid w:val="000F7AA6"/>
    <w:rsid w:val="00100764"/>
    <w:rsid w:val="00101081"/>
    <w:rsid w:val="001010A9"/>
    <w:rsid w:val="00102674"/>
    <w:rsid w:val="00104C5D"/>
    <w:rsid w:val="00111627"/>
    <w:rsid w:val="0011314F"/>
    <w:rsid w:val="001137D5"/>
    <w:rsid w:val="0011541F"/>
    <w:rsid w:val="001202D8"/>
    <w:rsid w:val="001235ED"/>
    <w:rsid w:val="001275E1"/>
    <w:rsid w:val="00133E1F"/>
    <w:rsid w:val="00136A0F"/>
    <w:rsid w:val="00141864"/>
    <w:rsid w:val="001423FF"/>
    <w:rsid w:val="0014416F"/>
    <w:rsid w:val="00145897"/>
    <w:rsid w:val="00152C38"/>
    <w:rsid w:val="001556B9"/>
    <w:rsid w:val="00155C6A"/>
    <w:rsid w:val="00165A8C"/>
    <w:rsid w:val="00165BCE"/>
    <w:rsid w:val="00166716"/>
    <w:rsid w:val="001679E7"/>
    <w:rsid w:val="00174EFA"/>
    <w:rsid w:val="00176966"/>
    <w:rsid w:val="0017772F"/>
    <w:rsid w:val="001803CF"/>
    <w:rsid w:val="00186E54"/>
    <w:rsid w:val="001902EC"/>
    <w:rsid w:val="00190BE3"/>
    <w:rsid w:val="00191911"/>
    <w:rsid w:val="0019294F"/>
    <w:rsid w:val="00194086"/>
    <w:rsid w:val="001A4F50"/>
    <w:rsid w:val="001B4F16"/>
    <w:rsid w:val="001B5254"/>
    <w:rsid w:val="001B6420"/>
    <w:rsid w:val="001B696D"/>
    <w:rsid w:val="001B69E1"/>
    <w:rsid w:val="001C35DD"/>
    <w:rsid w:val="001C374B"/>
    <w:rsid w:val="001C4767"/>
    <w:rsid w:val="001D0DD8"/>
    <w:rsid w:val="001D5620"/>
    <w:rsid w:val="001E064D"/>
    <w:rsid w:val="001E51B0"/>
    <w:rsid w:val="001F1A3D"/>
    <w:rsid w:val="001F6447"/>
    <w:rsid w:val="001F784A"/>
    <w:rsid w:val="00203386"/>
    <w:rsid w:val="00205560"/>
    <w:rsid w:val="00207134"/>
    <w:rsid w:val="002076F2"/>
    <w:rsid w:val="00210C41"/>
    <w:rsid w:val="00211F1A"/>
    <w:rsid w:val="00212DBF"/>
    <w:rsid w:val="00213AE4"/>
    <w:rsid w:val="00220BAB"/>
    <w:rsid w:val="00220D0B"/>
    <w:rsid w:val="00220E95"/>
    <w:rsid w:val="00226E64"/>
    <w:rsid w:val="002317AD"/>
    <w:rsid w:val="002320A1"/>
    <w:rsid w:val="0023308C"/>
    <w:rsid w:val="00237FF1"/>
    <w:rsid w:val="00241311"/>
    <w:rsid w:val="00244005"/>
    <w:rsid w:val="00247ABE"/>
    <w:rsid w:val="00251BC6"/>
    <w:rsid w:val="00255B47"/>
    <w:rsid w:val="002563C7"/>
    <w:rsid w:val="00256A53"/>
    <w:rsid w:val="00263349"/>
    <w:rsid w:val="00264924"/>
    <w:rsid w:val="002755D5"/>
    <w:rsid w:val="002770EA"/>
    <w:rsid w:val="00277E85"/>
    <w:rsid w:val="002818E7"/>
    <w:rsid w:val="002819A8"/>
    <w:rsid w:val="00281F0D"/>
    <w:rsid w:val="002878CB"/>
    <w:rsid w:val="00291F53"/>
    <w:rsid w:val="00296920"/>
    <w:rsid w:val="002A1000"/>
    <w:rsid w:val="002A647C"/>
    <w:rsid w:val="002B1030"/>
    <w:rsid w:val="002B7B28"/>
    <w:rsid w:val="002B7BC6"/>
    <w:rsid w:val="002C3679"/>
    <w:rsid w:val="002D33AD"/>
    <w:rsid w:val="002D44D2"/>
    <w:rsid w:val="002E6058"/>
    <w:rsid w:val="002F069B"/>
    <w:rsid w:val="002F6067"/>
    <w:rsid w:val="003031AA"/>
    <w:rsid w:val="00303D6E"/>
    <w:rsid w:val="0030608C"/>
    <w:rsid w:val="00312898"/>
    <w:rsid w:val="00324D13"/>
    <w:rsid w:val="003350D8"/>
    <w:rsid w:val="00341643"/>
    <w:rsid w:val="00345FCA"/>
    <w:rsid w:val="00347317"/>
    <w:rsid w:val="003478B0"/>
    <w:rsid w:val="003506B6"/>
    <w:rsid w:val="0035324E"/>
    <w:rsid w:val="00354D9B"/>
    <w:rsid w:val="003608E3"/>
    <w:rsid w:val="00361C25"/>
    <w:rsid w:val="0036454B"/>
    <w:rsid w:val="0036584A"/>
    <w:rsid w:val="00365AC7"/>
    <w:rsid w:val="00366A66"/>
    <w:rsid w:val="003672A3"/>
    <w:rsid w:val="00375FF4"/>
    <w:rsid w:val="0038361B"/>
    <w:rsid w:val="003857E0"/>
    <w:rsid w:val="003875FE"/>
    <w:rsid w:val="00387782"/>
    <w:rsid w:val="003878B5"/>
    <w:rsid w:val="003911F4"/>
    <w:rsid w:val="0039487E"/>
    <w:rsid w:val="00394A3F"/>
    <w:rsid w:val="00396850"/>
    <w:rsid w:val="003A3520"/>
    <w:rsid w:val="003A5049"/>
    <w:rsid w:val="003A5FCA"/>
    <w:rsid w:val="003B4F94"/>
    <w:rsid w:val="003B6542"/>
    <w:rsid w:val="003C145F"/>
    <w:rsid w:val="003C1C05"/>
    <w:rsid w:val="003C534A"/>
    <w:rsid w:val="003C67F9"/>
    <w:rsid w:val="003C7BB6"/>
    <w:rsid w:val="003D0392"/>
    <w:rsid w:val="003D0D30"/>
    <w:rsid w:val="003D1615"/>
    <w:rsid w:val="003D302E"/>
    <w:rsid w:val="003E5668"/>
    <w:rsid w:val="003E5A2F"/>
    <w:rsid w:val="003E7AC2"/>
    <w:rsid w:val="003F0796"/>
    <w:rsid w:val="003F172C"/>
    <w:rsid w:val="003F283E"/>
    <w:rsid w:val="003F54C2"/>
    <w:rsid w:val="003F5978"/>
    <w:rsid w:val="003F70DB"/>
    <w:rsid w:val="00400BE4"/>
    <w:rsid w:val="00402AB8"/>
    <w:rsid w:val="00404B23"/>
    <w:rsid w:val="004147E5"/>
    <w:rsid w:val="00415A4A"/>
    <w:rsid w:val="00431169"/>
    <w:rsid w:val="00434404"/>
    <w:rsid w:val="004417B2"/>
    <w:rsid w:val="00445DE1"/>
    <w:rsid w:val="00456125"/>
    <w:rsid w:val="00461D70"/>
    <w:rsid w:val="00462236"/>
    <w:rsid w:val="00464E91"/>
    <w:rsid w:val="00466B4A"/>
    <w:rsid w:val="004761D9"/>
    <w:rsid w:val="0048309C"/>
    <w:rsid w:val="004837E1"/>
    <w:rsid w:val="00483BCE"/>
    <w:rsid w:val="004842FB"/>
    <w:rsid w:val="004903C0"/>
    <w:rsid w:val="00492825"/>
    <w:rsid w:val="0049676F"/>
    <w:rsid w:val="004A7848"/>
    <w:rsid w:val="004B246F"/>
    <w:rsid w:val="004B4558"/>
    <w:rsid w:val="004C0C93"/>
    <w:rsid w:val="004C24F3"/>
    <w:rsid w:val="004C4E7D"/>
    <w:rsid w:val="004C5E05"/>
    <w:rsid w:val="004C692F"/>
    <w:rsid w:val="004D189B"/>
    <w:rsid w:val="004D5AC9"/>
    <w:rsid w:val="004E1303"/>
    <w:rsid w:val="004E2294"/>
    <w:rsid w:val="004E5AAC"/>
    <w:rsid w:val="004F2761"/>
    <w:rsid w:val="004F6B18"/>
    <w:rsid w:val="00502E53"/>
    <w:rsid w:val="00505C40"/>
    <w:rsid w:val="0051171F"/>
    <w:rsid w:val="00522428"/>
    <w:rsid w:val="005258CA"/>
    <w:rsid w:val="0053004F"/>
    <w:rsid w:val="0053170B"/>
    <w:rsid w:val="005335C6"/>
    <w:rsid w:val="00533D57"/>
    <w:rsid w:val="00536E9B"/>
    <w:rsid w:val="005371F9"/>
    <w:rsid w:val="005405FD"/>
    <w:rsid w:val="00546B57"/>
    <w:rsid w:val="0057333B"/>
    <w:rsid w:val="005734C0"/>
    <w:rsid w:val="00574EED"/>
    <w:rsid w:val="005828B1"/>
    <w:rsid w:val="005838E2"/>
    <w:rsid w:val="0059011D"/>
    <w:rsid w:val="00590393"/>
    <w:rsid w:val="00592E49"/>
    <w:rsid w:val="005951C7"/>
    <w:rsid w:val="00596397"/>
    <w:rsid w:val="00597676"/>
    <w:rsid w:val="005A09F6"/>
    <w:rsid w:val="005A3FAC"/>
    <w:rsid w:val="005A593E"/>
    <w:rsid w:val="005A7637"/>
    <w:rsid w:val="005B3CE0"/>
    <w:rsid w:val="005B4316"/>
    <w:rsid w:val="005C012D"/>
    <w:rsid w:val="005C1859"/>
    <w:rsid w:val="005C5BB4"/>
    <w:rsid w:val="005C729B"/>
    <w:rsid w:val="005D0458"/>
    <w:rsid w:val="005D3607"/>
    <w:rsid w:val="005D40B3"/>
    <w:rsid w:val="005D5B9A"/>
    <w:rsid w:val="005D6752"/>
    <w:rsid w:val="005D7F78"/>
    <w:rsid w:val="005E04B9"/>
    <w:rsid w:val="005E1424"/>
    <w:rsid w:val="005E48E9"/>
    <w:rsid w:val="005E5B48"/>
    <w:rsid w:val="005F2E3D"/>
    <w:rsid w:val="005F5A5C"/>
    <w:rsid w:val="00604D60"/>
    <w:rsid w:val="00604FAF"/>
    <w:rsid w:val="00606606"/>
    <w:rsid w:val="006105B7"/>
    <w:rsid w:val="006126EE"/>
    <w:rsid w:val="00614B16"/>
    <w:rsid w:val="006277E4"/>
    <w:rsid w:val="00631A35"/>
    <w:rsid w:val="00634F64"/>
    <w:rsid w:val="0064258E"/>
    <w:rsid w:val="00643E99"/>
    <w:rsid w:val="00655901"/>
    <w:rsid w:val="00661750"/>
    <w:rsid w:val="00663DE4"/>
    <w:rsid w:val="00667BB1"/>
    <w:rsid w:val="006751B2"/>
    <w:rsid w:val="00675EDE"/>
    <w:rsid w:val="00676A5D"/>
    <w:rsid w:val="00677451"/>
    <w:rsid w:val="00677EDB"/>
    <w:rsid w:val="00686D2E"/>
    <w:rsid w:val="00693DA0"/>
    <w:rsid w:val="00697C26"/>
    <w:rsid w:val="006A1642"/>
    <w:rsid w:val="006A3FB7"/>
    <w:rsid w:val="006B05C9"/>
    <w:rsid w:val="006B11E9"/>
    <w:rsid w:val="006B3B3A"/>
    <w:rsid w:val="006C4D46"/>
    <w:rsid w:val="006D1FE4"/>
    <w:rsid w:val="006D2EC0"/>
    <w:rsid w:val="006D3F73"/>
    <w:rsid w:val="006D5CCF"/>
    <w:rsid w:val="006E1F86"/>
    <w:rsid w:val="006E6F01"/>
    <w:rsid w:val="006E7A1A"/>
    <w:rsid w:val="006F0CC0"/>
    <w:rsid w:val="006F10DB"/>
    <w:rsid w:val="0070427B"/>
    <w:rsid w:val="00705806"/>
    <w:rsid w:val="00705F84"/>
    <w:rsid w:val="007135C5"/>
    <w:rsid w:val="007148E4"/>
    <w:rsid w:val="00717535"/>
    <w:rsid w:val="00720088"/>
    <w:rsid w:val="00721754"/>
    <w:rsid w:val="00721FDB"/>
    <w:rsid w:val="007310B9"/>
    <w:rsid w:val="00732D57"/>
    <w:rsid w:val="00733656"/>
    <w:rsid w:val="00733D6E"/>
    <w:rsid w:val="00741B70"/>
    <w:rsid w:val="00746467"/>
    <w:rsid w:val="00747D61"/>
    <w:rsid w:val="007514EB"/>
    <w:rsid w:val="00752B65"/>
    <w:rsid w:val="00754981"/>
    <w:rsid w:val="00754D0E"/>
    <w:rsid w:val="00754E80"/>
    <w:rsid w:val="00755C0E"/>
    <w:rsid w:val="007572F1"/>
    <w:rsid w:val="007573A9"/>
    <w:rsid w:val="0076053F"/>
    <w:rsid w:val="00760A3E"/>
    <w:rsid w:val="00765F0E"/>
    <w:rsid w:val="007712DD"/>
    <w:rsid w:val="00774E96"/>
    <w:rsid w:val="00775BD9"/>
    <w:rsid w:val="007816D5"/>
    <w:rsid w:val="00782D0A"/>
    <w:rsid w:val="007836B8"/>
    <w:rsid w:val="00786869"/>
    <w:rsid w:val="007949A0"/>
    <w:rsid w:val="00795037"/>
    <w:rsid w:val="00795237"/>
    <w:rsid w:val="007A004B"/>
    <w:rsid w:val="007A00D7"/>
    <w:rsid w:val="007A297F"/>
    <w:rsid w:val="007A7AA5"/>
    <w:rsid w:val="007B1B94"/>
    <w:rsid w:val="007B7AE4"/>
    <w:rsid w:val="007C35D9"/>
    <w:rsid w:val="007C3C39"/>
    <w:rsid w:val="007C7902"/>
    <w:rsid w:val="007D160D"/>
    <w:rsid w:val="007D64B0"/>
    <w:rsid w:val="007D64E3"/>
    <w:rsid w:val="007E022C"/>
    <w:rsid w:val="007E2112"/>
    <w:rsid w:val="007F213C"/>
    <w:rsid w:val="00800D42"/>
    <w:rsid w:val="00802B89"/>
    <w:rsid w:val="008120C7"/>
    <w:rsid w:val="00812378"/>
    <w:rsid w:val="0081307C"/>
    <w:rsid w:val="00814153"/>
    <w:rsid w:val="00817A2B"/>
    <w:rsid w:val="008208B2"/>
    <w:rsid w:val="00820B26"/>
    <w:rsid w:val="0083472F"/>
    <w:rsid w:val="0083632F"/>
    <w:rsid w:val="0084455E"/>
    <w:rsid w:val="00845132"/>
    <w:rsid w:val="0084716E"/>
    <w:rsid w:val="00854A03"/>
    <w:rsid w:val="0085501C"/>
    <w:rsid w:val="008606F1"/>
    <w:rsid w:val="00861F0F"/>
    <w:rsid w:val="00863393"/>
    <w:rsid w:val="00864ACE"/>
    <w:rsid w:val="00865307"/>
    <w:rsid w:val="0086567D"/>
    <w:rsid w:val="00865736"/>
    <w:rsid w:val="00867416"/>
    <w:rsid w:val="00867801"/>
    <w:rsid w:val="00874A93"/>
    <w:rsid w:val="00874F39"/>
    <w:rsid w:val="008752A7"/>
    <w:rsid w:val="00875785"/>
    <w:rsid w:val="0087702D"/>
    <w:rsid w:val="008777F2"/>
    <w:rsid w:val="00877997"/>
    <w:rsid w:val="008836FC"/>
    <w:rsid w:val="00884D46"/>
    <w:rsid w:val="00892883"/>
    <w:rsid w:val="008A0794"/>
    <w:rsid w:val="008A7C29"/>
    <w:rsid w:val="008B1B51"/>
    <w:rsid w:val="008B3955"/>
    <w:rsid w:val="008C5FD0"/>
    <w:rsid w:val="008C75F0"/>
    <w:rsid w:val="008D32F8"/>
    <w:rsid w:val="008F15B2"/>
    <w:rsid w:val="008F2471"/>
    <w:rsid w:val="00900CAB"/>
    <w:rsid w:val="009020E8"/>
    <w:rsid w:val="009045B7"/>
    <w:rsid w:val="00906CCA"/>
    <w:rsid w:val="00906DD4"/>
    <w:rsid w:val="009102A7"/>
    <w:rsid w:val="0091039D"/>
    <w:rsid w:val="00912E04"/>
    <w:rsid w:val="0091516D"/>
    <w:rsid w:val="0091613E"/>
    <w:rsid w:val="009166B9"/>
    <w:rsid w:val="00922024"/>
    <w:rsid w:val="009404DF"/>
    <w:rsid w:val="00940DCF"/>
    <w:rsid w:val="00943525"/>
    <w:rsid w:val="00951FED"/>
    <w:rsid w:val="00953190"/>
    <w:rsid w:val="009621B1"/>
    <w:rsid w:val="0096492B"/>
    <w:rsid w:val="009778A2"/>
    <w:rsid w:val="00981C4F"/>
    <w:rsid w:val="00985CB9"/>
    <w:rsid w:val="0098778B"/>
    <w:rsid w:val="00992F2F"/>
    <w:rsid w:val="009A07DF"/>
    <w:rsid w:val="009A1A7C"/>
    <w:rsid w:val="009A2706"/>
    <w:rsid w:val="009A363C"/>
    <w:rsid w:val="009A5C20"/>
    <w:rsid w:val="009B0477"/>
    <w:rsid w:val="009B0AC8"/>
    <w:rsid w:val="009B14D1"/>
    <w:rsid w:val="009B247F"/>
    <w:rsid w:val="009B3F6C"/>
    <w:rsid w:val="009B52E5"/>
    <w:rsid w:val="009B61BA"/>
    <w:rsid w:val="009C055C"/>
    <w:rsid w:val="009C2795"/>
    <w:rsid w:val="009D4ED4"/>
    <w:rsid w:val="009D6726"/>
    <w:rsid w:val="009E086C"/>
    <w:rsid w:val="009E1FA9"/>
    <w:rsid w:val="009E49AC"/>
    <w:rsid w:val="009E7B8C"/>
    <w:rsid w:val="009E7E19"/>
    <w:rsid w:val="009F0118"/>
    <w:rsid w:val="009F1064"/>
    <w:rsid w:val="009F1473"/>
    <w:rsid w:val="009F255C"/>
    <w:rsid w:val="009F3D5E"/>
    <w:rsid w:val="00A0070B"/>
    <w:rsid w:val="00A024A3"/>
    <w:rsid w:val="00A0332C"/>
    <w:rsid w:val="00A15FD2"/>
    <w:rsid w:val="00A21D1E"/>
    <w:rsid w:val="00A24D4B"/>
    <w:rsid w:val="00A25798"/>
    <w:rsid w:val="00A25E9E"/>
    <w:rsid w:val="00A27FCE"/>
    <w:rsid w:val="00A35697"/>
    <w:rsid w:val="00A360AC"/>
    <w:rsid w:val="00A44209"/>
    <w:rsid w:val="00A5118A"/>
    <w:rsid w:val="00A56F6C"/>
    <w:rsid w:val="00A63AA0"/>
    <w:rsid w:val="00A63F6F"/>
    <w:rsid w:val="00A65A89"/>
    <w:rsid w:val="00A65AC2"/>
    <w:rsid w:val="00A666D7"/>
    <w:rsid w:val="00A66A3E"/>
    <w:rsid w:val="00A66B4E"/>
    <w:rsid w:val="00A771DC"/>
    <w:rsid w:val="00A817AC"/>
    <w:rsid w:val="00A83CAF"/>
    <w:rsid w:val="00A9152F"/>
    <w:rsid w:val="00A95E6B"/>
    <w:rsid w:val="00AA0AA8"/>
    <w:rsid w:val="00AA0D50"/>
    <w:rsid w:val="00AA31D1"/>
    <w:rsid w:val="00AB165E"/>
    <w:rsid w:val="00AB3303"/>
    <w:rsid w:val="00AB5B7F"/>
    <w:rsid w:val="00AC05B1"/>
    <w:rsid w:val="00AC1470"/>
    <w:rsid w:val="00AC7B9D"/>
    <w:rsid w:val="00AD14B2"/>
    <w:rsid w:val="00AD7000"/>
    <w:rsid w:val="00AE37F0"/>
    <w:rsid w:val="00AE5ACB"/>
    <w:rsid w:val="00AF32FD"/>
    <w:rsid w:val="00AF38FC"/>
    <w:rsid w:val="00B02063"/>
    <w:rsid w:val="00B0272E"/>
    <w:rsid w:val="00B072FD"/>
    <w:rsid w:val="00B11A8E"/>
    <w:rsid w:val="00B30EB8"/>
    <w:rsid w:val="00B3747B"/>
    <w:rsid w:val="00B37C56"/>
    <w:rsid w:val="00B37F20"/>
    <w:rsid w:val="00B40A64"/>
    <w:rsid w:val="00B4176F"/>
    <w:rsid w:val="00B422B9"/>
    <w:rsid w:val="00B468F4"/>
    <w:rsid w:val="00B46959"/>
    <w:rsid w:val="00B46C2E"/>
    <w:rsid w:val="00B521EE"/>
    <w:rsid w:val="00B52D74"/>
    <w:rsid w:val="00B540FA"/>
    <w:rsid w:val="00B54AD9"/>
    <w:rsid w:val="00B57248"/>
    <w:rsid w:val="00B66A8F"/>
    <w:rsid w:val="00B715BC"/>
    <w:rsid w:val="00B7348A"/>
    <w:rsid w:val="00B74FFE"/>
    <w:rsid w:val="00B766C8"/>
    <w:rsid w:val="00B826C6"/>
    <w:rsid w:val="00B90AB0"/>
    <w:rsid w:val="00B91070"/>
    <w:rsid w:val="00B91B32"/>
    <w:rsid w:val="00B92742"/>
    <w:rsid w:val="00B93B2D"/>
    <w:rsid w:val="00B9566F"/>
    <w:rsid w:val="00B9583F"/>
    <w:rsid w:val="00BA4F2E"/>
    <w:rsid w:val="00BA6280"/>
    <w:rsid w:val="00BB3331"/>
    <w:rsid w:val="00BC132B"/>
    <w:rsid w:val="00BC2F41"/>
    <w:rsid w:val="00BC437D"/>
    <w:rsid w:val="00BC683E"/>
    <w:rsid w:val="00BC6CB2"/>
    <w:rsid w:val="00BD302F"/>
    <w:rsid w:val="00BD43F6"/>
    <w:rsid w:val="00BD489F"/>
    <w:rsid w:val="00BD5E71"/>
    <w:rsid w:val="00BD63CD"/>
    <w:rsid w:val="00BE51D3"/>
    <w:rsid w:val="00BE774D"/>
    <w:rsid w:val="00BF55B5"/>
    <w:rsid w:val="00C04BAD"/>
    <w:rsid w:val="00C05952"/>
    <w:rsid w:val="00C06979"/>
    <w:rsid w:val="00C0784C"/>
    <w:rsid w:val="00C10276"/>
    <w:rsid w:val="00C11093"/>
    <w:rsid w:val="00C11D72"/>
    <w:rsid w:val="00C1358F"/>
    <w:rsid w:val="00C15045"/>
    <w:rsid w:val="00C17384"/>
    <w:rsid w:val="00C23B02"/>
    <w:rsid w:val="00C23D62"/>
    <w:rsid w:val="00C23F08"/>
    <w:rsid w:val="00C26218"/>
    <w:rsid w:val="00C26E1B"/>
    <w:rsid w:val="00C277BC"/>
    <w:rsid w:val="00C31385"/>
    <w:rsid w:val="00C3239E"/>
    <w:rsid w:val="00C325E4"/>
    <w:rsid w:val="00C40CA8"/>
    <w:rsid w:val="00C44185"/>
    <w:rsid w:val="00C51BCF"/>
    <w:rsid w:val="00C5306D"/>
    <w:rsid w:val="00C535CA"/>
    <w:rsid w:val="00C53E89"/>
    <w:rsid w:val="00C57728"/>
    <w:rsid w:val="00C62061"/>
    <w:rsid w:val="00C62F0D"/>
    <w:rsid w:val="00C64378"/>
    <w:rsid w:val="00C65508"/>
    <w:rsid w:val="00C65515"/>
    <w:rsid w:val="00C66DB0"/>
    <w:rsid w:val="00C7023F"/>
    <w:rsid w:val="00C70A05"/>
    <w:rsid w:val="00C71CEB"/>
    <w:rsid w:val="00C72E51"/>
    <w:rsid w:val="00C749AC"/>
    <w:rsid w:val="00C7796A"/>
    <w:rsid w:val="00C84F22"/>
    <w:rsid w:val="00C85F57"/>
    <w:rsid w:val="00C91695"/>
    <w:rsid w:val="00C95152"/>
    <w:rsid w:val="00C95818"/>
    <w:rsid w:val="00C95E6D"/>
    <w:rsid w:val="00C96D5D"/>
    <w:rsid w:val="00CA306A"/>
    <w:rsid w:val="00CA32CF"/>
    <w:rsid w:val="00CA4329"/>
    <w:rsid w:val="00CB0676"/>
    <w:rsid w:val="00CB3FC8"/>
    <w:rsid w:val="00CB43BE"/>
    <w:rsid w:val="00CB601D"/>
    <w:rsid w:val="00CB63E8"/>
    <w:rsid w:val="00CC20D8"/>
    <w:rsid w:val="00CC385A"/>
    <w:rsid w:val="00CC5D79"/>
    <w:rsid w:val="00CC675A"/>
    <w:rsid w:val="00CC7C94"/>
    <w:rsid w:val="00CD118C"/>
    <w:rsid w:val="00CD1E34"/>
    <w:rsid w:val="00CD4126"/>
    <w:rsid w:val="00CD4F85"/>
    <w:rsid w:val="00CD5DB1"/>
    <w:rsid w:val="00CE0788"/>
    <w:rsid w:val="00CE68F6"/>
    <w:rsid w:val="00CF5780"/>
    <w:rsid w:val="00D0313F"/>
    <w:rsid w:val="00D07C26"/>
    <w:rsid w:val="00D13D63"/>
    <w:rsid w:val="00D13F36"/>
    <w:rsid w:val="00D14F52"/>
    <w:rsid w:val="00D24A86"/>
    <w:rsid w:val="00D3145B"/>
    <w:rsid w:val="00D31468"/>
    <w:rsid w:val="00D34486"/>
    <w:rsid w:val="00D40F75"/>
    <w:rsid w:val="00D505DF"/>
    <w:rsid w:val="00D506F8"/>
    <w:rsid w:val="00D54DCD"/>
    <w:rsid w:val="00D55D77"/>
    <w:rsid w:val="00D605CD"/>
    <w:rsid w:val="00D62A96"/>
    <w:rsid w:val="00D67140"/>
    <w:rsid w:val="00D74CD9"/>
    <w:rsid w:val="00D76E07"/>
    <w:rsid w:val="00D82EC6"/>
    <w:rsid w:val="00D85110"/>
    <w:rsid w:val="00D8560E"/>
    <w:rsid w:val="00D865A1"/>
    <w:rsid w:val="00D92CE0"/>
    <w:rsid w:val="00D93E69"/>
    <w:rsid w:val="00D94939"/>
    <w:rsid w:val="00D97779"/>
    <w:rsid w:val="00DA0A0B"/>
    <w:rsid w:val="00DA353E"/>
    <w:rsid w:val="00DA7A08"/>
    <w:rsid w:val="00DB15B9"/>
    <w:rsid w:val="00DB36FA"/>
    <w:rsid w:val="00DB448B"/>
    <w:rsid w:val="00DB70F1"/>
    <w:rsid w:val="00DC31C0"/>
    <w:rsid w:val="00DC721D"/>
    <w:rsid w:val="00DD07A7"/>
    <w:rsid w:val="00DD41E4"/>
    <w:rsid w:val="00DD4D8D"/>
    <w:rsid w:val="00DE459E"/>
    <w:rsid w:val="00DF17F5"/>
    <w:rsid w:val="00DF4370"/>
    <w:rsid w:val="00DF59AE"/>
    <w:rsid w:val="00DF76EF"/>
    <w:rsid w:val="00E05522"/>
    <w:rsid w:val="00E07EDB"/>
    <w:rsid w:val="00E12B83"/>
    <w:rsid w:val="00E22347"/>
    <w:rsid w:val="00E2504E"/>
    <w:rsid w:val="00E2761D"/>
    <w:rsid w:val="00E330A4"/>
    <w:rsid w:val="00E42382"/>
    <w:rsid w:val="00E47031"/>
    <w:rsid w:val="00E60117"/>
    <w:rsid w:val="00E7462F"/>
    <w:rsid w:val="00E80015"/>
    <w:rsid w:val="00E80692"/>
    <w:rsid w:val="00E8115C"/>
    <w:rsid w:val="00E86E04"/>
    <w:rsid w:val="00E9172E"/>
    <w:rsid w:val="00E9185C"/>
    <w:rsid w:val="00E92976"/>
    <w:rsid w:val="00E932C2"/>
    <w:rsid w:val="00E94901"/>
    <w:rsid w:val="00E96C32"/>
    <w:rsid w:val="00EA09B7"/>
    <w:rsid w:val="00EA2156"/>
    <w:rsid w:val="00EA2E6A"/>
    <w:rsid w:val="00EA38C8"/>
    <w:rsid w:val="00EB6B79"/>
    <w:rsid w:val="00EB7AB2"/>
    <w:rsid w:val="00EB7BC7"/>
    <w:rsid w:val="00EC52EF"/>
    <w:rsid w:val="00ED241D"/>
    <w:rsid w:val="00ED4172"/>
    <w:rsid w:val="00ED4D3F"/>
    <w:rsid w:val="00EF069C"/>
    <w:rsid w:val="00EF1FE3"/>
    <w:rsid w:val="00EF39C0"/>
    <w:rsid w:val="00EF44C2"/>
    <w:rsid w:val="00F0063D"/>
    <w:rsid w:val="00F02370"/>
    <w:rsid w:val="00F0340D"/>
    <w:rsid w:val="00F05F4F"/>
    <w:rsid w:val="00F1025C"/>
    <w:rsid w:val="00F1279B"/>
    <w:rsid w:val="00F12A20"/>
    <w:rsid w:val="00F14BC3"/>
    <w:rsid w:val="00F161F0"/>
    <w:rsid w:val="00F1742A"/>
    <w:rsid w:val="00F32BB6"/>
    <w:rsid w:val="00F32BD2"/>
    <w:rsid w:val="00F36A1C"/>
    <w:rsid w:val="00F37810"/>
    <w:rsid w:val="00F50930"/>
    <w:rsid w:val="00F517EA"/>
    <w:rsid w:val="00F542EC"/>
    <w:rsid w:val="00F56DDC"/>
    <w:rsid w:val="00F6089D"/>
    <w:rsid w:val="00F617A1"/>
    <w:rsid w:val="00F73EEF"/>
    <w:rsid w:val="00F804D3"/>
    <w:rsid w:val="00F81A8E"/>
    <w:rsid w:val="00F8365F"/>
    <w:rsid w:val="00FA3772"/>
    <w:rsid w:val="00FA5AEA"/>
    <w:rsid w:val="00FC1260"/>
    <w:rsid w:val="00FC7B17"/>
    <w:rsid w:val="00FE656B"/>
    <w:rsid w:val="00FF109C"/>
    <w:rsid w:val="00FF10A1"/>
    <w:rsid w:val="00FF5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0CAB55-8AEA-4C8A-BA7D-9A56BACB4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7779"/>
    <w:rPr>
      <w:rFonts w:ascii="Times New Roman" w:eastAsia="Times New Roman" w:hAnsi="Times New Roman" w:cs="Times New Roman"/>
    </w:rPr>
  </w:style>
  <w:style w:type="paragraph" w:styleId="Heading1">
    <w:name w:val="heading 1"/>
    <w:basedOn w:val="Normal"/>
    <w:next w:val="Normal"/>
    <w:link w:val="Heading1Char"/>
    <w:uiPriority w:val="9"/>
    <w:qFormat/>
    <w:rsid w:val="002F60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A004B"/>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DA7A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3656"/>
    <w:pPr>
      <w:ind w:left="720"/>
      <w:contextualSpacing/>
    </w:pPr>
  </w:style>
  <w:style w:type="paragraph" w:styleId="NormalWeb">
    <w:name w:val="Normal (Web)"/>
    <w:basedOn w:val="Normal"/>
    <w:uiPriority w:val="99"/>
    <w:unhideWhenUsed/>
    <w:rsid w:val="00111627"/>
    <w:pPr>
      <w:spacing w:before="100" w:beforeAutospacing="1" w:after="100" w:afterAutospacing="1"/>
    </w:pPr>
  </w:style>
  <w:style w:type="character" w:styleId="Emphasis">
    <w:name w:val="Emphasis"/>
    <w:basedOn w:val="DefaultParagraphFont"/>
    <w:uiPriority w:val="20"/>
    <w:qFormat/>
    <w:rsid w:val="00D8560E"/>
    <w:rPr>
      <w:i/>
      <w:iCs/>
    </w:rPr>
  </w:style>
  <w:style w:type="character" w:customStyle="1" w:styleId="Heading3Char">
    <w:name w:val="Heading 3 Char"/>
    <w:basedOn w:val="DefaultParagraphFont"/>
    <w:link w:val="Heading3"/>
    <w:uiPriority w:val="9"/>
    <w:rsid w:val="007A004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7A004B"/>
    <w:rPr>
      <w:color w:val="0000FF"/>
      <w:u w:val="single"/>
    </w:rPr>
  </w:style>
  <w:style w:type="table" w:styleId="TableGrid">
    <w:name w:val="Table Grid"/>
    <w:basedOn w:val="TableNormal"/>
    <w:uiPriority w:val="39"/>
    <w:rsid w:val="00CB4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39C0"/>
    <w:rPr>
      <w:color w:val="954F72" w:themeColor="followedHyperlink"/>
      <w:u w:val="single"/>
    </w:rPr>
  </w:style>
  <w:style w:type="character" w:customStyle="1" w:styleId="Heading1Char">
    <w:name w:val="Heading 1 Char"/>
    <w:basedOn w:val="DefaultParagraphFont"/>
    <w:link w:val="Heading1"/>
    <w:uiPriority w:val="9"/>
    <w:rsid w:val="002F6067"/>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1F6447"/>
    <w:rPr>
      <w:sz w:val="16"/>
      <w:szCs w:val="16"/>
    </w:rPr>
  </w:style>
  <w:style w:type="paragraph" w:styleId="CommentText">
    <w:name w:val="annotation text"/>
    <w:basedOn w:val="Normal"/>
    <w:link w:val="CommentTextChar"/>
    <w:uiPriority w:val="99"/>
    <w:unhideWhenUsed/>
    <w:rsid w:val="001F6447"/>
    <w:rPr>
      <w:sz w:val="20"/>
      <w:szCs w:val="20"/>
    </w:rPr>
  </w:style>
  <w:style w:type="character" w:customStyle="1" w:styleId="CommentTextChar">
    <w:name w:val="Comment Text Char"/>
    <w:basedOn w:val="DefaultParagraphFont"/>
    <w:link w:val="CommentText"/>
    <w:uiPriority w:val="99"/>
    <w:rsid w:val="001F64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6447"/>
    <w:rPr>
      <w:b/>
      <w:bCs/>
    </w:rPr>
  </w:style>
  <w:style w:type="character" w:customStyle="1" w:styleId="CommentSubjectChar">
    <w:name w:val="Comment Subject Char"/>
    <w:basedOn w:val="CommentTextChar"/>
    <w:link w:val="CommentSubject"/>
    <w:uiPriority w:val="99"/>
    <w:semiHidden/>
    <w:rsid w:val="001F644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F6447"/>
    <w:rPr>
      <w:sz w:val="18"/>
      <w:szCs w:val="18"/>
    </w:rPr>
  </w:style>
  <w:style w:type="character" w:customStyle="1" w:styleId="BalloonTextChar">
    <w:name w:val="Balloon Text Char"/>
    <w:basedOn w:val="DefaultParagraphFont"/>
    <w:link w:val="BalloonText"/>
    <w:uiPriority w:val="99"/>
    <w:semiHidden/>
    <w:rsid w:val="001F6447"/>
    <w:rPr>
      <w:rFonts w:ascii="Times New Roman" w:eastAsia="Times New Roman" w:hAnsi="Times New Roman" w:cs="Times New Roman"/>
      <w:sz w:val="18"/>
      <w:szCs w:val="18"/>
    </w:rPr>
  </w:style>
  <w:style w:type="table" w:styleId="PlainTable3">
    <w:name w:val="Plain Table 3"/>
    <w:basedOn w:val="TableNormal"/>
    <w:uiPriority w:val="43"/>
    <w:rsid w:val="009F011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BibliographyTitle">
    <w:name w:val="EndNote Bibliography Title"/>
    <w:basedOn w:val="Normal"/>
    <w:link w:val="EndNoteBibliographyTitleChar"/>
    <w:rsid w:val="002320A1"/>
    <w:pPr>
      <w:jc w:val="center"/>
    </w:pPr>
  </w:style>
  <w:style w:type="character" w:customStyle="1" w:styleId="EndNoteBibliographyTitleChar">
    <w:name w:val="EndNote Bibliography Title Char"/>
    <w:basedOn w:val="DefaultParagraphFont"/>
    <w:link w:val="EndNoteBibliographyTitle"/>
    <w:rsid w:val="002320A1"/>
    <w:rPr>
      <w:rFonts w:ascii="Times New Roman" w:eastAsia="Times New Roman" w:hAnsi="Times New Roman" w:cs="Times New Roman"/>
    </w:rPr>
  </w:style>
  <w:style w:type="paragraph" w:customStyle="1" w:styleId="EndNoteBibliography">
    <w:name w:val="EndNote Bibliography"/>
    <w:basedOn w:val="Normal"/>
    <w:link w:val="EndNoteBibliographyChar"/>
    <w:rsid w:val="002320A1"/>
  </w:style>
  <w:style w:type="character" w:customStyle="1" w:styleId="EndNoteBibliographyChar">
    <w:name w:val="EndNote Bibliography Char"/>
    <w:basedOn w:val="DefaultParagraphFont"/>
    <w:link w:val="EndNoteBibliography"/>
    <w:rsid w:val="002320A1"/>
    <w:rPr>
      <w:rFonts w:ascii="Times New Roman" w:eastAsia="Times New Roman" w:hAnsi="Times New Roman" w:cs="Times New Roman"/>
    </w:rPr>
  </w:style>
  <w:style w:type="character" w:customStyle="1" w:styleId="gnomadvariantpagevariantid-lsp2uu-4">
    <w:name w:val="gnomadvariantpage__variantid-lsp2uu-4"/>
    <w:basedOn w:val="DefaultParagraphFont"/>
    <w:rsid w:val="000A60AA"/>
  </w:style>
  <w:style w:type="character" w:customStyle="1" w:styleId="UnresolvedMention1">
    <w:name w:val="Unresolved Mention1"/>
    <w:basedOn w:val="DefaultParagraphFont"/>
    <w:uiPriority w:val="99"/>
    <w:rsid w:val="00697C26"/>
    <w:rPr>
      <w:color w:val="605E5C"/>
      <w:shd w:val="clear" w:color="auto" w:fill="E1DFDD"/>
    </w:rPr>
  </w:style>
  <w:style w:type="table" w:styleId="PlainTable5">
    <w:name w:val="Plain Table 5"/>
    <w:basedOn w:val="TableNormal"/>
    <w:uiPriority w:val="45"/>
    <w:rsid w:val="001E51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E51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57248"/>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65A89"/>
    <w:rPr>
      <w:color w:val="605E5C"/>
      <w:shd w:val="clear" w:color="auto" w:fill="E1DFDD"/>
    </w:rPr>
  </w:style>
  <w:style w:type="character" w:customStyle="1" w:styleId="citationref">
    <w:name w:val="citationref"/>
    <w:basedOn w:val="DefaultParagraphFont"/>
    <w:rsid w:val="005A7637"/>
  </w:style>
  <w:style w:type="character" w:customStyle="1" w:styleId="Heading4Char">
    <w:name w:val="Heading 4 Char"/>
    <w:basedOn w:val="DefaultParagraphFont"/>
    <w:link w:val="Heading4"/>
    <w:uiPriority w:val="9"/>
    <w:semiHidden/>
    <w:rsid w:val="00DA7A0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8610">
      <w:bodyDiv w:val="1"/>
      <w:marLeft w:val="0"/>
      <w:marRight w:val="0"/>
      <w:marTop w:val="0"/>
      <w:marBottom w:val="0"/>
      <w:divBdr>
        <w:top w:val="none" w:sz="0" w:space="0" w:color="auto"/>
        <w:left w:val="none" w:sz="0" w:space="0" w:color="auto"/>
        <w:bottom w:val="none" w:sz="0" w:space="0" w:color="auto"/>
        <w:right w:val="none" w:sz="0" w:space="0" w:color="auto"/>
      </w:divBdr>
    </w:div>
    <w:div w:id="15695203">
      <w:bodyDiv w:val="1"/>
      <w:marLeft w:val="0"/>
      <w:marRight w:val="0"/>
      <w:marTop w:val="0"/>
      <w:marBottom w:val="0"/>
      <w:divBdr>
        <w:top w:val="none" w:sz="0" w:space="0" w:color="auto"/>
        <w:left w:val="none" w:sz="0" w:space="0" w:color="auto"/>
        <w:bottom w:val="none" w:sz="0" w:space="0" w:color="auto"/>
        <w:right w:val="none" w:sz="0" w:space="0" w:color="auto"/>
      </w:divBdr>
    </w:div>
    <w:div w:id="16152861">
      <w:bodyDiv w:val="1"/>
      <w:marLeft w:val="0"/>
      <w:marRight w:val="0"/>
      <w:marTop w:val="0"/>
      <w:marBottom w:val="0"/>
      <w:divBdr>
        <w:top w:val="none" w:sz="0" w:space="0" w:color="auto"/>
        <w:left w:val="none" w:sz="0" w:space="0" w:color="auto"/>
        <w:bottom w:val="none" w:sz="0" w:space="0" w:color="auto"/>
        <w:right w:val="none" w:sz="0" w:space="0" w:color="auto"/>
      </w:divBdr>
    </w:div>
    <w:div w:id="18512927">
      <w:bodyDiv w:val="1"/>
      <w:marLeft w:val="0"/>
      <w:marRight w:val="0"/>
      <w:marTop w:val="0"/>
      <w:marBottom w:val="0"/>
      <w:divBdr>
        <w:top w:val="none" w:sz="0" w:space="0" w:color="auto"/>
        <w:left w:val="none" w:sz="0" w:space="0" w:color="auto"/>
        <w:bottom w:val="none" w:sz="0" w:space="0" w:color="auto"/>
        <w:right w:val="none" w:sz="0" w:space="0" w:color="auto"/>
      </w:divBdr>
    </w:div>
    <w:div w:id="40324466">
      <w:bodyDiv w:val="1"/>
      <w:marLeft w:val="0"/>
      <w:marRight w:val="0"/>
      <w:marTop w:val="0"/>
      <w:marBottom w:val="0"/>
      <w:divBdr>
        <w:top w:val="none" w:sz="0" w:space="0" w:color="auto"/>
        <w:left w:val="none" w:sz="0" w:space="0" w:color="auto"/>
        <w:bottom w:val="none" w:sz="0" w:space="0" w:color="auto"/>
        <w:right w:val="none" w:sz="0" w:space="0" w:color="auto"/>
      </w:divBdr>
    </w:div>
    <w:div w:id="79107901">
      <w:bodyDiv w:val="1"/>
      <w:marLeft w:val="0"/>
      <w:marRight w:val="0"/>
      <w:marTop w:val="0"/>
      <w:marBottom w:val="0"/>
      <w:divBdr>
        <w:top w:val="none" w:sz="0" w:space="0" w:color="auto"/>
        <w:left w:val="none" w:sz="0" w:space="0" w:color="auto"/>
        <w:bottom w:val="none" w:sz="0" w:space="0" w:color="auto"/>
        <w:right w:val="none" w:sz="0" w:space="0" w:color="auto"/>
      </w:divBdr>
    </w:div>
    <w:div w:id="100271004">
      <w:bodyDiv w:val="1"/>
      <w:marLeft w:val="0"/>
      <w:marRight w:val="0"/>
      <w:marTop w:val="0"/>
      <w:marBottom w:val="0"/>
      <w:divBdr>
        <w:top w:val="none" w:sz="0" w:space="0" w:color="auto"/>
        <w:left w:val="none" w:sz="0" w:space="0" w:color="auto"/>
        <w:bottom w:val="none" w:sz="0" w:space="0" w:color="auto"/>
        <w:right w:val="none" w:sz="0" w:space="0" w:color="auto"/>
      </w:divBdr>
    </w:div>
    <w:div w:id="102576988">
      <w:bodyDiv w:val="1"/>
      <w:marLeft w:val="0"/>
      <w:marRight w:val="0"/>
      <w:marTop w:val="0"/>
      <w:marBottom w:val="0"/>
      <w:divBdr>
        <w:top w:val="none" w:sz="0" w:space="0" w:color="auto"/>
        <w:left w:val="none" w:sz="0" w:space="0" w:color="auto"/>
        <w:bottom w:val="none" w:sz="0" w:space="0" w:color="auto"/>
        <w:right w:val="none" w:sz="0" w:space="0" w:color="auto"/>
      </w:divBdr>
    </w:div>
    <w:div w:id="148984974">
      <w:bodyDiv w:val="1"/>
      <w:marLeft w:val="0"/>
      <w:marRight w:val="0"/>
      <w:marTop w:val="0"/>
      <w:marBottom w:val="0"/>
      <w:divBdr>
        <w:top w:val="none" w:sz="0" w:space="0" w:color="auto"/>
        <w:left w:val="none" w:sz="0" w:space="0" w:color="auto"/>
        <w:bottom w:val="none" w:sz="0" w:space="0" w:color="auto"/>
        <w:right w:val="none" w:sz="0" w:space="0" w:color="auto"/>
      </w:divBdr>
    </w:div>
    <w:div w:id="158664500">
      <w:bodyDiv w:val="1"/>
      <w:marLeft w:val="0"/>
      <w:marRight w:val="0"/>
      <w:marTop w:val="0"/>
      <w:marBottom w:val="0"/>
      <w:divBdr>
        <w:top w:val="none" w:sz="0" w:space="0" w:color="auto"/>
        <w:left w:val="none" w:sz="0" w:space="0" w:color="auto"/>
        <w:bottom w:val="none" w:sz="0" w:space="0" w:color="auto"/>
        <w:right w:val="none" w:sz="0" w:space="0" w:color="auto"/>
      </w:divBdr>
    </w:div>
    <w:div w:id="168910777">
      <w:bodyDiv w:val="1"/>
      <w:marLeft w:val="0"/>
      <w:marRight w:val="0"/>
      <w:marTop w:val="0"/>
      <w:marBottom w:val="0"/>
      <w:divBdr>
        <w:top w:val="none" w:sz="0" w:space="0" w:color="auto"/>
        <w:left w:val="none" w:sz="0" w:space="0" w:color="auto"/>
        <w:bottom w:val="none" w:sz="0" w:space="0" w:color="auto"/>
        <w:right w:val="none" w:sz="0" w:space="0" w:color="auto"/>
      </w:divBdr>
    </w:div>
    <w:div w:id="204559276">
      <w:bodyDiv w:val="1"/>
      <w:marLeft w:val="0"/>
      <w:marRight w:val="0"/>
      <w:marTop w:val="0"/>
      <w:marBottom w:val="0"/>
      <w:divBdr>
        <w:top w:val="none" w:sz="0" w:space="0" w:color="auto"/>
        <w:left w:val="none" w:sz="0" w:space="0" w:color="auto"/>
        <w:bottom w:val="none" w:sz="0" w:space="0" w:color="auto"/>
        <w:right w:val="none" w:sz="0" w:space="0" w:color="auto"/>
      </w:divBdr>
    </w:div>
    <w:div w:id="209920924">
      <w:bodyDiv w:val="1"/>
      <w:marLeft w:val="0"/>
      <w:marRight w:val="0"/>
      <w:marTop w:val="0"/>
      <w:marBottom w:val="0"/>
      <w:divBdr>
        <w:top w:val="none" w:sz="0" w:space="0" w:color="auto"/>
        <w:left w:val="none" w:sz="0" w:space="0" w:color="auto"/>
        <w:bottom w:val="none" w:sz="0" w:space="0" w:color="auto"/>
        <w:right w:val="none" w:sz="0" w:space="0" w:color="auto"/>
      </w:divBdr>
    </w:div>
    <w:div w:id="226384547">
      <w:bodyDiv w:val="1"/>
      <w:marLeft w:val="0"/>
      <w:marRight w:val="0"/>
      <w:marTop w:val="0"/>
      <w:marBottom w:val="0"/>
      <w:divBdr>
        <w:top w:val="none" w:sz="0" w:space="0" w:color="auto"/>
        <w:left w:val="none" w:sz="0" w:space="0" w:color="auto"/>
        <w:bottom w:val="none" w:sz="0" w:space="0" w:color="auto"/>
        <w:right w:val="none" w:sz="0" w:space="0" w:color="auto"/>
      </w:divBdr>
    </w:div>
    <w:div w:id="229853029">
      <w:bodyDiv w:val="1"/>
      <w:marLeft w:val="0"/>
      <w:marRight w:val="0"/>
      <w:marTop w:val="0"/>
      <w:marBottom w:val="0"/>
      <w:divBdr>
        <w:top w:val="none" w:sz="0" w:space="0" w:color="auto"/>
        <w:left w:val="none" w:sz="0" w:space="0" w:color="auto"/>
        <w:bottom w:val="none" w:sz="0" w:space="0" w:color="auto"/>
        <w:right w:val="none" w:sz="0" w:space="0" w:color="auto"/>
      </w:divBdr>
    </w:div>
    <w:div w:id="231504083">
      <w:bodyDiv w:val="1"/>
      <w:marLeft w:val="0"/>
      <w:marRight w:val="0"/>
      <w:marTop w:val="0"/>
      <w:marBottom w:val="0"/>
      <w:divBdr>
        <w:top w:val="none" w:sz="0" w:space="0" w:color="auto"/>
        <w:left w:val="none" w:sz="0" w:space="0" w:color="auto"/>
        <w:bottom w:val="none" w:sz="0" w:space="0" w:color="auto"/>
        <w:right w:val="none" w:sz="0" w:space="0" w:color="auto"/>
      </w:divBdr>
    </w:div>
    <w:div w:id="240065121">
      <w:bodyDiv w:val="1"/>
      <w:marLeft w:val="0"/>
      <w:marRight w:val="0"/>
      <w:marTop w:val="0"/>
      <w:marBottom w:val="0"/>
      <w:divBdr>
        <w:top w:val="none" w:sz="0" w:space="0" w:color="auto"/>
        <w:left w:val="none" w:sz="0" w:space="0" w:color="auto"/>
        <w:bottom w:val="none" w:sz="0" w:space="0" w:color="auto"/>
        <w:right w:val="none" w:sz="0" w:space="0" w:color="auto"/>
      </w:divBdr>
    </w:div>
    <w:div w:id="252472017">
      <w:bodyDiv w:val="1"/>
      <w:marLeft w:val="0"/>
      <w:marRight w:val="0"/>
      <w:marTop w:val="0"/>
      <w:marBottom w:val="0"/>
      <w:divBdr>
        <w:top w:val="none" w:sz="0" w:space="0" w:color="auto"/>
        <w:left w:val="none" w:sz="0" w:space="0" w:color="auto"/>
        <w:bottom w:val="none" w:sz="0" w:space="0" w:color="auto"/>
        <w:right w:val="none" w:sz="0" w:space="0" w:color="auto"/>
      </w:divBdr>
    </w:div>
    <w:div w:id="257980087">
      <w:bodyDiv w:val="1"/>
      <w:marLeft w:val="0"/>
      <w:marRight w:val="0"/>
      <w:marTop w:val="0"/>
      <w:marBottom w:val="0"/>
      <w:divBdr>
        <w:top w:val="none" w:sz="0" w:space="0" w:color="auto"/>
        <w:left w:val="none" w:sz="0" w:space="0" w:color="auto"/>
        <w:bottom w:val="none" w:sz="0" w:space="0" w:color="auto"/>
        <w:right w:val="none" w:sz="0" w:space="0" w:color="auto"/>
      </w:divBdr>
    </w:div>
    <w:div w:id="272328326">
      <w:bodyDiv w:val="1"/>
      <w:marLeft w:val="0"/>
      <w:marRight w:val="0"/>
      <w:marTop w:val="0"/>
      <w:marBottom w:val="0"/>
      <w:divBdr>
        <w:top w:val="none" w:sz="0" w:space="0" w:color="auto"/>
        <w:left w:val="none" w:sz="0" w:space="0" w:color="auto"/>
        <w:bottom w:val="none" w:sz="0" w:space="0" w:color="auto"/>
        <w:right w:val="none" w:sz="0" w:space="0" w:color="auto"/>
      </w:divBdr>
    </w:div>
    <w:div w:id="282462411">
      <w:bodyDiv w:val="1"/>
      <w:marLeft w:val="0"/>
      <w:marRight w:val="0"/>
      <w:marTop w:val="0"/>
      <w:marBottom w:val="0"/>
      <w:divBdr>
        <w:top w:val="none" w:sz="0" w:space="0" w:color="auto"/>
        <w:left w:val="none" w:sz="0" w:space="0" w:color="auto"/>
        <w:bottom w:val="none" w:sz="0" w:space="0" w:color="auto"/>
        <w:right w:val="none" w:sz="0" w:space="0" w:color="auto"/>
      </w:divBdr>
    </w:div>
    <w:div w:id="290138273">
      <w:bodyDiv w:val="1"/>
      <w:marLeft w:val="0"/>
      <w:marRight w:val="0"/>
      <w:marTop w:val="0"/>
      <w:marBottom w:val="0"/>
      <w:divBdr>
        <w:top w:val="none" w:sz="0" w:space="0" w:color="auto"/>
        <w:left w:val="none" w:sz="0" w:space="0" w:color="auto"/>
        <w:bottom w:val="none" w:sz="0" w:space="0" w:color="auto"/>
        <w:right w:val="none" w:sz="0" w:space="0" w:color="auto"/>
      </w:divBdr>
    </w:div>
    <w:div w:id="294529555">
      <w:bodyDiv w:val="1"/>
      <w:marLeft w:val="0"/>
      <w:marRight w:val="0"/>
      <w:marTop w:val="0"/>
      <w:marBottom w:val="0"/>
      <w:divBdr>
        <w:top w:val="none" w:sz="0" w:space="0" w:color="auto"/>
        <w:left w:val="none" w:sz="0" w:space="0" w:color="auto"/>
        <w:bottom w:val="none" w:sz="0" w:space="0" w:color="auto"/>
        <w:right w:val="none" w:sz="0" w:space="0" w:color="auto"/>
      </w:divBdr>
    </w:div>
    <w:div w:id="307437299">
      <w:bodyDiv w:val="1"/>
      <w:marLeft w:val="0"/>
      <w:marRight w:val="0"/>
      <w:marTop w:val="0"/>
      <w:marBottom w:val="0"/>
      <w:divBdr>
        <w:top w:val="none" w:sz="0" w:space="0" w:color="auto"/>
        <w:left w:val="none" w:sz="0" w:space="0" w:color="auto"/>
        <w:bottom w:val="none" w:sz="0" w:space="0" w:color="auto"/>
        <w:right w:val="none" w:sz="0" w:space="0" w:color="auto"/>
      </w:divBdr>
    </w:div>
    <w:div w:id="310253462">
      <w:bodyDiv w:val="1"/>
      <w:marLeft w:val="0"/>
      <w:marRight w:val="0"/>
      <w:marTop w:val="0"/>
      <w:marBottom w:val="0"/>
      <w:divBdr>
        <w:top w:val="none" w:sz="0" w:space="0" w:color="auto"/>
        <w:left w:val="none" w:sz="0" w:space="0" w:color="auto"/>
        <w:bottom w:val="none" w:sz="0" w:space="0" w:color="auto"/>
        <w:right w:val="none" w:sz="0" w:space="0" w:color="auto"/>
      </w:divBdr>
    </w:div>
    <w:div w:id="311717295">
      <w:bodyDiv w:val="1"/>
      <w:marLeft w:val="0"/>
      <w:marRight w:val="0"/>
      <w:marTop w:val="0"/>
      <w:marBottom w:val="0"/>
      <w:divBdr>
        <w:top w:val="none" w:sz="0" w:space="0" w:color="auto"/>
        <w:left w:val="none" w:sz="0" w:space="0" w:color="auto"/>
        <w:bottom w:val="none" w:sz="0" w:space="0" w:color="auto"/>
        <w:right w:val="none" w:sz="0" w:space="0" w:color="auto"/>
      </w:divBdr>
    </w:div>
    <w:div w:id="313065950">
      <w:bodyDiv w:val="1"/>
      <w:marLeft w:val="0"/>
      <w:marRight w:val="0"/>
      <w:marTop w:val="0"/>
      <w:marBottom w:val="0"/>
      <w:divBdr>
        <w:top w:val="none" w:sz="0" w:space="0" w:color="auto"/>
        <w:left w:val="none" w:sz="0" w:space="0" w:color="auto"/>
        <w:bottom w:val="none" w:sz="0" w:space="0" w:color="auto"/>
        <w:right w:val="none" w:sz="0" w:space="0" w:color="auto"/>
      </w:divBdr>
    </w:div>
    <w:div w:id="327370179">
      <w:bodyDiv w:val="1"/>
      <w:marLeft w:val="0"/>
      <w:marRight w:val="0"/>
      <w:marTop w:val="0"/>
      <w:marBottom w:val="0"/>
      <w:divBdr>
        <w:top w:val="none" w:sz="0" w:space="0" w:color="auto"/>
        <w:left w:val="none" w:sz="0" w:space="0" w:color="auto"/>
        <w:bottom w:val="none" w:sz="0" w:space="0" w:color="auto"/>
        <w:right w:val="none" w:sz="0" w:space="0" w:color="auto"/>
      </w:divBdr>
    </w:div>
    <w:div w:id="333191389">
      <w:bodyDiv w:val="1"/>
      <w:marLeft w:val="0"/>
      <w:marRight w:val="0"/>
      <w:marTop w:val="0"/>
      <w:marBottom w:val="0"/>
      <w:divBdr>
        <w:top w:val="none" w:sz="0" w:space="0" w:color="auto"/>
        <w:left w:val="none" w:sz="0" w:space="0" w:color="auto"/>
        <w:bottom w:val="none" w:sz="0" w:space="0" w:color="auto"/>
        <w:right w:val="none" w:sz="0" w:space="0" w:color="auto"/>
      </w:divBdr>
    </w:div>
    <w:div w:id="342630637">
      <w:bodyDiv w:val="1"/>
      <w:marLeft w:val="0"/>
      <w:marRight w:val="0"/>
      <w:marTop w:val="0"/>
      <w:marBottom w:val="0"/>
      <w:divBdr>
        <w:top w:val="none" w:sz="0" w:space="0" w:color="auto"/>
        <w:left w:val="none" w:sz="0" w:space="0" w:color="auto"/>
        <w:bottom w:val="none" w:sz="0" w:space="0" w:color="auto"/>
        <w:right w:val="none" w:sz="0" w:space="0" w:color="auto"/>
      </w:divBdr>
    </w:div>
    <w:div w:id="364258647">
      <w:bodyDiv w:val="1"/>
      <w:marLeft w:val="0"/>
      <w:marRight w:val="0"/>
      <w:marTop w:val="0"/>
      <w:marBottom w:val="0"/>
      <w:divBdr>
        <w:top w:val="none" w:sz="0" w:space="0" w:color="auto"/>
        <w:left w:val="none" w:sz="0" w:space="0" w:color="auto"/>
        <w:bottom w:val="none" w:sz="0" w:space="0" w:color="auto"/>
        <w:right w:val="none" w:sz="0" w:space="0" w:color="auto"/>
      </w:divBdr>
    </w:div>
    <w:div w:id="365252779">
      <w:bodyDiv w:val="1"/>
      <w:marLeft w:val="0"/>
      <w:marRight w:val="0"/>
      <w:marTop w:val="0"/>
      <w:marBottom w:val="0"/>
      <w:divBdr>
        <w:top w:val="none" w:sz="0" w:space="0" w:color="auto"/>
        <w:left w:val="none" w:sz="0" w:space="0" w:color="auto"/>
        <w:bottom w:val="none" w:sz="0" w:space="0" w:color="auto"/>
        <w:right w:val="none" w:sz="0" w:space="0" w:color="auto"/>
      </w:divBdr>
    </w:div>
    <w:div w:id="367031570">
      <w:bodyDiv w:val="1"/>
      <w:marLeft w:val="0"/>
      <w:marRight w:val="0"/>
      <w:marTop w:val="0"/>
      <w:marBottom w:val="0"/>
      <w:divBdr>
        <w:top w:val="none" w:sz="0" w:space="0" w:color="auto"/>
        <w:left w:val="none" w:sz="0" w:space="0" w:color="auto"/>
        <w:bottom w:val="none" w:sz="0" w:space="0" w:color="auto"/>
        <w:right w:val="none" w:sz="0" w:space="0" w:color="auto"/>
      </w:divBdr>
    </w:div>
    <w:div w:id="392587047">
      <w:bodyDiv w:val="1"/>
      <w:marLeft w:val="0"/>
      <w:marRight w:val="0"/>
      <w:marTop w:val="0"/>
      <w:marBottom w:val="0"/>
      <w:divBdr>
        <w:top w:val="none" w:sz="0" w:space="0" w:color="auto"/>
        <w:left w:val="none" w:sz="0" w:space="0" w:color="auto"/>
        <w:bottom w:val="none" w:sz="0" w:space="0" w:color="auto"/>
        <w:right w:val="none" w:sz="0" w:space="0" w:color="auto"/>
      </w:divBdr>
    </w:div>
    <w:div w:id="397245264">
      <w:bodyDiv w:val="1"/>
      <w:marLeft w:val="0"/>
      <w:marRight w:val="0"/>
      <w:marTop w:val="0"/>
      <w:marBottom w:val="0"/>
      <w:divBdr>
        <w:top w:val="none" w:sz="0" w:space="0" w:color="auto"/>
        <w:left w:val="none" w:sz="0" w:space="0" w:color="auto"/>
        <w:bottom w:val="none" w:sz="0" w:space="0" w:color="auto"/>
        <w:right w:val="none" w:sz="0" w:space="0" w:color="auto"/>
      </w:divBdr>
    </w:div>
    <w:div w:id="405346596">
      <w:bodyDiv w:val="1"/>
      <w:marLeft w:val="0"/>
      <w:marRight w:val="0"/>
      <w:marTop w:val="0"/>
      <w:marBottom w:val="0"/>
      <w:divBdr>
        <w:top w:val="none" w:sz="0" w:space="0" w:color="auto"/>
        <w:left w:val="none" w:sz="0" w:space="0" w:color="auto"/>
        <w:bottom w:val="none" w:sz="0" w:space="0" w:color="auto"/>
        <w:right w:val="none" w:sz="0" w:space="0" w:color="auto"/>
      </w:divBdr>
    </w:div>
    <w:div w:id="414011873">
      <w:bodyDiv w:val="1"/>
      <w:marLeft w:val="0"/>
      <w:marRight w:val="0"/>
      <w:marTop w:val="0"/>
      <w:marBottom w:val="0"/>
      <w:divBdr>
        <w:top w:val="none" w:sz="0" w:space="0" w:color="auto"/>
        <w:left w:val="none" w:sz="0" w:space="0" w:color="auto"/>
        <w:bottom w:val="none" w:sz="0" w:space="0" w:color="auto"/>
        <w:right w:val="none" w:sz="0" w:space="0" w:color="auto"/>
      </w:divBdr>
    </w:div>
    <w:div w:id="431632894">
      <w:bodyDiv w:val="1"/>
      <w:marLeft w:val="0"/>
      <w:marRight w:val="0"/>
      <w:marTop w:val="0"/>
      <w:marBottom w:val="0"/>
      <w:divBdr>
        <w:top w:val="none" w:sz="0" w:space="0" w:color="auto"/>
        <w:left w:val="none" w:sz="0" w:space="0" w:color="auto"/>
        <w:bottom w:val="none" w:sz="0" w:space="0" w:color="auto"/>
        <w:right w:val="none" w:sz="0" w:space="0" w:color="auto"/>
      </w:divBdr>
    </w:div>
    <w:div w:id="453793974">
      <w:bodyDiv w:val="1"/>
      <w:marLeft w:val="0"/>
      <w:marRight w:val="0"/>
      <w:marTop w:val="0"/>
      <w:marBottom w:val="0"/>
      <w:divBdr>
        <w:top w:val="none" w:sz="0" w:space="0" w:color="auto"/>
        <w:left w:val="none" w:sz="0" w:space="0" w:color="auto"/>
        <w:bottom w:val="none" w:sz="0" w:space="0" w:color="auto"/>
        <w:right w:val="none" w:sz="0" w:space="0" w:color="auto"/>
      </w:divBdr>
    </w:div>
    <w:div w:id="460652990">
      <w:bodyDiv w:val="1"/>
      <w:marLeft w:val="0"/>
      <w:marRight w:val="0"/>
      <w:marTop w:val="0"/>
      <w:marBottom w:val="0"/>
      <w:divBdr>
        <w:top w:val="none" w:sz="0" w:space="0" w:color="auto"/>
        <w:left w:val="none" w:sz="0" w:space="0" w:color="auto"/>
        <w:bottom w:val="none" w:sz="0" w:space="0" w:color="auto"/>
        <w:right w:val="none" w:sz="0" w:space="0" w:color="auto"/>
      </w:divBdr>
    </w:div>
    <w:div w:id="467474037">
      <w:bodyDiv w:val="1"/>
      <w:marLeft w:val="0"/>
      <w:marRight w:val="0"/>
      <w:marTop w:val="0"/>
      <w:marBottom w:val="0"/>
      <w:divBdr>
        <w:top w:val="none" w:sz="0" w:space="0" w:color="auto"/>
        <w:left w:val="none" w:sz="0" w:space="0" w:color="auto"/>
        <w:bottom w:val="none" w:sz="0" w:space="0" w:color="auto"/>
        <w:right w:val="none" w:sz="0" w:space="0" w:color="auto"/>
      </w:divBdr>
    </w:div>
    <w:div w:id="486827418">
      <w:bodyDiv w:val="1"/>
      <w:marLeft w:val="0"/>
      <w:marRight w:val="0"/>
      <w:marTop w:val="0"/>
      <w:marBottom w:val="0"/>
      <w:divBdr>
        <w:top w:val="none" w:sz="0" w:space="0" w:color="auto"/>
        <w:left w:val="none" w:sz="0" w:space="0" w:color="auto"/>
        <w:bottom w:val="none" w:sz="0" w:space="0" w:color="auto"/>
        <w:right w:val="none" w:sz="0" w:space="0" w:color="auto"/>
      </w:divBdr>
    </w:div>
    <w:div w:id="522090415">
      <w:bodyDiv w:val="1"/>
      <w:marLeft w:val="0"/>
      <w:marRight w:val="0"/>
      <w:marTop w:val="0"/>
      <w:marBottom w:val="0"/>
      <w:divBdr>
        <w:top w:val="none" w:sz="0" w:space="0" w:color="auto"/>
        <w:left w:val="none" w:sz="0" w:space="0" w:color="auto"/>
        <w:bottom w:val="none" w:sz="0" w:space="0" w:color="auto"/>
        <w:right w:val="none" w:sz="0" w:space="0" w:color="auto"/>
      </w:divBdr>
    </w:div>
    <w:div w:id="522942401">
      <w:bodyDiv w:val="1"/>
      <w:marLeft w:val="0"/>
      <w:marRight w:val="0"/>
      <w:marTop w:val="0"/>
      <w:marBottom w:val="0"/>
      <w:divBdr>
        <w:top w:val="none" w:sz="0" w:space="0" w:color="auto"/>
        <w:left w:val="none" w:sz="0" w:space="0" w:color="auto"/>
        <w:bottom w:val="none" w:sz="0" w:space="0" w:color="auto"/>
        <w:right w:val="none" w:sz="0" w:space="0" w:color="auto"/>
      </w:divBdr>
    </w:div>
    <w:div w:id="531383702">
      <w:bodyDiv w:val="1"/>
      <w:marLeft w:val="0"/>
      <w:marRight w:val="0"/>
      <w:marTop w:val="0"/>
      <w:marBottom w:val="0"/>
      <w:divBdr>
        <w:top w:val="none" w:sz="0" w:space="0" w:color="auto"/>
        <w:left w:val="none" w:sz="0" w:space="0" w:color="auto"/>
        <w:bottom w:val="none" w:sz="0" w:space="0" w:color="auto"/>
        <w:right w:val="none" w:sz="0" w:space="0" w:color="auto"/>
      </w:divBdr>
    </w:div>
    <w:div w:id="551310850">
      <w:bodyDiv w:val="1"/>
      <w:marLeft w:val="0"/>
      <w:marRight w:val="0"/>
      <w:marTop w:val="0"/>
      <w:marBottom w:val="0"/>
      <w:divBdr>
        <w:top w:val="none" w:sz="0" w:space="0" w:color="auto"/>
        <w:left w:val="none" w:sz="0" w:space="0" w:color="auto"/>
        <w:bottom w:val="none" w:sz="0" w:space="0" w:color="auto"/>
        <w:right w:val="none" w:sz="0" w:space="0" w:color="auto"/>
      </w:divBdr>
    </w:div>
    <w:div w:id="573051861">
      <w:bodyDiv w:val="1"/>
      <w:marLeft w:val="0"/>
      <w:marRight w:val="0"/>
      <w:marTop w:val="0"/>
      <w:marBottom w:val="0"/>
      <w:divBdr>
        <w:top w:val="none" w:sz="0" w:space="0" w:color="auto"/>
        <w:left w:val="none" w:sz="0" w:space="0" w:color="auto"/>
        <w:bottom w:val="none" w:sz="0" w:space="0" w:color="auto"/>
        <w:right w:val="none" w:sz="0" w:space="0" w:color="auto"/>
      </w:divBdr>
    </w:div>
    <w:div w:id="594098805">
      <w:bodyDiv w:val="1"/>
      <w:marLeft w:val="0"/>
      <w:marRight w:val="0"/>
      <w:marTop w:val="0"/>
      <w:marBottom w:val="0"/>
      <w:divBdr>
        <w:top w:val="none" w:sz="0" w:space="0" w:color="auto"/>
        <w:left w:val="none" w:sz="0" w:space="0" w:color="auto"/>
        <w:bottom w:val="none" w:sz="0" w:space="0" w:color="auto"/>
        <w:right w:val="none" w:sz="0" w:space="0" w:color="auto"/>
      </w:divBdr>
    </w:div>
    <w:div w:id="616183234">
      <w:bodyDiv w:val="1"/>
      <w:marLeft w:val="0"/>
      <w:marRight w:val="0"/>
      <w:marTop w:val="0"/>
      <w:marBottom w:val="0"/>
      <w:divBdr>
        <w:top w:val="none" w:sz="0" w:space="0" w:color="auto"/>
        <w:left w:val="none" w:sz="0" w:space="0" w:color="auto"/>
        <w:bottom w:val="none" w:sz="0" w:space="0" w:color="auto"/>
        <w:right w:val="none" w:sz="0" w:space="0" w:color="auto"/>
      </w:divBdr>
    </w:div>
    <w:div w:id="635532412">
      <w:bodyDiv w:val="1"/>
      <w:marLeft w:val="0"/>
      <w:marRight w:val="0"/>
      <w:marTop w:val="0"/>
      <w:marBottom w:val="0"/>
      <w:divBdr>
        <w:top w:val="none" w:sz="0" w:space="0" w:color="auto"/>
        <w:left w:val="none" w:sz="0" w:space="0" w:color="auto"/>
        <w:bottom w:val="none" w:sz="0" w:space="0" w:color="auto"/>
        <w:right w:val="none" w:sz="0" w:space="0" w:color="auto"/>
      </w:divBdr>
    </w:div>
    <w:div w:id="650984532">
      <w:bodyDiv w:val="1"/>
      <w:marLeft w:val="0"/>
      <w:marRight w:val="0"/>
      <w:marTop w:val="0"/>
      <w:marBottom w:val="0"/>
      <w:divBdr>
        <w:top w:val="none" w:sz="0" w:space="0" w:color="auto"/>
        <w:left w:val="none" w:sz="0" w:space="0" w:color="auto"/>
        <w:bottom w:val="none" w:sz="0" w:space="0" w:color="auto"/>
        <w:right w:val="none" w:sz="0" w:space="0" w:color="auto"/>
      </w:divBdr>
    </w:div>
    <w:div w:id="651952598">
      <w:bodyDiv w:val="1"/>
      <w:marLeft w:val="0"/>
      <w:marRight w:val="0"/>
      <w:marTop w:val="0"/>
      <w:marBottom w:val="0"/>
      <w:divBdr>
        <w:top w:val="none" w:sz="0" w:space="0" w:color="auto"/>
        <w:left w:val="none" w:sz="0" w:space="0" w:color="auto"/>
        <w:bottom w:val="none" w:sz="0" w:space="0" w:color="auto"/>
        <w:right w:val="none" w:sz="0" w:space="0" w:color="auto"/>
      </w:divBdr>
    </w:div>
    <w:div w:id="684400108">
      <w:bodyDiv w:val="1"/>
      <w:marLeft w:val="0"/>
      <w:marRight w:val="0"/>
      <w:marTop w:val="0"/>
      <w:marBottom w:val="0"/>
      <w:divBdr>
        <w:top w:val="none" w:sz="0" w:space="0" w:color="auto"/>
        <w:left w:val="none" w:sz="0" w:space="0" w:color="auto"/>
        <w:bottom w:val="none" w:sz="0" w:space="0" w:color="auto"/>
        <w:right w:val="none" w:sz="0" w:space="0" w:color="auto"/>
      </w:divBdr>
    </w:div>
    <w:div w:id="687145306">
      <w:bodyDiv w:val="1"/>
      <w:marLeft w:val="0"/>
      <w:marRight w:val="0"/>
      <w:marTop w:val="0"/>
      <w:marBottom w:val="0"/>
      <w:divBdr>
        <w:top w:val="none" w:sz="0" w:space="0" w:color="auto"/>
        <w:left w:val="none" w:sz="0" w:space="0" w:color="auto"/>
        <w:bottom w:val="none" w:sz="0" w:space="0" w:color="auto"/>
        <w:right w:val="none" w:sz="0" w:space="0" w:color="auto"/>
      </w:divBdr>
    </w:div>
    <w:div w:id="716196453">
      <w:bodyDiv w:val="1"/>
      <w:marLeft w:val="0"/>
      <w:marRight w:val="0"/>
      <w:marTop w:val="0"/>
      <w:marBottom w:val="0"/>
      <w:divBdr>
        <w:top w:val="none" w:sz="0" w:space="0" w:color="auto"/>
        <w:left w:val="none" w:sz="0" w:space="0" w:color="auto"/>
        <w:bottom w:val="none" w:sz="0" w:space="0" w:color="auto"/>
        <w:right w:val="none" w:sz="0" w:space="0" w:color="auto"/>
      </w:divBdr>
    </w:div>
    <w:div w:id="716783010">
      <w:bodyDiv w:val="1"/>
      <w:marLeft w:val="0"/>
      <w:marRight w:val="0"/>
      <w:marTop w:val="0"/>
      <w:marBottom w:val="0"/>
      <w:divBdr>
        <w:top w:val="none" w:sz="0" w:space="0" w:color="auto"/>
        <w:left w:val="none" w:sz="0" w:space="0" w:color="auto"/>
        <w:bottom w:val="none" w:sz="0" w:space="0" w:color="auto"/>
        <w:right w:val="none" w:sz="0" w:space="0" w:color="auto"/>
      </w:divBdr>
    </w:div>
    <w:div w:id="732655044">
      <w:bodyDiv w:val="1"/>
      <w:marLeft w:val="0"/>
      <w:marRight w:val="0"/>
      <w:marTop w:val="0"/>
      <w:marBottom w:val="0"/>
      <w:divBdr>
        <w:top w:val="none" w:sz="0" w:space="0" w:color="auto"/>
        <w:left w:val="none" w:sz="0" w:space="0" w:color="auto"/>
        <w:bottom w:val="none" w:sz="0" w:space="0" w:color="auto"/>
        <w:right w:val="none" w:sz="0" w:space="0" w:color="auto"/>
      </w:divBdr>
    </w:div>
    <w:div w:id="738480388">
      <w:bodyDiv w:val="1"/>
      <w:marLeft w:val="0"/>
      <w:marRight w:val="0"/>
      <w:marTop w:val="0"/>
      <w:marBottom w:val="0"/>
      <w:divBdr>
        <w:top w:val="none" w:sz="0" w:space="0" w:color="auto"/>
        <w:left w:val="none" w:sz="0" w:space="0" w:color="auto"/>
        <w:bottom w:val="none" w:sz="0" w:space="0" w:color="auto"/>
        <w:right w:val="none" w:sz="0" w:space="0" w:color="auto"/>
      </w:divBdr>
    </w:div>
    <w:div w:id="748383994">
      <w:bodyDiv w:val="1"/>
      <w:marLeft w:val="0"/>
      <w:marRight w:val="0"/>
      <w:marTop w:val="0"/>
      <w:marBottom w:val="0"/>
      <w:divBdr>
        <w:top w:val="none" w:sz="0" w:space="0" w:color="auto"/>
        <w:left w:val="none" w:sz="0" w:space="0" w:color="auto"/>
        <w:bottom w:val="none" w:sz="0" w:space="0" w:color="auto"/>
        <w:right w:val="none" w:sz="0" w:space="0" w:color="auto"/>
      </w:divBdr>
    </w:div>
    <w:div w:id="749041275">
      <w:bodyDiv w:val="1"/>
      <w:marLeft w:val="0"/>
      <w:marRight w:val="0"/>
      <w:marTop w:val="0"/>
      <w:marBottom w:val="0"/>
      <w:divBdr>
        <w:top w:val="none" w:sz="0" w:space="0" w:color="auto"/>
        <w:left w:val="none" w:sz="0" w:space="0" w:color="auto"/>
        <w:bottom w:val="none" w:sz="0" w:space="0" w:color="auto"/>
        <w:right w:val="none" w:sz="0" w:space="0" w:color="auto"/>
      </w:divBdr>
    </w:div>
    <w:div w:id="751704233">
      <w:bodyDiv w:val="1"/>
      <w:marLeft w:val="0"/>
      <w:marRight w:val="0"/>
      <w:marTop w:val="0"/>
      <w:marBottom w:val="0"/>
      <w:divBdr>
        <w:top w:val="none" w:sz="0" w:space="0" w:color="auto"/>
        <w:left w:val="none" w:sz="0" w:space="0" w:color="auto"/>
        <w:bottom w:val="none" w:sz="0" w:space="0" w:color="auto"/>
        <w:right w:val="none" w:sz="0" w:space="0" w:color="auto"/>
      </w:divBdr>
    </w:div>
    <w:div w:id="755516261">
      <w:bodyDiv w:val="1"/>
      <w:marLeft w:val="0"/>
      <w:marRight w:val="0"/>
      <w:marTop w:val="0"/>
      <w:marBottom w:val="0"/>
      <w:divBdr>
        <w:top w:val="none" w:sz="0" w:space="0" w:color="auto"/>
        <w:left w:val="none" w:sz="0" w:space="0" w:color="auto"/>
        <w:bottom w:val="none" w:sz="0" w:space="0" w:color="auto"/>
        <w:right w:val="none" w:sz="0" w:space="0" w:color="auto"/>
      </w:divBdr>
    </w:div>
    <w:div w:id="765462431">
      <w:bodyDiv w:val="1"/>
      <w:marLeft w:val="0"/>
      <w:marRight w:val="0"/>
      <w:marTop w:val="0"/>
      <w:marBottom w:val="0"/>
      <w:divBdr>
        <w:top w:val="none" w:sz="0" w:space="0" w:color="auto"/>
        <w:left w:val="none" w:sz="0" w:space="0" w:color="auto"/>
        <w:bottom w:val="none" w:sz="0" w:space="0" w:color="auto"/>
        <w:right w:val="none" w:sz="0" w:space="0" w:color="auto"/>
      </w:divBdr>
    </w:div>
    <w:div w:id="788554183">
      <w:bodyDiv w:val="1"/>
      <w:marLeft w:val="0"/>
      <w:marRight w:val="0"/>
      <w:marTop w:val="0"/>
      <w:marBottom w:val="0"/>
      <w:divBdr>
        <w:top w:val="none" w:sz="0" w:space="0" w:color="auto"/>
        <w:left w:val="none" w:sz="0" w:space="0" w:color="auto"/>
        <w:bottom w:val="none" w:sz="0" w:space="0" w:color="auto"/>
        <w:right w:val="none" w:sz="0" w:space="0" w:color="auto"/>
      </w:divBdr>
    </w:div>
    <w:div w:id="796877289">
      <w:bodyDiv w:val="1"/>
      <w:marLeft w:val="0"/>
      <w:marRight w:val="0"/>
      <w:marTop w:val="0"/>
      <w:marBottom w:val="0"/>
      <w:divBdr>
        <w:top w:val="none" w:sz="0" w:space="0" w:color="auto"/>
        <w:left w:val="none" w:sz="0" w:space="0" w:color="auto"/>
        <w:bottom w:val="none" w:sz="0" w:space="0" w:color="auto"/>
        <w:right w:val="none" w:sz="0" w:space="0" w:color="auto"/>
      </w:divBdr>
    </w:div>
    <w:div w:id="799228122">
      <w:bodyDiv w:val="1"/>
      <w:marLeft w:val="0"/>
      <w:marRight w:val="0"/>
      <w:marTop w:val="0"/>
      <w:marBottom w:val="0"/>
      <w:divBdr>
        <w:top w:val="none" w:sz="0" w:space="0" w:color="auto"/>
        <w:left w:val="none" w:sz="0" w:space="0" w:color="auto"/>
        <w:bottom w:val="none" w:sz="0" w:space="0" w:color="auto"/>
        <w:right w:val="none" w:sz="0" w:space="0" w:color="auto"/>
      </w:divBdr>
    </w:div>
    <w:div w:id="811559552">
      <w:bodyDiv w:val="1"/>
      <w:marLeft w:val="0"/>
      <w:marRight w:val="0"/>
      <w:marTop w:val="0"/>
      <w:marBottom w:val="0"/>
      <w:divBdr>
        <w:top w:val="none" w:sz="0" w:space="0" w:color="auto"/>
        <w:left w:val="none" w:sz="0" w:space="0" w:color="auto"/>
        <w:bottom w:val="none" w:sz="0" w:space="0" w:color="auto"/>
        <w:right w:val="none" w:sz="0" w:space="0" w:color="auto"/>
      </w:divBdr>
    </w:div>
    <w:div w:id="816261140">
      <w:bodyDiv w:val="1"/>
      <w:marLeft w:val="0"/>
      <w:marRight w:val="0"/>
      <w:marTop w:val="0"/>
      <w:marBottom w:val="0"/>
      <w:divBdr>
        <w:top w:val="none" w:sz="0" w:space="0" w:color="auto"/>
        <w:left w:val="none" w:sz="0" w:space="0" w:color="auto"/>
        <w:bottom w:val="none" w:sz="0" w:space="0" w:color="auto"/>
        <w:right w:val="none" w:sz="0" w:space="0" w:color="auto"/>
      </w:divBdr>
    </w:div>
    <w:div w:id="823275384">
      <w:bodyDiv w:val="1"/>
      <w:marLeft w:val="0"/>
      <w:marRight w:val="0"/>
      <w:marTop w:val="0"/>
      <w:marBottom w:val="0"/>
      <w:divBdr>
        <w:top w:val="none" w:sz="0" w:space="0" w:color="auto"/>
        <w:left w:val="none" w:sz="0" w:space="0" w:color="auto"/>
        <w:bottom w:val="none" w:sz="0" w:space="0" w:color="auto"/>
        <w:right w:val="none" w:sz="0" w:space="0" w:color="auto"/>
      </w:divBdr>
      <w:divsChild>
        <w:div w:id="764106561">
          <w:marLeft w:val="0"/>
          <w:marRight w:val="0"/>
          <w:marTop w:val="0"/>
          <w:marBottom w:val="75"/>
          <w:divBdr>
            <w:top w:val="none" w:sz="0" w:space="0" w:color="auto"/>
            <w:left w:val="none" w:sz="0" w:space="0" w:color="auto"/>
            <w:bottom w:val="none" w:sz="0" w:space="0" w:color="auto"/>
            <w:right w:val="none" w:sz="0" w:space="0" w:color="auto"/>
          </w:divBdr>
          <w:divsChild>
            <w:div w:id="1128863934">
              <w:marLeft w:val="0"/>
              <w:marRight w:val="0"/>
              <w:marTop w:val="0"/>
              <w:marBottom w:val="0"/>
              <w:divBdr>
                <w:top w:val="none" w:sz="0" w:space="0" w:color="auto"/>
                <w:left w:val="none" w:sz="0" w:space="0" w:color="auto"/>
                <w:bottom w:val="none" w:sz="0" w:space="0" w:color="auto"/>
                <w:right w:val="none" w:sz="0" w:space="0" w:color="auto"/>
              </w:divBdr>
              <w:divsChild>
                <w:div w:id="1140726464">
                  <w:marLeft w:val="0"/>
                  <w:marRight w:val="0"/>
                  <w:marTop w:val="0"/>
                  <w:marBottom w:val="0"/>
                  <w:divBdr>
                    <w:top w:val="none" w:sz="0" w:space="0" w:color="auto"/>
                    <w:left w:val="none" w:sz="0" w:space="0" w:color="auto"/>
                    <w:bottom w:val="none" w:sz="0" w:space="0" w:color="auto"/>
                    <w:right w:val="none" w:sz="0" w:space="0" w:color="auto"/>
                  </w:divBdr>
                  <w:divsChild>
                    <w:div w:id="317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8766">
          <w:marLeft w:val="0"/>
          <w:marRight w:val="0"/>
          <w:marTop w:val="0"/>
          <w:marBottom w:val="75"/>
          <w:divBdr>
            <w:top w:val="none" w:sz="0" w:space="0" w:color="auto"/>
            <w:left w:val="none" w:sz="0" w:space="0" w:color="auto"/>
            <w:bottom w:val="none" w:sz="0" w:space="0" w:color="auto"/>
            <w:right w:val="none" w:sz="0" w:space="0" w:color="auto"/>
          </w:divBdr>
          <w:divsChild>
            <w:div w:id="209611246">
              <w:marLeft w:val="0"/>
              <w:marRight w:val="0"/>
              <w:marTop w:val="0"/>
              <w:marBottom w:val="0"/>
              <w:divBdr>
                <w:top w:val="none" w:sz="0" w:space="0" w:color="auto"/>
                <w:left w:val="none" w:sz="0" w:space="0" w:color="auto"/>
                <w:bottom w:val="none" w:sz="0" w:space="0" w:color="auto"/>
                <w:right w:val="none" w:sz="0" w:space="0" w:color="auto"/>
              </w:divBdr>
              <w:divsChild>
                <w:div w:id="1191992320">
                  <w:marLeft w:val="0"/>
                  <w:marRight w:val="0"/>
                  <w:marTop w:val="0"/>
                  <w:marBottom w:val="0"/>
                  <w:divBdr>
                    <w:top w:val="none" w:sz="0" w:space="0" w:color="auto"/>
                    <w:left w:val="none" w:sz="0" w:space="0" w:color="auto"/>
                    <w:bottom w:val="none" w:sz="0" w:space="0" w:color="auto"/>
                    <w:right w:val="none" w:sz="0" w:space="0" w:color="auto"/>
                  </w:divBdr>
                  <w:divsChild>
                    <w:div w:id="861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355851">
      <w:bodyDiv w:val="1"/>
      <w:marLeft w:val="0"/>
      <w:marRight w:val="0"/>
      <w:marTop w:val="0"/>
      <w:marBottom w:val="0"/>
      <w:divBdr>
        <w:top w:val="none" w:sz="0" w:space="0" w:color="auto"/>
        <w:left w:val="none" w:sz="0" w:space="0" w:color="auto"/>
        <w:bottom w:val="none" w:sz="0" w:space="0" w:color="auto"/>
        <w:right w:val="none" w:sz="0" w:space="0" w:color="auto"/>
      </w:divBdr>
    </w:div>
    <w:div w:id="882138575">
      <w:bodyDiv w:val="1"/>
      <w:marLeft w:val="0"/>
      <w:marRight w:val="0"/>
      <w:marTop w:val="0"/>
      <w:marBottom w:val="0"/>
      <w:divBdr>
        <w:top w:val="none" w:sz="0" w:space="0" w:color="auto"/>
        <w:left w:val="none" w:sz="0" w:space="0" w:color="auto"/>
        <w:bottom w:val="none" w:sz="0" w:space="0" w:color="auto"/>
        <w:right w:val="none" w:sz="0" w:space="0" w:color="auto"/>
      </w:divBdr>
    </w:div>
    <w:div w:id="886724926">
      <w:bodyDiv w:val="1"/>
      <w:marLeft w:val="0"/>
      <w:marRight w:val="0"/>
      <w:marTop w:val="0"/>
      <w:marBottom w:val="0"/>
      <w:divBdr>
        <w:top w:val="none" w:sz="0" w:space="0" w:color="auto"/>
        <w:left w:val="none" w:sz="0" w:space="0" w:color="auto"/>
        <w:bottom w:val="none" w:sz="0" w:space="0" w:color="auto"/>
        <w:right w:val="none" w:sz="0" w:space="0" w:color="auto"/>
      </w:divBdr>
    </w:div>
    <w:div w:id="888613358">
      <w:bodyDiv w:val="1"/>
      <w:marLeft w:val="0"/>
      <w:marRight w:val="0"/>
      <w:marTop w:val="0"/>
      <w:marBottom w:val="0"/>
      <w:divBdr>
        <w:top w:val="none" w:sz="0" w:space="0" w:color="auto"/>
        <w:left w:val="none" w:sz="0" w:space="0" w:color="auto"/>
        <w:bottom w:val="none" w:sz="0" w:space="0" w:color="auto"/>
        <w:right w:val="none" w:sz="0" w:space="0" w:color="auto"/>
      </w:divBdr>
    </w:div>
    <w:div w:id="901597290">
      <w:bodyDiv w:val="1"/>
      <w:marLeft w:val="0"/>
      <w:marRight w:val="0"/>
      <w:marTop w:val="0"/>
      <w:marBottom w:val="0"/>
      <w:divBdr>
        <w:top w:val="none" w:sz="0" w:space="0" w:color="auto"/>
        <w:left w:val="none" w:sz="0" w:space="0" w:color="auto"/>
        <w:bottom w:val="none" w:sz="0" w:space="0" w:color="auto"/>
        <w:right w:val="none" w:sz="0" w:space="0" w:color="auto"/>
      </w:divBdr>
    </w:div>
    <w:div w:id="923880324">
      <w:bodyDiv w:val="1"/>
      <w:marLeft w:val="0"/>
      <w:marRight w:val="0"/>
      <w:marTop w:val="0"/>
      <w:marBottom w:val="0"/>
      <w:divBdr>
        <w:top w:val="none" w:sz="0" w:space="0" w:color="auto"/>
        <w:left w:val="none" w:sz="0" w:space="0" w:color="auto"/>
        <w:bottom w:val="none" w:sz="0" w:space="0" w:color="auto"/>
        <w:right w:val="none" w:sz="0" w:space="0" w:color="auto"/>
      </w:divBdr>
    </w:div>
    <w:div w:id="937758536">
      <w:bodyDiv w:val="1"/>
      <w:marLeft w:val="0"/>
      <w:marRight w:val="0"/>
      <w:marTop w:val="0"/>
      <w:marBottom w:val="0"/>
      <w:divBdr>
        <w:top w:val="none" w:sz="0" w:space="0" w:color="auto"/>
        <w:left w:val="none" w:sz="0" w:space="0" w:color="auto"/>
        <w:bottom w:val="none" w:sz="0" w:space="0" w:color="auto"/>
        <w:right w:val="none" w:sz="0" w:space="0" w:color="auto"/>
      </w:divBdr>
    </w:div>
    <w:div w:id="937834055">
      <w:bodyDiv w:val="1"/>
      <w:marLeft w:val="0"/>
      <w:marRight w:val="0"/>
      <w:marTop w:val="0"/>
      <w:marBottom w:val="0"/>
      <w:divBdr>
        <w:top w:val="none" w:sz="0" w:space="0" w:color="auto"/>
        <w:left w:val="none" w:sz="0" w:space="0" w:color="auto"/>
        <w:bottom w:val="none" w:sz="0" w:space="0" w:color="auto"/>
        <w:right w:val="none" w:sz="0" w:space="0" w:color="auto"/>
      </w:divBdr>
    </w:div>
    <w:div w:id="942760243">
      <w:bodyDiv w:val="1"/>
      <w:marLeft w:val="0"/>
      <w:marRight w:val="0"/>
      <w:marTop w:val="0"/>
      <w:marBottom w:val="0"/>
      <w:divBdr>
        <w:top w:val="none" w:sz="0" w:space="0" w:color="auto"/>
        <w:left w:val="none" w:sz="0" w:space="0" w:color="auto"/>
        <w:bottom w:val="none" w:sz="0" w:space="0" w:color="auto"/>
        <w:right w:val="none" w:sz="0" w:space="0" w:color="auto"/>
      </w:divBdr>
    </w:div>
    <w:div w:id="962616791">
      <w:bodyDiv w:val="1"/>
      <w:marLeft w:val="0"/>
      <w:marRight w:val="0"/>
      <w:marTop w:val="0"/>
      <w:marBottom w:val="0"/>
      <w:divBdr>
        <w:top w:val="none" w:sz="0" w:space="0" w:color="auto"/>
        <w:left w:val="none" w:sz="0" w:space="0" w:color="auto"/>
        <w:bottom w:val="none" w:sz="0" w:space="0" w:color="auto"/>
        <w:right w:val="none" w:sz="0" w:space="0" w:color="auto"/>
      </w:divBdr>
    </w:div>
    <w:div w:id="972296566">
      <w:bodyDiv w:val="1"/>
      <w:marLeft w:val="0"/>
      <w:marRight w:val="0"/>
      <w:marTop w:val="0"/>
      <w:marBottom w:val="0"/>
      <w:divBdr>
        <w:top w:val="none" w:sz="0" w:space="0" w:color="auto"/>
        <w:left w:val="none" w:sz="0" w:space="0" w:color="auto"/>
        <w:bottom w:val="none" w:sz="0" w:space="0" w:color="auto"/>
        <w:right w:val="none" w:sz="0" w:space="0" w:color="auto"/>
      </w:divBdr>
    </w:div>
    <w:div w:id="1004437134">
      <w:bodyDiv w:val="1"/>
      <w:marLeft w:val="0"/>
      <w:marRight w:val="0"/>
      <w:marTop w:val="0"/>
      <w:marBottom w:val="0"/>
      <w:divBdr>
        <w:top w:val="none" w:sz="0" w:space="0" w:color="auto"/>
        <w:left w:val="none" w:sz="0" w:space="0" w:color="auto"/>
        <w:bottom w:val="none" w:sz="0" w:space="0" w:color="auto"/>
        <w:right w:val="none" w:sz="0" w:space="0" w:color="auto"/>
      </w:divBdr>
    </w:div>
    <w:div w:id="1011880521">
      <w:bodyDiv w:val="1"/>
      <w:marLeft w:val="0"/>
      <w:marRight w:val="0"/>
      <w:marTop w:val="0"/>
      <w:marBottom w:val="0"/>
      <w:divBdr>
        <w:top w:val="none" w:sz="0" w:space="0" w:color="auto"/>
        <w:left w:val="none" w:sz="0" w:space="0" w:color="auto"/>
        <w:bottom w:val="none" w:sz="0" w:space="0" w:color="auto"/>
        <w:right w:val="none" w:sz="0" w:space="0" w:color="auto"/>
      </w:divBdr>
    </w:div>
    <w:div w:id="1021781460">
      <w:bodyDiv w:val="1"/>
      <w:marLeft w:val="0"/>
      <w:marRight w:val="0"/>
      <w:marTop w:val="0"/>
      <w:marBottom w:val="0"/>
      <w:divBdr>
        <w:top w:val="none" w:sz="0" w:space="0" w:color="auto"/>
        <w:left w:val="none" w:sz="0" w:space="0" w:color="auto"/>
        <w:bottom w:val="none" w:sz="0" w:space="0" w:color="auto"/>
        <w:right w:val="none" w:sz="0" w:space="0" w:color="auto"/>
      </w:divBdr>
    </w:div>
    <w:div w:id="1027289397">
      <w:bodyDiv w:val="1"/>
      <w:marLeft w:val="0"/>
      <w:marRight w:val="0"/>
      <w:marTop w:val="0"/>
      <w:marBottom w:val="0"/>
      <w:divBdr>
        <w:top w:val="none" w:sz="0" w:space="0" w:color="auto"/>
        <w:left w:val="none" w:sz="0" w:space="0" w:color="auto"/>
        <w:bottom w:val="none" w:sz="0" w:space="0" w:color="auto"/>
        <w:right w:val="none" w:sz="0" w:space="0" w:color="auto"/>
      </w:divBdr>
    </w:div>
    <w:div w:id="1031616509">
      <w:bodyDiv w:val="1"/>
      <w:marLeft w:val="0"/>
      <w:marRight w:val="0"/>
      <w:marTop w:val="0"/>
      <w:marBottom w:val="0"/>
      <w:divBdr>
        <w:top w:val="none" w:sz="0" w:space="0" w:color="auto"/>
        <w:left w:val="none" w:sz="0" w:space="0" w:color="auto"/>
        <w:bottom w:val="none" w:sz="0" w:space="0" w:color="auto"/>
        <w:right w:val="none" w:sz="0" w:space="0" w:color="auto"/>
      </w:divBdr>
    </w:div>
    <w:div w:id="1062750741">
      <w:bodyDiv w:val="1"/>
      <w:marLeft w:val="0"/>
      <w:marRight w:val="0"/>
      <w:marTop w:val="0"/>
      <w:marBottom w:val="0"/>
      <w:divBdr>
        <w:top w:val="none" w:sz="0" w:space="0" w:color="auto"/>
        <w:left w:val="none" w:sz="0" w:space="0" w:color="auto"/>
        <w:bottom w:val="none" w:sz="0" w:space="0" w:color="auto"/>
        <w:right w:val="none" w:sz="0" w:space="0" w:color="auto"/>
      </w:divBdr>
    </w:div>
    <w:div w:id="1085953047">
      <w:bodyDiv w:val="1"/>
      <w:marLeft w:val="0"/>
      <w:marRight w:val="0"/>
      <w:marTop w:val="0"/>
      <w:marBottom w:val="0"/>
      <w:divBdr>
        <w:top w:val="none" w:sz="0" w:space="0" w:color="auto"/>
        <w:left w:val="none" w:sz="0" w:space="0" w:color="auto"/>
        <w:bottom w:val="none" w:sz="0" w:space="0" w:color="auto"/>
        <w:right w:val="none" w:sz="0" w:space="0" w:color="auto"/>
      </w:divBdr>
    </w:div>
    <w:div w:id="1086656727">
      <w:bodyDiv w:val="1"/>
      <w:marLeft w:val="0"/>
      <w:marRight w:val="0"/>
      <w:marTop w:val="0"/>
      <w:marBottom w:val="0"/>
      <w:divBdr>
        <w:top w:val="none" w:sz="0" w:space="0" w:color="auto"/>
        <w:left w:val="none" w:sz="0" w:space="0" w:color="auto"/>
        <w:bottom w:val="none" w:sz="0" w:space="0" w:color="auto"/>
        <w:right w:val="none" w:sz="0" w:space="0" w:color="auto"/>
      </w:divBdr>
    </w:div>
    <w:div w:id="1092166730">
      <w:bodyDiv w:val="1"/>
      <w:marLeft w:val="0"/>
      <w:marRight w:val="0"/>
      <w:marTop w:val="0"/>
      <w:marBottom w:val="0"/>
      <w:divBdr>
        <w:top w:val="none" w:sz="0" w:space="0" w:color="auto"/>
        <w:left w:val="none" w:sz="0" w:space="0" w:color="auto"/>
        <w:bottom w:val="none" w:sz="0" w:space="0" w:color="auto"/>
        <w:right w:val="none" w:sz="0" w:space="0" w:color="auto"/>
      </w:divBdr>
    </w:div>
    <w:div w:id="1099838282">
      <w:bodyDiv w:val="1"/>
      <w:marLeft w:val="0"/>
      <w:marRight w:val="0"/>
      <w:marTop w:val="0"/>
      <w:marBottom w:val="0"/>
      <w:divBdr>
        <w:top w:val="none" w:sz="0" w:space="0" w:color="auto"/>
        <w:left w:val="none" w:sz="0" w:space="0" w:color="auto"/>
        <w:bottom w:val="none" w:sz="0" w:space="0" w:color="auto"/>
        <w:right w:val="none" w:sz="0" w:space="0" w:color="auto"/>
      </w:divBdr>
    </w:div>
    <w:div w:id="1112675177">
      <w:bodyDiv w:val="1"/>
      <w:marLeft w:val="0"/>
      <w:marRight w:val="0"/>
      <w:marTop w:val="0"/>
      <w:marBottom w:val="0"/>
      <w:divBdr>
        <w:top w:val="none" w:sz="0" w:space="0" w:color="auto"/>
        <w:left w:val="none" w:sz="0" w:space="0" w:color="auto"/>
        <w:bottom w:val="none" w:sz="0" w:space="0" w:color="auto"/>
        <w:right w:val="none" w:sz="0" w:space="0" w:color="auto"/>
      </w:divBdr>
    </w:div>
    <w:div w:id="1141272250">
      <w:bodyDiv w:val="1"/>
      <w:marLeft w:val="0"/>
      <w:marRight w:val="0"/>
      <w:marTop w:val="0"/>
      <w:marBottom w:val="0"/>
      <w:divBdr>
        <w:top w:val="none" w:sz="0" w:space="0" w:color="auto"/>
        <w:left w:val="none" w:sz="0" w:space="0" w:color="auto"/>
        <w:bottom w:val="none" w:sz="0" w:space="0" w:color="auto"/>
        <w:right w:val="none" w:sz="0" w:space="0" w:color="auto"/>
      </w:divBdr>
    </w:div>
    <w:div w:id="1155335524">
      <w:bodyDiv w:val="1"/>
      <w:marLeft w:val="0"/>
      <w:marRight w:val="0"/>
      <w:marTop w:val="0"/>
      <w:marBottom w:val="0"/>
      <w:divBdr>
        <w:top w:val="none" w:sz="0" w:space="0" w:color="auto"/>
        <w:left w:val="none" w:sz="0" w:space="0" w:color="auto"/>
        <w:bottom w:val="none" w:sz="0" w:space="0" w:color="auto"/>
        <w:right w:val="none" w:sz="0" w:space="0" w:color="auto"/>
      </w:divBdr>
    </w:div>
    <w:div w:id="1191531256">
      <w:bodyDiv w:val="1"/>
      <w:marLeft w:val="0"/>
      <w:marRight w:val="0"/>
      <w:marTop w:val="0"/>
      <w:marBottom w:val="0"/>
      <w:divBdr>
        <w:top w:val="none" w:sz="0" w:space="0" w:color="auto"/>
        <w:left w:val="none" w:sz="0" w:space="0" w:color="auto"/>
        <w:bottom w:val="none" w:sz="0" w:space="0" w:color="auto"/>
        <w:right w:val="none" w:sz="0" w:space="0" w:color="auto"/>
      </w:divBdr>
    </w:div>
    <w:div w:id="1198927206">
      <w:bodyDiv w:val="1"/>
      <w:marLeft w:val="0"/>
      <w:marRight w:val="0"/>
      <w:marTop w:val="0"/>
      <w:marBottom w:val="0"/>
      <w:divBdr>
        <w:top w:val="none" w:sz="0" w:space="0" w:color="auto"/>
        <w:left w:val="none" w:sz="0" w:space="0" w:color="auto"/>
        <w:bottom w:val="none" w:sz="0" w:space="0" w:color="auto"/>
        <w:right w:val="none" w:sz="0" w:space="0" w:color="auto"/>
      </w:divBdr>
    </w:div>
    <w:div w:id="1230261737">
      <w:bodyDiv w:val="1"/>
      <w:marLeft w:val="0"/>
      <w:marRight w:val="0"/>
      <w:marTop w:val="0"/>
      <w:marBottom w:val="0"/>
      <w:divBdr>
        <w:top w:val="none" w:sz="0" w:space="0" w:color="auto"/>
        <w:left w:val="none" w:sz="0" w:space="0" w:color="auto"/>
        <w:bottom w:val="none" w:sz="0" w:space="0" w:color="auto"/>
        <w:right w:val="none" w:sz="0" w:space="0" w:color="auto"/>
      </w:divBdr>
    </w:div>
    <w:div w:id="1244410584">
      <w:bodyDiv w:val="1"/>
      <w:marLeft w:val="0"/>
      <w:marRight w:val="0"/>
      <w:marTop w:val="0"/>
      <w:marBottom w:val="0"/>
      <w:divBdr>
        <w:top w:val="none" w:sz="0" w:space="0" w:color="auto"/>
        <w:left w:val="none" w:sz="0" w:space="0" w:color="auto"/>
        <w:bottom w:val="none" w:sz="0" w:space="0" w:color="auto"/>
        <w:right w:val="none" w:sz="0" w:space="0" w:color="auto"/>
      </w:divBdr>
    </w:div>
    <w:div w:id="1256134456">
      <w:bodyDiv w:val="1"/>
      <w:marLeft w:val="0"/>
      <w:marRight w:val="0"/>
      <w:marTop w:val="0"/>
      <w:marBottom w:val="0"/>
      <w:divBdr>
        <w:top w:val="none" w:sz="0" w:space="0" w:color="auto"/>
        <w:left w:val="none" w:sz="0" w:space="0" w:color="auto"/>
        <w:bottom w:val="none" w:sz="0" w:space="0" w:color="auto"/>
        <w:right w:val="none" w:sz="0" w:space="0" w:color="auto"/>
      </w:divBdr>
    </w:div>
    <w:div w:id="1257905377">
      <w:bodyDiv w:val="1"/>
      <w:marLeft w:val="0"/>
      <w:marRight w:val="0"/>
      <w:marTop w:val="0"/>
      <w:marBottom w:val="0"/>
      <w:divBdr>
        <w:top w:val="none" w:sz="0" w:space="0" w:color="auto"/>
        <w:left w:val="none" w:sz="0" w:space="0" w:color="auto"/>
        <w:bottom w:val="none" w:sz="0" w:space="0" w:color="auto"/>
        <w:right w:val="none" w:sz="0" w:space="0" w:color="auto"/>
      </w:divBdr>
    </w:div>
    <w:div w:id="1258754562">
      <w:bodyDiv w:val="1"/>
      <w:marLeft w:val="0"/>
      <w:marRight w:val="0"/>
      <w:marTop w:val="0"/>
      <w:marBottom w:val="0"/>
      <w:divBdr>
        <w:top w:val="none" w:sz="0" w:space="0" w:color="auto"/>
        <w:left w:val="none" w:sz="0" w:space="0" w:color="auto"/>
        <w:bottom w:val="none" w:sz="0" w:space="0" w:color="auto"/>
        <w:right w:val="none" w:sz="0" w:space="0" w:color="auto"/>
      </w:divBdr>
    </w:div>
    <w:div w:id="1310670856">
      <w:bodyDiv w:val="1"/>
      <w:marLeft w:val="0"/>
      <w:marRight w:val="0"/>
      <w:marTop w:val="0"/>
      <w:marBottom w:val="0"/>
      <w:divBdr>
        <w:top w:val="none" w:sz="0" w:space="0" w:color="auto"/>
        <w:left w:val="none" w:sz="0" w:space="0" w:color="auto"/>
        <w:bottom w:val="none" w:sz="0" w:space="0" w:color="auto"/>
        <w:right w:val="none" w:sz="0" w:space="0" w:color="auto"/>
      </w:divBdr>
    </w:div>
    <w:div w:id="1326010115">
      <w:bodyDiv w:val="1"/>
      <w:marLeft w:val="0"/>
      <w:marRight w:val="0"/>
      <w:marTop w:val="0"/>
      <w:marBottom w:val="0"/>
      <w:divBdr>
        <w:top w:val="none" w:sz="0" w:space="0" w:color="auto"/>
        <w:left w:val="none" w:sz="0" w:space="0" w:color="auto"/>
        <w:bottom w:val="none" w:sz="0" w:space="0" w:color="auto"/>
        <w:right w:val="none" w:sz="0" w:space="0" w:color="auto"/>
      </w:divBdr>
      <w:divsChild>
        <w:div w:id="1797064196">
          <w:marLeft w:val="2160"/>
          <w:marRight w:val="0"/>
          <w:marTop w:val="0"/>
          <w:marBottom w:val="0"/>
          <w:divBdr>
            <w:top w:val="none" w:sz="0" w:space="0" w:color="auto"/>
            <w:left w:val="none" w:sz="0" w:space="0" w:color="auto"/>
            <w:bottom w:val="none" w:sz="0" w:space="0" w:color="auto"/>
            <w:right w:val="none" w:sz="0" w:space="0" w:color="auto"/>
          </w:divBdr>
        </w:div>
      </w:divsChild>
    </w:div>
    <w:div w:id="1326476425">
      <w:bodyDiv w:val="1"/>
      <w:marLeft w:val="0"/>
      <w:marRight w:val="0"/>
      <w:marTop w:val="0"/>
      <w:marBottom w:val="0"/>
      <w:divBdr>
        <w:top w:val="none" w:sz="0" w:space="0" w:color="auto"/>
        <w:left w:val="none" w:sz="0" w:space="0" w:color="auto"/>
        <w:bottom w:val="none" w:sz="0" w:space="0" w:color="auto"/>
        <w:right w:val="none" w:sz="0" w:space="0" w:color="auto"/>
      </w:divBdr>
    </w:div>
    <w:div w:id="1341544365">
      <w:bodyDiv w:val="1"/>
      <w:marLeft w:val="0"/>
      <w:marRight w:val="0"/>
      <w:marTop w:val="0"/>
      <w:marBottom w:val="0"/>
      <w:divBdr>
        <w:top w:val="none" w:sz="0" w:space="0" w:color="auto"/>
        <w:left w:val="none" w:sz="0" w:space="0" w:color="auto"/>
        <w:bottom w:val="none" w:sz="0" w:space="0" w:color="auto"/>
        <w:right w:val="none" w:sz="0" w:space="0" w:color="auto"/>
      </w:divBdr>
    </w:div>
    <w:div w:id="1344815669">
      <w:bodyDiv w:val="1"/>
      <w:marLeft w:val="0"/>
      <w:marRight w:val="0"/>
      <w:marTop w:val="0"/>
      <w:marBottom w:val="0"/>
      <w:divBdr>
        <w:top w:val="none" w:sz="0" w:space="0" w:color="auto"/>
        <w:left w:val="none" w:sz="0" w:space="0" w:color="auto"/>
        <w:bottom w:val="none" w:sz="0" w:space="0" w:color="auto"/>
        <w:right w:val="none" w:sz="0" w:space="0" w:color="auto"/>
      </w:divBdr>
    </w:div>
    <w:div w:id="1359938078">
      <w:bodyDiv w:val="1"/>
      <w:marLeft w:val="0"/>
      <w:marRight w:val="0"/>
      <w:marTop w:val="0"/>
      <w:marBottom w:val="0"/>
      <w:divBdr>
        <w:top w:val="none" w:sz="0" w:space="0" w:color="auto"/>
        <w:left w:val="none" w:sz="0" w:space="0" w:color="auto"/>
        <w:bottom w:val="none" w:sz="0" w:space="0" w:color="auto"/>
        <w:right w:val="none" w:sz="0" w:space="0" w:color="auto"/>
      </w:divBdr>
    </w:div>
    <w:div w:id="1363705140">
      <w:bodyDiv w:val="1"/>
      <w:marLeft w:val="0"/>
      <w:marRight w:val="0"/>
      <w:marTop w:val="0"/>
      <w:marBottom w:val="0"/>
      <w:divBdr>
        <w:top w:val="none" w:sz="0" w:space="0" w:color="auto"/>
        <w:left w:val="none" w:sz="0" w:space="0" w:color="auto"/>
        <w:bottom w:val="none" w:sz="0" w:space="0" w:color="auto"/>
        <w:right w:val="none" w:sz="0" w:space="0" w:color="auto"/>
      </w:divBdr>
    </w:div>
    <w:div w:id="1368985363">
      <w:bodyDiv w:val="1"/>
      <w:marLeft w:val="0"/>
      <w:marRight w:val="0"/>
      <w:marTop w:val="0"/>
      <w:marBottom w:val="0"/>
      <w:divBdr>
        <w:top w:val="none" w:sz="0" w:space="0" w:color="auto"/>
        <w:left w:val="none" w:sz="0" w:space="0" w:color="auto"/>
        <w:bottom w:val="none" w:sz="0" w:space="0" w:color="auto"/>
        <w:right w:val="none" w:sz="0" w:space="0" w:color="auto"/>
      </w:divBdr>
    </w:div>
    <w:div w:id="1371803287">
      <w:bodyDiv w:val="1"/>
      <w:marLeft w:val="0"/>
      <w:marRight w:val="0"/>
      <w:marTop w:val="0"/>
      <w:marBottom w:val="0"/>
      <w:divBdr>
        <w:top w:val="none" w:sz="0" w:space="0" w:color="auto"/>
        <w:left w:val="none" w:sz="0" w:space="0" w:color="auto"/>
        <w:bottom w:val="none" w:sz="0" w:space="0" w:color="auto"/>
        <w:right w:val="none" w:sz="0" w:space="0" w:color="auto"/>
      </w:divBdr>
    </w:div>
    <w:div w:id="1372417743">
      <w:bodyDiv w:val="1"/>
      <w:marLeft w:val="0"/>
      <w:marRight w:val="0"/>
      <w:marTop w:val="0"/>
      <w:marBottom w:val="0"/>
      <w:divBdr>
        <w:top w:val="none" w:sz="0" w:space="0" w:color="auto"/>
        <w:left w:val="none" w:sz="0" w:space="0" w:color="auto"/>
        <w:bottom w:val="none" w:sz="0" w:space="0" w:color="auto"/>
        <w:right w:val="none" w:sz="0" w:space="0" w:color="auto"/>
      </w:divBdr>
    </w:div>
    <w:div w:id="1381783792">
      <w:bodyDiv w:val="1"/>
      <w:marLeft w:val="0"/>
      <w:marRight w:val="0"/>
      <w:marTop w:val="0"/>
      <w:marBottom w:val="0"/>
      <w:divBdr>
        <w:top w:val="none" w:sz="0" w:space="0" w:color="auto"/>
        <w:left w:val="none" w:sz="0" w:space="0" w:color="auto"/>
        <w:bottom w:val="none" w:sz="0" w:space="0" w:color="auto"/>
        <w:right w:val="none" w:sz="0" w:space="0" w:color="auto"/>
      </w:divBdr>
    </w:div>
    <w:div w:id="1404059286">
      <w:bodyDiv w:val="1"/>
      <w:marLeft w:val="0"/>
      <w:marRight w:val="0"/>
      <w:marTop w:val="0"/>
      <w:marBottom w:val="0"/>
      <w:divBdr>
        <w:top w:val="none" w:sz="0" w:space="0" w:color="auto"/>
        <w:left w:val="none" w:sz="0" w:space="0" w:color="auto"/>
        <w:bottom w:val="none" w:sz="0" w:space="0" w:color="auto"/>
        <w:right w:val="none" w:sz="0" w:space="0" w:color="auto"/>
      </w:divBdr>
    </w:div>
    <w:div w:id="1435782124">
      <w:bodyDiv w:val="1"/>
      <w:marLeft w:val="0"/>
      <w:marRight w:val="0"/>
      <w:marTop w:val="0"/>
      <w:marBottom w:val="0"/>
      <w:divBdr>
        <w:top w:val="none" w:sz="0" w:space="0" w:color="auto"/>
        <w:left w:val="none" w:sz="0" w:space="0" w:color="auto"/>
        <w:bottom w:val="none" w:sz="0" w:space="0" w:color="auto"/>
        <w:right w:val="none" w:sz="0" w:space="0" w:color="auto"/>
      </w:divBdr>
    </w:div>
    <w:div w:id="1465076858">
      <w:bodyDiv w:val="1"/>
      <w:marLeft w:val="0"/>
      <w:marRight w:val="0"/>
      <w:marTop w:val="0"/>
      <w:marBottom w:val="0"/>
      <w:divBdr>
        <w:top w:val="none" w:sz="0" w:space="0" w:color="auto"/>
        <w:left w:val="none" w:sz="0" w:space="0" w:color="auto"/>
        <w:bottom w:val="none" w:sz="0" w:space="0" w:color="auto"/>
        <w:right w:val="none" w:sz="0" w:space="0" w:color="auto"/>
      </w:divBdr>
    </w:div>
    <w:div w:id="1479882638">
      <w:bodyDiv w:val="1"/>
      <w:marLeft w:val="0"/>
      <w:marRight w:val="0"/>
      <w:marTop w:val="0"/>
      <w:marBottom w:val="0"/>
      <w:divBdr>
        <w:top w:val="none" w:sz="0" w:space="0" w:color="auto"/>
        <w:left w:val="none" w:sz="0" w:space="0" w:color="auto"/>
        <w:bottom w:val="none" w:sz="0" w:space="0" w:color="auto"/>
        <w:right w:val="none" w:sz="0" w:space="0" w:color="auto"/>
      </w:divBdr>
    </w:div>
    <w:div w:id="1493064316">
      <w:bodyDiv w:val="1"/>
      <w:marLeft w:val="0"/>
      <w:marRight w:val="0"/>
      <w:marTop w:val="0"/>
      <w:marBottom w:val="0"/>
      <w:divBdr>
        <w:top w:val="none" w:sz="0" w:space="0" w:color="auto"/>
        <w:left w:val="none" w:sz="0" w:space="0" w:color="auto"/>
        <w:bottom w:val="none" w:sz="0" w:space="0" w:color="auto"/>
        <w:right w:val="none" w:sz="0" w:space="0" w:color="auto"/>
      </w:divBdr>
    </w:div>
    <w:div w:id="1500270550">
      <w:bodyDiv w:val="1"/>
      <w:marLeft w:val="0"/>
      <w:marRight w:val="0"/>
      <w:marTop w:val="0"/>
      <w:marBottom w:val="0"/>
      <w:divBdr>
        <w:top w:val="none" w:sz="0" w:space="0" w:color="auto"/>
        <w:left w:val="none" w:sz="0" w:space="0" w:color="auto"/>
        <w:bottom w:val="none" w:sz="0" w:space="0" w:color="auto"/>
        <w:right w:val="none" w:sz="0" w:space="0" w:color="auto"/>
      </w:divBdr>
    </w:div>
    <w:div w:id="1507742723">
      <w:bodyDiv w:val="1"/>
      <w:marLeft w:val="0"/>
      <w:marRight w:val="0"/>
      <w:marTop w:val="0"/>
      <w:marBottom w:val="0"/>
      <w:divBdr>
        <w:top w:val="none" w:sz="0" w:space="0" w:color="auto"/>
        <w:left w:val="none" w:sz="0" w:space="0" w:color="auto"/>
        <w:bottom w:val="none" w:sz="0" w:space="0" w:color="auto"/>
        <w:right w:val="none" w:sz="0" w:space="0" w:color="auto"/>
      </w:divBdr>
    </w:div>
    <w:div w:id="1519193516">
      <w:bodyDiv w:val="1"/>
      <w:marLeft w:val="0"/>
      <w:marRight w:val="0"/>
      <w:marTop w:val="0"/>
      <w:marBottom w:val="0"/>
      <w:divBdr>
        <w:top w:val="none" w:sz="0" w:space="0" w:color="auto"/>
        <w:left w:val="none" w:sz="0" w:space="0" w:color="auto"/>
        <w:bottom w:val="none" w:sz="0" w:space="0" w:color="auto"/>
        <w:right w:val="none" w:sz="0" w:space="0" w:color="auto"/>
      </w:divBdr>
    </w:div>
    <w:div w:id="1524898020">
      <w:bodyDiv w:val="1"/>
      <w:marLeft w:val="0"/>
      <w:marRight w:val="0"/>
      <w:marTop w:val="0"/>
      <w:marBottom w:val="0"/>
      <w:divBdr>
        <w:top w:val="none" w:sz="0" w:space="0" w:color="auto"/>
        <w:left w:val="none" w:sz="0" w:space="0" w:color="auto"/>
        <w:bottom w:val="none" w:sz="0" w:space="0" w:color="auto"/>
        <w:right w:val="none" w:sz="0" w:space="0" w:color="auto"/>
      </w:divBdr>
    </w:div>
    <w:div w:id="1530681844">
      <w:bodyDiv w:val="1"/>
      <w:marLeft w:val="0"/>
      <w:marRight w:val="0"/>
      <w:marTop w:val="0"/>
      <w:marBottom w:val="0"/>
      <w:divBdr>
        <w:top w:val="none" w:sz="0" w:space="0" w:color="auto"/>
        <w:left w:val="none" w:sz="0" w:space="0" w:color="auto"/>
        <w:bottom w:val="none" w:sz="0" w:space="0" w:color="auto"/>
        <w:right w:val="none" w:sz="0" w:space="0" w:color="auto"/>
      </w:divBdr>
    </w:div>
    <w:div w:id="1531793389">
      <w:bodyDiv w:val="1"/>
      <w:marLeft w:val="0"/>
      <w:marRight w:val="0"/>
      <w:marTop w:val="0"/>
      <w:marBottom w:val="0"/>
      <w:divBdr>
        <w:top w:val="none" w:sz="0" w:space="0" w:color="auto"/>
        <w:left w:val="none" w:sz="0" w:space="0" w:color="auto"/>
        <w:bottom w:val="none" w:sz="0" w:space="0" w:color="auto"/>
        <w:right w:val="none" w:sz="0" w:space="0" w:color="auto"/>
      </w:divBdr>
    </w:div>
    <w:div w:id="1550221254">
      <w:bodyDiv w:val="1"/>
      <w:marLeft w:val="0"/>
      <w:marRight w:val="0"/>
      <w:marTop w:val="0"/>
      <w:marBottom w:val="0"/>
      <w:divBdr>
        <w:top w:val="none" w:sz="0" w:space="0" w:color="auto"/>
        <w:left w:val="none" w:sz="0" w:space="0" w:color="auto"/>
        <w:bottom w:val="none" w:sz="0" w:space="0" w:color="auto"/>
        <w:right w:val="none" w:sz="0" w:space="0" w:color="auto"/>
      </w:divBdr>
    </w:div>
    <w:div w:id="1574006667">
      <w:bodyDiv w:val="1"/>
      <w:marLeft w:val="0"/>
      <w:marRight w:val="0"/>
      <w:marTop w:val="0"/>
      <w:marBottom w:val="0"/>
      <w:divBdr>
        <w:top w:val="none" w:sz="0" w:space="0" w:color="auto"/>
        <w:left w:val="none" w:sz="0" w:space="0" w:color="auto"/>
        <w:bottom w:val="none" w:sz="0" w:space="0" w:color="auto"/>
        <w:right w:val="none" w:sz="0" w:space="0" w:color="auto"/>
      </w:divBdr>
    </w:div>
    <w:div w:id="1579319012">
      <w:bodyDiv w:val="1"/>
      <w:marLeft w:val="0"/>
      <w:marRight w:val="0"/>
      <w:marTop w:val="0"/>
      <w:marBottom w:val="0"/>
      <w:divBdr>
        <w:top w:val="none" w:sz="0" w:space="0" w:color="auto"/>
        <w:left w:val="none" w:sz="0" w:space="0" w:color="auto"/>
        <w:bottom w:val="none" w:sz="0" w:space="0" w:color="auto"/>
        <w:right w:val="none" w:sz="0" w:space="0" w:color="auto"/>
      </w:divBdr>
    </w:div>
    <w:div w:id="1581598857">
      <w:bodyDiv w:val="1"/>
      <w:marLeft w:val="0"/>
      <w:marRight w:val="0"/>
      <w:marTop w:val="0"/>
      <w:marBottom w:val="0"/>
      <w:divBdr>
        <w:top w:val="none" w:sz="0" w:space="0" w:color="auto"/>
        <w:left w:val="none" w:sz="0" w:space="0" w:color="auto"/>
        <w:bottom w:val="none" w:sz="0" w:space="0" w:color="auto"/>
        <w:right w:val="none" w:sz="0" w:space="0" w:color="auto"/>
      </w:divBdr>
    </w:div>
    <w:div w:id="1598172267">
      <w:bodyDiv w:val="1"/>
      <w:marLeft w:val="0"/>
      <w:marRight w:val="0"/>
      <w:marTop w:val="0"/>
      <w:marBottom w:val="0"/>
      <w:divBdr>
        <w:top w:val="none" w:sz="0" w:space="0" w:color="auto"/>
        <w:left w:val="none" w:sz="0" w:space="0" w:color="auto"/>
        <w:bottom w:val="none" w:sz="0" w:space="0" w:color="auto"/>
        <w:right w:val="none" w:sz="0" w:space="0" w:color="auto"/>
      </w:divBdr>
    </w:div>
    <w:div w:id="1601179826">
      <w:bodyDiv w:val="1"/>
      <w:marLeft w:val="0"/>
      <w:marRight w:val="0"/>
      <w:marTop w:val="0"/>
      <w:marBottom w:val="0"/>
      <w:divBdr>
        <w:top w:val="none" w:sz="0" w:space="0" w:color="auto"/>
        <w:left w:val="none" w:sz="0" w:space="0" w:color="auto"/>
        <w:bottom w:val="none" w:sz="0" w:space="0" w:color="auto"/>
        <w:right w:val="none" w:sz="0" w:space="0" w:color="auto"/>
      </w:divBdr>
    </w:div>
    <w:div w:id="1607692854">
      <w:bodyDiv w:val="1"/>
      <w:marLeft w:val="0"/>
      <w:marRight w:val="0"/>
      <w:marTop w:val="0"/>
      <w:marBottom w:val="0"/>
      <w:divBdr>
        <w:top w:val="none" w:sz="0" w:space="0" w:color="auto"/>
        <w:left w:val="none" w:sz="0" w:space="0" w:color="auto"/>
        <w:bottom w:val="none" w:sz="0" w:space="0" w:color="auto"/>
        <w:right w:val="none" w:sz="0" w:space="0" w:color="auto"/>
      </w:divBdr>
    </w:div>
    <w:div w:id="1648896659">
      <w:bodyDiv w:val="1"/>
      <w:marLeft w:val="0"/>
      <w:marRight w:val="0"/>
      <w:marTop w:val="0"/>
      <w:marBottom w:val="0"/>
      <w:divBdr>
        <w:top w:val="none" w:sz="0" w:space="0" w:color="auto"/>
        <w:left w:val="none" w:sz="0" w:space="0" w:color="auto"/>
        <w:bottom w:val="none" w:sz="0" w:space="0" w:color="auto"/>
        <w:right w:val="none" w:sz="0" w:space="0" w:color="auto"/>
      </w:divBdr>
    </w:div>
    <w:div w:id="1659111645">
      <w:bodyDiv w:val="1"/>
      <w:marLeft w:val="0"/>
      <w:marRight w:val="0"/>
      <w:marTop w:val="0"/>
      <w:marBottom w:val="0"/>
      <w:divBdr>
        <w:top w:val="none" w:sz="0" w:space="0" w:color="auto"/>
        <w:left w:val="none" w:sz="0" w:space="0" w:color="auto"/>
        <w:bottom w:val="none" w:sz="0" w:space="0" w:color="auto"/>
        <w:right w:val="none" w:sz="0" w:space="0" w:color="auto"/>
      </w:divBdr>
    </w:div>
    <w:div w:id="1666013108">
      <w:bodyDiv w:val="1"/>
      <w:marLeft w:val="0"/>
      <w:marRight w:val="0"/>
      <w:marTop w:val="0"/>
      <w:marBottom w:val="0"/>
      <w:divBdr>
        <w:top w:val="none" w:sz="0" w:space="0" w:color="auto"/>
        <w:left w:val="none" w:sz="0" w:space="0" w:color="auto"/>
        <w:bottom w:val="none" w:sz="0" w:space="0" w:color="auto"/>
        <w:right w:val="none" w:sz="0" w:space="0" w:color="auto"/>
      </w:divBdr>
    </w:div>
    <w:div w:id="1670408492">
      <w:bodyDiv w:val="1"/>
      <w:marLeft w:val="0"/>
      <w:marRight w:val="0"/>
      <w:marTop w:val="0"/>
      <w:marBottom w:val="0"/>
      <w:divBdr>
        <w:top w:val="none" w:sz="0" w:space="0" w:color="auto"/>
        <w:left w:val="none" w:sz="0" w:space="0" w:color="auto"/>
        <w:bottom w:val="none" w:sz="0" w:space="0" w:color="auto"/>
        <w:right w:val="none" w:sz="0" w:space="0" w:color="auto"/>
      </w:divBdr>
    </w:div>
    <w:div w:id="1690333359">
      <w:bodyDiv w:val="1"/>
      <w:marLeft w:val="0"/>
      <w:marRight w:val="0"/>
      <w:marTop w:val="0"/>
      <w:marBottom w:val="0"/>
      <w:divBdr>
        <w:top w:val="none" w:sz="0" w:space="0" w:color="auto"/>
        <w:left w:val="none" w:sz="0" w:space="0" w:color="auto"/>
        <w:bottom w:val="none" w:sz="0" w:space="0" w:color="auto"/>
        <w:right w:val="none" w:sz="0" w:space="0" w:color="auto"/>
      </w:divBdr>
    </w:div>
    <w:div w:id="1715042356">
      <w:bodyDiv w:val="1"/>
      <w:marLeft w:val="0"/>
      <w:marRight w:val="0"/>
      <w:marTop w:val="0"/>
      <w:marBottom w:val="0"/>
      <w:divBdr>
        <w:top w:val="none" w:sz="0" w:space="0" w:color="auto"/>
        <w:left w:val="none" w:sz="0" w:space="0" w:color="auto"/>
        <w:bottom w:val="none" w:sz="0" w:space="0" w:color="auto"/>
        <w:right w:val="none" w:sz="0" w:space="0" w:color="auto"/>
      </w:divBdr>
    </w:div>
    <w:div w:id="1719158584">
      <w:bodyDiv w:val="1"/>
      <w:marLeft w:val="0"/>
      <w:marRight w:val="0"/>
      <w:marTop w:val="0"/>
      <w:marBottom w:val="0"/>
      <w:divBdr>
        <w:top w:val="none" w:sz="0" w:space="0" w:color="auto"/>
        <w:left w:val="none" w:sz="0" w:space="0" w:color="auto"/>
        <w:bottom w:val="none" w:sz="0" w:space="0" w:color="auto"/>
        <w:right w:val="none" w:sz="0" w:space="0" w:color="auto"/>
      </w:divBdr>
    </w:div>
    <w:div w:id="1734812615">
      <w:bodyDiv w:val="1"/>
      <w:marLeft w:val="0"/>
      <w:marRight w:val="0"/>
      <w:marTop w:val="0"/>
      <w:marBottom w:val="0"/>
      <w:divBdr>
        <w:top w:val="none" w:sz="0" w:space="0" w:color="auto"/>
        <w:left w:val="none" w:sz="0" w:space="0" w:color="auto"/>
        <w:bottom w:val="none" w:sz="0" w:space="0" w:color="auto"/>
        <w:right w:val="none" w:sz="0" w:space="0" w:color="auto"/>
      </w:divBdr>
    </w:div>
    <w:div w:id="1803765276">
      <w:bodyDiv w:val="1"/>
      <w:marLeft w:val="0"/>
      <w:marRight w:val="0"/>
      <w:marTop w:val="0"/>
      <w:marBottom w:val="0"/>
      <w:divBdr>
        <w:top w:val="none" w:sz="0" w:space="0" w:color="auto"/>
        <w:left w:val="none" w:sz="0" w:space="0" w:color="auto"/>
        <w:bottom w:val="none" w:sz="0" w:space="0" w:color="auto"/>
        <w:right w:val="none" w:sz="0" w:space="0" w:color="auto"/>
      </w:divBdr>
    </w:div>
    <w:div w:id="1806269870">
      <w:bodyDiv w:val="1"/>
      <w:marLeft w:val="0"/>
      <w:marRight w:val="0"/>
      <w:marTop w:val="0"/>
      <w:marBottom w:val="0"/>
      <w:divBdr>
        <w:top w:val="none" w:sz="0" w:space="0" w:color="auto"/>
        <w:left w:val="none" w:sz="0" w:space="0" w:color="auto"/>
        <w:bottom w:val="none" w:sz="0" w:space="0" w:color="auto"/>
        <w:right w:val="none" w:sz="0" w:space="0" w:color="auto"/>
      </w:divBdr>
    </w:div>
    <w:div w:id="1854801978">
      <w:bodyDiv w:val="1"/>
      <w:marLeft w:val="0"/>
      <w:marRight w:val="0"/>
      <w:marTop w:val="0"/>
      <w:marBottom w:val="0"/>
      <w:divBdr>
        <w:top w:val="none" w:sz="0" w:space="0" w:color="auto"/>
        <w:left w:val="none" w:sz="0" w:space="0" w:color="auto"/>
        <w:bottom w:val="none" w:sz="0" w:space="0" w:color="auto"/>
        <w:right w:val="none" w:sz="0" w:space="0" w:color="auto"/>
      </w:divBdr>
    </w:div>
    <w:div w:id="1870675902">
      <w:bodyDiv w:val="1"/>
      <w:marLeft w:val="0"/>
      <w:marRight w:val="0"/>
      <w:marTop w:val="0"/>
      <w:marBottom w:val="0"/>
      <w:divBdr>
        <w:top w:val="none" w:sz="0" w:space="0" w:color="auto"/>
        <w:left w:val="none" w:sz="0" w:space="0" w:color="auto"/>
        <w:bottom w:val="none" w:sz="0" w:space="0" w:color="auto"/>
        <w:right w:val="none" w:sz="0" w:space="0" w:color="auto"/>
      </w:divBdr>
    </w:div>
    <w:div w:id="1873495290">
      <w:bodyDiv w:val="1"/>
      <w:marLeft w:val="0"/>
      <w:marRight w:val="0"/>
      <w:marTop w:val="0"/>
      <w:marBottom w:val="0"/>
      <w:divBdr>
        <w:top w:val="none" w:sz="0" w:space="0" w:color="auto"/>
        <w:left w:val="none" w:sz="0" w:space="0" w:color="auto"/>
        <w:bottom w:val="none" w:sz="0" w:space="0" w:color="auto"/>
        <w:right w:val="none" w:sz="0" w:space="0" w:color="auto"/>
      </w:divBdr>
    </w:div>
    <w:div w:id="1876119472">
      <w:bodyDiv w:val="1"/>
      <w:marLeft w:val="0"/>
      <w:marRight w:val="0"/>
      <w:marTop w:val="0"/>
      <w:marBottom w:val="0"/>
      <w:divBdr>
        <w:top w:val="none" w:sz="0" w:space="0" w:color="auto"/>
        <w:left w:val="none" w:sz="0" w:space="0" w:color="auto"/>
        <w:bottom w:val="none" w:sz="0" w:space="0" w:color="auto"/>
        <w:right w:val="none" w:sz="0" w:space="0" w:color="auto"/>
      </w:divBdr>
    </w:div>
    <w:div w:id="1885671666">
      <w:bodyDiv w:val="1"/>
      <w:marLeft w:val="0"/>
      <w:marRight w:val="0"/>
      <w:marTop w:val="0"/>
      <w:marBottom w:val="0"/>
      <w:divBdr>
        <w:top w:val="none" w:sz="0" w:space="0" w:color="auto"/>
        <w:left w:val="none" w:sz="0" w:space="0" w:color="auto"/>
        <w:bottom w:val="none" w:sz="0" w:space="0" w:color="auto"/>
        <w:right w:val="none" w:sz="0" w:space="0" w:color="auto"/>
      </w:divBdr>
    </w:div>
    <w:div w:id="1906916619">
      <w:bodyDiv w:val="1"/>
      <w:marLeft w:val="0"/>
      <w:marRight w:val="0"/>
      <w:marTop w:val="0"/>
      <w:marBottom w:val="0"/>
      <w:divBdr>
        <w:top w:val="none" w:sz="0" w:space="0" w:color="auto"/>
        <w:left w:val="none" w:sz="0" w:space="0" w:color="auto"/>
        <w:bottom w:val="none" w:sz="0" w:space="0" w:color="auto"/>
        <w:right w:val="none" w:sz="0" w:space="0" w:color="auto"/>
      </w:divBdr>
    </w:div>
    <w:div w:id="1909608875">
      <w:bodyDiv w:val="1"/>
      <w:marLeft w:val="0"/>
      <w:marRight w:val="0"/>
      <w:marTop w:val="0"/>
      <w:marBottom w:val="0"/>
      <w:divBdr>
        <w:top w:val="none" w:sz="0" w:space="0" w:color="auto"/>
        <w:left w:val="none" w:sz="0" w:space="0" w:color="auto"/>
        <w:bottom w:val="none" w:sz="0" w:space="0" w:color="auto"/>
        <w:right w:val="none" w:sz="0" w:space="0" w:color="auto"/>
      </w:divBdr>
    </w:div>
    <w:div w:id="1920748717">
      <w:bodyDiv w:val="1"/>
      <w:marLeft w:val="0"/>
      <w:marRight w:val="0"/>
      <w:marTop w:val="0"/>
      <w:marBottom w:val="0"/>
      <w:divBdr>
        <w:top w:val="none" w:sz="0" w:space="0" w:color="auto"/>
        <w:left w:val="none" w:sz="0" w:space="0" w:color="auto"/>
        <w:bottom w:val="none" w:sz="0" w:space="0" w:color="auto"/>
        <w:right w:val="none" w:sz="0" w:space="0" w:color="auto"/>
      </w:divBdr>
    </w:div>
    <w:div w:id="1921133460">
      <w:bodyDiv w:val="1"/>
      <w:marLeft w:val="0"/>
      <w:marRight w:val="0"/>
      <w:marTop w:val="0"/>
      <w:marBottom w:val="0"/>
      <w:divBdr>
        <w:top w:val="none" w:sz="0" w:space="0" w:color="auto"/>
        <w:left w:val="none" w:sz="0" w:space="0" w:color="auto"/>
        <w:bottom w:val="none" w:sz="0" w:space="0" w:color="auto"/>
        <w:right w:val="none" w:sz="0" w:space="0" w:color="auto"/>
      </w:divBdr>
    </w:div>
    <w:div w:id="1933318289">
      <w:bodyDiv w:val="1"/>
      <w:marLeft w:val="0"/>
      <w:marRight w:val="0"/>
      <w:marTop w:val="0"/>
      <w:marBottom w:val="0"/>
      <w:divBdr>
        <w:top w:val="none" w:sz="0" w:space="0" w:color="auto"/>
        <w:left w:val="none" w:sz="0" w:space="0" w:color="auto"/>
        <w:bottom w:val="none" w:sz="0" w:space="0" w:color="auto"/>
        <w:right w:val="none" w:sz="0" w:space="0" w:color="auto"/>
      </w:divBdr>
    </w:div>
    <w:div w:id="1939677687">
      <w:bodyDiv w:val="1"/>
      <w:marLeft w:val="0"/>
      <w:marRight w:val="0"/>
      <w:marTop w:val="0"/>
      <w:marBottom w:val="0"/>
      <w:divBdr>
        <w:top w:val="none" w:sz="0" w:space="0" w:color="auto"/>
        <w:left w:val="none" w:sz="0" w:space="0" w:color="auto"/>
        <w:bottom w:val="none" w:sz="0" w:space="0" w:color="auto"/>
        <w:right w:val="none" w:sz="0" w:space="0" w:color="auto"/>
      </w:divBdr>
    </w:div>
    <w:div w:id="1940217351">
      <w:bodyDiv w:val="1"/>
      <w:marLeft w:val="0"/>
      <w:marRight w:val="0"/>
      <w:marTop w:val="0"/>
      <w:marBottom w:val="0"/>
      <w:divBdr>
        <w:top w:val="none" w:sz="0" w:space="0" w:color="auto"/>
        <w:left w:val="none" w:sz="0" w:space="0" w:color="auto"/>
        <w:bottom w:val="none" w:sz="0" w:space="0" w:color="auto"/>
        <w:right w:val="none" w:sz="0" w:space="0" w:color="auto"/>
      </w:divBdr>
    </w:div>
    <w:div w:id="1941377612">
      <w:bodyDiv w:val="1"/>
      <w:marLeft w:val="0"/>
      <w:marRight w:val="0"/>
      <w:marTop w:val="0"/>
      <w:marBottom w:val="0"/>
      <w:divBdr>
        <w:top w:val="none" w:sz="0" w:space="0" w:color="auto"/>
        <w:left w:val="none" w:sz="0" w:space="0" w:color="auto"/>
        <w:bottom w:val="none" w:sz="0" w:space="0" w:color="auto"/>
        <w:right w:val="none" w:sz="0" w:space="0" w:color="auto"/>
      </w:divBdr>
    </w:div>
    <w:div w:id="1943566580">
      <w:bodyDiv w:val="1"/>
      <w:marLeft w:val="0"/>
      <w:marRight w:val="0"/>
      <w:marTop w:val="0"/>
      <w:marBottom w:val="0"/>
      <w:divBdr>
        <w:top w:val="none" w:sz="0" w:space="0" w:color="auto"/>
        <w:left w:val="none" w:sz="0" w:space="0" w:color="auto"/>
        <w:bottom w:val="none" w:sz="0" w:space="0" w:color="auto"/>
        <w:right w:val="none" w:sz="0" w:space="0" w:color="auto"/>
      </w:divBdr>
    </w:div>
    <w:div w:id="1957250085">
      <w:bodyDiv w:val="1"/>
      <w:marLeft w:val="0"/>
      <w:marRight w:val="0"/>
      <w:marTop w:val="0"/>
      <w:marBottom w:val="0"/>
      <w:divBdr>
        <w:top w:val="none" w:sz="0" w:space="0" w:color="auto"/>
        <w:left w:val="none" w:sz="0" w:space="0" w:color="auto"/>
        <w:bottom w:val="none" w:sz="0" w:space="0" w:color="auto"/>
        <w:right w:val="none" w:sz="0" w:space="0" w:color="auto"/>
      </w:divBdr>
    </w:div>
    <w:div w:id="2005819908">
      <w:bodyDiv w:val="1"/>
      <w:marLeft w:val="0"/>
      <w:marRight w:val="0"/>
      <w:marTop w:val="0"/>
      <w:marBottom w:val="0"/>
      <w:divBdr>
        <w:top w:val="none" w:sz="0" w:space="0" w:color="auto"/>
        <w:left w:val="none" w:sz="0" w:space="0" w:color="auto"/>
        <w:bottom w:val="none" w:sz="0" w:space="0" w:color="auto"/>
        <w:right w:val="none" w:sz="0" w:space="0" w:color="auto"/>
      </w:divBdr>
    </w:div>
    <w:div w:id="2048287419">
      <w:bodyDiv w:val="1"/>
      <w:marLeft w:val="0"/>
      <w:marRight w:val="0"/>
      <w:marTop w:val="0"/>
      <w:marBottom w:val="0"/>
      <w:divBdr>
        <w:top w:val="none" w:sz="0" w:space="0" w:color="auto"/>
        <w:left w:val="none" w:sz="0" w:space="0" w:color="auto"/>
        <w:bottom w:val="none" w:sz="0" w:space="0" w:color="auto"/>
        <w:right w:val="none" w:sz="0" w:space="0" w:color="auto"/>
      </w:divBdr>
    </w:div>
    <w:div w:id="2070692551">
      <w:bodyDiv w:val="1"/>
      <w:marLeft w:val="0"/>
      <w:marRight w:val="0"/>
      <w:marTop w:val="0"/>
      <w:marBottom w:val="0"/>
      <w:divBdr>
        <w:top w:val="none" w:sz="0" w:space="0" w:color="auto"/>
        <w:left w:val="none" w:sz="0" w:space="0" w:color="auto"/>
        <w:bottom w:val="none" w:sz="0" w:space="0" w:color="auto"/>
        <w:right w:val="none" w:sz="0" w:space="0" w:color="auto"/>
      </w:divBdr>
    </w:div>
    <w:div w:id="2101370017">
      <w:bodyDiv w:val="1"/>
      <w:marLeft w:val="0"/>
      <w:marRight w:val="0"/>
      <w:marTop w:val="0"/>
      <w:marBottom w:val="0"/>
      <w:divBdr>
        <w:top w:val="none" w:sz="0" w:space="0" w:color="auto"/>
        <w:left w:val="none" w:sz="0" w:space="0" w:color="auto"/>
        <w:bottom w:val="none" w:sz="0" w:space="0" w:color="auto"/>
        <w:right w:val="none" w:sz="0" w:space="0" w:color="auto"/>
      </w:divBdr>
    </w:div>
    <w:div w:id="2112584514">
      <w:bodyDiv w:val="1"/>
      <w:marLeft w:val="0"/>
      <w:marRight w:val="0"/>
      <w:marTop w:val="0"/>
      <w:marBottom w:val="0"/>
      <w:divBdr>
        <w:top w:val="none" w:sz="0" w:space="0" w:color="auto"/>
        <w:left w:val="none" w:sz="0" w:space="0" w:color="auto"/>
        <w:bottom w:val="none" w:sz="0" w:space="0" w:color="auto"/>
        <w:right w:val="none" w:sz="0" w:space="0" w:color="auto"/>
      </w:divBdr>
    </w:div>
    <w:div w:id="2119448194">
      <w:bodyDiv w:val="1"/>
      <w:marLeft w:val="0"/>
      <w:marRight w:val="0"/>
      <w:marTop w:val="0"/>
      <w:marBottom w:val="0"/>
      <w:divBdr>
        <w:top w:val="none" w:sz="0" w:space="0" w:color="auto"/>
        <w:left w:val="none" w:sz="0" w:space="0" w:color="auto"/>
        <w:bottom w:val="none" w:sz="0" w:space="0" w:color="auto"/>
        <w:right w:val="none" w:sz="0" w:space="0" w:color="auto"/>
      </w:divBdr>
    </w:div>
    <w:div w:id="2128155404">
      <w:bodyDiv w:val="1"/>
      <w:marLeft w:val="0"/>
      <w:marRight w:val="0"/>
      <w:marTop w:val="0"/>
      <w:marBottom w:val="0"/>
      <w:divBdr>
        <w:top w:val="none" w:sz="0" w:space="0" w:color="auto"/>
        <w:left w:val="none" w:sz="0" w:space="0" w:color="auto"/>
        <w:bottom w:val="none" w:sz="0" w:space="0" w:color="auto"/>
        <w:right w:val="none" w:sz="0" w:space="0" w:color="auto"/>
      </w:divBdr>
    </w:div>
    <w:div w:id="213359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vean.jcvi.org" TargetMode="External"/><Relationship Id="rId18" Type="http://schemas.openxmlformats.org/officeDocument/2006/relationships/hyperlink" Target="http://trap-score.org" TargetMode="External"/><Relationship Id="rId26" Type="http://schemas.openxmlformats.org/officeDocument/2006/relationships/hyperlink" Target="https://ccb.jhu.edu/software/genesplicer/" TargetMode="External"/><Relationship Id="rId39" Type="http://schemas.openxmlformats.org/officeDocument/2006/relationships/hyperlink" Target="http://structure.bioc.cam.ac.uk/duet" TargetMode="External"/><Relationship Id="rId21" Type="http://schemas.openxmlformats.org/officeDocument/2006/relationships/hyperlink" Target="http://varscan.sourceforge.net/" TargetMode="External"/><Relationship Id="rId34" Type="http://schemas.openxmlformats.org/officeDocument/2006/relationships/hyperlink" Target="http://pantherdb.org/tools/csnpScoreForm.jsp" TargetMode="External"/><Relationship Id="rId42" Type="http://schemas.openxmlformats.org/officeDocument/2006/relationships/hyperlink" Target="http://protein.bio.unipd.it/neemo/" TargetMode="External"/><Relationship Id="rId47" Type="http://schemas.openxmlformats.org/officeDocument/2006/relationships/hyperlink" Target="http://cbcl.ics.uci.edu/public_data/DANN" TargetMode="External"/><Relationship Id="rId50" Type="http://schemas.openxmlformats.org/officeDocument/2006/relationships/image" Target="media/image2.png"/><Relationship Id="rId55" Type="http://schemas.openxmlformats.org/officeDocument/2006/relationships/fontTable" Target="fontTable.xml"/><Relationship Id="rId7" Type="http://schemas.openxmlformats.org/officeDocument/2006/relationships/hyperlink" Target="http://gnomad.broadinstitute.org/" TargetMode="External"/><Relationship Id="rId2" Type="http://schemas.openxmlformats.org/officeDocument/2006/relationships/styles" Target="styles.xml"/><Relationship Id="rId16" Type="http://schemas.openxmlformats.org/officeDocument/2006/relationships/hyperlink" Target="http://fathmm.biocompute.org.uk/fathmmMKL.htm" TargetMode="External"/><Relationship Id="rId29" Type="http://schemas.openxmlformats.org/officeDocument/2006/relationships/hyperlink" Target="http://mutdb.org/mutpredsplice/about.htm" TargetMode="External"/><Relationship Id="rId11" Type="http://schemas.openxmlformats.org/officeDocument/2006/relationships/hyperlink" Target="http://www.mutationtaster.org/" TargetMode="External"/><Relationship Id="rId24" Type="http://schemas.openxmlformats.org/officeDocument/2006/relationships/hyperlink" Target="http://sparks-lab.org/ddig" TargetMode="External"/><Relationship Id="rId32" Type="http://schemas.openxmlformats.org/officeDocument/2006/relationships/hyperlink" Target="http://mendel.stanford.edu/SidowLab/downloads/gerp/" TargetMode="External"/><Relationship Id="rId37" Type="http://schemas.openxmlformats.org/officeDocument/2006/relationships/hyperlink" Target="http://tingchenlab.cmb.usc.edu/sinbad/" TargetMode="External"/><Relationship Id="rId40" Type="http://schemas.openxmlformats.org/officeDocument/2006/relationships/hyperlink" Target="http://bioinformatics.cs.vt.edu/zhanglab/HMMvar/download.php" TargetMode="External"/><Relationship Id="rId45" Type="http://schemas.openxmlformats.org/officeDocument/2006/relationships/hyperlink" Target="http://bejerano.stanford.edu/mcap/" TargetMode="External"/><Relationship Id="rId53" Type="http://schemas.openxmlformats.org/officeDocument/2006/relationships/hyperlink" Target="https://decipher.sanger.ac.uk/" TargetMode="External"/><Relationship Id="rId5" Type="http://schemas.openxmlformats.org/officeDocument/2006/relationships/hyperlink" Target="mailto:e.seaby@soton.ac.uk" TargetMode="External"/><Relationship Id="rId10" Type="http://schemas.openxmlformats.org/officeDocument/2006/relationships/hyperlink" Target="http://genetics.bwh.harvard.edu/pph2" TargetMode="External"/><Relationship Id="rId19" Type="http://schemas.openxmlformats.org/officeDocument/2006/relationships/hyperlink" Target="http://omicstools.com/indelminer-tool" TargetMode="External"/><Relationship Id="rId31" Type="http://schemas.openxmlformats.org/officeDocument/2006/relationships/hyperlink" Target="http://compgen.bscb.cornell.edu/phast/" TargetMode="External"/><Relationship Id="rId44" Type="http://schemas.openxmlformats.org/officeDocument/2006/relationships/hyperlink" Target="http://cadd.gs.washington.edu/" TargetMode="External"/><Relationship Id="rId52"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ift.jcvi.org/" TargetMode="External"/><Relationship Id="rId14" Type="http://schemas.openxmlformats.org/officeDocument/2006/relationships/hyperlink" Target="https://bio.tools/ClinPred" TargetMode="External"/><Relationship Id="rId22" Type="http://schemas.openxmlformats.org/officeDocument/2006/relationships/hyperlink" Target="https://omictools.com/dindel-tool" TargetMode="External"/><Relationship Id="rId27" Type="http://schemas.openxmlformats.org/officeDocument/2006/relationships/hyperlink" Target="http://genes.mit.edu/burgelab/maxent/" TargetMode="External"/><Relationship Id="rId30" Type="http://schemas.openxmlformats.org/officeDocument/2006/relationships/hyperlink" Target="https://pypi.org/project/spliceai/" TargetMode="External"/><Relationship Id="rId35" Type="http://schemas.openxmlformats.org/officeDocument/2006/relationships/hyperlink" Target="http://deepsea.princeton.edu/" TargetMode="External"/><Relationship Id="rId43" Type="http://schemas.openxmlformats.org/officeDocument/2006/relationships/hyperlink" Target="http://mmb.irbbarcelona.org/PMut" TargetMode="External"/><Relationship Id="rId48" Type="http://schemas.openxmlformats.org/officeDocument/2006/relationships/hyperlink" Target="https://sites.google.com/site/revelgenomics/" TargetMode="External"/><Relationship Id="rId56" Type="http://schemas.openxmlformats.org/officeDocument/2006/relationships/theme" Target="theme/theme1.xml"/><Relationship Id="rId8" Type="http://schemas.openxmlformats.org/officeDocument/2006/relationships/hyperlink" Target="http://cardiodb.org/allelefrequencyapp/" TargetMode="External"/><Relationship Id="rId51"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gist.github.com/danielecook/" TargetMode="External"/><Relationship Id="rId17" Type="http://schemas.openxmlformats.org/officeDocument/2006/relationships/hyperlink" Target="https://www.sanger.ac.uk/sanger/StatGen_Gwava" TargetMode="External"/><Relationship Id="rId25" Type="http://schemas.openxmlformats.org/officeDocument/2006/relationships/hyperlink" Target="https://github.com/google/deepvariant/" TargetMode="External"/><Relationship Id="rId33" Type="http://schemas.openxmlformats.org/officeDocument/2006/relationships/hyperlink" Target="http://compgen.cshl.edu/phast/" TargetMode="External"/><Relationship Id="rId38" Type="http://schemas.openxmlformats.org/officeDocument/2006/relationships/hyperlink" Target="http://biocomp.chem.uw.edu.pl/A3D/" TargetMode="External"/><Relationship Id="rId46" Type="http://schemas.openxmlformats.org/officeDocument/2006/relationships/hyperlink" Target="http://www.columbia.edu/~ii2135/eigen.html" TargetMode="External"/><Relationship Id="rId20" Type="http://schemas.openxmlformats.org/officeDocument/2006/relationships/hyperlink" Target="https://github.com/mozack/abra" TargetMode="External"/><Relationship Id="rId41" Type="http://schemas.openxmlformats.org/officeDocument/2006/relationships/hyperlink" Target="http://ls-snp.icm.jhu.edu/ls-snp-pdb" TargetMode="External"/><Relationship Id="rId54"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unflower.kuicr.kyoto-u.ac.jp/sjn/FunSAV" TargetMode="External"/><Relationship Id="rId23" Type="http://schemas.openxmlformats.org/officeDocument/2006/relationships/hyperlink" Target="http://software.broadinstitute.org/gatk/" TargetMode="External"/><Relationship Id="rId28" Type="http://schemas.openxmlformats.org/officeDocument/2006/relationships/hyperlink" Target="http://www.umd.be/HSF/" TargetMode="External"/><Relationship Id="rId36" Type="http://schemas.openxmlformats.org/officeDocument/2006/relationships/hyperlink" Target="http://genocanyon.med.yale.edu/" TargetMode="External"/><Relationship Id="rId49" Type="http://schemas.openxmlformats.org/officeDocument/2006/relationships/hyperlink" Target="https://interactive-biosoftware/alamut-vis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32157</Words>
  <Characters>183298</Characters>
  <Application>Microsoft Office Word</Application>
  <DocSecurity>4</DocSecurity>
  <Lines>1527</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Seaby</dc:creator>
  <cp:keywords/>
  <dc:description/>
  <cp:lastModifiedBy>Wallis C.M.</cp:lastModifiedBy>
  <cp:revision>2</cp:revision>
  <dcterms:created xsi:type="dcterms:W3CDTF">2020-05-01T08:17:00Z</dcterms:created>
  <dcterms:modified xsi:type="dcterms:W3CDTF">2020-05-01T08:17:00Z</dcterms:modified>
</cp:coreProperties>
</file>