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5444E" w14:textId="191BC2A2" w:rsidR="00B32C89" w:rsidRDefault="00B32C89" w:rsidP="00B10E93">
      <w:pPr>
        <w:jc w:val="both"/>
        <w:rPr>
          <w:b/>
          <w:sz w:val="28"/>
          <w:szCs w:val="28"/>
        </w:rPr>
      </w:pPr>
      <w:bookmarkStart w:id="0" w:name="_GoBack"/>
      <w:bookmarkEnd w:id="0"/>
      <w:r>
        <w:rPr>
          <w:b/>
          <w:sz w:val="28"/>
          <w:szCs w:val="28"/>
        </w:rPr>
        <w:t>Journal: Arthritis Research &amp; Therapy</w:t>
      </w:r>
    </w:p>
    <w:p w14:paraId="6199A885" w14:textId="77777777" w:rsidR="00B32C89" w:rsidRDefault="00B32C89" w:rsidP="00B10E93">
      <w:pPr>
        <w:jc w:val="both"/>
        <w:rPr>
          <w:b/>
          <w:sz w:val="28"/>
          <w:szCs w:val="28"/>
        </w:rPr>
      </w:pPr>
    </w:p>
    <w:p w14:paraId="46FFED87" w14:textId="1126989F" w:rsidR="002552D0" w:rsidRDefault="00B32C89" w:rsidP="00B10E93">
      <w:pPr>
        <w:jc w:val="both"/>
        <w:rPr>
          <w:b/>
          <w:sz w:val="28"/>
          <w:szCs w:val="28"/>
        </w:rPr>
      </w:pPr>
      <w:r>
        <w:rPr>
          <w:b/>
          <w:sz w:val="28"/>
          <w:szCs w:val="28"/>
        </w:rPr>
        <w:t xml:space="preserve">Title: </w:t>
      </w:r>
      <w:r w:rsidR="00DE35FC">
        <w:rPr>
          <w:b/>
          <w:sz w:val="28"/>
          <w:szCs w:val="28"/>
        </w:rPr>
        <w:t xml:space="preserve">Data </w:t>
      </w:r>
      <w:r w:rsidR="008F35A4">
        <w:rPr>
          <w:b/>
          <w:sz w:val="28"/>
          <w:szCs w:val="28"/>
        </w:rPr>
        <w:t>quality</w:t>
      </w:r>
      <w:r w:rsidR="00DE35FC">
        <w:rPr>
          <w:b/>
          <w:sz w:val="28"/>
          <w:szCs w:val="28"/>
        </w:rPr>
        <w:t xml:space="preserve"> </w:t>
      </w:r>
      <w:r w:rsidR="00BD799E">
        <w:rPr>
          <w:b/>
          <w:sz w:val="28"/>
          <w:szCs w:val="28"/>
        </w:rPr>
        <w:t xml:space="preserve">predicts </w:t>
      </w:r>
      <w:r w:rsidR="0027189D">
        <w:rPr>
          <w:b/>
          <w:sz w:val="28"/>
          <w:szCs w:val="28"/>
        </w:rPr>
        <w:t xml:space="preserve">care </w:t>
      </w:r>
      <w:r w:rsidR="00DE35FC">
        <w:rPr>
          <w:b/>
          <w:sz w:val="28"/>
          <w:szCs w:val="28"/>
        </w:rPr>
        <w:t>quality</w:t>
      </w:r>
      <w:r w:rsidR="008F35A4">
        <w:rPr>
          <w:b/>
          <w:sz w:val="28"/>
          <w:szCs w:val="28"/>
        </w:rPr>
        <w:t>: findings from a national clinic</w:t>
      </w:r>
      <w:r w:rsidR="00D51D42">
        <w:rPr>
          <w:b/>
          <w:sz w:val="28"/>
          <w:szCs w:val="28"/>
        </w:rPr>
        <w:t>al</w:t>
      </w:r>
      <w:r w:rsidR="008F35A4">
        <w:rPr>
          <w:b/>
          <w:sz w:val="28"/>
          <w:szCs w:val="28"/>
        </w:rPr>
        <w:t xml:space="preserve"> audit</w:t>
      </w:r>
    </w:p>
    <w:p w14:paraId="29B84710" w14:textId="32EAF9B9" w:rsidR="00B32C89" w:rsidRDefault="00B32C89" w:rsidP="00547289">
      <w:pPr>
        <w:jc w:val="both"/>
        <w:rPr>
          <w:sz w:val="28"/>
          <w:szCs w:val="28"/>
        </w:rPr>
      </w:pPr>
    </w:p>
    <w:p w14:paraId="18E32E05" w14:textId="2B3A79F4" w:rsidR="00547289" w:rsidRDefault="00547289" w:rsidP="00547289">
      <w:pPr>
        <w:jc w:val="both"/>
        <w:rPr>
          <w:sz w:val="28"/>
          <w:szCs w:val="28"/>
        </w:rPr>
      </w:pPr>
      <w:r>
        <w:rPr>
          <w:sz w:val="28"/>
          <w:szCs w:val="28"/>
        </w:rPr>
        <w:t>Mark Yates</w:t>
      </w:r>
      <w:r w:rsidRPr="001E6075">
        <w:rPr>
          <w:sz w:val="28"/>
          <w:szCs w:val="28"/>
        </w:rPr>
        <w:t>;</w:t>
      </w:r>
      <w:r>
        <w:rPr>
          <w:sz w:val="28"/>
          <w:szCs w:val="28"/>
        </w:rPr>
        <w:t xml:space="preserve"> </w:t>
      </w:r>
      <w:r w:rsidRPr="001E6075">
        <w:rPr>
          <w:sz w:val="28"/>
          <w:szCs w:val="28"/>
        </w:rPr>
        <w:t>The Centre for Rheumatic Diseases,</w:t>
      </w:r>
      <w:r>
        <w:rPr>
          <w:sz w:val="28"/>
          <w:szCs w:val="28"/>
        </w:rPr>
        <w:t xml:space="preserve"> S</w:t>
      </w:r>
      <w:r w:rsidRPr="001E6075">
        <w:rPr>
          <w:sz w:val="28"/>
          <w:szCs w:val="28"/>
        </w:rPr>
        <w:t>chool of Immunology, Infection &amp; Inflammatory Disease</w:t>
      </w:r>
      <w:r>
        <w:rPr>
          <w:sz w:val="28"/>
          <w:szCs w:val="28"/>
        </w:rPr>
        <w:t>,</w:t>
      </w:r>
      <w:r w:rsidRPr="001E6075">
        <w:rPr>
          <w:sz w:val="28"/>
          <w:szCs w:val="28"/>
        </w:rPr>
        <w:t xml:space="preserve"> King's College London, </w:t>
      </w:r>
      <w:r>
        <w:rPr>
          <w:sz w:val="28"/>
          <w:szCs w:val="28"/>
        </w:rPr>
        <w:t>London, UK.</w:t>
      </w:r>
    </w:p>
    <w:p w14:paraId="7D655848" w14:textId="293ABEF3" w:rsidR="00547289" w:rsidRDefault="00547289" w:rsidP="00547289">
      <w:pPr>
        <w:jc w:val="both"/>
        <w:rPr>
          <w:sz w:val="28"/>
          <w:szCs w:val="28"/>
        </w:rPr>
      </w:pPr>
      <w:r w:rsidRPr="001E6075">
        <w:rPr>
          <w:sz w:val="28"/>
          <w:szCs w:val="28"/>
        </w:rPr>
        <w:t>Katie Bechman; The Centre for Rheumatic Diseases,</w:t>
      </w:r>
      <w:r>
        <w:rPr>
          <w:sz w:val="28"/>
          <w:szCs w:val="28"/>
        </w:rPr>
        <w:t xml:space="preserve"> S</w:t>
      </w:r>
      <w:r w:rsidRPr="001E6075">
        <w:rPr>
          <w:sz w:val="28"/>
          <w:szCs w:val="28"/>
        </w:rPr>
        <w:t>chool of Immunology, Infection &amp; Inflammatory Disease</w:t>
      </w:r>
      <w:r>
        <w:rPr>
          <w:sz w:val="28"/>
          <w:szCs w:val="28"/>
        </w:rPr>
        <w:t>,</w:t>
      </w:r>
      <w:r w:rsidRPr="001E6075">
        <w:rPr>
          <w:sz w:val="28"/>
          <w:szCs w:val="28"/>
        </w:rPr>
        <w:t xml:space="preserve"> King's College London, </w:t>
      </w:r>
      <w:r>
        <w:rPr>
          <w:sz w:val="28"/>
          <w:szCs w:val="28"/>
        </w:rPr>
        <w:t>London, UK.</w:t>
      </w:r>
    </w:p>
    <w:p w14:paraId="4DBC4518" w14:textId="67572DC1" w:rsidR="00547289" w:rsidRPr="001E6075" w:rsidRDefault="00547289" w:rsidP="00547289">
      <w:pPr>
        <w:jc w:val="both"/>
        <w:rPr>
          <w:sz w:val="28"/>
          <w:szCs w:val="28"/>
        </w:rPr>
      </w:pPr>
      <w:r>
        <w:rPr>
          <w:sz w:val="28"/>
          <w:szCs w:val="28"/>
        </w:rPr>
        <w:t xml:space="preserve">Elaine M </w:t>
      </w:r>
      <w:r w:rsidRPr="001E6075">
        <w:rPr>
          <w:sz w:val="28"/>
          <w:szCs w:val="28"/>
        </w:rPr>
        <w:t>Dennison;</w:t>
      </w:r>
      <w:r>
        <w:rPr>
          <w:sz w:val="28"/>
          <w:szCs w:val="28"/>
        </w:rPr>
        <w:t xml:space="preserve"> </w:t>
      </w:r>
      <w:r w:rsidRPr="001E6075">
        <w:rPr>
          <w:sz w:val="28"/>
          <w:szCs w:val="28"/>
        </w:rPr>
        <w:t>MRC Epidemiology Unit</w:t>
      </w:r>
      <w:r>
        <w:rPr>
          <w:sz w:val="28"/>
          <w:szCs w:val="28"/>
        </w:rPr>
        <w:t>,</w:t>
      </w:r>
      <w:r w:rsidRPr="001E6075">
        <w:rPr>
          <w:sz w:val="28"/>
          <w:szCs w:val="28"/>
        </w:rPr>
        <w:t xml:space="preserve"> </w:t>
      </w:r>
      <w:r>
        <w:rPr>
          <w:sz w:val="28"/>
          <w:szCs w:val="28"/>
        </w:rPr>
        <w:t>University of Southampton</w:t>
      </w:r>
      <w:r w:rsidRPr="001E6075">
        <w:rPr>
          <w:sz w:val="28"/>
          <w:szCs w:val="28"/>
        </w:rPr>
        <w:t xml:space="preserve">, </w:t>
      </w:r>
      <w:r>
        <w:rPr>
          <w:sz w:val="28"/>
          <w:szCs w:val="28"/>
        </w:rPr>
        <w:t>Southampton, UK</w:t>
      </w:r>
    </w:p>
    <w:p w14:paraId="5E69253F" w14:textId="77777777" w:rsidR="00547289" w:rsidRPr="001E6075" w:rsidRDefault="00547289" w:rsidP="00547289">
      <w:pPr>
        <w:jc w:val="both"/>
        <w:rPr>
          <w:sz w:val="28"/>
          <w:szCs w:val="28"/>
        </w:rPr>
      </w:pPr>
      <w:r w:rsidRPr="001E6075">
        <w:rPr>
          <w:sz w:val="28"/>
          <w:szCs w:val="28"/>
        </w:rPr>
        <w:t xml:space="preserve">Alexander </w:t>
      </w:r>
      <w:r>
        <w:rPr>
          <w:sz w:val="28"/>
          <w:szCs w:val="28"/>
        </w:rPr>
        <w:t xml:space="preserve">J </w:t>
      </w:r>
      <w:r w:rsidRPr="001E6075">
        <w:rPr>
          <w:sz w:val="28"/>
          <w:szCs w:val="28"/>
        </w:rPr>
        <w:t>MacGregor; Norwich Medical School,</w:t>
      </w:r>
      <w:r>
        <w:rPr>
          <w:sz w:val="28"/>
          <w:szCs w:val="28"/>
        </w:rPr>
        <w:t xml:space="preserve"> </w:t>
      </w:r>
      <w:r w:rsidRPr="001E6075">
        <w:rPr>
          <w:sz w:val="28"/>
          <w:szCs w:val="28"/>
        </w:rPr>
        <w:t>University of East Anglia</w:t>
      </w:r>
      <w:r>
        <w:rPr>
          <w:sz w:val="28"/>
          <w:szCs w:val="28"/>
        </w:rPr>
        <w:t>, Norwich, UK.</w:t>
      </w:r>
    </w:p>
    <w:p w14:paraId="02C6BAE8" w14:textId="4DC59CE8" w:rsidR="00547289" w:rsidRDefault="00547289" w:rsidP="00547289">
      <w:pPr>
        <w:jc w:val="both"/>
        <w:rPr>
          <w:sz w:val="28"/>
          <w:szCs w:val="28"/>
        </w:rPr>
      </w:pPr>
      <w:r>
        <w:rPr>
          <w:sz w:val="28"/>
          <w:szCs w:val="28"/>
        </w:rPr>
        <w:t>J</w:t>
      </w:r>
      <w:r w:rsidRPr="001E6075">
        <w:rPr>
          <w:sz w:val="28"/>
          <w:szCs w:val="28"/>
        </w:rPr>
        <w:t>o</w:t>
      </w:r>
      <w:r>
        <w:rPr>
          <w:sz w:val="28"/>
          <w:szCs w:val="28"/>
        </w:rPr>
        <w:t xml:space="preserve"> Ledingham</w:t>
      </w:r>
      <w:r w:rsidRPr="001E6075">
        <w:rPr>
          <w:sz w:val="28"/>
          <w:szCs w:val="28"/>
        </w:rPr>
        <w:t>;</w:t>
      </w:r>
      <w:r>
        <w:rPr>
          <w:sz w:val="28"/>
          <w:szCs w:val="28"/>
        </w:rPr>
        <w:t xml:space="preserve"> </w:t>
      </w:r>
      <w:r w:rsidRPr="001E6075">
        <w:rPr>
          <w:sz w:val="28"/>
          <w:szCs w:val="28"/>
        </w:rPr>
        <w:t>Dep</w:t>
      </w:r>
      <w:r>
        <w:rPr>
          <w:sz w:val="28"/>
          <w:szCs w:val="28"/>
        </w:rPr>
        <w:t>artment of</w:t>
      </w:r>
      <w:r w:rsidRPr="001E6075">
        <w:rPr>
          <w:sz w:val="28"/>
          <w:szCs w:val="28"/>
        </w:rPr>
        <w:t xml:space="preserve"> Rheumatology</w:t>
      </w:r>
      <w:r>
        <w:rPr>
          <w:sz w:val="28"/>
          <w:szCs w:val="28"/>
        </w:rPr>
        <w:t>,</w:t>
      </w:r>
      <w:r w:rsidRPr="001E6075">
        <w:rPr>
          <w:sz w:val="28"/>
          <w:szCs w:val="28"/>
        </w:rPr>
        <w:t xml:space="preserve"> Queen Alexandra Hospital, </w:t>
      </w:r>
      <w:r>
        <w:rPr>
          <w:sz w:val="28"/>
          <w:szCs w:val="28"/>
        </w:rPr>
        <w:t>Portsmouth, UK.</w:t>
      </w:r>
    </w:p>
    <w:p w14:paraId="31216219" w14:textId="3CD5FF3A" w:rsidR="0039204A" w:rsidRPr="001E6075" w:rsidRDefault="0039204A" w:rsidP="00547289">
      <w:pPr>
        <w:jc w:val="both"/>
        <w:rPr>
          <w:sz w:val="28"/>
          <w:szCs w:val="28"/>
        </w:rPr>
      </w:pPr>
      <w:r w:rsidRPr="001E6075">
        <w:rPr>
          <w:sz w:val="28"/>
          <w:szCs w:val="28"/>
        </w:rPr>
        <w:t>Sam</w:t>
      </w:r>
      <w:r>
        <w:rPr>
          <w:sz w:val="28"/>
          <w:szCs w:val="28"/>
        </w:rPr>
        <w:t xml:space="preserve"> </w:t>
      </w:r>
      <w:r w:rsidRPr="001E6075">
        <w:rPr>
          <w:sz w:val="28"/>
          <w:szCs w:val="28"/>
        </w:rPr>
        <w:t xml:space="preserve">Norton; Institute of Psychiatry, Kings College London, </w:t>
      </w:r>
      <w:r>
        <w:rPr>
          <w:sz w:val="28"/>
          <w:szCs w:val="28"/>
        </w:rPr>
        <w:t xml:space="preserve">London, UK. </w:t>
      </w:r>
    </w:p>
    <w:p w14:paraId="55AC74BD" w14:textId="77777777" w:rsidR="00547289" w:rsidRDefault="00547289" w:rsidP="00547289">
      <w:pPr>
        <w:jc w:val="both"/>
        <w:rPr>
          <w:sz w:val="28"/>
          <w:szCs w:val="28"/>
        </w:rPr>
      </w:pPr>
      <w:r w:rsidRPr="001E6075">
        <w:rPr>
          <w:sz w:val="28"/>
          <w:szCs w:val="28"/>
        </w:rPr>
        <w:t>James</w:t>
      </w:r>
      <w:r>
        <w:rPr>
          <w:sz w:val="28"/>
          <w:szCs w:val="28"/>
        </w:rPr>
        <w:t xml:space="preserve"> B </w:t>
      </w:r>
      <w:r w:rsidRPr="001E6075">
        <w:rPr>
          <w:sz w:val="28"/>
          <w:szCs w:val="28"/>
        </w:rPr>
        <w:t>Galloway; The Centre for Rheumatic Diseases,</w:t>
      </w:r>
      <w:r>
        <w:rPr>
          <w:sz w:val="28"/>
          <w:szCs w:val="28"/>
        </w:rPr>
        <w:t xml:space="preserve"> S</w:t>
      </w:r>
      <w:r w:rsidRPr="001E6075">
        <w:rPr>
          <w:sz w:val="28"/>
          <w:szCs w:val="28"/>
        </w:rPr>
        <w:t>chool of Immunology, Infection &amp; Inflammatory Disease</w:t>
      </w:r>
      <w:r>
        <w:rPr>
          <w:sz w:val="28"/>
          <w:szCs w:val="28"/>
        </w:rPr>
        <w:t>,</w:t>
      </w:r>
      <w:r w:rsidRPr="001E6075">
        <w:rPr>
          <w:sz w:val="28"/>
          <w:szCs w:val="28"/>
        </w:rPr>
        <w:t xml:space="preserve"> King's College London, </w:t>
      </w:r>
      <w:r>
        <w:rPr>
          <w:sz w:val="28"/>
          <w:szCs w:val="28"/>
        </w:rPr>
        <w:t>London, UK.</w:t>
      </w:r>
    </w:p>
    <w:p w14:paraId="540749D4" w14:textId="77777777" w:rsidR="00547289" w:rsidRPr="001E6075" w:rsidRDefault="00547289" w:rsidP="00547289">
      <w:pPr>
        <w:jc w:val="both"/>
        <w:rPr>
          <w:sz w:val="28"/>
          <w:szCs w:val="28"/>
        </w:rPr>
      </w:pPr>
    </w:p>
    <w:p w14:paraId="36A83BAF" w14:textId="77777777" w:rsidR="00547289" w:rsidRDefault="00547289" w:rsidP="00547289">
      <w:pPr>
        <w:jc w:val="both"/>
        <w:rPr>
          <w:sz w:val="28"/>
          <w:szCs w:val="28"/>
        </w:rPr>
      </w:pPr>
      <w:r>
        <w:rPr>
          <w:b/>
          <w:sz w:val="28"/>
          <w:szCs w:val="28"/>
        </w:rPr>
        <w:t xml:space="preserve">CORRESPONDENCE ADDRESS AND CONTACT DETAILS. </w:t>
      </w:r>
      <w:r w:rsidRPr="003C621C">
        <w:rPr>
          <w:sz w:val="28"/>
          <w:szCs w:val="28"/>
        </w:rPr>
        <w:t xml:space="preserve">Dr Mark Yates, Room 3.46 Weston Education Centre, </w:t>
      </w:r>
      <w:proofErr w:type="spellStart"/>
      <w:r w:rsidRPr="003C621C">
        <w:rPr>
          <w:sz w:val="28"/>
          <w:szCs w:val="28"/>
        </w:rPr>
        <w:t>Cutcombe</w:t>
      </w:r>
      <w:proofErr w:type="spellEnd"/>
      <w:r w:rsidRPr="003C621C">
        <w:rPr>
          <w:sz w:val="28"/>
          <w:szCs w:val="28"/>
        </w:rPr>
        <w:t xml:space="preserve"> Road, London, SE5 9RJ.</w:t>
      </w:r>
      <w:r>
        <w:rPr>
          <w:sz w:val="28"/>
          <w:szCs w:val="28"/>
        </w:rPr>
        <w:t xml:space="preserve"> </w:t>
      </w:r>
      <w:hyperlink r:id="rId8" w:history="1">
        <w:r w:rsidRPr="0061331D">
          <w:rPr>
            <w:rStyle w:val="Hyperlink"/>
            <w:sz w:val="28"/>
            <w:szCs w:val="28"/>
          </w:rPr>
          <w:t>mark.yates@kcl.ac.uk</w:t>
        </w:r>
      </w:hyperlink>
      <w:r>
        <w:rPr>
          <w:sz w:val="28"/>
          <w:szCs w:val="28"/>
        </w:rPr>
        <w:t>. +447835150827.</w:t>
      </w:r>
    </w:p>
    <w:p w14:paraId="69028039" w14:textId="77777777" w:rsidR="00B10E93" w:rsidRPr="00C166D4" w:rsidRDefault="00B10E93" w:rsidP="00547289">
      <w:pPr>
        <w:rPr>
          <w:b/>
          <w:sz w:val="28"/>
          <w:szCs w:val="28"/>
        </w:rPr>
      </w:pPr>
    </w:p>
    <w:p w14:paraId="1DFD8ABD" w14:textId="088DA459" w:rsidR="00503D9F" w:rsidRDefault="00B32C89" w:rsidP="001850C9">
      <w:pPr>
        <w:rPr>
          <w:b/>
          <w:sz w:val="28"/>
          <w:szCs w:val="28"/>
        </w:rPr>
      </w:pPr>
      <w:r>
        <w:rPr>
          <w:b/>
          <w:sz w:val="28"/>
          <w:szCs w:val="28"/>
        </w:rPr>
        <w:t>Accepted for publication: 29/03/2020</w:t>
      </w:r>
    </w:p>
    <w:p w14:paraId="3CE6A54D" w14:textId="0FA06AF6" w:rsidR="00B32C89" w:rsidRDefault="00B32C89" w:rsidP="001850C9">
      <w:pPr>
        <w:rPr>
          <w:b/>
          <w:sz w:val="28"/>
          <w:szCs w:val="28"/>
        </w:rPr>
      </w:pPr>
    </w:p>
    <w:p w14:paraId="18341CF6" w14:textId="359B5076" w:rsidR="00B32C89" w:rsidRDefault="00B32C89" w:rsidP="001850C9">
      <w:pPr>
        <w:rPr>
          <w:b/>
          <w:sz w:val="28"/>
          <w:szCs w:val="28"/>
        </w:rPr>
      </w:pPr>
      <w:r>
        <w:rPr>
          <w:b/>
          <w:sz w:val="28"/>
          <w:szCs w:val="28"/>
        </w:rPr>
        <w:t>Grant Code: RE13853 (Versus Arthritis)</w:t>
      </w:r>
    </w:p>
    <w:p w14:paraId="33815E3D" w14:textId="05091791" w:rsidR="00B10E93" w:rsidRDefault="00B10E93" w:rsidP="001850C9">
      <w:pPr>
        <w:rPr>
          <w:b/>
          <w:sz w:val="28"/>
          <w:szCs w:val="28"/>
        </w:rPr>
      </w:pPr>
    </w:p>
    <w:p w14:paraId="48D9BB24" w14:textId="63ED2706" w:rsidR="00B10E93" w:rsidRDefault="00B10E93" w:rsidP="001850C9">
      <w:pPr>
        <w:rPr>
          <w:b/>
          <w:sz w:val="28"/>
          <w:szCs w:val="28"/>
        </w:rPr>
      </w:pPr>
    </w:p>
    <w:p w14:paraId="42F2E689" w14:textId="7B82F29A" w:rsidR="00B10E93" w:rsidRDefault="00B10E93" w:rsidP="001850C9">
      <w:pPr>
        <w:rPr>
          <w:b/>
          <w:sz w:val="28"/>
          <w:szCs w:val="28"/>
        </w:rPr>
      </w:pPr>
    </w:p>
    <w:p w14:paraId="23D636BD" w14:textId="6BFEA6AE" w:rsidR="00B10E93" w:rsidRDefault="00B10E93" w:rsidP="001850C9">
      <w:pPr>
        <w:rPr>
          <w:b/>
          <w:sz w:val="28"/>
          <w:szCs w:val="28"/>
        </w:rPr>
      </w:pPr>
    </w:p>
    <w:p w14:paraId="44BEAB1F" w14:textId="3BFDE75E" w:rsidR="00503D9F" w:rsidRDefault="00B10E93" w:rsidP="00F41A4B">
      <w:pPr>
        <w:pStyle w:val="Heading1"/>
        <w:numPr>
          <w:ilvl w:val="0"/>
          <w:numId w:val="0"/>
        </w:numPr>
        <w:ind w:left="432" w:hanging="432"/>
      </w:pPr>
      <w:r>
        <w:lastRenderedPageBreak/>
        <w:t>ABSTRACT</w:t>
      </w:r>
    </w:p>
    <w:p w14:paraId="16A1DBBD" w14:textId="77777777" w:rsidR="00C65FA8" w:rsidRPr="00C65FA8" w:rsidRDefault="00C65FA8" w:rsidP="00C65FA8"/>
    <w:p w14:paraId="4598EA15" w14:textId="063FAB63" w:rsidR="0039204A" w:rsidRPr="0039204A" w:rsidRDefault="0039204A" w:rsidP="0039204A">
      <w:pPr>
        <w:spacing w:line="480" w:lineRule="auto"/>
        <w:jc w:val="both"/>
        <w:rPr>
          <w:bCs/>
          <w:sz w:val="24"/>
          <w:szCs w:val="24"/>
        </w:rPr>
      </w:pPr>
      <w:r>
        <w:rPr>
          <w:b/>
          <w:sz w:val="24"/>
          <w:szCs w:val="24"/>
        </w:rPr>
        <w:t>Background.</w:t>
      </w:r>
      <w:r>
        <w:rPr>
          <w:bCs/>
          <w:sz w:val="24"/>
          <w:szCs w:val="24"/>
        </w:rPr>
        <w:t xml:space="preserve"> Missing clinical outcome data are a common occurrence in longitudinal studies. Data quality in clinical audit is a </w:t>
      </w:r>
      <w:proofErr w:type="gramStart"/>
      <w:r>
        <w:rPr>
          <w:bCs/>
          <w:sz w:val="24"/>
          <w:szCs w:val="24"/>
        </w:rPr>
        <w:t>particular cause</w:t>
      </w:r>
      <w:proofErr w:type="gramEnd"/>
      <w:r>
        <w:rPr>
          <w:bCs/>
          <w:sz w:val="24"/>
          <w:szCs w:val="24"/>
        </w:rPr>
        <w:t xml:space="preserve"> for concern. The relationship between departmental levels of missing clinical outcome data and care quality is not known. We hypothesise that completeness of key outcome data in a national audit predicts departmental performance. </w:t>
      </w:r>
      <w:r>
        <w:rPr>
          <w:b/>
          <w:sz w:val="24"/>
          <w:szCs w:val="24"/>
        </w:rPr>
        <w:t xml:space="preserve">Methods. </w:t>
      </w:r>
      <w:r>
        <w:rPr>
          <w:bCs/>
          <w:sz w:val="24"/>
          <w:szCs w:val="24"/>
        </w:rPr>
        <w:t>The</w:t>
      </w:r>
      <w:r>
        <w:rPr>
          <w:b/>
          <w:sz w:val="24"/>
          <w:szCs w:val="24"/>
        </w:rPr>
        <w:t xml:space="preserve"> </w:t>
      </w:r>
      <w:bookmarkStart w:id="1" w:name="_Hlk27731488"/>
      <w:r w:rsidRPr="000C5E9F">
        <w:rPr>
          <w:sz w:val="24"/>
          <w:szCs w:val="24"/>
        </w:rPr>
        <w:t>National Clinical Audit for Rheumatoid and Early Inflammatory Arthritis</w:t>
      </w:r>
      <w:r>
        <w:rPr>
          <w:sz w:val="24"/>
          <w:szCs w:val="24"/>
        </w:rPr>
        <w:t xml:space="preserve"> (NCAREIA)</w:t>
      </w:r>
      <w:bookmarkEnd w:id="1"/>
      <w:r>
        <w:rPr>
          <w:sz w:val="24"/>
          <w:szCs w:val="24"/>
        </w:rPr>
        <w:t xml:space="preserve"> collected data on care of patients with suspected </w:t>
      </w:r>
      <w:bookmarkStart w:id="2" w:name="_Hlk27731502"/>
      <w:r>
        <w:rPr>
          <w:sz w:val="24"/>
          <w:szCs w:val="24"/>
        </w:rPr>
        <w:t>rheumatoid arthritis (RA)</w:t>
      </w:r>
      <w:bookmarkEnd w:id="2"/>
      <w:r>
        <w:rPr>
          <w:sz w:val="24"/>
          <w:szCs w:val="24"/>
        </w:rPr>
        <w:t xml:space="preserve"> from early 2014 to late 2015. This observational cohort study collected data on patient demographics, departmental variables, service quality measures including time to treatment, and the key RA clinical outcome measure, disease activity at baseline and three months follow up. </w:t>
      </w:r>
      <w:r>
        <w:rPr>
          <w:rFonts w:cs="ArialMT"/>
          <w:sz w:val="24"/>
          <w:szCs w:val="24"/>
        </w:rPr>
        <w:t>A mixed effects model was conducted to identify departments with high/low proportions of missing baseline disease activity data with the r</w:t>
      </w:r>
      <w:r w:rsidRPr="005F0882">
        <w:rPr>
          <w:bCs/>
          <w:sz w:val="24"/>
          <w:szCs w:val="24"/>
        </w:rPr>
        <w:t>esults plotted on a caterpillar graph</w:t>
      </w:r>
      <w:r>
        <w:rPr>
          <w:bCs/>
          <w:sz w:val="24"/>
          <w:szCs w:val="24"/>
        </w:rPr>
        <w:t xml:space="preserve">. A mixed effects model was conducted to assess if missing baseline disease activity predicted prompt treatment. </w:t>
      </w:r>
      <w:r>
        <w:rPr>
          <w:b/>
          <w:sz w:val="24"/>
          <w:szCs w:val="24"/>
        </w:rPr>
        <w:t xml:space="preserve">Results. </w:t>
      </w:r>
      <w:r w:rsidRPr="00B33CF3">
        <w:rPr>
          <w:bCs/>
          <w:sz w:val="24"/>
          <w:szCs w:val="24"/>
        </w:rPr>
        <w:t>6,205 patients with complete treatment time</w:t>
      </w:r>
      <w:r>
        <w:rPr>
          <w:bCs/>
          <w:sz w:val="24"/>
          <w:szCs w:val="24"/>
        </w:rPr>
        <w:t xml:space="preserve"> data and a diagnosis of RA were recruited from 136 departments. 34.3% had missing disease activity at baseline. Mixed effects modelling identified 13 departments with high levels of missing disease activity, with a cluster observed in the Northwest of England. M</w:t>
      </w:r>
      <w:r w:rsidRPr="00B33CF3">
        <w:rPr>
          <w:bCs/>
          <w:sz w:val="24"/>
          <w:szCs w:val="24"/>
        </w:rPr>
        <w:t xml:space="preserve">issing baseline </w:t>
      </w:r>
      <w:r>
        <w:rPr>
          <w:bCs/>
          <w:sz w:val="24"/>
          <w:szCs w:val="24"/>
        </w:rPr>
        <w:t>disease activity was</w:t>
      </w:r>
      <w:r w:rsidRPr="00B33CF3">
        <w:rPr>
          <w:bCs/>
          <w:sz w:val="24"/>
          <w:szCs w:val="24"/>
        </w:rPr>
        <w:t xml:space="preserve"> associated with not commencing treatment promptly</w:t>
      </w:r>
      <w:r>
        <w:rPr>
          <w:bCs/>
          <w:sz w:val="24"/>
          <w:szCs w:val="24"/>
        </w:rPr>
        <w:t xml:space="preserve"> in an adjusted mix effects model, odds ratio </w:t>
      </w:r>
      <w:r>
        <w:rPr>
          <w:rFonts w:cs="ArialMT"/>
          <w:sz w:val="24"/>
          <w:szCs w:val="24"/>
        </w:rPr>
        <w:t>0.50 (95% CI 0.41 to 0.61, p &lt;0.0001).</w:t>
      </w:r>
      <w:r>
        <w:rPr>
          <w:bCs/>
          <w:sz w:val="24"/>
          <w:szCs w:val="24"/>
        </w:rPr>
        <w:t xml:space="preserve"> </w:t>
      </w:r>
      <w:r>
        <w:rPr>
          <w:b/>
          <w:sz w:val="24"/>
          <w:szCs w:val="24"/>
        </w:rPr>
        <w:t xml:space="preserve">Conclusions. </w:t>
      </w:r>
      <w:r w:rsidRPr="004F178D">
        <w:rPr>
          <w:bCs/>
          <w:sz w:val="24"/>
          <w:szCs w:val="24"/>
        </w:rPr>
        <w:t>We have shown that poor engagement in a national audit program correlates with the quality of care provided. Our findings support the use of data completeness as an additional service quality indicator.</w:t>
      </w:r>
      <w:r>
        <w:rPr>
          <w:b/>
          <w:sz w:val="24"/>
          <w:szCs w:val="24"/>
        </w:rPr>
        <w:t xml:space="preserve"> </w:t>
      </w:r>
    </w:p>
    <w:p w14:paraId="51080D2E" w14:textId="5FCB94DF" w:rsidR="002830C8" w:rsidRPr="0039204A" w:rsidRDefault="0039204A" w:rsidP="002830C8">
      <w:pPr>
        <w:spacing w:line="480" w:lineRule="auto"/>
        <w:jc w:val="both"/>
        <w:rPr>
          <w:b/>
          <w:sz w:val="24"/>
          <w:szCs w:val="24"/>
        </w:rPr>
      </w:pPr>
      <w:r w:rsidRPr="0039204A">
        <w:rPr>
          <w:b/>
          <w:sz w:val="24"/>
          <w:szCs w:val="24"/>
        </w:rPr>
        <w:t xml:space="preserve">Key words: </w:t>
      </w:r>
      <w:r w:rsidRPr="0039204A">
        <w:rPr>
          <w:bCs/>
          <w:sz w:val="24"/>
          <w:szCs w:val="24"/>
        </w:rPr>
        <w:t>Rheumatoid arthritis, missing data, national clinical audit, care quality, methodology.</w:t>
      </w:r>
    </w:p>
    <w:p w14:paraId="56D76D11" w14:textId="431DA3B7" w:rsidR="001850C9" w:rsidRPr="00547289" w:rsidRDefault="0039204A" w:rsidP="002830C8">
      <w:pPr>
        <w:pStyle w:val="Heading1"/>
        <w:spacing w:line="480" w:lineRule="auto"/>
      </w:pPr>
      <w:bookmarkStart w:id="3" w:name="_Hlk27741206"/>
      <w:r>
        <w:lastRenderedPageBreak/>
        <w:t>BACKGROUND</w:t>
      </w:r>
    </w:p>
    <w:p w14:paraId="53E82359" w14:textId="3279D6A5" w:rsidR="001850C9" w:rsidRDefault="001D08F2" w:rsidP="002830C8">
      <w:pPr>
        <w:spacing w:line="480" w:lineRule="auto"/>
        <w:jc w:val="both"/>
        <w:rPr>
          <w:sz w:val="24"/>
          <w:szCs w:val="24"/>
        </w:rPr>
      </w:pPr>
      <w:bookmarkStart w:id="4" w:name="_Hlk27731521"/>
      <w:r>
        <w:rPr>
          <w:sz w:val="24"/>
          <w:szCs w:val="24"/>
        </w:rPr>
        <w:t>National clinical audits</w:t>
      </w:r>
      <w:r w:rsidR="008C6B49">
        <w:rPr>
          <w:sz w:val="24"/>
          <w:szCs w:val="24"/>
        </w:rPr>
        <w:t xml:space="preserve"> (NCAs)</w:t>
      </w:r>
      <w:r>
        <w:rPr>
          <w:sz w:val="24"/>
          <w:szCs w:val="24"/>
        </w:rPr>
        <w:t xml:space="preserve"> </w:t>
      </w:r>
      <w:bookmarkEnd w:id="4"/>
      <w:r>
        <w:rPr>
          <w:sz w:val="24"/>
          <w:szCs w:val="24"/>
        </w:rPr>
        <w:t>are a key lever to improv</w:t>
      </w:r>
      <w:r w:rsidR="00E42478">
        <w:rPr>
          <w:sz w:val="24"/>
          <w:szCs w:val="24"/>
        </w:rPr>
        <w:t>e</w:t>
      </w:r>
      <w:r>
        <w:rPr>
          <w:sz w:val="24"/>
          <w:szCs w:val="24"/>
        </w:rPr>
        <w:t xml:space="preserve"> quality of care and </w:t>
      </w:r>
      <w:r w:rsidR="004E4BAA">
        <w:rPr>
          <w:sz w:val="24"/>
          <w:szCs w:val="24"/>
        </w:rPr>
        <w:t>limit</w:t>
      </w:r>
      <w:r>
        <w:rPr>
          <w:sz w:val="24"/>
          <w:szCs w:val="24"/>
        </w:rPr>
        <w:t xml:space="preserve"> unwarranted variation. </w:t>
      </w:r>
      <w:r w:rsidR="00E42478">
        <w:rPr>
          <w:sz w:val="24"/>
          <w:szCs w:val="24"/>
        </w:rPr>
        <w:t xml:space="preserve">The National Lung Cancer Audit and the </w:t>
      </w:r>
      <w:bookmarkStart w:id="5" w:name="_Hlk27731530"/>
      <w:proofErr w:type="spellStart"/>
      <w:r w:rsidR="00E42478">
        <w:rPr>
          <w:sz w:val="24"/>
          <w:szCs w:val="24"/>
        </w:rPr>
        <w:t>Sentinal</w:t>
      </w:r>
      <w:proofErr w:type="spellEnd"/>
      <w:r w:rsidR="00E42478">
        <w:rPr>
          <w:sz w:val="24"/>
          <w:szCs w:val="24"/>
        </w:rPr>
        <w:t xml:space="preserve"> Stroke National Audit Programme </w:t>
      </w:r>
      <w:r w:rsidR="009215B3">
        <w:rPr>
          <w:sz w:val="24"/>
          <w:szCs w:val="24"/>
        </w:rPr>
        <w:t>(SSNAP)</w:t>
      </w:r>
      <w:bookmarkEnd w:id="5"/>
      <w:r w:rsidR="009215B3">
        <w:rPr>
          <w:sz w:val="24"/>
          <w:szCs w:val="24"/>
        </w:rPr>
        <w:t xml:space="preserve"> </w:t>
      </w:r>
      <w:r w:rsidR="00E42478">
        <w:rPr>
          <w:sz w:val="24"/>
          <w:szCs w:val="24"/>
        </w:rPr>
        <w:t xml:space="preserve">are examples of how care can be improved through national audit </w:t>
      </w:r>
      <w:r w:rsidR="00E42478">
        <w:rPr>
          <w:sz w:val="24"/>
          <w:szCs w:val="24"/>
        </w:rPr>
        <w:fldChar w:fldCharType="begin">
          <w:fldData xml:space="preserve">PEVuZE5vdGU+PENpdGU+PEF1dGhvcj5SdWRkPC9BdXRob3I+PFllYXI+MjAxODwvWWVhcj48UmVj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</w:fldData>
        </w:fldChar>
      </w:r>
      <w:r w:rsidR="00E42478">
        <w:rPr>
          <w:sz w:val="24"/>
          <w:szCs w:val="24"/>
        </w:rPr>
        <w:instrText xml:space="preserve"> ADDIN EN.CITE </w:instrText>
      </w:r>
      <w:r w:rsidR="00E42478">
        <w:rPr>
          <w:sz w:val="24"/>
          <w:szCs w:val="24"/>
        </w:rPr>
        <w:fldChar w:fldCharType="begin">
          <w:fldData xml:space="preserve">PEVuZE5vdGU+PENpdGU+PEF1dGhvcj5SdWRkPC9BdXRob3I+PFllYXI+MjAxODwvWWVhcj48UmVj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</w:fldData>
        </w:fldChar>
      </w:r>
      <w:r w:rsidR="00E42478">
        <w:rPr>
          <w:sz w:val="24"/>
          <w:szCs w:val="24"/>
        </w:rPr>
        <w:instrText xml:space="preserve"> ADDIN EN.CITE.DATA </w:instrText>
      </w:r>
      <w:r w:rsidR="00E42478">
        <w:rPr>
          <w:sz w:val="24"/>
          <w:szCs w:val="24"/>
        </w:rPr>
      </w:r>
      <w:r w:rsidR="00E42478">
        <w:rPr>
          <w:sz w:val="24"/>
          <w:szCs w:val="24"/>
        </w:rPr>
        <w:fldChar w:fldCharType="end"/>
      </w:r>
      <w:r w:rsidR="00E42478">
        <w:rPr>
          <w:sz w:val="24"/>
          <w:szCs w:val="24"/>
        </w:rPr>
      </w:r>
      <w:r w:rsidR="00E42478">
        <w:rPr>
          <w:sz w:val="24"/>
          <w:szCs w:val="24"/>
        </w:rPr>
        <w:fldChar w:fldCharType="separate"/>
      </w:r>
      <w:r w:rsidR="00E42478">
        <w:rPr>
          <w:noProof/>
          <w:sz w:val="24"/>
          <w:szCs w:val="24"/>
        </w:rPr>
        <w:t>(1,</w:t>
      </w:r>
      <w:r w:rsidR="00212BE8">
        <w:rPr>
          <w:noProof/>
          <w:sz w:val="24"/>
          <w:szCs w:val="24"/>
        </w:rPr>
        <w:t xml:space="preserve"> </w:t>
      </w:r>
      <w:r w:rsidR="00E42478">
        <w:rPr>
          <w:noProof/>
          <w:sz w:val="24"/>
          <w:szCs w:val="24"/>
        </w:rPr>
        <w:t>2)</w:t>
      </w:r>
      <w:r w:rsidR="00E42478">
        <w:rPr>
          <w:sz w:val="24"/>
          <w:szCs w:val="24"/>
        </w:rPr>
        <w:fldChar w:fldCharType="end"/>
      </w:r>
      <w:r w:rsidR="00E42478">
        <w:rPr>
          <w:sz w:val="24"/>
          <w:szCs w:val="24"/>
        </w:rPr>
        <w:t xml:space="preserve">. </w:t>
      </w:r>
      <w:r w:rsidR="001850C9">
        <w:rPr>
          <w:sz w:val="24"/>
          <w:szCs w:val="24"/>
        </w:rPr>
        <w:t xml:space="preserve">In order to assess care quality, </w:t>
      </w:r>
      <w:r w:rsidR="008C6B49">
        <w:rPr>
          <w:sz w:val="24"/>
          <w:szCs w:val="24"/>
        </w:rPr>
        <w:t>NCAs</w:t>
      </w:r>
      <w:r w:rsidR="001850C9">
        <w:rPr>
          <w:sz w:val="24"/>
          <w:szCs w:val="24"/>
        </w:rPr>
        <w:t xml:space="preserve"> rely on metrics that can be split into two distinct groups:</w:t>
      </w:r>
    </w:p>
    <w:p w14:paraId="0BA0E8F9" w14:textId="201F60E9" w:rsidR="001850C9" w:rsidRDefault="00980D3F" w:rsidP="002830C8">
      <w:pPr>
        <w:pStyle w:val="ListParagraph"/>
        <w:numPr>
          <w:ilvl w:val="0"/>
          <w:numId w:val="11"/>
        </w:numPr>
        <w:spacing w:line="480" w:lineRule="auto"/>
        <w:jc w:val="both"/>
        <w:rPr>
          <w:sz w:val="24"/>
          <w:szCs w:val="24"/>
        </w:rPr>
      </w:pPr>
      <w:r>
        <w:rPr>
          <w:b/>
          <w:bCs/>
          <w:sz w:val="24"/>
          <w:szCs w:val="24"/>
        </w:rPr>
        <w:t>Process</w:t>
      </w:r>
      <w:r w:rsidR="001850C9" w:rsidRPr="003840D1">
        <w:rPr>
          <w:b/>
          <w:bCs/>
          <w:sz w:val="24"/>
          <w:szCs w:val="24"/>
        </w:rPr>
        <w:t xml:space="preserve"> measures</w:t>
      </w:r>
      <w:r w:rsidR="003F4145" w:rsidRPr="00280D82">
        <w:rPr>
          <w:sz w:val="24"/>
          <w:szCs w:val="24"/>
        </w:rPr>
        <w:t xml:space="preserve">. Typically a guideline recommendation that applies a </w:t>
      </w:r>
      <w:r w:rsidR="00C956CF">
        <w:rPr>
          <w:sz w:val="24"/>
          <w:szCs w:val="24"/>
        </w:rPr>
        <w:t>threshold</w:t>
      </w:r>
      <w:r w:rsidR="003F4145" w:rsidRPr="00280D82">
        <w:rPr>
          <w:sz w:val="24"/>
          <w:szCs w:val="24"/>
        </w:rPr>
        <w:t xml:space="preserve"> of quality to a particular aspect of care delivery</w:t>
      </w:r>
      <w:r w:rsidR="003F4145">
        <w:rPr>
          <w:sz w:val="24"/>
          <w:szCs w:val="24"/>
        </w:rPr>
        <w:t xml:space="preserve"> </w:t>
      </w:r>
      <w:r w:rsidR="003F4145">
        <w:rPr>
          <w:sz w:val="24"/>
          <w:szCs w:val="24"/>
        </w:rPr>
        <w:fldChar w:fldCharType="begin"/>
      </w:r>
      <w:r w:rsidR="003F4145">
        <w:rPr>
          <w:sz w:val="24"/>
          <w:szCs w:val="24"/>
        </w:rPr>
        <w:instrText xml:space="preserve"> ADDIN EN.CITE &lt;EndNote&gt;&lt;Cite&gt;&lt;Author&gt;Palmer&lt;/Author&gt;&lt;Year&gt;1997&lt;/Year&gt;&lt;RecNum&gt;285&lt;/RecNum&gt;&lt;DisplayText&gt;(3)&lt;/DisplayText&gt;&lt;record&gt;&lt;rec-number&gt;285&lt;/rec-number&gt;&lt;foreign-keys&gt;&lt;key app="EN" db-id="drp9r9v5qdfv2hez5ec55x5ldtx2ezvvxs2v" timestamp="1583867844"&gt;285&lt;/key&gt;&lt;/foreign-keys&gt;&lt;ref-type name="Journal Article"&gt;17&lt;/ref-type&gt;&lt;contributors&gt;&lt;authors&gt;&lt;author&gt;Palmer, R. Heather&lt;/author&gt;&lt;/authors&gt;&lt;/contributors&gt;&lt;titles&gt;&lt;title&gt;Process-Based Measures of Quality: The Need for Detailed Clinical Data in Large Health Care Databases&lt;/title&gt;&lt;secondary-title&gt;Annals of Internal Medicine&lt;/secondary-title&gt;&lt;/titles&gt;&lt;periodical&gt;&lt;full-title&gt;Annals of Internal Medicine&lt;/full-title&gt;&lt;/periodical&gt;&lt;pages&gt;733-738&lt;/pages&gt;&lt;volume&gt;127&lt;/volume&gt;&lt;number&gt;8_Part_2&lt;/number&gt;&lt;dates&gt;&lt;year&gt;1997&lt;/year&gt;&lt;/dates&gt;&lt;isbn&gt;0003-4819&lt;/isbn&gt;&lt;urls&gt;&lt;related-urls&gt;&lt;url&gt;https://doi.org/10.7326/0003-4819-127-8_Part_2-199710151-00059&lt;/url&gt;&lt;/related-urls&gt;&lt;/urls&gt;&lt;electronic-resource-num&gt;10.7326/0003-4819-127-8_Part_2-199710151-00059&lt;/electronic-resource-num&gt;&lt;access-date&gt;3/10/2020&lt;/access-date&gt;&lt;/record&gt;&lt;/Cite&gt;&lt;/EndNote&gt;</w:instrText>
      </w:r>
      <w:r w:rsidR="003F4145">
        <w:rPr>
          <w:sz w:val="24"/>
          <w:szCs w:val="24"/>
        </w:rPr>
        <w:fldChar w:fldCharType="separate"/>
      </w:r>
      <w:r w:rsidR="003F4145">
        <w:rPr>
          <w:noProof/>
          <w:sz w:val="24"/>
          <w:szCs w:val="24"/>
        </w:rPr>
        <w:t>(3)</w:t>
      </w:r>
      <w:r w:rsidR="003F4145">
        <w:rPr>
          <w:sz w:val="24"/>
          <w:szCs w:val="24"/>
        </w:rPr>
        <w:fldChar w:fldCharType="end"/>
      </w:r>
      <w:r w:rsidR="003F4145">
        <w:rPr>
          <w:b/>
          <w:bCs/>
          <w:sz w:val="24"/>
          <w:szCs w:val="24"/>
        </w:rPr>
        <w:t>.</w:t>
      </w:r>
      <w:r w:rsidR="001850C9">
        <w:rPr>
          <w:sz w:val="24"/>
          <w:szCs w:val="24"/>
        </w:rPr>
        <w:t xml:space="preserve"> </w:t>
      </w:r>
      <w:r w:rsidR="003F4145">
        <w:rPr>
          <w:sz w:val="24"/>
          <w:szCs w:val="24"/>
        </w:rPr>
        <w:t xml:space="preserve">For </w:t>
      </w:r>
      <w:proofErr w:type="spellStart"/>
      <w:r w:rsidR="003F4145">
        <w:rPr>
          <w:sz w:val="24"/>
          <w:szCs w:val="24"/>
        </w:rPr>
        <w:t>example</w:t>
      </w:r>
      <w:r w:rsidR="00C956CF">
        <w:rPr>
          <w:sz w:val="24"/>
          <w:szCs w:val="24"/>
        </w:rPr>
        <w:t>,</w:t>
      </w:r>
      <w:r w:rsidR="001850C9">
        <w:rPr>
          <w:sz w:val="24"/>
          <w:szCs w:val="24"/>
        </w:rPr>
        <w:t>time</w:t>
      </w:r>
      <w:proofErr w:type="spellEnd"/>
      <w:r w:rsidR="001850C9">
        <w:rPr>
          <w:sz w:val="24"/>
          <w:szCs w:val="24"/>
        </w:rPr>
        <w:t xml:space="preserve"> to surgery in the hip fracture </w:t>
      </w:r>
      <w:r w:rsidR="006D69EC">
        <w:rPr>
          <w:sz w:val="24"/>
          <w:szCs w:val="24"/>
        </w:rPr>
        <w:t>database</w:t>
      </w:r>
      <w:r w:rsidR="004E4BAA">
        <w:rPr>
          <w:sz w:val="24"/>
          <w:szCs w:val="24"/>
        </w:rPr>
        <w:t xml:space="preserve"> </w:t>
      </w:r>
      <w:r w:rsidR="004E4BAA">
        <w:rPr>
          <w:sz w:val="24"/>
          <w:szCs w:val="24"/>
        </w:rPr>
        <w:fldChar w:fldCharType="begin">
          <w:fldData xml:space="preserve">PEVuZE5vdGU+PENpdGU+PEF1dGhvcj5OZXVidXJnZXI8L0F1dGhvcj48WWVhcj4yMDE1PC9ZZWFy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</w:fldData>
        </w:fldChar>
      </w:r>
      <w:r w:rsidR="003F4145">
        <w:rPr>
          <w:sz w:val="24"/>
          <w:szCs w:val="24"/>
        </w:rPr>
        <w:instrText xml:space="preserve"> ADDIN EN.CITE </w:instrText>
      </w:r>
      <w:r w:rsidR="003F4145">
        <w:rPr>
          <w:sz w:val="24"/>
          <w:szCs w:val="24"/>
        </w:rPr>
        <w:fldChar w:fldCharType="begin">
          <w:fldData xml:space="preserve">PEVuZE5vdGU+PENpdGU+PEF1dGhvcj5OZXVidXJnZXI8L0F1dGhvcj48WWVhcj4yMDE1PC9ZZWFy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</w:fldData>
        </w:fldChar>
      </w:r>
      <w:r w:rsidR="003F4145">
        <w:rPr>
          <w:sz w:val="24"/>
          <w:szCs w:val="24"/>
        </w:rPr>
        <w:instrText xml:space="preserve"> ADDIN EN.CITE.DATA </w:instrText>
      </w:r>
      <w:r w:rsidR="003F4145">
        <w:rPr>
          <w:sz w:val="24"/>
          <w:szCs w:val="24"/>
        </w:rPr>
      </w:r>
      <w:r w:rsidR="003F4145">
        <w:rPr>
          <w:sz w:val="24"/>
          <w:szCs w:val="24"/>
        </w:rPr>
        <w:fldChar w:fldCharType="end"/>
      </w:r>
      <w:r w:rsidR="004E4BAA">
        <w:rPr>
          <w:sz w:val="24"/>
          <w:szCs w:val="24"/>
        </w:rPr>
      </w:r>
      <w:r w:rsidR="004E4BAA">
        <w:rPr>
          <w:sz w:val="24"/>
          <w:szCs w:val="24"/>
        </w:rPr>
        <w:fldChar w:fldCharType="separate"/>
      </w:r>
      <w:r w:rsidR="003F4145">
        <w:rPr>
          <w:noProof/>
          <w:sz w:val="24"/>
          <w:szCs w:val="24"/>
        </w:rPr>
        <w:t>(4)</w:t>
      </w:r>
      <w:r w:rsidR="004E4BAA">
        <w:rPr>
          <w:sz w:val="24"/>
          <w:szCs w:val="24"/>
        </w:rPr>
        <w:fldChar w:fldCharType="end"/>
      </w:r>
      <w:r w:rsidR="001850C9">
        <w:rPr>
          <w:sz w:val="24"/>
          <w:szCs w:val="24"/>
        </w:rPr>
        <w:t xml:space="preserve">, or time to thrombolysis in SSNAP </w:t>
      </w:r>
      <w:r w:rsidR="001850C9">
        <w:rPr>
          <w:sz w:val="24"/>
          <w:szCs w:val="24"/>
        </w:rPr>
        <w:fldChar w:fldCharType="begin"/>
      </w:r>
      <w:r w:rsidR="001850C9">
        <w:rPr>
          <w:sz w:val="24"/>
          <w:szCs w:val="24"/>
        </w:rPr>
        <w:instrText xml:space="preserve"> ADDIN EN.CITE &lt;EndNote&gt;&lt;Cite&gt;&lt;Author&gt;Rudd&lt;/Author&gt;&lt;Year&gt;2018&lt;/Year&gt;&lt;RecNum&gt;70&lt;/RecNum&gt;&lt;DisplayText&gt;(1)&lt;/DisplayText&gt;&lt;record&gt;&lt;rec-number&gt;70&lt;/rec-number&gt;&lt;foreign-keys&gt;&lt;key app="EN" db-id="drp9r9v5qdfv2hez5ec55x5ldtx2ezvvxs2v" timestamp="1559147087"&gt;70&lt;/key&gt;&lt;/foreign-keys&gt;&lt;ref-type name="Journal Article"&gt;17&lt;/ref-type&gt;&lt;contributors&gt;&lt;authors&gt;&lt;author&gt;Rudd, A. G.&lt;/author&gt;&lt;author&gt;Hoffman, A.&lt;/author&gt;&lt;author&gt;Paley, L.&lt;/author&gt;&lt;author&gt;Bray, B.&lt;/author&gt;&lt;/authors&gt;&lt;/contributors&gt;&lt;auth-address&gt;1 Department of Stroke Medicine, King&amp;apos;s College London, London, UK.&amp;#xD;2 Stroke Programme, Royal College of Physicians (RCP), London, UK.&lt;/auth-address&gt;&lt;titles&gt;&lt;title&gt;20 years of researching stroke through audit&lt;/title&gt;&lt;secondary-title&gt;Clin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rehabilitation&lt;/abbr-1&gt;&lt;/alt-periodical&gt;&lt;pages&gt;997-1006&lt;/pages&gt;&lt;volume&gt;32&lt;/volume&gt;&lt;number&gt;8&lt;/number&gt;&lt;edition&gt;2018/06/23&lt;/edition&gt;&lt;keywords&gt;&lt;keyword&gt;Stroke audit&lt;/keyword&gt;&lt;keyword&gt;observational research&lt;/keyword&gt;&lt;keyword&gt;quality improvement&lt;/keyword&gt;&lt;keyword&gt;service organization&lt;/keyword&gt;&lt;/keywords&gt;&lt;dates&gt;&lt;year&gt;2018&lt;/year&gt;&lt;pub-dates&gt;&lt;date&gt;Aug&lt;/date&gt;&lt;/pub-dates&gt;&lt;/dates&gt;&lt;isbn&gt;0269-2155&lt;/isbn&gt;&lt;accession-num&gt;29932011&lt;/accession-num&gt;&lt;urls&gt;&lt;/urls&gt;&lt;electronic-resource-num&gt;10.1177/0269215518784645&lt;/electronic-resource-num&gt;&lt;remote-database-provider&gt;NLM&lt;/remote-database-provider&gt;&lt;language&gt;eng&lt;/language&gt;&lt;/record&gt;&lt;/Cite&gt;&lt;/EndNote&gt;</w:instrText>
      </w:r>
      <w:r w:rsidR="001850C9">
        <w:rPr>
          <w:sz w:val="24"/>
          <w:szCs w:val="24"/>
        </w:rPr>
        <w:fldChar w:fldCharType="separate"/>
      </w:r>
      <w:r w:rsidR="001850C9">
        <w:rPr>
          <w:noProof/>
          <w:sz w:val="24"/>
          <w:szCs w:val="24"/>
        </w:rPr>
        <w:t>(1)</w:t>
      </w:r>
      <w:r w:rsidR="001850C9">
        <w:rPr>
          <w:sz w:val="24"/>
          <w:szCs w:val="24"/>
        </w:rPr>
        <w:fldChar w:fldCharType="end"/>
      </w:r>
      <w:r w:rsidR="001850C9">
        <w:rPr>
          <w:sz w:val="24"/>
          <w:szCs w:val="24"/>
        </w:rPr>
        <w:t xml:space="preserve">; </w:t>
      </w:r>
    </w:p>
    <w:p w14:paraId="3716518E" w14:textId="745A946F" w:rsidR="001850C9" w:rsidRDefault="001850C9" w:rsidP="002830C8">
      <w:pPr>
        <w:pStyle w:val="ListParagraph"/>
        <w:numPr>
          <w:ilvl w:val="0"/>
          <w:numId w:val="11"/>
        </w:numPr>
        <w:spacing w:line="480" w:lineRule="auto"/>
        <w:jc w:val="both"/>
        <w:rPr>
          <w:sz w:val="24"/>
          <w:szCs w:val="24"/>
        </w:rPr>
      </w:pPr>
      <w:r w:rsidRPr="003840D1">
        <w:rPr>
          <w:b/>
          <w:bCs/>
          <w:sz w:val="24"/>
          <w:szCs w:val="24"/>
        </w:rPr>
        <w:t>Clinical outcome measures</w:t>
      </w:r>
      <w:r w:rsidR="00C956CF">
        <w:rPr>
          <w:sz w:val="24"/>
          <w:szCs w:val="24"/>
        </w:rPr>
        <w:t xml:space="preserve">. Quantifiable changes in health status as a result of an intervention </w:t>
      </w:r>
      <w:r w:rsidR="00C956CF">
        <w:rPr>
          <w:sz w:val="24"/>
          <w:szCs w:val="24"/>
        </w:rPr>
        <w:fldChar w:fldCharType="begin"/>
      </w:r>
      <w:r w:rsidR="00C956CF">
        <w:rPr>
          <w:sz w:val="24"/>
          <w:szCs w:val="24"/>
        </w:rPr>
        <w:instrText xml:space="preserve"> ADDIN EN.CITE &lt;EndNote&gt;&lt;Cite&gt;&lt;Author&gt;Coster&lt;/Author&gt;&lt;Year&gt;2013&lt;/Year&gt;&lt;RecNum&gt;286&lt;/RecNum&gt;&lt;DisplayText&gt;(5)&lt;/DisplayText&gt;&lt;record&gt;&lt;rec-number&gt;286&lt;/rec-number&gt;&lt;foreign-keys&gt;&lt;key app="EN" db-id="drp9r9v5qdfv2hez5ec55x5ldtx2ezvvxs2v" timestamp="1583868211"&gt;286&lt;/key&gt;&lt;/foreign-keys&gt;&lt;ref-type name="Journal Article"&gt;17&lt;/ref-type&gt;&lt;contributors&gt;&lt;authors&gt;&lt;author&gt;Coster, Wendy J.&lt;/author&gt;&lt;/authors&gt;&lt;/contributors&gt;&lt;titles&gt;&lt;title&gt;Making the best match: selecting outcome measures for clinical trials and outcome studies&lt;/title&gt;&lt;secondary-title&gt;The American journal of occupational therapy : official publication of the American Occupational Therapy Association&lt;/secondary-title&gt;&lt;alt-title&gt;Am J Occup Ther&lt;/alt-title&gt;&lt;/titles&gt;&lt;periodical&gt;&lt;full-title&gt;The American journal of occupational therapy : official publication of the American Occupational Therapy Association&lt;/full-title&gt;&lt;abbr-1&gt;Am J Occup Ther&lt;/abbr-1&gt;&lt;/periodical&gt;&lt;alt-periodical&gt;&lt;full-title&gt;The American journal of occupational therapy : official publication of the American Occupational Therapy Association&lt;/full-title&gt;&lt;abbr-1&gt;Am J Occup Ther&lt;/abbr-1&gt;&lt;/alt-periodical&gt;&lt;pages&gt;162-170&lt;/pages&gt;&lt;volume&gt;67&lt;/volume&gt;&lt;number&gt;2&lt;/number&gt;&lt;keywords&gt;&lt;keyword&gt;Clinical Trials as Topic/*standards&lt;/keyword&gt;&lt;keyword&gt;*Guidelines as Topic&lt;/keyword&gt;&lt;keyword&gt;Humans&lt;/keyword&gt;&lt;keyword&gt;Research Design&lt;/keyword&gt;&lt;keyword&gt;Sensitivity and Specificity&lt;/keyword&gt;&lt;keyword&gt;Time Factors&lt;/keyword&gt;&lt;keyword&gt;*Treatment Outcome&lt;/keyword&gt;&lt;/keywords&gt;&lt;dates&gt;&lt;year&gt;2013&lt;/year&gt;&lt;pub-dates&gt;&lt;date&gt;Mar-Apr&lt;/date&gt;&lt;/pub-dates&gt;&lt;/dates&gt;&lt;publisher&gt;The American Occupational Therapy Association, Inc.&lt;/publisher&gt;&lt;isbn&gt;1943-7676&amp;#xD;0272-9490&lt;/isbn&gt;&lt;accession-num&gt;23433270&lt;/accession-num&gt;&lt;urls&gt;&lt;related-urls&gt;&lt;url&gt;https://pubmed.ncbi.nlm.nih.gov/23433270&lt;/url&gt;&lt;url&gt;https://www.ncbi.nlm.nih.gov/pmc/articles/PMC3628620/&lt;/url&gt;&lt;/related-urls&gt;&lt;/urls&gt;&lt;electronic-resource-num&gt;10.5014/ajot.2013.006015&lt;/electronic-resource-num&gt;&lt;remote-database-name&gt;PubMed&lt;/remote-database-name&gt;&lt;language&gt;eng&lt;/language&gt;&lt;/record&gt;&lt;/Cite&gt;&lt;/EndNote&gt;</w:instrText>
      </w:r>
      <w:r w:rsidR="00C956CF">
        <w:rPr>
          <w:sz w:val="24"/>
          <w:szCs w:val="24"/>
        </w:rPr>
        <w:fldChar w:fldCharType="separate"/>
      </w:r>
      <w:r w:rsidR="00C956CF">
        <w:rPr>
          <w:noProof/>
          <w:sz w:val="24"/>
          <w:szCs w:val="24"/>
        </w:rPr>
        <w:t>(5)</w:t>
      </w:r>
      <w:r w:rsidR="00C956CF">
        <w:rPr>
          <w:sz w:val="24"/>
          <w:szCs w:val="24"/>
        </w:rPr>
        <w:fldChar w:fldCharType="end"/>
      </w:r>
      <w:r w:rsidR="00C956CF">
        <w:rPr>
          <w:sz w:val="24"/>
          <w:szCs w:val="24"/>
        </w:rPr>
        <w:t xml:space="preserve">. For example, </w:t>
      </w:r>
      <w:r>
        <w:rPr>
          <w:sz w:val="24"/>
          <w:szCs w:val="24"/>
        </w:rPr>
        <w:t>blood glucose levels in the National Diabetes Audit</w:t>
      </w:r>
      <w:r w:rsidR="00212BE8">
        <w:rPr>
          <w:sz w:val="24"/>
          <w:szCs w:val="24"/>
        </w:rPr>
        <w:t xml:space="preserve"> </w:t>
      </w:r>
      <w:r w:rsidR="00212BE8">
        <w:rPr>
          <w:sz w:val="24"/>
          <w:szCs w:val="24"/>
        </w:rPr>
        <w:fldChar w:fldCharType="begin"/>
      </w:r>
      <w:r w:rsidR="00C956CF">
        <w:rPr>
          <w:sz w:val="24"/>
          <w:szCs w:val="24"/>
        </w:rPr>
        <w:instrText xml:space="preserve"> ADDIN EN.CITE &lt;EndNote&gt;&lt;Cite&gt;&lt;Author&gt;Heald&lt;/Author&gt;&lt;Year&gt;2018&lt;/Year&gt;&lt;RecNum&gt;110&lt;/RecNum&gt;&lt;DisplayText&gt;(6)&lt;/DisplayText&gt;&lt;record&gt;&lt;rec-number&gt;110&lt;/rec-number&gt;&lt;foreign-keys&gt;&lt;key app="EN" db-id="drp9r9v5qdfv2hez5ec55x5ldtx2ezvvxs2v" timestamp="1564476749"&gt;110&lt;/key&gt;&lt;/foreign-keys&gt;&lt;ref-type name="Journal Article"&gt;17&lt;/ref-type&gt;&lt;contributors&gt;&lt;authors&gt;&lt;author&gt;Heald, Adrian H.&lt;/author&gt;&lt;author&gt;Livingston, Mark&lt;/author&gt;&lt;author&gt;Malipatil, Nagaraj&lt;/author&gt;&lt;author&gt;Becher, Michal&lt;/author&gt;&lt;author&gt;Craig, Joyce&lt;/author&gt;&lt;author&gt;Stedman, Mike&lt;/author&gt;&lt;author&gt;Fryer, Anthony A.&lt;/author&gt;&lt;/authors&gt;&lt;/contributors&gt;&lt;titles&gt;&lt;title&gt;Improving type 2 diabetes mellitus glycaemic outcomes is possible without spending more on medication: Lessons from the UK National Diabetes Audit&lt;/title&gt;&lt;secondary-title&gt;Diabetes, Obesity and Metabolism&lt;/secondary-title&gt;&lt;/titles&gt;&lt;periodical&gt;&lt;full-title&gt;Diabetes, Obesity and Metabolism&lt;/full-title&gt;&lt;/periodical&gt;&lt;pages&gt;185-194&lt;/pages&gt;&lt;volume&gt;20&lt;/volume&gt;&lt;number&gt;1&lt;/number&gt;&lt;dates&gt;&lt;year&gt;2018&lt;/year&gt;&lt;/dates&gt;&lt;isbn&gt;1462-8902&lt;/isbn&gt;&lt;urls&gt;&lt;related-urls&gt;&lt;url&gt;https://onlinelibrary.wiley.com/doi/abs/10.1111/dom.13067&lt;/url&gt;&lt;/related-urls&gt;&lt;/urls&gt;&lt;electronic-resource-num&gt;10.1111/dom.13067&lt;/electronic-resource-num&gt;&lt;/record&gt;&lt;/Cite&gt;&lt;/EndNote&gt;</w:instrText>
      </w:r>
      <w:r w:rsidR="00212BE8">
        <w:rPr>
          <w:sz w:val="24"/>
          <w:szCs w:val="24"/>
        </w:rPr>
        <w:fldChar w:fldCharType="separate"/>
      </w:r>
      <w:r w:rsidR="00C956CF">
        <w:rPr>
          <w:noProof/>
          <w:sz w:val="24"/>
          <w:szCs w:val="24"/>
        </w:rPr>
        <w:t>(6)</w:t>
      </w:r>
      <w:r w:rsidR="00212BE8">
        <w:rPr>
          <w:sz w:val="24"/>
          <w:szCs w:val="24"/>
        </w:rPr>
        <w:fldChar w:fldCharType="end"/>
      </w:r>
      <w:r>
        <w:rPr>
          <w:sz w:val="24"/>
          <w:szCs w:val="24"/>
        </w:rPr>
        <w:t xml:space="preserve">, or disease activity scores in the National Early inflammatory arthritis audit </w:t>
      </w:r>
      <w:r w:rsidR="00212BE8">
        <w:rPr>
          <w:sz w:val="24"/>
          <w:szCs w:val="24"/>
        </w:rPr>
        <w:fldChar w:fldCharType="begin"/>
      </w:r>
      <w:r w:rsidR="00C956CF">
        <w:rPr>
          <w:sz w:val="24"/>
          <w:szCs w:val="24"/>
        </w:rPr>
        <w:instrText xml:space="preserve"> ADDIN EN.CITE &lt;EndNote&gt;&lt;Cite&gt;&lt;Author&gt;Rheumatology&lt;/Author&gt;&lt;Year&gt;2015&lt;/Year&gt;&lt;RecNum&gt;77&lt;/RecNum&gt;&lt;DisplayText&gt;(7)&lt;/DisplayText&gt;&lt;record&gt;&lt;rec-number&gt;77&lt;/rec-number&gt;&lt;foreign-keys&gt;&lt;key app="EN" db-id="drp9r9v5qdfv2hez5ec55x5ldtx2ezvvxs2v" timestamp="1561107398"&gt;77&lt;/key&gt;&lt;/foreign-keys&gt;&lt;ref-type name="Web Page"&gt;12&lt;/ref-type&gt;&lt;contributors&gt;&lt;authors&gt;&lt;author&gt;The British Society for Rheumatology&lt;/author&gt;&lt;/authors&gt;&lt;/contributors&gt;&lt;titles&gt;&lt;title&gt;National Clinical Audit for Rheumatoid and Early Inflammatory Arthritis&lt;/title&gt;&lt;/titles&gt;&lt;volume&gt;2019&lt;/volume&gt;&lt;number&gt;21st June&lt;/number&gt;&lt;dates&gt;&lt;year&gt;2015&lt;/year&gt;&lt;/dates&gt;&lt;urls&gt;&lt;related-urls&gt;&lt;url&gt;https://www.rheumatology.org.uk/Portals/0/Documents/Guidelines/Previous%20Audits/National%20clinical%20audit%20for%20rheumatoid%20and%20early%20inflammatory%20arthritis.pdf?ver=2019-04-26-163400-363&amp;amp;timestamp=1556293746882&lt;/url&gt;&lt;/related-urls&gt;&lt;/urls&gt;&lt;/record&gt;&lt;/Cite&gt;&lt;/EndNote&gt;</w:instrText>
      </w:r>
      <w:r w:rsidR="00212BE8">
        <w:rPr>
          <w:sz w:val="24"/>
          <w:szCs w:val="24"/>
        </w:rPr>
        <w:fldChar w:fldCharType="separate"/>
      </w:r>
      <w:r w:rsidR="00C956CF">
        <w:rPr>
          <w:noProof/>
          <w:sz w:val="24"/>
          <w:szCs w:val="24"/>
        </w:rPr>
        <w:t>(7)</w:t>
      </w:r>
      <w:r w:rsidR="00212BE8">
        <w:rPr>
          <w:sz w:val="24"/>
          <w:szCs w:val="24"/>
        </w:rPr>
        <w:fldChar w:fldCharType="end"/>
      </w:r>
      <w:r>
        <w:rPr>
          <w:sz w:val="24"/>
          <w:szCs w:val="24"/>
        </w:rPr>
        <w:t>.</w:t>
      </w:r>
    </w:p>
    <w:p w14:paraId="51C343B7" w14:textId="2E5DE738" w:rsidR="00984F97" w:rsidRDefault="00C166D4" w:rsidP="002830C8">
      <w:pPr>
        <w:spacing w:line="480" w:lineRule="auto"/>
        <w:jc w:val="both"/>
        <w:rPr>
          <w:sz w:val="24"/>
          <w:szCs w:val="24"/>
        </w:rPr>
      </w:pPr>
      <w:r w:rsidRPr="00C166D4">
        <w:rPr>
          <w:sz w:val="24"/>
          <w:szCs w:val="24"/>
        </w:rPr>
        <w:t xml:space="preserve">Missing or incomplete data are a common finding in any </w:t>
      </w:r>
      <w:r w:rsidR="00BD799E">
        <w:rPr>
          <w:sz w:val="24"/>
          <w:szCs w:val="24"/>
        </w:rPr>
        <w:t>longitudinal</w:t>
      </w:r>
      <w:r w:rsidRPr="00C166D4">
        <w:rPr>
          <w:sz w:val="24"/>
          <w:szCs w:val="24"/>
        </w:rPr>
        <w:t xml:space="preserve"> dataset, particularly in </w:t>
      </w:r>
      <w:r w:rsidR="00503D9F">
        <w:rPr>
          <w:sz w:val="24"/>
          <w:szCs w:val="24"/>
        </w:rPr>
        <w:t>NCAs</w:t>
      </w:r>
      <w:r w:rsidRPr="00C166D4">
        <w:rPr>
          <w:sz w:val="24"/>
          <w:szCs w:val="24"/>
        </w:rPr>
        <w:t xml:space="preserve"> that</w:t>
      </w:r>
      <w:r w:rsidR="00DE35FC">
        <w:rPr>
          <w:sz w:val="24"/>
          <w:szCs w:val="24"/>
        </w:rPr>
        <w:t>,</w:t>
      </w:r>
      <w:r w:rsidRPr="00C166D4">
        <w:rPr>
          <w:sz w:val="24"/>
          <w:szCs w:val="24"/>
        </w:rPr>
        <w:t xml:space="preserve"> </w:t>
      </w:r>
      <w:r w:rsidR="00764F8D">
        <w:rPr>
          <w:sz w:val="24"/>
          <w:szCs w:val="24"/>
        </w:rPr>
        <w:t>by and large</w:t>
      </w:r>
      <w:r w:rsidR="00DE35FC">
        <w:rPr>
          <w:sz w:val="24"/>
          <w:szCs w:val="24"/>
        </w:rPr>
        <w:t>,</w:t>
      </w:r>
      <w:r w:rsidR="00764F8D">
        <w:rPr>
          <w:sz w:val="24"/>
          <w:szCs w:val="24"/>
        </w:rPr>
        <w:t xml:space="preserve"> </w:t>
      </w:r>
      <w:r w:rsidRPr="00C166D4">
        <w:rPr>
          <w:sz w:val="24"/>
          <w:szCs w:val="24"/>
        </w:rPr>
        <w:t>rely on clinician time an</w:t>
      </w:r>
      <w:r>
        <w:rPr>
          <w:sz w:val="24"/>
          <w:szCs w:val="24"/>
        </w:rPr>
        <w:t>d goodwill for data collection.</w:t>
      </w:r>
      <w:r w:rsidR="00E42478">
        <w:rPr>
          <w:sz w:val="24"/>
          <w:szCs w:val="24"/>
        </w:rPr>
        <w:t xml:space="preserve"> </w:t>
      </w:r>
      <w:r w:rsidR="00980D3F">
        <w:rPr>
          <w:sz w:val="24"/>
          <w:szCs w:val="24"/>
        </w:rPr>
        <w:t>Process</w:t>
      </w:r>
      <w:r w:rsidR="001850C9">
        <w:rPr>
          <w:sz w:val="24"/>
          <w:szCs w:val="24"/>
        </w:rPr>
        <w:t xml:space="preserve"> measures </w:t>
      </w:r>
      <w:r w:rsidR="00980D3F">
        <w:rPr>
          <w:sz w:val="24"/>
          <w:szCs w:val="24"/>
        </w:rPr>
        <w:t xml:space="preserve">tend to have higher data completeness as they </w:t>
      </w:r>
      <w:r w:rsidR="001850C9">
        <w:rPr>
          <w:sz w:val="24"/>
          <w:szCs w:val="24"/>
        </w:rPr>
        <w:t xml:space="preserve">are simple to collect from electronic health records. Clinical outcomes measures are more challenging to collect, often requiring blood tests, specific examination findings or calculation of scores </w:t>
      </w:r>
      <w:r w:rsidR="0027189D">
        <w:rPr>
          <w:sz w:val="24"/>
          <w:szCs w:val="24"/>
        </w:rPr>
        <w:t xml:space="preserve">derived </w:t>
      </w:r>
      <w:r w:rsidR="001850C9">
        <w:rPr>
          <w:sz w:val="24"/>
          <w:szCs w:val="24"/>
        </w:rPr>
        <w:t>from multiple metrics</w:t>
      </w:r>
      <w:r w:rsidR="00980D3F">
        <w:rPr>
          <w:sz w:val="24"/>
          <w:szCs w:val="24"/>
        </w:rPr>
        <w:t xml:space="preserve"> so are more likely to have lower data completeness</w:t>
      </w:r>
      <w:r w:rsidR="00BD799E">
        <w:rPr>
          <w:sz w:val="24"/>
          <w:szCs w:val="24"/>
        </w:rPr>
        <w:t xml:space="preserve">. </w:t>
      </w:r>
      <w:r w:rsidR="00980D3F">
        <w:rPr>
          <w:sz w:val="24"/>
          <w:szCs w:val="24"/>
        </w:rPr>
        <w:t xml:space="preserve"> </w:t>
      </w:r>
    </w:p>
    <w:p w14:paraId="637C298E" w14:textId="241BBBCC" w:rsidR="00984F97" w:rsidRDefault="00984F97" w:rsidP="002830C8">
      <w:pPr>
        <w:spacing w:line="480" w:lineRule="auto"/>
        <w:jc w:val="both"/>
        <w:rPr>
          <w:sz w:val="24"/>
          <w:szCs w:val="24"/>
        </w:rPr>
      </w:pPr>
      <w:r>
        <w:rPr>
          <w:sz w:val="24"/>
          <w:szCs w:val="24"/>
        </w:rPr>
        <w:t>Rheumatoid arthritis (RA) is primarily managed in the outpatient setting with multiple follow up appointments. This increases the likelihood of missing outcome data. Despite this,</w:t>
      </w:r>
      <w:r w:rsidR="003F4145">
        <w:rPr>
          <w:sz w:val="24"/>
          <w:szCs w:val="24"/>
        </w:rPr>
        <w:t xml:space="preserve"> patterns of </w:t>
      </w:r>
      <w:r>
        <w:rPr>
          <w:sz w:val="24"/>
          <w:szCs w:val="24"/>
        </w:rPr>
        <w:t xml:space="preserve"> missing data </w:t>
      </w:r>
      <w:r w:rsidR="003F4145">
        <w:rPr>
          <w:sz w:val="24"/>
          <w:szCs w:val="24"/>
        </w:rPr>
        <w:t>are frequently not</w:t>
      </w:r>
      <w:r w:rsidR="005E2092">
        <w:rPr>
          <w:sz w:val="24"/>
          <w:szCs w:val="24"/>
        </w:rPr>
        <w:t xml:space="preserve"> reported</w:t>
      </w:r>
      <w:r w:rsidR="003F4145">
        <w:rPr>
          <w:sz w:val="24"/>
          <w:szCs w:val="24"/>
        </w:rPr>
        <w:t xml:space="preserve"> </w:t>
      </w:r>
      <w:r>
        <w:rPr>
          <w:sz w:val="24"/>
          <w:szCs w:val="24"/>
        </w:rPr>
        <w:t>in RA observational studies</w:t>
      </w:r>
      <w:r w:rsidR="003F4145">
        <w:rPr>
          <w:sz w:val="24"/>
          <w:szCs w:val="24"/>
        </w:rPr>
        <w:t xml:space="preserve"> </w:t>
      </w:r>
      <w:r w:rsidR="003F4145">
        <w:rPr>
          <w:sz w:val="24"/>
          <w:szCs w:val="24"/>
        </w:rPr>
        <w:fldChar w:fldCharType="begin"/>
      </w:r>
      <w:r w:rsidR="00C956CF">
        <w:rPr>
          <w:sz w:val="24"/>
          <w:szCs w:val="24"/>
        </w:rPr>
        <w:instrText xml:space="preserve"> ADDIN EN.CITE &lt;EndNote&gt;&lt;Cite&gt;&lt;Author&gt;Mongin&lt;/Author&gt;&lt;Year&gt;2019&lt;/Year&gt;&lt;RecNum&gt;284&lt;/RecNum&gt;&lt;DisplayText&gt;(8)&lt;/DisplayText&gt;&lt;record&gt;&lt;rec-number&gt;284&lt;/rec-number&gt;&lt;foreign-keys&gt;&lt;key app="EN" db-id="drp9r9v5qdfv2hez5ec55x5ldtx2ezvvxs2v" timestamp="1583867332"&gt;284&lt;/key&gt;&lt;/foreign-keys&gt;&lt;ref-type name="Journal Article"&gt;17&lt;/ref-type&gt;&lt;contributors&gt;&lt;authors&gt;&lt;author&gt;Mongin, Denis&lt;/author&gt;&lt;author&gt;Lauper, Kim&lt;/author&gt;&lt;author&gt;Turesson, Carl&lt;/author&gt;&lt;author&gt;Hetland, Merete Lund&lt;/author&gt;&lt;author&gt;Klami Kristianslund, Eirik&lt;/author&gt;&lt;author&gt;Kvien, Tore K&lt;/author&gt;&lt;author&gt;Santos, Maria Jose&lt;/author&gt;&lt;author&gt;Pavelka, Karel&lt;/author&gt;&lt;author&gt;Iannone, Florenzo&lt;/author&gt;&lt;author&gt;Finckh, Axel&lt;/author&gt;&lt;author&gt;Courvoisier, Delphine Sophie&lt;/author&gt;&lt;/authors&gt;&lt;/contributors&gt;&lt;titles&gt;&lt;title&gt;Imputing missing data of function and disease activity in rheumatoid arthritis registers: what is the best technique?&lt;/title&gt;&lt;secondary-title&gt;RMD Open&lt;/secondary-title&gt;&lt;/titles&gt;&lt;periodical&gt;&lt;full-title&gt;RMD Open&lt;/full-title&gt;&lt;/periodical&gt;&lt;pages&gt;e000994&lt;/pages&gt;&lt;volume&gt;5&lt;/volume&gt;&lt;number&gt;2&lt;/number&gt;&lt;dates&gt;&lt;year&gt;2019&lt;/year&gt;&lt;/dates&gt;&lt;urls&gt;&lt;related-urls&gt;&lt;url&gt;https://rmdopen.bmj.com/content/rmdopen/5/2/e000994.full.pdf&lt;/url&gt;&lt;/related-urls&gt;&lt;/urls&gt;&lt;electronic-resource-num&gt;10.1136/rmdopen-2019-000994&lt;/electronic-resource-num&gt;&lt;/record&gt;&lt;/Cite&gt;&lt;/EndNote&gt;</w:instrText>
      </w:r>
      <w:r w:rsidR="003F4145">
        <w:rPr>
          <w:sz w:val="24"/>
          <w:szCs w:val="24"/>
        </w:rPr>
        <w:fldChar w:fldCharType="separate"/>
      </w:r>
      <w:r w:rsidR="00C956CF">
        <w:rPr>
          <w:noProof/>
          <w:sz w:val="24"/>
          <w:szCs w:val="24"/>
        </w:rPr>
        <w:t>(8)</w:t>
      </w:r>
      <w:r w:rsidR="003F4145">
        <w:rPr>
          <w:sz w:val="24"/>
          <w:szCs w:val="24"/>
        </w:rPr>
        <w:fldChar w:fldCharType="end"/>
      </w:r>
      <w:r>
        <w:rPr>
          <w:sz w:val="24"/>
          <w:szCs w:val="24"/>
        </w:rPr>
        <w:t xml:space="preserve">. </w:t>
      </w:r>
    </w:p>
    <w:p w14:paraId="5E53C7AE" w14:textId="7198A337" w:rsidR="00980D3F" w:rsidRDefault="00980D3F" w:rsidP="002830C8">
      <w:pPr>
        <w:spacing w:line="480" w:lineRule="auto"/>
        <w:jc w:val="both"/>
        <w:rPr>
          <w:sz w:val="24"/>
          <w:szCs w:val="24"/>
        </w:rPr>
      </w:pPr>
      <w:r>
        <w:rPr>
          <w:sz w:val="24"/>
          <w:szCs w:val="24"/>
        </w:rPr>
        <w:lastRenderedPageBreak/>
        <w:t xml:space="preserve">It is not known if departments </w:t>
      </w:r>
      <w:r w:rsidR="00BD799E">
        <w:rPr>
          <w:sz w:val="24"/>
          <w:szCs w:val="24"/>
        </w:rPr>
        <w:t>with</w:t>
      </w:r>
      <w:r>
        <w:rPr>
          <w:sz w:val="24"/>
          <w:szCs w:val="24"/>
        </w:rPr>
        <w:t xml:space="preserve"> higher levels of incomplete clinical outcome data are delivering lower quality care. We hypothesise</w:t>
      </w:r>
      <w:r w:rsidR="00BD799E">
        <w:rPr>
          <w:sz w:val="24"/>
          <w:szCs w:val="24"/>
        </w:rPr>
        <w:t>d</w:t>
      </w:r>
      <w:r>
        <w:rPr>
          <w:sz w:val="24"/>
          <w:szCs w:val="24"/>
        </w:rPr>
        <w:t xml:space="preserve"> that the completeness of key outcome data in a national clinical audit </w:t>
      </w:r>
      <w:r w:rsidR="00503D9F">
        <w:rPr>
          <w:sz w:val="24"/>
          <w:szCs w:val="24"/>
        </w:rPr>
        <w:t>c</w:t>
      </w:r>
      <w:r w:rsidR="00BD799E">
        <w:rPr>
          <w:sz w:val="24"/>
          <w:szCs w:val="24"/>
        </w:rPr>
        <w:t>ould predict</w:t>
      </w:r>
      <w:r>
        <w:rPr>
          <w:sz w:val="24"/>
          <w:szCs w:val="24"/>
        </w:rPr>
        <w:t xml:space="preserve"> departmental performance. </w:t>
      </w:r>
    </w:p>
    <w:p w14:paraId="4F2034E7" w14:textId="29E6A23F" w:rsidR="00980D3F" w:rsidRPr="0086388C" w:rsidRDefault="00980D3F" w:rsidP="002830C8">
      <w:pPr>
        <w:spacing w:line="480" w:lineRule="auto"/>
        <w:rPr>
          <w:sz w:val="24"/>
          <w:szCs w:val="24"/>
        </w:rPr>
      </w:pPr>
      <w:r>
        <w:rPr>
          <w:sz w:val="24"/>
          <w:szCs w:val="24"/>
        </w:rPr>
        <w:t xml:space="preserve">The objectives of this study are to utilise </w:t>
      </w:r>
      <w:r w:rsidR="008C6B49">
        <w:rPr>
          <w:sz w:val="24"/>
          <w:szCs w:val="24"/>
        </w:rPr>
        <w:t>an NCA dataset</w:t>
      </w:r>
      <w:r w:rsidR="004C12BA" w:rsidRPr="000C5E9F">
        <w:rPr>
          <w:sz w:val="24"/>
          <w:szCs w:val="24"/>
        </w:rPr>
        <w:t xml:space="preserve"> </w:t>
      </w:r>
      <w:r>
        <w:rPr>
          <w:sz w:val="24"/>
          <w:szCs w:val="24"/>
        </w:rPr>
        <w:t xml:space="preserve">to:  </w:t>
      </w:r>
    </w:p>
    <w:p w14:paraId="521CF65A" w14:textId="5DCA2A8D" w:rsidR="00CB44A2" w:rsidRPr="00CB44A2" w:rsidRDefault="00CB44A2" w:rsidP="002830C8">
      <w:pPr>
        <w:pStyle w:val="ListParagraph"/>
        <w:numPr>
          <w:ilvl w:val="0"/>
          <w:numId w:val="4"/>
        </w:numPr>
        <w:spacing w:line="480" w:lineRule="auto"/>
        <w:jc w:val="both"/>
        <w:rPr>
          <w:color w:val="000000" w:themeColor="text1"/>
          <w:sz w:val="24"/>
          <w:szCs w:val="24"/>
        </w:rPr>
      </w:pPr>
      <w:r>
        <w:rPr>
          <w:bCs/>
          <w:sz w:val="24"/>
          <w:szCs w:val="24"/>
        </w:rPr>
        <w:t xml:space="preserve">Describe departmental level variations in outcome data quality across </w:t>
      </w:r>
      <w:r w:rsidR="00E157B1">
        <w:rPr>
          <w:bCs/>
          <w:sz w:val="24"/>
          <w:szCs w:val="24"/>
        </w:rPr>
        <w:t xml:space="preserve">the </w:t>
      </w:r>
      <w:bookmarkStart w:id="6" w:name="_Hlk27731597"/>
      <w:r w:rsidR="00E157B1">
        <w:rPr>
          <w:bCs/>
          <w:sz w:val="24"/>
          <w:szCs w:val="24"/>
        </w:rPr>
        <w:t>National Health Service (NHS)</w:t>
      </w:r>
      <w:bookmarkEnd w:id="6"/>
      <w:r w:rsidR="00E157B1">
        <w:rPr>
          <w:bCs/>
          <w:sz w:val="24"/>
          <w:szCs w:val="24"/>
        </w:rPr>
        <w:t xml:space="preserve"> in England and Wales</w:t>
      </w:r>
      <w:r>
        <w:rPr>
          <w:bCs/>
          <w:sz w:val="24"/>
          <w:szCs w:val="24"/>
        </w:rPr>
        <w:t>;</w:t>
      </w:r>
    </w:p>
    <w:p w14:paraId="21D9CDE7" w14:textId="77777777" w:rsidR="00CB44A2" w:rsidRPr="00CB44A2" w:rsidRDefault="00CB44A2" w:rsidP="002830C8">
      <w:pPr>
        <w:pStyle w:val="ListParagraph"/>
        <w:spacing w:line="480" w:lineRule="auto"/>
        <w:jc w:val="both"/>
        <w:rPr>
          <w:color w:val="000000" w:themeColor="text1"/>
          <w:sz w:val="24"/>
          <w:szCs w:val="24"/>
        </w:rPr>
      </w:pPr>
    </w:p>
    <w:p w14:paraId="4C8CCACA" w14:textId="5968720C" w:rsidR="00D12088" w:rsidRPr="0039204A" w:rsidRDefault="00980D3F" w:rsidP="0039204A">
      <w:pPr>
        <w:pStyle w:val="ListParagraph"/>
        <w:numPr>
          <w:ilvl w:val="0"/>
          <w:numId w:val="4"/>
        </w:numPr>
        <w:spacing w:line="480" w:lineRule="auto"/>
        <w:jc w:val="both"/>
        <w:rPr>
          <w:sz w:val="24"/>
          <w:szCs w:val="24"/>
        </w:rPr>
      </w:pPr>
      <w:r>
        <w:rPr>
          <w:sz w:val="24"/>
          <w:szCs w:val="24"/>
        </w:rPr>
        <w:t>Investigate</w:t>
      </w:r>
      <w:r w:rsidRPr="007123C8">
        <w:rPr>
          <w:sz w:val="24"/>
          <w:szCs w:val="24"/>
        </w:rPr>
        <w:t xml:space="preserve"> if</w:t>
      </w:r>
      <w:r>
        <w:rPr>
          <w:sz w:val="24"/>
          <w:szCs w:val="24"/>
        </w:rPr>
        <w:t xml:space="preserve"> completeness</w:t>
      </w:r>
      <w:r w:rsidRPr="007123C8">
        <w:rPr>
          <w:sz w:val="24"/>
          <w:szCs w:val="24"/>
        </w:rPr>
        <w:t xml:space="preserve"> </w:t>
      </w:r>
      <w:r>
        <w:rPr>
          <w:sz w:val="24"/>
          <w:szCs w:val="24"/>
        </w:rPr>
        <w:t xml:space="preserve">of a clinical outcome measure correlates with </w:t>
      </w:r>
      <w:r w:rsidR="003B4D7E">
        <w:rPr>
          <w:sz w:val="24"/>
          <w:szCs w:val="24"/>
        </w:rPr>
        <w:t xml:space="preserve">process </w:t>
      </w:r>
      <w:r>
        <w:rPr>
          <w:sz w:val="24"/>
          <w:szCs w:val="24"/>
        </w:rPr>
        <w:t>measure</w:t>
      </w:r>
      <w:r w:rsidR="00BD799E">
        <w:rPr>
          <w:sz w:val="24"/>
          <w:szCs w:val="24"/>
        </w:rPr>
        <w:t>s</w:t>
      </w:r>
      <w:r w:rsidR="00CB44A2">
        <w:rPr>
          <w:sz w:val="24"/>
          <w:szCs w:val="24"/>
        </w:rPr>
        <w:t>.</w:t>
      </w:r>
    </w:p>
    <w:p w14:paraId="5C4355C1" w14:textId="77848C0F" w:rsidR="007123C8" w:rsidRDefault="00B10E93" w:rsidP="002830C8">
      <w:pPr>
        <w:pStyle w:val="Heading1"/>
        <w:spacing w:line="480" w:lineRule="auto"/>
      </w:pPr>
      <w:r>
        <w:t>METHODS</w:t>
      </w:r>
    </w:p>
    <w:p w14:paraId="544BAD92" w14:textId="69F13FF6" w:rsidR="0085149B" w:rsidRPr="0055532D" w:rsidRDefault="002407E5" w:rsidP="002830C8">
      <w:pPr>
        <w:pStyle w:val="Heading2"/>
        <w:spacing w:line="480" w:lineRule="auto"/>
      </w:pPr>
      <w:r>
        <w:t>Sample</w:t>
      </w:r>
    </w:p>
    <w:p w14:paraId="610C8380" w14:textId="66C1197C" w:rsidR="004454AA" w:rsidRDefault="0085149B" w:rsidP="002830C8">
      <w:pPr>
        <w:spacing w:line="480" w:lineRule="auto"/>
        <w:jc w:val="both"/>
        <w:rPr>
          <w:rFonts w:cs="ArialMT"/>
          <w:sz w:val="24"/>
          <w:szCs w:val="24"/>
        </w:rPr>
      </w:pPr>
      <w:r w:rsidRPr="0085149B">
        <w:rPr>
          <w:sz w:val="24"/>
          <w:szCs w:val="24"/>
        </w:rPr>
        <w:t xml:space="preserve">In 2014, the </w:t>
      </w:r>
      <w:bookmarkStart w:id="7" w:name="_Hlk27731609"/>
      <w:r w:rsidRPr="0085149B">
        <w:rPr>
          <w:sz w:val="24"/>
          <w:szCs w:val="24"/>
        </w:rPr>
        <w:t xml:space="preserve">Healthcare Quality Improvement partnership </w:t>
      </w:r>
      <w:r>
        <w:rPr>
          <w:sz w:val="24"/>
          <w:szCs w:val="24"/>
        </w:rPr>
        <w:t xml:space="preserve">(HQIP) </w:t>
      </w:r>
      <w:bookmarkEnd w:id="7"/>
      <w:r>
        <w:rPr>
          <w:sz w:val="24"/>
          <w:szCs w:val="24"/>
        </w:rPr>
        <w:t>commissioned</w:t>
      </w:r>
      <w:r w:rsidR="00E04A41">
        <w:rPr>
          <w:sz w:val="24"/>
          <w:szCs w:val="24"/>
        </w:rPr>
        <w:t xml:space="preserve"> </w:t>
      </w:r>
      <w:r w:rsidR="000C5E9F" w:rsidRPr="000C5E9F">
        <w:rPr>
          <w:sz w:val="24"/>
          <w:szCs w:val="24"/>
        </w:rPr>
        <w:t>National Clinical Audit for Rheumatoid and Early Inflammatory Arthritis</w:t>
      </w:r>
      <w:r w:rsidR="000C5E9F">
        <w:rPr>
          <w:sz w:val="24"/>
          <w:szCs w:val="24"/>
        </w:rPr>
        <w:t xml:space="preserve"> (NCAREIA)</w:t>
      </w:r>
      <w:r w:rsidR="00E04A41">
        <w:rPr>
          <w:sz w:val="24"/>
          <w:szCs w:val="24"/>
        </w:rPr>
        <w:t xml:space="preserve"> was launched. This </w:t>
      </w:r>
      <w:r w:rsidR="00503D9F">
        <w:rPr>
          <w:sz w:val="24"/>
          <w:szCs w:val="24"/>
        </w:rPr>
        <w:t>NCA</w:t>
      </w:r>
      <w:r w:rsidR="005934D7">
        <w:rPr>
          <w:sz w:val="24"/>
          <w:szCs w:val="24"/>
        </w:rPr>
        <w:t xml:space="preserve"> </w:t>
      </w:r>
      <w:r w:rsidR="000C5E9F" w:rsidRPr="000C5E9F">
        <w:rPr>
          <w:sz w:val="24"/>
          <w:szCs w:val="24"/>
        </w:rPr>
        <w:t xml:space="preserve">sought to </w:t>
      </w:r>
      <w:r w:rsidR="000C5E9F">
        <w:rPr>
          <w:sz w:val="24"/>
          <w:szCs w:val="24"/>
        </w:rPr>
        <w:t xml:space="preserve">assess quality of </w:t>
      </w:r>
      <w:bookmarkStart w:id="8" w:name="_Hlk27731621"/>
      <w:r w:rsidR="00503D9F">
        <w:rPr>
          <w:sz w:val="24"/>
          <w:szCs w:val="24"/>
        </w:rPr>
        <w:t>early inflammatory arthritis</w:t>
      </w:r>
      <w:r w:rsidR="003F77DD">
        <w:rPr>
          <w:sz w:val="24"/>
          <w:szCs w:val="24"/>
        </w:rPr>
        <w:t xml:space="preserve"> (EIA)</w:t>
      </w:r>
      <w:r w:rsidR="000C5E9F">
        <w:rPr>
          <w:sz w:val="24"/>
          <w:szCs w:val="24"/>
        </w:rPr>
        <w:t xml:space="preserve"> </w:t>
      </w:r>
      <w:bookmarkEnd w:id="8"/>
      <w:r w:rsidR="000C5E9F">
        <w:rPr>
          <w:sz w:val="24"/>
          <w:szCs w:val="24"/>
        </w:rPr>
        <w:t>care delivered and clinical outcomes.</w:t>
      </w:r>
      <w:r w:rsidR="005934D7">
        <w:rPr>
          <w:sz w:val="24"/>
          <w:szCs w:val="24"/>
        </w:rPr>
        <w:t xml:space="preserve"> All rheumatology departments across England and Wales were mandated to participate.</w:t>
      </w:r>
      <w:r w:rsidR="00E83310">
        <w:rPr>
          <w:sz w:val="24"/>
          <w:szCs w:val="24"/>
        </w:rPr>
        <w:t xml:space="preserve"> </w:t>
      </w:r>
      <w:r w:rsidR="00ED1A83">
        <w:rPr>
          <w:sz w:val="24"/>
          <w:szCs w:val="24"/>
        </w:rPr>
        <w:t xml:space="preserve">Data were collected at departmental level </w:t>
      </w:r>
      <w:r w:rsidR="00ED1A83">
        <w:rPr>
          <w:rFonts w:cs="ArialMT"/>
          <w:sz w:val="24"/>
          <w:szCs w:val="24"/>
        </w:rPr>
        <w:t xml:space="preserve">from February 2014 to October 2015 via an online portal. </w:t>
      </w:r>
      <w:r w:rsidR="004454AA">
        <w:rPr>
          <w:sz w:val="24"/>
          <w:szCs w:val="24"/>
        </w:rPr>
        <w:t xml:space="preserve">Data were only </w:t>
      </w:r>
      <w:r w:rsidR="00E04A41">
        <w:rPr>
          <w:sz w:val="24"/>
          <w:szCs w:val="24"/>
        </w:rPr>
        <w:t>reported</w:t>
      </w:r>
      <w:r w:rsidR="004454AA">
        <w:rPr>
          <w:sz w:val="24"/>
          <w:szCs w:val="24"/>
        </w:rPr>
        <w:t xml:space="preserve"> from departments that </w:t>
      </w:r>
      <w:r w:rsidR="000800CF">
        <w:rPr>
          <w:sz w:val="24"/>
          <w:szCs w:val="24"/>
        </w:rPr>
        <w:t>contributed</w:t>
      </w:r>
      <w:r w:rsidR="004454AA">
        <w:rPr>
          <w:sz w:val="24"/>
          <w:szCs w:val="24"/>
        </w:rPr>
        <w:t xml:space="preserve"> &gt;5 participants</w:t>
      </w:r>
      <w:r w:rsidR="000800CF">
        <w:rPr>
          <w:sz w:val="24"/>
          <w:szCs w:val="24"/>
        </w:rPr>
        <w:t xml:space="preserve"> to each analysis</w:t>
      </w:r>
      <w:r w:rsidR="004454AA">
        <w:rPr>
          <w:sz w:val="24"/>
          <w:szCs w:val="24"/>
        </w:rPr>
        <w:t xml:space="preserve">, in line with the audit’s </w:t>
      </w:r>
      <w:r w:rsidR="0027189D">
        <w:rPr>
          <w:sz w:val="24"/>
          <w:szCs w:val="24"/>
        </w:rPr>
        <w:t xml:space="preserve">low </w:t>
      </w:r>
      <w:r w:rsidR="004454AA">
        <w:rPr>
          <w:sz w:val="24"/>
          <w:szCs w:val="24"/>
        </w:rPr>
        <w:t>number reporting policy</w:t>
      </w:r>
      <w:r w:rsidR="0027189D">
        <w:rPr>
          <w:sz w:val="24"/>
          <w:szCs w:val="24"/>
        </w:rPr>
        <w:t xml:space="preserve"> to maintain anonymity</w:t>
      </w:r>
      <w:r w:rsidR="004454AA">
        <w:rPr>
          <w:sz w:val="24"/>
          <w:szCs w:val="24"/>
        </w:rPr>
        <w:t xml:space="preserve">. </w:t>
      </w:r>
    </w:p>
    <w:p w14:paraId="6992B4F1" w14:textId="3F2BFE2C" w:rsidR="00E83310" w:rsidRDefault="00E83310" w:rsidP="002830C8">
      <w:pPr>
        <w:spacing w:line="480" w:lineRule="auto"/>
        <w:jc w:val="both"/>
        <w:rPr>
          <w:rFonts w:cs="ArialMT"/>
          <w:sz w:val="24"/>
          <w:szCs w:val="24"/>
        </w:rPr>
      </w:pPr>
      <w:r>
        <w:rPr>
          <w:rFonts w:cs="ArialMT"/>
          <w:sz w:val="24"/>
          <w:szCs w:val="24"/>
        </w:rPr>
        <w:t>Patients</w:t>
      </w:r>
      <w:r w:rsidR="00765F97">
        <w:rPr>
          <w:rFonts w:cs="ArialMT"/>
          <w:sz w:val="24"/>
          <w:szCs w:val="24"/>
        </w:rPr>
        <w:t xml:space="preserve"> aged &gt;16 years</w:t>
      </w:r>
      <w:r>
        <w:rPr>
          <w:rFonts w:cs="ArialMT"/>
          <w:sz w:val="24"/>
          <w:szCs w:val="24"/>
        </w:rPr>
        <w:t xml:space="preserve"> </w:t>
      </w:r>
      <w:r>
        <w:rPr>
          <w:sz w:val="24"/>
          <w:szCs w:val="24"/>
        </w:rPr>
        <w:t xml:space="preserve">referred to a </w:t>
      </w:r>
      <w:r w:rsidR="0012745D">
        <w:rPr>
          <w:rFonts w:cs="ArialMT"/>
          <w:sz w:val="24"/>
          <w:szCs w:val="24"/>
        </w:rPr>
        <w:t xml:space="preserve">rheumatology department with symptoms consistent with EIA were eligible for </w:t>
      </w:r>
      <w:r w:rsidR="00765F97">
        <w:rPr>
          <w:rFonts w:cs="ArialMT"/>
          <w:sz w:val="24"/>
          <w:szCs w:val="24"/>
        </w:rPr>
        <w:t>inclusion</w:t>
      </w:r>
      <w:r w:rsidR="004454AA">
        <w:rPr>
          <w:rFonts w:cs="ArialMT"/>
          <w:sz w:val="24"/>
          <w:szCs w:val="24"/>
        </w:rPr>
        <w:t xml:space="preserve">, but </w:t>
      </w:r>
      <w:r w:rsidR="00E04A41">
        <w:rPr>
          <w:rFonts w:cs="ArialMT"/>
          <w:sz w:val="24"/>
          <w:szCs w:val="24"/>
        </w:rPr>
        <w:t xml:space="preserve">the analyses in </w:t>
      </w:r>
      <w:r w:rsidR="00765F97">
        <w:rPr>
          <w:rFonts w:cs="ArialMT"/>
          <w:sz w:val="24"/>
          <w:szCs w:val="24"/>
        </w:rPr>
        <w:t>this study</w:t>
      </w:r>
      <w:r w:rsidR="00E04A41">
        <w:rPr>
          <w:rFonts w:cs="ArialMT"/>
          <w:sz w:val="24"/>
          <w:szCs w:val="24"/>
        </w:rPr>
        <w:t xml:space="preserve"> only required data for</w:t>
      </w:r>
      <w:r w:rsidR="00765F97">
        <w:rPr>
          <w:rFonts w:cs="ArialMT"/>
          <w:sz w:val="24"/>
          <w:szCs w:val="24"/>
        </w:rPr>
        <w:t xml:space="preserve"> patients </w:t>
      </w:r>
      <w:r w:rsidR="00765F97" w:rsidRPr="00765F97">
        <w:rPr>
          <w:rFonts w:cs="ArialMT"/>
          <w:sz w:val="24"/>
          <w:szCs w:val="24"/>
        </w:rPr>
        <w:t xml:space="preserve">with symptoms consistent with RA. This </w:t>
      </w:r>
      <w:r w:rsidR="00ED1A83">
        <w:rPr>
          <w:rFonts w:cs="ArialMT"/>
          <w:sz w:val="24"/>
          <w:szCs w:val="24"/>
        </w:rPr>
        <w:t>was defined as</w:t>
      </w:r>
      <w:r w:rsidR="00ED1A83" w:rsidRPr="00765F97">
        <w:rPr>
          <w:rFonts w:cs="ArialMT"/>
          <w:sz w:val="24"/>
          <w:szCs w:val="24"/>
        </w:rPr>
        <w:t xml:space="preserve"> </w:t>
      </w:r>
      <w:r w:rsidR="00765F97" w:rsidRPr="00765F97">
        <w:rPr>
          <w:rFonts w:cs="ArialMT"/>
          <w:sz w:val="24"/>
          <w:szCs w:val="24"/>
        </w:rPr>
        <w:t xml:space="preserve">any patient with a new onset </w:t>
      </w:r>
      <w:r w:rsidR="00765F97" w:rsidRPr="00765F97">
        <w:rPr>
          <w:rFonts w:cs="ArialMT"/>
          <w:sz w:val="24"/>
          <w:szCs w:val="24"/>
        </w:rPr>
        <w:lastRenderedPageBreak/>
        <w:t>of inflammatory arthritis</w:t>
      </w:r>
      <w:r w:rsidR="00ED1A83">
        <w:rPr>
          <w:rFonts w:cs="ArialMT"/>
          <w:sz w:val="24"/>
          <w:szCs w:val="24"/>
        </w:rPr>
        <w:t>,</w:t>
      </w:r>
      <w:r w:rsidR="00765F97" w:rsidRPr="00765F97">
        <w:rPr>
          <w:rFonts w:cs="ArialMT"/>
          <w:sz w:val="24"/>
          <w:szCs w:val="24"/>
        </w:rPr>
        <w:t xml:space="preserve"> </w:t>
      </w:r>
      <w:r w:rsidR="00ED1A83">
        <w:rPr>
          <w:rFonts w:cs="ArialMT"/>
          <w:sz w:val="24"/>
          <w:szCs w:val="24"/>
        </w:rPr>
        <w:t xml:space="preserve">longer than </w:t>
      </w:r>
      <w:r w:rsidR="00765F97" w:rsidRPr="00765F97">
        <w:rPr>
          <w:rFonts w:cs="ArialMT"/>
          <w:sz w:val="24"/>
          <w:szCs w:val="24"/>
        </w:rPr>
        <w:t>six weeks duration</w:t>
      </w:r>
      <w:r w:rsidR="00ED1A83">
        <w:rPr>
          <w:rFonts w:cs="ArialMT"/>
          <w:sz w:val="24"/>
          <w:szCs w:val="24"/>
        </w:rPr>
        <w:t>,</w:t>
      </w:r>
      <w:r w:rsidR="00765F97" w:rsidRPr="00765F97">
        <w:rPr>
          <w:rFonts w:cs="ArialMT"/>
          <w:sz w:val="24"/>
          <w:szCs w:val="24"/>
        </w:rPr>
        <w:t xml:space="preserve"> and either a positive </w:t>
      </w:r>
      <w:bookmarkStart w:id="9" w:name="_Hlk27731639"/>
      <w:r w:rsidR="00765F97" w:rsidRPr="00765F97">
        <w:rPr>
          <w:rFonts w:cs="ArialMT"/>
          <w:sz w:val="24"/>
          <w:szCs w:val="24"/>
        </w:rPr>
        <w:t>rheumatoid factor (RF)</w:t>
      </w:r>
      <w:bookmarkEnd w:id="9"/>
      <w:r w:rsidR="00ED1A83">
        <w:rPr>
          <w:rFonts w:cs="ArialMT"/>
          <w:sz w:val="24"/>
          <w:szCs w:val="24"/>
        </w:rPr>
        <w:t>,</w:t>
      </w:r>
      <w:r w:rsidR="00765F97" w:rsidRPr="00765F97">
        <w:rPr>
          <w:rFonts w:cs="ArialMT"/>
          <w:sz w:val="24"/>
          <w:szCs w:val="24"/>
        </w:rPr>
        <w:t xml:space="preserve"> </w:t>
      </w:r>
      <w:bookmarkStart w:id="10" w:name="_Hlk27731651"/>
      <w:r w:rsidR="00765F97" w:rsidRPr="00765F97">
        <w:rPr>
          <w:rFonts w:cs="ArialMT"/>
          <w:sz w:val="24"/>
          <w:szCs w:val="24"/>
        </w:rPr>
        <w:t xml:space="preserve">anti-cyclic citrullinated protein (anti-CCP) </w:t>
      </w:r>
      <w:bookmarkEnd w:id="10"/>
      <w:r w:rsidR="00765F97" w:rsidRPr="00765F97">
        <w:rPr>
          <w:rFonts w:cs="ArialMT"/>
          <w:sz w:val="24"/>
          <w:szCs w:val="24"/>
        </w:rPr>
        <w:t>antibody</w:t>
      </w:r>
      <w:r w:rsidR="00ED1A83">
        <w:rPr>
          <w:rFonts w:cs="ArialMT"/>
          <w:sz w:val="24"/>
          <w:szCs w:val="24"/>
        </w:rPr>
        <w:t>,</w:t>
      </w:r>
      <w:r w:rsidR="00765F97" w:rsidRPr="00765F97">
        <w:rPr>
          <w:rFonts w:cs="ArialMT"/>
          <w:sz w:val="24"/>
          <w:szCs w:val="24"/>
        </w:rPr>
        <w:t xml:space="preserve"> or a swollen joint count </w:t>
      </w:r>
      <w:r w:rsidR="00ED1A83">
        <w:rPr>
          <w:rFonts w:cs="ArialMT"/>
          <w:sz w:val="24"/>
          <w:szCs w:val="24"/>
        </w:rPr>
        <w:t xml:space="preserve">of </w:t>
      </w:r>
      <w:r w:rsidR="00765F97" w:rsidRPr="00765F97">
        <w:rPr>
          <w:rFonts w:cs="ArialMT"/>
          <w:sz w:val="24"/>
          <w:szCs w:val="24"/>
        </w:rPr>
        <w:t>five</w:t>
      </w:r>
      <w:r w:rsidR="00ED1A83">
        <w:rPr>
          <w:rFonts w:cs="ArialMT"/>
          <w:sz w:val="24"/>
          <w:szCs w:val="24"/>
        </w:rPr>
        <w:t xml:space="preserve"> or more</w:t>
      </w:r>
      <w:r w:rsidR="00765F97" w:rsidRPr="00765F97">
        <w:rPr>
          <w:rFonts w:cs="ArialMT"/>
          <w:sz w:val="24"/>
          <w:szCs w:val="24"/>
        </w:rPr>
        <w:t>.</w:t>
      </w:r>
      <w:r w:rsidR="00DF4430">
        <w:rPr>
          <w:rFonts w:cs="ArialMT"/>
          <w:sz w:val="24"/>
          <w:szCs w:val="24"/>
        </w:rPr>
        <w:t xml:space="preserve"> Data were collected at baseline appointment and </w:t>
      </w:r>
      <w:r w:rsidR="00ED1A83">
        <w:rPr>
          <w:rFonts w:cs="ArialMT"/>
          <w:sz w:val="24"/>
          <w:szCs w:val="24"/>
        </w:rPr>
        <w:t xml:space="preserve">at a </w:t>
      </w:r>
      <w:r w:rsidR="00DF4430">
        <w:rPr>
          <w:rFonts w:cs="ArialMT"/>
          <w:sz w:val="24"/>
          <w:szCs w:val="24"/>
        </w:rPr>
        <w:t>three month follow up.</w:t>
      </w:r>
    </w:p>
    <w:p w14:paraId="4B8E2286" w14:textId="4FDC3FFF" w:rsidR="003C2C79" w:rsidRPr="003C2C79" w:rsidRDefault="003C2C79" w:rsidP="002830C8">
      <w:pPr>
        <w:pStyle w:val="Heading2"/>
        <w:spacing w:line="480" w:lineRule="auto"/>
      </w:pPr>
      <w:r w:rsidRPr="003C2C79">
        <w:t xml:space="preserve">Data </w:t>
      </w:r>
    </w:p>
    <w:p w14:paraId="5462BA9E" w14:textId="71055DC2" w:rsidR="00765F97" w:rsidRDefault="00585E89" w:rsidP="002830C8">
      <w:pPr>
        <w:spacing w:line="480" w:lineRule="auto"/>
        <w:jc w:val="both"/>
        <w:rPr>
          <w:rFonts w:cs="ArialMT"/>
          <w:sz w:val="24"/>
          <w:szCs w:val="24"/>
        </w:rPr>
      </w:pPr>
      <w:r>
        <w:rPr>
          <w:rFonts w:cs="ArialMT"/>
          <w:sz w:val="24"/>
          <w:szCs w:val="24"/>
        </w:rPr>
        <w:t>Patient d</w:t>
      </w:r>
      <w:r w:rsidR="00765F97">
        <w:rPr>
          <w:rFonts w:cs="ArialMT"/>
          <w:sz w:val="24"/>
          <w:szCs w:val="24"/>
        </w:rPr>
        <w:t>emographic variables collected</w:t>
      </w:r>
      <w:r w:rsidR="00DF4430">
        <w:rPr>
          <w:rFonts w:cs="ArialMT"/>
          <w:sz w:val="24"/>
          <w:szCs w:val="24"/>
        </w:rPr>
        <w:t xml:space="preserve"> at baseline</w:t>
      </w:r>
      <w:r w:rsidR="00765F97">
        <w:rPr>
          <w:rFonts w:cs="ArialMT"/>
          <w:sz w:val="24"/>
          <w:szCs w:val="24"/>
        </w:rPr>
        <w:t xml:space="preserve"> included</w:t>
      </w:r>
      <w:r>
        <w:rPr>
          <w:rFonts w:cs="ArialMT"/>
          <w:sz w:val="24"/>
          <w:szCs w:val="24"/>
        </w:rPr>
        <w:t xml:space="preserve"> age, gender, smoking status, ethnicity, work status, and the first three characters of postcode. </w:t>
      </w:r>
    </w:p>
    <w:p w14:paraId="38DFBCA1" w14:textId="076665F4" w:rsidR="00765F97" w:rsidRDefault="00765F97" w:rsidP="002830C8">
      <w:pPr>
        <w:spacing w:line="480" w:lineRule="auto"/>
        <w:jc w:val="both"/>
        <w:rPr>
          <w:rFonts w:cs="ArialMT"/>
          <w:sz w:val="24"/>
          <w:szCs w:val="24"/>
        </w:rPr>
      </w:pPr>
      <w:r>
        <w:rPr>
          <w:rFonts w:cs="ArialMT"/>
          <w:sz w:val="24"/>
          <w:szCs w:val="24"/>
        </w:rPr>
        <w:t xml:space="preserve">A proxy rank of the </w:t>
      </w:r>
      <w:bookmarkStart w:id="11" w:name="_Hlk27731660"/>
      <w:r>
        <w:rPr>
          <w:rFonts w:cs="ArialMT"/>
          <w:sz w:val="24"/>
          <w:szCs w:val="24"/>
        </w:rPr>
        <w:t xml:space="preserve">Index of multiple deprivation (IMD) </w:t>
      </w:r>
      <w:bookmarkEnd w:id="11"/>
      <w:r>
        <w:rPr>
          <w:rFonts w:cs="ArialMT"/>
          <w:sz w:val="24"/>
          <w:szCs w:val="24"/>
        </w:rPr>
        <w:t xml:space="preserve">was calculated from partial patient postcodes by identifying all </w:t>
      </w:r>
      <w:bookmarkStart w:id="12" w:name="_Hlk27731668"/>
      <w:r>
        <w:rPr>
          <w:rFonts w:cs="ArialMT"/>
          <w:sz w:val="24"/>
          <w:szCs w:val="24"/>
        </w:rPr>
        <w:t xml:space="preserve">lower super output areas (LSOAs) </w:t>
      </w:r>
      <w:bookmarkEnd w:id="12"/>
      <w:r>
        <w:rPr>
          <w:rFonts w:cs="ArialMT"/>
          <w:sz w:val="24"/>
          <w:szCs w:val="24"/>
        </w:rPr>
        <w:t>covered by each postcode. The corresponding IMD scores were then averaged for each patient, allowing calculation of a</w:t>
      </w:r>
      <w:r w:rsidR="0085337E">
        <w:rPr>
          <w:rFonts w:cs="ArialMT"/>
          <w:sz w:val="24"/>
          <w:szCs w:val="24"/>
        </w:rPr>
        <w:t>n</w:t>
      </w:r>
      <w:r>
        <w:rPr>
          <w:rFonts w:cs="ArialMT"/>
          <w:sz w:val="24"/>
          <w:szCs w:val="24"/>
        </w:rPr>
        <w:t xml:space="preserve"> </w:t>
      </w:r>
      <w:r w:rsidR="0027189D">
        <w:rPr>
          <w:rFonts w:cs="ArialMT"/>
          <w:sz w:val="24"/>
          <w:szCs w:val="24"/>
        </w:rPr>
        <w:t xml:space="preserve">estimation </w:t>
      </w:r>
      <w:r>
        <w:rPr>
          <w:rFonts w:cs="ArialMT"/>
          <w:sz w:val="24"/>
          <w:szCs w:val="24"/>
        </w:rPr>
        <w:t>of deprivation across the cohort.</w:t>
      </w:r>
    </w:p>
    <w:p w14:paraId="198E71A8" w14:textId="2B65D2AE" w:rsidR="00765F97" w:rsidRPr="00585E89" w:rsidRDefault="00DF4430" w:rsidP="002830C8">
      <w:pPr>
        <w:spacing w:line="480" w:lineRule="auto"/>
        <w:jc w:val="both"/>
        <w:rPr>
          <w:rFonts w:cs="ArialMT"/>
          <w:sz w:val="24"/>
          <w:szCs w:val="24"/>
        </w:rPr>
      </w:pPr>
      <w:r>
        <w:rPr>
          <w:rFonts w:cs="ArialMT"/>
          <w:sz w:val="24"/>
          <w:szCs w:val="24"/>
        </w:rPr>
        <w:t>Departmental</w:t>
      </w:r>
      <w:r w:rsidR="00765F97">
        <w:rPr>
          <w:rFonts w:cs="ArialMT"/>
          <w:sz w:val="24"/>
          <w:szCs w:val="24"/>
        </w:rPr>
        <w:t xml:space="preserve"> variables collected</w:t>
      </w:r>
      <w:r>
        <w:rPr>
          <w:rFonts w:cs="ArialMT"/>
          <w:sz w:val="24"/>
          <w:szCs w:val="24"/>
        </w:rPr>
        <w:t xml:space="preserve"> </w:t>
      </w:r>
      <w:r w:rsidR="00765F97">
        <w:rPr>
          <w:rFonts w:cs="ArialMT"/>
          <w:sz w:val="24"/>
          <w:szCs w:val="24"/>
        </w:rPr>
        <w:t>included</w:t>
      </w:r>
      <w:r w:rsidR="00585E89">
        <w:rPr>
          <w:rFonts w:cs="ArialMT"/>
          <w:sz w:val="24"/>
          <w:szCs w:val="24"/>
        </w:rPr>
        <w:t xml:space="preserve"> staffing levels, catchment population, and dedicated EIA clinic presence.</w:t>
      </w:r>
      <w:r w:rsidR="003F77DD">
        <w:rPr>
          <w:rFonts w:cs="ArialMT"/>
          <w:sz w:val="24"/>
          <w:szCs w:val="24"/>
        </w:rPr>
        <w:t xml:space="preserve"> The</w:t>
      </w:r>
      <w:r w:rsidR="00585E89">
        <w:rPr>
          <w:rFonts w:cs="ArialMT"/>
          <w:sz w:val="24"/>
          <w:szCs w:val="24"/>
        </w:rPr>
        <w:t xml:space="preserve"> </w:t>
      </w:r>
      <w:r w:rsidR="003D61D1">
        <w:rPr>
          <w:rFonts w:cs="ArialMT"/>
          <w:sz w:val="24"/>
          <w:szCs w:val="24"/>
        </w:rPr>
        <w:t>p</w:t>
      </w:r>
      <w:r w:rsidR="00765F97">
        <w:rPr>
          <w:rFonts w:cs="ArialMT"/>
          <w:sz w:val="24"/>
          <w:szCs w:val="24"/>
        </w:rPr>
        <w:t>rocess measures collected included:</w:t>
      </w:r>
      <w:r w:rsidR="00585E89">
        <w:rPr>
          <w:rFonts w:cs="ArialMT"/>
          <w:sz w:val="24"/>
          <w:szCs w:val="24"/>
        </w:rPr>
        <w:t xml:space="preserve"> (1) </w:t>
      </w:r>
      <w:r w:rsidR="00585E89">
        <w:rPr>
          <w:sz w:val="24"/>
          <w:szCs w:val="24"/>
        </w:rPr>
        <w:t>number of days</w:t>
      </w:r>
      <w:r w:rsidR="00765F97" w:rsidRPr="00585E89">
        <w:rPr>
          <w:sz w:val="24"/>
          <w:szCs w:val="24"/>
        </w:rPr>
        <w:t xml:space="preserve"> from </w:t>
      </w:r>
      <w:r w:rsidRPr="00585E89">
        <w:rPr>
          <w:sz w:val="24"/>
          <w:szCs w:val="24"/>
        </w:rPr>
        <w:t>primary care</w:t>
      </w:r>
      <w:r w:rsidR="00765F97" w:rsidRPr="00585E89">
        <w:rPr>
          <w:sz w:val="24"/>
          <w:szCs w:val="24"/>
        </w:rPr>
        <w:t xml:space="preserve"> review to referral to rheumatology care (referral time);</w:t>
      </w:r>
      <w:r w:rsidR="00585E89">
        <w:rPr>
          <w:rFonts w:cs="ArialMT"/>
          <w:sz w:val="24"/>
          <w:szCs w:val="24"/>
        </w:rPr>
        <w:t xml:space="preserve"> (2) </w:t>
      </w:r>
      <w:r w:rsidR="00585E89">
        <w:rPr>
          <w:sz w:val="24"/>
          <w:szCs w:val="24"/>
        </w:rPr>
        <w:t>number of</w:t>
      </w:r>
      <w:r w:rsidR="00765F97" w:rsidRPr="00585E89">
        <w:rPr>
          <w:sz w:val="24"/>
          <w:szCs w:val="24"/>
        </w:rPr>
        <w:t xml:space="preserve"> days from referral to rheumatology review (review time)</w:t>
      </w:r>
      <w:r w:rsidR="00585E89">
        <w:rPr>
          <w:sz w:val="24"/>
          <w:szCs w:val="24"/>
        </w:rPr>
        <w:t>, and</w:t>
      </w:r>
      <w:r w:rsidR="00765F97" w:rsidRPr="00585E89">
        <w:rPr>
          <w:sz w:val="24"/>
          <w:szCs w:val="24"/>
        </w:rPr>
        <w:t>;</w:t>
      </w:r>
      <w:r w:rsidR="00585E89">
        <w:rPr>
          <w:sz w:val="24"/>
          <w:szCs w:val="24"/>
        </w:rPr>
        <w:t xml:space="preserve"> (3) number of days</w:t>
      </w:r>
      <w:r w:rsidR="00765F97" w:rsidRPr="00585E89">
        <w:rPr>
          <w:sz w:val="24"/>
          <w:szCs w:val="24"/>
        </w:rPr>
        <w:t xml:space="preserve"> from referral to treatment commencement (treatment time)</w:t>
      </w:r>
      <w:r w:rsidRPr="00585E89">
        <w:rPr>
          <w:sz w:val="24"/>
          <w:szCs w:val="24"/>
        </w:rPr>
        <w:t>.</w:t>
      </w:r>
    </w:p>
    <w:p w14:paraId="2B4A0B25" w14:textId="6CD42709" w:rsidR="004454AA" w:rsidRPr="004454AA" w:rsidRDefault="004454AA" w:rsidP="002830C8">
      <w:pPr>
        <w:spacing w:line="480" w:lineRule="auto"/>
        <w:jc w:val="both"/>
        <w:rPr>
          <w:sz w:val="24"/>
          <w:szCs w:val="24"/>
        </w:rPr>
      </w:pPr>
      <w:r>
        <w:rPr>
          <w:sz w:val="24"/>
          <w:szCs w:val="24"/>
        </w:rPr>
        <w:t xml:space="preserve">Referral and review times were calculated at baseline appointment for all patients. Data from the 3 months follow up was used to calculate treatment time for those who were not commenced on treatment at their baseline appointment. The process measures were collected in accordance with national guidelines for suspected inflammatory arthritis care </w:t>
      </w:r>
      <w:r>
        <w:rPr>
          <w:sz w:val="24"/>
          <w:szCs w:val="24"/>
        </w:rPr>
        <w:fldChar w:fldCharType="begin"/>
      </w:r>
      <w:r w:rsidR="00C956CF">
        <w:rPr>
          <w:sz w:val="24"/>
          <w:szCs w:val="24"/>
        </w:rPr>
        <w:instrText xml:space="preserve"> ADDIN EN.CITE &lt;EndNote&gt;&lt;Cite&gt;&lt;Author&gt;Excellence&lt;/Author&gt;&lt;Year&gt;2018&lt;/Year&gt;&lt;RecNum&gt;74&lt;/RecNum&gt;&lt;DisplayText&gt;(9)&lt;/DisplayText&gt;&lt;record&gt;&lt;rec-number&gt;74&lt;/rec-number&gt;&lt;foreign-keys&gt;&lt;key app="EN" db-id="drp9r9v5qdfv2hez5ec55x5ldtx2ezvvxs2v" timestamp="1559660081"&gt;74&lt;/key&gt;&lt;/foreign-keys&gt;&lt;ref-type name="Web Page"&gt;12&lt;/ref-type&gt;&lt;contributors&gt;&lt;authors&gt;&lt;author&gt;National Institute for Health and Care Excellence&lt;/author&gt;&lt;/authors&gt;&lt;/contributors&gt;&lt;titles&gt;&lt;title&gt;Rheumatoid arthritis in over 16s&lt;/title&gt;&lt;/titles&gt;&lt;volume&gt;2019&lt;/volume&gt;&lt;number&gt;4th June&lt;/number&gt;&lt;dates&gt;&lt;year&gt;2018&lt;/year&gt;&lt;/dates&gt;&lt;urls&gt;&lt;related-urls&gt;&lt;url&gt;https://www.nice.org.uk/guidance/qs33/chapter/Quality-statement-3-Starting-treatment&lt;/url&gt;&lt;/related-urls&gt;&lt;/urls&gt;&lt;/record&gt;&lt;/Cite&gt;&lt;/EndNote&gt;</w:instrText>
      </w:r>
      <w:r>
        <w:rPr>
          <w:sz w:val="24"/>
          <w:szCs w:val="24"/>
        </w:rPr>
        <w:fldChar w:fldCharType="separate"/>
      </w:r>
      <w:r w:rsidR="00C956CF">
        <w:rPr>
          <w:noProof/>
          <w:sz w:val="24"/>
          <w:szCs w:val="24"/>
        </w:rPr>
        <w:t>(9)</w:t>
      </w:r>
      <w:r>
        <w:rPr>
          <w:sz w:val="24"/>
          <w:szCs w:val="24"/>
        </w:rPr>
        <w:fldChar w:fldCharType="end"/>
      </w:r>
      <w:r>
        <w:rPr>
          <w:sz w:val="24"/>
          <w:szCs w:val="24"/>
        </w:rPr>
        <w:t>.</w:t>
      </w:r>
    </w:p>
    <w:p w14:paraId="7E13EB14" w14:textId="51713A24" w:rsidR="00DF4430" w:rsidRPr="00585E89" w:rsidRDefault="00DF4430" w:rsidP="002830C8">
      <w:pPr>
        <w:spacing w:line="480" w:lineRule="auto"/>
        <w:jc w:val="both"/>
        <w:rPr>
          <w:sz w:val="24"/>
          <w:szCs w:val="24"/>
        </w:rPr>
      </w:pPr>
      <w:r>
        <w:rPr>
          <w:sz w:val="24"/>
          <w:szCs w:val="24"/>
        </w:rPr>
        <w:t>Clinical outcome measures collected at baseline and three months follow up included</w:t>
      </w:r>
      <w:r w:rsidR="00585E89">
        <w:rPr>
          <w:sz w:val="24"/>
          <w:szCs w:val="24"/>
        </w:rPr>
        <w:t xml:space="preserve"> t</w:t>
      </w:r>
      <w:r w:rsidRPr="00585E89">
        <w:rPr>
          <w:sz w:val="24"/>
          <w:szCs w:val="24"/>
        </w:rPr>
        <w:t>ender</w:t>
      </w:r>
      <w:r w:rsidR="00585E89">
        <w:rPr>
          <w:sz w:val="24"/>
          <w:szCs w:val="24"/>
        </w:rPr>
        <w:t xml:space="preserve"> and swollen</w:t>
      </w:r>
      <w:r w:rsidRPr="00585E89">
        <w:rPr>
          <w:sz w:val="24"/>
          <w:szCs w:val="24"/>
        </w:rPr>
        <w:t xml:space="preserve"> joint count</w:t>
      </w:r>
      <w:r w:rsidR="00585E89">
        <w:rPr>
          <w:sz w:val="24"/>
          <w:szCs w:val="24"/>
        </w:rPr>
        <w:t>s, p</w:t>
      </w:r>
      <w:r w:rsidRPr="00585E89">
        <w:rPr>
          <w:sz w:val="24"/>
          <w:szCs w:val="24"/>
        </w:rPr>
        <w:t xml:space="preserve">atient reported visual </w:t>
      </w:r>
      <w:r w:rsidR="003C2C79" w:rsidRPr="00585E89">
        <w:rPr>
          <w:sz w:val="24"/>
          <w:szCs w:val="24"/>
        </w:rPr>
        <w:t>analogue</w:t>
      </w:r>
      <w:r w:rsidRPr="00585E89">
        <w:rPr>
          <w:sz w:val="24"/>
          <w:szCs w:val="24"/>
        </w:rPr>
        <w:t xml:space="preserve"> scale of symptom severity</w:t>
      </w:r>
      <w:r w:rsidR="00585E89">
        <w:rPr>
          <w:sz w:val="24"/>
          <w:szCs w:val="24"/>
        </w:rPr>
        <w:t>, b</w:t>
      </w:r>
      <w:r w:rsidRPr="00585E89">
        <w:rPr>
          <w:rFonts w:cs="ArialMT"/>
          <w:sz w:val="24"/>
          <w:szCs w:val="24"/>
        </w:rPr>
        <w:t xml:space="preserve">lood </w:t>
      </w:r>
      <w:bookmarkStart w:id="13" w:name="_Hlk27731682"/>
      <w:r w:rsidRPr="00585E89">
        <w:rPr>
          <w:rFonts w:cs="ArialMT"/>
          <w:sz w:val="24"/>
          <w:szCs w:val="24"/>
        </w:rPr>
        <w:t>erythrocyte sedimentation rate (ESR)</w:t>
      </w:r>
      <w:r w:rsidR="00585E89">
        <w:rPr>
          <w:rFonts w:cs="ArialMT"/>
          <w:sz w:val="24"/>
          <w:szCs w:val="24"/>
        </w:rPr>
        <w:t xml:space="preserve"> </w:t>
      </w:r>
      <w:bookmarkEnd w:id="13"/>
      <w:r w:rsidR="00585E89">
        <w:rPr>
          <w:rFonts w:cs="ArialMT"/>
          <w:sz w:val="24"/>
          <w:szCs w:val="24"/>
        </w:rPr>
        <w:t xml:space="preserve">and </w:t>
      </w:r>
      <w:bookmarkStart w:id="14" w:name="_Hlk27731691"/>
      <w:r w:rsidRPr="00585E89">
        <w:rPr>
          <w:rFonts w:cs="ArialMT"/>
          <w:sz w:val="24"/>
          <w:szCs w:val="24"/>
        </w:rPr>
        <w:t xml:space="preserve">C-reactive protein (CRP) </w:t>
      </w:r>
      <w:bookmarkEnd w:id="14"/>
      <w:r w:rsidRPr="00585E89">
        <w:rPr>
          <w:rFonts w:cs="ArialMT"/>
          <w:sz w:val="24"/>
          <w:szCs w:val="24"/>
        </w:rPr>
        <w:t>level</w:t>
      </w:r>
      <w:r w:rsidR="00585E89">
        <w:rPr>
          <w:rFonts w:cs="ArialMT"/>
          <w:sz w:val="24"/>
          <w:szCs w:val="24"/>
        </w:rPr>
        <w:t>s</w:t>
      </w:r>
      <w:r w:rsidRPr="00585E89">
        <w:rPr>
          <w:rFonts w:cs="ArialMT"/>
          <w:sz w:val="24"/>
          <w:szCs w:val="24"/>
        </w:rPr>
        <w:t xml:space="preserve">. </w:t>
      </w:r>
    </w:p>
    <w:p w14:paraId="00B3D593" w14:textId="7F3AA1E0" w:rsidR="00F41A4B" w:rsidRPr="00DF4430" w:rsidRDefault="00DF4430" w:rsidP="002830C8">
      <w:pPr>
        <w:spacing w:line="480" w:lineRule="auto"/>
        <w:jc w:val="both"/>
        <w:rPr>
          <w:rFonts w:cs="ArialMT"/>
          <w:sz w:val="24"/>
          <w:szCs w:val="24"/>
        </w:rPr>
      </w:pPr>
      <w:r>
        <w:rPr>
          <w:sz w:val="24"/>
          <w:szCs w:val="24"/>
        </w:rPr>
        <w:lastRenderedPageBreak/>
        <w:t xml:space="preserve">The clinical outcome measures were utilised to calculate </w:t>
      </w:r>
      <w:bookmarkStart w:id="15" w:name="_Hlk27731701"/>
      <w:r>
        <w:rPr>
          <w:rFonts w:cs="ArialMT"/>
          <w:sz w:val="24"/>
          <w:szCs w:val="24"/>
        </w:rPr>
        <w:t>disease activity scores (</w:t>
      </w:r>
      <w:r w:rsidR="002C6A18">
        <w:rPr>
          <w:rFonts w:cs="ArialMT"/>
          <w:sz w:val="24"/>
          <w:szCs w:val="24"/>
        </w:rPr>
        <w:t>DAS28</w:t>
      </w:r>
      <w:r>
        <w:rPr>
          <w:rFonts w:cs="ArialMT"/>
          <w:sz w:val="24"/>
          <w:szCs w:val="24"/>
        </w:rPr>
        <w:t>),</w:t>
      </w:r>
      <w:r>
        <w:rPr>
          <w:sz w:val="24"/>
          <w:szCs w:val="24"/>
        </w:rPr>
        <w:t xml:space="preserve"> </w:t>
      </w:r>
      <w:bookmarkEnd w:id="15"/>
      <w:r>
        <w:rPr>
          <w:rFonts w:cs="ArialMT"/>
          <w:sz w:val="24"/>
          <w:szCs w:val="24"/>
        </w:rPr>
        <w:t xml:space="preserve">a multi-component score of disease activity in </w:t>
      </w:r>
      <w:r w:rsidR="003F77DD">
        <w:rPr>
          <w:rFonts w:cs="ArialMT"/>
          <w:sz w:val="24"/>
          <w:szCs w:val="24"/>
        </w:rPr>
        <w:t>RA</w:t>
      </w:r>
      <w:r>
        <w:rPr>
          <w:rFonts w:cs="ArialMT"/>
          <w:sz w:val="24"/>
          <w:szCs w:val="24"/>
        </w:rPr>
        <w:t xml:space="preserve">  </w:t>
      </w:r>
      <w:r>
        <w:rPr>
          <w:rFonts w:cs="ArialMT"/>
          <w:sz w:val="24"/>
          <w:szCs w:val="24"/>
        </w:rPr>
        <w:fldChar w:fldCharType="begin">
          <w:fldData xml:space="preserve">PEVuZE5vdGU+PENpdGU+PEF1dGhvcj5XZWxsczwvQXV0aG9yPjxZZWFyPjIwMDk8L1llYXI+PFJl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</w:fldData>
        </w:fldChar>
      </w:r>
      <w:r w:rsidR="00C956CF">
        <w:rPr>
          <w:rFonts w:cs="ArialMT"/>
          <w:sz w:val="24"/>
          <w:szCs w:val="24"/>
        </w:rPr>
        <w:instrText xml:space="preserve"> ADDIN EN.CITE </w:instrText>
      </w:r>
      <w:r w:rsidR="00C956CF">
        <w:rPr>
          <w:rFonts w:cs="ArialMT"/>
          <w:sz w:val="24"/>
          <w:szCs w:val="24"/>
        </w:rPr>
        <w:fldChar w:fldCharType="begin">
          <w:fldData xml:space="preserve">PEVuZE5vdGU+PENpdGU+PEF1dGhvcj5XZWxsczwvQXV0aG9yPjxZZWFyPjIwMDk8L1llYXI+PFJl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</w:fldData>
        </w:fldChar>
      </w:r>
      <w:r w:rsidR="00C956CF">
        <w:rPr>
          <w:rFonts w:cs="ArialMT"/>
          <w:sz w:val="24"/>
          <w:szCs w:val="24"/>
        </w:rPr>
        <w:instrText xml:space="preserve"> ADDIN EN.CITE.DATA </w:instrText>
      </w:r>
      <w:r w:rsidR="00C956CF">
        <w:rPr>
          <w:rFonts w:cs="ArialMT"/>
          <w:sz w:val="24"/>
          <w:szCs w:val="24"/>
        </w:rPr>
      </w:r>
      <w:r w:rsidR="00C956CF">
        <w:rPr>
          <w:rFonts w:cs="ArialMT"/>
          <w:sz w:val="24"/>
          <w:szCs w:val="24"/>
        </w:rPr>
        <w:fldChar w:fldCharType="end"/>
      </w:r>
      <w:r>
        <w:rPr>
          <w:rFonts w:cs="ArialMT"/>
          <w:sz w:val="24"/>
          <w:szCs w:val="24"/>
        </w:rPr>
      </w:r>
      <w:r>
        <w:rPr>
          <w:rFonts w:cs="ArialMT"/>
          <w:sz w:val="24"/>
          <w:szCs w:val="24"/>
        </w:rPr>
        <w:fldChar w:fldCharType="separate"/>
      </w:r>
      <w:r w:rsidR="00C956CF">
        <w:rPr>
          <w:rFonts w:cs="ArialMT"/>
          <w:noProof/>
          <w:sz w:val="24"/>
          <w:szCs w:val="24"/>
        </w:rPr>
        <w:t>(10)</w:t>
      </w:r>
      <w:r>
        <w:rPr>
          <w:rFonts w:cs="ArialMT"/>
          <w:sz w:val="24"/>
          <w:szCs w:val="24"/>
        </w:rPr>
        <w:fldChar w:fldCharType="end"/>
      </w:r>
      <w:r>
        <w:rPr>
          <w:rFonts w:cs="ArialMT"/>
          <w:sz w:val="24"/>
          <w:szCs w:val="24"/>
        </w:rPr>
        <w:t xml:space="preserve">. </w:t>
      </w:r>
      <w:r w:rsidR="002C6A18">
        <w:rPr>
          <w:rFonts w:cs="ArialMT"/>
          <w:sz w:val="24"/>
          <w:szCs w:val="24"/>
        </w:rPr>
        <w:t>DAS28</w:t>
      </w:r>
      <w:r w:rsidR="00BD799E">
        <w:rPr>
          <w:rFonts w:cs="ArialMT"/>
          <w:sz w:val="24"/>
          <w:szCs w:val="24"/>
        </w:rPr>
        <w:t xml:space="preserve"> is</w:t>
      </w:r>
      <w:r>
        <w:rPr>
          <w:rFonts w:cs="ArialMT"/>
          <w:sz w:val="24"/>
          <w:szCs w:val="24"/>
        </w:rPr>
        <w:t xml:space="preserve"> a key clinical outcome measure, utilised widely across rheumatology services to assess response to therapy. The score is calculated from tender and swollen joint counts, a patient assessment of overall symptom severity</w:t>
      </w:r>
      <w:r w:rsidR="003C2C79">
        <w:rPr>
          <w:rFonts w:cs="ArialMT"/>
          <w:sz w:val="24"/>
          <w:szCs w:val="24"/>
        </w:rPr>
        <w:t xml:space="preserve"> on a 100mm visual analogue scales</w:t>
      </w:r>
      <w:r>
        <w:rPr>
          <w:rFonts w:cs="ArialMT"/>
          <w:sz w:val="24"/>
          <w:szCs w:val="24"/>
        </w:rPr>
        <w:t xml:space="preserve">, and blood inflammatory marker levels (ESR or CRP), with higher scores indicating greater disease severity.  </w:t>
      </w:r>
      <w:r w:rsidR="00585E89">
        <w:rPr>
          <w:rFonts w:cs="ArialMT"/>
          <w:sz w:val="24"/>
          <w:szCs w:val="24"/>
        </w:rPr>
        <w:t>If patients had both an ESR and CRP level, the ESR level was</w:t>
      </w:r>
      <w:r w:rsidR="003F77DD">
        <w:rPr>
          <w:rFonts w:cs="ArialMT"/>
          <w:sz w:val="24"/>
          <w:szCs w:val="24"/>
        </w:rPr>
        <w:t xml:space="preserve"> preferentially</w:t>
      </w:r>
      <w:r w:rsidR="00585E89">
        <w:rPr>
          <w:rFonts w:cs="ArialMT"/>
          <w:sz w:val="24"/>
          <w:szCs w:val="24"/>
        </w:rPr>
        <w:t xml:space="preserve"> used to calculate their DAS28. </w:t>
      </w:r>
    </w:p>
    <w:p w14:paraId="04A59C30" w14:textId="07EED178" w:rsidR="002407E5" w:rsidRDefault="002407E5" w:rsidP="002830C8">
      <w:pPr>
        <w:pStyle w:val="Heading2"/>
        <w:spacing w:line="480" w:lineRule="auto"/>
      </w:pPr>
      <w:r w:rsidRPr="002407E5">
        <w:t>Statistical analysis</w:t>
      </w:r>
    </w:p>
    <w:p w14:paraId="7BC7BE2D" w14:textId="2B9F07EE" w:rsidR="00E04A41" w:rsidRPr="00E24F6D" w:rsidRDefault="00E04A41" w:rsidP="002830C8">
      <w:pPr>
        <w:pStyle w:val="Heading3"/>
        <w:spacing w:line="480" w:lineRule="auto"/>
      </w:pPr>
      <w:r>
        <w:t xml:space="preserve">Characterising departmental variation in data completeness </w:t>
      </w:r>
    </w:p>
    <w:p w14:paraId="38D7B4F7" w14:textId="36CA6E52" w:rsidR="00E04A41" w:rsidRDefault="00E04A41" w:rsidP="002830C8">
      <w:pPr>
        <w:spacing w:line="480" w:lineRule="auto"/>
        <w:jc w:val="both"/>
        <w:rPr>
          <w:rFonts w:cs="ArialMT"/>
          <w:sz w:val="24"/>
          <w:szCs w:val="24"/>
        </w:rPr>
      </w:pPr>
      <w:r>
        <w:rPr>
          <w:rFonts w:cs="ArialMT"/>
          <w:sz w:val="24"/>
          <w:szCs w:val="24"/>
        </w:rPr>
        <w:t>A mixed effects model was conducted to identify departments with high or low</w:t>
      </w:r>
      <w:r w:rsidR="003D61D1">
        <w:rPr>
          <w:rFonts w:cs="ArialMT"/>
          <w:sz w:val="24"/>
          <w:szCs w:val="24"/>
        </w:rPr>
        <w:t xml:space="preserve"> </w:t>
      </w:r>
      <w:r>
        <w:rPr>
          <w:rFonts w:cs="ArialMT"/>
          <w:sz w:val="24"/>
          <w:szCs w:val="24"/>
        </w:rPr>
        <w:t>proportions of missing baseline DAS28 data, adjusting for case-mix</w:t>
      </w:r>
      <w:r w:rsidR="007A6EE3">
        <w:rPr>
          <w:rFonts w:cs="ArialMT"/>
          <w:sz w:val="24"/>
          <w:szCs w:val="24"/>
        </w:rPr>
        <w:t>.</w:t>
      </w:r>
      <w:r w:rsidR="00865381">
        <w:rPr>
          <w:rFonts w:cs="ArialMT"/>
          <w:sz w:val="24"/>
          <w:szCs w:val="24"/>
        </w:rPr>
        <w:t xml:space="preserve"> Departments who had recruited more than five patients were included in the model. </w:t>
      </w:r>
    </w:p>
    <w:p w14:paraId="464641DF" w14:textId="076872FC" w:rsidR="00E04A41" w:rsidRDefault="00E04A41" w:rsidP="002830C8">
      <w:pPr>
        <w:spacing w:line="480" w:lineRule="auto"/>
        <w:jc w:val="both"/>
        <w:rPr>
          <w:rFonts w:cs="ArialMT"/>
          <w:sz w:val="24"/>
          <w:szCs w:val="24"/>
        </w:rPr>
      </w:pPr>
      <w:r>
        <w:rPr>
          <w:rFonts w:cs="ArialMT"/>
          <w:sz w:val="24"/>
          <w:szCs w:val="24"/>
        </w:rPr>
        <w:t>Missing baseline DAS28 data was the outcome variable with patient level variables included as fixed effects</w:t>
      </w:r>
      <w:r w:rsidR="00865381">
        <w:rPr>
          <w:rFonts w:cs="ArialMT"/>
          <w:sz w:val="24"/>
          <w:szCs w:val="24"/>
        </w:rPr>
        <w:t xml:space="preserve"> (a</w:t>
      </w:r>
      <w:r w:rsidR="00865381" w:rsidRPr="004C44A3">
        <w:rPr>
          <w:rFonts w:cs="ArialMT"/>
          <w:sz w:val="24"/>
          <w:szCs w:val="24"/>
        </w:rPr>
        <w:t>ge</w:t>
      </w:r>
      <w:r w:rsidR="00865381">
        <w:rPr>
          <w:rFonts w:cs="ArialMT"/>
          <w:sz w:val="24"/>
          <w:szCs w:val="24"/>
        </w:rPr>
        <w:t>,</w:t>
      </w:r>
      <w:r w:rsidR="00865381" w:rsidRPr="004C44A3">
        <w:rPr>
          <w:rFonts w:cs="ArialMT"/>
          <w:sz w:val="24"/>
          <w:szCs w:val="24"/>
        </w:rPr>
        <w:t xml:space="preserve"> </w:t>
      </w:r>
      <w:r w:rsidR="00865381">
        <w:rPr>
          <w:rFonts w:cs="ArialMT"/>
          <w:sz w:val="24"/>
          <w:szCs w:val="24"/>
        </w:rPr>
        <w:t>gender,</w:t>
      </w:r>
      <w:r w:rsidR="00865381" w:rsidRPr="004C44A3">
        <w:rPr>
          <w:rFonts w:cs="ArialMT"/>
          <w:sz w:val="24"/>
          <w:szCs w:val="24"/>
        </w:rPr>
        <w:t xml:space="preserve"> </w:t>
      </w:r>
      <w:r w:rsidR="00865381">
        <w:rPr>
          <w:rFonts w:cs="ArialMT"/>
          <w:sz w:val="24"/>
          <w:szCs w:val="24"/>
        </w:rPr>
        <w:t xml:space="preserve">work status, area level social deprivation, </w:t>
      </w:r>
      <w:r w:rsidR="00865381" w:rsidRPr="004C44A3">
        <w:rPr>
          <w:rFonts w:cs="ArialMT"/>
          <w:sz w:val="24"/>
          <w:szCs w:val="24"/>
        </w:rPr>
        <w:t>smoking</w:t>
      </w:r>
      <w:r w:rsidR="00865381">
        <w:rPr>
          <w:rFonts w:cs="ArialMT"/>
          <w:sz w:val="24"/>
          <w:szCs w:val="24"/>
        </w:rPr>
        <w:t xml:space="preserve"> </w:t>
      </w:r>
      <w:r w:rsidR="00865381" w:rsidRPr="004C44A3">
        <w:rPr>
          <w:rFonts w:cs="ArialMT"/>
          <w:sz w:val="24"/>
          <w:szCs w:val="24"/>
        </w:rPr>
        <w:t>status</w:t>
      </w:r>
      <w:r w:rsidR="00865381">
        <w:rPr>
          <w:rFonts w:cs="ArialMT"/>
          <w:sz w:val="24"/>
          <w:szCs w:val="24"/>
        </w:rPr>
        <w:t>;</w:t>
      </w:r>
      <w:r w:rsidR="00865381" w:rsidRPr="004C44A3">
        <w:rPr>
          <w:rFonts w:cs="ArialMT"/>
          <w:sz w:val="24"/>
          <w:szCs w:val="24"/>
        </w:rPr>
        <w:t xml:space="preserve"> </w:t>
      </w:r>
      <w:r w:rsidR="00865381">
        <w:rPr>
          <w:rFonts w:cs="ArialMT"/>
          <w:sz w:val="24"/>
          <w:szCs w:val="24"/>
        </w:rPr>
        <w:t>ethnicity,</w:t>
      </w:r>
      <w:r w:rsidR="00865381" w:rsidRPr="004C44A3">
        <w:rPr>
          <w:rFonts w:cs="ArialMT"/>
          <w:sz w:val="24"/>
          <w:szCs w:val="24"/>
        </w:rPr>
        <w:t xml:space="preserve"> symptom</w:t>
      </w:r>
      <w:r w:rsidR="00865381">
        <w:rPr>
          <w:rFonts w:cs="ArialMT"/>
          <w:sz w:val="24"/>
          <w:szCs w:val="24"/>
        </w:rPr>
        <w:t xml:space="preserve"> </w:t>
      </w:r>
      <w:r w:rsidR="00865381" w:rsidRPr="004C44A3">
        <w:rPr>
          <w:rFonts w:cs="ArialMT"/>
          <w:sz w:val="24"/>
          <w:szCs w:val="24"/>
        </w:rPr>
        <w:t>duration</w:t>
      </w:r>
      <w:r w:rsidR="00865381">
        <w:rPr>
          <w:rFonts w:cs="ArialMT"/>
          <w:sz w:val="24"/>
          <w:szCs w:val="24"/>
        </w:rPr>
        <w:t xml:space="preserve">, antibody status) </w:t>
      </w:r>
      <w:r>
        <w:rPr>
          <w:rFonts w:cs="ArialMT"/>
          <w:sz w:val="24"/>
          <w:szCs w:val="24"/>
        </w:rPr>
        <w:t>and department included as a random effect. The random effect captures the difference between the departmental proportion of incomplete data and the overall proportion of incomplete data</w:t>
      </w:r>
      <w:r w:rsidR="004E2076">
        <w:rPr>
          <w:rFonts w:cs="ArialMT"/>
          <w:sz w:val="24"/>
          <w:szCs w:val="24"/>
        </w:rPr>
        <w:t xml:space="preserve"> in the sample</w:t>
      </w:r>
      <w:r>
        <w:rPr>
          <w:rFonts w:cs="ArialMT"/>
          <w:sz w:val="24"/>
          <w:szCs w:val="24"/>
        </w:rPr>
        <w:t xml:space="preserve">. </w:t>
      </w:r>
      <w:r w:rsidR="004E2076" w:rsidRPr="004E2076">
        <w:rPr>
          <w:rFonts w:cs="ArialMT"/>
          <w:sz w:val="24"/>
          <w:szCs w:val="24"/>
        </w:rPr>
        <w:t>The estimated proportions from the model are empirical Bayes estimates, which, following the logic of Bayesian inference, is a ‘shrinkage’ estimator exploiting additional information that typically moves the estimate towards the overall proportion for the sample. Shrinkage estimates have several desirable properties, including greater precision and accounting for larger random variation observed at smaller centres</w:t>
      </w:r>
      <w:r w:rsidR="004E2076">
        <w:rPr>
          <w:rFonts w:cs="ArialMT"/>
          <w:sz w:val="24"/>
          <w:szCs w:val="24"/>
        </w:rPr>
        <w:t xml:space="preserve"> </w:t>
      </w:r>
      <w:r w:rsidR="004E2076">
        <w:rPr>
          <w:rFonts w:cs="ArialMT"/>
          <w:sz w:val="24"/>
          <w:szCs w:val="24"/>
        </w:rPr>
        <w:fldChar w:fldCharType="begin"/>
      </w:r>
      <w:r w:rsidR="00C956CF">
        <w:rPr>
          <w:rFonts w:cs="ArialMT"/>
          <w:sz w:val="24"/>
          <w:szCs w:val="24"/>
        </w:rPr>
        <w:instrText xml:space="preserve"> ADDIN EN.CITE &lt;EndNote&gt;&lt;Cite&gt;&lt;Author&gt;MacKenzie&lt;/Author&gt;&lt;Year&gt;2015&lt;/Year&gt;&lt;RecNum&gt;206&lt;/RecNum&gt;&lt;DisplayText&gt;(11)&lt;/DisplayText&gt;&lt;record&gt;&lt;rec-number&gt;206&lt;/rec-number&gt;&lt;foreign-keys&gt;&lt;key app="EN" db-id="drp9r9v5qdfv2hez5ec55x5ldtx2ezvvxs2v" timestamp="1571654492"&gt;206&lt;/key&gt;&lt;/foreign-keys&gt;&lt;ref-type name="Journal Article"&gt;17&lt;/ref-type&gt;&lt;contributors&gt;&lt;authors&gt;&lt;author&gt;MacKenzie, T. A.&lt;/author&gt;&lt;author&gt;Grunkemeier, G. L.&lt;/author&gt;&lt;author&gt;Grunwald, G. K.&lt;/author&gt;&lt;author&gt;O&amp;apos;Malley, A. J.&lt;/author&gt;&lt;author&gt;Bohn, C.&lt;/author&gt;&lt;author&gt;Wu, Y.&lt;/author&gt;&lt;author&gt;Malenka, D. J.&lt;/author&gt;&lt;/authors&gt;&lt;/contributors&gt;&lt;auth-address&gt;Department of Biomedical Data Science, Dartmouth College, Geisel School of Medicine, Hanover, New Hampshire. Electronic address: todd.a.mackenzie@dartmouth.edu.&amp;#xD;Providence Health System, Portland, Oregon.&amp;#xD;Department of Biostatistics and Bioinformatics, University of Colorado at Denver, Denver, Colorado.&amp;#xD;Department of Biomedical Data Science, Dartmouth College, Geisel School of Medicine, Hanover, New Hampshire.&amp;#xD;Department of Medicine, Dartmouth College, Geisel School of Medicine, Hanover, New Hampshire.&lt;/auth-address&gt;&lt;titles&gt;&lt;title&gt;A primer on using shrinkage to compare in-hospital mortality between centers&lt;/title&gt;&lt;secondary-title&gt;Ann Thorac Surg&lt;/secondary-title&gt;&lt;/titles&gt;&lt;periodical&gt;&lt;full-title&gt;Ann Thorac Surg&lt;/full-title&gt;&lt;/periodical&gt;&lt;pages&gt;757-61&lt;/pages&gt;&lt;volume&gt;99&lt;/volume&gt;&lt;number&gt;3&lt;/number&gt;&lt;edition&gt;2015/03/07&lt;/edition&gt;&lt;keywords&gt;&lt;keyword&gt;*Hospital Mortality&lt;/keyword&gt;&lt;keyword&gt;Humans&lt;/keyword&gt;&lt;keyword&gt;Models, Statistical&lt;/keyword&gt;&lt;keyword&gt;Multicenter Studies as Topic/*statistics &amp;amp; numerical data&lt;/keyword&gt;&lt;/keywords&gt;&lt;dates&gt;&lt;year&gt;2015&lt;/year&gt;&lt;pub-dates&gt;&lt;date&gt;Mar&lt;/date&gt;&lt;/pub-dates&gt;&lt;/dates&gt;&lt;isbn&gt;0003-4975&lt;/isbn&gt;&lt;accession-num&gt;25742812&lt;/accession-num&gt;&lt;urls&gt;&lt;/urls&gt;&lt;electronic-resource-num&gt;10.1016/j.athoracsur.2014.11.039&lt;/electronic-resource-num&gt;&lt;remote-database-provider&gt;NLM&lt;/remote-database-provider&gt;&lt;language&gt;eng&lt;/language&gt;&lt;/record&gt;&lt;/Cite&gt;&lt;/EndNote&gt;</w:instrText>
      </w:r>
      <w:r w:rsidR="004E2076">
        <w:rPr>
          <w:rFonts w:cs="ArialMT"/>
          <w:sz w:val="24"/>
          <w:szCs w:val="24"/>
        </w:rPr>
        <w:fldChar w:fldCharType="separate"/>
      </w:r>
      <w:r w:rsidR="00C956CF">
        <w:rPr>
          <w:rFonts w:cs="ArialMT"/>
          <w:noProof/>
          <w:sz w:val="24"/>
          <w:szCs w:val="24"/>
        </w:rPr>
        <w:t>(11)</w:t>
      </w:r>
      <w:r w:rsidR="004E2076">
        <w:rPr>
          <w:rFonts w:cs="ArialMT"/>
          <w:sz w:val="24"/>
          <w:szCs w:val="24"/>
        </w:rPr>
        <w:fldChar w:fldCharType="end"/>
      </w:r>
      <w:r w:rsidR="004E2076">
        <w:rPr>
          <w:rFonts w:cs="ArialMT"/>
          <w:sz w:val="24"/>
          <w:szCs w:val="24"/>
        </w:rPr>
        <w:t>.</w:t>
      </w:r>
    </w:p>
    <w:p w14:paraId="67A03449" w14:textId="5E55BAB0" w:rsidR="007A6EE3" w:rsidRDefault="007A6EE3" w:rsidP="002830C8">
      <w:pPr>
        <w:spacing w:line="480" w:lineRule="auto"/>
        <w:jc w:val="both"/>
        <w:rPr>
          <w:rFonts w:cs="ArialMT"/>
          <w:sz w:val="24"/>
          <w:szCs w:val="24"/>
        </w:rPr>
      </w:pPr>
      <w:r>
        <w:rPr>
          <w:rFonts w:cs="ArialMT"/>
          <w:sz w:val="24"/>
          <w:szCs w:val="24"/>
        </w:rPr>
        <w:lastRenderedPageBreak/>
        <w:t xml:space="preserve">The observed and model </w:t>
      </w:r>
      <w:r w:rsidR="004E2076">
        <w:rPr>
          <w:rFonts w:cs="ArialMT"/>
          <w:sz w:val="24"/>
          <w:szCs w:val="24"/>
        </w:rPr>
        <w:t>estimated</w:t>
      </w:r>
      <w:r>
        <w:rPr>
          <w:rFonts w:cs="ArialMT"/>
          <w:sz w:val="24"/>
          <w:szCs w:val="24"/>
        </w:rPr>
        <w:t xml:space="preserve"> departmental proportions of missing baseline DAS28 data were plotted on a caterpillar graph, with 95%</w:t>
      </w:r>
      <w:r w:rsidR="00B33DA5">
        <w:rPr>
          <w:rFonts w:cs="ArialMT"/>
          <w:sz w:val="24"/>
          <w:szCs w:val="24"/>
        </w:rPr>
        <w:t xml:space="preserve"> </w:t>
      </w:r>
      <w:bookmarkStart w:id="16" w:name="_Hlk27731902"/>
      <w:r w:rsidR="00B33DA5">
        <w:rPr>
          <w:rFonts w:cs="ArialMT"/>
          <w:sz w:val="24"/>
          <w:szCs w:val="24"/>
        </w:rPr>
        <w:t>confidence intervals</w:t>
      </w:r>
      <w:r>
        <w:rPr>
          <w:rFonts w:cs="ArialMT"/>
          <w:sz w:val="24"/>
          <w:szCs w:val="24"/>
        </w:rPr>
        <w:t xml:space="preserve"> </w:t>
      </w:r>
      <w:r w:rsidR="00B33DA5">
        <w:rPr>
          <w:rFonts w:cs="ArialMT"/>
          <w:sz w:val="24"/>
          <w:szCs w:val="24"/>
        </w:rPr>
        <w:t>(</w:t>
      </w:r>
      <w:r>
        <w:rPr>
          <w:rFonts w:cs="ArialMT"/>
          <w:sz w:val="24"/>
          <w:szCs w:val="24"/>
        </w:rPr>
        <w:t>CI</w:t>
      </w:r>
      <w:r w:rsidR="00B33DA5">
        <w:rPr>
          <w:rFonts w:cs="ArialMT"/>
          <w:sz w:val="24"/>
          <w:szCs w:val="24"/>
        </w:rPr>
        <w:t>)</w:t>
      </w:r>
      <w:r>
        <w:rPr>
          <w:rFonts w:cs="ArialMT"/>
          <w:sz w:val="24"/>
          <w:szCs w:val="24"/>
        </w:rPr>
        <w:t xml:space="preserve"> </w:t>
      </w:r>
      <w:bookmarkEnd w:id="16"/>
      <w:r>
        <w:rPr>
          <w:rFonts w:cs="ArialMT"/>
          <w:sz w:val="24"/>
          <w:szCs w:val="24"/>
        </w:rPr>
        <w:t xml:space="preserve">for the predicted values, to allow a ranking of departments by proportions of missing data. </w:t>
      </w:r>
    </w:p>
    <w:p w14:paraId="28863A9A" w14:textId="56CFD951" w:rsidR="00F41A4B" w:rsidRPr="00E04A41" w:rsidRDefault="00E04A41" w:rsidP="002830C8">
      <w:pPr>
        <w:spacing w:line="480" w:lineRule="auto"/>
        <w:jc w:val="both"/>
        <w:rPr>
          <w:rFonts w:cs="ArialMT"/>
          <w:sz w:val="24"/>
          <w:szCs w:val="24"/>
        </w:rPr>
      </w:pPr>
      <w:r>
        <w:rPr>
          <w:rFonts w:cs="ArialMT"/>
          <w:sz w:val="24"/>
          <w:szCs w:val="24"/>
        </w:rPr>
        <w:t xml:space="preserve">A department was considered </w:t>
      </w:r>
      <w:r w:rsidR="0085337E">
        <w:rPr>
          <w:rFonts w:cs="ArialMT"/>
          <w:sz w:val="24"/>
          <w:szCs w:val="24"/>
        </w:rPr>
        <w:t>to have a</w:t>
      </w:r>
      <w:r>
        <w:rPr>
          <w:rFonts w:cs="ArialMT"/>
          <w:sz w:val="24"/>
          <w:szCs w:val="24"/>
        </w:rPr>
        <w:t xml:space="preserve"> high </w:t>
      </w:r>
      <w:r w:rsidR="0085337E">
        <w:rPr>
          <w:rFonts w:cs="ArialMT"/>
          <w:sz w:val="24"/>
          <w:szCs w:val="24"/>
        </w:rPr>
        <w:t xml:space="preserve">proportion of missing data </w:t>
      </w:r>
      <w:r>
        <w:rPr>
          <w:rFonts w:cs="ArialMT"/>
          <w:sz w:val="24"/>
          <w:szCs w:val="24"/>
        </w:rPr>
        <w:t>if their</w:t>
      </w:r>
      <w:r w:rsidR="007A6EE3">
        <w:rPr>
          <w:rFonts w:cs="ArialMT"/>
          <w:sz w:val="24"/>
          <w:szCs w:val="24"/>
        </w:rPr>
        <w:t xml:space="preserve"> predicted</w:t>
      </w:r>
      <w:r>
        <w:rPr>
          <w:rFonts w:cs="ArialMT"/>
          <w:sz w:val="24"/>
          <w:szCs w:val="24"/>
        </w:rPr>
        <w:t xml:space="preserve"> 95% CI lower bound was greater than the overall mean. Similarly, a department was considered</w:t>
      </w:r>
      <w:r w:rsidR="0085337E">
        <w:rPr>
          <w:rFonts w:cs="ArialMT"/>
          <w:sz w:val="24"/>
          <w:szCs w:val="24"/>
        </w:rPr>
        <w:t xml:space="preserve"> to have</w:t>
      </w:r>
      <w:r>
        <w:rPr>
          <w:rFonts w:cs="ArialMT"/>
          <w:sz w:val="24"/>
          <w:szCs w:val="24"/>
        </w:rPr>
        <w:t xml:space="preserve"> a low </w:t>
      </w:r>
      <w:r w:rsidR="0085337E">
        <w:rPr>
          <w:rFonts w:cs="ArialMT"/>
          <w:sz w:val="24"/>
          <w:szCs w:val="24"/>
        </w:rPr>
        <w:t xml:space="preserve">proportion of missing data </w:t>
      </w:r>
      <w:r>
        <w:rPr>
          <w:rFonts w:cs="ArialMT"/>
          <w:sz w:val="24"/>
          <w:szCs w:val="24"/>
        </w:rPr>
        <w:t>if their</w:t>
      </w:r>
      <w:r w:rsidR="007A6EE3">
        <w:rPr>
          <w:rFonts w:cs="ArialMT"/>
          <w:sz w:val="24"/>
          <w:szCs w:val="24"/>
        </w:rPr>
        <w:t xml:space="preserve"> predicted</w:t>
      </w:r>
      <w:r>
        <w:rPr>
          <w:rFonts w:cs="ArialMT"/>
          <w:sz w:val="24"/>
          <w:szCs w:val="24"/>
        </w:rPr>
        <w:t xml:space="preserve"> 95% CI upper bound was less than the sample mean.  The locations of the departments </w:t>
      </w:r>
      <w:r w:rsidR="0085337E">
        <w:rPr>
          <w:rFonts w:cs="ArialMT"/>
          <w:sz w:val="24"/>
          <w:szCs w:val="24"/>
        </w:rPr>
        <w:t xml:space="preserve">with high and low levels of missing data </w:t>
      </w:r>
      <w:r>
        <w:rPr>
          <w:rFonts w:cs="ArialMT"/>
          <w:sz w:val="24"/>
          <w:szCs w:val="24"/>
        </w:rPr>
        <w:t xml:space="preserve">were mapped using the </w:t>
      </w:r>
      <w:proofErr w:type="spellStart"/>
      <w:r>
        <w:rPr>
          <w:rFonts w:cs="ArialMT"/>
          <w:sz w:val="24"/>
          <w:szCs w:val="24"/>
        </w:rPr>
        <w:t>grmap</w:t>
      </w:r>
      <w:proofErr w:type="spellEnd"/>
      <w:r>
        <w:rPr>
          <w:rFonts w:cs="ArialMT"/>
          <w:sz w:val="24"/>
          <w:szCs w:val="24"/>
        </w:rPr>
        <w:t xml:space="preserve"> software package </w:t>
      </w:r>
      <w:r>
        <w:rPr>
          <w:rFonts w:cs="ArialMT"/>
          <w:sz w:val="24"/>
          <w:szCs w:val="24"/>
        </w:rPr>
        <w:fldChar w:fldCharType="begin"/>
      </w:r>
      <w:r w:rsidR="00B32C89">
        <w:rPr>
          <w:rFonts w:cs="ArialMT"/>
          <w:sz w:val="24"/>
          <w:szCs w:val="24"/>
        </w:rPr>
        <w:instrText xml:space="preserve"> ADDIN EN.CITE &lt;EndNote&gt;&lt;Cite&gt;&lt;Author&gt;Pisati&lt;/Author&gt;&lt;Year&gt;2007&lt;/Year&gt;&lt;RecNum&gt;17&lt;/RecNum&gt;&lt;DisplayText&gt;(12)&lt;/DisplayText&gt;&lt;record&gt;&lt;rec-number&gt;17&lt;/rec-number&gt;&lt;foreign-keys&gt;&lt;key app="EN" db-id="drp9r9v5qdfv2hez5ec55x5ldtx2ezvvxs2v" timestamp="0"&gt;17&lt;/key&gt;&lt;/foreign-keys&gt;&lt;ref-type name="Web Page"&gt;12&lt;/ref-type&gt;&lt;contributors&gt;&lt;authors&gt;&lt;author&gt;Maurizio Pisati&lt;/author&gt;&lt;/authors&gt;&lt;/contributors&gt;&lt;titles&gt;&lt;title&gt;SPMAP: Stata module to visualize spatial data&lt;/title&gt;&lt;secondary-title&gt;Statistical Software Components&lt;/secondary-title&gt;&lt;/titles&gt;&lt;dates&gt;&lt;year&gt;2007&lt;/year&gt;&lt;/dates&gt;&lt;publisher&gt;Boston College Department of Economics&lt;/publisher&gt;&lt;isbn&gt;S456812&lt;/isbn&gt;&lt;urls&gt;&lt;related-urls&gt;&lt;url&gt;https://ideas.repec.org/c/boc/bocode/s456812.html&lt;/url&gt;&lt;/related-urls&gt;&lt;/urls&gt;&lt;/record&gt;&lt;/Cite&gt;&lt;/EndNote&gt;</w:instrText>
      </w:r>
      <w:r>
        <w:rPr>
          <w:rFonts w:cs="ArialMT"/>
          <w:sz w:val="24"/>
          <w:szCs w:val="24"/>
        </w:rPr>
        <w:fldChar w:fldCharType="separate"/>
      </w:r>
      <w:r w:rsidR="00C956CF">
        <w:rPr>
          <w:rFonts w:cs="ArialMT"/>
          <w:noProof/>
          <w:sz w:val="24"/>
          <w:szCs w:val="24"/>
        </w:rPr>
        <w:t>(12)</w:t>
      </w:r>
      <w:r>
        <w:rPr>
          <w:rFonts w:cs="ArialMT"/>
          <w:sz w:val="24"/>
          <w:szCs w:val="24"/>
        </w:rPr>
        <w:fldChar w:fldCharType="end"/>
      </w:r>
      <w:r>
        <w:rPr>
          <w:rFonts w:cs="ArialMT"/>
          <w:sz w:val="24"/>
          <w:szCs w:val="24"/>
        </w:rPr>
        <w:t xml:space="preserve"> in Stata 15 to give a national representation. </w:t>
      </w:r>
    </w:p>
    <w:p w14:paraId="7F1C0DBA" w14:textId="77777777" w:rsidR="0086388C" w:rsidRDefault="00B536AF" w:rsidP="002830C8">
      <w:pPr>
        <w:pStyle w:val="Heading3"/>
        <w:spacing w:line="480" w:lineRule="auto"/>
      </w:pPr>
      <w:r>
        <w:t>Missing</w:t>
      </w:r>
      <w:r w:rsidR="002C54BC">
        <w:t xml:space="preserve"> clinical outcome</w:t>
      </w:r>
      <w:r>
        <w:t xml:space="preserve"> data as a predictor of </w:t>
      </w:r>
      <w:r w:rsidR="002C54BC">
        <w:t>service</w:t>
      </w:r>
      <w:r>
        <w:t xml:space="preserve"> quality</w:t>
      </w:r>
    </w:p>
    <w:p w14:paraId="20BD0FE7" w14:textId="77777777" w:rsidR="001B2648" w:rsidRDefault="009E09FF" w:rsidP="002830C8">
      <w:pPr>
        <w:spacing w:line="480" w:lineRule="auto"/>
        <w:jc w:val="both"/>
        <w:rPr>
          <w:rFonts w:cs="ArialMT"/>
          <w:sz w:val="24"/>
          <w:szCs w:val="24"/>
        </w:rPr>
      </w:pPr>
      <w:r>
        <w:rPr>
          <w:rFonts w:cs="ArialMT"/>
          <w:sz w:val="24"/>
          <w:szCs w:val="24"/>
        </w:rPr>
        <w:t xml:space="preserve">To test the hypothesis that </w:t>
      </w:r>
      <w:r>
        <w:rPr>
          <w:sz w:val="24"/>
          <w:szCs w:val="24"/>
        </w:rPr>
        <w:t>completeness of key outcome data is a usable surrogate for departmental performance,</w:t>
      </w:r>
      <w:r w:rsidR="000E1267">
        <w:rPr>
          <w:sz w:val="24"/>
          <w:szCs w:val="24"/>
        </w:rPr>
        <w:t xml:space="preserve"> mixed effects</w:t>
      </w:r>
      <w:r>
        <w:rPr>
          <w:rFonts w:cs="ArialMT"/>
          <w:sz w:val="24"/>
          <w:szCs w:val="24"/>
        </w:rPr>
        <w:t xml:space="preserve"> </w:t>
      </w:r>
      <w:r w:rsidR="000E1267">
        <w:rPr>
          <w:rFonts w:cs="ArialMT"/>
          <w:sz w:val="24"/>
          <w:szCs w:val="24"/>
        </w:rPr>
        <w:t xml:space="preserve">modelling </w:t>
      </w:r>
      <w:r w:rsidR="00B536AF">
        <w:rPr>
          <w:rFonts w:cs="ArialMT"/>
          <w:sz w:val="24"/>
          <w:szCs w:val="24"/>
        </w:rPr>
        <w:t>w</w:t>
      </w:r>
      <w:r w:rsidR="00F30171">
        <w:rPr>
          <w:rFonts w:cs="ArialMT"/>
          <w:sz w:val="24"/>
          <w:szCs w:val="24"/>
        </w:rPr>
        <w:t>as</w:t>
      </w:r>
      <w:r w:rsidR="00B536AF">
        <w:rPr>
          <w:rFonts w:cs="ArialMT"/>
          <w:sz w:val="24"/>
          <w:szCs w:val="24"/>
        </w:rPr>
        <w:t xml:space="preserve"> </w:t>
      </w:r>
      <w:r w:rsidR="00A817FC">
        <w:rPr>
          <w:rFonts w:cs="ArialMT"/>
          <w:sz w:val="24"/>
          <w:szCs w:val="24"/>
        </w:rPr>
        <w:t>performed</w:t>
      </w:r>
      <w:r w:rsidR="00E04A41">
        <w:rPr>
          <w:rFonts w:cs="ArialMT"/>
          <w:sz w:val="24"/>
          <w:szCs w:val="24"/>
        </w:rPr>
        <w:t xml:space="preserve"> with the department providing care includ</w:t>
      </w:r>
      <w:r w:rsidR="001B2648">
        <w:rPr>
          <w:rFonts w:cs="ArialMT"/>
          <w:sz w:val="24"/>
          <w:szCs w:val="24"/>
        </w:rPr>
        <w:t>ed as</w:t>
      </w:r>
      <w:r w:rsidR="00E04A41">
        <w:rPr>
          <w:rFonts w:cs="ArialMT"/>
          <w:sz w:val="24"/>
          <w:szCs w:val="24"/>
        </w:rPr>
        <w:t xml:space="preserve"> a random effect</w:t>
      </w:r>
      <w:r>
        <w:rPr>
          <w:rFonts w:cs="ArialMT"/>
          <w:sz w:val="24"/>
          <w:szCs w:val="24"/>
        </w:rPr>
        <w:t xml:space="preserve">. </w:t>
      </w:r>
      <w:r w:rsidR="00B536AF">
        <w:rPr>
          <w:rFonts w:cs="ArialMT"/>
          <w:sz w:val="24"/>
          <w:szCs w:val="24"/>
        </w:rPr>
        <w:t xml:space="preserve"> </w:t>
      </w:r>
      <w:r>
        <w:rPr>
          <w:rFonts w:cs="ArialMT"/>
          <w:sz w:val="24"/>
          <w:szCs w:val="24"/>
        </w:rPr>
        <w:t xml:space="preserve">Incomplete </w:t>
      </w:r>
      <w:r w:rsidR="00B536AF">
        <w:rPr>
          <w:rFonts w:cs="ArialMT"/>
          <w:sz w:val="24"/>
          <w:szCs w:val="24"/>
        </w:rPr>
        <w:t>baseline</w:t>
      </w:r>
      <w:r w:rsidR="00F30171">
        <w:rPr>
          <w:rFonts w:cs="ArialMT"/>
          <w:sz w:val="24"/>
          <w:szCs w:val="24"/>
        </w:rPr>
        <w:t xml:space="preserve"> </w:t>
      </w:r>
      <w:r w:rsidR="002C6A18">
        <w:rPr>
          <w:rFonts w:cs="ArialMT"/>
          <w:sz w:val="24"/>
          <w:szCs w:val="24"/>
        </w:rPr>
        <w:t>DAS28</w:t>
      </w:r>
      <w:r>
        <w:rPr>
          <w:rFonts w:cs="ArialMT"/>
          <w:sz w:val="24"/>
          <w:szCs w:val="24"/>
        </w:rPr>
        <w:t xml:space="preserve"> was the independent variable, with treatment time as the dependent variable. </w:t>
      </w:r>
    </w:p>
    <w:p w14:paraId="52B8E31C" w14:textId="63CCF292" w:rsidR="001B2648" w:rsidRDefault="0073161D" w:rsidP="002830C8">
      <w:pPr>
        <w:spacing w:line="480" w:lineRule="auto"/>
        <w:jc w:val="both"/>
        <w:rPr>
          <w:rFonts w:cs="ArialMT"/>
          <w:sz w:val="24"/>
          <w:szCs w:val="24"/>
        </w:rPr>
      </w:pPr>
      <w:r>
        <w:rPr>
          <w:rFonts w:cs="ArialMT"/>
          <w:sz w:val="24"/>
          <w:szCs w:val="24"/>
        </w:rPr>
        <w:t xml:space="preserve">Treatment time was used in preference to referral time, as </w:t>
      </w:r>
      <w:r w:rsidR="003D61D1">
        <w:rPr>
          <w:rFonts w:cs="ArialMT"/>
          <w:sz w:val="24"/>
          <w:szCs w:val="24"/>
        </w:rPr>
        <w:t xml:space="preserve">the latter </w:t>
      </w:r>
      <w:r>
        <w:rPr>
          <w:rFonts w:cs="ArialMT"/>
          <w:sz w:val="24"/>
          <w:szCs w:val="24"/>
        </w:rPr>
        <w:t>is an assessment of primary care rather than rheumatology department performance</w:t>
      </w:r>
      <w:r w:rsidR="00F21FBD">
        <w:rPr>
          <w:rFonts w:cs="ArialMT"/>
          <w:sz w:val="24"/>
          <w:szCs w:val="24"/>
        </w:rPr>
        <w:t xml:space="preserve">. </w:t>
      </w:r>
      <w:r w:rsidR="00E04A41">
        <w:rPr>
          <w:rFonts w:cs="ArialMT"/>
          <w:sz w:val="24"/>
          <w:szCs w:val="24"/>
        </w:rPr>
        <w:t xml:space="preserve">Shorter treatment times are </w:t>
      </w:r>
      <w:r w:rsidR="009E09FF">
        <w:rPr>
          <w:rFonts w:cs="ArialMT"/>
          <w:sz w:val="24"/>
          <w:szCs w:val="24"/>
        </w:rPr>
        <w:t>considered a key marker of service quality in early RA care</w:t>
      </w:r>
      <w:r w:rsidR="00787894">
        <w:rPr>
          <w:rFonts w:cs="ArialMT"/>
          <w:sz w:val="24"/>
          <w:szCs w:val="24"/>
        </w:rPr>
        <w:t xml:space="preserve"> </w:t>
      </w:r>
      <w:r w:rsidR="009E09FF">
        <w:rPr>
          <w:rFonts w:cs="ArialMT"/>
          <w:sz w:val="24"/>
          <w:szCs w:val="24"/>
        </w:rPr>
        <w:fldChar w:fldCharType="begin"/>
      </w:r>
      <w:r w:rsidR="00C956CF">
        <w:rPr>
          <w:rFonts w:cs="ArialMT"/>
          <w:sz w:val="24"/>
          <w:szCs w:val="24"/>
        </w:rPr>
        <w:instrText xml:space="preserve"> ADDIN EN.CITE &lt;EndNote&gt;&lt;Cite&gt;&lt;Author&gt;Ledingham&lt;/Author&gt;&lt;Year&gt;2016&lt;/Year&gt;&lt;RecNum&gt;65&lt;/RecNum&gt;&lt;DisplayText&gt;(13)&lt;/DisplayText&gt;&lt;record&gt;&lt;rec-number&gt;65&lt;/rec-number&gt;&lt;foreign-keys&gt;&lt;key app="EN" db-id="drp9r9v5qdfv2hez5ec55x5ldtx2ezvvxs2v" timestamp="1557836812"&gt;65&lt;/key&gt;&lt;/foreign-keys&gt;&lt;ref-type name="Journal Article"&gt;17&lt;/ref-type&gt;&lt;contributors&gt;&lt;authors&gt;&lt;author&gt;Ledingham, Joanna M.&lt;/author&gt;&lt;author&gt;Snowden, Neil&lt;/author&gt;&lt;author&gt;Rivett, Ali&lt;/author&gt;&lt;author&gt;Galloway, James&lt;/author&gt;&lt;author&gt;Ide, Zoe&lt;/author&gt;&lt;author&gt;Firth, Jill&lt;/author&gt;&lt;author&gt;MacPhie, Elizabeth&lt;/author&gt;&lt;author&gt;Kandala, Ngianga&lt;/author&gt;&lt;author&gt;Dennison, Elaine M.&lt;/author&gt;&lt;author&gt;Rowe, Ian&lt;/author&gt;&lt;/authors&gt;&lt;/contributors&gt;&lt;titles&gt;&lt;title&gt;Achievement of NICE quality standards for patients with new presentation of inflammatory arthritis: observations from the National Clinical Audit for Rheumatoid and Early Inflammatory Arthritis&lt;/title&gt;&lt;secondary-title&gt;Rheumatology&lt;/secondary-title&gt;&lt;/titles&gt;&lt;periodical&gt;&lt;full-title&gt;Rheumatology&lt;/full-title&gt;&lt;/periodical&gt;&lt;pages&gt;223-230&lt;/pages&gt;&lt;volume&gt;56&lt;/volume&gt;&lt;number&gt;2&lt;/number&gt;&lt;dates&gt;&lt;year&gt;2016&lt;/year&gt;&lt;/dates&gt;&lt;isbn&gt;1462-0324&lt;/isbn&gt;&lt;urls&gt;&lt;related-urls&gt;&lt;url&gt;https://doi.org/10.1093/rheumatology/kew308&lt;/url&gt;&lt;/related-urls&gt;&lt;/urls&gt;&lt;electronic-resource-num&gt;10.1093/rheumatology/kew308 %J Rheumatology&lt;/electronic-resource-num&gt;&lt;access-date&gt;5/14/2019&lt;/access-date&gt;&lt;/record&gt;&lt;/Cite&gt;&lt;/EndNote&gt;</w:instrText>
      </w:r>
      <w:r w:rsidR="009E09FF">
        <w:rPr>
          <w:rFonts w:cs="ArialMT"/>
          <w:sz w:val="24"/>
          <w:szCs w:val="24"/>
        </w:rPr>
        <w:fldChar w:fldCharType="separate"/>
      </w:r>
      <w:r w:rsidR="00C956CF">
        <w:rPr>
          <w:rFonts w:cs="ArialMT"/>
          <w:noProof/>
          <w:sz w:val="24"/>
          <w:szCs w:val="24"/>
        </w:rPr>
        <w:t>(13)</w:t>
      </w:r>
      <w:r w:rsidR="009E09FF">
        <w:rPr>
          <w:rFonts w:cs="ArialMT"/>
          <w:sz w:val="24"/>
          <w:szCs w:val="24"/>
        </w:rPr>
        <w:fldChar w:fldCharType="end"/>
      </w:r>
      <w:r w:rsidR="009E09FF">
        <w:rPr>
          <w:rFonts w:cs="ArialMT"/>
          <w:sz w:val="24"/>
          <w:szCs w:val="24"/>
        </w:rPr>
        <w:t>.</w:t>
      </w:r>
      <w:r w:rsidR="00253D43">
        <w:rPr>
          <w:rFonts w:cs="ArialMT"/>
          <w:sz w:val="24"/>
          <w:szCs w:val="24"/>
        </w:rPr>
        <w:t xml:space="preserve"> </w:t>
      </w:r>
      <w:r w:rsidR="00AE6BF0">
        <w:rPr>
          <w:rFonts w:cs="ArialMT"/>
          <w:sz w:val="24"/>
          <w:szCs w:val="24"/>
        </w:rPr>
        <w:t xml:space="preserve"> </w:t>
      </w:r>
      <w:r w:rsidR="00787894">
        <w:rPr>
          <w:rFonts w:cs="ArialMT"/>
          <w:sz w:val="24"/>
          <w:szCs w:val="24"/>
        </w:rPr>
        <w:t xml:space="preserve">Analyses from the </w:t>
      </w:r>
      <w:r w:rsidR="00C342B3">
        <w:rPr>
          <w:rFonts w:cs="ArialMT"/>
          <w:sz w:val="24"/>
          <w:szCs w:val="24"/>
        </w:rPr>
        <w:t>latest</w:t>
      </w:r>
      <w:r w:rsidR="00787894">
        <w:rPr>
          <w:rFonts w:cs="ArialMT"/>
          <w:sz w:val="24"/>
          <w:szCs w:val="24"/>
        </w:rPr>
        <w:t xml:space="preserve"> EIA NCA annual report show that shorter treatment times correspond to better clinical outcomes</w:t>
      </w:r>
      <w:r w:rsidR="00C342B3">
        <w:rPr>
          <w:rFonts w:cs="ArialMT"/>
          <w:sz w:val="24"/>
          <w:szCs w:val="24"/>
        </w:rPr>
        <w:t xml:space="preserve"> </w:t>
      </w:r>
      <w:r w:rsidR="00C342B3">
        <w:rPr>
          <w:rFonts w:cs="ArialMT"/>
          <w:sz w:val="24"/>
          <w:szCs w:val="24"/>
        </w:rPr>
        <w:fldChar w:fldCharType="begin"/>
      </w:r>
      <w:r w:rsidR="00C956CF">
        <w:rPr>
          <w:rFonts w:cs="ArialMT"/>
          <w:sz w:val="24"/>
          <w:szCs w:val="24"/>
        </w:rPr>
        <w:instrText xml:space="preserve"> ADDIN EN.CITE &lt;EndNote&gt;&lt;Cite&gt;&lt;Author&gt;Rheumatology&lt;/Author&gt;&lt;Year&gt;2019&lt;/Year&gt;&lt;RecNum&gt;196&lt;/RecNum&gt;&lt;DisplayText&gt;(14)&lt;/DisplayText&gt;&lt;record&gt;&lt;rec-number&gt;196&lt;/rec-number&gt;&lt;foreign-keys&gt;&lt;key app="EN" db-id="drp9r9v5qdfv2hez5ec55x5ldtx2ezvvxs2v" timestamp="1571134442"&gt;196&lt;/key&gt;&lt;/foreign-keys&gt;&lt;ref-type name="Web Page"&gt;12&lt;/ref-type&gt;&lt;contributors&gt;&lt;authors&gt;&lt;author&gt;British Society for Rheumatology&lt;/author&gt;&lt;/authors&gt;&lt;/contributors&gt;&lt;titles&gt;&lt;title&gt;National Early Inflammatory Arthritis Audit (NEIAA) 1st Annual Report&lt;/title&gt;&lt;/titles&gt;&lt;volume&gt;2019&lt;/volume&gt;&lt;number&gt;15th October&lt;/number&gt;&lt;dates&gt;&lt;year&gt;2019&lt;/year&gt;&lt;/dates&gt;&lt;urls&gt;&lt;related-urls&gt;&lt;url&gt;https://www.rheumatology.org.uk/Portals/0/Documents/Practice_Quality/Audit/NEIA_Audit_report_October_2019.pdf?ver=2019-10-08-103326-710&lt;/url&gt;&lt;/related-urls&gt;&lt;/urls&gt;&lt;/record&gt;&lt;/Cite&gt;&lt;/EndNote&gt;</w:instrText>
      </w:r>
      <w:r w:rsidR="00C342B3">
        <w:rPr>
          <w:rFonts w:cs="ArialMT"/>
          <w:sz w:val="24"/>
          <w:szCs w:val="24"/>
        </w:rPr>
        <w:fldChar w:fldCharType="separate"/>
      </w:r>
      <w:r w:rsidR="00C956CF">
        <w:rPr>
          <w:rFonts w:cs="ArialMT"/>
          <w:noProof/>
          <w:sz w:val="24"/>
          <w:szCs w:val="24"/>
        </w:rPr>
        <w:t>(14)</w:t>
      </w:r>
      <w:r w:rsidR="00C342B3">
        <w:rPr>
          <w:rFonts w:cs="ArialMT"/>
          <w:sz w:val="24"/>
          <w:szCs w:val="24"/>
        </w:rPr>
        <w:fldChar w:fldCharType="end"/>
      </w:r>
      <w:r w:rsidR="00787894">
        <w:rPr>
          <w:rFonts w:cs="ArialMT"/>
          <w:sz w:val="24"/>
          <w:szCs w:val="24"/>
        </w:rPr>
        <w:t xml:space="preserve">. </w:t>
      </w:r>
    </w:p>
    <w:p w14:paraId="493DC67E" w14:textId="249A68C6" w:rsidR="00482242" w:rsidRDefault="001B2648" w:rsidP="002830C8">
      <w:pPr>
        <w:spacing w:line="480" w:lineRule="auto"/>
        <w:jc w:val="both"/>
        <w:rPr>
          <w:rFonts w:cs="ArialMT"/>
          <w:sz w:val="24"/>
          <w:szCs w:val="24"/>
        </w:rPr>
      </w:pPr>
      <w:r>
        <w:rPr>
          <w:rFonts w:cs="ArialMT"/>
          <w:sz w:val="24"/>
          <w:szCs w:val="24"/>
        </w:rPr>
        <w:t xml:space="preserve">Treatment time was converted to a binary variable indicating whether treatment commenced within 90 days of referral to rheumatology specialist care. </w:t>
      </w:r>
      <w:r w:rsidR="00E04A41">
        <w:rPr>
          <w:rFonts w:cs="ArialMT"/>
          <w:sz w:val="24"/>
          <w:szCs w:val="24"/>
        </w:rPr>
        <w:t>The m</w:t>
      </w:r>
      <w:r w:rsidR="009E09FF">
        <w:rPr>
          <w:rFonts w:cs="ArialMT"/>
          <w:sz w:val="24"/>
          <w:szCs w:val="24"/>
        </w:rPr>
        <w:t>odel w</w:t>
      </w:r>
      <w:r w:rsidR="00E04A41">
        <w:rPr>
          <w:rFonts w:cs="ArialMT"/>
          <w:sz w:val="24"/>
          <w:szCs w:val="24"/>
        </w:rPr>
        <w:t>as</w:t>
      </w:r>
      <w:r w:rsidR="009E09FF">
        <w:rPr>
          <w:rFonts w:cs="ArialMT"/>
          <w:sz w:val="24"/>
          <w:szCs w:val="24"/>
        </w:rPr>
        <w:t xml:space="preserve"> first performed unadjusted </w:t>
      </w:r>
      <w:r w:rsidR="003C2C79">
        <w:rPr>
          <w:rFonts w:cs="ArialMT"/>
          <w:sz w:val="24"/>
          <w:szCs w:val="24"/>
        </w:rPr>
        <w:t xml:space="preserve">for covariates </w:t>
      </w:r>
      <w:r w:rsidR="009E09FF">
        <w:rPr>
          <w:rFonts w:cs="ArialMT"/>
          <w:sz w:val="24"/>
          <w:szCs w:val="24"/>
        </w:rPr>
        <w:t xml:space="preserve">with reporting of odds ratios, p values and 95% </w:t>
      </w:r>
      <w:r w:rsidR="00E157B1">
        <w:rPr>
          <w:rFonts w:cs="ArialMT"/>
          <w:sz w:val="24"/>
          <w:szCs w:val="24"/>
        </w:rPr>
        <w:t>CI</w:t>
      </w:r>
      <w:r w:rsidR="00BD799E">
        <w:rPr>
          <w:rFonts w:cs="ArialMT"/>
          <w:sz w:val="24"/>
          <w:szCs w:val="24"/>
        </w:rPr>
        <w:t xml:space="preserve"> for the primary hypothesis test</w:t>
      </w:r>
      <w:r w:rsidR="00482242">
        <w:rPr>
          <w:rFonts w:cs="ArialMT"/>
          <w:sz w:val="24"/>
          <w:szCs w:val="24"/>
        </w:rPr>
        <w:t xml:space="preserve">.  </w:t>
      </w:r>
    </w:p>
    <w:p w14:paraId="48878185" w14:textId="3B1A3869" w:rsidR="00A817FC" w:rsidRDefault="009E09FF" w:rsidP="002830C8">
      <w:pPr>
        <w:spacing w:line="480" w:lineRule="auto"/>
        <w:jc w:val="both"/>
        <w:rPr>
          <w:rFonts w:cs="ArialMT"/>
          <w:sz w:val="24"/>
          <w:szCs w:val="24"/>
        </w:rPr>
      </w:pPr>
      <w:r>
        <w:rPr>
          <w:rFonts w:cs="ArialMT"/>
          <w:sz w:val="24"/>
          <w:szCs w:val="24"/>
        </w:rPr>
        <w:lastRenderedPageBreak/>
        <w:t>The model w</w:t>
      </w:r>
      <w:r w:rsidR="00E04A41">
        <w:rPr>
          <w:rFonts w:cs="ArialMT"/>
          <w:sz w:val="24"/>
          <w:szCs w:val="24"/>
        </w:rPr>
        <w:t>as</w:t>
      </w:r>
      <w:r>
        <w:rPr>
          <w:rFonts w:cs="ArialMT"/>
          <w:sz w:val="24"/>
          <w:szCs w:val="24"/>
        </w:rPr>
        <w:t xml:space="preserve"> repeated </w:t>
      </w:r>
      <w:r w:rsidR="003C2C79">
        <w:rPr>
          <w:rFonts w:cs="ArialMT"/>
          <w:sz w:val="24"/>
          <w:szCs w:val="24"/>
        </w:rPr>
        <w:t xml:space="preserve">adjusting for </w:t>
      </w:r>
      <w:r>
        <w:rPr>
          <w:rFonts w:cs="ArialMT"/>
          <w:sz w:val="24"/>
          <w:szCs w:val="24"/>
        </w:rPr>
        <w:t xml:space="preserve">patient level covariates selected a priori: </w:t>
      </w:r>
      <w:r w:rsidR="00F30171">
        <w:rPr>
          <w:rFonts w:cs="ArialMT"/>
          <w:sz w:val="24"/>
          <w:szCs w:val="24"/>
        </w:rPr>
        <w:t>a</w:t>
      </w:r>
      <w:r w:rsidR="00F30171" w:rsidRPr="004C44A3">
        <w:rPr>
          <w:rFonts w:cs="ArialMT"/>
          <w:sz w:val="24"/>
          <w:szCs w:val="24"/>
        </w:rPr>
        <w:t>ge</w:t>
      </w:r>
      <w:r w:rsidR="00F30171">
        <w:rPr>
          <w:rFonts w:cs="ArialMT"/>
          <w:sz w:val="24"/>
          <w:szCs w:val="24"/>
        </w:rPr>
        <w:t>;</w:t>
      </w:r>
      <w:r w:rsidR="00F30171" w:rsidRPr="004C44A3">
        <w:rPr>
          <w:rFonts w:cs="ArialMT"/>
          <w:sz w:val="24"/>
          <w:szCs w:val="24"/>
        </w:rPr>
        <w:t xml:space="preserve"> </w:t>
      </w:r>
      <w:r w:rsidR="00F30171">
        <w:rPr>
          <w:rFonts w:cs="ArialMT"/>
          <w:sz w:val="24"/>
          <w:szCs w:val="24"/>
        </w:rPr>
        <w:t>gender;</w:t>
      </w:r>
      <w:r w:rsidR="00F30171" w:rsidRPr="004C44A3">
        <w:rPr>
          <w:rFonts w:cs="ArialMT"/>
          <w:sz w:val="24"/>
          <w:szCs w:val="24"/>
        </w:rPr>
        <w:t xml:space="preserve"> </w:t>
      </w:r>
      <w:bookmarkStart w:id="17" w:name="_Hlk15377593"/>
      <w:r w:rsidR="00F30171">
        <w:rPr>
          <w:rFonts w:cs="ArialMT"/>
          <w:sz w:val="24"/>
          <w:szCs w:val="24"/>
        </w:rPr>
        <w:t>work status;</w:t>
      </w:r>
      <w:r w:rsidR="00F30171" w:rsidRPr="004C44A3">
        <w:rPr>
          <w:rFonts w:cs="ArialMT"/>
          <w:sz w:val="24"/>
          <w:szCs w:val="24"/>
        </w:rPr>
        <w:t xml:space="preserve"> </w:t>
      </w:r>
      <w:r w:rsidR="003C2C79">
        <w:rPr>
          <w:rFonts w:cs="ArialMT"/>
          <w:sz w:val="24"/>
          <w:szCs w:val="24"/>
        </w:rPr>
        <w:t xml:space="preserve">area level </w:t>
      </w:r>
      <w:r w:rsidR="00BA77D1">
        <w:rPr>
          <w:rFonts w:cs="ArialMT"/>
          <w:sz w:val="24"/>
          <w:szCs w:val="24"/>
        </w:rPr>
        <w:t>social deprivation</w:t>
      </w:r>
      <w:r w:rsidR="00F30171">
        <w:rPr>
          <w:rFonts w:cs="ArialMT"/>
          <w:sz w:val="24"/>
          <w:szCs w:val="24"/>
        </w:rPr>
        <w:t>;</w:t>
      </w:r>
      <w:r w:rsidR="00F30171" w:rsidRPr="004C44A3">
        <w:rPr>
          <w:rFonts w:cs="ArialMT"/>
          <w:sz w:val="24"/>
          <w:szCs w:val="24"/>
        </w:rPr>
        <w:t xml:space="preserve"> smoking</w:t>
      </w:r>
      <w:r w:rsidR="00F30171">
        <w:rPr>
          <w:rFonts w:cs="ArialMT"/>
          <w:sz w:val="24"/>
          <w:szCs w:val="24"/>
        </w:rPr>
        <w:t xml:space="preserve"> </w:t>
      </w:r>
      <w:r w:rsidR="00F30171" w:rsidRPr="004C44A3">
        <w:rPr>
          <w:rFonts w:cs="ArialMT"/>
          <w:sz w:val="24"/>
          <w:szCs w:val="24"/>
        </w:rPr>
        <w:t>status</w:t>
      </w:r>
      <w:r w:rsidR="00F30171">
        <w:rPr>
          <w:rFonts w:cs="ArialMT"/>
          <w:sz w:val="24"/>
          <w:szCs w:val="24"/>
        </w:rPr>
        <w:t>;</w:t>
      </w:r>
      <w:r w:rsidR="00F30171" w:rsidRPr="004C44A3">
        <w:rPr>
          <w:rFonts w:cs="ArialMT"/>
          <w:sz w:val="24"/>
          <w:szCs w:val="24"/>
        </w:rPr>
        <w:t xml:space="preserve"> </w:t>
      </w:r>
      <w:r w:rsidR="00F30171">
        <w:rPr>
          <w:rFonts w:cs="ArialMT"/>
          <w:sz w:val="24"/>
          <w:szCs w:val="24"/>
        </w:rPr>
        <w:t>ethnicity;</w:t>
      </w:r>
      <w:r w:rsidR="00F30171" w:rsidRPr="004C44A3">
        <w:rPr>
          <w:rFonts w:cs="ArialMT"/>
          <w:sz w:val="24"/>
          <w:szCs w:val="24"/>
        </w:rPr>
        <w:t xml:space="preserve"> symptom</w:t>
      </w:r>
      <w:r w:rsidR="00F30171">
        <w:rPr>
          <w:rFonts w:cs="ArialMT"/>
          <w:sz w:val="24"/>
          <w:szCs w:val="24"/>
        </w:rPr>
        <w:t xml:space="preserve"> </w:t>
      </w:r>
      <w:r w:rsidR="00F30171" w:rsidRPr="004C44A3">
        <w:rPr>
          <w:rFonts w:cs="ArialMT"/>
          <w:sz w:val="24"/>
          <w:szCs w:val="24"/>
        </w:rPr>
        <w:t>duration</w:t>
      </w:r>
      <w:r w:rsidR="00F30171">
        <w:rPr>
          <w:rFonts w:cs="ArialMT"/>
          <w:sz w:val="24"/>
          <w:szCs w:val="24"/>
        </w:rPr>
        <w:t>;</w:t>
      </w:r>
      <w:r w:rsidR="00F30171" w:rsidRPr="004C44A3">
        <w:rPr>
          <w:rFonts w:cs="ArialMT"/>
          <w:sz w:val="24"/>
          <w:szCs w:val="24"/>
        </w:rPr>
        <w:t xml:space="preserve"> </w:t>
      </w:r>
      <w:r w:rsidR="00F30171">
        <w:rPr>
          <w:rFonts w:cs="ArialMT"/>
          <w:sz w:val="24"/>
          <w:szCs w:val="24"/>
        </w:rPr>
        <w:t>rheumatoid and anti-CCP antibody status</w:t>
      </w:r>
      <w:bookmarkEnd w:id="17"/>
      <w:r w:rsidR="00F30171">
        <w:rPr>
          <w:rFonts w:cs="ArialMT"/>
          <w:sz w:val="24"/>
          <w:szCs w:val="24"/>
        </w:rPr>
        <w:t xml:space="preserve">. </w:t>
      </w:r>
      <w:r>
        <w:rPr>
          <w:rFonts w:cs="ArialMT"/>
          <w:sz w:val="24"/>
          <w:szCs w:val="24"/>
        </w:rPr>
        <w:t>The adjusted model was then repeated</w:t>
      </w:r>
      <w:r w:rsidR="00BA77D1">
        <w:rPr>
          <w:rFonts w:cs="ArialMT"/>
          <w:sz w:val="24"/>
          <w:szCs w:val="24"/>
        </w:rPr>
        <w:t xml:space="preserve"> with </w:t>
      </w:r>
      <w:r w:rsidR="000800CF">
        <w:rPr>
          <w:rFonts w:cs="ArialMT"/>
          <w:sz w:val="24"/>
          <w:szCs w:val="24"/>
        </w:rPr>
        <w:t xml:space="preserve">further adjustment for departmental characteristics selected a priori: </w:t>
      </w:r>
      <w:bookmarkStart w:id="18" w:name="_Hlk15377843"/>
      <w:r w:rsidR="00F30171">
        <w:rPr>
          <w:rFonts w:cs="ArialMT"/>
          <w:sz w:val="24"/>
          <w:szCs w:val="24"/>
        </w:rPr>
        <w:t>specialist nurse</w:t>
      </w:r>
      <w:r w:rsidR="00FC4D9E">
        <w:rPr>
          <w:rFonts w:cs="ArialMT"/>
          <w:sz w:val="24"/>
          <w:szCs w:val="24"/>
        </w:rPr>
        <w:t xml:space="preserve"> and consultant</w:t>
      </w:r>
      <w:r w:rsidR="00F30171">
        <w:rPr>
          <w:rFonts w:cs="ArialMT"/>
          <w:sz w:val="24"/>
          <w:szCs w:val="24"/>
        </w:rPr>
        <w:t xml:space="preserve"> staffing levels per head of catchment population; presence o</w:t>
      </w:r>
      <w:r w:rsidR="002D1E01">
        <w:rPr>
          <w:rFonts w:cs="ArialMT"/>
          <w:sz w:val="24"/>
          <w:szCs w:val="24"/>
        </w:rPr>
        <w:t>r</w:t>
      </w:r>
      <w:r w:rsidR="00F30171">
        <w:rPr>
          <w:rFonts w:cs="ArialMT"/>
          <w:sz w:val="24"/>
          <w:szCs w:val="24"/>
        </w:rPr>
        <w:t xml:space="preserve"> absence of a dedicated </w:t>
      </w:r>
      <w:r w:rsidR="002D1E01">
        <w:rPr>
          <w:rFonts w:cs="ArialMT"/>
          <w:sz w:val="24"/>
          <w:szCs w:val="24"/>
        </w:rPr>
        <w:t>EIA</w:t>
      </w:r>
      <w:r w:rsidR="00F30171">
        <w:rPr>
          <w:rFonts w:cs="ArialMT"/>
          <w:sz w:val="24"/>
          <w:szCs w:val="24"/>
        </w:rPr>
        <w:t xml:space="preserve"> clinic</w:t>
      </w:r>
      <w:r w:rsidR="002D1E01">
        <w:rPr>
          <w:rFonts w:cs="ArialMT"/>
          <w:sz w:val="24"/>
          <w:szCs w:val="24"/>
        </w:rPr>
        <w:t xml:space="preserve">, and departmental proportions of missing </w:t>
      </w:r>
      <w:r w:rsidR="002C6A18">
        <w:rPr>
          <w:rFonts w:cs="ArialMT"/>
          <w:sz w:val="24"/>
          <w:szCs w:val="24"/>
        </w:rPr>
        <w:t>DAS28</w:t>
      </w:r>
      <w:r w:rsidR="002D1E01">
        <w:rPr>
          <w:rFonts w:cs="ArialMT"/>
          <w:sz w:val="24"/>
          <w:szCs w:val="24"/>
        </w:rPr>
        <w:t xml:space="preserve"> data.</w:t>
      </w:r>
      <w:bookmarkEnd w:id="18"/>
      <w:r w:rsidR="002D1E01">
        <w:rPr>
          <w:rFonts w:cs="ArialMT"/>
          <w:sz w:val="24"/>
          <w:szCs w:val="24"/>
        </w:rPr>
        <w:t xml:space="preserve"> </w:t>
      </w:r>
      <w:r w:rsidR="00323643">
        <w:rPr>
          <w:rFonts w:cs="ArialMT"/>
          <w:sz w:val="24"/>
          <w:szCs w:val="24"/>
        </w:rPr>
        <w:t xml:space="preserve">Model fit was assessed by comparing area under the curve values (AUC) for observed and predicted performance data. </w:t>
      </w:r>
    </w:p>
    <w:p w14:paraId="77DD35C6" w14:textId="77AA3287" w:rsidR="00D12088" w:rsidRPr="00B536AF" w:rsidRDefault="00F21FBD" w:rsidP="002830C8">
      <w:pPr>
        <w:spacing w:line="480" w:lineRule="auto"/>
        <w:jc w:val="both"/>
        <w:rPr>
          <w:rFonts w:cs="ArialMT"/>
          <w:sz w:val="24"/>
          <w:szCs w:val="24"/>
        </w:rPr>
      </w:pPr>
      <w:r>
        <w:rPr>
          <w:rFonts w:cs="ArialMT"/>
          <w:sz w:val="24"/>
          <w:szCs w:val="24"/>
        </w:rPr>
        <w:t xml:space="preserve">As analyses were exploratory in nature no correction for multiple hypothesis testing was performed. </w:t>
      </w:r>
      <w:r w:rsidR="00D80A29">
        <w:rPr>
          <w:rFonts w:cs="ArialMT"/>
          <w:sz w:val="24"/>
          <w:szCs w:val="24"/>
        </w:rPr>
        <w:t xml:space="preserve">All analyses were conducted using Stata </w:t>
      </w:r>
      <w:r w:rsidR="002E060F">
        <w:rPr>
          <w:rFonts w:cs="ArialMT"/>
          <w:sz w:val="24"/>
          <w:szCs w:val="24"/>
        </w:rPr>
        <w:t>15 statistical</w:t>
      </w:r>
      <w:r w:rsidR="00D80A29">
        <w:rPr>
          <w:rFonts w:cs="ArialMT"/>
          <w:sz w:val="24"/>
          <w:szCs w:val="24"/>
        </w:rPr>
        <w:t xml:space="preserve"> software package. </w:t>
      </w:r>
    </w:p>
    <w:p w14:paraId="160973B1" w14:textId="717C8744" w:rsidR="00D80A29" w:rsidRDefault="00B10E93" w:rsidP="002830C8">
      <w:pPr>
        <w:pStyle w:val="Heading1"/>
        <w:spacing w:line="480" w:lineRule="auto"/>
      </w:pPr>
      <w:r>
        <w:t>RESULTS</w:t>
      </w:r>
    </w:p>
    <w:p w14:paraId="526B9003" w14:textId="77777777" w:rsidR="00705614" w:rsidRPr="00705614" w:rsidRDefault="00286AE4" w:rsidP="00705614">
      <w:pPr>
        <w:spacing w:line="480" w:lineRule="auto"/>
        <w:jc w:val="both"/>
        <w:rPr>
          <w:color w:val="000000" w:themeColor="text1"/>
          <w:sz w:val="24"/>
          <w:szCs w:val="24"/>
        </w:rPr>
      </w:pPr>
      <w:r>
        <w:rPr>
          <w:rFonts w:cs="ArialMT"/>
          <w:sz w:val="24"/>
          <w:szCs w:val="24"/>
        </w:rPr>
        <w:t>A total</w:t>
      </w:r>
      <w:r w:rsidR="00DF415A">
        <w:rPr>
          <w:rFonts w:cs="ArialMT"/>
          <w:sz w:val="24"/>
          <w:szCs w:val="24"/>
        </w:rPr>
        <w:t xml:space="preserve"> </w:t>
      </w:r>
      <w:r>
        <w:rPr>
          <w:rFonts w:cs="ArialMT"/>
          <w:sz w:val="24"/>
          <w:szCs w:val="24"/>
        </w:rPr>
        <w:t>of 6,205</w:t>
      </w:r>
      <w:r w:rsidR="00DF415A">
        <w:rPr>
          <w:rFonts w:cs="ArialMT"/>
          <w:sz w:val="24"/>
          <w:szCs w:val="24"/>
        </w:rPr>
        <w:t xml:space="preserve"> patients with a diagnosis of RA</w:t>
      </w:r>
      <w:r>
        <w:rPr>
          <w:rFonts w:cs="ArialMT"/>
          <w:sz w:val="24"/>
          <w:szCs w:val="24"/>
        </w:rPr>
        <w:t xml:space="preserve"> and complete</w:t>
      </w:r>
      <w:r w:rsidR="0086388C">
        <w:rPr>
          <w:rFonts w:cs="ArialMT"/>
          <w:sz w:val="24"/>
          <w:szCs w:val="24"/>
        </w:rPr>
        <w:t xml:space="preserve"> </w:t>
      </w:r>
      <w:r w:rsidR="000800CF">
        <w:rPr>
          <w:rFonts w:cs="ArialMT"/>
          <w:sz w:val="24"/>
          <w:szCs w:val="24"/>
        </w:rPr>
        <w:t>treatment time</w:t>
      </w:r>
      <w:r>
        <w:rPr>
          <w:rFonts w:cs="ArialMT"/>
          <w:sz w:val="24"/>
          <w:szCs w:val="24"/>
        </w:rPr>
        <w:t xml:space="preserve"> data</w:t>
      </w:r>
      <w:r w:rsidR="0086388C">
        <w:rPr>
          <w:rFonts w:cs="ArialMT"/>
          <w:sz w:val="24"/>
          <w:szCs w:val="24"/>
        </w:rPr>
        <w:t xml:space="preserve"> </w:t>
      </w:r>
      <w:r>
        <w:rPr>
          <w:rFonts w:cs="ArialMT"/>
          <w:sz w:val="24"/>
          <w:szCs w:val="24"/>
        </w:rPr>
        <w:t xml:space="preserve">were recruited from 136 </w:t>
      </w:r>
      <w:r w:rsidR="003613C9">
        <w:rPr>
          <w:rFonts w:cs="ArialMT"/>
          <w:sz w:val="24"/>
          <w:szCs w:val="24"/>
        </w:rPr>
        <w:t>departments</w:t>
      </w:r>
      <w:r w:rsidR="00DF415A">
        <w:rPr>
          <w:rFonts w:cs="ArialMT"/>
          <w:sz w:val="24"/>
          <w:szCs w:val="24"/>
        </w:rPr>
        <w:t xml:space="preserve"> across England and Wales. </w:t>
      </w:r>
      <w:r w:rsidR="00B10E93">
        <w:rPr>
          <w:rFonts w:cs="ArialMT"/>
          <w:sz w:val="24"/>
          <w:szCs w:val="24"/>
        </w:rPr>
        <w:fldChar w:fldCharType="begin"/>
      </w:r>
      <w:r w:rsidR="00B10E93">
        <w:rPr>
          <w:rFonts w:cs="ArialMT"/>
          <w:sz w:val="24"/>
          <w:szCs w:val="24"/>
        </w:rPr>
        <w:instrText xml:space="preserve"> REF _Ref22553362 \h </w:instrText>
      </w:r>
      <w:r w:rsidR="002830C8">
        <w:rPr>
          <w:rFonts w:cs="ArialMT"/>
          <w:sz w:val="24"/>
          <w:szCs w:val="24"/>
        </w:rPr>
        <w:instrText xml:space="preserve"> \* MERGEFORMAT </w:instrText>
      </w:r>
      <w:r w:rsidR="00B10E93">
        <w:rPr>
          <w:rFonts w:cs="ArialMT"/>
          <w:sz w:val="24"/>
          <w:szCs w:val="24"/>
        </w:rPr>
      </w:r>
      <w:r w:rsidR="00B10E93">
        <w:rPr>
          <w:rFonts w:cs="ArialMT"/>
          <w:sz w:val="24"/>
          <w:szCs w:val="24"/>
        </w:rPr>
        <w:fldChar w:fldCharType="separate"/>
      </w:r>
      <w:r w:rsidR="00705614" w:rsidRPr="00B10E93">
        <w:rPr>
          <w:color w:val="000000" w:themeColor="text1"/>
          <w:sz w:val="24"/>
          <w:szCs w:val="24"/>
        </w:rPr>
        <w:t xml:space="preserve">Table </w:t>
      </w:r>
      <w:r w:rsidR="00705614">
        <w:rPr>
          <w:noProof/>
          <w:color w:val="000000" w:themeColor="text1"/>
          <w:sz w:val="24"/>
          <w:szCs w:val="24"/>
        </w:rPr>
        <w:t>1</w:t>
      </w:r>
      <w:r w:rsidR="00B10E93">
        <w:rPr>
          <w:rFonts w:cs="ArialMT"/>
          <w:sz w:val="24"/>
          <w:szCs w:val="24"/>
        </w:rPr>
        <w:fldChar w:fldCharType="end"/>
      </w:r>
      <w:r w:rsidR="00DF415A">
        <w:rPr>
          <w:rFonts w:cs="ArialMT"/>
          <w:sz w:val="24"/>
          <w:szCs w:val="24"/>
        </w:rPr>
        <w:t xml:space="preserve"> details baseline and demographic characteristics, </w:t>
      </w:r>
      <w:r w:rsidR="001B2648">
        <w:rPr>
          <w:rFonts w:cs="ArialMT"/>
          <w:sz w:val="24"/>
          <w:szCs w:val="24"/>
        </w:rPr>
        <w:t>process measures, clinical outcome measures</w:t>
      </w:r>
      <w:r w:rsidR="003613C9">
        <w:rPr>
          <w:rFonts w:cs="ArialMT"/>
          <w:sz w:val="24"/>
          <w:szCs w:val="24"/>
        </w:rPr>
        <w:t xml:space="preserve">, </w:t>
      </w:r>
      <w:r w:rsidR="00DF415A">
        <w:rPr>
          <w:rFonts w:cs="ArialMT"/>
          <w:sz w:val="24"/>
          <w:szCs w:val="24"/>
        </w:rPr>
        <w:t>and proportions of missing data.</w:t>
      </w:r>
      <w:r w:rsidR="003613C9">
        <w:rPr>
          <w:rFonts w:cs="ArialMT"/>
          <w:sz w:val="24"/>
          <w:szCs w:val="24"/>
        </w:rPr>
        <w:t xml:space="preserve"> </w:t>
      </w:r>
      <w:r w:rsidR="00036C07" w:rsidRPr="0070630A">
        <w:rPr>
          <w:rFonts w:cs="ArialMT"/>
          <w:sz w:val="24"/>
          <w:szCs w:val="24"/>
        </w:rPr>
        <w:t xml:space="preserve">There were substantial proportions of </w:t>
      </w:r>
      <w:r w:rsidR="0070630A" w:rsidRPr="0070630A">
        <w:rPr>
          <w:rFonts w:cs="ArialMT"/>
          <w:sz w:val="24"/>
          <w:szCs w:val="24"/>
        </w:rPr>
        <w:t>incomplete</w:t>
      </w:r>
      <w:r w:rsidR="00036C07" w:rsidRPr="0070630A">
        <w:rPr>
          <w:rFonts w:cs="ArialMT"/>
          <w:sz w:val="24"/>
          <w:szCs w:val="24"/>
        </w:rPr>
        <w:t xml:space="preserve"> </w:t>
      </w:r>
      <w:r w:rsidR="002C6A18">
        <w:rPr>
          <w:rFonts w:cs="ArialMT"/>
          <w:sz w:val="24"/>
          <w:szCs w:val="24"/>
        </w:rPr>
        <w:t>DAS28</w:t>
      </w:r>
      <w:r w:rsidR="00036C07" w:rsidRPr="0070630A">
        <w:rPr>
          <w:rFonts w:cs="ArialMT"/>
          <w:sz w:val="24"/>
          <w:szCs w:val="24"/>
        </w:rPr>
        <w:t xml:space="preserve"> data</w:t>
      </w:r>
      <w:r w:rsidR="0070630A" w:rsidRPr="0070630A">
        <w:rPr>
          <w:rFonts w:cs="ArialMT"/>
          <w:sz w:val="24"/>
          <w:szCs w:val="24"/>
        </w:rPr>
        <w:t xml:space="preserve"> at baseline with 2,130/6205 (34.3%) missing data</w:t>
      </w:r>
      <w:r w:rsidR="00036C07" w:rsidRPr="0070630A">
        <w:rPr>
          <w:rFonts w:cs="ArialMT"/>
          <w:sz w:val="24"/>
          <w:szCs w:val="24"/>
        </w:rPr>
        <w:t xml:space="preserve">. </w:t>
      </w:r>
      <w:r w:rsidR="00B10E93">
        <w:rPr>
          <w:rFonts w:cs="ArialMT"/>
          <w:sz w:val="24"/>
          <w:szCs w:val="24"/>
        </w:rPr>
        <w:fldChar w:fldCharType="begin"/>
      </w:r>
      <w:r w:rsidR="00B10E93">
        <w:rPr>
          <w:rFonts w:cs="ArialMT"/>
          <w:sz w:val="24"/>
          <w:szCs w:val="24"/>
        </w:rPr>
        <w:instrText xml:space="preserve"> REF _Ref22553579 \h </w:instrText>
      </w:r>
      <w:r w:rsidR="002830C8">
        <w:rPr>
          <w:rFonts w:cs="ArialMT"/>
          <w:sz w:val="24"/>
          <w:szCs w:val="24"/>
        </w:rPr>
        <w:instrText xml:space="preserve"> \* MERGEFORMAT </w:instrText>
      </w:r>
      <w:r w:rsidR="00B10E93">
        <w:rPr>
          <w:rFonts w:cs="ArialMT"/>
          <w:sz w:val="24"/>
          <w:szCs w:val="24"/>
        </w:rPr>
      </w:r>
      <w:r w:rsidR="00B10E93">
        <w:rPr>
          <w:rFonts w:cs="ArialMT"/>
          <w:sz w:val="24"/>
          <w:szCs w:val="24"/>
        </w:rPr>
        <w:fldChar w:fldCharType="separate"/>
      </w:r>
    </w:p>
    <w:p w14:paraId="0380B596" w14:textId="77777777" w:rsidR="00705614" w:rsidRPr="00705614" w:rsidRDefault="00705614" w:rsidP="00705614">
      <w:pPr>
        <w:spacing w:line="480" w:lineRule="auto"/>
        <w:jc w:val="both"/>
        <w:rPr>
          <w:color w:val="000000" w:themeColor="text1"/>
          <w:sz w:val="24"/>
          <w:szCs w:val="24"/>
        </w:rPr>
      </w:pPr>
    </w:p>
    <w:p w14:paraId="7BC2DD95" w14:textId="77777777" w:rsidR="00705614" w:rsidRPr="00705614" w:rsidRDefault="00705614" w:rsidP="00705614">
      <w:pPr>
        <w:spacing w:line="480" w:lineRule="auto"/>
        <w:jc w:val="both"/>
        <w:rPr>
          <w:noProof/>
          <w:color w:val="000000" w:themeColor="text1"/>
          <w:sz w:val="24"/>
          <w:szCs w:val="24"/>
        </w:rPr>
      </w:pPr>
    </w:p>
    <w:p w14:paraId="7DBB8FC4" w14:textId="77777777" w:rsidR="00705614" w:rsidRDefault="00705614" w:rsidP="0039204A">
      <w:pPr>
        <w:spacing w:line="480" w:lineRule="auto"/>
        <w:rPr>
          <w:i/>
          <w:sz w:val="18"/>
          <w:szCs w:val="18"/>
        </w:rPr>
      </w:pPr>
    </w:p>
    <w:p w14:paraId="1F874F1C" w14:textId="77777777" w:rsidR="00705614" w:rsidRDefault="00705614" w:rsidP="0039204A">
      <w:pPr>
        <w:spacing w:line="480" w:lineRule="auto"/>
        <w:rPr>
          <w:i/>
          <w:sz w:val="18"/>
          <w:szCs w:val="18"/>
        </w:rPr>
      </w:pPr>
    </w:p>
    <w:p w14:paraId="24F2B738" w14:textId="77777777" w:rsidR="00705614" w:rsidRDefault="00705614" w:rsidP="0039204A">
      <w:pPr>
        <w:spacing w:line="480" w:lineRule="auto"/>
        <w:rPr>
          <w:i/>
          <w:sz w:val="18"/>
          <w:szCs w:val="18"/>
        </w:rPr>
      </w:pPr>
    </w:p>
    <w:p w14:paraId="0E6BB537" w14:textId="77777777" w:rsidR="00705614" w:rsidRPr="0039204A" w:rsidRDefault="00705614" w:rsidP="0039204A">
      <w:pPr>
        <w:rPr>
          <w:i/>
          <w:sz w:val="18"/>
          <w:szCs w:val="18"/>
        </w:rPr>
      </w:pPr>
    </w:p>
    <w:p w14:paraId="1B3DC082" w14:textId="709DB992" w:rsidR="00C86868" w:rsidRDefault="00705614" w:rsidP="0039204A">
      <w:pPr>
        <w:spacing w:line="480" w:lineRule="auto"/>
        <w:jc w:val="both"/>
        <w:rPr>
          <w:rFonts w:cs="ArialMT"/>
          <w:sz w:val="24"/>
          <w:szCs w:val="24"/>
        </w:rPr>
      </w:pPr>
      <w:r w:rsidRPr="00B10E93">
        <w:rPr>
          <w:color w:val="000000" w:themeColor="text1"/>
          <w:sz w:val="24"/>
          <w:szCs w:val="24"/>
        </w:rPr>
        <w:t xml:space="preserve">Table </w:t>
      </w:r>
      <w:r>
        <w:rPr>
          <w:noProof/>
          <w:color w:val="000000" w:themeColor="text1"/>
          <w:sz w:val="24"/>
          <w:szCs w:val="24"/>
        </w:rPr>
        <w:t>2</w:t>
      </w:r>
      <w:r w:rsidR="00B10E93">
        <w:rPr>
          <w:rFonts w:cs="ArialMT"/>
          <w:sz w:val="24"/>
          <w:szCs w:val="24"/>
        </w:rPr>
        <w:fldChar w:fldCharType="end"/>
      </w:r>
      <w:r w:rsidR="00036C07" w:rsidRPr="0070630A">
        <w:rPr>
          <w:rFonts w:cs="ArialMT"/>
          <w:sz w:val="24"/>
          <w:szCs w:val="24"/>
        </w:rPr>
        <w:t xml:space="preserve"> provides further detail on the missing components of</w:t>
      </w:r>
      <w:r w:rsidR="0070630A">
        <w:rPr>
          <w:rFonts w:cs="ArialMT"/>
          <w:sz w:val="24"/>
          <w:szCs w:val="24"/>
        </w:rPr>
        <w:t xml:space="preserve"> baseline</w:t>
      </w:r>
      <w:r w:rsidR="00036C07" w:rsidRPr="0070630A">
        <w:rPr>
          <w:rFonts w:cs="ArialMT"/>
          <w:sz w:val="24"/>
          <w:szCs w:val="24"/>
        </w:rPr>
        <w:t xml:space="preserve"> </w:t>
      </w:r>
      <w:r w:rsidR="002C6A18">
        <w:rPr>
          <w:rFonts w:cs="ArialMT"/>
          <w:sz w:val="24"/>
          <w:szCs w:val="24"/>
        </w:rPr>
        <w:t>DAS28</w:t>
      </w:r>
      <w:r w:rsidR="00036C07" w:rsidRPr="0070630A">
        <w:rPr>
          <w:rFonts w:cs="ArialMT"/>
          <w:sz w:val="24"/>
          <w:szCs w:val="24"/>
        </w:rPr>
        <w:t>.</w:t>
      </w:r>
      <w:r w:rsidR="00036C07">
        <w:rPr>
          <w:rFonts w:cs="ArialMT"/>
          <w:sz w:val="24"/>
          <w:szCs w:val="24"/>
        </w:rPr>
        <w:t xml:space="preserve"> </w:t>
      </w:r>
    </w:p>
    <w:p w14:paraId="0CCAB255" w14:textId="0CB0A4EA" w:rsidR="0039204A" w:rsidRDefault="0039204A" w:rsidP="0039204A">
      <w:pPr>
        <w:spacing w:line="480" w:lineRule="auto"/>
        <w:jc w:val="both"/>
        <w:rPr>
          <w:rFonts w:cs="ArialMT"/>
          <w:sz w:val="24"/>
          <w:szCs w:val="24"/>
        </w:rPr>
      </w:pPr>
    </w:p>
    <w:p w14:paraId="6FB35DBA" w14:textId="7100E041" w:rsidR="0039204A" w:rsidRDefault="0039204A" w:rsidP="0039204A">
      <w:pPr>
        <w:spacing w:line="480" w:lineRule="auto"/>
        <w:jc w:val="both"/>
        <w:rPr>
          <w:rFonts w:cs="ArialMT"/>
          <w:sz w:val="24"/>
          <w:szCs w:val="24"/>
        </w:rPr>
      </w:pPr>
    </w:p>
    <w:p w14:paraId="49A81293" w14:textId="552ACB6D" w:rsidR="0039204A" w:rsidRDefault="0039204A" w:rsidP="0039204A">
      <w:pPr>
        <w:spacing w:line="480" w:lineRule="auto"/>
        <w:jc w:val="both"/>
        <w:rPr>
          <w:rFonts w:cs="ArialMT"/>
          <w:sz w:val="24"/>
          <w:szCs w:val="24"/>
        </w:rPr>
      </w:pPr>
    </w:p>
    <w:p w14:paraId="65CB0045" w14:textId="4729BC9E" w:rsidR="0039204A" w:rsidRDefault="0039204A" w:rsidP="0039204A">
      <w:pPr>
        <w:spacing w:line="480" w:lineRule="auto"/>
        <w:jc w:val="both"/>
        <w:rPr>
          <w:rFonts w:cs="ArialMT"/>
          <w:sz w:val="24"/>
          <w:szCs w:val="24"/>
        </w:rPr>
      </w:pPr>
    </w:p>
    <w:p w14:paraId="00817899" w14:textId="77777777" w:rsidR="0039204A" w:rsidRPr="00C86868" w:rsidRDefault="0039204A" w:rsidP="0039204A">
      <w:pPr>
        <w:spacing w:line="480" w:lineRule="auto"/>
        <w:jc w:val="both"/>
        <w:rPr>
          <w:rFonts w:cs="ArialMT"/>
          <w:sz w:val="24"/>
          <w:szCs w:val="24"/>
        </w:rPr>
      </w:pPr>
    </w:p>
    <w:p w14:paraId="4007D17E" w14:textId="3863B45D" w:rsidR="00B10E93" w:rsidRPr="00B10E93" w:rsidRDefault="00B10E93" w:rsidP="0039204A">
      <w:pPr>
        <w:pStyle w:val="Caption"/>
        <w:keepNext/>
        <w:jc w:val="both"/>
        <w:rPr>
          <w:color w:val="000000" w:themeColor="text1"/>
          <w:sz w:val="24"/>
          <w:szCs w:val="24"/>
        </w:rPr>
      </w:pPr>
      <w:bookmarkStart w:id="19" w:name="_Ref22553362"/>
      <w:r w:rsidRPr="00B10E93">
        <w:rPr>
          <w:color w:val="000000" w:themeColor="text1"/>
          <w:sz w:val="24"/>
          <w:szCs w:val="24"/>
        </w:rPr>
        <w:t xml:space="preserve">Table </w:t>
      </w:r>
      <w:r w:rsidRPr="00B10E93">
        <w:rPr>
          <w:color w:val="000000" w:themeColor="text1"/>
          <w:sz w:val="24"/>
          <w:szCs w:val="24"/>
        </w:rPr>
        <w:fldChar w:fldCharType="begin"/>
      </w:r>
      <w:r w:rsidRPr="00B10E93">
        <w:rPr>
          <w:color w:val="000000" w:themeColor="text1"/>
          <w:sz w:val="24"/>
          <w:szCs w:val="24"/>
        </w:rPr>
        <w:instrText xml:space="preserve"> SEQ Table \* ARABIC </w:instrText>
      </w:r>
      <w:r w:rsidRPr="00B10E93">
        <w:rPr>
          <w:color w:val="000000" w:themeColor="text1"/>
          <w:sz w:val="24"/>
          <w:szCs w:val="24"/>
        </w:rPr>
        <w:fldChar w:fldCharType="separate"/>
      </w:r>
      <w:r w:rsidR="00705614">
        <w:rPr>
          <w:noProof/>
          <w:color w:val="000000" w:themeColor="text1"/>
          <w:sz w:val="24"/>
          <w:szCs w:val="24"/>
        </w:rPr>
        <w:t>1</w:t>
      </w:r>
      <w:r w:rsidRPr="00B10E93">
        <w:rPr>
          <w:color w:val="000000" w:themeColor="text1"/>
          <w:sz w:val="24"/>
          <w:szCs w:val="24"/>
        </w:rPr>
        <w:fldChar w:fldCharType="end"/>
      </w:r>
      <w:bookmarkEnd w:id="19"/>
      <w:r w:rsidRPr="00B10E93">
        <w:rPr>
          <w:color w:val="000000" w:themeColor="text1"/>
          <w:sz w:val="24"/>
          <w:szCs w:val="24"/>
        </w:rPr>
        <w:t>. Baseline characteristics, and quality of care received, including levels of missing data.</w:t>
      </w:r>
    </w:p>
    <w:tbl>
      <w:tblPr>
        <w:tblStyle w:val="TableGrid"/>
        <w:tblW w:w="9472" w:type="dxa"/>
        <w:tblLook w:val="04A0" w:firstRow="1" w:lastRow="0" w:firstColumn="1" w:lastColumn="0" w:noHBand="0" w:noVBand="1"/>
      </w:tblPr>
      <w:tblGrid>
        <w:gridCol w:w="3258"/>
        <w:gridCol w:w="2903"/>
        <w:gridCol w:w="9"/>
        <w:gridCol w:w="3293"/>
        <w:gridCol w:w="9"/>
      </w:tblGrid>
      <w:tr w:rsidR="00B10E93" w14:paraId="594AA4C5" w14:textId="77777777" w:rsidTr="0039204A">
        <w:trPr>
          <w:trHeight w:val="567"/>
        </w:trPr>
        <w:tc>
          <w:tcPr>
            <w:tcW w:w="6170" w:type="dxa"/>
            <w:gridSpan w:val="3"/>
          </w:tcPr>
          <w:p w14:paraId="412851CF" w14:textId="77777777" w:rsidR="00B10E93" w:rsidRPr="0039204A" w:rsidRDefault="00B10E93" w:rsidP="00E157B1">
            <w:pPr>
              <w:jc w:val="center"/>
              <w:rPr>
                <w:b/>
                <w:bCs/>
              </w:rPr>
            </w:pPr>
            <w:r w:rsidRPr="0039204A">
              <w:rPr>
                <w:b/>
                <w:bCs/>
              </w:rPr>
              <w:t>N = 6205</w:t>
            </w:r>
          </w:p>
        </w:tc>
        <w:tc>
          <w:tcPr>
            <w:tcW w:w="3302" w:type="dxa"/>
            <w:gridSpan w:val="2"/>
          </w:tcPr>
          <w:p w14:paraId="42D750FC" w14:textId="77777777" w:rsidR="00B10E93" w:rsidRPr="0039204A" w:rsidRDefault="00B10E93" w:rsidP="00E157B1">
            <w:pPr>
              <w:jc w:val="center"/>
              <w:rPr>
                <w:b/>
                <w:bCs/>
              </w:rPr>
            </w:pPr>
            <w:r w:rsidRPr="0039204A">
              <w:rPr>
                <w:b/>
                <w:bCs/>
              </w:rPr>
              <w:t>Number Missing (%)</w:t>
            </w:r>
          </w:p>
        </w:tc>
      </w:tr>
      <w:tr w:rsidR="00B10E93" w14:paraId="3DADF217" w14:textId="77777777" w:rsidTr="0039204A">
        <w:trPr>
          <w:gridAfter w:val="1"/>
          <w:wAfter w:w="9" w:type="dxa"/>
          <w:trHeight w:val="567"/>
        </w:trPr>
        <w:tc>
          <w:tcPr>
            <w:tcW w:w="3258" w:type="dxa"/>
          </w:tcPr>
          <w:p w14:paraId="1F9FEF83" w14:textId="77777777" w:rsidR="00B10E93" w:rsidRPr="0039204A" w:rsidRDefault="00B10E93" w:rsidP="00E157B1">
            <w:pPr>
              <w:rPr>
                <w:b/>
                <w:bCs/>
              </w:rPr>
            </w:pPr>
            <w:r w:rsidRPr="0039204A">
              <w:rPr>
                <w:b/>
                <w:bCs/>
              </w:rPr>
              <w:t>Age, mean (SD)</w:t>
            </w:r>
          </w:p>
        </w:tc>
        <w:tc>
          <w:tcPr>
            <w:tcW w:w="2903" w:type="dxa"/>
          </w:tcPr>
          <w:p w14:paraId="55B4352D" w14:textId="77777777" w:rsidR="00B10E93" w:rsidRDefault="00B10E93" w:rsidP="00E157B1">
            <w:pPr>
              <w:jc w:val="center"/>
            </w:pPr>
            <w:r>
              <w:t>58.2 (15.2)</w:t>
            </w:r>
          </w:p>
        </w:tc>
        <w:tc>
          <w:tcPr>
            <w:tcW w:w="3302" w:type="dxa"/>
            <w:gridSpan w:val="2"/>
          </w:tcPr>
          <w:p w14:paraId="7D68EF36" w14:textId="77777777" w:rsidR="00B10E93" w:rsidRDefault="00B10E93" w:rsidP="00E157B1">
            <w:pPr>
              <w:jc w:val="center"/>
            </w:pPr>
            <w:r w:rsidRPr="009569C8">
              <w:rPr>
                <w:rFonts w:eastAsia="Times New Roman" w:cs="Times New Roman"/>
                <w:color w:val="000000"/>
                <w:lang w:eastAsia="en-GB"/>
              </w:rPr>
              <w:t>3</w:t>
            </w:r>
            <w:r>
              <w:rPr>
                <w:rFonts w:eastAsia="Times New Roman" w:cs="Times New Roman"/>
                <w:color w:val="000000"/>
                <w:lang w:eastAsia="en-GB"/>
              </w:rPr>
              <w:t>7</w:t>
            </w:r>
            <w:r w:rsidRPr="009569C8">
              <w:rPr>
                <w:rFonts w:eastAsia="Times New Roman" w:cs="Times New Roman"/>
                <w:color w:val="000000"/>
                <w:lang w:eastAsia="en-GB"/>
              </w:rPr>
              <w:t xml:space="preserve"> (0.5)</w:t>
            </w:r>
          </w:p>
        </w:tc>
      </w:tr>
      <w:tr w:rsidR="00B10E93" w14:paraId="6AFD1CEF" w14:textId="77777777" w:rsidTr="0039204A">
        <w:trPr>
          <w:gridAfter w:val="1"/>
          <w:wAfter w:w="9" w:type="dxa"/>
          <w:trHeight w:val="567"/>
        </w:trPr>
        <w:tc>
          <w:tcPr>
            <w:tcW w:w="3258" w:type="dxa"/>
          </w:tcPr>
          <w:p w14:paraId="552D1F6A" w14:textId="77777777" w:rsidR="00B10E93" w:rsidRPr="0039204A" w:rsidRDefault="00B10E93" w:rsidP="00E157B1">
            <w:pPr>
              <w:rPr>
                <w:b/>
                <w:bCs/>
              </w:rPr>
            </w:pPr>
            <w:r w:rsidRPr="0039204A">
              <w:rPr>
                <w:b/>
                <w:bCs/>
              </w:rPr>
              <w:t>Female, %</w:t>
            </w:r>
          </w:p>
        </w:tc>
        <w:tc>
          <w:tcPr>
            <w:tcW w:w="2903" w:type="dxa"/>
          </w:tcPr>
          <w:p w14:paraId="3F1B1527" w14:textId="77777777" w:rsidR="00B10E93" w:rsidRDefault="00B10E93" w:rsidP="00E157B1">
            <w:pPr>
              <w:jc w:val="center"/>
            </w:pPr>
            <w:r>
              <w:t>63.7</w:t>
            </w:r>
          </w:p>
        </w:tc>
        <w:tc>
          <w:tcPr>
            <w:tcW w:w="3302" w:type="dxa"/>
            <w:gridSpan w:val="2"/>
          </w:tcPr>
          <w:p w14:paraId="0D074560" w14:textId="77777777" w:rsidR="00B10E93" w:rsidRDefault="00B10E93" w:rsidP="00E157B1">
            <w:pPr>
              <w:jc w:val="center"/>
            </w:pPr>
            <w:r w:rsidRPr="009569C8">
              <w:rPr>
                <w:rFonts w:eastAsia="Times New Roman" w:cs="Times New Roman"/>
                <w:color w:val="000000"/>
                <w:lang w:eastAsia="en-GB"/>
              </w:rPr>
              <w:t>3</w:t>
            </w:r>
            <w:r>
              <w:rPr>
                <w:rFonts w:eastAsia="Times New Roman" w:cs="Times New Roman"/>
                <w:color w:val="000000"/>
                <w:lang w:eastAsia="en-GB"/>
              </w:rPr>
              <w:t>7</w:t>
            </w:r>
            <w:r w:rsidRPr="009569C8">
              <w:rPr>
                <w:rFonts w:eastAsia="Times New Roman" w:cs="Times New Roman"/>
                <w:color w:val="000000"/>
                <w:lang w:eastAsia="en-GB"/>
              </w:rPr>
              <w:t xml:space="preserve"> (0.5)</w:t>
            </w:r>
          </w:p>
        </w:tc>
      </w:tr>
      <w:tr w:rsidR="00B10E93" w14:paraId="31081EED" w14:textId="77777777" w:rsidTr="0039204A">
        <w:trPr>
          <w:gridAfter w:val="1"/>
          <w:wAfter w:w="9" w:type="dxa"/>
          <w:trHeight w:val="567"/>
        </w:trPr>
        <w:tc>
          <w:tcPr>
            <w:tcW w:w="3258" w:type="dxa"/>
          </w:tcPr>
          <w:p w14:paraId="0B4BEB59" w14:textId="77777777" w:rsidR="00B10E93" w:rsidRPr="0039204A" w:rsidRDefault="00B10E93" w:rsidP="00E157B1">
            <w:pPr>
              <w:rPr>
                <w:b/>
                <w:bCs/>
              </w:rPr>
            </w:pPr>
            <w:r w:rsidRPr="0039204A">
              <w:rPr>
                <w:b/>
                <w:bCs/>
              </w:rPr>
              <w:t>IMD rank, median (Q1, Q3)</w:t>
            </w:r>
          </w:p>
        </w:tc>
        <w:tc>
          <w:tcPr>
            <w:tcW w:w="2903" w:type="dxa"/>
          </w:tcPr>
          <w:p w14:paraId="7A9065CF" w14:textId="77777777" w:rsidR="00B10E93" w:rsidRDefault="00B10E93" w:rsidP="00E157B1">
            <w:pPr>
              <w:jc w:val="center"/>
            </w:pPr>
            <w:r>
              <w:t>639 (300 to 1021)</w:t>
            </w:r>
          </w:p>
        </w:tc>
        <w:tc>
          <w:tcPr>
            <w:tcW w:w="3302" w:type="dxa"/>
            <w:gridSpan w:val="2"/>
          </w:tcPr>
          <w:p w14:paraId="109EA40C" w14:textId="77777777" w:rsidR="00B10E93" w:rsidRDefault="00B10E93" w:rsidP="00E157B1">
            <w:pPr>
              <w:jc w:val="center"/>
            </w:pPr>
            <w:r>
              <w:rPr>
                <w:rFonts w:eastAsia="Times New Roman" w:cs="Times New Roman"/>
                <w:color w:val="000000"/>
                <w:lang w:eastAsia="en-GB"/>
              </w:rPr>
              <w:t>683</w:t>
            </w:r>
            <w:r w:rsidRPr="009569C8">
              <w:rPr>
                <w:rFonts w:eastAsia="Times New Roman" w:cs="Times New Roman"/>
                <w:color w:val="000000"/>
                <w:lang w:eastAsia="en-GB"/>
              </w:rPr>
              <w:t xml:space="preserve"> (11.</w:t>
            </w:r>
            <w:r>
              <w:rPr>
                <w:rFonts w:eastAsia="Times New Roman" w:cs="Times New Roman"/>
                <w:color w:val="000000"/>
                <w:lang w:eastAsia="en-GB"/>
              </w:rPr>
              <w:t>0</w:t>
            </w:r>
            <w:r w:rsidRPr="009569C8">
              <w:rPr>
                <w:rFonts w:eastAsia="Times New Roman" w:cs="Times New Roman"/>
                <w:color w:val="000000"/>
                <w:lang w:eastAsia="en-GB"/>
              </w:rPr>
              <w:t>)</w:t>
            </w:r>
          </w:p>
        </w:tc>
      </w:tr>
      <w:tr w:rsidR="00B10E93" w14:paraId="32A41D05" w14:textId="77777777" w:rsidTr="0039204A">
        <w:trPr>
          <w:gridAfter w:val="1"/>
          <w:wAfter w:w="9" w:type="dxa"/>
          <w:trHeight w:val="567"/>
        </w:trPr>
        <w:tc>
          <w:tcPr>
            <w:tcW w:w="3258" w:type="dxa"/>
          </w:tcPr>
          <w:p w14:paraId="1F973747" w14:textId="77777777" w:rsidR="00B10E93" w:rsidRPr="0039204A" w:rsidRDefault="00B10E93" w:rsidP="00E157B1">
            <w:pPr>
              <w:rPr>
                <w:b/>
                <w:bCs/>
              </w:rPr>
            </w:pPr>
            <w:r w:rsidRPr="0039204A">
              <w:rPr>
                <w:b/>
                <w:bCs/>
              </w:rPr>
              <w:t>White European, %</w:t>
            </w:r>
          </w:p>
        </w:tc>
        <w:tc>
          <w:tcPr>
            <w:tcW w:w="2903" w:type="dxa"/>
          </w:tcPr>
          <w:p w14:paraId="073055B8" w14:textId="77777777" w:rsidR="00B10E93" w:rsidRDefault="00B10E93" w:rsidP="00E157B1">
            <w:pPr>
              <w:jc w:val="center"/>
            </w:pPr>
            <w:r>
              <w:t>90.8</w:t>
            </w:r>
          </w:p>
        </w:tc>
        <w:tc>
          <w:tcPr>
            <w:tcW w:w="3302" w:type="dxa"/>
            <w:gridSpan w:val="2"/>
          </w:tcPr>
          <w:p w14:paraId="64552CCA" w14:textId="77777777" w:rsidR="00B10E93" w:rsidRDefault="00B10E93" w:rsidP="00E157B1">
            <w:pPr>
              <w:jc w:val="center"/>
            </w:pPr>
            <w:r w:rsidRPr="009569C8">
              <w:rPr>
                <w:rFonts w:eastAsia="Times New Roman" w:cs="Times New Roman"/>
                <w:color w:val="000000"/>
                <w:lang w:eastAsia="en-GB"/>
              </w:rPr>
              <w:t>1</w:t>
            </w:r>
            <w:r>
              <w:rPr>
                <w:rFonts w:eastAsia="Times New Roman" w:cs="Times New Roman"/>
                <w:color w:val="000000"/>
                <w:lang w:eastAsia="en-GB"/>
              </w:rPr>
              <w:t>423</w:t>
            </w:r>
            <w:r w:rsidRPr="009569C8">
              <w:rPr>
                <w:rFonts w:eastAsia="Times New Roman" w:cs="Times New Roman"/>
                <w:color w:val="000000"/>
                <w:lang w:eastAsia="en-GB"/>
              </w:rPr>
              <w:t xml:space="preserve"> (</w:t>
            </w:r>
            <w:r>
              <w:rPr>
                <w:rFonts w:eastAsia="Times New Roman" w:cs="Times New Roman"/>
                <w:color w:val="000000"/>
                <w:lang w:eastAsia="en-GB"/>
              </w:rPr>
              <w:t>23.0</w:t>
            </w:r>
            <w:r w:rsidRPr="009569C8">
              <w:rPr>
                <w:rFonts w:eastAsia="Times New Roman" w:cs="Times New Roman"/>
                <w:color w:val="000000"/>
                <w:lang w:eastAsia="en-GB"/>
              </w:rPr>
              <w:t>)</w:t>
            </w:r>
          </w:p>
        </w:tc>
      </w:tr>
      <w:tr w:rsidR="00B10E93" w14:paraId="79F6A816" w14:textId="77777777" w:rsidTr="0039204A">
        <w:trPr>
          <w:gridAfter w:val="1"/>
          <w:wAfter w:w="9" w:type="dxa"/>
          <w:trHeight w:val="567"/>
        </w:trPr>
        <w:tc>
          <w:tcPr>
            <w:tcW w:w="3258" w:type="dxa"/>
          </w:tcPr>
          <w:p w14:paraId="5CFA2846" w14:textId="77777777" w:rsidR="00B10E93" w:rsidRPr="0039204A" w:rsidRDefault="00B10E93" w:rsidP="00E157B1">
            <w:pPr>
              <w:rPr>
                <w:b/>
                <w:bCs/>
              </w:rPr>
            </w:pPr>
            <w:r w:rsidRPr="0039204A">
              <w:rPr>
                <w:b/>
                <w:bCs/>
              </w:rPr>
              <w:t>Current smoker, %</w:t>
            </w:r>
          </w:p>
        </w:tc>
        <w:tc>
          <w:tcPr>
            <w:tcW w:w="2903" w:type="dxa"/>
          </w:tcPr>
          <w:p w14:paraId="03E7EF02" w14:textId="77777777" w:rsidR="00B10E93" w:rsidRDefault="00B10E93" w:rsidP="00E157B1">
            <w:pPr>
              <w:jc w:val="center"/>
            </w:pPr>
            <w:r>
              <w:t>22.3</w:t>
            </w:r>
          </w:p>
        </w:tc>
        <w:tc>
          <w:tcPr>
            <w:tcW w:w="3302" w:type="dxa"/>
            <w:gridSpan w:val="2"/>
          </w:tcPr>
          <w:p w14:paraId="73C8D094" w14:textId="77777777" w:rsidR="00B10E93" w:rsidRDefault="00B10E93" w:rsidP="00E157B1">
            <w:pPr>
              <w:jc w:val="center"/>
            </w:pPr>
            <w:r w:rsidRPr="009569C8">
              <w:rPr>
                <w:rFonts w:eastAsia="Times New Roman" w:cs="Times New Roman"/>
                <w:color w:val="000000"/>
                <w:lang w:eastAsia="en-GB"/>
              </w:rPr>
              <w:t>1</w:t>
            </w:r>
            <w:r>
              <w:rPr>
                <w:rFonts w:eastAsia="Times New Roman" w:cs="Times New Roman"/>
                <w:color w:val="000000"/>
                <w:lang w:eastAsia="en-GB"/>
              </w:rPr>
              <w:t>170</w:t>
            </w:r>
            <w:r w:rsidRPr="009569C8">
              <w:rPr>
                <w:rFonts w:eastAsia="Times New Roman" w:cs="Times New Roman"/>
                <w:color w:val="000000"/>
                <w:lang w:eastAsia="en-GB"/>
              </w:rPr>
              <w:t xml:space="preserve"> (18.6)</w:t>
            </w:r>
          </w:p>
        </w:tc>
      </w:tr>
      <w:tr w:rsidR="00B10E93" w14:paraId="56514083" w14:textId="77777777" w:rsidTr="0039204A">
        <w:trPr>
          <w:gridAfter w:val="1"/>
          <w:wAfter w:w="9" w:type="dxa"/>
          <w:trHeight w:val="567"/>
        </w:trPr>
        <w:tc>
          <w:tcPr>
            <w:tcW w:w="3258" w:type="dxa"/>
          </w:tcPr>
          <w:p w14:paraId="069B4A9C" w14:textId="77777777" w:rsidR="00B10E93" w:rsidRPr="0039204A" w:rsidRDefault="00B10E93" w:rsidP="00E157B1">
            <w:pPr>
              <w:rPr>
                <w:b/>
                <w:bCs/>
              </w:rPr>
            </w:pPr>
            <w:r w:rsidRPr="0039204A">
              <w:rPr>
                <w:b/>
                <w:bCs/>
              </w:rPr>
              <w:t>Full time paid employment, %</w:t>
            </w:r>
          </w:p>
        </w:tc>
        <w:tc>
          <w:tcPr>
            <w:tcW w:w="2903" w:type="dxa"/>
          </w:tcPr>
          <w:p w14:paraId="0E89E478" w14:textId="77777777" w:rsidR="00B10E93" w:rsidRDefault="00B10E93" w:rsidP="00E157B1">
            <w:pPr>
              <w:jc w:val="center"/>
            </w:pPr>
            <w:r>
              <w:t>39.3</w:t>
            </w:r>
          </w:p>
        </w:tc>
        <w:tc>
          <w:tcPr>
            <w:tcW w:w="3302" w:type="dxa"/>
            <w:gridSpan w:val="2"/>
          </w:tcPr>
          <w:p w14:paraId="5B0E7FFF" w14:textId="77777777" w:rsidR="00B10E93" w:rsidRDefault="00B10E93" w:rsidP="00E157B1">
            <w:pPr>
              <w:jc w:val="center"/>
            </w:pPr>
            <w:r w:rsidRPr="009569C8">
              <w:rPr>
                <w:rFonts w:eastAsia="Times New Roman" w:cs="Times New Roman"/>
                <w:color w:val="000000"/>
                <w:lang w:eastAsia="en-GB"/>
              </w:rPr>
              <w:t>1</w:t>
            </w:r>
            <w:r>
              <w:rPr>
                <w:rFonts w:eastAsia="Times New Roman" w:cs="Times New Roman"/>
                <w:color w:val="000000"/>
                <w:lang w:eastAsia="en-GB"/>
              </w:rPr>
              <w:t>236</w:t>
            </w:r>
            <w:r w:rsidRPr="009569C8">
              <w:rPr>
                <w:rFonts w:eastAsia="Times New Roman" w:cs="Times New Roman"/>
                <w:color w:val="000000"/>
                <w:lang w:eastAsia="en-GB"/>
              </w:rPr>
              <w:t xml:space="preserve"> (20</w:t>
            </w:r>
            <w:r>
              <w:rPr>
                <w:rFonts w:eastAsia="Times New Roman" w:cs="Times New Roman"/>
                <w:color w:val="000000"/>
                <w:lang w:eastAsia="en-GB"/>
              </w:rPr>
              <w:t>.0</w:t>
            </w:r>
            <w:r w:rsidRPr="009569C8">
              <w:rPr>
                <w:rFonts w:eastAsia="Times New Roman" w:cs="Times New Roman"/>
                <w:color w:val="000000"/>
                <w:lang w:eastAsia="en-GB"/>
              </w:rPr>
              <w:t>)</w:t>
            </w:r>
          </w:p>
        </w:tc>
      </w:tr>
      <w:tr w:rsidR="00B10E93" w14:paraId="61E7CD81" w14:textId="77777777" w:rsidTr="0039204A">
        <w:trPr>
          <w:gridAfter w:val="1"/>
          <w:wAfter w:w="9" w:type="dxa"/>
          <w:trHeight w:val="567"/>
        </w:trPr>
        <w:tc>
          <w:tcPr>
            <w:tcW w:w="3258" w:type="dxa"/>
          </w:tcPr>
          <w:p w14:paraId="0624CA7E" w14:textId="77777777" w:rsidR="00B10E93" w:rsidRPr="0039204A" w:rsidRDefault="00B10E93" w:rsidP="00E157B1">
            <w:pPr>
              <w:rPr>
                <w:b/>
                <w:bCs/>
              </w:rPr>
            </w:pPr>
            <w:r w:rsidRPr="0039204A">
              <w:rPr>
                <w:b/>
                <w:bCs/>
              </w:rPr>
              <w:t xml:space="preserve">Seropositive, %    </w:t>
            </w:r>
          </w:p>
        </w:tc>
        <w:tc>
          <w:tcPr>
            <w:tcW w:w="2903" w:type="dxa"/>
          </w:tcPr>
          <w:p w14:paraId="4C7902A3" w14:textId="77777777" w:rsidR="00B10E93" w:rsidRDefault="00B10E93" w:rsidP="00E157B1">
            <w:pPr>
              <w:jc w:val="center"/>
            </w:pPr>
            <w:r>
              <w:t>77.8</w:t>
            </w:r>
          </w:p>
        </w:tc>
        <w:tc>
          <w:tcPr>
            <w:tcW w:w="3302" w:type="dxa"/>
            <w:gridSpan w:val="2"/>
          </w:tcPr>
          <w:p w14:paraId="59671043" w14:textId="77777777" w:rsidR="00B10E93" w:rsidRDefault="00B10E93" w:rsidP="00E157B1">
            <w:pPr>
              <w:jc w:val="center"/>
            </w:pPr>
            <w:r w:rsidRPr="009569C8">
              <w:rPr>
                <w:rFonts w:eastAsia="Times New Roman" w:cs="Times New Roman"/>
                <w:color w:val="000000"/>
                <w:lang w:eastAsia="en-GB"/>
              </w:rPr>
              <w:t>1</w:t>
            </w:r>
            <w:r>
              <w:rPr>
                <w:rFonts w:eastAsia="Times New Roman" w:cs="Times New Roman"/>
                <w:color w:val="000000"/>
                <w:lang w:eastAsia="en-GB"/>
              </w:rPr>
              <w:t>594</w:t>
            </w:r>
            <w:r w:rsidRPr="009569C8">
              <w:rPr>
                <w:rFonts w:eastAsia="Times New Roman" w:cs="Times New Roman"/>
                <w:color w:val="000000"/>
                <w:lang w:eastAsia="en-GB"/>
              </w:rPr>
              <w:t xml:space="preserve"> (2</w:t>
            </w:r>
            <w:r>
              <w:rPr>
                <w:rFonts w:eastAsia="Times New Roman" w:cs="Times New Roman"/>
                <w:color w:val="000000"/>
                <w:lang w:eastAsia="en-GB"/>
              </w:rPr>
              <w:t>5.7</w:t>
            </w:r>
            <w:r w:rsidRPr="009569C8">
              <w:rPr>
                <w:rFonts w:eastAsia="Times New Roman" w:cs="Times New Roman"/>
                <w:color w:val="000000"/>
                <w:lang w:eastAsia="en-GB"/>
              </w:rPr>
              <w:t>)</w:t>
            </w:r>
          </w:p>
        </w:tc>
      </w:tr>
      <w:tr w:rsidR="00B10E93" w14:paraId="751944F8" w14:textId="77777777" w:rsidTr="0039204A">
        <w:trPr>
          <w:gridAfter w:val="1"/>
          <w:wAfter w:w="9" w:type="dxa"/>
          <w:trHeight w:val="567"/>
        </w:trPr>
        <w:tc>
          <w:tcPr>
            <w:tcW w:w="3258" w:type="dxa"/>
          </w:tcPr>
          <w:p w14:paraId="14C3AEAC" w14:textId="24FE6AF4" w:rsidR="00B10E93" w:rsidRPr="0039204A" w:rsidRDefault="00B10E93" w:rsidP="00E157B1">
            <w:pPr>
              <w:rPr>
                <w:b/>
                <w:bCs/>
              </w:rPr>
            </w:pPr>
            <w:r w:rsidRPr="0039204A">
              <w:rPr>
                <w:b/>
                <w:bCs/>
              </w:rPr>
              <w:t>Baseline DAS28, mean (SD)</w:t>
            </w:r>
          </w:p>
        </w:tc>
        <w:tc>
          <w:tcPr>
            <w:tcW w:w="2903" w:type="dxa"/>
          </w:tcPr>
          <w:p w14:paraId="3210CA09" w14:textId="77777777" w:rsidR="00B10E93" w:rsidRDefault="00B10E93" w:rsidP="00E157B1">
            <w:pPr>
              <w:jc w:val="center"/>
            </w:pPr>
            <w:r>
              <w:t>5.1 (1.4)</w:t>
            </w:r>
          </w:p>
        </w:tc>
        <w:tc>
          <w:tcPr>
            <w:tcW w:w="3302" w:type="dxa"/>
            <w:gridSpan w:val="2"/>
          </w:tcPr>
          <w:p w14:paraId="49239509" w14:textId="77777777" w:rsidR="00B10E93" w:rsidRDefault="00B10E93" w:rsidP="00E157B1">
            <w:pPr>
              <w:jc w:val="center"/>
            </w:pPr>
            <w:r w:rsidRPr="009569C8">
              <w:rPr>
                <w:rFonts w:eastAsia="Times New Roman" w:cs="Times New Roman"/>
                <w:color w:val="000000"/>
                <w:lang w:eastAsia="en-GB"/>
              </w:rPr>
              <w:t>2</w:t>
            </w:r>
            <w:r>
              <w:rPr>
                <w:rFonts w:eastAsia="Times New Roman" w:cs="Times New Roman"/>
                <w:color w:val="000000"/>
                <w:lang w:eastAsia="en-GB"/>
              </w:rPr>
              <w:t>130</w:t>
            </w:r>
            <w:r w:rsidRPr="009569C8">
              <w:rPr>
                <w:rFonts w:eastAsia="Times New Roman" w:cs="Times New Roman"/>
                <w:color w:val="000000"/>
                <w:lang w:eastAsia="en-GB"/>
              </w:rPr>
              <w:t xml:space="preserve"> (34.</w:t>
            </w:r>
            <w:r>
              <w:rPr>
                <w:rFonts w:eastAsia="Times New Roman" w:cs="Times New Roman"/>
                <w:color w:val="000000"/>
                <w:lang w:eastAsia="en-GB"/>
              </w:rPr>
              <w:t>3</w:t>
            </w:r>
            <w:r w:rsidRPr="009569C8">
              <w:rPr>
                <w:rFonts w:eastAsia="Times New Roman" w:cs="Times New Roman"/>
                <w:color w:val="000000"/>
                <w:lang w:eastAsia="en-GB"/>
              </w:rPr>
              <w:t>)</w:t>
            </w:r>
          </w:p>
        </w:tc>
      </w:tr>
      <w:tr w:rsidR="00B10E93" w14:paraId="616F4D05" w14:textId="77777777" w:rsidTr="0039204A">
        <w:trPr>
          <w:gridAfter w:val="1"/>
          <w:wAfter w:w="9" w:type="dxa"/>
          <w:trHeight w:val="567"/>
        </w:trPr>
        <w:tc>
          <w:tcPr>
            <w:tcW w:w="3258" w:type="dxa"/>
          </w:tcPr>
          <w:p w14:paraId="6577E1F7" w14:textId="2066DB79" w:rsidR="00B10E93" w:rsidRPr="0039204A" w:rsidRDefault="00B10E93" w:rsidP="00E157B1">
            <w:pPr>
              <w:rPr>
                <w:b/>
                <w:bCs/>
              </w:rPr>
            </w:pPr>
            <w:r w:rsidRPr="0039204A">
              <w:rPr>
                <w:b/>
                <w:bCs/>
              </w:rPr>
              <w:t>Follow up DAS28, mean (SD)</w:t>
            </w:r>
          </w:p>
        </w:tc>
        <w:tc>
          <w:tcPr>
            <w:tcW w:w="2903" w:type="dxa"/>
          </w:tcPr>
          <w:p w14:paraId="4324B4F2" w14:textId="77777777" w:rsidR="00B10E93" w:rsidRDefault="00B10E93" w:rsidP="00E157B1">
            <w:pPr>
              <w:jc w:val="center"/>
            </w:pPr>
            <w:r>
              <w:t>3.5 (1.5)</w:t>
            </w:r>
          </w:p>
        </w:tc>
        <w:tc>
          <w:tcPr>
            <w:tcW w:w="3302" w:type="dxa"/>
            <w:gridSpan w:val="2"/>
          </w:tcPr>
          <w:p w14:paraId="723E772F" w14:textId="77777777" w:rsidR="00B10E93" w:rsidRDefault="00B10E93" w:rsidP="00E157B1">
            <w:pPr>
              <w:jc w:val="center"/>
            </w:pPr>
            <w:r>
              <w:rPr>
                <w:rFonts w:eastAsia="Times New Roman" w:cs="Times New Roman"/>
                <w:color w:val="000000"/>
                <w:lang w:eastAsia="en-GB"/>
              </w:rPr>
              <w:t>3864</w:t>
            </w:r>
            <w:r w:rsidRPr="009569C8">
              <w:rPr>
                <w:rFonts w:eastAsia="Times New Roman" w:cs="Times New Roman"/>
                <w:color w:val="000000"/>
                <w:lang w:eastAsia="en-GB"/>
              </w:rPr>
              <w:t xml:space="preserve"> (62.</w:t>
            </w:r>
            <w:r>
              <w:rPr>
                <w:rFonts w:eastAsia="Times New Roman" w:cs="Times New Roman"/>
                <w:color w:val="000000"/>
                <w:lang w:eastAsia="en-GB"/>
              </w:rPr>
              <w:t>3</w:t>
            </w:r>
            <w:r w:rsidRPr="009569C8">
              <w:rPr>
                <w:rFonts w:eastAsia="Times New Roman" w:cs="Times New Roman"/>
                <w:color w:val="000000"/>
                <w:lang w:eastAsia="en-GB"/>
              </w:rPr>
              <w:t>)</w:t>
            </w:r>
          </w:p>
        </w:tc>
      </w:tr>
      <w:tr w:rsidR="00B10E93" w14:paraId="5DAB4713" w14:textId="77777777" w:rsidTr="0039204A">
        <w:trPr>
          <w:gridAfter w:val="1"/>
          <w:wAfter w:w="9" w:type="dxa"/>
          <w:trHeight w:val="567"/>
        </w:trPr>
        <w:tc>
          <w:tcPr>
            <w:tcW w:w="3258" w:type="dxa"/>
          </w:tcPr>
          <w:p w14:paraId="05EA97E7" w14:textId="6029030C" w:rsidR="00B10E93" w:rsidRPr="0039204A" w:rsidRDefault="00B10E93" w:rsidP="00E157B1">
            <w:pPr>
              <w:rPr>
                <w:b/>
                <w:bCs/>
              </w:rPr>
            </w:pPr>
            <w:r w:rsidRPr="0039204A">
              <w:rPr>
                <w:b/>
                <w:bCs/>
              </w:rPr>
              <w:t>Change in D</w:t>
            </w:r>
            <w:r w:rsidR="0007470B" w:rsidRPr="0039204A">
              <w:rPr>
                <w:b/>
                <w:bCs/>
              </w:rPr>
              <w:t>AS</w:t>
            </w:r>
            <w:r w:rsidRPr="0039204A">
              <w:rPr>
                <w:b/>
                <w:bCs/>
              </w:rPr>
              <w:t>28, mean (SD)</w:t>
            </w:r>
          </w:p>
        </w:tc>
        <w:tc>
          <w:tcPr>
            <w:tcW w:w="2903" w:type="dxa"/>
          </w:tcPr>
          <w:p w14:paraId="13D23FA7" w14:textId="77777777" w:rsidR="00B10E93" w:rsidRDefault="00B10E93" w:rsidP="00E157B1">
            <w:pPr>
              <w:jc w:val="center"/>
            </w:pPr>
            <w:r>
              <w:t>1.7 (1.6)</w:t>
            </w:r>
          </w:p>
        </w:tc>
        <w:tc>
          <w:tcPr>
            <w:tcW w:w="3302" w:type="dxa"/>
            <w:gridSpan w:val="2"/>
          </w:tcPr>
          <w:p w14:paraId="03E0AF21" w14:textId="77777777" w:rsidR="00B10E93" w:rsidRDefault="00B10E93" w:rsidP="00E157B1">
            <w:pPr>
              <w:jc w:val="center"/>
              <w:rPr>
                <w:rFonts w:eastAsia="Times New Roman" w:cs="Times New Roman"/>
                <w:color w:val="000000"/>
                <w:lang w:eastAsia="en-GB"/>
              </w:rPr>
            </w:pPr>
            <w:r>
              <w:rPr>
                <w:rFonts w:eastAsia="Times New Roman" w:cs="Times New Roman"/>
                <w:color w:val="000000"/>
                <w:lang w:eastAsia="en-GB"/>
              </w:rPr>
              <w:t>4222 (68.0)</w:t>
            </w:r>
          </w:p>
        </w:tc>
      </w:tr>
      <w:tr w:rsidR="00B10E93" w14:paraId="7BB955CD" w14:textId="77777777" w:rsidTr="0039204A">
        <w:trPr>
          <w:gridAfter w:val="1"/>
          <w:wAfter w:w="9" w:type="dxa"/>
          <w:trHeight w:val="567"/>
        </w:trPr>
        <w:tc>
          <w:tcPr>
            <w:tcW w:w="3258" w:type="dxa"/>
          </w:tcPr>
          <w:p w14:paraId="0ED285B0" w14:textId="77777777" w:rsidR="00B10E93" w:rsidRPr="0039204A" w:rsidRDefault="00B10E93" w:rsidP="00E157B1">
            <w:pPr>
              <w:rPr>
                <w:b/>
                <w:bCs/>
              </w:rPr>
            </w:pPr>
            <w:r w:rsidRPr="0039204A">
              <w:rPr>
                <w:b/>
                <w:bCs/>
              </w:rPr>
              <w:t>Rheumatology Departments</w:t>
            </w:r>
          </w:p>
        </w:tc>
        <w:tc>
          <w:tcPr>
            <w:tcW w:w="2903" w:type="dxa"/>
          </w:tcPr>
          <w:p w14:paraId="3D5F65FD" w14:textId="77777777" w:rsidR="00B10E93" w:rsidRDefault="00B10E93" w:rsidP="00E157B1">
            <w:pPr>
              <w:jc w:val="center"/>
            </w:pPr>
            <w:r>
              <w:t>136</w:t>
            </w:r>
          </w:p>
        </w:tc>
        <w:tc>
          <w:tcPr>
            <w:tcW w:w="3302" w:type="dxa"/>
            <w:gridSpan w:val="2"/>
          </w:tcPr>
          <w:p w14:paraId="0FD86578" w14:textId="77777777" w:rsidR="00B10E93" w:rsidRDefault="00B10E93" w:rsidP="00E157B1">
            <w:pPr>
              <w:jc w:val="center"/>
            </w:pPr>
            <w:r w:rsidRPr="009569C8">
              <w:rPr>
                <w:rFonts w:eastAsia="Times New Roman" w:cs="Times New Roman"/>
                <w:color w:val="000000"/>
                <w:lang w:eastAsia="en-GB"/>
              </w:rPr>
              <w:t>0</w:t>
            </w:r>
          </w:p>
        </w:tc>
      </w:tr>
      <w:tr w:rsidR="00B10E93" w14:paraId="55C623BB" w14:textId="77777777" w:rsidTr="0039204A">
        <w:trPr>
          <w:gridAfter w:val="1"/>
          <w:wAfter w:w="9" w:type="dxa"/>
          <w:trHeight w:val="567"/>
        </w:trPr>
        <w:tc>
          <w:tcPr>
            <w:tcW w:w="3258" w:type="dxa"/>
          </w:tcPr>
          <w:p w14:paraId="101D95EF" w14:textId="77777777" w:rsidR="00B10E93" w:rsidRPr="0039204A" w:rsidRDefault="00B10E93" w:rsidP="00E157B1">
            <w:pPr>
              <w:rPr>
                <w:b/>
                <w:bCs/>
              </w:rPr>
            </w:pPr>
            <w:r w:rsidRPr="0039204A">
              <w:rPr>
                <w:b/>
                <w:bCs/>
              </w:rPr>
              <w:t>Symptom duration in days, median (Q1, Q3)</w:t>
            </w:r>
          </w:p>
        </w:tc>
        <w:tc>
          <w:tcPr>
            <w:tcW w:w="2903" w:type="dxa"/>
          </w:tcPr>
          <w:p w14:paraId="5A0D9A0F" w14:textId="77777777" w:rsidR="00B10E93" w:rsidRDefault="00B10E93" w:rsidP="00E157B1">
            <w:pPr>
              <w:jc w:val="center"/>
            </w:pPr>
            <w:r>
              <w:t>103 (53 to 223)</w:t>
            </w:r>
          </w:p>
        </w:tc>
        <w:tc>
          <w:tcPr>
            <w:tcW w:w="3302" w:type="dxa"/>
            <w:gridSpan w:val="2"/>
          </w:tcPr>
          <w:p w14:paraId="56DC200B" w14:textId="77777777" w:rsidR="00B10E93" w:rsidRDefault="00B10E93" w:rsidP="00E157B1">
            <w:pPr>
              <w:jc w:val="center"/>
            </w:pPr>
            <w:r>
              <w:t>59 (1.0)</w:t>
            </w:r>
          </w:p>
        </w:tc>
      </w:tr>
      <w:tr w:rsidR="00B10E93" w14:paraId="2C4F2599" w14:textId="77777777" w:rsidTr="0039204A">
        <w:trPr>
          <w:gridAfter w:val="1"/>
          <w:wAfter w:w="9" w:type="dxa"/>
          <w:trHeight w:val="567"/>
        </w:trPr>
        <w:tc>
          <w:tcPr>
            <w:tcW w:w="3258" w:type="dxa"/>
          </w:tcPr>
          <w:p w14:paraId="2D559FB1" w14:textId="77777777" w:rsidR="00B10E93" w:rsidRPr="0039204A" w:rsidRDefault="00B10E93" w:rsidP="00E157B1">
            <w:pPr>
              <w:rPr>
                <w:b/>
                <w:bCs/>
              </w:rPr>
            </w:pPr>
            <w:r w:rsidRPr="0039204A">
              <w:rPr>
                <w:b/>
                <w:bCs/>
              </w:rPr>
              <w:t>Referral within 3 days, %</w:t>
            </w:r>
          </w:p>
        </w:tc>
        <w:tc>
          <w:tcPr>
            <w:tcW w:w="2903" w:type="dxa"/>
          </w:tcPr>
          <w:p w14:paraId="48DC0C36" w14:textId="77777777" w:rsidR="00B10E93" w:rsidRDefault="00B10E93" w:rsidP="00E157B1">
            <w:pPr>
              <w:jc w:val="center"/>
            </w:pPr>
            <w:r>
              <w:t>17.0</w:t>
            </w:r>
          </w:p>
        </w:tc>
        <w:tc>
          <w:tcPr>
            <w:tcW w:w="3302" w:type="dxa"/>
            <w:gridSpan w:val="2"/>
          </w:tcPr>
          <w:p w14:paraId="3CCD5553" w14:textId="77777777" w:rsidR="00B10E93" w:rsidRDefault="00B10E93" w:rsidP="00E157B1">
            <w:pPr>
              <w:jc w:val="center"/>
            </w:pPr>
            <w:r w:rsidRPr="009569C8">
              <w:rPr>
                <w:rFonts w:eastAsia="Times New Roman" w:cs="Times New Roman"/>
                <w:color w:val="000000"/>
                <w:lang w:eastAsia="en-GB"/>
              </w:rPr>
              <w:t>0</w:t>
            </w:r>
          </w:p>
        </w:tc>
      </w:tr>
      <w:tr w:rsidR="00B10E93" w14:paraId="78C8E75D" w14:textId="77777777" w:rsidTr="0039204A">
        <w:trPr>
          <w:gridAfter w:val="1"/>
          <w:wAfter w:w="9" w:type="dxa"/>
          <w:trHeight w:val="567"/>
        </w:trPr>
        <w:tc>
          <w:tcPr>
            <w:tcW w:w="3258" w:type="dxa"/>
          </w:tcPr>
          <w:p w14:paraId="73622D41" w14:textId="77777777" w:rsidR="00B10E93" w:rsidRPr="0039204A" w:rsidRDefault="00B10E93" w:rsidP="00E157B1">
            <w:pPr>
              <w:jc w:val="both"/>
              <w:rPr>
                <w:b/>
                <w:bCs/>
              </w:rPr>
            </w:pPr>
            <w:r w:rsidRPr="0039204A">
              <w:rPr>
                <w:b/>
                <w:bCs/>
              </w:rPr>
              <w:t>Review within 21 days, %</w:t>
            </w:r>
          </w:p>
        </w:tc>
        <w:tc>
          <w:tcPr>
            <w:tcW w:w="2903" w:type="dxa"/>
          </w:tcPr>
          <w:p w14:paraId="186F0C2E" w14:textId="77777777" w:rsidR="00B10E93" w:rsidRDefault="00B10E93" w:rsidP="00E157B1">
            <w:pPr>
              <w:jc w:val="center"/>
            </w:pPr>
            <w:r>
              <w:t>37.2</w:t>
            </w:r>
          </w:p>
        </w:tc>
        <w:tc>
          <w:tcPr>
            <w:tcW w:w="3302" w:type="dxa"/>
            <w:gridSpan w:val="2"/>
          </w:tcPr>
          <w:p w14:paraId="7732F409" w14:textId="77777777" w:rsidR="00B10E93" w:rsidRDefault="00B10E93" w:rsidP="00E157B1">
            <w:pPr>
              <w:jc w:val="center"/>
            </w:pPr>
            <w:r>
              <w:t>0</w:t>
            </w:r>
          </w:p>
        </w:tc>
      </w:tr>
      <w:tr w:rsidR="00B10E93" w14:paraId="28F529AC" w14:textId="77777777" w:rsidTr="0039204A">
        <w:trPr>
          <w:gridAfter w:val="1"/>
          <w:wAfter w:w="9" w:type="dxa"/>
          <w:trHeight w:val="567"/>
        </w:trPr>
        <w:tc>
          <w:tcPr>
            <w:tcW w:w="3258" w:type="dxa"/>
          </w:tcPr>
          <w:p w14:paraId="4E60E2C8" w14:textId="77777777" w:rsidR="00B10E93" w:rsidRPr="0039204A" w:rsidRDefault="00B10E93" w:rsidP="00E157B1">
            <w:pPr>
              <w:rPr>
                <w:b/>
                <w:bCs/>
              </w:rPr>
            </w:pPr>
            <w:r w:rsidRPr="0039204A">
              <w:rPr>
                <w:b/>
                <w:bCs/>
              </w:rPr>
              <w:t>Treatment within 90 days, %</w:t>
            </w:r>
          </w:p>
        </w:tc>
        <w:tc>
          <w:tcPr>
            <w:tcW w:w="2903" w:type="dxa"/>
          </w:tcPr>
          <w:p w14:paraId="75E8E034" w14:textId="77777777" w:rsidR="00B10E93" w:rsidRDefault="00B10E93" w:rsidP="00E157B1">
            <w:pPr>
              <w:jc w:val="center"/>
            </w:pPr>
            <w:r>
              <w:t>60.1</w:t>
            </w:r>
          </w:p>
        </w:tc>
        <w:tc>
          <w:tcPr>
            <w:tcW w:w="3302" w:type="dxa"/>
            <w:gridSpan w:val="2"/>
          </w:tcPr>
          <w:p w14:paraId="01EE2B06" w14:textId="77777777" w:rsidR="00B10E93" w:rsidRDefault="00B10E93" w:rsidP="00E157B1">
            <w:pPr>
              <w:jc w:val="center"/>
            </w:pPr>
            <w:r>
              <w:t>0</w:t>
            </w:r>
          </w:p>
        </w:tc>
      </w:tr>
    </w:tbl>
    <w:p w14:paraId="477C7756" w14:textId="3B77B301" w:rsidR="0039204A" w:rsidRDefault="00B10E93" w:rsidP="0039204A">
      <w:pPr>
        <w:rPr>
          <w:i/>
          <w:sz w:val="18"/>
          <w:szCs w:val="18"/>
        </w:rPr>
      </w:pPr>
      <w:r>
        <w:rPr>
          <w:i/>
          <w:sz w:val="18"/>
          <w:szCs w:val="18"/>
        </w:rPr>
        <w:t xml:space="preserve">Patients who were positive for </w:t>
      </w:r>
      <w:r w:rsidR="0007470B">
        <w:rPr>
          <w:i/>
          <w:sz w:val="18"/>
          <w:szCs w:val="18"/>
        </w:rPr>
        <w:t>rheumatoid factor</w:t>
      </w:r>
      <w:r>
        <w:rPr>
          <w:i/>
          <w:sz w:val="18"/>
          <w:szCs w:val="18"/>
        </w:rPr>
        <w:t xml:space="preserve"> and/or anti-</w:t>
      </w:r>
      <w:r w:rsidR="0007470B">
        <w:rPr>
          <w:i/>
          <w:sz w:val="18"/>
          <w:szCs w:val="18"/>
        </w:rPr>
        <w:t>citrullinated c-peptide</w:t>
      </w:r>
      <w:r>
        <w:rPr>
          <w:i/>
          <w:sz w:val="18"/>
          <w:szCs w:val="18"/>
        </w:rPr>
        <w:t xml:space="preserve"> were considered seropositive.</w:t>
      </w:r>
      <w:r w:rsidR="0007470B">
        <w:rPr>
          <w:i/>
          <w:sz w:val="18"/>
          <w:szCs w:val="18"/>
        </w:rPr>
        <w:t xml:space="preserve"> SD = standard deviation. IMD = index of multiple deprivation. DAS28 = disease activity score 28.</w:t>
      </w:r>
      <w:bookmarkStart w:id="20" w:name="_Ref22553579"/>
    </w:p>
    <w:p w14:paraId="7A1B04BA" w14:textId="3ED20213" w:rsidR="0039204A" w:rsidRDefault="0039204A" w:rsidP="0039204A">
      <w:pPr>
        <w:spacing w:line="480" w:lineRule="auto"/>
        <w:rPr>
          <w:i/>
          <w:sz w:val="18"/>
          <w:szCs w:val="18"/>
        </w:rPr>
      </w:pPr>
    </w:p>
    <w:p w14:paraId="19A66F71" w14:textId="5623012C" w:rsidR="0039204A" w:rsidRDefault="0039204A" w:rsidP="0039204A">
      <w:pPr>
        <w:spacing w:line="480" w:lineRule="auto"/>
        <w:rPr>
          <w:i/>
          <w:sz w:val="18"/>
          <w:szCs w:val="18"/>
        </w:rPr>
      </w:pPr>
    </w:p>
    <w:p w14:paraId="17F0D9FE" w14:textId="4ED613ED" w:rsidR="0039204A" w:rsidRDefault="0039204A" w:rsidP="0039204A">
      <w:pPr>
        <w:spacing w:line="480" w:lineRule="auto"/>
        <w:rPr>
          <w:i/>
          <w:sz w:val="18"/>
          <w:szCs w:val="18"/>
        </w:rPr>
      </w:pPr>
    </w:p>
    <w:p w14:paraId="05C7537A" w14:textId="68E25736" w:rsidR="0039204A" w:rsidRDefault="0039204A" w:rsidP="0039204A">
      <w:pPr>
        <w:spacing w:line="480" w:lineRule="auto"/>
        <w:rPr>
          <w:i/>
          <w:sz w:val="18"/>
          <w:szCs w:val="18"/>
        </w:rPr>
      </w:pPr>
    </w:p>
    <w:p w14:paraId="4E389932" w14:textId="1783900D" w:rsidR="0039204A" w:rsidRDefault="0039204A" w:rsidP="0039204A">
      <w:pPr>
        <w:spacing w:line="480" w:lineRule="auto"/>
        <w:rPr>
          <w:i/>
          <w:sz w:val="18"/>
          <w:szCs w:val="18"/>
        </w:rPr>
      </w:pPr>
    </w:p>
    <w:p w14:paraId="6355A24C" w14:textId="77777777" w:rsidR="0039204A" w:rsidRPr="0039204A" w:rsidRDefault="0039204A" w:rsidP="0039204A">
      <w:pPr>
        <w:rPr>
          <w:i/>
          <w:sz w:val="18"/>
          <w:szCs w:val="18"/>
        </w:rPr>
      </w:pPr>
    </w:p>
    <w:p w14:paraId="13DDECFD" w14:textId="530D9D3B" w:rsidR="00B10E93" w:rsidRPr="00B10E93" w:rsidRDefault="00B10E93" w:rsidP="00B10E93">
      <w:pPr>
        <w:pStyle w:val="Caption"/>
        <w:keepNext/>
        <w:rPr>
          <w:sz w:val="24"/>
          <w:szCs w:val="24"/>
        </w:rPr>
      </w:pPr>
      <w:r w:rsidRPr="00B10E93">
        <w:rPr>
          <w:color w:val="000000" w:themeColor="text1"/>
          <w:sz w:val="24"/>
          <w:szCs w:val="24"/>
        </w:rPr>
        <w:t xml:space="preserve">Table </w:t>
      </w:r>
      <w:r w:rsidRPr="00B10E93">
        <w:rPr>
          <w:color w:val="000000" w:themeColor="text1"/>
          <w:sz w:val="24"/>
          <w:szCs w:val="24"/>
        </w:rPr>
        <w:fldChar w:fldCharType="begin"/>
      </w:r>
      <w:r w:rsidRPr="00B10E93">
        <w:rPr>
          <w:color w:val="000000" w:themeColor="text1"/>
          <w:sz w:val="24"/>
          <w:szCs w:val="24"/>
        </w:rPr>
        <w:instrText xml:space="preserve"> SEQ Table \* ARABIC </w:instrText>
      </w:r>
      <w:r w:rsidRPr="00B10E93">
        <w:rPr>
          <w:color w:val="000000" w:themeColor="text1"/>
          <w:sz w:val="24"/>
          <w:szCs w:val="24"/>
        </w:rPr>
        <w:fldChar w:fldCharType="separate"/>
      </w:r>
      <w:r w:rsidR="00705614">
        <w:rPr>
          <w:noProof/>
          <w:color w:val="000000" w:themeColor="text1"/>
          <w:sz w:val="24"/>
          <w:szCs w:val="24"/>
        </w:rPr>
        <w:t>2</w:t>
      </w:r>
      <w:r w:rsidRPr="00B10E93">
        <w:rPr>
          <w:color w:val="000000" w:themeColor="text1"/>
          <w:sz w:val="24"/>
          <w:szCs w:val="24"/>
        </w:rPr>
        <w:fldChar w:fldCharType="end"/>
      </w:r>
      <w:bookmarkEnd w:id="20"/>
      <w:r w:rsidRPr="00B10E93">
        <w:rPr>
          <w:color w:val="000000" w:themeColor="text1"/>
          <w:sz w:val="24"/>
          <w:szCs w:val="24"/>
        </w:rPr>
        <w:t>. DAS28 missing data table with components breakdown.</w:t>
      </w:r>
    </w:p>
    <w:tbl>
      <w:tblPr>
        <w:tblStyle w:val="TableGrid"/>
        <w:tblW w:w="6274" w:type="dxa"/>
        <w:tblLook w:val="04A0" w:firstRow="1" w:lastRow="0" w:firstColumn="1" w:lastColumn="0" w:noHBand="0" w:noVBand="1"/>
      </w:tblPr>
      <w:tblGrid>
        <w:gridCol w:w="3071"/>
        <w:gridCol w:w="3203"/>
      </w:tblGrid>
      <w:tr w:rsidR="00B10E93" w:rsidRPr="009B3D03" w14:paraId="339756ED" w14:textId="77777777" w:rsidTr="0039204A">
        <w:trPr>
          <w:trHeight w:val="567"/>
        </w:trPr>
        <w:tc>
          <w:tcPr>
            <w:tcW w:w="3071" w:type="dxa"/>
          </w:tcPr>
          <w:p w14:paraId="638BA700" w14:textId="77777777" w:rsidR="00B10E93" w:rsidRPr="0039204A" w:rsidRDefault="00B10E93" w:rsidP="00E157B1">
            <w:pPr>
              <w:rPr>
                <w:rFonts w:eastAsia="Times New Roman" w:cs="Times New Roman"/>
                <w:b/>
                <w:bCs/>
                <w:color w:val="000000"/>
                <w:lang w:eastAsia="en-GB"/>
              </w:rPr>
            </w:pPr>
            <w:r w:rsidRPr="0039204A">
              <w:rPr>
                <w:rFonts w:eastAsia="Times New Roman" w:cs="Times New Roman"/>
                <w:b/>
                <w:bCs/>
                <w:lang w:eastAsia="en-GB"/>
              </w:rPr>
              <w:t>N = 6205</w:t>
            </w:r>
          </w:p>
        </w:tc>
        <w:tc>
          <w:tcPr>
            <w:tcW w:w="3203" w:type="dxa"/>
          </w:tcPr>
          <w:p w14:paraId="7F9288CF" w14:textId="77777777" w:rsidR="00B10E93" w:rsidRPr="0039204A" w:rsidRDefault="00B10E93" w:rsidP="00E157B1">
            <w:pPr>
              <w:jc w:val="center"/>
              <w:rPr>
                <w:rFonts w:eastAsia="Times New Roman" w:cs="Times New Roman"/>
                <w:b/>
                <w:bCs/>
                <w:lang w:eastAsia="en-GB"/>
              </w:rPr>
            </w:pPr>
            <w:r w:rsidRPr="0039204A">
              <w:rPr>
                <w:rFonts w:eastAsia="Times New Roman" w:cs="Times New Roman"/>
                <w:b/>
                <w:bCs/>
                <w:lang w:eastAsia="en-GB"/>
              </w:rPr>
              <w:t>Number missing at baseline (%)</w:t>
            </w:r>
          </w:p>
        </w:tc>
      </w:tr>
      <w:tr w:rsidR="00B10E93" w:rsidRPr="009B3D03" w14:paraId="365843AC" w14:textId="77777777" w:rsidTr="0039204A">
        <w:trPr>
          <w:trHeight w:val="567"/>
        </w:trPr>
        <w:tc>
          <w:tcPr>
            <w:tcW w:w="3071" w:type="dxa"/>
          </w:tcPr>
          <w:p w14:paraId="4FEE80F6" w14:textId="77777777" w:rsidR="00B10E93" w:rsidRPr="0039204A" w:rsidRDefault="00B10E93" w:rsidP="00E157B1">
            <w:pPr>
              <w:rPr>
                <w:rFonts w:eastAsia="Times New Roman" w:cs="Times New Roman"/>
                <w:b/>
                <w:bCs/>
                <w:color w:val="000000"/>
                <w:lang w:eastAsia="en-GB"/>
              </w:rPr>
            </w:pPr>
            <w:r w:rsidRPr="0039204A">
              <w:rPr>
                <w:rFonts w:eastAsia="Times New Roman" w:cs="Times New Roman"/>
                <w:b/>
                <w:bCs/>
                <w:color w:val="000000"/>
                <w:lang w:eastAsia="en-GB"/>
              </w:rPr>
              <w:t>Tender joint count</w:t>
            </w:r>
          </w:p>
        </w:tc>
        <w:tc>
          <w:tcPr>
            <w:tcW w:w="3203" w:type="dxa"/>
          </w:tcPr>
          <w:p w14:paraId="0BD6466C" w14:textId="77777777" w:rsidR="00B10E93" w:rsidRPr="004B4AE9" w:rsidRDefault="00B10E93" w:rsidP="00E157B1">
            <w:pPr>
              <w:jc w:val="center"/>
              <w:rPr>
                <w:rFonts w:eastAsia="Times New Roman" w:cs="Times New Roman"/>
                <w:color w:val="000000"/>
                <w:lang w:eastAsia="en-GB"/>
              </w:rPr>
            </w:pPr>
            <w:r>
              <w:rPr>
                <w:rFonts w:eastAsia="Times New Roman" w:cs="Times New Roman"/>
                <w:color w:val="000000"/>
                <w:lang w:eastAsia="en-GB"/>
              </w:rPr>
              <w:t>370 (6.0%)</w:t>
            </w:r>
          </w:p>
        </w:tc>
      </w:tr>
      <w:tr w:rsidR="00B10E93" w:rsidRPr="009B3D03" w14:paraId="0757EAF4" w14:textId="77777777" w:rsidTr="0039204A">
        <w:trPr>
          <w:trHeight w:val="567"/>
        </w:trPr>
        <w:tc>
          <w:tcPr>
            <w:tcW w:w="3071" w:type="dxa"/>
          </w:tcPr>
          <w:p w14:paraId="7328FE4A" w14:textId="77777777" w:rsidR="00B10E93" w:rsidRPr="0039204A" w:rsidRDefault="00B10E93" w:rsidP="00E157B1">
            <w:pPr>
              <w:rPr>
                <w:rFonts w:eastAsia="Times New Roman" w:cs="Times New Roman"/>
                <w:b/>
                <w:bCs/>
                <w:color w:val="000000"/>
                <w:lang w:eastAsia="en-GB"/>
              </w:rPr>
            </w:pPr>
            <w:r w:rsidRPr="0039204A">
              <w:rPr>
                <w:rFonts w:eastAsia="Times New Roman" w:cs="Times New Roman"/>
                <w:b/>
                <w:bCs/>
                <w:color w:val="000000"/>
                <w:lang w:eastAsia="en-GB"/>
              </w:rPr>
              <w:t>Swollen joint count</w:t>
            </w:r>
          </w:p>
        </w:tc>
        <w:tc>
          <w:tcPr>
            <w:tcW w:w="3203" w:type="dxa"/>
          </w:tcPr>
          <w:p w14:paraId="06B050CD" w14:textId="77777777" w:rsidR="00B10E93" w:rsidRDefault="00B10E93" w:rsidP="00E157B1">
            <w:pPr>
              <w:jc w:val="center"/>
              <w:rPr>
                <w:rFonts w:eastAsia="Times New Roman" w:cs="Times New Roman"/>
                <w:color w:val="000000"/>
                <w:lang w:eastAsia="en-GB"/>
              </w:rPr>
            </w:pPr>
            <w:r>
              <w:rPr>
                <w:rFonts w:eastAsia="Times New Roman" w:cs="Times New Roman"/>
                <w:color w:val="000000"/>
                <w:lang w:eastAsia="en-GB"/>
              </w:rPr>
              <w:t>372 (6.0%)</w:t>
            </w:r>
          </w:p>
          <w:p w14:paraId="35187BF3" w14:textId="77777777" w:rsidR="00B10E93" w:rsidRPr="004B4AE9" w:rsidRDefault="00B10E93" w:rsidP="00E157B1">
            <w:pPr>
              <w:jc w:val="center"/>
              <w:rPr>
                <w:rFonts w:eastAsia="Times New Roman" w:cs="Times New Roman"/>
                <w:color w:val="000000"/>
                <w:lang w:eastAsia="en-GB"/>
              </w:rPr>
            </w:pPr>
          </w:p>
        </w:tc>
      </w:tr>
      <w:tr w:rsidR="00B10E93" w:rsidRPr="009B3D03" w14:paraId="13104516" w14:textId="77777777" w:rsidTr="0039204A">
        <w:trPr>
          <w:trHeight w:val="567"/>
        </w:trPr>
        <w:tc>
          <w:tcPr>
            <w:tcW w:w="3071" w:type="dxa"/>
          </w:tcPr>
          <w:p w14:paraId="52DD45AA" w14:textId="77777777" w:rsidR="00B10E93" w:rsidRPr="0039204A" w:rsidRDefault="00B10E93" w:rsidP="00E157B1">
            <w:pPr>
              <w:rPr>
                <w:rFonts w:eastAsia="Times New Roman" w:cs="Times New Roman"/>
                <w:b/>
                <w:bCs/>
                <w:color w:val="000000"/>
                <w:lang w:eastAsia="en-GB"/>
              </w:rPr>
            </w:pPr>
            <w:r w:rsidRPr="0039204A">
              <w:rPr>
                <w:rFonts w:eastAsia="Times New Roman" w:cs="Times New Roman"/>
                <w:b/>
                <w:bCs/>
                <w:color w:val="000000"/>
                <w:lang w:eastAsia="en-GB"/>
              </w:rPr>
              <w:t>Patient global VAS</w:t>
            </w:r>
          </w:p>
        </w:tc>
        <w:tc>
          <w:tcPr>
            <w:tcW w:w="3203" w:type="dxa"/>
          </w:tcPr>
          <w:p w14:paraId="0DC67F5A" w14:textId="77777777" w:rsidR="00B10E93" w:rsidRPr="004B4AE9" w:rsidRDefault="00B10E93" w:rsidP="00E157B1">
            <w:pPr>
              <w:jc w:val="center"/>
              <w:rPr>
                <w:rFonts w:eastAsia="Times New Roman" w:cs="Times New Roman"/>
                <w:color w:val="000000"/>
                <w:lang w:eastAsia="en-GB"/>
              </w:rPr>
            </w:pPr>
            <w:r>
              <w:rPr>
                <w:rFonts w:eastAsia="Times New Roman" w:cs="Times New Roman"/>
                <w:color w:val="000000"/>
                <w:lang w:eastAsia="en-GB"/>
              </w:rPr>
              <w:t>1012 (16.3%)</w:t>
            </w:r>
          </w:p>
        </w:tc>
      </w:tr>
      <w:tr w:rsidR="00B10E93" w:rsidRPr="009B3D03" w14:paraId="27B2556B" w14:textId="77777777" w:rsidTr="0039204A">
        <w:trPr>
          <w:trHeight w:val="567"/>
        </w:trPr>
        <w:tc>
          <w:tcPr>
            <w:tcW w:w="3071" w:type="dxa"/>
          </w:tcPr>
          <w:p w14:paraId="723728F7" w14:textId="77777777" w:rsidR="00B10E93" w:rsidRPr="0039204A" w:rsidRDefault="00B10E93" w:rsidP="00E157B1">
            <w:pPr>
              <w:rPr>
                <w:rFonts w:eastAsia="Times New Roman" w:cs="Times New Roman"/>
                <w:b/>
                <w:bCs/>
                <w:color w:val="000000"/>
                <w:lang w:eastAsia="en-GB"/>
              </w:rPr>
            </w:pPr>
            <w:r w:rsidRPr="0039204A">
              <w:rPr>
                <w:rFonts w:eastAsia="Times New Roman" w:cs="Times New Roman"/>
                <w:b/>
                <w:bCs/>
                <w:color w:val="000000"/>
                <w:lang w:eastAsia="en-GB"/>
              </w:rPr>
              <w:t>ESR</w:t>
            </w:r>
          </w:p>
        </w:tc>
        <w:tc>
          <w:tcPr>
            <w:tcW w:w="3203" w:type="dxa"/>
          </w:tcPr>
          <w:p w14:paraId="492B92FA" w14:textId="77777777" w:rsidR="00B10E93" w:rsidRPr="004B4AE9" w:rsidRDefault="00B10E93" w:rsidP="00E157B1">
            <w:pPr>
              <w:jc w:val="center"/>
              <w:rPr>
                <w:rFonts w:eastAsia="Times New Roman" w:cs="Times New Roman"/>
                <w:color w:val="000000"/>
                <w:lang w:eastAsia="en-GB"/>
              </w:rPr>
            </w:pPr>
            <w:r>
              <w:rPr>
                <w:rFonts w:eastAsia="Times New Roman" w:cs="Times New Roman"/>
                <w:color w:val="000000"/>
                <w:lang w:eastAsia="en-GB"/>
              </w:rPr>
              <w:t>2075 (33.4%)</w:t>
            </w:r>
          </w:p>
        </w:tc>
      </w:tr>
      <w:tr w:rsidR="00B10E93" w:rsidRPr="009B3D03" w14:paraId="31EA1AC9" w14:textId="77777777" w:rsidTr="0039204A">
        <w:trPr>
          <w:trHeight w:val="567"/>
        </w:trPr>
        <w:tc>
          <w:tcPr>
            <w:tcW w:w="3071" w:type="dxa"/>
          </w:tcPr>
          <w:p w14:paraId="7F83A01E" w14:textId="77777777" w:rsidR="00B10E93" w:rsidRPr="0039204A" w:rsidRDefault="00B10E93" w:rsidP="00E157B1">
            <w:pPr>
              <w:rPr>
                <w:rFonts w:eastAsia="Times New Roman" w:cs="Times New Roman"/>
                <w:b/>
                <w:bCs/>
                <w:color w:val="000000"/>
                <w:lang w:eastAsia="en-GB"/>
              </w:rPr>
            </w:pPr>
            <w:r w:rsidRPr="0039204A">
              <w:rPr>
                <w:rFonts w:eastAsia="Times New Roman" w:cs="Times New Roman"/>
                <w:b/>
                <w:bCs/>
                <w:color w:val="000000"/>
                <w:lang w:eastAsia="en-GB"/>
              </w:rPr>
              <w:t>CRP</w:t>
            </w:r>
          </w:p>
        </w:tc>
        <w:tc>
          <w:tcPr>
            <w:tcW w:w="3203" w:type="dxa"/>
          </w:tcPr>
          <w:p w14:paraId="77A28C37" w14:textId="77777777" w:rsidR="00B10E93" w:rsidRPr="004B4AE9" w:rsidRDefault="00B10E93" w:rsidP="00E157B1">
            <w:pPr>
              <w:jc w:val="center"/>
              <w:rPr>
                <w:rFonts w:eastAsia="Times New Roman" w:cs="Times New Roman"/>
                <w:color w:val="000000"/>
                <w:lang w:eastAsia="en-GB"/>
              </w:rPr>
            </w:pPr>
            <w:r>
              <w:rPr>
                <w:rFonts w:eastAsia="Times New Roman" w:cs="Times New Roman"/>
                <w:color w:val="000000"/>
                <w:lang w:eastAsia="en-GB"/>
              </w:rPr>
              <w:t>1625 (26.2%)</w:t>
            </w:r>
          </w:p>
        </w:tc>
      </w:tr>
      <w:tr w:rsidR="00B10E93" w:rsidRPr="009B3D03" w14:paraId="059A622F" w14:textId="77777777" w:rsidTr="0039204A">
        <w:trPr>
          <w:trHeight w:val="567"/>
        </w:trPr>
        <w:tc>
          <w:tcPr>
            <w:tcW w:w="3071" w:type="dxa"/>
          </w:tcPr>
          <w:p w14:paraId="7D124DC8" w14:textId="77777777" w:rsidR="00B10E93" w:rsidRPr="0039204A" w:rsidRDefault="00B10E93" w:rsidP="00E157B1">
            <w:pPr>
              <w:rPr>
                <w:rFonts w:eastAsia="Times New Roman" w:cs="Times New Roman"/>
                <w:b/>
                <w:bCs/>
                <w:color w:val="000000"/>
                <w:lang w:eastAsia="en-GB"/>
              </w:rPr>
            </w:pPr>
            <w:r w:rsidRPr="0039204A">
              <w:rPr>
                <w:rFonts w:eastAsia="Times New Roman" w:cs="Times New Roman"/>
                <w:b/>
                <w:bCs/>
                <w:color w:val="000000"/>
                <w:lang w:eastAsia="en-GB"/>
              </w:rPr>
              <w:t>ESR and CRP</w:t>
            </w:r>
          </w:p>
        </w:tc>
        <w:tc>
          <w:tcPr>
            <w:tcW w:w="3203" w:type="dxa"/>
          </w:tcPr>
          <w:p w14:paraId="423EFDC6" w14:textId="77777777" w:rsidR="00B10E93" w:rsidRPr="004B4AE9" w:rsidRDefault="00B10E93" w:rsidP="00E157B1">
            <w:pPr>
              <w:jc w:val="center"/>
              <w:rPr>
                <w:rFonts w:eastAsia="Times New Roman" w:cs="Times New Roman"/>
                <w:color w:val="000000"/>
                <w:lang w:eastAsia="en-GB"/>
              </w:rPr>
            </w:pPr>
            <w:r>
              <w:rPr>
                <w:rFonts w:eastAsia="Times New Roman" w:cs="Times New Roman"/>
                <w:color w:val="000000"/>
                <w:lang w:eastAsia="en-GB"/>
              </w:rPr>
              <w:t>472 (7.6%)</w:t>
            </w:r>
          </w:p>
        </w:tc>
      </w:tr>
    </w:tbl>
    <w:p w14:paraId="29AC8FD9" w14:textId="0201147A" w:rsidR="00B10E93" w:rsidRDefault="00B10E93" w:rsidP="00DF415A">
      <w:pPr>
        <w:jc w:val="both"/>
        <w:rPr>
          <w:rFonts w:cs="ArialMT"/>
          <w:i/>
          <w:iCs/>
          <w:sz w:val="18"/>
          <w:szCs w:val="18"/>
        </w:rPr>
      </w:pPr>
      <w:r w:rsidRPr="00B10E93">
        <w:rPr>
          <w:rFonts w:cs="ArialMT"/>
          <w:i/>
          <w:iCs/>
          <w:sz w:val="18"/>
          <w:szCs w:val="18"/>
        </w:rPr>
        <w:t xml:space="preserve">VAS – visual </w:t>
      </w:r>
      <w:proofErr w:type="spellStart"/>
      <w:r w:rsidRPr="00B10E93">
        <w:rPr>
          <w:rFonts w:cs="ArialMT"/>
          <w:i/>
          <w:iCs/>
          <w:sz w:val="18"/>
          <w:szCs w:val="18"/>
        </w:rPr>
        <w:t>analog</w:t>
      </w:r>
      <w:proofErr w:type="spellEnd"/>
      <w:r w:rsidRPr="00B10E93">
        <w:rPr>
          <w:rFonts w:cs="ArialMT"/>
          <w:i/>
          <w:iCs/>
          <w:sz w:val="18"/>
          <w:szCs w:val="18"/>
        </w:rPr>
        <w:t xml:space="preserve"> scale. ESR = erythrocyte sedimentation rate. CRP = C-reactive protein. </w:t>
      </w:r>
    </w:p>
    <w:p w14:paraId="7E7B3A66" w14:textId="77777777" w:rsidR="0039204A" w:rsidRPr="00B10E93" w:rsidRDefault="0039204A" w:rsidP="00DF415A">
      <w:pPr>
        <w:jc w:val="both"/>
        <w:rPr>
          <w:rFonts w:cs="ArialMT"/>
          <w:i/>
          <w:iCs/>
          <w:sz w:val="18"/>
          <w:szCs w:val="18"/>
        </w:rPr>
      </w:pPr>
    </w:p>
    <w:p w14:paraId="0F75B729" w14:textId="6F8095BE" w:rsidR="001244BB" w:rsidRDefault="00036C07" w:rsidP="002830C8">
      <w:pPr>
        <w:spacing w:line="480" w:lineRule="auto"/>
        <w:jc w:val="both"/>
        <w:rPr>
          <w:rFonts w:cs="ArialMT"/>
          <w:sz w:val="24"/>
          <w:szCs w:val="24"/>
        </w:rPr>
      </w:pPr>
      <w:r>
        <w:rPr>
          <w:rFonts w:cs="ArialMT"/>
          <w:sz w:val="24"/>
          <w:szCs w:val="24"/>
        </w:rPr>
        <w:t>There were demographic differences between patients with complete</w:t>
      </w:r>
      <w:r w:rsidR="00757FF5">
        <w:rPr>
          <w:rFonts w:cs="ArialMT"/>
          <w:sz w:val="24"/>
          <w:szCs w:val="24"/>
        </w:rPr>
        <w:t xml:space="preserve"> and incomplete baseline</w:t>
      </w:r>
      <w:r>
        <w:rPr>
          <w:rFonts w:cs="ArialMT"/>
          <w:sz w:val="24"/>
          <w:szCs w:val="24"/>
        </w:rPr>
        <w:t xml:space="preserve"> </w:t>
      </w:r>
      <w:r w:rsidR="002C6A18">
        <w:rPr>
          <w:rFonts w:cs="ArialMT"/>
          <w:sz w:val="24"/>
          <w:szCs w:val="24"/>
        </w:rPr>
        <w:t>DAS28</w:t>
      </w:r>
      <w:r>
        <w:rPr>
          <w:rFonts w:cs="ArialMT"/>
          <w:sz w:val="24"/>
          <w:szCs w:val="24"/>
        </w:rPr>
        <w:t xml:space="preserve"> dat</w:t>
      </w:r>
      <w:r w:rsidR="00652F67">
        <w:rPr>
          <w:rFonts w:cs="ArialMT"/>
          <w:sz w:val="24"/>
          <w:szCs w:val="24"/>
        </w:rPr>
        <w:t>a</w:t>
      </w:r>
      <w:r>
        <w:rPr>
          <w:rFonts w:cs="ArialMT"/>
          <w:sz w:val="24"/>
          <w:szCs w:val="24"/>
        </w:rPr>
        <w:t xml:space="preserve"> </w:t>
      </w:r>
      <w:r w:rsidR="00652F67">
        <w:rPr>
          <w:rFonts w:cs="ArialMT"/>
          <w:sz w:val="24"/>
          <w:szCs w:val="24"/>
        </w:rPr>
        <w:t xml:space="preserve">(see </w:t>
      </w:r>
      <w:r w:rsidR="0007470B">
        <w:rPr>
          <w:rFonts w:cs="ArialMT"/>
          <w:sz w:val="24"/>
          <w:szCs w:val="24"/>
        </w:rPr>
        <w:fldChar w:fldCharType="begin"/>
      </w:r>
      <w:r w:rsidR="0007470B">
        <w:rPr>
          <w:rFonts w:cs="ArialMT"/>
          <w:sz w:val="24"/>
          <w:szCs w:val="24"/>
        </w:rPr>
        <w:instrText xml:space="preserve"> REF _Ref22553856 \h </w:instrText>
      </w:r>
      <w:r w:rsidR="002830C8">
        <w:rPr>
          <w:rFonts w:cs="ArialMT"/>
          <w:sz w:val="24"/>
          <w:szCs w:val="24"/>
        </w:rPr>
        <w:instrText xml:space="preserve"> \* MERGEFORMAT </w:instrText>
      </w:r>
      <w:r w:rsidR="0007470B">
        <w:rPr>
          <w:rFonts w:cs="ArialMT"/>
          <w:sz w:val="24"/>
          <w:szCs w:val="24"/>
        </w:rPr>
      </w:r>
      <w:r w:rsidR="0007470B">
        <w:rPr>
          <w:rFonts w:cs="ArialMT"/>
          <w:sz w:val="24"/>
          <w:szCs w:val="24"/>
        </w:rPr>
        <w:fldChar w:fldCharType="separate"/>
      </w:r>
      <w:r w:rsidR="00705614" w:rsidRPr="0007470B">
        <w:rPr>
          <w:color w:val="000000" w:themeColor="text1"/>
          <w:sz w:val="24"/>
          <w:szCs w:val="24"/>
        </w:rPr>
        <w:t xml:space="preserve">Table </w:t>
      </w:r>
      <w:r w:rsidR="00705614">
        <w:rPr>
          <w:noProof/>
          <w:color w:val="000000" w:themeColor="text1"/>
          <w:sz w:val="24"/>
          <w:szCs w:val="24"/>
        </w:rPr>
        <w:t>3</w:t>
      </w:r>
      <w:r w:rsidR="0007470B">
        <w:rPr>
          <w:rFonts w:cs="ArialMT"/>
          <w:sz w:val="24"/>
          <w:szCs w:val="24"/>
        </w:rPr>
        <w:fldChar w:fldCharType="end"/>
      </w:r>
      <w:r w:rsidR="00652F67">
        <w:rPr>
          <w:rFonts w:cs="ArialMT"/>
          <w:sz w:val="24"/>
          <w:szCs w:val="24"/>
        </w:rPr>
        <w:t xml:space="preserve">). </w:t>
      </w:r>
      <w:r w:rsidR="00757FF5">
        <w:rPr>
          <w:rFonts w:cs="ArialMT"/>
          <w:sz w:val="24"/>
          <w:szCs w:val="24"/>
        </w:rPr>
        <w:t>T</w:t>
      </w:r>
      <w:r w:rsidR="007D6F7E">
        <w:rPr>
          <w:rFonts w:cs="ArialMT"/>
          <w:sz w:val="24"/>
          <w:szCs w:val="24"/>
        </w:rPr>
        <w:t>hose with incomplete</w:t>
      </w:r>
      <w:r w:rsidR="00757FF5">
        <w:rPr>
          <w:rFonts w:cs="ArialMT"/>
          <w:sz w:val="24"/>
          <w:szCs w:val="24"/>
        </w:rPr>
        <w:t xml:space="preserve"> baseline</w:t>
      </w:r>
      <w:r w:rsidR="007D6F7E">
        <w:rPr>
          <w:rFonts w:cs="ArialMT"/>
          <w:sz w:val="24"/>
          <w:szCs w:val="24"/>
        </w:rPr>
        <w:t xml:space="preserve"> </w:t>
      </w:r>
      <w:r w:rsidR="002C6A18">
        <w:rPr>
          <w:rFonts w:cs="ArialMT"/>
          <w:sz w:val="24"/>
          <w:szCs w:val="24"/>
        </w:rPr>
        <w:t>DAS28</w:t>
      </w:r>
      <w:r w:rsidR="007D6F7E">
        <w:rPr>
          <w:rFonts w:cs="ArialMT"/>
          <w:sz w:val="24"/>
          <w:szCs w:val="24"/>
        </w:rPr>
        <w:t xml:space="preserve"> data were younger, less likely to smoke, more likely to be in paid work, less likely to be RF or anti-CCP antibody positive and had longer symptom duration prior to presentation. </w:t>
      </w:r>
      <w:r w:rsidR="00757FF5">
        <w:rPr>
          <w:rFonts w:cs="ArialMT"/>
          <w:sz w:val="24"/>
          <w:szCs w:val="24"/>
        </w:rPr>
        <w:t>Amongst t</w:t>
      </w:r>
      <w:r w:rsidR="00652F67">
        <w:rPr>
          <w:rFonts w:cs="ArialMT"/>
          <w:sz w:val="24"/>
          <w:szCs w:val="24"/>
        </w:rPr>
        <w:t xml:space="preserve">hose with </w:t>
      </w:r>
      <w:r w:rsidR="00757FF5">
        <w:rPr>
          <w:rFonts w:cs="ArialMT"/>
          <w:sz w:val="24"/>
          <w:szCs w:val="24"/>
        </w:rPr>
        <w:t>incomplete baseline</w:t>
      </w:r>
      <w:r w:rsidR="00652F67">
        <w:rPr>
          <w:rFonts w:cs="ArialMT"/>
          <w:sz w:val="24"/>
          <w:szCs w:val="24"/>
        </w:rPr>
        <w:t xml:space="preserve"> </w:t>
      </w:r>
      <w:r w:rsidR="002C6A18">
        <w:rPr>
          <w:rFonts w:cs="ArialMT"/>
          <w:sz w:val="24"/>
          <w:szCs w:val="24"/>
        </w:rPr>
        <w:t>DAS28</w:t>
      </w:r>
      <w:r w:rsidR="001244BB">
        <w:rPr>
          <w:rFonts w:cs="ArialMT"/>
          <w:sz w:val="24"/>
          <w:szCs w:val="24"/>
        </w:rPr>
        <w:t>,</w:t>
      </w:r>
      <w:r w:rsidR="007D6F7E">
        <w:rPr>
          <w:rFonts w:cs="ArialMT"/>
          <w:sz w:val="24"/>
          <w:szCs w:val="24"/>
        </w:rPr>
        <w:t xml:space="preserve"> 5</w:t>
      </w:r>
      <w:r w:rsidR="00757FF5">
        <w:rPr>
          <w:rFonts w:cs="ArialMT"/>
          <w:sz w:val="24"/>
          <w:szCs w:val="24"/>
        </w:rPr>
        <w:t>0.3</w:t>
      </w:r>
      <w:r w:rsidR="007D6F7E">
        <w:rPr>
          <w:rFonts w:cs="ArialMT"/>
          <w:sz w:val="24"/>
          <w:szCs w:val="24"/>
        </w:rPr>
        <w:t>%</w:t>
      </w:r>
      <w:r w:rsidR="00802579">
        <w:rPr>
          <w:rFonts w:cs="ArialMT"/>
          <w:sz w:val="24"/>
          <w:szCs w:val="24"/>
        </w:rPr>
        <w:t xml:space="preserve"> were </w:t>
      </w:r>
      <w:r w:rsidR="00652F67">
        <w:rPr>
          <w:rFonts w:cs="ArialMT"/>
          <w:sz w:val="24"/>
          <w:szCs w:val="24"/>
        </w:rPr>
        <w:t xml:space="preserve">commenced on treatment </w:t>
      </w:r>
      <w:r w:rsidR="00F21FBD">
        <w:rPr>
          <w:rFonts w:cs="ArialMT"/>
          <w:sz w:val="24"/>
          <w:szCs w:val="24"/>
        </w:rPr>
        <w:t>within 90 days</w:t>
      </w:r>
      <w:r w:rsidR="007D6F7E">
        <w:rPr>
          <w:rFonts w:cs="ArialMT"/>
          <w:sz w:val="24"/>
          <w:szCs w:val="24"/>
        </w:rPr>
        <w:t xml:space="preserve">, compared to </w:t>
      </w:r>
      <w:r w:rsidR="00757FF5">
        <w:rPr>
          <w:rFonts w:cs="ArialMT"/>
          <w:sz w:val="24"/>
          <w:szCs w:val="24"/>
        </w:rPr>
        <w:t>65</w:t>
      </w:r>
      <w:r w:rsidR="007D6F7E">
        <w:rPr>
          <w:rFonts w:cs="ArialMT"/>
          <w:sz w:val="24"/>
          <w:szCs w:val="24"/>
        </w:rPr>
        <w:t>.</w:t>
      </w:r>
      <w:r w:rsidR="00757FF5">
        <w:rPr>
          <w:rFonts w:cs="ArialMT"/>
          <w:sz w:val="24"/>
          <w:szCs w:val="24"/>
        </w:rPr>
        <w:t>3</w:t>
      </w:r>
      <w:r w:rsidR="007D6F7E">
        <w:rPr>
          <w:rFonts w:cs="ArialMT"/>
          <w:sz w:val="24"/>
          <w:szCs w:val="24"/>
        </w:rPr>
        <w:t xml:space="preserve">% in those with complete </w:t>
      </w:r>
      <w:r w:rsidR="002C6A18">
        <w:rPr>
          <w:rFonts w:cs="ArialMT"/>
          <w:sz w:val="24"/>
          <w:szCs w:val="24"/>
        </w:rPr>
        <w:t>DAS28</w:t>
      </w:r>
      <w:r w:rsidR="007D6F7E">
        <w:rPr>
          <w:rFonts w:cs="ArialMT"/>
          <w:sz w:val="24"/>
          <w:szCs w:val="24"/>
        </w:rPr>
        <w:t xml:space="preserve"> data. </w:t>
      </w:r>
      <w:r w:rsidR="00652F67">
        <w:rPr>
          <w:rFonts w:cs="ArialMT"/>
          <w:sz w:val="24"/>
          <w:szCs w:val="24"/>
        </w:rPr>
        <w:t xml:space="preserve"> </w:t>
      </w:r>
      <w:r w:rsidR="00D962FB">
        <w:rPr>
          <w:rFonts w:cs="ArialMT"/>
          <w:sz w:val="24"/>
          <w:szCs w:val="24"/>
        </w:rPr>
        <w:t xml:space="preserve"> </w:t>
      </w:r>
    </w:p>
    <w:p w14:paraId="77C1CB8F" w14:textId="60AB15EC" w:rsidR="00F41A4B" w:rsidRDefault="00F41A4B" w:rsidP="002830C8">
      <w:pPr>
        <w:spacing w:line="480" w:lineRule="auto"/>
        <w:jc w:val="both"/>
        <w:rPr>
          <w:rFonts w:cs="ArialMT"/>
          <w:sz w:val="24"/>
          <w:szCs w:val="24"/>
        </w:rPr>
      </w:pPr>
    </w:p>
    <w:p w14:paraId="1E74EB02" w14:textId="4826605A" w:rsidR="00F41A4B" w:rsidRDefault="00F41A4B" w:rsidP="00DF415A">
      <w:pPr>
        <w:jc w:val="both"/>
        <w:rPr>
          <w:rFonts w:cs="ArialMT"/>
          <w:sz w:val="24"/>
          <w:szCs w:val="24"/>
        </w:rPr>
      </w:pPr>
    </w:p>
    <w:p w14:paraId="034B38A3" w14:textId="648430F4" w:rsidR="00F41A4B" w:rsidRDefault="00F41A4B" w:rsidP="00DF415A">
      <w:pPr>
        <w:jc w:val="both"/>
        <w:rPr>
          <w:rFonts w:cs="ArialMT"/>
          <w:sz w:val="24"/>
          <w:szCs w:val="24"/>
        </w:rPr>
      </w:pPr>
    </w:p>
    <w:p w14:paraId="3E56FA2D" w14:textId="33091DC6" w:rsidR="00F41A4B" w:rsidRDefault="00F41A4B" w:rsidP="00DF415A">
      <w:pPr>
        <w:jc w:val="both"/>
        <w:rPr>
          <w:rFonts w:cs="ArialMT"/>
          <w:sz w:val="24"/>
          <w:szCs w:val="24"/>
        </w:rPr>
      </w:pPr>
    </w:p>
    <w:p w14:paraId="7FC80733" w14:textId="3BE5A8D7" w:rsidR="00F41A4B" w:rsidRDefault="00F41A4B" w:rsidP="00DF415A">
      <w:pPr>
        <w:jc w:val="both"/>
        <w:rPr>
          <w:rFonts w:cs="ArialMT"/>
          <w:sz w:val="24"/>
          <w:szCs w:val="24"/>
        </w:rPr>
      </w:pPr>
    </w:p>
    <w:p w14:paraId="748B1226" w14:textId="2CA4F7FB" w:rsidR="00F41A4B" w:rsidRDefault="00F41A4B" w:rsidP="00DF415A">
      <w:pPr>
        <w:jc w:val="both"/>
        <w:rPr>
          <w:rFonts w:cs="ArialMT"/>
          <w:sz w:val="24"/>
          <w:szCs w:val="24"/>
        </w:rPr>
      </w:pPr>
    </w:p>
    <w:p w14:paraId="4FCA30AC" w14:textId="23C94212" w:rsidR="00F41A4B" w:rsidRDefault="00F41A4B" w:rsidP="00DF415A">
      <w:pPr>
        <w:jc w:val="both"/>
        <w:rPr>
          <w:rFonts w:cs="ArialMT"/>
          <w:sz w:val="24"/>
          <w:szCs w:val="24"/>
        </w:rPr>
      </w:pPr>
    </w:p>
    <w:p w14:paraId="7AF86B1A" w14:textId="037A596F" w:rsidR="00F41A4B" w:rsidRDefault="00F41A4B" w:rsidP="00DF415A">
      <w:pPr>
        <w:jc w:val="both"/>
        <w:rPr>
          <w:rFonts w:cs="ArialMT"/>
          <w:sz w:val="24"/>
          <w:szCs w:val="24"/>
        </w:rPr>
      </w:pPr>
    </w:p>
    <w:p w14:paraId="07C5A45C" w14:textId="31CDC82B" w:rsidR="00F41A4B" w:rsidRDefault="00F41A4B" w:rsidP="00DF415A">
      <w:pPr>
        <w:jc w:val="both"/>
        <w:rPr>
          <w:rFonts w:cs="ArialMT"/>
          <w:sz w:val="24"/>
          <w:szCs w:val="24"/>
        </w:rPr>
      </w:pPr>
    </w:p>
    <w:p w14:paraId="3E84E154" w14:textId="01185BD7" w:rsidR="00F41A4B" w:rsidRDefault="00F41A4B" w:rsidP="00DF415A">
      <w:pPr>
        <w:jc w:val="both"/>
        <w:rPr>
          <w:rFonts w:cs="ArialMT"/>
          <w:sz w:val="24"/>
          <w:szCs w:val="24"/>
        </w:rPr>
      </w:pPr>
    </w:p>
    <w:p w14:paraId="28F38F34" w14:textId="612E5B46" w:rsidR="0007470B" w:rsidRPr="0007470B" w:rsidRDefault="0007470B" w:rsidP="0007470B">
      <w:pPr>
        <w:pStyle w:val="Caption"/>
        <w:keepNext/>
        <w:rPr>
          <w:color w:val="000000" w:themeColor="text1"/>
          <w:sz w:val="24"/>
          <w:szCs w:val="24"/>
        </w:rPr>
      </w:pPr>
      <w:bookmarkStart w:id="21" w:name="_Ref22553856"/>
      <w:bookmarkStart w:id="22" w:name="_Hlk10038416"/>
      <w:r w:rsidRPr="0007470B">
        <w:rPr>
          <w:color w:val="000000" w:themeColor="text1"/>
          <w:sz w:val="24"/>
          <w:szCs w:val="24"/>
        </w:rPr>
        <w:t xml:space="preserve">Table </w:t>
      </w:r>
      <w:r w:rsidRPr="0007470B">
        <w:rPr>
          <w:color w:val="000000" w:themeColor="text1"/>
          <w:sz w:val="24"/>
          <w:szCs w:val="24"/>
        </w:rPr>
        <w:fldChar w:fldCharType="begin"/>
      </w:r>
      <w:r w:rsidRPr="0007470B">
        <w:rPr>
          <w:color w:val="000000" w:themeColor="text1"/>
          <w:sz w:val="24"/>
          <w:szCs w:val="24"/>
        </w:rPr>
        <w:instrText xml:space="preserve"> SEQ Table \* ARABIC </w:instrText>
      </w:r>
      <w:r w:rsidRPr="0007470B">
        <w:rPr>
          <w:color w:val="000000" w:themeColor="text1"/>
          <w:sz w:val="24"/>
          <w:szCs w:val="24"/>
        </w:rPr>
        <w:fldChar w:fldCharType="separate"/>
      </w:r>
      <w:r w:rsidR="00705614">
        <w:rPr>
          <w:noProof/>
          <w:color w:val="000000" w:themeColor="text1"/>
          <w:sz w:val="24"/>
          <w:szCs w:val="24"/>
        </w:rPr>
        <w:t>3</w:t>
      </w:r>
      <w:r w:rsidRPr="0007470B">
        <w:rPr>
          <w:color w:val="000000" w:themeColor="text1"/>
          <w:sz w:val="24"/>
          <w:szCs w:val="24"/>
        </w:rPr>
        <w:fldChar w:fldCharType="end"/>
      </w:r>
      <w:bookmarkEnd w:id="21"/>
      <w:r w:rsidRPr="0007470B">
        <w:rPr>
          <w:color w:val="000000" w:themeColor="text1"/>
          <w:sz w:val="24"/>
          <w:szCs w:val="24"/>
        </w:rPr>
        <w:t>. Baseline characteristics, disease activity, and quality of care received stratified by complete and incomplete baseline DAS28 data.</w:t>
      </w:r>
    </w:p>
    <w:bookmarkEnd w:id="22"/>
    <w:tbl>
      <w:tblPr>
        <w:tblStyle w:val="TableGrid"/>
        <w:tblW w:w="9699" w:type="dxa"/>
        <w:tblLook w:val="04A0" w:firstRow="1" w:lastRow="0" w:firstColumn="1" w:lastColumn="0" w:noHBand="0" w:noVBand="1"/>
      </w:tblPr>
      <w:tblGrid>
        <w:gridCol w:w="3071"/>
        <w:gridCol w:w="2956"/>
        <w:gridCol w:w="2616"/>
        <w:gridCol w:w="1056"/>
      </w:tblGrid>
      <w:tr w:rsidR="0007470B" w:rsidRPr="009B3D03" w14:paraId="10CC2D16" w14:textId="77777777" w:rsidTr="0039204A">
        <w:trPr>
          <w:trHeight w:val="567"/>
        </w:trPr>
        <w:tc>
          <w:tcPr>
            <w:tcW w:w="3071" w:type="dxa"/>
            <w:hideMark/>
          </w:tcPr>
          <w:p w14:paraId="73783718" w14:textId="77777777" w:rsidR="0007470B" w:rsidRPr="004B4AE9" w:rsidRDefault="0007470B" w:rsidP="00E157B1">
            <w:pPr>
              <w:rPr>
                <w:rFonts w:eastAsia="Times New Roman" w:cs="Times New Roman"/>
                <w:color w:val="000000"/>
                <w:lang w:eastAsia="en-GB"/>
              </w:rPr>
            </w:pPr>
          </w:p>
        </w:tc>
        <w:tc>
          <w:tcPr>
            <w:tcW w:w="2956" w:type="dxa"/>
            <w:hideMark/>
          </w:tcPr>
          <w:p w14:paraId="65E67DBE" w14:textId="04573B63" w:rsidR="0007470B" w:rsidRPr="0039204A" w:rsidRDefault="0007470B" w:rsidP="00E157B1">
            <w:pPr>
              <w:jc w:val="center"/>
              <w:rPr>
                <w:rFonts w:eastAsia="Times New Roman" w:cs="Times New Roman"/>
                <w:b/>
                <w:bCs/>
                <w:lang w:eastAsia="en-GB"/>
              </w:rPr>
            </w:pPr>
            <w:r w:rsidRPr="0039204A">
              <w:rPr>
                <w:rFonts w:eastAsia="Times New Roman" w:cs="Times New Roman"/>
                <w:b/>
                <w:bCs/>
                <w:lang w:eastAsia="en-GB"/>
              </w:rPr>
              <w:t>Complete baseline DAS28 data</w:t>
            </w:r>
          </w:p>
        </w:tc>
        <w:tc>
          <w:tcPr>
            <w:tcW w:w="2616" w:type="dxa"/>
            <w:hideMark/>
          </w:tcPr>
          <w:p w14:paraId="5672BCC3" w14:textId="5EBA5622" w:rsidR="0007470B" w:rsidRPr="0039204A" w:rsidRDefault="0007470B" w:rsidP="00E157B1">
            <w:pPr>
              <w:jc w:val="center"/>
              <w:rPr>
                <w:rFonts w:eastAsia="Times New Roman" w:cs="Times New Roman"/>
                <w:b/>
                <w:bCs/>
                <w:lang w:eastAsia="en-GB"/>
              </w:rPr>
            </w:pPr>
            <w:r w:rsidRPr="0039204A">
              <w:rPr>
                <w:rFonts w:eastAsia="Times New Roman" w:cs="Times New Roman"/>
                <w:b/>
                <w:bCs/>
                <w:lang w:eastAsia="en-GB"/>
              </w:rPr>
              <w:t xml:space="preserve">Incomplete baseline DAS28 data </w:t>
            </w:r>
          </w:p>
        </w:tc>
        <w:tc>
          <w:tcPr>
            <w:tcW w:w="1056" w:type="dxa"/>
          </w:tcPr>
          <w:p w14:paraId="0AC05D69" w14:textId="77777777" w:rsidR="0007470B" w:rsidRPr="0039204A" w:rsidRDefault="0007470B" w:rsidP="00E157B1">
            <w:pPr>
              <w:jc w:val="center"/>
              <w:rPr>
                <w:rFonts w:eastAsia="Times New Roman" w:cs="Times New Roman"/>
                <w:b/>
                <w:bCs/>
                <w:lang w:eastAsia="en-GB"/>
              </w:rPr>
            </w:pPr>
            <w:r w:rsidRPr="0039204A">
              <w:rPr>
                <w:rFonts w:eastAsia="Times New Roman" w:cs="Times New Roman"/>
                <w:b/>
                <w:bCs/>
                <w:lang w:eastAsia="en-GB"/>
              </w:rPr>
              <w:t>p values</w:t>
            </w:r>
          </w:p>
        </w:tc>
      </w:tr>
      <w:tr w:rsidR="0007470B" w:rsidRPr="009B3D03" w14:paraId="318EE49D" w14:textId="77777777" w:rsidTr="0039204A">
        <w:trPr>
          <w:trHeight w:val="567"/>
        </w:trPr>
        <w:tc>
          <w:tcPr>
            <w:tcW w:w="3071" w:type="dxa"/>
            <w:hideMark/>
          </w:tcPr>
          <w:p w14:paraId="03EA515B" w14:textId="77777777" w:rsidR="0007470B" w:rsidRPr="004B4AE9" w:rsidRDefault="0007470B" w:rsidP="00E157B1">
            <w:pPr>
              <w:rPr>
                <w:rFonts w:eastAsia="Times New Roman" w:cs="Times New Roman"/>
                <w:color w:val="000000"/>
                <w:lang w:eastAsia="en-GB"/>
              </w:rPr>
            </w:pPr>
            <w:r w:rsidRPr="004B4AE9">
              <w:rPr>
                <w:rFonts w:eastAsia="Times New Roman" w:cs="Times New Roman"/>
                <w:color w:val="000000"/>
                <w:lang w:eastAsia="en-GB"/>
              </w:rPr>
              <w:t xml:space="preserve"> </w:t>
            </w:r>
          </w:p>
        </w:tc>
        <w:tc>
          <w:tcPr>
            <w:tcW w:w="2956" w:type="dxa"/>
            <w:hideMark/>
          </w:tcPr>
          <w:p w14:paraId="4F3FB18D"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 xml:space="preserve">(N = </w:t>
            </w:r>
            <w:r>
              <w:rPr>
                <w:rFonts w:eastAsia="Times New Roman" w:cs="Times New Roman"/>
                <w:color w:val="000000"/>
                <w:lang w:eastAsia="en-GB"/>
              </w:rPr>
              <w:t>4,075</w:t>
            </w:r>
            <w:r w:rsidRPr="004B4AE9">
              <w:rPr>
                <w:rFonts w:eastAsia="Times New Roman" w:cs="Times New Roman"/>
                <w:color w:val="000000"/>
                <w:lang w:eastAsia="en-GB"/>
              </w:rPr>
              <w:t>)</w:t>
            </w:r>
          </w:p>
        </w:tc>
        <w:tc>
          <w:tcPr>
            <w:tcW w:w="2616" w:type="dxa"/>
            <w:hideMark/>
          </w:tcPr>
          <w:p w14:paraId="598B4F7A"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 xml:space="preserve">(N = </w:t>
            </w:r>
            <w:r>
              <w:rPr>
                <w:rFonts w:eastAsia="Times New Roman" w:cs="Times New Roman"/>
                <w:color w:val="000000"/>
                <w:lang w:eastAsia="en-GB"/>
              </w:rPr>
              <w:t>2,130</w:t>
            </w:r>
            <w:r w:rsidRPr="004B4AE9">
              <w:rPr>
                <w:rFonts w:eastAsia="Times New Roman" w:cs="Times New Roman"/>
                <w:color w:val="000000"/>
                <w:lang w:eastAsia="en-GB"/>
              </w:rPr>
              <w:t>)</w:t>
            </w:r>
          </w:p>
        </w:tc>
        <w:tc>
          <w:tcPr>
            <w:tcW w:w="1056" w:type="dxa"/>
          </w:tcPr>
          <w:p w14:paraId="5074F2AE" w14:textId="77777777" w:rsidR="0007470B" w:rsidRPr="004B4AE9" w:rsidRDefault="0007470B" w:rsidP="00E157B1">
            <w:pPr>
              <w:jc w:val="center"/>
              <w:rPr>
                <w:rFonts w:eastAsia="Times New Roman" w:cs="Times New Roman"/>
                <w:color w:val="000000"/>
                <w:lang w:eastAsia="en-GB"/>
              </w:rPr>
            </w:pPr>
          </w:p>
        </w:tc>
      </w:tr>
      <w:tr w:rsidR="0007470B" w:rsidRPr="009B3D03" w14:paraId="4CA9E61B" w14:textId="77777777" w:rsidTr="0039204A">
        <w:trPr>
          <w:trHeight w:val="567"/>
        </w:trPr>
        <w:tc>
          <w:tcPr>
            <w:tcW w:w="3071" w:type="dxa"/>
          </w:tcPr>
          <w:p w14:paraId="51E527FC"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Age, mean (SD)</w:t>
            </w:r>
          </w:p>
        </w:tc>
        <w:tc>
          <w:tcPr>
            <w:tcW w:w="2956" w:type="dxa"/>
          </w:tcPr>
          <w:p w14:paraId="5F3BDD4A"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59.</w:t>
            </w:r>
            <w:r>
              <w:rPr>
                <w:rFonts w:eastAsia="Times New Roman" w:cs="Times New Roman"/>
                <w:color w:val="000000"/>
                <w:lang w:eastAsia="en-GB"/>
              </w:rPr>
              <w:t>0</w:t>
            </w:r>
            <w:r w:rsidRPr="004B4AE9">
              <w:rPr>
                <w:rFonts w:eastAsia="Times New Roman" w:cs="Times New Roman"/>
                <w:color w:val="000000"/>
                <w:lang w:eastAsia="en-GB"/>
              </w:rPr>
              <w:t xml:space="preserve"> (14.</w:t>
            </w:r>
            <w:r>
              <w:rPr>
                <w:rFonts w:eastAsia="Times New Roman" w:cs="Times New Roman"/>
                <w:color w:val="000000"/>
                <w:lang w:eastAsia="en-GB"/>
              </w:rPr>
              <w:t>8</w:t>
            </w:r>
            <w:r w:rsidRPr="004B4AE9">
              <w:rPr>
                <w:rFonts w:eastAsia="Times New Roman" w:cs="Times New Roman"/>
                <w:color w:val="000000"/>
                <w:lang w:eastAsia="en-GB"/>
              </w:rPr>
              <w:t>)</w:t>
            </w:r>
          </w:p>
        </w:tc>
        <w:tc>
          <w:tcPr>
            <w:tcW w:w="2616" w:type="dxa"/>
          </w:tcPr>
          <w:p w14:paraId="16A54B8F"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5</w:t>
            </w:r>
            <w:r>
              <w:rPr>
                <w:rFonts w:eastAsia="Times New Roman" w:cs="Times New Roman"/>
                <w:color w:val="000000"/>
                <w:lang w:eastAsia="en-GB"/>
              </w:rPr>
              <w:t>6</w:t>
            </w:r>
            <w:r w:rsidRPr="004B4AE9">
              <w:rPr>
                <w:rFonts w:eastAsia="Times New Roman" w:cs="Times New Roman"/>
                <w:color w:val="000000"/>
                <w:lang w:eastAsia="en-GB"/>
              </w:rPr>
              <w:t>.</w:t>
            </w:r>
            <w:r>
              <w:rPr>
                <w:rFonts w:eastAsia="Times New Roman" w:cs="Times New Roman"/>
                <w:color w:val="000000"/>
                <w:lang w:eastAsia="en-GB"/>
              </w:rPr>
              <w:t>6</w:t>
            </w:r>
            <w:r w:rsidRPr="004B4AE9">
              <w:rPr>
                <w:rFonts w:eastAsia="Times New Roman" w:cs="Times New Roman"/>
                <w:color w:val="000000"/>
                <w:lang w:eastAsia="en-GB"/>
              </w:rPr>
              <w:t xml:space="preserve"> (15.</w:t>
            </w:r>
            <w:r>
              <w:rPr>
                <w:rFonts w:eastAsia="Times New Roman" w:cs="Times New Roman"/>
                <w:color w:val="000000"/>
                <w:lang w:eastAsia="en-GB"/>
              </w:rPr>
              <w:t>8</w:t>
            </w:r>
            <w:r w:rsidRPr="004B4AE9">
              <w:rPr>
                <w:rFonts w:eastAsia="Times New Roman" w:cs="Times New Roman"/>
                <w:color w:val="000000"/>
                <w:lang w:eastAsia="en-GB"/>
              </w:rPr>
              <w:t>)</w:t>
            </w:r>
          </w:p>
        </w:tc>
        <w:tc>
          <w:tcPr>
            <w:tcW w:w="1056" w:type="dxa"/>
          </w:tcPr>
          <w:p w14:paraId="5E506119"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&lt;0.0001</w:t>
            </w:r>
          </w:p>
        </w:tc>
      </w:tr>
      <w:tr w:rsidR="0007470B" w:rsidRPr="009B3D03" w14:paraId="7860C447" w14:textId="77777777" w:rsidTr="0039204A">
        <w:trPr>
          <w:trHeight w:val="567"/>
        </w:trPr>
        <w:tc>
          <w:tcPr>
            <w:tcW w:w="3071" w:type="dxa"/>
          </w:tcPr>
          <w:p w14:paraId="2CED7479"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Female</w:t>
            </w:r>
          </w:p>
        </w:tc>
        <w:tc>
          <w:tcPr>
            <w:tcW w:w="2956" w:type="dxa"/>
          </w:tcPr>
          <w:p w14:paraId="2C9A178E"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6</w:t>
            </w:r>
            <w:r>
              <w:rPr>
                <w:rFonts w:eastAsia="Times New Roman" w:cs="Times New Roman"/>
                <w:color w:val="000000"/>
                <w:lang w:eastAsia="en-GB"/>
              </w:rPr>
              <w:t>4.1</w:t>
            </w:r>
            <w:r w:rsidRPr="004B4AE9">
              <w:rPr>
                <w:rFonts w:eastAsia="Times New Roman" w:cs="Times New Roman"/>
                <w:color w:val="000000"/>
                <w:lang w:eastAsia="en-GB"/>
              </w:rPr>
              <w:t>%</w:t>
            </w:r>
          </w:p>
        </w:tc>
        <w:tc>
          <w:tcPr>
            <w:tcW w:w="2616" w:type="dxa"/>
          </w:tcPr>
          <w:p w14:paraId="2E867502"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6</w:t>
            </w:r>
            <w:r>
              <w:rPr>
                <w:rFonts w:eastAsia="Times New Roman" w:cs="Times New Roman"/>
                <w:color w:val="000000"/>
                <w:lang w:eastAsia="en-GB"/>
              </w:rPr>
              <w:t>2</w:t>
            </w:r>
            <w:r w:rsidRPr="004B4AE9">
              <w:rPr>
                <w:rFonts w:eastAsia="Times New Roman" w:cs="Times New Roman"/>
                <w:color w:val="000000"/>
                <w:lang w:eastAsia="en-GB"/>
              </w:rPr>
              <w:t>.</w:t>
            </w:r>
            <w:r>
              <w:rPr>
                <w:rFonts w:eastAsia="Times New Roman" w:cs="Times New Roman"/>
                <w:color w:val="000000"/>
                <w:lang w:eastAsia="en-GB"/>
              </w:rPr>
              <w:t>8</w:t>
            </w:r>
            <w:r w:rsidRPr="004B4AE9">
              <w:rPr>
                <w:rFonts w:eastAsia="Times New Roman" w:cs="Times New Roman"/>
                <w:color w:val="000000"/>
                <w:lang w:eastAsia="en-GB"/>
              </w:rPr>
              <w:t>%</w:t>
            </w:r>
          </w:p>
        </w:tc>
        <w:tc>
          <w:tcPr>
            <w:tcW w:w="1056" w:type="dxa"/>
          </w:tcPr>
          <w:p w14:paraId="7743A012"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0.3</w:t>
            </w:r>
          </w:p>
        </w:tc>
      </w:tr>
      <w:tr w:rsidR="0007470B" w:rsidRPr="009B3D03" w14:paraId="605C24E6" w14:textId="77777777" w:rsidTr="0039204A">
        <w:trPr>
          <w:trHeight w:val="567"/>
        </w:trPr>
        <w:tc>
          <w:tcPr>
            <w:tcW w:w="3071" w:type="dxa"/>
            <w:hideMark/>
          </w:tcPr>
          <w:p w14:paraId="3356CDCE"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IMD rank, median (Q1, Q3)</w:t>
            </w:r>
          </w:p>
        </w:tc>
        <w:tc>
          <w:tcPr>
            <w:tcW w:w="2956" w:type="dxa"/>
            <w:hideMark/>
          </w:tcPr>
          <w:p w14:paraId="242234F9"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6</w:t>
            </w:r>
            <w:r>
              <w:rPr>
                <w:rFonts w:eastAsia="Times New Roman" w:cs="Times New Roman"/>
                <w:color w:val="000000"/>
                <w:lang w:eastAsia="en-GB"/>
              </w:rPr>
              <w:t xml:space="preserve">38 </w:t>
            </w:r>
            <w:r w:rsidRPr="004B4AE9">
              <w:rPr>
                <w:rFonts w:eastAsia="Times New Roman" w:cs="Times New Roman"/>
                <w:color w:val="000000"/>
                <w:lang w:eastAsia="en-GB"/>
              </w:rPr>
              <w:t>(</w:t>
            </w:r>
            <w:r>
              <w:rPr>
                <w:rFonts w:eastAsia="Times New Roman" w:cs="Times New Roman"/>
                <w:color w:val="000000"/>
                <w:lang w:eastAsia="en-GB"/>
              </w:rPr>
              <w:t>306</w:t>
            </w:r>
            <w:r w:rsidRPr="004B4AE9">
              <w:rPr>
                <w:rFonts w:eastAsia="Times New Roman" w:cs="Times New Roman"/>
                <w:color w:val="000000"/>
                <w:lang w:eastAsia="en-GB"/>
              </w:rPr>
              <w:t>, 10</w:t>
            </w:r>
            <w:r>
              <w:rPr>
                <w:rFonts w:eastAsia="Times New Roman" w:cs="Times New Roman"/>
                <w:color w:val="000000"/>
                <w:lang w:eastAsia="en-GB"/>
              </w:rPr>
              <w:t>21</w:t>
            </w:r>
            <w:r w:rsidRPr="004B4AE9">
              <w:rPr>
                <w:rFonts w:eastAsia="Times New Roman" w:cs="Times New Roman"/>
                <w:color w:val="000000"/>
                <w:lang w:eastAsia="en-GB"/>
              </w:rPr>
              <w:t>)</w:t>
            </w:r>
          </w:p>
        </w:tc>
        <w:tc>
          <w:tcPr>
            <w:tcW w:w="2616" w:type="dxa"/>
            <w:hideMark/>
          </w:tcPr>
          <w:p w14:paraId="4F5705D4"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6</w:t>
            </w:r>
            <w:r>
              <w:rPr>
                <w:rFonts w:eastAsia="Times New Roman" w:cs="Times New Roman"/>
                <w:color w:val="000000"/>
                <w:lang w:eastAsia="en-GB"/>
              </w:rPr>
              <w:t>39</w:t>
            </w:r>
            <w:r w:rsidRPr="004B4AE9">
              <w:rPr>
                <w:rFonts w:eastAsia="Times New Roman" w:cs="Times New Roman"/>
                <w:color w:val="000000"/>
                <w:lang w:eastAsia="en-GB"/>
              </w:rPr>
              <w:t xml:space="preserve"> (</w:t>
            </w:r>
            <w:r>
              <w:rPr>
                <w:rFonts w:eastAsia="Times New Roman" w:cs="Times New Roman"/>
                <w:color w:val="000000"/>
                <w:lang w:eastAsia="en-GB"/>
              </w:rPr>
              <w:t>270</w:t>
            </w:r>
            <w:r w:rsidRPr="004B4AE9">
              <w:rPr>
                <w:rFonts w:eastAsia="Times New Roman" w:cs="Times New Roman"/>
                <w:color w:val="000000"/>
                <w:lang w:eastAsia="en-GB"/>
              </w:rPr>
              <w:t>, 10</w:t>
            </w:r>
            <w:r>
              <w:rPr>
                <w:rFonts w:eastAsia="Times New Roman" w:cs="Times New Roman"/>
                <w:color w:val="000000"/>
                <w:lang w:eastAsia="en-GB"/>
              </w:rPr>
              <w:t>21</w:t>
            </w:r>
            <w:r w:rsidRPr="004B4AE9">
              <w:rPr>
                <w:rFonts w:eastAsia="Times New Roman" w:cs="Times New Roman"/>
                <w:color w:val="000000"/>
                <w:lang w:eastAsia="en-GB"/>
              </w:rPr>
              <w:t>)</w:t>
            </w:r>
          </w:p>
        </w:tc>
        <w:tc>
          <w:tcPr>
            <w:tcW w:w="1056" w:type="dxa"/>
          </w:tcPr>
          <w:p w14:paraId="588779E5" w14:textId="77777777" w:rsidR="0007470B" w:rsidRPr="007F75CB" w:rsidRDefault="0007470B" w:rsidP="00E157B1">
            <w:pPr>
              <w:jc w:val="center"/>
              <w:rPr>
                <w:rFonts w:eastAsia="Times New Roman" w:cs="Times New Roman"/>
                <w:color w:val="000000" w:themeColor="text1"/>
                <w:lang w:eastAsia="en-GB"/>
              </w:rPr>
            </w:pPr>
            <w:r>
              <w:rPr>
                <w:rFonts w:eastAsia="Times New Roman" w:cs="Times New Roman"/>
                <w:color w:val="000000" w:themeColor="text1"/>
                <w:lang w:eastAsia="en-GB"/>
              </w:rPr>
              <w:t>0.3</w:t>
            </w:r>
          </w:p>
        </w:tc>
      </w:tr>
      <w:tr w:rsidR="0007470B" w:rsidRPr="009B3D03" w14:paraId="69927954" w14:textId="77777777" w:rsidTr="0039204A">
        <w:trPr>
          <w:trHeight w:val="567"/>
        </w:trPr>
        <w:tc>
          <w:tcPr>
            <w:tcW w:w="3071" w:type="dxa"/>
            <w:hideMark/>
          </w:tcPr>
          <w:p w14:paraId="4A007C2C"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White European</w:t>
            </w:r>
          </w:p>
        </w:tc>
        <w:tc>
          <w:tcPr>
            <w:tcW w:w="2956" w:type="dxa"/>
            <w:hideMark/>
          </w:tcPr>
          <w:p w14:paraId="0FA87E0D"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9</w:t>
            </w:r>
            <w:r>
              <w:rPr>
                <w:rFonts w:eastAsia="Times New Roman" w:cs="Times New Roman"/>
                <w:color w:val="000000"/>
                <w:lang w:eastAsia="en-GB"/>
              </w:rPr>
              <w:t>0</w:t>
            </w:r>
            <w:r w:rsidRPr="004B4AE9">
              <w:rPr>
                <w:rFonts w:eastAsia="Times New Roman" w:cs="Times New Roman"/>
                <w:color w:val="000000"/>
                <w:lang w:eastAsia="en-GB"/>
              </w:rPr>
              <w:t>.</w:t>
            </w:r>
            <w:r>
              <w:rPr>
                <w:rFonts w:eastAsia="Times New Roman" w:cs="Times New Roman"/>
                <w:color w:val="000000"/>
                <w:lang w:eastAsia="en-GB"/>
              </w:rPr>
              <w:t>6</w:t>
            </w:r>
            <w:r w:rsidRPr="004B4AE9">
              <w:rPr>
                <w:rFonts w:eastAsia="Times New Roman" w:cs="Times New Roman"/>
                <w:color w:val="000000"/>
                <w:lang w:eastAsia="en-GB"/>
              </w:rPr>
              <w:t>%</w:t>
            </w:r>
          </w:p>
        </w:tc>
        <w:tc>
          <w:tcPr>
            <w:tcW w:w="2616" w:type="dxa"/>
            <w:hideMark/>
          </w:tcPr>
          <w:p w14:paraId="4DF878F0"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9</w:t>
            </w:r>
            <w:r>
              <w:rPr>
                <w:rFonts w:eastAsia="Times New Roman" w:cs="Times New Roman"/>
                <w:color w:val="000000"/>
                <w:lang w:eastAsia="en-GB"/>
              </w:rPr>
              <w:t>1.3</w:t>
            </w:r>
            <w:r w:rsidRPr="004B4AE9">
              <w:rPr>
                <w:rFonts w:eastAsia="Times New Roman" w:cs="Times New Roman"/>
                <w:color w:val="000000"/>
                <w:lang w:eastAsia="en-GB"/>
              </w:rPr>
              <w:t>%</w:t>
            </w:r>
          </w:p>
        </w:tc>
        <w:tc>
          <w:tcPr>
            <w:tcW w:w="1056" w:type="dxa"/>
          </w:tcPr>
          <w:p w14:paraId="50445C37" w14:textId="77777777" w:rsidR="0007470B" w:rsidRPr="007F75CB" w:rsidRDefault="0007470B" w:rsidP="00E157B1">
            <w:pPr>
              <w:jc w:val="center"/>
              <w:rPr>
                <w:rFonts w:eastAsia="Times New Roman" w:cs="Times New Roman"/>
                <w:color w:val="000000" w:themeColor="text1"/>
                <w:lang w:eastAsia="en-GB"/>
              </w:rPr>
            </w:pPr>
            <w:r>
              <w:rPr>
                <w:rFonts w:eastAsia="Times New Roman" w:cs="Times New Roman"/>
                <w:color w:val="000000" w:themeColor="text1"/>
                <w:lang w:eastAsia="en-GB"/>
              </w:rPr>
              <w:t>0.5</w:t>
            </w:r>
          </w:p>
        </w:tc>
      </w:tr>
      <w:tr w:rsidR="0007470B" w:rsidRPr="009B3D03" w14:paraId="059D9F85" w14:textId="77777777" w:rsidTr="0039204A">
        <w:trPr>
          <w:trHeight w:val="567"/>
        </w:trPr>
        <w:tc>
          <w:tcPr>
            <w:tcW w:w="3071" w:type="dxa"/>
            <w:hideMark/>
          </w:tcPr>
          <w:p w14:paraId="33457311"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Current Smoker</w:t>
            </w:r>
          </w:p>
        </w:tc>
        <w:tc>
          <w:tcPr>
            <w:tcW w:w="2956" w:type="dxa"/>
            <w:hideMark/>
          </w:tcPr>
          <w:p w14:paraId="0A5C2E11"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2</w:t>
            </w:r>
            <w:r>
              <w:rPr>
                <w:rFonts w:eastAsia="Times New Roman" w:cs="Times New Roman"/>
                <w:color w:val="000000"/>
                <w:lang w:eastAsia="en-GB"/>
              </w:rPr>
              <w:t>3.5</w:t>
            </w:r>
            <w:r w:rsidRPr="004B4AE9">
              <w:rPr>
                <w:rFonts w:eastAsia="Times New Roman" w:cs="Times New Roman"/>
                <w:color w:val="000000"/>
                <w:lang w:eastAsia="en-GB"/>
              </w:rPr>
              <w:t>%</w:t>
            </w:r>
          </w:p>
        </w:tc>
        <w:tc>
          <w:tcPr>
            <w:tcW w:w="2616" w:type="dxa"/>
            <w:hideMark/>
          </w:tcPr>
          <w:p w14:paraId="0D600251"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19.8</w:t>
            </w:r>
            <w:r w:rsidRPr="004B4AE9">
              <w:rPr>
                <w:rFonts w:eastAsia="Times New Roman" w:cs="Times New Roman"/>
                <w:color w:val="000000"/>
                <w:lang w:eastAsia="en-GB"/>
              </w:rPr>
              <w:t>%</w:t>
            </w:r>
          </w:p>
        </w:tc>
        <w:tc>
          <w:tcPr>
            <w:tcW w:w="1056" w:type="dxa"/>
          </w:tcPr>
          <w:p w14:paraId="3745A37C" w14:textId="77777777" w:rsidR="0007470B" w:rsidRPr="007F75CB" w:rsidRDefault="0007470B" w:rsidP="00E157B1">
            <w:pPr>
              <w:jc w:val="center"/>
              <w:rPr>
                <w:rFonts w:eastAsia="Times New Roman" w:cs="Times New Roman"/>
                <w:color w:val="000000" w:themeColor="text1"/>
                <w:lang w:eastAsia="en-GB"/>
              </w:rPr>
            </w:pPr>
            <w:r w:rsidRPr="007F75CB">
              <w:rPr>
                <w:rFonts w:eastAsia="Times New Roman" w:cs="Times New Roman"/>
                <w:color w:val="000000" w:themeColor="text1"/>
                <w:lang w:eastAsia="en-GB"/>
              </w:rPr>
              <w:t>0.00</w:t>
            </w:r>
            <w:r>
              <w:rPr>
                <w:rFonts w:eastAsia="Times New Roman" w:cs="Times New Roman"/>
                <w:color w:val="000000" w:themeColor="text1"/>
                <w:lang w:eastAsia="en-GB"/>
              </w:rPr>
              <w:t>3</w:t>
            </w:r>
          </w:p>
        </w:tc>
      </w:tr>
      <w:tr w:rsidR="0007470B" w:rsidRPr="009B3D03" w14:paraId="2F77051C" w14:textId="77777777" w:rsidTr="0039204A">
        <w:trPr>
          <w:trHeight w:val="567"/>
        </w:trPr>
        <w:tc>
          <w:tcPr>
            <w:tcW w:w="3071" w:type="dxa"/>
            <w:hideMark/>
          </w:tcPr>
          <w:p w14:paraId="0AFD7222" w14:textId="77777777" w:rsidR="0007470B" w:rsidRPr="0039204A" w:rsidRDefault="0007470B" w:rsidP="00E157B1">
            <w:pPr>
              <w:rPr>
                <w:rFonts w:eastAsia="Times New Roman" w:cs="Times New Roman"/>
                <w:b/>
                <w:bCs/>
                <w:color w:val="000000"/>
                <w:lang w:eastAsia="en-GB"/>
              </w:rPr>
            </w:pPr>
            <w:r w:rsidRPr="0039204A">
              <w:rPr>
                <w:b/>
                <w:bCs/>
              </w:rPr>
              <w:t>Full time paid employment</w:t>
            </w:r>
          </w:p>
        </w:tc>
        <w:tc>
          <w:tcPr>
            <w:tcW w:w="2956" w:type="dxa"/>
            <w:hideMark/>
          </w:tcPr>
          <w:p w14:paraId="38103A66"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3</w:t>
            </w:r>
            <w:r>
              <w:rPr>
                <w:rFonts w:eastAsia="Times New Roman" w:cs="Times New Roman"/>
                <w:color w:val="000000"/>
                <w:lang w:eastAsia="en-GB"/>
              </w:rPr>
              <w:t>6</w:t>
            </w:r>
            <w:r w:rsidRPr="004B4AE9">
              <w:rPr>
                <w:rFonts w:eastAsia="Times New Roman" w:cs="Times New Roman"/>
                <w:color w:val="000000"/>
                <w:lang w:eastAsia="en-GB"/>
              </w:rPr>
              <w:t>.</w:t>
            </w:r>
            <w:r>
              <w:rPr>
                <w:rFonts w:eastAsia="Times New Roman" w:cs="Times New Roman"/>
                <w:color w:val="000000"/>
                <w:lang w:eastAsia="en-GB"/>
              </w:rPr>
              <w:t>8</w:t>
            </w:r>
            <w:r w:rsidRPr="004B4AE9">
              <w:rPr>
                <w:rFonts w:eastAsia="Times New Roman" w:cs="Times New Roman"/>
                <w:color w:val="000000"/>
                <w:lang w:eastAsia="en-GB"/>
              </w:rPr>
              <w:t>%</w:t>
            </w:r>
          </w:p>
        </w:tc>
        <w:tc>
          <w:tcPr>
            <w:tcW w:w="2616" w:type="dxa"/>
            <w:hideMark/>
          </w:tcPr>
          <w:p w14:paraId="619D2FCC"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40.</w:t>
            </w:r>
            <w:r>
              <w:rPr>
                <w:rFonts w:eastAsia="Times New Roman" w:cs="Times New Roman"/>
                <w:color w:val="000000"/>
                <w:lang w:eastAsia="en-GB"/>
              </w:rPr>
              <w:t>7</w:t>
            </w:r>
            <w:r w:rsidRPr="004B4AE9">
              <w:rPr>
                <w:rFonts w:eastAsia="Times New Roman" w:cs="Times New Roman"/>
                <w:color w:val="000000"/>
                <w:lang w:eastAsia="en-GB"/>
              </w:rPr>
              <w:t>%</w:t>
            </w:r>
          </w:p>
        </w:tc>
        <w:tc>
          <w:tcPr>
            <w:tcW w:w="1056" w:type="dxa"/>
          </w:tcPr>
          <w:p w14:paraId="663F8FA8" w14:textId="77777777" w:rsidR="0007470B" w:rsidRPr="007F75CB" w:rsidRDefault="0007470B" w:rsidP="00E157B1">
            <w:pPr>
              <w:jc w:val="center"/>
              <w:rPr>
                <w:rFonts w:eastAsia="Times New Roman" w:cs="Times New Roman"/>
                <w:color w:val="000000" w:themeColor="text1"/>
                <w:lang w:eastAsia="en-GB"/>
              </w:rPr>
            </w:pPr>
            <w:r w:rsidRPr="007F75CB">
              <w:rPr>
                <w:rFonts w:eastAsia="Times New Roman" w:cs="Times New Roman"/>
                <w:color w:val="000000" w:themeColor="text1"/>
                <w:lang w:eastAsia="en-GB"/>
              </w:rPr>
              <w:t>0.008</w:t>
            </w:r>
          </w:p>
        </w:tc>
      </w:tr>
      <w:tr w:rsidR="0007470B" w:rsidRPr="009B3D03" w14:paraId="0E7E406C" w14:textId="77777777" w:rsidTr="0039204A">
        <w:trPr>
          <w:trHeight w:val="567"/>
        </w:trPr>
        <w:tc>
          <w:tcPr>
            <w:tcW w:w="3071" w:type="dxa"/>
            <w:hideMark/>
          </w:tcPr>
          <w:p w14:paraId="040BDE4A"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Seropositive</w:t>
            </w:r>
          </w:p>
        </w:tc>
        <w:tc>
          <w:tcPr>
            <w:tcW w:w="2956" w:type="dxa"/>
            <w:hideMark/>
          </w:tcPr>
          <w:p w14:paraId="565B6B90"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8</w:t>
            </w:r>
            <w:r>
              <w:rPr>
                <w:rFonts w:eastAsia="Times New Roman" w:cs="Times New Roman"/>
                <w:color w:val="000000"/>
                <w:lang w:eastAsia="en-GB"/>
              </w:rPr>
              <w:t>3.0</w:t>
            </w:r>
            <w:r w:rsidRPr="004B4AE9">
              <w:rPr>
                <w:rFonts w:eastAsia="Times New Roman" w:cs="Times New Roman"/>
                <w:color w:val="000000"/>
                <w:lang w:eastAsia="en-GB"/>
              </w:rPr>
              <w:t>%</w:t>
            </w:r>
          </w:p>
        </w:tc>
        <w:tc>
          <w:tcPr>
            <w:tcW w:w="2616" w:type="dxa"/>
            <w:hideMark/>
          </w:tcPr>
          <w:p w14:paraId="0C3A5360"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65</w:t>
            </w:r>
            <w:r w:rsidRPr="004B4AE9">
              <w:rPr>
                <w:rFonts w:eastAsia="Times New Roman" w:cs="Times New Roman"/>
                <w:color w:val="000000"/>
                <w:lang w:eastAsia="en-GB"/>
              </w:rPr>
              <w:t>.</w:t>
            </w:r>
            <w:r>
              <w:rPr>
                <w:rFonts w:eastAsia="Times New Roman" w:cs="Times New Roman"/>
                <w:color w:val="000000"/>
                <w:lang w:eastAsia="en-GB"/>
              </w:rPr>
              <w:t>3</w:t>
            </w:r>
            <w:r w:rsidRPr="004B4AE9">
              <w:rPr>
                <w:rFonts w:eastAsia="Times New Roman" w:cs="Times New Roman"/>
                <w:color w:val="000000"/>
                <w:lang w:eastAsia="en-GB"/>
              </w:rPr>
              <w:t>%</w:t>
            </w:r>
          </w:p>
        </w:tc>
        <w:tc>
          <w:tcPr>
            <w:tcW w:w="1056" w:type="dxa"/>
          </w:tcPr>
          <w:p w14:paraId="349D381B" w14:textId="77777777" w:rsidR="0007470B" w:rsidRPr="007F75CB" w:rsidRDefault="0007470B" w:rsidP="00E157B1">
            <w:pPr>
              <w:jc w:val="center"/>
              <w:rPr>
                <w:rFonts w:eastAsia="Times New Roman" w:cs="Times New Roman"/>
                <w:color w:val="000000" w:themeColor="text1"/>
                <w:lang w:eastAsia="en-GB"/>
              </w:rPr>
            </w:pPr>
            <w:r w:rsidRPr="007F75CB">
              <w:rPr>
                <w:rFonts w:eastAsia="Times New Roman" w:cs="Times New Roman"/>
                <w:color w:val="000000" w:themeColor="text1"/>
                <w:lang w:eastAsia="en-GB"/>
              </w:rPr>
              <w:t>&lt;0.0001</w:t>
            </w:r>
          </w:p>
        </w:tc>
      </w:tr>
      <w:tr w:rsidR="0007470B" w:rsidRPr="009B3D03" w14:paraId="011C9B3A" w14:textId="77777777" w:rsidTr="0039204A">
        <w:trPr>
          <w:trHeight w:val="567"/>
        </w:trPr>
        <w:tc>
          <w:tcPr>
            <w:tcW w:w="3071" w:type="dxa"/>
          </w:tcPr>
          <w:p w14:paraId="1C7A3632" w14:textId="31203482"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DAS28 at follow up, mean (SD)</w:t>
            </w:r>
          </w:p>
        </w:tc>
        <w:tc>
          <w:tcPr>
            <w:tcW w:w="2956" w:type="dxa"/>
          </w:tcPr>
          <w:p w14:paraId="177DD02B"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3.5</w:t>
            </w:r>
            <w:r w:rsidRPr="004B4AE9">
              <w:rPr>
                <w:rFonts w:eastAsia="Times New Roman" w:cs="Times New Roman"/>
                <w:color w:val="000000"/>
                <w:lang w:eastAsia="en-GB"/>
              </w:rPr>
              <w:t xml:space="preserve"> (1.</w:t>
            </w:r>
            <w:r>
              <w:rPr>
                <w:rFonts w:eastAsia="Times New Roman" w:cs="Times New Roman"/>
                <w:color w:val="000000"/>
                <w:lang w:eastAsia="en-GB"/>
              </w:rPr>
              <w:t>5</w:t>
            </w:r>
            <w:r w:rsidRPr="004B4AE9">
              <w:rPr>
                <w:rFonts w:eastAsia="Times New Roman" w:cs="Times New Roman"/>
                <w:color w:val="000000"/>
                <w:lang w:eastAsia="en-GB"/>
              </w:rPr>
              <w:t>)</w:t>
            </w:r>
          </w:p>
        </w:tc>
        <w:tc>
          <w:tcPr>
            <w:tcW w:w="2616" w:type="dxa"/>
          </w:tcPr>
          <w:p w14:paraId="50A7B758"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3.6</w:t>
            </w:r>
            <w:r w:rsidRPr="004B4AE9">
              <w:rPr>
                <w:rFonts w:eastAsia="Times New Roman" w:cs="Times New Roman"/>
                <w:color w:val="000000"/>
                <w:lang w:eastAsia="en-GB"/>
              </w:rPr>
              <w:t xml:space="preserve"> (1.</w:t>
            </w:r>
            <w:r>
              <w:rPr>
                <w:rFonts w:eastAsia="Times New Roman" w:cs="Times New Roman"/>
                <w:color w:val="000000"/>
                <w:lang w:eastAsia="en-GB"/>
              </w:rPr>
              <w:t>5</w:t>
            </w:r>
            <w:r w:rsidRPr="004B4AE9">
              <w:rPr>
                <w:rFonts w:eastAsia="Times New Roman" w:cs="Times New Roman"/>
                <w:color w:val="000000"/>
                <w:lang w:eastAsia="en-GB"/>
              </w:rPr>
              <w:t>)</w:t>
            </w:r>
          </w:p>
        </w:tc>
        <w:tc>
          <w:tcPr>
            <w:tcW w:w="1056" w:type="dxa"/>
          </w:tcPr>
          <w:p w14:paraId="4D318DE0" w14:textId="77777777" w:rsidR="0007470B" w:rsidRPr="007F75CB" w:rsidRDefault="0007470B" w:rsidP="00E157B1">
            <w:pPr>
              <w:jc w:val="center"/>
              <w:rPr>
                <w:rFonts w:eastAsia="Times New Roman" w:cs="Times New Roman"/>
                <w:color w:val="000000" w:themeColor="text1"/>
                <w:lang w:eastAsia="en-GB"/>
              </w:rPr>
            </w:pPr>
            <w:r>
              <w:rPr>
                <w:rFonts w:eastAsia="Times New Roman" w:cs="Times New Roman"/>
                <w:color w:val="000000" w:themeColor="text1"/>
                <w:lang w:eastAsia="en-GB"/>
              </w:rPr>
              <w:t>0.3</w:t>
            </w:r>
          </w:p>
        </w:tc>
      </w:tr>
      <w:tr w:rsidR="0007470B" w:rsidRPr="009B3D03" w14:paraId="7A004C6B" w14:textId="77777777" w:rsidTr="0039204A">
        <w:trPr>
          <w:trHeight w:val="567"/>
        </w:trPr>
        <w:tc>
          <w:tcPr>
            <w:tcW w:w="3071" w:type="dxa"/>
          </w:tcPr>
          <w:p w14:paraId="417BB32C"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Symptom duration in days, median (Q1, Q3)</w:t>
            </w:r>
          </w:p>
        </w:tc>
        <w:tc>
          <w:tcPr>
            <w:tcW w:w="2956" w:type="dxa"/>
          </w:tcPr>
          <w:p w14:paraId="4195742E"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98 (52, 208)</w:t>
            </w:r>
          </w:p>
        </w:tc>
        <w:tc>
          <w:tcPr>
            <w:tcW w:w="2616" w:type="dxa"/>
          </w:tcPr>
          <w:p w14:paraId="1D96DBCF"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114 (56, 256)</w:t>
            </w:r>
          </w:p>
        </w:tc>
        <w:tc>
          <w:tcPr>
            <w:tcW w:w="1056" w:type="dxa"/>
          </w:tcPr>
          <w:p w14:paraId="3F7B5889" w14:textId="77777777" w:rsidR="0007470B" w:rsidRPr="007F75CB" w:rsidRDefault="0007470B" w:rsidP="00E157B1">
            <w:pPr>
              <w:jc w:val="center"/>
              <w:rPr>
                <w:rFonts w:eastAsia="Times New Roman" w:cs="Times New Roman"/>
                <w:color w:val="000000" w:themeColor="text1"/>
                <w:lang w:eastAsia="en-GB"/>
              </w:rPr>
            </w:pPr>
            <w:r w:rsidRPr="007F75CB">
              <w:rPr>
                <w:rFonts w:eastAsia="Times New Roman" w:cs="Times New Roman"/>
                <w:color w:val="000000" w:themeColor="text1"/>
                <w:lang w:eastAsia="en-GB"/>
              </w:rPr>
              <w:t>0.00</w:t>
            </w:r>
            <w:r>
              <w:rPr>
                <w:rFonts w:eastAsia="Times New Roman" w:cs="Times New Roman"/>
                <w:color w:val="000000" w:themeColor="text1"/>
                <w:lang w:eastAsia="en-GB"/>
              </w:rPr>
              <w:t>01</w:t>
            </w:r>
          </w:p>
        </w:tc>
      </w:tr>
      <w:tr w:rsidR="0007470B" w:rsidRPr="009B3D03" w14:paraId="4419650F" w14:textId="77777777" w:rsidTr="0039204A">
        <w:trPr>
          <w:trHeight w:val="567"/>
        </w:trPr>
        <w:tc>
          <w:tcPr>
            <w:tcW w:w="3071" w:type="dxa"/>
          </w:tcPr>
          <w:p w14:paraId="78809E1A" w14:textId="77777777" w:rsidR="0007470B" w:rsidRPr="0039204A" w:rsidRDefault="0007470B" w:rsidP="00E157B1">
            <w:pPr>
              <w:rPr>
                <w:rFonts w:eastAsia="Times New Roman" w:cs="Times New Roman"/>
                <w:b/>
                <w:bCs/>
                <w:color w:val="000000"/>
                <w:lang w:eastAsia="en-GB"/>
              </w:rPr>
            </w:pPr>
            <w:r w:rsidRPr="0039204A">
              <w:rPr>
                <w:rFonts w:eastAsia="Times New Roman" w:cs="Times New Roman"/>
                <w:b/>
                <w:bCs/>
                <w:color w:val="000000"/>
                <w:lang w:eastAsia="en-GB"/>
              </w:rPr>
              <w:t xml:space="preserve">Referral letter states EIA </w:t>
            </w:r>
          </w:p>
        </w:tc>
        <w:tc>
          <w:tcPr>
            <w:tcW w:w="2956" w:type="dxa"/>
          </w:tcPr>
          <w:p w14:paraId="793E47C0"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91.2%</w:t>
            </w:r>
          </w:p>
        </w:tc>
        <w:tc>
          <w:tcPr>
            <w:tcW w:w="2616" w:type="dxa"/>
          </w:tcPr>
          <w:p w14:paraId="655377C6"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88.8%</w:t>
            </w:r>
          </w:p>
        </w:tc>
        <w:tc>
          <w:tcPr>
            <w:tcW w:w="1056" w:type="dxa"/>
          </w:tcPr>
          <w:p w14:paraId="4E26DDD7" w14:textId="77777777" w:rsidR="0007470B" w:rsidRPr="007F75CB" w:rsidRDefault="0007470B" w:rsidP="00E157B1">
            <w:pPr>
              <w:jc w:val="center"/>
              <w:rPr>
                <w:rFonts w:eastAsia="Times New Roman" w:cs="Times New Roman"/>
                <w:color w:val="000000" w:themeColor="text1"/>
                <w:lang w:eastAsia="en-GB"/>
              </w:rPr>
            </w:pPr>
            <w:r>
              <w:rPr>
                <w:rFonts w:eastAsia="Times New Roman" w:cs="Times New Roman"/>
                <w:color w:val="000000" w:themeColor="text1"/>
                <w:lang w:eastAsia="en-GB"/>
              </w:rPr>
              <w:t>0.002</w:t>
            </w:r>
          </w:p>
        </w:tc>
      </w:tr>
      <w:tr w:rsidR="0007470B" w:rsidRPr="009B3D03" w14:paraId="78082769" w14:textId="77777777" w:rsidTr="0039204A">
        <w:trPr>
          <w:trHeight w:val="567"/>
        </w:trPr>
        <w:tc>
          <w:tcPr>
            <w:tcW w:w="3071" w:type="dxa"/>
            <w:hideMark/>
          </w:tcPr>
          <w:p w14:paraId="1D46D621" w14:textId="77777777" w:rsidR="0007470B" w:rsidRPr="0039204A" w:rsidRDefault="0007470B" w:rsidP="00E157B1">
            <w:pPr>
              <w:rPr>
                <w:b/>
                <w:bCs/>
              </w:rPr>
            </w:pPr>
            <w:r w:rsidRPr="0039204A">
              <w:rPr>
                <w:b/>
                <w:bCs/>
              </w:rPr>
              <w:t>Referral within 3 days</w:t>
            </w:r>
          </w:p>
        </w:tc>
        <w:tc>
          <w:tcPr>
            <w:tcW w:w="2956" w:type="dxa"/>
            <w:hideMark/>
          </w:tcPr>
          <w:p w14:paraId="4191761F"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1</w:t>
            </w:r>
            <w:r>
              <w:rPr>
                <w:rFonts w:eastAsia="Times New Roman" w:cs="Times New Roman"/>
                <w:color w:val="000000"/>
                <w:lang w:eastAsia="en-GB"/>
              </w:rPr>
              <w:t>6.5</w:t>
            </w:r>
            <w:r w:rsidRPr="004B4AE9">
              <w:rPr>
                <w:rFonts w:eastAsia="Times New Roman" w:cs="Times New Roman"/>
                <w:color w:val="000000"/>
                <w:lang w:eastAsia="en-GB"/>
              </w:rPr>
              <w:t>%</w:t>
            </w:r>
          </w:p>
        </w:tc>
        <w:tc>
          <w:tcPr>
            <w:tcW w:w="2616" w:type="dxa"/>
            <w:hideMark/>
          </w:tcPr>
          <w:p w14:paraId="046D5DB4"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1</w:t>
            </w:r>
            <w:r>
              <w:rPr>
                <w:rFonts w:eastAsia="Times New Roman" w:cs="Times New Roman"/>
                <w:color w:val="000000"/>
                <w:lang w:eastAsia="en-GB"/>
              </w:rPr>
              <w:t>8</w:t>
            </w:r>
            <w:r w:rsidRPr="004B4AE9">
              <w:rPr>
                <w:rFonts w:eastAsia="Times New Roman" w:cs="Times New Roman"/>
                <w:color w:val="000000"/>
                <w:lang w:eastAsia="en-GB"/>
              </w:rPr>
              <w:t>.</w:t>
            </w:r>
            <w:r>
              <w:rPr>
                <w:rFonts w:eastAsia="Times New Roman" w:cs="Times New Roman"/>
                <w:color w:val="000000"/>
                <w:lang w:eastAsia="en-GB"/>
              </w:rPr>
              <w:t>0</w:t>
            </w:r>
            <w:r w:rsidRPr="004B4AE9">
              <w:rPr>
                <w:rFonts w:eastAsia="Times New Roman" w:cs="Times New Roman"/>
                <w:color w:val="000000"/>
                <w:lang w:eastAsia="en-GB"/>
              </w:rPr>
              <w:t>%</w:t>
            </w:r>
          </w:p>
        </w:tc>
        <w:tc>
          <w:tcPr>
            <w:tcW w:w="1056" w:type="dxa"/>
          </w:tcPr>
          <w:p w14:paraId="72B07F14" w14:textId="77777777" w:rsidR="0007470B" w:rsidRPr="007F75CB" w:rsidRDefault="0007470B" w:rsidP="00E157B1">
            <w:pPr>
              <w:jc w:val="center"/>
              <w:rPr>
                <w:rFonts w:eastAsia="Times New Roman" w:cs="Times New Roman"/>
                <w:color w:val="000000" w:themeColor="text1"/>
                <w:lang w:eastAsia="en-GB"/>
              </w:rPr>
            </w:pPr>
            <w:r>
              <w:rPr>
                <w:rFonts w:eastAsia="Times New Roman" w:cs="Times New Roman"/>
                <w:color w:val="000000" w:themeColor="text1"/>
                <w:lang w:eastAsia="en-GB"/>
              </w:rPr>
              <w:t>0.1</w:t>
            </w:r>
          </w:p>
        </w:tc>
      </w:tr>
      <w:tr w:rsidR="0007470B" w:rsidRPr="009B3D03" w14:paraId="7E54CF62" w14:textId="77777777" w:rsidTr="0039204A">
        <w:trPr>
          <w:trHeight w:val="567"/>
        </w:trPr>
        <w:tc>
          <w:tcPr>
            <w:tcW w:w="3071" w:type="dxa"/>
            <w:hideMark/>
          </w:tcPr>
          <w:p w14:paraId="6BDCDECD" w14:textId="77777777" w:rsidR="0007470B" w:rsidRPr="0039204A" w:rsidRDefault="0007470B" w:rsidP="00E157B1">
            <w:pPr>
              <w:jc w:val="both"/>
              <w:rPr>
                <w:b/>
                <w:bCs/>
              </w:rPr>
            </w:pPr>
            <w:r w:rsidRPr="0039204A">
              <w:rPr>
                <w:b/>
                <w:bCs/>
              </w:rPr>
              <w:t>Review within 21 days</w:t>
            </w:r>
          </w:p>
        </w:tc>
        <w:tc>
          <w:tcPr>
            <w:tcW w:w="2956" w:type="dxa"/>
            <w:hideMark/>
          </w:tcPr>
          <w:p w14:paraId="135C61D3"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3</w:t>
            </w:r>
            <w:r>
              <w:rPr>
                <w:rFonts w:eastAsia="Times New Roman" w:cs="Times New Roman"/>
                <w:color w:val="000000"/>
                <w:lang w:eastAsia="en-GB"/>
              </w:rPr>
              <w:t>6.9</w:t>
            </w:r>
            <w:r w:rsidRPr="004B4AE9">
              <w:rPr>
                <w:rFonts w:eastAsia="Times New Roman" w:cs="Times New Roman"/>
                <w:color w:val="000000"/>
                <w:lang w:eastAsia="en-GB"/>
              </w:rPr>
              <w:t>%</w:t>
            </w:r>
          </w:p>
        </w:tc>
        <w:tc>
          <w:tcPr>
            <w:tcW w:w="2616" w:type="dxa"/>
            <w:hideMark/>
          </w:tcPr>
          <w:p w14:paraId="5A219F29"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3</w:t>
            </w:r>
            <w:r>
              <w:rPr>
                <w:rFonts w:eastAsia="Times New Roman" w:cs="Times New Roman"/>
                <w:color w:val="000000"/>
                <w:lang w:eastAsia="en-GB"/>
              </w:rPr>
              <w:t>6.7</w:t>
            </w:r>
            <w:r w:rsidRPr="004B4AE9">
              <w:rPr>
                <w:rFonts w:eastAsia="Times New Roman" w:cs="Times New Roman"/>
                <w:color w:val="000000"/>
                <w:lang w:eastAsia="en-GB"/>
              </w:rPr>
              <w:t>%</w:t>
            </w:r>
          </w:p>
        </w:tc>
        <w:tc>
          <w:tcPr>
            <w:tcW w:w="1056" w:type="dxa"/>
          </w:tcPr>
          <w:p w14:paraId="56E3DAFC" w14:textId="77777777" w:rsidR="0007470B" w:rsidRPr="007F75CB" w:rsidRDefault="0007470B" w:rsidP="00E157B1">
            <w:pPr>
              <w:jc w:val="center"/>
              <w:rPr>
                <w:rFonts w:eastAsia="Times New Roman" w:cs="Times New Roman"/>
                <w:color w:val="000000" w:themeColor="text1"/>
                <w:lang w:eastAsia="en-GB"/>
              </w:rPr>
            </w:pPr>
            <w:r>
              <w:rPr>
                <w:rFonts w:eastAsia="Times New Roman" w:cs="Times New Roman"/>
                <w:color w:val="000000" w:themeColor="text1"/>
                <w:lang w:eastAsia="en-GB"/>
              </w:rPr>
              <w:t>0.6</w:t>
            </w:r>
          </w:p>
        </w:tc>
      </w:tr>
      <w:tr w:rsidR="0007470B" w:rsidRPr="009B3D03" w14:paraId="390F4810" w14:textId="77777777" w:rsidTr="0039204A">
        <w:trPr>
          <w:trHeight w:val="567"/>
        </w:trPr>
        <w:tc>
          <w:tcPr>
            <w:tcW w:w="3071" w:type="dxa"/>
            <w:hideMark/>
          </w:tcPr>
          <w:p w14:paraId="16A4DAA4" w14:textId="77777777" w:rsidR="0007470B" w:rsidRPr="0039204A" w:rsidRDefault="0007470B" w:rsidP="00E157B1">
            <w:pPr>
              <w:rPr>
                <w:b/>
                <w:bCs/>
              </w:rPr>
            </w:pPr>
            <w:r w:rsidRPr="0039204A">
              <w:rPr>
                <w:b/>
                <w:bCs/>
              </w:rPr>
              <w:t xml:space="preserve">Treatment within 90 days </w:t>
            </w:r>
          </w:p>
        </w:tc>
        <w:tc>
          <w:tcPr>
            <w:tcW w:w="2956" w:type="dxa"/>
            <w:hideMark/>
          </w:tcPr>
          <w:p w14:paraId="4D6478C1" w14:textId="77777777" w:rsidR="0007470B" w:rsidRPr="004B4AE9" w:rsidRDefault="0007470B" w:rsidP="00E157B1">
            <w:pPr>
              <w:jc w:val="center"/>
              <w:rPr>
                <w:rFonts w:eastAsia="Times New Roman" w:cs="Times New Roman"/>
                <w:color w:val="000000"/>
                <w:lang w:eastAsia="en-GB"/>
              </w:rPr>
            </w:pPr>
            <w:r>
              <w:rPr>
                <w:rFonts w:eastAsia="Times New Roman" w:cs="Times New Roman"/>
                <w:color w:val="000000"/>
                <w:lang w:eastAsia="en-GB"/>
              </w:rPr>
              <w:t>65.3</w:t>
            </w:r>
            <w:r w:rsidRPr="004B4AE9">
              <w:rPr>
                <w:rFonts w:eastAsia="Times New Roman" w:cs="Times New Roman"/>
                <w:color w:val="000000"/>
                <w:lang w:eastAsia="en-GB"/>
              </w:rPr>
              <w:t>%</w:t>
            </w:r>
          </w:p>
        </w:tc>
        <w:tc>
          <w:tcPr>
            <w:tcW w:w="2616" w:type="dxa"/>
            <w:hideMark/>
          </w:tcPr>
          <w:p w14:paraId="22796047"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5</w:t>
            </w:r>
            <w:r>
              <w:rPr>
                <w:rFonts w:eastAsia="Times New Roman" w:cs="Times New Roman"/>
                <w:color w:val="000000"/>
                <w:lang w:eastAsia="en-GB"/>
              </w:rPr>
              <w:t>0</w:t>
            </w:r>
            <w:r w:rsidRPr="004B4AE9">
              <w:rPr>
                <w:rFonts w:eastAsia="Times New Roman" w:cs="Times New Roman"/>
                <w:color w:val="000000"/>
                <w:lang w:eastAsia="en-GB"/>
              </w:rPr>
              <w:t>.</w:t>
            </w:r>
            <w:r>
              <w:rPr>
                <w:rFonts w:eastAsia="Times New Roman" w:cs="Times New Roman"/>
                <w:color w:val="000000"/>
                <w:lang w:eastAsia="en-GB"/>
              </w:rPr>
              <w:t>3</w:t>
            </w:r>
            <w:r w:rsidRPr="004B4AE9">
              <w:rPr>
                <w:rFonts w:eastAsia="Times New Roman" w:cs="Times New Roman"/>
                <w:color w:val="000000"/>
                <w:lang w:eastAsia="en-GB"/>
              </w:rPr>
              <w:t>%</w:t>
            </w:r>
          </w:p>
        </w:tc>
        <w:tc>
          <w:tcPr>
            <w:tcW w:w="1056" w:type="dxa"/>
          </w:tcPr>
          <w:p w14:paraId="256F474E" w14:textId="77777777" w:rsidR="0007470B" w:rsidRPr="004B4AE9" w:rsidRDefault="0007470B" w:rsidP="00E157B1">
            <w:pPr>
              <w:jc w:val="center"/>
              <w:rPr>
                <w:rFonts w:eastAsia="Times New Roman" w:cs="Times New Roman"/>
                <w:color w:val="000000"/>
                <w:lang w:eastAsia="en-GB"/>
              </w:rPr>
            </w:pPr>
            <w:r w:rsidRPr="004B4AE9">
              <w:rPr>
                <w:rFonts w:eastAsia="Times New Roman" w:cs="Times New Roman"/>
                <w:color w:val="000000"/>
                <w:lang w:eastAsia="en-GB"/>
              </w:rPr>
              <w:t>&lt;0.0001</w:t>
            </w:r>
          </w:p>
        </w:tc>
      </w:tr>
    </w:tbl>
    <w:p w14:paraId="1A4C67A7" w14:textId="1C23839E" w:rsidR="0007470B" w:rsidRDefault="0007470B" w:rsidP="0007470B">
      <w:pPr>
        <w:rPr>
          <w:i/>
          <w:sz w:val="18"/>
          <w:szCs w:val="18"/>
        </w:rPr>
      </w:pPr>
      <w:r>
        <w:rPr>
          <w:i/>
          <w:sz w:val="18"/>
          <w:szCs w:val="18"/>
        </w:rPr>
        <w:t xml:space="preserve">Patients who were positive for RF and/or anti-CCP were considered seropositive.  SD = standard deviation. IMD = index of multiple deprivation. DAS28 = disease activity score 28. EIA = early inflammatory arthritis. </w:t>
      </w:r>
    </w:p>
    <w:p w14:paraId="712E4FDB" w14:textId="77777777" w:rsidR="0007470B" w:rsidRDefault="0007470B" w:rsidP="00DF415A">
      <w:pPr>
        <w:jc w:val="both"/>
        <w:rPr>
          <w:rFonts w:cs="ArialMT"/>
          <w:sz w:val="24"/>
          <w:szCs w:val="24"/>
        </w:rPr>
      </w:pPr>
    </w:p>
    <w:p w14:paraId="7A093C25" w14:textId="77777777" w:rsidR="00CB44A2" w:rsidRPr="00E24F6D" w:rsidRDefault="00CB44A2" w:rsidP="002830C8">
      <w:pPr>
        <w:pStyle w:val="Heading2"/>
        <w:spacing w:line="480" w:lineRule="auto"/>
      </w:pPr>
      <w:r>
        <w:lastRenderedPageBreak/>
        <w:t xml:space="preserve">Characterising departmental variations in data completeness </w:t>
      </w:r>
    </w:p>
    <w:p w14:paraId="4F5563DB" w14:textId="264C579B" w:rsidR="00CB44A2" w:rsidRDefault="00CB44A2" w:rsidP="002830C8">
      <w:pPr>
        <w:spacing w:line="480" w:lineRule="auto"/>
        <w:jc w:val="both"/>
        <w:rPr>
          <w:rFonts w:cs="ArialMT"/>
          <w:sz w:val="24"/>
          <w:szCs w:val="24"/>
        </w:rPr>
      </w:pPr>
      <w:r>
        <w:rPr>
          <w:rFonts w:cs="ArialMT"/>
          <w:sz w:val="24"/>
          <w:szCs w:val="24"/>
        </w:rPr>
        <w:t xml:space="preserve">Mixed effects modelling to identify departments with outlier levels of missing </w:t>
      </w:r>
      <w:r w:rsidR="002C6A18">
        <w:rPr>
          <w:rFonts w:cs="ArialMT"/>
          <w:sz w:val="24"/>
          <w:szCs w:val="24"/>
        </w:rPr>
        <w:t>DAS28</w:t>
      </w:r>
      <w:r>
        <w:rPr>
          <w:rFonts w:cs="ArialMT"/>
          <w:sz w:val="24"/>
          <w:szCs w:val="24"/>
        </w:rPr>
        <w:t xml:space="preserve"> data was conducted. The model identified </w:t>
      </w:r>
      <w:r w:rsidR="0085251B">
        <w:rPr>
          <w:rFonts w:cs="ArialMT"/>
          <w:sz w:val="24"/>
          <w:szCs w:val="24"/>
        </w:rPr>
        <w:t>13</w:t>
      </w:r>
      <w:r>
        <w:rPr>
          <w:rFonts w:cs="ArialMT"/>
          <w:sz w:val="24"/>
          <w:szCs w:val="24"/>
        </w:rPr>
        <w:t xml:space="preserve"> </w:t>
      </w:r>
      <w:r w:rsidR="00787894">
        <w:rPr>
          <w:rFonts w:cs="ArialMT"/>
          <w:sz w:val="24"/>
          <w:szCs w:val="24"/>
        </w:rPr>
        <w:t>departments with high levels of missing data</w:t>
      </w:r>
      <w:r>
        <w:rPr>
          <w:rFonts w:cs="ArialMT"/>
          <w:sz w:val="24"/>
          <w:szCs w:val="24"/>
        </w:rPr>
        <w:t xml:space="preserve"> and </w:t>
      </w:r>
      <w:r w:rsidR="0085251B">
        <w:rPr>
          <w:rFonts w:cs="ArialMT"/>
          <w:sz w:val="24"/>
          <w:szCs w:val="24"/>
        </w:rPr>
        <w:t>7</w:t>
      </w:r>
      <w:r w:rsidR="00787894">
        <w:rPr>
          <w:rFonts w:cs="ArialMT"/>
          <w:sz w:val="24"/>
          <w:szCs w:val="24"/>
        </w:rPr>
        <w:t xml:space="preserve"> with</w:t>
      </w:r>
      <w:r>
        <w:rPr>
          <w:rFonts w:cs="ArialMT"/>
          <w:sz w:val="24"/>
          <w:szCs w:val="24"/>
        </w:rPr>
        <w:t xml:space="preserve"> low </w:t>
      </w:r>
      <w:r w:rsidR="00787894">
        <w:rPr>
          <w:rFonts w:cs="ArialMT"/>
          <w:sz w:val="24"/>
          <w:szCs w:val="24"/>
        </w:rPr>
        <w:t>levels</w:t>
      </w:r>
      <w:r>
        <w:rPr>
          <w:rFonts w:cs="ArialMT"/>
          <w:sz w:val="24"/>
          <w:szCs w:val="24"/>
        </w:rPr>
        <w:t xml:space="preserve">. The case-mix adjusted departmental effects are plotted in </w:t>
      </w:r>
      <w:r w:rsidR="00F21FBD">
        <w:rPr>
          <w:rFonts w:cs="ArialMT"/>
          <w:sz w:val="24"/>
          <w:szCs w:val="24"/>
        </w:rPr>
        <w:t>F</w:t>
      </w:r>
      <w:r>
        <w:rPr>
          <w:rFonts w:cs="ArialMT"/>
          <w:sz w:val="24"/>
          <w:szCs w:val="24"/>
        </w:rPr>
        <w:t xml:space="preserve">igure 1a. The analysis demonstrates wide variation across departments. </w:t>
      </w:r>
    </w:p>
    <w:p w14:paraId="29F11B50" w14:textId="77948874" w:rsidR="00D94DB5" w:rsidRDefault="0085251B" w:rsidP="002830C8">
      <w:pPr>
        <w:spacing w:line="480" w:lineRule="auto"/>
        <w:jc w:val="both"/>
        <w:rPr>
          <w:rFonts w:cs="ArialMT"/>
          <w:sz w:val="24"/>
          <w:szCs w:val="24"/>
        </w:rPr>
      </w:pPr>
      <w:r>
        <w:rPr>
          <w:rFonts w:cs="ArialMT"/>
          <w:sz w:val="24"/>
          <w:szCs w:val="24"/>
        </w:rPr>
        <w:t>The model has accounted for sample size</w:t>
      </w:r>
      <w:r w:rsidR="00B31B3B">
        <w:rPr>
          <w:rFonts w:cs="ArialMT"/>
          <w:sz w:val="24"/>
          <w:szCs w:val="24"/>
        </w:rPr>
        <w:t xml:space="preserve"> and case mix</w:t>
      </w:r>
      <w:r>
        <w:rPr>
          <w:rFonts w:cs="ArialMT"/>
          <w:sz w:val="24"/>
          <w:szCs w:val="24"/>
        </w:rPr>
        <w:t xml:space="preserve">, </w:t>
      </w:r>
      <w:r w:rsidR="0069588D" w:rsidRPr="0069588D">
        <w:rPr>
          <w:rFonts w:cs="ArialMT"/>
          <w:sz w:val="24"/>
          <w:szCs w:val="24"/>
        </w:rPr>
        <w:t>shrinking estimates towards the grand mean as a result of them being empirical Bayes estimates</w:t>
      </w:r>
      <w:r>
        <w:rPr>
          <w:rFonts w:cs="ArialMT"/>
          <w:sz w:val="24"/>
          <w:szCs w:val="24"/>
        </w:rPr>
        <w:t xml:space="preserve">, with the level of shrinkage </w:t>
      </w:r>
      <w:r w:rsidR="00B31B3B">
        <w:rPr>
          <w:rFonts w:cs="ArialMT"/>
          <w:sz w:val="24"/>
          <w:szCs w:val="24"/>
        </w:rPr>
        <w:t>dependent</w:t>
      </w:r>
      <w:r>
        <w:rPr>
          <w:rFonts w:cs="ArialMT"/>
          <w:sz w:val="24"/>
          <w:szCs w:val="24"/>
        </w:rPr>
        <w:t xml:space="preserve"> on the number of observations for each department. </w:t>
      </w:r>
    </w:p>
    <w:p w14:paraId="7DC10594" w14:textId="5DB6E8DB" w:rsidR="00F41A4B" w:rsidRDefault="00CB44A2" w:rsidP="002830C8">
      <w:pPr>
        <w:spacing w:line="480" w:lineRule="auto"/>
        <w:jc w:val="both"/>
        <w:rPr>
          <w:rFonts w:cs="ArialMT"/>
          <w:sz w:val="24"/>
          <w:szCs w:val="24"/>
        </w:rPr>
      </w:pPr>
      <w:r>
        <w:rPr>
          <w:rFonts w:cs="ArialMT"/>
          <w:sz w:val="24"/>
          <w:szCs w:val="24"/>
        </w:rPr>
        <w:t xml:space="preserve">The locations of outlier departments were mapped, displayed in figure 1b, with red markers indicating departments with high outlier levels of missing baseline </w:t>
      </w:r>
      <w:r w:rsidR="002C6A18">
        <w:rPr>
          <w:rFonts w:cs="ArialMT"/>
          <w:sz w:val="24"/>
          <w:szCs w:val="24"/>
        </w:rPr>
        <w:t>DAS28</w:t>
      </w:r>
      <w:r>
        <w:rPr>
          <w:rFonts w:cs="ArialMT"/>
          <w:sz w:val="24"/>
          <w:szCs w:val="24"/>
        </w:rPr>
        <w:t xml:space="preserve"> data. </w:t>
      </w:r>
      <w:r w:rsidR="00F21FBD">
        <w:rPr>
          <w:rFonts w:cs="ArialMT"/>
          <w:sz w:val="24"/>
          <w:szCs w:val="24"/>
        </w:rPr>
        <w:t xml:space="preserve">Geographic clustering </w:t>
      </w:r>
      <w:r>
        <w:rPr>
          <w:rFonts w:cs="ArialMT"/>
          <w:sz w:val="24"/>
          <w:szCs w:val="24"/>
        </w:rPr>
        <w:t xml:space="preserve">of high outlier departments </w:t>
      </w:r>
      <w:r w:rsidR="00F21FBD">
        <w:rPr>
          <w:rFonts w:cs="ArialMT"/>
          <w:sz w:val="24"/>
          <w:szCs w:val="24"/>
        </w:rPr>
        <w:t xml:space="preserve">is visible </w:t>
      </w:r>
      <w:r>
        <w:rPr>
          <w:rFonts w:cs="ArialMT"/>
          <w:sz w:val="24"/>
          <w:szCs w:val="24"/>
        </w:rPr>
        <w:t xml:space="preserve">in the North West region. </w:t>
      </w:r>
    </w:p>
    <w:p w14:paraId="6F9AEBA7" w14:textId="314118F5" w:rsidR="0086388C" w:rsidRDefault="0086388C" w:rsidP="002830C8">
      <w:pPr>
        <w:pStyle w:val="Heading2"/>
        <w:spacing w:line="480" w:lineRule="auto"/>
      </w:pPr>
      <w:r>
        <w:t>Missing clinical outcome data as a predictor of service quality</w:t>
      </w:r>
    </w:p>
    <w:p w14:paraId="2133822D" w14:textId="379FB8DA" w:rsidR="00016A16" w:rsidRDefault="004F1FAC" w:rsidP="002830C8">
      <w:pPr>
        <w:spacing w:line="480" w:lineRule="auto"/>
        <w:jc w:val="both"/>
        <w:rPr>
          <w:rFonts w:cs="ArialMT"/>
          <w:sz w:val="24"/>
          <w:szCs w:val="24"/>
        </w:rPr>
      </w:pPr>
      <w:r>
        <w:rPr>
          <w:rFonts w:cs="ArialMT"/>
          <w:sz w:val="24"/>
          <w:szCs w:val="24"/>
        </w:rPr>
        <w:t>Logistic r</w:t>
      </w:r>
      <w:r w:rsidR="008F7E3D">
        <w:rPr>
          <w:rFonts w:cs="ArialMT"/>
          <w:sz w:val="24"/>
          <w:szCs w:val="24"/>
        </w:rPr>
        <w:t>egression model</w:t>
      </w:r>
      <w:r w:rsidR="00873D4E">
        <w:rPr>
          <w:rFonts w:cs="ArialMT"/>
          <w:sz w:val="24"/>
          <w:szCs w:val="24"/>
        </w:rPr>
        <w:t>s</w:t>
      </w:r>
      <w:r w:rsidR="008F7E3D">
        <w:rPr>
          <w:rFonts w:cs="ArialMT"/>
          <w:sz w:val="24"/>
          <w:szCs w:val="24"/>
        </w:rPr>
        <w:t xml:space="preserve"> </w:t>
      </w:r>
      <w:r w:rsidR="00873D4E">
        <w:rPr>
          <w:rFonts w:cs="ArialMT"/>
          <w:sz w:val="24"/>
          <w:szCs w:val="24"/>
        </w:rPr>
        <w:t>were</w:t>
      </w:r>
      <w:r w:rsidR="008F7E3D">
        <w:rPr>
          <w:rFonts w:cs="ArialMT"/>
          <w:sz w:val="24"/>
          <w:szCs w:val="24"/>
        </w:rPr>
        <w:t xml:space="preserve"> constructed to assess if missing baseline </w:t>
      </w:r>
      <w:r w:rsidR="002C6A18">
        <w:rPr>
          <w:rFonts w:cs="ArialMT"/>
          <w:sz w:val="24"/>
          <w:szCs w:val="24"/>
        </w:rPr>
        <w:t>DAS28</w:t>
      </w:r>
      <w:r w:rsidR="008F7E3D">
        <w:rPr>
          <w:rFonts w:cs="ArialMT"/>
          <w:sz w:val="24"/>
          <w:szCs w:val="24"/>
        </w:rPr>
        <w:t xml:space="preserve"> data predicted timely treatment commencement</w:t>
      </w:r>
      <w:r w:rsidR="00443890">
        <w:rPr>
          <w:rFonts w:cs="ArialMT"/>
          <w:sz w:val="24"/>
          <w:szCs w:val="24"/>
        </w:rPr>
        <w:t xml:space="preserve"> (within 90 days of referral)</w:t>
      </w:r>
      <w:r w:rsidR="008F7E3D">
        <w:rPr>
          <w:rFonts w:cs="ArialMT"/>
          <w:sz w:val="24"/>
          <w:szCs w:val="24"/>
        </w:rPr>
        <w:t xml:space="preserve">. In </w:t>
      </w:r>
      <w:r w:rsidR="002E060F">
        <w:rPr>
          <w:rFonts w:cs="ArialMT"/>
          <w:sz w:val="24"/>
          <w:szCs w:val="24"/>
        </w:rPr>
        <w:t>mixed effects</w:t>
      </w:r>
      <w:r w:rsidR="00372321">
        <w:rPr>
          <w:rFonts w:cs="ArialMT"/>
          <w:sz w:val="24"/>
          <w:szCs w:val="24"/>
        </w:rPr>
        <w:t xml:space="preserve"> models</w:t>
      </w:r>
      <w:r w:rsidR="00CA75EB">
        <w:rPr>
          <w:rFonts w:cs="ArialMT"/>
          <w:sz w:val="24"/>
          <w:szCs w:val="24"/>
        </w:rPr>
        <w:t xml:space="preserve">, </w:t>
      </w:r>
      <w:bookmarkStart w:id="23" w:name="_Hlk21335001"/>
      <w:r w:rsidR="00372321">
        <w:rPr>
          <w:rFonts w:cs="ArialMT"/>
          <w:sz w:val="24"/>
          <w:szCs w:val="24"/>
        </w:rPr>
        <w:t xml:space="preserve">missing baseline </w:t>
      </w:r>
      <w:r w:rsidR="002C6A18">
        <w:rPr>
          <w:rFonts w:cs="ArialMT"/>
          <w:sz w:val="24"/>
          <w:szCs w:val="24"/>
        </w:rPr>
        <w:t>DAS28</w:t>
      </w:r>
      <w:r w:rsidR="004E2076">
        <w:rPr>
          <w:rFonts w:cs="ArialMT"/>
          <w:sz w:val="24"/>
          <w:szCs w:val="24"/>
        </w:rPr>
        <w:t xml:space="preserve"> was</w:t>
      </w:r>
      <w:r w:rsidR="00372321">
        <w:rPr>
          <w:rFonts w:cs="ArialMT"/>
          <w:sz w:val="24"/>
          <w:szCs w:val="24"/>
        </w:rPr>
        <w:t xml:space="preserve"> associated with not commenc</w:t>
      </w:r>
      <w:r w:rsidR="00802579">
        <w:rPr>
          <w:rFonts w:cs="ArialMT"/>
          <w:sz w:val="24"/>
          <w:szCs w:val="24"/>
        </w:rPr>
        <w:t xml:space="preserve">ing </w:t>
      </w:r>
      <w:r w:rsidR="00372321">
        <w:rPr>
          <w:rFonts w:cs="ArialMT"/>
          <w:sz w:val="24"/>
          <w:szCs w:val="24"/>
        </w:rPr>
        <w:t>treatment promptly</w:t>
      </w:r>
      <w:bookmarkEnd w:id="23"/>
      <w:r w:rsidR="00CA75EB">
        <w:rPr>
          <w:rFonts w:cs="ArialMT"/>
          <w:sz w:val="24"/>
          <w:szCs w:val="24"/>
        </w:rPr>
        <w:t>, with odds ratios of 0.</w:t>
      </w:r>
      <w:r w:rsidR="002E060F">
        <w:rPr>
          <w:rFonts w:cs="ArialMT"/>
          <w:sz w:val="24"/>
          <w:szCs w:val="24"/>
        </w:rPr>
        <w:t>48</w:t>
      </w:r>
      <w:r w:rsidR="00CA75EB">
        <w:rPr>
          <w:rFonts w:cs="ArialMT"/>
          <w:sz w:val="24"/>
          <w:szCs w:val="24"/>
        </w:rPr>
        <w:t xml:space="preserve"> (95% CI 0.4</w:t>
      </w:r>
      <w:r w:rsidR="002E060F">
        <w:rPr>
          <w:rFonts w:cs="ArialMT"/>
          <w:sz w:val="24"/>
          <w:szCs w:val="24"/>
        </w:rPr>
        <w:t>2</w:t>
      </w:r>
      <w:r w:rsidR="00CA75EB">
        <w:rPr>
          <w:rFonts w:cs="ArialMT"/>
          <w:sz w:val="24"/>
          <w:szCs w:val="24"/>
        </w:rPr>
        <w:t xml:space="preserve"> to 0.</w:t>
      </w:r>
      <w:r w:rsidR="002E060F">
        <w:rPr>
          <w:rFonts w:cs="ArialMT"/>
          <w:sz w:val="24"/>
          <w:szCs w:val="24"/>
        </w:rPr>
        <w:t>54</w:t>
      </w:r>
      <w:r w:rsidR="00016A16">
        <w:rPr>
          <w:rFonts w:cs="ArialMT"/>
          <w:sz w:val="24"/>
          <w:szCs w:val="24"/>
        </w:rPr>
        <w:t>,</w:t>
      </w:r>
      <w:r w:rsidR="00CA75EB">
        <w:rPr>
          <w:rFonts w:cs="ArialMT"/>
          <w:sz w:val="24"/>
          <w:szCs w:val="24"/>
        </w:rPr>
        <w:t xml:space="preserve"> p &lt;0.0001)</w:t>
      </w:r>
      <w:r w:rsidR="00016A16">
        <w:rPr>
          <w:rFonts w:cs="ArialMT"/>
          <w:sz w:val="24"/>
          <w:szCs w:val="24"/>
        </w:rPr>
        <w:t xml:space="preserve"> in the unadjusted model and 0.</w:t>
      </w:r>
      <w:r w:rsidR="002E060F">
        <w:rPr>
          <w:rFonts w:cs="ArialMT"/>
          <w:sz w:val="24"/>
          <w:szCs w:val="24"/>
        </w:rPr>
        <w:t>50</w:t>
      </w:r>
      <w:r w:rsidR="00016A16">
        <w:rPr>
          <w:rFonts w:cs="ArialMT"/>
          <w:sz w:val="24"/>
          <w:szCs w:val="24"/>
        </w:rPr>
        <w:t xml:space="preserve"> (95% CI 0.</w:t>
      </w:r>
      <w:r w:rsidR="002E060F">
        <w:rPr>
          <w:rFonts w:cs="ArialMT"/>
          <w:sz w:val="24"/>
          <w:szCs w:val="24"/>
        </w:rPr>
        <w:t>41</w:t>
      </w:r>
      <w:r w:rsidR="00016A16">
        <w:rPr>
          <w:rFonts w:cs="ArialMT"/>
          <w:sz w:val="24"/>
          <w:szCs w:val="24"/>
        </w:rPr>
        <w:t xml:space="preserve"> to 0.</w:t>
      </w:r>
      <w:r w:rsidR="002E060F">
        <w:rPr>
          <w:rFonts w:cs="ArialMT"/>
          <w:sz w:val="24"/>
          <w:szCs w:val="24"/>
        </w:rPr>
        <w:t>61</w:t>
      </w:r>
      <w:r w:rsidR="00016A16">
        <w:rPr>
          <w:rFonts w:cs="ArialMT"/>
          <w:sz w:val="24"/>
          <w:szCs w:val="24"/>
        </w:rPr>
        <w:t xml:space="preserve">, p &lt;0.0001) in the model adjusted for patient level factors.  The association was </w:t>
      </w:r>
      <w:r w:rsidR="002E060F">
        <w:rPr>
          <w:rFonts w:cs="ArialMT"/>
          <w:sz w:val="24"/>
          <w:szCs w:val="24"/>
        </w:rPr>
        <w:t>maintained</w:t>
      </w:r>
      <w:r w:rsidR="00016A16">
        <w:rPr>
          <w:rFonts w:cs="ArialMT"/>
          <w:sz w:val="24"/>
          <w:szCs w:val="24"/>
        </w:rPr>
        <w:t xml:space="preserve"> </w:t>
      </w:r>
      <w:r w:rsidR="002E060F">
        <w:rPr>
          <w:rFonts w:cs="ArialMT"/>
          <w:sz w:val="24"/>
          <w:szCs w:val="24"/>
        </w:rPr>
        <w:t>after adjustment for</w:t>
      </w:r>
      <w:r w:rsidR="00016A16">
        <w:rPr>
          <w:rFonts w:cs="ArialMT"/>
          <w:sz w:val="24"/>
          <w:szCs w:val="24"/>
        </w:rPr>
        <w:t xml:space="preserve"> department level factors, odds ratio 0.50 (95% CI 0.41 to 0.61, p &lt;0.0001). </w:t>
      </w:r>
      <w:r w:rsidR="00873D4E">
        <w:rPr>
          <w:rFonts w:cs="ArialMT"/>
          <w:sz w:val="24"/>
          <w:szCs w:val="24"/>
        </w:rPr>
        <w:t xml:space="preserve">A comparison of the models </w:t>
      </w:r>
      <w:r w:rsidR="002E060F">
        <w:rPr>
          <w:rFonts w:cs="ArialMT"/>
          <w:sz w:val="24"/>
          <w:szCs w:val="24"/>
        </w:rPr>
        <w:t>is presented</w:t>
      </w:r>
      <w:r w:rsidR="00873D4E">
        <w:rPr>
          <w:rFonts w:cs="ArialMT"/>
          <w:sz w:val="24"/>
          <w:szCs w:val="24"/>
        </w:rPr>
        <w:t xml:space="preserve"> in figure </w:t>
      </w:r>
      <w:r w:rsidR="00CB44A2">
        <w:rPr>
          <w:rFonts w:cs="ArialMT"/>
          <w:sz w:val="24"/>
          <w:szCs w:val="24"/>
        </w:rPr>
        <w:t>2</w:t>
      </w:r>
      <w:r w:rsidR="00873D4E">
        <w:rPr>
          <w:rFonts w:cs="ArialMT"/>
          <w:sz w:val="24"/>
          <w:szCs w:val="24"/>
        </w:rPr>
        <w:t xml:space="preserve">. </w:t>
      </w:r>
    </w:p>
    <w:p w14:paraId="3E785D4F" w14:textId="7E58BB10" w:rsidR="005A4C95" w:rsidRDefault="00C86865" w:rsidP="002830C8">
      <w:pPr>
        <w:spacing w:line="480" w:lineRule="auto"/>
        <w:jc w:val="both"/>
        <w:rPr>
          <w:rFonts w:cs="ArialMT"/>
          <w:sz w:val="24"/>
          <w:szCs w:val="24"/>
        </w:rPr>
      </w:pPr>
      <w:r>
        <w:rPr>
          <w:rFonts w:cs="ArialMT"/>
          <w:sz w:val="24"/>
          <w:szCs w:val="24"/>
        </w:rPr>
        <w:t>Staffing levels</w:t>
      </w:r>
      <w:r w:rsidR="00006E5C">
        <w:rPr>
          <w:rFonts w:cs="ArialMT"/>
          <w:sz w:val="24"/>
          <w:szCs w:val="24"/>
        </w:rPr>
        <w:t xml:space="preserve"> had a substantial impact on the estimate</w:t>
      </w:r>
      <w:r w:rsidR="00CD18C2">
        <w:rPr>
          <w:rFonts w:cs="ArialMT"/>
          <w:sz w:val="24"/>
          <w:szCs w:val="24"/>
        </w:rPr>
        <w:t>s</w:t>
      </w:r>
      <w:r w:rsidR="00006E5C">
        <w:rPr>
          <w:rFonts w:cs="ArialMT"/>
          <w:sz w:val="24"/>
          <w:szCs w:val="24"/>
        </w:rPr>
        <w:t xml:space="preserve"> with higher nursing levels, and paradoxically, lower consultant levels associating with </w:t>
      </w:r>
      <w:r w:rsidR="000D720B">
        <w:rPr>
          <w:rFonts w:cs="ArialMT"/>
          <w:sz w:val="24"/>
          <w:szCs w:val="24"/>
        </w:rPr>
        <w:t xml:space="preserve">a greater chance for </w:t>
      </w:r>
      <w:r w:rsidR="00006E5C">
        <w:rPr>
          <w:rFonts w:cs="ArialMT"/>
          <w:sz w:val="24"/>
          <w:szCs w:val="24"/>
        </w:rPr>
        <w:t>prompt treatment initiation.</w:t>
      </w:r>
      <w:r w:rsidR="002E060F">
        <w:rPr>
          <w:rFonts w:cs="ArialMT"/>
          <w:sz w:val="24"/>
          <w:szCs w:val="24"/>
        </w:rPr>
        <w:t xml:space="preserve"> </w:t>
      </w:r>
    </w:p>
    <w:p w14:paraId="3E1392F0" w14:textId="4D30CBFE" w:rsidR="00815453" w:rsidRPr="00E157B1" w:rsidRDefault="005A4C95" w:rsidP="00E157B1">
      <w:pPr>
        <w:spacing w:line="480" w:lineRule="auto"/>
        <w:jc w:val="both"/>
        <w:rPr>
          <w:rFonts w:cs="ArialMT"/>
          <w:sz w:val="24"/>
          <w:szCs w:val="24"/>
        </w:rPr>
      </w:pPr>
      <w:r>
        <w:rPr>
          <w:rFonts w:cs="ArialMT"/>
          <w:sz w:val="24"/>
          <w:szCs w:val="24"/>
        </w:rPr>
        <w:lastRenderedPageBreak/>
        <w:t>Sensitivity analyses were conducted to investigate the impact of staffing levels</w:t>
      </w:r>
      <w:r w:rsidR="000D720B">
        <w:rPr>
          <w:rFonts w:cs="ArialMT"/>
          <w:sz w:val="24"/>
          <w:szCs w:val="24"/>
        </w:rPr>
        <w:t xml:space="preserve"> on data completeness</w:t>
      </w:r>
      <w:r>
        <w:rPr>
          <w:rFonts w:cs="ArialMT"/>
          <w:sz w:val="24"/>
          <w:szCs w:val="24"/>
        </w:rPr>
        <w:t xml:space="preserve">. Mixed effects modelling with nurse and consultant densities as a predictor of missing baseline DAS28 gave odds ratios of 1.11 (95% CI 0.91 to 1.34) and 0.97 (95% CI 0.76 to 1.25) respectively, suggesting staffing levels were not independent predictors of missing DAS28. </w:t>
      </w:r>
    </w:p>
    <w:p w14:paraId="005EC4DA" w14:textId="3B326FD9" w:rsidR="0012745D" w:rsidRDefault="00B10E93" w:rsidP="002830C8">
      <w:pPr>
        <w:pStyle w:val="Heading1"/>
        <w:spacing w:line="480" w:lineRule="auto"/>
      </w:pPr>
      <w:r>
        <w:t>DISCUSSION</w:t>
      </w:r>
    </w:p>
    <w:p w14:paraId="4C4AE72C" w14:textId="361E5883" w:rsidR="00F04964" w:rsidRDefault="00F04964" w:rsidP="002830C8">
      <w:pPr>
        <w:spacing w:line="480" w:lineRule="auto"/>
        <w:jc w:val="both"/>
        <w:rPr>
          <w:bCs/>
          <w:sz w:val="24"/>
          <w:szCs w:val="24"/>
        </w:rPr>
      </w:pPr>
      <w:r>
        <w:rPr>
          <w:bCs/>
          <w:sz w:val="24"/>
          <w:szCs w:val="24"/>
        </w:rPr>
        <w:t xml:space="preserve">These data from </w:t>
      </w:r>
      <w:r w:rsidR="008C6B49">
        <w:rPr>
          <w:bCs/>
          <w:sz w:val="24"/>
          <w:szCs w:val="24"/>
        </w:rPr>
        <w:t>an outpatient based NCA</w:t>
      </w:r>
      <w:r>
        <w:rPr>
          <w:bCs/>
          <w:sz w:val="24"/>
          <w:szCs w:val="24"/>
        </w:rPr>
        <w:t xml:space="preserve"> identify a strong relationship between clinical outcome data completeness and care quality, maintained after extensive adjustment for patient and department level factors.  The relationship suggests missing baseline </w:t>
      </w:r>
      <w:r w:rsidR="00191FFF">
        <w:rPr>
          <w:bCs/>
          <w:sz w:val="24"/>
          <w:szCs w:val="24"/>
        </w:rPr>
        <w:t>disease activity</w:t>
      </w:r>
      <w:r>
        <w:rPr>
          <w:bCs/>
          <w:sz w:val="24"/>
          <w:szCs w:val="24"/>
        </w:rPr>
        <w:t xml:space="preserve"> data </w:t>
      </w:r>
      <w:r w:rsidR="00191FFF">
        <w:rPr>
          <w:bCs/>
          <w:sz w:val="24"/>
          <w:szCs w:val="24"/>
        </w:rPr>
        <w:t>are</w:t>
      </w:r>
      <w:r w:rsidR="002C6A18">
        <w:rPr>
          <w:bCs/>
          <w:sz w:val="24"/>
          <w:szCs w:val="24"/>
        </w:rPr>
        <w:t xml:space="preserve"> an </w:t>
      </w:r>
      <w:r w:rsidR="00ED3DDA">
        <w:rPr>
          <w:bCs/>
          <w:sz w:val="24"/>
          <w:szCs w:val="24"/>
        </w:rPr>
        <w:t>indirect</w:t>
      </w:r>
      <w:r>
        <w:rPr>
          <w:bCs/>
          <w:sz w:val="24"/>
          <w:szCs w:val="24"/>
        </w:rPr>
        <w:t xml:space="preserve"> </w:t>
      </w:r>
      <w:r w:rsidR="00ED3DDA">
        <w:rPr>
          <w:bCs/>
          <w:sz w:val="24"/>
          <w:szCs w:val="24"/>
        </w:rPr>
        <w:t xml:space="preserve">indicator </w:t>
      </w:r>
      <w:r>
        <w:rPr>
          <w:bCs/>
          <w:sz w:val="24"/>
          <w:szCs w:val="24"/>
        </w:rPr>
        <w:t>for service quality in RA care.</w:t>
      </w:r>
      <w:r w:rsidR="00CB44A2">
        <w:rPr>
          <w:bCs/>
          <w:sz w:val="24"/>
          <w:szCs w:val="24"/>
        </w:rPr>
        <w:t xml:space="preserve"> </w:t>
      </w:r>
    </w:p>
    <w:p w14:paraId="163A4445" w14:textId="3BBE08C2" w:rsidR="00191FFF" w:rsidRDefault="00191FFF" w:rsidP="002830C8">
      <w:pPr>
        <w:spacing w:line="480" w:lineRule="auto"/>
        <w:jc w:val="both"/>
        <w:rPr>
          <w:bCs/>
          <w:sz w:val="24"/>
          <w:szCs w:val="24"/>
        </w:rPr>
      </w:pPr>
      <w:r>
        <w:rPr>
          <w:bCs/>
          <w:sz w:val="24"/>
          <w:szCs w:val="24"/>
        </w:rPr>
        <w:t>By using a mixed effects model in our analyses, we have been able to account for case-mix and volume of activity in our estimates of data quality. As a result, we have robustly identified departments that substantially deviate from expected data return levels</w:t>
      </w:r>
      <w:r w:rsidR="004E2076">
        <w:rPr>
          <w:bCs/>
          <w:sz w:val="24"/>
          <w:szCs w:val="24"/>
        </w:rPr>
        <w:t xml:space="preserve">; </w:t>
      </w:r>
      <w:r w:rsidR="004E2076" w:rsidRPr="004E2076">
        <w:rPr>
          <w:bCs/>
          <w:sz w:val="24"/>
          <w:szCs w:val="24"/>
        </w:rPr>
        <w:t>accounting for confounding due to case-mix and potential small sample effects</w:t>
      </w:r>
      <w:r w:rsidR="004E2076">
        <w:rPr>
          <w:bCs/>
          <w:sz w:val="24"/>
          <w:szCs w:val="24"/>
        </w:rPr>
        <w:t xml:space="preserve"> </w:t>
      </w:r>
      <w:r w:rsidR="004E2076">
        <w:rPr>
          <w:bCs/>
          <w:sz w:val="24"/>
          <w:szCs w:val="24"/>
        </w:rPr>
        <w:fldChar w:fldCharType="begin"/>
      </w:r>
      <w:r w:rsidR="00C956CF">
        <w:rPr>
          <w:bCs/>
          <w:sz w:val="24"/>
          <w:szCs w:val="24"/>
        </w:rPr>
        <w:instrText xml:space="preserve"> ADDIN EN.CITE &lt;EndNote&gt;&lt;Cite&gt;&lt;Author&gt;MacKenzie&lt;/Author&gt;&lt;Year&gt;2015&lt;/Year&gt;&lt;RecNum&gt;206&lt;/RecNum&gt;&lt;DisplayText&gt;(11)&lt;/DisplayText&gt;&lt;record&gt;&lt;rec-number&gt;206&lt;/rec-number&gt;&lt;foreign-keys&gt;&lt;key app="EN" db-id="drp9r9v5qdfv2hez5ec55x5ldtx2ezvvxs2v" timestamp="1571654492"&gt;206&lt;/key&gt;&lt;/foreign-keys&gt;&lt;ref-type name="Journal Article"&gt;17&lt;/ref-type&gt;&lt;contributors&gt;&lt;authors&gt;&lt;author&gt;MacKenzie, T. A.&lt;/author&gt;&lt;author&gt;Grunkemeier, G. L.&lt;/author&gt;&lt;author&gt;Grunwald, G. K.&lt;/author&gt;&lt;author&gt;O&amp;apos;Malley, A. J.&lt;/author&gt;&lt;author&gt;Bohn, C.&lt;/author&gt;&lt;author&gt;Wu, Y.&lt;/author&gt;&lt;author&gt;Malenka, D. J.&lt;/author&gt;&lt;/authors&gt;&lt;/contributors&gt;&lt;auth-address&gt;Department of Biomedical Data Science, Dartmouth College, Geisel School of Medicine, Hanover, New Hampshire. Electronic address: todd.a.mackenzie@dartmouth.edu.&amp;#xD;Providence Health System, Portland, Oregon.&amp;#xD;Department of Biostatistics and Bioinformatics, University of Colorado at Denver, Denver, Colorado.&amp;#xD;Department of Biomedical Data Science, Dartmouth College, Geisel School of Medicine, Hanover, New Hampshire.&amp;#xD;Department of Medicine, Dartmouth College, Geisel School of Medicine, Hanover, New Hampshire.&lt;/auth-address&gt;&lt;titles&gt;&lt;title&gt;A primer on using shrinkage to compare in-hospital mortality between centers&lt;/title&gt;&lt;secondary-title&gt;Ann Thorac Surg&lt;/secondary-title&gt;&lt;/titles&gt;&lt;periodical&gt;&lt;full-title&gt;Ann Thorac Surg&lt;/full-title&gt;&lt;/periodical&gt;&lt;pages&gt;757-61&lt;/pages&gt;&lt;volume&gt;99&lt;/volume&gt;&lt;number&gt;3&lt;/number&gt;&lt;edition&gt;2015/03/07&lt;/edition&gt;&lt;keywords&gt;&lt;keyword&gt;*Hospital Mortality&lt;/keyword&gt;&lt;keyword&gt;Humans&lt;/keyword&gt;&lt;keyword&gt;Models, Statistical&lt;/keyword&gt;&lt;keyword&gt;Multicenter Studies as Topic/*statistics &amp;amp; numerical data&lt;/keyword&gt;&lt;/keywords&gt;&lt;dates&gt;&lt;year&gt;2015&lt;/year&gt;&lt;pub-dates&gt;&lt;date&gt;Mar&lt;/date&gt;&lt;/pub-dates&gt;&lt;/dates&gt;&lt;isbn&gt;0003-4975&lt;/isbn&gt;&lt;accession-num&gt;25742812&lt;/accession-num&gt;&lt;urls&gt;&lt;/urls&gt;&lt;electronic-resource-num&gt;10.1016/j.athoracsur.2014.11.039&lt;/electronic-resource-num&gt;&lt;remote-database-provider&gt;NLM&lt;/remote-database-provider&gt;&lt;language&gt;eng&lt;/language&gt;&lt;/record&gt;&lt;/Cite&gt;&lt;/EndNote&gt;</w:instrText>
      </w:r>
      <w:r w:rsidR="004E2076">
        <w:rPr>
          <w:bCs/>
          <w:sz w:val="24"/>
          <w:szCs w:val="24"/>
        </w:rPr>
        <w:fldChar w:fldCharType="separate"/>
      </w:r>
      <w:r w:rsidR="00C956CF">
        <w:rPr>
          <w:bCs/>
          <w:noProof/>
          <w:sz w:val="24"/>
          <w:szCs w:val="24"/>
        </w:rPr>
        <w:t>(11)</w:t>
      </w:r>
      <w:r w:rsidR="004E2076">
        <w:rPr>
          <w:bCs/>
          <w:sz w:val="24"/>
          <w:szCs w:val="24"/>
        </w:rPr>
        <w:fldChar w:fldCharType="end"/>
      </w:r>
      <w:r w:rsidR="004E2076">
        <w:rPr>
          <w:bCs/>
          <w:sz w:val="24"/>
          <w:szCs w:val="24"/>
        </w:rPr>
        <w:t>.</w:t>
      </w:r>
    </w:p>
    <w:p w14:paraId="30AE4A02" w14:textId="3E178CAB" w:rsidR="00F809AD" w:rsidRPr="004F178D" w:rsidRDefault="004F178D" w:rsidP="002830C8">
      <w:pPr>
        <w:spacing w:line="480" w:lineRule="auto"/>
        <w:jc w:val="both"/>
        <w:rPr>
          <w:bCs/>
          <w:sz w:val="24"/>
          <w:szCs w:val="24"/>
        </w:rPr>
      </w:pPr>
      <w:r>
        <w:rPr>
          <w:bCs/>
          <w:sz w:val="24"/>
          <w:szCs w:val="24"/>
        </w:rPr>
        <w:t xml:space="preserve">There was broad variation in departmental completeness of baseline disease activity data. </w:t>
      </w:r>
      <w:r w:rsidR="00F809AD" w:rsidRPr="00ED3DDA">
        <w:rPr>
          <w:sz w:val="24"/>
          <w:szCs w:val="24"/>
        </w:rPr>
        <w:t xml:space="preserve">High levels of incomplete clinical outcome measures detrimentally affect the face validity of </w:t>
      </w:r>
      <w:r w:rsidR="001A069C">
        <w:rPr>
          <w:sz w:val="24"/>
          <w:szCs w:val="24"/>
        </w:rPr>
        <w:t>NCA</w:t>
      </w:r>
      <w:r w:rsidR="00F809AD" w:rsidRPr="00ED3DDA">
        <w:rPr>
          <w:sz w:val="24"/>
          <w:szCs w:val="24"/>
        </w:rPr>
        <w:t xml:space="preserve"> findings</w:t>
      </w:r>
      <w:r w:rsidR="00F809AD">
        <w:rPr>
          <w:sz w:val="24"/>
          <w:szCs w:val="24"/>
        </w:rPr>
        <w:t xml:space="preserve">.  </w:t>
      </w:r>
      <w:r w:rsidR="001A069C">
        <w:rPr>
          <w:sz w:val="24"/>
          <w:szCs w:val="24"/>
        </w:rPr>
        <w:t>Process</w:t>
      </w:r>
      <w:r w:rsidR="00F809AD">
        <w:rPr>
          <w:sz w:val="24"/>
          <w:szCs w:val="24"/>
        </w:rPr>
        <w:t xml:space="preserve"> measures, such as treatment time in NCAREIA, tend to have lower levels of missing data, good precision, and a lower risk of bias. Despite this, c</w:t>
      </w:r>
      <w:r w:rsidR="00F809AD" w:rsidRPr="00ED3DDA">
        <w:rPr>
          <w:sz w:val="24"/>
          <w:szCs w:val="24"/>
        </w:rPr>
        <w:t xml:space="preserve">linicians </w:t>
      </w:r>
      <w:r w:rsidR="00F809AD">
        <w:rPr>
          <w:sz w:val="24"/>
          <w:szCs w:val="24"/>
        </w:rPr>
        <w:t xml:space="preserve">may </w:t>
      </w:r>
      <w:r w:rsidR="00F809AD" w:rsidRPr="00ED3DDA">
        <w:rPr>
          <w:sz w:val="24"/>
          <w:szCs w:val="24"/>
        </w:rPr>
        <w:t xml:space="preserve">place greater emphasis on </w:t>
      </w:r>
      <w:r w:rsidR="00F809AD">
        <w:rPr>
          <w:sz w:val="24"/>
          <w:szCs w:val="24"/>
        </w:rPr>
        <w:t>clinical outcome measures</w:t>
      </w:r>
      <w:r w:rsidR="00191FFF">
        <w:rPr>
          <w:sz w:val="24"/>
          <w:szCs w:val="24"/>
        </w:rPr>
        <w:t xml:space="preserve"> even when the data are incomplete</w:t>
      </w:r>
      <w:r w:rsidR="004E2076">
        <w:rPr>
          <w:sz w:val="24"/>
          <w:szCs w:val="24"/>
        </w:rPr>
        <w:t xml:space="preserve"> </w:t>
      </w:r>
      <w:r w:rsidR="004E2076">
        <w:rPr>
          <w:sz w:val="24"/>
          <w:szCs w:val="24"/>
        </w:rPr>
        <w:fldChar w:fldCharType="begin"/>
      </w:r>
      <w:r w:rsidR="00C956CF">
        <w:rPr>
          <w:sz w:val="24"/>
          <w:szCs w:val="24"/>
        </w:rPr>
        <w:instrText xml:space="preserve"> ADDIN EN.CITE &lt;EndNote&gt;&lt;Cite&gt;&lt;Author&gt;Birkmeyer&lt;/Author&gt;&lt;Year&gt;2004&lt;/Year&gt;&lt;RecNum&gt;207&lt;/RecNum&gt;&lt;DisplayText&gt;(15)&lt;/DisplayText&gt;&lt;record&gt;&lt;rec-number&gt;207&lt;/rec-number&gt;&lt;foreign-keys&gt;&lt;key app="EN" db-id="drp9r9v5qdfv2hez5ec55x5ldtx2ezvvxs2v" timestamp="1571655094"&gt;207&lt;/key&gt;&lt;/foreign-keys&gt;&lt;ref-type name="Journal Article"&gt;17&lt;/ref-type&gt;&lt;contributors&gt;&lt;authors&gt;&lt;author&gt;Birkmeyer, J. D.&lt;/author&gt;&lt;author&gt;Dimick, J. B.&lt;/author&gt;&lt;author&gt;Birkmeyer, N. J.&lt;/author&gt;&lt;/authors&gt;&lt;/contributors&gt;&lt;auth-address&gt;Section of General Surgery, University of Michigan, 2920 Taubman Center, 1500 East Medical Center Drive, Ann Arbor, MI 48109-0331, USA.&lt;/auth-address&gt;&lt;titles&gt;&lt;title&gt;Measuring the quality of surgical care: structure, process, or outcomes?&lt;/title&gt;&lt;secondary-title&gt;J Am Coll Surg&lt;/secondary-title&gt;&lt;/titles&gt;&lt;periodical&gt;&lt;full-title&gt;J Am Coll Surg&lt;/full-title&gt;&lt;/periodical&gt;&lt;pages&gt;626-32&lt;/pages&gt;&lt;volume&gt;198&lt;/volume&gt;&lt;number&gt;4&lt;/number&gt;&lt;edition&gt;2004/03/31&lt;/edition&gt;&lt;keywords&gt;&lt;keyword&gt;Humans&lt;/keyword&gt;&lt;keyword&gt;Outcome and Process Assessment (Health Care)/*methods&lt;/keyword&gt;&lt;keyword&gt;Program Evaluation/methods&lt;/keyword&gt;&lt;keyword&gt;*Quality Indicators, Health Care&lt;/keyword&gt;&lt;keyword&gt;Surgical Procedures, Operative/*standards&lt;/keyword&gt;&lt;keyword&gt;United States&lt;/keyword&gt;&lt;/keywords&gt;&lt;dates&gt;&lt;year&gt;2004&lt;/year&gt;&lt;pub-dates&gt;&lt;date&gt;Apr&lt;/date&gt;&lt;/pub-dates&gt;&lt;/dates&gt;&lt;isbn&gt;1072-7515 (Print)&amp;#xD;1072-7515&lt;/isbn&gt;&lt;accession-num&gt;15051016&lt;/accession-num&gt;&lt;urls&gt;&lt;/urls&gt;&lt;electronic-resource-num&gt;10.1016/j.jamcollsurg.2003.11.017&lt;/electronic-resource-num&gt;&lt;remote-database-provider&gt;NLM&lt;/remote-database-provider&gt;&lt;language&gt;eng&lt;/language&gt;&lt;/record&gt;&lt;/Cite&gt;&lt;/EndNote&gt;</w:instrText>
      </w:r>
      <w:r w:rsidR="004E2076">
        <w:rPr>
          <w:sz w:val="24"/>
          <w:szCs w:val="24"/>
        </w:rPr>
        <w:fldChar w:fldCharType="separate"/>
      </w:r>
      <w:r w:rsidR="00C956CF">
        <w:rPr>
          <w:noProof/>
          <w:sz w:val="24"/>
          <w:szCs w:val="24"/>
        </w:rPr>
        <w:t>(15)</w:t>
      </w:r>
      <w:r w:rsidR="004E2076">
        <w:rPr>
          <w:sz w:val="24"/>
          <w:szCs w:val="24"/>
        </w:rPr>
        <w:fldChar w:fldCharType="end"/>
      </w:r>
      <w:r w:rsidR="00191FFF">
        <w:rPr>
          <w:sz w:val="24"/>
          <w:szCs w:val="24"/>
        </w:rPr>
        <w:t xml:space="preserve">. This is perhaps explained by clinician familiarity with the clinical outcome measures from trials within the field, in contrast to the paucity of studies that evaluate process measures in healthcare. </w:t>
      </w:r>
      <w:r w:rsidR="00F809AD">
        <w:rPr>
          <w:sz w:val="24"/>
          <w:szCs w:val="24"/>
        </w:rPr>
        <w:t xml:space="preserve"> </w:t>
      </w:r>
    </w:p>
    <w:p w14:paraId="4AD294FE" w14:textId="2A078EE9" w:rsidR="00191FFF" w:rsidRDefault="00191FFF" w:rsidP="002830C8">
      <w:pPr>
        <w:spacing w:line="480" w:lineRule="auto"/>
        <w:jc w:val="both"/>
        <w:rPr>
          <w:bCs/>
          <w:sz w:val="24"/>
          <w:szCs w:val="24"/>
        </w:rPr>
      </w:pPr>
      <w:r>
        <w:rPr>
          <w:bCs/>
          <w:sz w:val="24"/>
          <w:szCs w:val="24"/>
        </w:rPr>
        <w:lastRenderedPageBreak/>
        <w:t xml:space="preserve">There appeared to be a cluster of departments with high degrees of missing data in the North West region. The purpose of mapping performance was to seek evidence for regional clustering. The mapping presented suggests that clustering may be present, and this warrants further investigation. Clinical departments often share networks within their locality, with common training programs and regional education events. </w:t>
      </w:r>
      <w:r w:rsidR="00AB59C2">
        <w:rPr>
          <w:bCs/>
          <w:sz w:val="24"/>
          <w:szCs w:val="24"/>
        </w:rPr>
        <w:t xml:space="preserve">If regional trends in performance are apparent, and genuine, these provide an opportunity for a collective service improvement program. </w:t>
      </w:r>
    </w:p>
    <w:p w14:paraId="7F025CE1" w14:textId="22AEC8DC" w:rsidR="00D94DB5" w:rsidRPr="00191FFF" w:rsidRDefault="00394969" w:rsidP="002830C8">
      <w:pPr>
        <w:spacing w:line="480" w:lineRule="auto"/>
        <w:jc w:val="both"/>
        <w:rPr>
          <w:bCs/>
          <w:sz w:val="24"/>
          <w:szCs w:val="24"/>
        </w:rPr>
      </w:pPr>
      <w:r>
        <w:rPr>
          <w:bCs/>
          <w:sz w:val="24"/>
          <w:szCs w:val="24"/>
        </w:rPr>
        <w:t>There were striking differences between patients with complete and incomplete DAS28 data</w:t>
      </w:r>
      <w:r w:rsidR="00DF12E2">
        <w:rPr>
          <w:bCs/>
          <w:sz w:val="24"/>
          <w:szCs w:val="24"/>
        </w:rPr>
        <w:t xml:space="preserve">, </w:t>
      </w:r>
      <w:r>
        <w:rPr>
          <w:bCs/>
          <w:sz w:val="24"/>
          <w:szCs w:val="24"/>
        </w:rPr>
        <w:t>suggest</w:t>
      </w:r>
      <w:r w:rsidR="00DF12E2">
        <w:rPr>
          <w:bCs/>
          <w:sz w:val="24"/>
          <w:szCs w:val="24"/>
        </w:rPr>
        <w:t>ing</w:t>
      </w:r>
      <w:r>
        <w:rPr>
          <w:bCs/>
          <w:sz w:val="24"/>
          <w:szCs w:val="24"/>
        </w:rPr>
        <w:t xml:space="preserve"> the data are missing not at random. </w:t>
      </w:r>
      <w:r w:rsidR="00DF12E2">
        <w:rPr>
          <w:bCs/>
          <w:sz w:val="24"/>
          <w:szCs w:val="24"/>
        </w:rPr>
        <w:t xml:space="preserve">The drivers behind missing DAS28 data warrant further discussion. Participation in NCAREIA was mandatory, but still relied on clinician goodwill for data entry. It is likely that clinicians put greater emphasis on collecting data for patients with ‘typical’ or severe symptoms of RA. This is supported by the higher proportion of seropositive patients in those with complete DAS28 data. </w:t>
      </w:r>
    </w:p>
    <w:p w14:paraId="5C4024AF" w14:textId="0D5E23AB" w:rsidR="0035410E" w:rsidRDefault="009A015C" w:rsidP="002830C8">
      <w:pPr>
        <w:spacing w:line="480" w:lineRule="auto"/>
        <w:jc w:val="both"/>
        <w:rPr>
          <w:sz w:val="24"/>
          <w:szCs w:val="24"/>
        </w:rPr>
      </w:pPr>
      <w:r w:rsidRPr="009A015C">
        <w:rPr>
          <w:bCs/>
          <w:sz w:val="24"/>
          <w:szCs w:val="24"/>
        </w:rPr>
        <w:t xml:space="preserve">Missing data are a challenge in any observational dataset, particularly in </w:t>
      </w:r>
      <w:r w:rsidR="001A069C">
        <w:rPr>
          <w:bCs/>
          <w:sz w:val="24"/>
          <w:szCs w:val="24"/>
        </w:rPr>
        <w:t>NCAs</w:t>
      </w:r>
      <w:r w:rsidRPr="009A015C">
        <w:rPr>
          <w:bCs/>
          <w:sz w:val="24"/>
          <w:szCs w:val="24"/>
        </w:rPr>
        <w:t xml:space="preserve"> that rely on clinician goodwill for case </w:t>
      </w:r>
      <w:r>
        <w:rPr>
          <w:bCs/>
          <w:sz w:val="24"/>
          <w:szCs w:val="24"/>
        </w:rPr>
        <w:t>ascertainment</w:t>
      </w:r>
      <w:r w:rsidRPr="009A015C">
        <w:rPr>
          <w:bCs/>
          <w:sz w:val="24"/>
          <w:szCs w:val="24"/>
        </w:rPr>
        <w:t xml:space="preserve"> and data collection.</w:t>
      </w:r>
      <w:r w:rsidR="00014FF7">
        <w:rPr>
          <w:bCs/>
          <w:sz w:val="24"/>
          <w:szCs w:val="24"/>
        </w:rPr>
        <w:t xml:space="preserve"> </w:t>
      </w:r>
      <w:r>
        <w:rPr>
          <w:sz w:val="24"/>
          <w:szCs w:val="24"/>
        </w:rPr>
        <w:t xml:space="preserve">HQIP, </w:t>
      </w:r>
      <w:r w:rsidRPr="00CC42B1">
        <w:rPr>
          <w:sz w:val="24"/>
          <w:szCs w:val="24"/>
        </w:rPr>
        <w:t xml:space="preserve">responsible for the commissioning of </w:t>
      </w:r>
      <w:r w:rsidR="008C6B49">
        <w:rPr>
          <w:sz w:val="24"/>
          <w:szCs w:val="24"/>
        </w:rPr>
        <w:t>NCA</w:t>
      </w:r>
      <w:r w:rsidRPr="00CC42B1">
        <w:rPr>
          <w:sz w:val="24"/>
          <w:szCs w:val="24"/>
        </w:rPr>
        <w:t xml:space="preserve"> activity within the NHS in England</w:t>
      </w:r>
      <w:r>
        <w:rPr>
          <w:sz w:val="24"/>
          <w:szCs w:val="24"/>
        </w:rPr>
        <w:t xml:space="preserve">, </w:t>
      </w:r>
      <w:r w:rsidRPr="00CC42B1">
        <w:rPr>
          <w:sz w:val="24"/>
          <w:szCs w:val="24"/>
        </w:rPr>
        <w:t xml:space="preserve">recommend that </w:t>
      </w:r>
      <w:r>
        <w:rPr>
          <w:sz w:val="24"/>
          <w:szCs w:val="24"/>
        </w:rPr>
        <w:t>missing</w:t>
      </w:r>
      <w:r w:rsidRPr="00CC42B1">
        <w:rPr>
          <w:sz w:val="24"/>
          <w:szCs w:val="24"/>
        </w:rPr>
        <w:t xml:space="preserve"> data can be: </w:t>
      </w:r>
      <w:r w:rsidR="00FE4FA6">
        <w:rPr>
          <w:sz w:val="24"/>
          <w:szCs w:val="24"/>
        </w:rPr>
        <w:t>r</w:t>
      </w:r>
      <w:r w:rsidRPr="00FE4FA6">
        <w:rPr>
          <w:sz w:val="24"/>
          <w:szCs w:val="24"/>
        </w:rPr>
        <w:t>educed, by rationalising of data collection so only the most important information is sought;</w:t>
      </w:r>
      <w:r w:rsidR="00FE4FA6">
        <w:rPr>
          <w:sz w:val="24"/>
          <w:szCs w:val="24"/>
        </w:rPr>
        <w:t xml:space="preserve"> m</w:t>
      </w:r>
      <w:r w:rsidRPr="00FE4FA6">
        <w:rPr>
          <w:sz w:val="24"/>
          <w:szCs w:val="24"/>
        </w:rPr>
        <w:t>itigated, via linkage to alternative data sources to ‘backfill’ data gaps, and;</w:t>
      </w:r>
      <w:r w:rsidR="00FE4FA6">
        <w:rPr>
          <w:sz w:val="24"/>
          <w:szCs w:val="24"/>
        </w:rPr>
        <w:t xml:space="preserve"> i</w:t>
      </w:r>
      <w:r w:rsidRPr="00FE4FA6">
        <w:rPr>
          <w:sz w:val="24"/>
          <w:szCs w:val="24"/>
        </w:rPr>
        <w:t xml:space="preserve">mputed, utilising statistical modelling </w:t>
      </w:r>
      <w:r w:rsidRPr="00FE4FA6">
        <w:rPr>
          <w:sz w:val="24"/>
          <w:szCs w:val="24"/>
        </w:rPr>
        <w:fldChar w:fldCharType="begin"/>
      </w:r>
      <w:r w:rsidR="00C956CF">
        <w:rPr>
          <w:sz w:val="24"/>
          <w:szCs w:val="24"/>
        </w:rPr>
        <w:instrText xml:space="preserve"> ADDIN EN.CITE &lt;EndNote&gt;&lt;Cite&gt;&lt;Author&gt;partnership&lt;/Author&gt;&lt;Year&gt;2016&lt;/Year&gt;&lt;RecNum&gt;2021&lt;/RecNum&gt;&lt;DisplayText&gt;(16)&lt;/DisplayText&gt;&lt;record&gt;&lt;rec-number&gt;2021&lt;/rec-number&gt;&lt;foreign-keys&gt;&lt;key app="EN" db-id="faetre9vlw9axtez2z2vfz0yptpa2tewsp09" timestamp="1548962226"&gt;2021&lt;/key&gt;&lt;/foreign-keys&gt;&lt;ref-type name="Web Page"&gt;12&lt;/ref-type&gt;&lt;contributors&gt;&lt;authors&gt;&lt;author&gt;Healthcare quality improvement partnership&lt;/author&gt;&lt;/authors&gt;&lt;/contributors&gt;&lt;titles&gt;&lt;title&gt;Clinical Outcomes Publication: Technical manual &lt;/title&gt;&lt;/titles&gt;&lt;volume&gt;2019&lt;/volume&gt;&lt;number&gt;31st January&lt;/number&gt;&lt;dates&gt;&lt;year&gt;2016&lt;/year&gt;&lt;/dates&gt;&lt;urls&gt;&lt;related-urls&gt;&lt;url&gt;https://www.hqip.org.uk/wp-content/uploads/2018/02/clinical-outcomes-publication-technical-manual.pdf&lt;/url&gt;&lt;/related-urls&gt;&lt;/urls&gt;&lt;/record&gt;&lt;/Cite&gt;&lt;/EndNote&gt;</w:instrText>
      </w:r>
      <w:r w:rsidRPr="00FE4FA6">
        <w:rPr>
          <w:sz w:val="24"/>
          <w:szCs w:val="24"/>
        </w:rPr>
        <w:fldChar w:fldCharType="separate"/>
      </w:r>
      <w:r w:rsidR="00C956CF">
        <w:rPr>
          <w:noProof/>
          <w:sz w:val="24"/>
          <w:szCs w:val="24"/>
        </w:rPr>
        <w:t>(16)</w:t>
      </w:r>
      <w:r w:rsidRPr="00FE4FA6">
        <w:rPr>
          <w:sz w:val="24"/>
          <w:szCs w:val="24"/>
        </w:rPr>
        <w:fldChar w:fldCharType="end"/>
      </w:r>
      <w:r w:rsidRPr="00FE4FA6">
        <w:rPr>
          <w:sz w:val="24"/>
          <w:szCs w:val="24"/>
        </w:rPr>
        <w:t xml:space="preserve">. </w:t>
      </w:r>
      <w:r w:rsidR="00FE4FA6">
        <w:rPr>
          <w:sz w:val="24"/>
          <w:szCs w:val="24"/>
        </w:rPr>
        <w:t xml:space="preserve"> </w:t>
      </w:r>
      <w:r w:rsidR="006F06CB">
        <w:rPr>
          <w:sz w:val="24"/>
          <w:szCs w:val="24"/>
        </w:rPr>
        <w:t xml:space="preserve">                                                                                                                                                                                                                                                                                                                                                                                                                                                                                                                                                                                                                                                                                                                                                                                                                                                                                                                                                                                                                                                                                                                                                                                                                                                                                                                                                                                                                                                                                                                                                                                                                                                                                                                                                                                                                                                                                                                                                                                                                                                                                                                                                                                                                                                                                                                                                                                                                                                                                                                                                                                                                                                                                                                                                                                                                                                                                                                                                                                                                                                                                                                                                                                                                                                                                                                                                                                                                                                                                                                                                                                                                                                                                                                                                                                                                                                                                                                                                                                                                                                                                                                                                                                                                                                                                                                                                                                                                                                                                                                                                                                                                                                                                                                                                                                                                                                                                                                                                                                                                                                                                                                                                                                                                                                                                                                                                                                                                                                                                                                                                                                                                                                                                                                                                                                                                                                                                                                                                                                                                                                                                                                                                                                                                                                                                                                                                                                                                                                                                                                                                                                                                                                                                                                                                                                                                                                                                                                                                                                                                                                                                                                                                                                                                                                                                                                                                                                                                                                                                                                                                                                                                                                                                                                                                                                                                                                                                                                                                                                                                                                                                                                                                                                                                                                                                                                                                                                                                                                                    </w:t>
      </w:r>
    </w:p>
    <w:p w14:paraId="0360F708" w14:textId="74719894" w:rsidR="009A015C" w:rsidRPr="00CC42B1" w:rsidRDefault="009A015C" w:rsidP="002830C8">
      <w:pPr>
        <w:spacing w:line="480" w:lineRule="auto"/>
        <w:jc w:val="both"/>
        <w:rPr>
          <w:sz w:val="24"/>
          <w:szCs w:val="24"/>
        </w:rPr>
      </w:pPr>
      <w:r w:rsidRPr="00CC42B1">
        <w:rPr>
          <w:sz w:val="24"/>
          <w:szCs w:val="24"/>
        </w:rPr>
        <w:t xml:space="preserve">Rationalisation of data collection is a key component in the design of </w:t>
      </w:r>
      <w:r w:rsidR="001A069C">
        <w:rPr>
          <w:sz w:val="24"/>
          <w:szCs w:val="24"/>
        </w:rPr>
        <w:t>a</w:t>
      </w:r>
      <w:r w:rsidR="00AA6FF1">
        <w:rPr>
          <w:sz w:val="24"/>
          <w:szCs w:val="24"/>
        </w:rPr>
        <w:t>n</w:t>
      </w:r>
      <w:r w:rsidR="001A069C">
        <w:rPr>
          <w:sz w:val="24"/>
          <w:szCs w:val="24"/>
        </w:rPr>
        <w:t xml:space="preserve"> NCA</w:t>
      </w:r>
      <w:r w:rsidRPr="00CC42B1">
        <w:rPr>
          <w:sz w:val="24"/>
          <w:szCs w:val="24"/>
        </w:rPr>
        <w:t>. A balance must be struck between the desire to collect as much information as possible, and the challenge for clinicians tasked with recruiting patients while running busy services. Data linkage to fill in data gaps</w:t>
      </w:r>
      <w:r w:rsidR="00D9582E">
        <w:rPr>
          <w:sz w:val="24"/>
          <w:szCs w:val="24"/>
        </w:rPr>
        <w:t xml:space="preserve">, for example using the clinical practice research datalink of primary care data to </w:t>
      </w:r>
      <w:r w:rsidR="00D9582E">
        <w:rPr>
          <w:sz w:val="24"/>
          <w:szCs w:val="24"/>
        </w:rPr>
        <w:lastRenderedPageBreak/>
        <w:t>attain patient demographic details,</w:t>
      </w:r>
      <w:r w:rsidRPr="00CC42B1">
        <w:rPr>
          <w:sz w:val="24"/>
          <w:szCs w:val="24"/>
        </w:rPr>
        <w:t xml:space="preserve"> i</w:t>
      </w:r>
      <w:r w:rsidR="0035410E">
        <w:rPr>
          <w:sz w:val="24"/>
          <w:szCs w:val="24"/>
        </w:rPr>
        <w:t>s in theory</w:t>
      </w:r>
      <w:r w:rsidRPr="00CC42B1">
        <w:rPr>
          <w:sz w:val="24"/>
          <w:szCs w:val="24"/>
        </w:rPr>
        <w:t xml:space="preserve"> possible but</w:t>
      </w:r>
      <w:r w:rsidR="0035410E">
        <w:rPr>
          <w:sz w:val="24"/>
          <w:szCs w:val="24"/>
        </w:rPr>
        <w:t xml:space="preserve"> in practice not feasible as this</w:t>
      </w:r>
      <w:r w:rsidRPr="00CC42B1">
        <w:rPr>
          <w:sz w:val="24"/>
          <w:szCs w:val="24"/>
        </w:rPr>
        <w:t xml:space="preserve"> will require additional approvals to access </w:t>
      </w:r>
      <w:r w:rsidR="0035410E">
        <w:rPr>
          <w:sz w:val="24"/>
          <w:szCs w:val="24"/>
        </w:rPr>
        <w:t xml:space="preserve">and link </w:t>
      </w:r>
      <w:r w:rsidRPr="00CC42B1">
        <w:rPr>
          <w:sz w:val="24"/>
          <w:szCs w:val="24"/>
        </w:rPr>
        <w:t>alternative data sources.</w:t>
      </w:r>
      <w:r w:rsidR="00D9582E">
        <w:rPr>
          <w:sz w:val="24"/>
          <w:szCs w:val="24"/>
        </w:rPr>
        <w:t xml:space="preserve"> </w:t>
      </w:r>
      <w:r w:rsidR="0035410E" w:rsidRPr="0035410E">
        <w:rPr>
          <w:sz w:val="24"/>
          <w:szCs w:val="24"/>
        </w:rPr>
        <w:t xml:space="preserve">Therefore, data imputation is often required to allow analysis without omitting individuals with incomplete records, which potentially introduces selection bias. </w:t>
      </w:r>
      <w:r w:rsidR="00532081">
        <w:rPr>
          <w:sz w:val="24"/>
          <w:szCs w:val="24"/>
        </w:rPr>
        <w:t>A</w:t>
      </w:r>
      <w:r w:rsidR="0035410E" w:rsidRPr="0035410E">
        <w:rPr>
          <w:sz w:val="24"/>
          <w:szCs w:val="24"/>
        </w:rPr>
        <w:t xml:space="preserve"> widely used principled </w:t>
      </w:r>
      <w:r w:rsidR="00532081">
        <w:rPr>
          <w:sz w:val="24"/>
          <w:szCs w:val="24"/>
        </w:rPr>
        <w:t>approach to missing data is</w:t>
      </w:r>
      <w:r w:rsidR="0035410E" w:rsidRPr="0035410E">
        <w:rPr>
          <w:sz w:val="24"/>
          <w:szCs w:val="24"/>
        </w:rPr>
        <w:t xml:space="preserve"> multiple imputation,</w:t>
      </w:r>
      <w:r w:rsidR="00532081">
        <w:rPr>
          <w:sz w:val="24"/>
          <w:szCs w:val="24"/>
        </w:rPr>
        <w:t xml:space="preserve"> which</w:t>
      </w:r>
      <w:r w:rsidR="0035410E" w:rsidRPr="0035410E">
        <w:rPr>
          <w:sz w:val="24"/>
          <w:szCs w:val="24"/>
        </w:rPr>
        <w:t xml:space="preserve"> estimates a range plausible missing values </w:t>
      </w:r>
      <w:r w:rsidRPr="00CC42B1">
        <w:rPr>
          <w:sz w:val="24"/>
          <w:szCs w:val="24"/>
        </w:rPr>
        <w:fldChar w:fldCharType="begin"/>
      </w:r>
      <w:r w:rsidR="00C956CF">
        <w:rPr>
          <w:sz w:val="24"/>
          <w:szCs w:val="24"/>
        </w:rPr>
        <w:instrText xml:space="preserve"> ADDIN EN.CITE &lt;EndNote&gt;&lt;Cite&gt;&lt;Author&gt;Sterne&lt;/Author&gt;&lt;Year&gt;2009&lt;/Year&gt;&lt;RecNum&gt;217&lt;/RecNum&gt;&lt;DisplayText&gt;(17)&lt;/DisplayText&gt;&lt;record&gt;&lt;rec-number&gt;217&lt;/rec-number&gt;&lt;foreign-keys&gt;&lt;key app="EN" db-id="drp9r9v5qdfv2hez5ec55x5ldtx2ezvvxs2v" timestamp="1572534402"&gt;217&lt;/key&gt;&lt;/foreign-keys&gt;&lt;ref-type name="Journal Article"&gt;17&lt;/ref-type&gt;&lt;contributors&gt;&lt;authors&gt;&lt;author&gt;Sterne, J. A.&lt;/author&gt;&lt;author&gt;White, I. R.&lt;/author&gt;&lt;author&gt;Carlin, J. B.&lt;/author&gt;&lt;author&gt;Spratt, M.&lt;/author&gt;&lt;author&gt;Royston, P.&lt;/author&gt;&lt;author&gt;Kenward, M. G.&lt;/author&gt;&lt;author&gt;Wood, A. M.&lt;/author&gt;&lt;author&gt;Carpenter, J. R.&lt;/author&gt;&lt;/authors&gt;&lt;/contributors&gt;&lt;auth-address&gt;Department of Social Medicine, University of Bristol, Bristol BS8 2PR. jonathan.sterne@bristol.ac.uk&lt;/auth-address&gt;&lt;titles&gt;&lt;title&gt;Multiple imputation for missing data in epidemiological and clinical research: potential and pitfalls&lt;/title&gt;&lt;secondary-title&gt;Bmj&lt;/secondary-title&gt;&lt;/titles&gt;&lt;periodical&gt;&lt;full-title&gt;BMJ&lt;/full-title&gt;&lt;/periodical&gt;&lt;pages&gt;b2393&lt;/pages&gt;&lt;volume&gt;338&lt;/volume&gt;&lt;edition&gt;2009/07/01&lt;/edition&gt;&lt;keywords&gt;&lt;keyword&gt;Bias&lt;/keyword&gt;&lt;keyword&gt;Biomedical Research/*standards/statistics &amp;amp; numerical data&lt;/keyword&gt;&lt;keyword&gt;Data Collection/*standards/statistics &amp;amp; numerical data&lt;/keyword&gt;&lt;keyword&gt;Random Allocation&lt;/keyword&gt;&lt;keyword&gt;Research Design&lt;/keyword&gt;&lt;/keywords&gt;&lt;dates&gt;&lt;year&gt;2009&lt;/year&gt;&lt;pub-dates&gt;&lt;date&gt;Jun 29&lt;/date&gt;&lt;/pub-dates&gt;&lt;/dates&gt;&lt;isbn&gt;0959-8138&lt;/isbn&gt;&lt;accession-num&gt;19564179&lt;/accession-num&gt;&lt;urls&gt;&lt;/urls&gt;&lt;custom2&gt;PMC2714692&lt;/custom2&gt;&lt;electronic-resource-num&gt;10.1136/bmj.b2393&lt;/electronic-resource-num&gt;&lt;remote-database-provider&gt;NLM&lt;/remote-database-provider&gt;&lt;language&gt;eng&lt;/language&gt;&lt;/record&gt;&lt;/Cite&gt;&lt;/EndNote&gt;</w:instrText>
      </w:r>
      <w:r w:rsidRPr="00CC42B1">
        <w:rPr>
          <w:sz w:val="24"/>
          <w:szCs w:val="24"/>
        </w:rPr>
        <w:fldChar w:fldCharType="separate"/>
      </w:r>
      <w:r w:rsidR="00C956CF">
        <w:rPr>
          <w:noProof/>
          <w:sz w:val="24"/>
          <w:szCs w:val="24"/>
        </w:rPr>
        <w:t>(17)</w:t>
      </w:r>
      <w:r w:rsidRPr="00CC42B1">
        <w:rPr>
          <w:sz w:val="24"/>
          <w:szCs w:val="24"/>
        </w:rPr>
        <w:fldChar w:fldCharType="end"/>
      </w:r>
      <w:r w:rsidR="00D9582E">
        <w:rPr>
          <w:sz w:val="24"/>
          <w:szCs w:val="24"/>
        </w:rPr>
        <w:t xml:space="preserve">. It </w:t>
      </w:r>
      <w:r w:rsidRPr="00CC42B1">
        <w:rPr>
          <w:sz w:val="24"/>
          <w:szCs w:val="24"/>
        </w:rPr>
        <w:t xml:space="preserve">is now widely used in the published </w:t>
      </w:r>
      <w:r w:rsidR="00D9582E" w:rsidRPr="00CC42B1">
        <w:rPr>
          <w:sz w:val="24"/>
          <w:szCs w:val="24"/>
        </w:rPr>
        <w:t>literature</w:t>
      </w:r>
      <w:r w:rsidR="00D9582E">
        <w:rPr>
          <w:sz w:val="24"/>
          <w:szCs w:val="24"/>
        </w:rPr>
        <w:t xml:space="preserve"> and has been utilised in NCAREIA analyses</w:t>
      </w:r>
      <w:r w:rsidR="00787894">
        <w:rPr>
          <w:sz w:val="24"/>
          <w:szCs w:val="24"/>
        </w:rPr>
        <w:t xml:space="preserve"> </w:t>
      </w:r>
      <w:r w:rsidR="00FB41AE">
        <w:rPr>
          <w:sz w:val="24"/>
          <w:szCs w:val="24"/>
        </w:rPr>
        <w:fldChar w:fldCharType="begin"/>
      </w:r>
      <w:r w:rsidR="00C956CF">
        <w:rPr>
          <w:sz w:val="24"/>
          <w:szCs w:val="24"/>
        </w:rPr>
        <w:instrText xml:space="preserve"> ADDIN EN.CITE &lt;EndNote&gt;&lt;Cite&gt;&lt;Author&gt;Yates M&lt;/Author&gt;&lt;Year&gt;2019&lt;/Year&gt;&lt;RecNum&gt;190&lt;/RecNum&gt;&lt;DisplayText&gt;(18)&lt;/DisplayText&gt;&lt;record&gt;&lt;rec-number&gt;190&lt;/rec-number&gt;&lt;foreign-keys&gt;&lt;key app="EN" db-id="drp9r9v5qdfv2hez5ec55x5ldtx2ezvvxs2v" timestamp="1570436011"&gt;190&lt;/key&gt;&lt;/foreign-keys&gt;&lt;ref-type name="Journal Article"&gt;17&lt;/ref-type&gt;&lt;contributors&gt;&lt;authors&gt;&lt;author&gt;Yates M, MacGregor AJ, Ledingham J, Norton S, Bechman K, Rivett A, Dennison EM, Galloway JB&lt;/author&gt;&lt;/authors&gt;&lt;/contributors&gt;&lt;titles&gt;&lt;title&gt;Variation and implications of treatment decisions in early Rheumatoid Arthritis: results from a nationwide cohort study&lt;/title&gt;&lt;secondary-title&gt;Rheumatology&lt;/secondary-title&gt;&lt;/titles&gt;&lt;periodical&gt;&lt;full-title&gt;Rheumatology&lt;/full-title&gt;&lt;/periodical&gt;&lt;volume&gt;In press. &lt;/volume&gt;&lt;dates&gt;&lt;year&gt;2019&lt;/year&gt;&lt;/dates&gt;&lt;urls&gt;&lt;/urls&gt;&lt;/record&gt;&lt;/Cite&gt;&lt;/EndNote&gt;</w:instrText>
      </w:r>
      <w:r w:rsidR="00FB41AE">
        <w:rPr>
          <w:sz w:val="24"/>
          <w:szCs w:val="24"/>
        </w:rPr>
        <w:fldChar w:fldCharType="separate"/>
      </w:r>
      <w:r w:rsidR="00C956CF">
        <w:rPr>
          <w:noProof/>
          <w:sz w:val="24"/>
          <w:szCs w:val="24"/>
        </w:rPr>
        <w:t>(18)</w:t>
      </w:r>
      <w:r w:rsidR="00FB41AE">
        <w:rPr>
          <w:sz w:val="24"/>
          <w:szCs w:val="24"/>
        </w:rPr>
        <w:fldChar w:fldCharType="end"/>
      </w:r>
      <w:r w:rsidR="00ED3DDA">
        <w:rPr>
          <w:sz w:val="24"/>
          <w:szCs w:val="24"/>
        </w:rPr>
        <w:t xml:space="preserve">.  </w:t>
      </w:r>
    </w:p>
    <w:p w14:paraId="236B3B01" w14:textId="7D167271" w:rsidR="00F470A7" w:rsidRDefault="006E0142" w:rsidP="002830C8">
      <w:pPr>
        <w:spacing w:line="480" w:lineRule="auto"/>
        <w:jc w:val="both"/>
        <w:rPr>
          <w:bCs/>
          <w:sz w:val="24"/>
          <w:szCs w:val="24"/>
        </w:rPr>
      </w:pPr>
      <w:r>
        <w:rPr>
          <w:bCs/>
          <w:sz w:val="24"/>
          <w:szCs w:val="24"/>
        </w:rPr>
        <w:t xml:space="preserve">The impact of missing clinical outcomes </w:t>
      </w:r>
      <w:r w:rsidR="0016156D">
        <w:rPr>
          <w:bCs/>
          <w:sz w:val="24"/>
          <w:szCs w:val="24"/>
        </w:rPr>
        <w:t>in NCAs is often only partially addressed</w:t>
      </w:r>
      <w:r w:rsidR="00532081">
        <w:rPr>
          <w:bCs/>
          <w:sz w:val="24"/>
          <w:szCs w:val="24"/>
        </w:rPr>
        <w:t xml:space="preserve"> </w:t>
      </w:r>
      <w:r w:rsidR="00532081">
        <w:rPr>
          <w:bCs/>
          <w:sz w:val="24"/>
          <w:szCs w:val="24"/>
        </w:rPr>
        <w:fldChar w:fldCharType="begin">
          <w:fldData xml:space="preserve">PEVuZE5vdGU+PENpdGU+PFllYXI+MjAxOTwvWWVhcj48UmVjTnVtPjExMTwvUmVjTnVtPjxEaXNw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</w:fldData>
        </w:fldChar>
      </w:r>
      <w:r w:rsidR="00C956CF">
        <w:rPr>
          <w:bCs/>
          <w:sz w:val="24"/>
          <w:szCs w:val="24"/>
        </w:rPr>
        <w:instrText xml:space="preserve"> ADDIN EN.CITE </w:instrText>
      </w:r>
      <w:r w:rsidR="00C956CF">
        <w:rPr>
          <w:bCs/>
          <w:sz w:val="24"/>
          <w:szCs w:val="24"/>
        </w:rPr>
        <w:fldChar w:fldCharType="begin">
          <w:fldData xml:space="preserve">PEVuZE5vdGU+PENpdGU+PFllYXI+MjAxOTwvWWVhcj48UmVjTnVtPjExMTwvUmVjTnVtPjxEaXNw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</w:fldData>
        </w:fldChar>
      </w:r>
      <w:r w:rsidR="00C956CF">
        <w:rPr>
          <w:bCs/>
          <w:sz w:val="24"/>
          <w:szCs w:val="24"/>
        </w:rPr>
        <w:instrText xml:space="preserve"> ADDIN EN.CITE.DATA </w:instrText>
      </w:r>
      <w:r w:rsidR="00C956CF">
        <w:rPr>
          <w:bCs/>
          <w:sz w:val="24"/>
          <w:szCs w:val="24"/>
        </w:rPr>
      </w:r>
      <w:r w:rsidR="00C956CF">
        <w:rPr>
          <w:bCs/>
          <w:sz w:val="24"/>
          <w:szCs w:val="24"/>
        </w:rPr>
        <w:fldChar w:fldCharType="end"/>
      </w:r>
      <w:r w:rsidR="00532081">
        <w:rPr>
          <w:bCs/>
          <w:sz w:val="24"/>
          <w:szCs w:val="24"/>
        </w:rPr>
      </w:r>
      <w:r w:rsidR="00532081">
        <w:rPr>
          <w:bCs/>
          <w:sz w:val="24"/>
          <w:szCs w:val="24"/>
        </w:rPr>
        <w:fldChar w:fldCharType="separate"/>
      </w:r>
      <w:r w:rsidR="00C956CF">
        <w:rPr>
          <w:bCs/>
          <w:noProof/>
          <w:sz w:val="24"/>
          <w:szCs w:val="24"/>
        </w:rPr>
        <w:t>(19, 20)</w:t>
      </w:r>
      <w:r w:rsidR="00532081">
        <w:rPr>
          <w:bCs/>
          <w:sz w:val="24"/>
          <w:szCs w:val="24"/>
        </w:rPr>
        <w:fldChar w:fldCharType="end"/>
      </w:r>
      <w:r w:rsidR="0016156D">
        <w:rPr>
          <w:bCs/>
          <w:sz w:val="24"/>
          <w:szCs w:val="24"/>
        </w:rPr>
        <w:t>, increasing the likelihood of biased findings</w:t>
      </w:r>
      <w:r>
        <w:rPr>
          <w:bCs/>
          <w:sz w:val="24"/>
          <w:szCs w:val="24"/>
        </w:rPr>
        <w:t xml:space="preserve">. </w:t>
      </w:r>
      <w:r w:rsidR="0016156D">
        <w:rPr>
          <w:bCs/>
          <w:sz w:val="24"/>
          <w:szCs w:val="24"/>
        </w:rPr>
        <w:t xml:space="preserve">All NCAs should have a robust missing data plan in keeping with HQIP recommendations. </w:t>
      </w:r>
      <w:r>
        <w:rPr>
          <w:sz w:val="24"/>
          <w:szCs w:val="24"/>
        </w:rPr>
        <w:t>The findings presented here suggest that</w:t>
      </w:r>
      <w:r w:rsidR="0016156D">
        <w:rPr>
          <w:sz w:val="24"/>
          <w:szCs w:val="24"/>
        </w:rPr>
        <w:t xml:space="preserve"> in circumstances where missing clinical outcome data cannot be avoided it</w:t>
      </w:r>
      <w:r w:rsidR="00023969">
        <w:rPr>
          <w:sz w:val="24"/>
          <w:szCs w:val="24"/>
        </w:rPr>
        <w:t xml:space="preserve"> may</w:t>
      </w:r>
      <w:r>
        <w:rPr>
          <w:sz w:val="24"/>
          <w:szCs w:val="24"/>
        </w:rPr>
        <w:t xml:space="preserve"> </w:t>
      </w:r>
      <w:r w:rsidR="00023969">
        <w:rPr>
          <w:sz w:val="24"/>
          <w:szCs w:val="24"/>
        </w:rPr>
        <w:t>have</w:t>
      </w:r>
      <w:r>
        <w:rPr>
          <w:sz w:val="24"/>
          <w:szCs w:val="24"/>
        </w:rPr>
        <w:t xml:space="preserve"> </w:t>
      </w:r>
      <w:r w:rsidR="00023969">
        <w:rPr>
          <w:sz w:val="24"/>
          <w:szCs w:val="24"/>
        </w:rPr>
        <w:t>utility</w:t>
      </w:r>
      <w:r>
        <w:rPr>
          <w:sz w:val="24"/>
          <w:szCs w:val="24"/>
        </w:rPr>
        <w:t xml:space="preserve"> as a surrogate for service </w:t>
      </w:r>
      <w:r w:rsidR="0016156D">
        <w:rPr>
          <w:sz w:val="24"/>
          <w:szCs w:val="24"/>
        </w:rPr>
        <w:t>performance.</w:t>
      </w:r>
      <w:r w:rsidR="0063064F">
        <w:rPr>
          <w:bCs/>
          <w:sz w:val="24"/>
          <w:szCs w:val="24"/>
        </w:rPr>
        <w:t xml:space="preserve"> </w:t>
      </w:r>
    </w:p>
    <w:p w14:paraId="2F12CF86" w14:textId="30A65255" w:rsidR="0063064F" w:rsidRDefault="0063064F" w:rsidP="002830C8">
      <w:pPr>
        <w:spacing w:line="480" w:lineRule="auto"/>
        <w:jc w:val="both"/>
        <w:rPr>
          <w:bCs/>
          <w:sz w:val="24"/>
          <w:szCs w:val="24"/>
        </w:rPr>
      </w:pPr>
      <w:r>
        <w:rPr>
          <w:bCs/>
          <w:sz w:val="24"/>
          <w:szCs w:val="24"/>
        </w:rPr>
        <w:t xml:space="preserve">Work on other NCAs has highlighted non participation as a predictor for departments that deliver lower quality care </w:t>
      </w:r>
      <w:r>
        <w:rPr>
          <w:bCs/>
          <w:sz w:val="24"/>
          <w:szCs w:val="24"/>
        </w:rPr>
        <w:fldChar w:fldCharType="begin"/>
      </w:r>
      <w:r w:rsidR="00B32C89">
        <w:rPr>
          <w:bCs/>
          <w:sz w:val="24"/>
          <w:szCs w:val="24"/>
        </w:rPr>
        <w:instrText xml:space="preserve"> ADDIN EN.CITE &lt;EndNote&gt;&lt;Cite&gt;&lt;Author&gt;Wright&lt;/Author&gt;&lt;Year&gt;2018&lt;/Year&gt;&lt;RecNum&gt;109&lt;/RecNum&gt;&lt;DisplayText&gt;(21)&lt;/DisplayText&gt;&lt;record&gt;&lt;rec-number&gt;109&lt;/rec-number&gt;&lt;foreign-keys&gt;&lt;key app="EN" db-id="drp9r9v5qdfv2hez5ec55x5ldtx2ezvvxs2v" timestamp="1564473852"&gt;109&lt;/key&gt;&lt;/foreign-keys&gt;&lt;ref-type name="Journal Article"&gt;17&lt;/ref-type&gt;&lt;contributors&gt;&lt;authors&gt;&lt;author&gt;Wright, Caroline E.&lt;/author&gt;&lt;author&gt;Yeung, Stephen&lt;/author&gt;&lt;author&gt;Knowles, Helen&lt;/author&gt;&lt;author&gt;Woodhouse, Antoinette&lt;/author&gt;&lt;author&gt;Barron, Emma&lt;/author&gt;&lt;author&gt;Evans, Sian&lt;/author&gt;&lt;/authors&gt;&lt;/contributors&gt;&lt;titles&gt;&lt;title&gt;Factors influencing variation in participation in the National Diabetes Audit and the impact on the Quality and Outcomes Framework indicators of diabetes care management&lt;/title&gt;&lt;secondary-title&gt;BMJ open diabetes research &amp;amp; care&lt;/secondary-title&gt;&lt;alt-title&gt;BMJ Open Diabetes Res Care&lt;/alt-title&gt;&lt;/titles&gt;&lt;periodical&gt;&lt;full-title&gt;BMJ open diabetes research &amp;amp; care&lt;/full-title&gt;&lt;abbr-1&gt;BMJ Open Diabetes Res Care&lt;/abbr-1&gt;&lt;/periodical&gt;&lt;alt-periodical&gt;&lt;full-title&gt;BMJ open diabetes research &amp;amp; care&lt;/full-title&gt;&lt;abbr-1&gt;BMJ Open Diabetes Res Care&lt;/abbr-1&gt;&lt;/alt-periodical&gt;&lt;pages&gt;e000554-e000554&lt;/pages&gt;&lt;volume&gt;6&lt;/volume&gt;&lt;number&gt;1&lt;/number&gt;&lt;keywords&gt;&lt;keyword&gt;diabetes management&lt;/keyword&gt;&lt;keyword&gt;diabetes outcomes&lt;/keyword&gt;&lt;keyword&gt;national diabetes audit&lt;/keyword&gt;&lt;keyword&gt;primary care&lt;/keyword&gt;&lt;/keywords&gt;&lt;dates&gt;&lt;year&gt;2018&lt;/year&gt;&lt;/dates&gt;&lt;publisher&gt;BMJ Publishing Group&lt;/publisher&gt;&lt;isbn&gt;2052-4897&lt;/isbn&gt;&lt;accession-num&gt;30397490&lt;/accession-num&gt;&lt;urls&gt;&lt;related-urls&gt;&lt;url&gt;https://www.ncbi.nlm.nih.gov/pubmed/30397490&lt;/url&gt;&lt;url&gt;https://www.ncbi.nlm.nih.gov/pmc/articles/PMC6203017/&lt;/url&gt;&lt;/related-urls&gt;&lt;/urls&gt;&lt;electronic-resource-num&gt;10.1136/bmjdrc-2018-000554&lt;/electronic-resource-num&gt;&lt;remote-database-name&gt;PubMed&lt;/remote-database-name&gt;&lt;language&gt;eng&lt;/language&gt;&lt;/record&gt;&lt;/Cite&gt;&lt;/EndNote&gt;</w:instrText>
      </w:r>
      <w:r>
        <w:rPr>
          <w:bCs/>
          <w:sz w:val="24"/>
          <w:szCs w:val="24"/>
        </w:rPr>
        <w:fldChar w:fldCharType="separate"/>
      </w:r>
      <w:r w:rsidR="00B32C89">
        <w:rPr>
          <w:bCs/>
          <w:noProof/>
          <w:sz w:val="24"/>
          <w:szCs w:val="24"/>
        </w:rPr>
        <w:t>(21)</w:t>
      </w:r>
      <w:r>
        <w:rPr>
          <w:bCs/>
          <w:sz w:val="24"/>
          <w:szCs w:val="24"/>
        </w:rPr>
        <w:fldChar w:fldCharType="end"/>
      </w:r>
      <w:r>
        <w:rPr>
          <w:bCs/>
          <w:sz w:val="24"/>
          <w:szCs w:val="24"/>
        </w:rPr>
        <w:t xml:space="preserve">, but this study is the first to highlight the utility of partial participation, submitting incomplete data, as a predictor capable of identifying departments with outlier performance. </w:t>
      </w:r>
    </w:p>
    <w:p w14:paraId="3106FE5C" w14:textId="4BB2A86A" w:rsidR="0063064F" w:rsidRDefault="0063064F" w:rsidP="002830C8">
      <w:pPr>
        <w:spacing w:line="480" w:lineRule="auto"/>
        <w:jc w:val="both"/>
        <w:rPr>
          <w:bCs/>
          <w:sz w:val="24"/>
          <w:szCs w:val="24"/>
        </w:rPr>
      </w:pPr>
      <w:r>
        <w:rPr>
          <w:bCs/>
          <w:sz w:val="24"/>
          <w:szCs w:val="24"/>
        </w:rPr>
        <w:t xml:space="preserve">The strengths of this study are that it was conducted using a large dataset with missing data characteristics </w:t>
      </w:r>
      <w:proofErr w:type="gramStart"/>
      <w:r w:rsidR="008F368B">
        <w:rPr>
          <w:bCs/>
          <w:sz w:val="24"/>
          <w:szCs w:val="24"/>
        </w:rPr>
        <w:t>similar to</w:t>
      </w:r>
      <w:proofErr w:type="gramEnd"/>
      <w:r w:rsidR="008F368B">
        <w:rPr>
          <w:bCs/>
          <w:sz w:val="24"/>
          <w:szCs w:val="24"/>
        </w:rPr>
        <w:t xml:space="preserve"> other NCAs. Analyses were extensively adjusted for patient and departmental covariates, with department included as a random effect in the model to account for the hierarchy of the dataset. Findings identified that: (1)</w:t>
      </w:r>
      <w:r w:rsidR="001A069C">
        <w:rPr>
          <w:bCs/>
          <w:sz w:val="24"/>
          <w:szCs w:val="24"/>
        </w:rPr>
        <w:t xml:space="preserve"> the degree of missing clinical outcome data varies broadly across departments, allowing the detection of outliers, and; (2)</w:t>
      </w:r>
      <w:r w:rsidR="008F368B">
        <w:rPr>
          <w:bCs/>
          <w:sz w:val="24"/>
          <w:szCs w:val="24"/>
        </w:rPr>
        <w:t xml:space="preserve"> missing clinical outcome data associates with service qualit</w:t>
      </w:r>
      <w:r w:rsidR="001A069C">
        <w:rPr>
          <w:bCs/>
          <w:sz w:val="24"/>
          <w:szCs w:val="24"/>
        </w:rPr>
        <w:t>y</w:t>
      </w:r>
      <w:r w:rsidR="008F368B">
        <w:rPr>
          <w:bCs/>
          <w:sz w:val="24"/>
          <w:szCs w:val="24"/>
        </w:rPr>
        <w:t>. The combination of these findings supports the utility of missing outcome data as a usable proxy for service quality.</w:t>
      </w:r>
    </w:p>
    <w:p w14:paraId="757B198D" w14:textId="77777777" w:rsidR="007455CB" w:rsidRDefault="007455CB" w:rsidP="002830C8">
      <w:pPr>
        <w:spacing w:line="480" w:lineRule="auto"/>
        <w:jc w:val="both"/>
        <w:rPr>
          <w:bCs/>
          <w:sz w:val="24"/>
          <w:szCs w:val="24"/>
        </w:rPr>
      </w:pPr>
      <w:r>
        <w:rPr>
          <w:bCs/>
          <w:sz w:val="24"/>
          <w:szCs w:val="24"/>
        </w:rPr>
        <w:lastRenderedPageBreak/>
        <w:t xml:space="preserve">These findings do not in themselves support the utilisation of missing outcome data across NCAs. Further work by the respective methodology teams of NCAs is required to assess if these findings are generalisable. The heterogeneity of outcomes collected and differences in the degree of missing data will likely lead to this proxy having varying utility across different datasets. </w:t>
      </w:r>
    </w:p>
    <w:p w14:paraId="49FB4E02" w14:textId="4F6A795E" w:rsidR="007455CB" w:rsidRPr="007455CB" w:rsidRDefault="007455CB" w:rsidP="002830C8">
      <w:pPr>
        <w:pStyle w:val="Heading1"/>
        <w:spacing w:line="480" w:lineRule="auto"/>
      </w:pPr>
      <w:r>
        <w:t>Conclusion</w:t>
      </w:r>
    </w:p>
    <w:p w14:paraId="39C26D52" w14:textId="4F757CFD" w:rsidR="004F178D" w:rsidRDefault="00AB59C2" w:rsidP="002830C8">
      <w:pPr>
        <w:spacing w:line="480" w:lineRule="auto"/>
        <w:jc w:val="both"/>
        <w:rPr>
          <w:bCs/>
          <w:sz w:val="24"/>
          <w:szCs w:val="24"/>
        </w:rPr>
      </w:pPr>
      <w:r>
        <w:rPr>
          <w:bCs/>
          <w:sz w:val="24"/>
          <w:szCs w:val="24"/>
        </w:rPr>
        <w:t>For the first time, we have demonstrated that poor engagement in a national audit program directly correlates with the quality of care provided. Acknowledging methodological limitations of this work, the key message is unsurprising. Centre level variation in care is frequently overlooked in observational studies</w:t>
      </w:r>
      <w:r w:rsidR="004F178D">
        <w:rPr>
          <w:bCs/>
          <w:sz w:val="24"/>
          <w:szCs w:val="24"/>
        </w:rPr>
        <w:t xml:space="preserve"> </w:t>
      </w:r>
      <w:r w:rsidR="004F178D">
        <w:rPr>
          <w:bCs/>
          <w:sz w:val="24"/>
          <w:szCs w:val="24"/>
        </w:rPr>
        <w:fldChar w:fldCharType="begin"/>
      </w:r>
      <w:r w:rsidR="00B32C89">
        <w:rPr>
          <w:bCs/>
          <w:sz w:val="24"/>
          <w:szCs w:val="24"/>
        </w:rPr>
        <w:instrText xml:space="preserve"> ADDIN EN.CITE &lt;EndNote&gt;&lt;Cite&gt;&lt;Author&gt;Yates&lt;/Author&gt;&lt;Year&gt;2019&lt;/Year&gt;&lt;RecNum&gt;191&lt;/RecNum&gt;&lt;DisplayText&gt;(22)&lt;/DisplayText&gt;&lt;record&gt;&lt;rec-number&gt;191&lt;/rec-number&gt;&lt;foreign-keys&gt;&lt;key app="EN" db-id="drp9r9v5qdfv2hez5ec55x5ldtx2ezvvxs2v" timestamp="1570460300"&gt;191&lt;/key&gt;&lt;/foreign-keys&gt;&lt;ref-type name="Journal Article"&gt;17&lt;/ref-type&gt;&lt;contributors&gt;&lt;authors&gt;&lt;author&gt;Yates, Mark&lt;/author&gt;&lt;author&gt;Bechman, Katie&lt;/author&gt;&lt;author&gt;Norton, Sam&lt;/author&gt;&lt;author&gt;Nikiphorou, Elena&lt;/author&gt;&lt;author&gt;Galloway, James&lt;/author&gt;&lt;/authors&gt;&lt;/contributors&gt;&lt;titles&gt;&lt;title&gt;Centre effects and case-mix in early rheumatoid arthritis observational cohorts: a narrative review&lt;/title&gt;&lt;secondary-title&gt;Rheumatology&lt;/secondary-title&gt;&lt;/titles&gt;&lt;periodical&gt;&lt;full-title&gt;Rheumatology&lt;/full-title&gt;&lt;/periodical&gt;&lt;dates&gt;&lt;year&gt;2019&lt;/year&gt;&lt;/dates&gt;&lt;isbn&gt;1462-0324&lt;/isbn&gt;&lt;urls&gt;&lt;related-urls&gt;&lt;url&gt;https://doi.org/10.1093/rheumatology/kez151&lt;/url&gt;&lt;/related-urls&gt;&lt;/urls&gt;&lt;custom1&gt;kez151&lt;/custom1&gt;&lt;electronic-resource-num&gt;10.1093/rheumatology/kez151&lt;/electronic-resource-num&gt;&lt;access-date&gt;10/7/2019&lt;/access-date&gt;&lt;/record&gt;&lt;/Cite&gt;&lt;/EndNote&gt;</w:instrText>
      </w:r>
      <w:r w:rsidR="004F178D">
        <w:rPr>
          <w:bCs/>
          <w:sz w:val="24"/>
          <w:szCs w:val="24"/>
        </w:rPr>
        <w:fldChar w:fldCharType="separate"/>
      </w:r>
      <w:r w:rsidR="00B32C89">
        <w:rPr>
          <w:bCs/>
          <w:noProof/>
          <w:sz w:val="24"/>
          <w:szCs w:val="24"/>
        </w:rPr>
        <w:t>(22)</w:t>
      </w:r>
      <w:r w:rsidR="004F178D">
        <w:rPr>
          <w:bCs/>
          <w:sz w:val="24"/>
          <w:szCs w:val="24"/>
        </w:rPr>
        <w:fldChar w:fldCharType="end"/>
      </w:r>
      <w:r>
        <w:rPr>
          <w:bCs/>
          <w:sz w:val="24"/>
          <w:szCs w:val="24"/>
        </w:rPr>
        <w:t xml:space="preserve">, yet any epidemiologist working in the field will recognise that centre effects are large and significant. As research into health care quality evolves, our data suggest that failing to return outcome data is a viable service quality metric. </w:t>
      </w:r>
    </w:p>
    <w:bookmarkEnd w:id="3"/>
    <w:p w14:paraId="03785C8B" w14:textId="54292D75" w:rsidR="002830C8" w:rsidRDefault="002830C8" w:rsidP="002830C8">
      <w:pPr>
        <w:pStyle w:val="Heading1"/>
        <w:spacing w:line="480" w:lineRule="auto"/>
      </w:pPr>
      <w:r>
        <w:t>Figure Titles and Legends</w:t>
      </w:r>
    </w:p>
    <w:p w14:paraId="4AC1B31A" w14:textId="1D3EE943" w:rsidR="002830C8" w:rsidRDefault="002830C8" w:rsidP="002830C8">
      <w:pPr>
        <w:pStyle w:val="Heading2"/>
        <w:spacing w:line="480" w:lineRule="auto"/>
      </w:pPr>
      <w:r>
        <w:t>Figure 1 Title</w:t>
      </w:r>
    </w:p>
    <w:p w14:paraId="187651A9" w14:textId="01545BE1" w:rsidR="002830C8" w:rsidRDefault="00965B34" w:rsidP="002830C8">
      <w:pPr>
        <w:rPr>
          <w:sz w:val="24"/>
          <w:szCs w:val="24"/>
        </w:rPr>
      </w:pPr>
      <w:r>
        <w:rPr>
          <w:sz w:val="24"/>
          <w:szCs w:val="24"/>
        </w:rPr>
        <w:t xml:space="preserve"> Caterpillar plot and map c</w:t>
      </w:r>
      <w:r w:rsidRPr="00965B34">
        <w:rPr>
          <w:sz w:val="24"/>
          <w:szCs w:val="24"/>
        </w:rPr>
        <w:t>haracterising departmental variations in data completeness</w:t>
      </w:r>
      <w:r>
        <w:rPr>
          <w:sz w:val="24"/>
          <w:szCs w:val="24"/>
        </w:rPr>
        <w:t>.</w:t>
      </w:r>
    </w:p>
    <w:p w14:paraId="1C558335" w14:textId="61557C3E" w:rsidR="00965B34" w:rsidRDefault="00965B34" w:rsidP="00965B34">
      <w:pPr>
        <w:pStyle w:val="Heading2"/>
        <w:spacing w:line="480" w:lineRule="auto"/>
      </w:pPr>
      <w:r>
        <w:t>Figure 1 Legend</w:t>
      </w:r>
    </w:p>
    <w:p w14:paraId="278C47AB" w14:textId="4A97F127" w:rsidR="00965B34" w:rsidRDefault="00965B34" w:rsidP="00965B34">
      <w:pPr>
        <w:spacing w:line="480" w:lineRule="auto"/>
        <w:jc w:val="both"/>
        <w:rPr>
          <w:sz w:val="24"/>
          <w:szCs w:val="24"/>
        </w:rPr>
      </w:pPr>
      <w:r w:rsidRPr="00965B34">
        <w:rPr>
          <w:sz w:val="24"/>
          <w:szCs w:val="24"/>
        </w:rPr>
        <w:t xml:space="preserve">Figure 1a. The grey markers are the observed departmental proportions of missing baseline DAS28 data. The blue markers are the predicted departmental proportions after adjustment for case-mix and applying a shrinkage to account for the small overall sample size, with 95% confidence intervals in red. The black horizontal line represents the overall sample mean. The further to the right along the x-axis indicates worse performance by a department, i.e. a </w:t>
      </w:r>
      <w:r w:rsidRPr="00965B34">
        <w:rPr>
          <w:sz w:val="24"/>
          <w:szCs w:val="24"/>
        </w:rPr>
        <w:lastRenderedPageBreak/>
        <w:t>greater proportion of missing DAS28 data.  Figure 1b. locations of outlier departments mapped across England and Wales. Red markers represent departments with high outlier levels of missing baseline DAS-28. Green markers represent low outliers.</w:t>
      </w:r>
    </w:p>
    <w:p w14:paraId="420B423B" w14:textId="0AB62519" w:rsidR="00965B34" w:rsidRDefault="00965B34" w:rsidP="00965B34">
      <w:pPr>
        <w:pStyle w:val="Heading2"/>
        <w:spacing w:line="480" w:lineRule="auto"/>
        <w:jc w:val="both"/>
      </w:pPr>
      <w:r>
        <w:t>Figure 2 Title</w:t>
      </w:r>
    </w:p>
    <w:p w14:paraId="08B9E9C8" w14:textId="63A14F06" w:rsidR="00965B34" w:rsidRPr="00965B34" w:rsidRDefault="00965B34" w:rsidP="00965B34">
      <w:pPr>
        <w:spacing w:line="480" w:lineRule="auto"/>
        <w:jc w:val="both"/>
        <w:rPr>
          <w:sz w:val="24"/>
          <w:szCs w:val="24"/>
        </w:rPr>
      </w:pPr>
      <w:r w:rsidRPr="00965B34">
        <w:rPr>
          <w:sz w:val="24"/>
          <w:szCs w:val="24"/>
        </w:rPr>
        <w:t xml:space="preserve">Mixed effects modelling of missing baseline DAS-28 data as a predictor of prompt treatment commencement.  </w:t>
      </w:r>
    </w:p>
    <w:p w14:paraId="44DA27E6" w14:textId="3F23DCAB" w:rsidR="002830C8" w:rsidRDefault="00965B34" w:rsidP="00965B34">
      <w:pPr>
        <w:pStyle w:val="Heading2"/>
        <w:spacing w:line="480" w:lineRule="auto"/>
        <w:jc w:val="both"/>
      </w:pPr>
      <w:r>
        <w:t>Figure 2 Legend</w:t>
      </w:r>
    </w:p>
    <w:p w14:paraId="5DD558FF" w14:textId="6DAB5327" w:rsidR="00965B34" w:rsidRPr="00965B34" w:rsidRDefault="00965B34" w:rsidP="00965B34">
      <w:pPr>
        <w:spacing w:line="480" w:lineRule="auto"/>
        <w:jc w:val="both"/>
        <w:rPr>
          <w:sz w:val="24"/>
          <w:szCs w:val="24"/>
        </w:rPr>
      </w:pPr>
      <w:r w:rsidRPr="00965B34">
        <w:rPr>
          <w:sz w:val="24"/>
          <w:szCs w:val="24"/>
        </w:rPr>
        <w:t>Model 1 (N = 6,205) is unadjusted. Model 2 (N = 2,979) is adjusted for patient covariates: age; gender; work status; socioeconomic position; smoking status; ethnicity; symptom duration; rheumatoid and anti-CCP antibody status. Model 3 (N = 2,943) is adjusted for patient covariates and the following departmental characteristics: specialist nurse and consultant staffing levels per head of catchment population; presence or absence of a dedicated EIA clinic, and; departmental proportions of missing DAS28 data. Department was included as a random intercept in all three models.</w:t>
      </w:r>
    </w:p>
    <w:p w14:paraId="013F79D0" w14:textId="19F147E6" w:rsidR="00CB08CA" w:rsidRPr="00CB08CA" w:rsidRDefault="00E157B1" w:rsidP="00CB08CA">
      <w:pPr>
        <w:pStyle w:val="Heading1"/>
        <w:spacing w:line="480" w:lineRule="auto"/>
      </w:pPr>
      <w:r>
        <w:t>List of Abbreviations</w:t>
      </w:r>
    </w:p>
    <w:p w14:paraId="3AFD22B7" w14:textId="77777777" w:rsidR="00CB08CA" w:rsidRDefault="00CB08CA" w:rsidP="00CB08CA">
      <w:pPr>
        <w:spacing w:line="480" w:lineRule="auto"/>
      </w:pPr>
      <w:r>
        <w:t>National Clinical Audit for Rheumatoid and Early Inflammatory Arthritis (NCAREIA)</w:t>
      </w:r>
    </w:p>
    <w:p w14:paraId="1C2990E3" w14:textId="77777777" w:rsidR="00CB08CA" w:rsidRDefault="00CB08CA" w:rsidP="00CB08CA">
      <w:pPr>
        <w:spacing w:line="480" w:lineRule="auto"/>
      </w:pPr>
      <w:r>
        <w:t>Rheumatoid arthritis (RA)</w:t>
      </w:r>
    </w:p>
    <w:p w14:paraId="01A8161B" w14:textId="77777777" w:rsidR="00CB08CA" w:rsidRDefault="00CB08CA" w:rsidP="00CB08CA">
      <w:pPr>
        <w:spacing w:line="480" w:lineRule="auto"/>
      </w:pPr>
      <w:r>
        <w:t>National clinical audits (NCAs)</w:t>
      </w:r>
    </w:p>
    <w:p w14:paraId="2864C1C8" w14:textId="77777777" w:rsidR="00CB08CA" w:rsidRDefault="00CB08CA" w:rsidP="00CB08CA">
      <w:pPr>
        <w:spacing w:line="480" w:lineRule="auto"/>
      </w:pPr>
      <w:proofErr w:type="spellStart"/>
      <w:r>
        <w:t>Sentinal</w:t>
      </w:r>
      <w:proofErr w:type="spellEnd"/>
      <w:r>
        <w:t xml:space="preserve"> Stroke National Audit Programme (SSNAP)</w:t>
      </w:r>
    </w:p>
    <w:p w14:paraId="3C6AE36F" w14:textId="77777777" w:rsidR="00CB08CA" w:rsidRDefault="00CB08CA" w:rsidP="00CB08CA">
      <w:pPr>
        <w:spacing w:line="480" w:lineRule="auto"/>
      </w:pPr>
      <w:r>
        <w:t>National Health Service (NHS)</w:t>
      </w:r>
    </w:p>
    <w:p w14:paraId="6BA3ED21" w14:textId="77777777" w:rsidR="00CB08CA" w:rsidRDefault="00CB08CA" w:rsidP="00CB08CA">
      <w:pPr>
        <w:spacing w:line="480" w:lineRule="auto"/>
      </w:pPr>
      <w:r>
        <w:t>Healthcare Quality Improvement partnership (HQIP)</w:t>
      </w:r>
    </w:p>
    <w:p w14:paraId="0ACCFE62" w14:textId="77777777" w:rsidR="00CB08CA" w:rsidRDefault="00CB08CA" w:rsidP="00CB08CA">
      <w:pPr>
        <w:spacing w:line="480" w:lineRule="auto"/>
      </w:pPr>
      <w:r>
        <w:lastRenderedPageBreak/>
        <w:t>Early inflammatory arthritis (EIA)</w:t>
      </w:r>
    </w:p>
    <w:p w14:paraId="75479E96" w14:textId="77777777" w:rsidR="00CB08CA" w:rsidRDefault="00CB08CA" w:rsidP="00CB08CA">
      <w:pPr>
        <w:spacing w:line="480" w:lineRule="auto"/>
      </w:pPr>
      <w:r>
        <w:t>Rheumatoid factor (RF)</w:t>
      </w:r>
    </w:p>
    <w:p w14:paraId="579BC80B" w14:textId="77777777" w:rsidR="00CB08CA" w:rsidRDefault="00CB08CA" w:rsidP="00CB08CA">
      <w:pPr>
        <w:spacing w:line="480" w:lineRule="auto"/>
      </w:pPr>
      <w:r>
        <w:t>Anti-cyclic citrullinated protein (anti-CCP)</w:t>
      </w:r>
    </w:p>
    <w:p w14:paraId="0E56290A" w14:textId="77777777" w:rsidR="00CB08CA" w:rsidRDefault="00CB08CA" w:rsidP="00CB08CA">
      <w:pPr>
        <w:spacing w:line="480" w:lineRule="auto"/>
      </w:pPr>
      <w:r>
        <w:t>Index of multiple deprivation (IMD)</w:t>
      </w:r>
    </w:p>
    <w:p w14:paraId="1A710C59" w14:textId="77777777" w:rsidR="00CB08CA" w:rsidRDefault="00CB08CA" w:rsidP="00CB08CA">
      <w:pPr>
        <w:spacing w:line="480" w:lineRule="auto"/>
      </w:pPr>
      <w:r>
        <w:t>Lower super output areas (LSOAs)</w:t>
      </w:r>
    </w:p>
    <w:p w14:paraId="7DF37025" w14:textId="77777777" w:rsidR="00CB08CA" w:rsidRDefault="00CB08CA" w:rsidP="00CB08CA">
      <w:pPr>
        <w:spacing w:line="480" w:lineRule="auto"/>
      </w:pPr>
      <w:r>
        <w:t>Erythrocyte sedimentation rate (ESR)</w:t>
      </w:r>
    </w:p>
    <w:p w14:paraId="7F223605" w14:textId="77777777" w:rsidR="00CB08CA" w:rsidRDefault="00CB08CA" w:rsidP="00CB08CA">
      <w:pPr>
        <w:spacing w:line="480" w:lineRule="auto"/>
      </w:pPr>
      <w:r>
        <w:t>C-reactive protein (CRP)</w:t>
      </w:r>
    </w:p>
    <w:p w14:paraId="5E7F6450" w14:textId="77777777" w:rsidR="00CB08CA" w:rsidRDefault="00CB08CA" w:rsidP="00CB08CA">
      <w:pPr>
        <w:spacing w:line="480" w:lineRule="auto"/>
      </w:pPr>
      <w:r>
        <w:t>Disease activity score (DAS28)</w:t>
      </w:r>
    </w:p>
    <w:p w14:paraId="58382CB3" w14:textId="77777777" w:rsidR="00CB08CA" w:rsidRDefault="00CB08CA" w:rsidP="00CB08CA">
      <w:pPr>
        <w:spacing w:line="480" w:lineRule="auto"/>
      </w:pPr>
      <w:r>
        <w:t>Confidence intervals (CI)</w:t>
      </w:r>
    </w:p>
    <w:p w14:paraId="7E17AE7C" w14:textId="77777777" w:rsidR="00CB08CA" w:rsidRDefault="00CB08CA" w:rsidP="00CB08CA">
      <w:pPr>
        <w:spacing w:line="480" w:lineRule="auto"/>
      </w:pPr>
      <w:r>
        <w:t>Standard deviation (SD)</w:t>
      </w:r>
    </w:p>
    <w:p w14:paraId="0A5A1BA5" w14:textId="440099A3" w:rsidR="00E157B1" w:rsidRDefault="00CB08CA" w:rsidP="00CB08CA">
      <w:pPr>
        <w:spacing w:line="480" w:lineRule="auto"/>
      </w:pPr>
      <w:r>
        <w:t xml:space="preserve">Visual </w:t>
      </w:r>
      <w:proofErr w:type="spellStart"/>
      <w:r>
        <w:t>analog</w:t>
      </w:r>
      <w:proofErr w:type="spellEnd"/>
      <w:r>
        <w:t xml:space="preserve"> scale (VAS)</w:t>
      </w:r>
    </w:p>
    <w:p w14:paraId="08198405" w14:textId="78FCE0DC" w:rsidR="00CB08CA" w:rsidRDefault="00CB08CA" w:rsidP="00CB08CA">
      <w:pPr>
        <w:pStyle w:val="Heading1"/>
        <w:spacing w:line="480" w:lineRule="auto"/>
      </w:pPr>
      <w:r>
        <w:t>Declarations</w:t>
      </w:r>
    </w:p>
    <w:p w14:paraId="6612DD2D" w14:textId="09D66860" w:rsidR="00CB08CA" w:rsidRDefault="00CB08CA" w:rsidP="00C92056">
      <w:pPr>
        <w:pStyle w:val="Heading2"/>
        <w:spacing w:line="480" w:lineRule="auto"/>
        <w:jc w:val="both"/>
      </w:pPr>
      <w:r>
        <w:t>Ethics</w:t>
      </w:r>
    </w:p>
    <w:p w14:paraId="016ED6A3" w14:textId="52EAFC68" w:rsidR="00CB08CA" w:rsidRDefault="00CB08CA" w:rsidP="00C92056">
      <w:pPr>
        <w:spacing w:line="480" w:lineRule="auto"/>
        <w:jc w:val="both"/>
      </w:pPr>
      <w:r>
        <w:t>The NCAREIA did not require ethical approval as it accumulated routinely collected data for quality improvement purposes.</w:t>
      </w:r>
    </w:p>
    <w:p w14:paraId="79D385D7" w14:textId="38016844" w:rsidR="00CB08CA" w:rsidRDefault="00CB08CA" w:rsidP="00C92056">
      <w:pPr>
        <w:pStyle w:val="Heading2"/>
        <w:spacing w:line="480" w:lineRule="auto"/>
        <w:jc w:val="both"/>
      </w:pPr>
      <w:r>
        <w:t>Consent for publication</w:t>
      </w:r>
    </w:p>
    <w:p w14:paraId="58B0D09E" w14:textId="3BF9F84F" w:rsidR="00CB08CA" w:rsidRDefault="00CB08CA" w:rsidP="00C92056">
      <w:pPr>
        <w:spacing w:line="480" w:lineRule="auto"/>
        <w:jc w:val="both"/>
      </w:pPr>
      <w:r>
        <w:t>Approvals obtain by HQIP for use of dataset for research purposes</w:t>
      </w:r>
    </w:p>
    <w:p w14:paraId="7FB7CD8E" w14:textId="09FDDB43" w:rsidR="00CB08CA" w:rsidRDefault="00CB08CA" w:rsidP="00C92056">
      <w:pPr>
        <w:pStyle w:val="Heading2"/>
        <w:spacing w:line="480" w:lineRule="auto"/>
        <w:jc w:val="both"/>
      </w:pPr>
      <w:r>
        <w:t>Data availability</w:t>
      </w:r>
    </w:p>
    <w:p w14:paraId="6AD156B4" w14:textId="5EB3E2CA" w:rsidR="00CB08CA" w:rsidRDefault="00CB08CA" w:rsidP="00C92056">
      <w:pPr>
        <w:spacing w:line="480" w:lineRule="auto"/>
        <w:jc w:val="both"/>
      </w:pPr>
      <w:r>
        <w:t>Data available via application to HQIP</w:t>
      </w:r>
    </w:p>
    <w:p w14:paraId="3610461C" w14:textId="660F81C8" w:rsidR="00CB08CA" w:rsidRDefault="00C92056" w:rsidP="00C92056">
      <w:pPr>
        <w:pStyle w:val="Heading2"/>
        <w:spacing w:line="480" w:lineRule="auto"/>
        <w:jc w:val="both"/>
      </w:pPr>
      <w:r>
        <w:lastRenderedPageBreak/>
        <w:t>Competing Interests</w:t>
      </w:r>
    </w:p>
    <w:p w14:paraId="7BF2C838" w14:textId="507686D0" w:rsidR="00C92056" w:rsidRDefault="00C92056" w:rsidP="00C92056">
      <w:pPr>
        <w:spacing w:line="480" w:lineRule="auto"/>
        <w:jc w:val="both"/>
      </w:pPr>
      <w:r w:rsidRPr="00C92056">
        <w:t xml:space="preserve">JG has received honoraria from </w:t>
      </w:r>
      <w:proofErr w:type="spellStart"/>
      <w:r w:rsidRPr="00C92056">
        <w:t>Abbvie</w:t>
      </w:r>
      <w:proofErr w:type="spellEnd"/>
      <w:r w:rsidRPr="00C92056">
        <w:t xml:space="preserve">, Celgene, Janssen, Pfizer and Union </w:t>
      </w:r>
      <w:proofErr w:type="spellStart"/>
      <w:r w:rsidRPr="00C92056">
        <w:t>Chimique</w:t>
      </w:r>
      <w:proofErr w:type="spellEnd"/>
      <w:r w:rsidRPr="00C92056">
        <w:t xml:space="preserve"> </w:t>
      </w:r>
      <w:proofErr w:type="spellStart"/>
      <w:r w:rsidRPr="00C92056">
        <w:t>Belge</w:t>
      </w:r>
      <w:proofErr w:type="spellEnd"/>
      <w:r w:rsidRPr="00C92056">
        <w:t xml:space="preserve"> (UCB); MY has received honoraria from UCB. The other authors have declared no conflicts of interest</w:t>
      </w:r>
      <w:r>
        <w:t>.</w:t>
      </w:r>
    </w:p>
    <w:p w14:paraId="5609F2F5" w14:textId="7586CC25" w:rsidR="00C92056" w:rsidRDefault="00C92056" w:rsidP="00C92056">
      <w:pPr>
        <w:pStyle w:val="Heading2"/>
        <w:spacing w:line="480" w:lineRule="auto"/>
        <w:jc w:val="both"/>
      </w:pPr>
      <w:r>
        <w:t>Funding</w:t>
      </w:r>
    </w:p>
    <w:p w14:paraId="4F529E94" w14:textId="0F146008" w:rsidR="00C92056" w:rsidRDefault="00C92056" w:rsidP="00C92056">
      <w:pPr>
        <w:spacing w:line="480" w:lineRule="auto"/>
        <w:jc w:val="both"/>
      </w:pPr>
      <w:r>
        <w:t>MY salary is funded by The British Society for Rheumatology and Versus Arthritis</w:t>
      </w:r>
      <w:r w:rsidR="00FC35E4">
        <w:t xml:space="preserve"> (grant code </w:t>
      </w:r>
      <w:r w:rsidR="00FC35E4" w:rsidRPr="00FC35E4">
        <w:t>RE13853</w:t>
      </w:r>
      <w:r w:rsidR="00FC35E4">
        <w:t>)</w:t>
      </w:r>
      <w:r>
        <w:t xml:space="preserve">. </w:t>
      </w:r>
    </w:p>
    <w:p w14:paraId="7D8C20FD" w14:textId="0A6F277D" w:rsidR="00C92056" w:rsidRDefault="00C92056" w:rsidP="00C92056">
      <w:pPr>
        <w:pStyle w:val="Heading2"/>
        <w:spacing w:line="480" w:lineRule="auto"/>
        <w:jc w:val="both"/>
      </w:pPr>
      <w:r>
        <w:t>Authors’ contributions</w:t>
      </w:r>
    </w:p>
    <w:p w14:paraId="654A8DE5" w14:textId="7468E811" w:rsidR="00C92056" w:rsidRDefault="00C92056" w:rsidP="00C92056">
      <w:pPr>
        <w:spacing w:line="480" w:lineRule="auto"/>
        <w:jc w:val="both"/>
      </w:pPr>
      <w:r>
        <w:t xml:space="preserve">MY, JG, SN and ED, AM and JL contributed to the conception and design of the project and data acquisition. MY JG, SN and KB conducted analyses and interpretation. MY drafted the work, all authors assisted with revisions, approved the final submitted version, and have agreed to be personally accountable  for their </w:t>
      </w:r>
      <w:r w:rsidRPr="00C92056">
        <w:t>contributions and  ensure that questions related to the accuracy or integrity of any part of the work, even ones in which the author was not personally involved, are appropriately investigated, resolved, and the resolution documented in the literature.</w:t>
      </w:r>
    </w:p>
    <w:p w14:paraId="779BCB62" w14:textId="23D0782C" w:rsidR="00C92056" w:rsidRDefault="00C92056" w:rsidP="00C92056">
      <w:pPr>
        <w:pStyle w:val="Heading2"/>
        <w:spacing w:line="480" w:lineRule="auto"/>
        <w:jc w:val="both"/>
      </w:pPr>
      <w:r>
        <w:t>Acknowledgements</w:t>
      </w:r>
    </w:p>
    <w:p w14:paraId="0F9EE9E8" w14:textId="284898C6" w:rsidR="00C92056" w:rsidRPr="00C92056" w:rsidRDefault="00C92056" w:rsidP="00C92056">
      <w:pPr>
        <w:spacing w:line="480" w:lineRule="auto"/>
        <w:jc w:val="both"/>
      </w:pPr>
      <w:r>
        <w:t xml:space="preserve">The authors would like to acknowledge Dr Neil Snowden and Ali Rivett, who were both integral to the early stages of this project. </w:t>
      </w:r>
    </w:p>
    <w:p w14:paraId="4EB28F99" w14:textId="3CB46714" w:rsidR="0012745D" w:rsidRPr="0012745D" w:rsidRDefault="00B10E93" w:rsidP="00F41A4B">
      <w:pPr>
        <w:pStyle w:val="Heading1"/>
        <w:numPr>
          <w:ilvl w:val="0"/>
          <w:numId w:val="0"/>
        </w:numPr>
      </w:pPr>
      <w:r>
        <w:t>REFERENCES</w:t>
      </w:r>
    </w:p>
    <w:p w14:paraId="4867A5F4" w14:textId="77777777" w:rsidR="00B32C89" w:rsidRPr="00B32C89" w:rsidRDefault="0012745D" w:rsidP="00B32C89">
      <w:pPr>
        <w:pStyle w:val="EndNoteBibliography"/>
        <w:spacing w:after="0"/>
      </w:pPr>
      <w:r>
        <w:rPr>
          <w:sz w:val="28"/>
          <w:szCs w:val="28"/>
        </w:rPr>
        <w:fldChar w:fldCharType="begin"/>
      </w:r>
      <w:r>
        <w:rPr>
          <w:sz w:val="28"/>
          <w:szCs w:val="28"/>
        </w:rPr>
        <w:instrText xml:space="preserve"> ADDIN EN.REFLIST </w:instrText>
      </w:r>
      <w:r>
        <w:rPr>
          <w:sz w:val="28"/>
          <w:szCs w:val="28"/>
        </w:rPr>
        <w:fldChar w:fldCharType="separate"/>
      </w:r>
      <w:r w:rsidR="00B32C89" w:rsidRPr="00B32C89">
        <w:t>1.</w:t>
      </w:r>
      <w:r w:rsidR="00B32C89" w:rsidRPr="00B32C89">
        <w:tab/>
        <w:t>Rudd AG, Hoffman A, Paley L, Bray B. 20 years of researching stroke through audit. Clinical rehabilitation. 2018;32(8):997-1006.</w:t>
      </w:r>
    </w:p>
    <w:p w14:paraId="03333B0D" w14:textId="330BA52B" w:rsidR="00B32C89" w:rsidRPr="00B32C89" w:rsidRDefault="00B32C89" w:rsidP="00B32C89">
      <w:pPr>
        <w:pStyle w:val="EndNoteBibliography"/>
        <w:spacing w:after="0"/>
      </w:pPr>
      <w:r w:rsidRPr="00B32C89">
        <w:t>2.</w:t>
      </w:r>
      <w:r w:rsidRPr="00B32C89">
        <w:tab/>
        <w:t xml:space="preserve">National Lung Cancer Audit Annual Report 2018  [Available from: </w:t>
      </w:r>
      <w:hyperlink r:id="rId9" w:history="1">
        <w:r w:rsidRPr="00B32C89">
          <w:rPr>
            <w:rStyle w:val="Hyperlink"/>
          </w:rPr>
          <w:t>https://www.rcplondon.ac.uk/projects/outputs/nlca-annual-report-2018</w:t>
        </w:r>
      </w:hyperlink>
      <w:r w:rsidRPr="00B32C89">
        <w:t>.</w:t>
      </w:r>
    </w:p>
    <w:p w14:paraId="77C1AC77" w14:textId="77777777" w:rsidR="00B32C89" w:rsidRPr="00B32C89" w:rsidRDefault="00B32C89" w:rsidP="00B32C89">
      <w:pPr>
        <w:pStyle w:val="EndNoteBibliography"/>
        <w:spacing w:after="0"/>
      </w:pPr>
      <w:r w:rsidRPr="00B32C89">
        <w:t>3.</w:t>
      </w:r>
      <w:r w:rsidRPr="00B32C89">
        <w:tab/>
        <w:t>Palmer RH. Process-Based Measures of Quality: The Need for Detailed Clinical Data in Large Health Care Databases. Annals of Internal Medicine. 1997;127(8_Part_2):733-8.</w:t>
      </w:r>
    </w:p>
    <w:p w14:paraId="5863D244" w14:textId="77777777" w:rsidR="00B32C89" w:rsidRPr="00B32C89" w:rsidRDefault="00B32C89" w:rsidP="00B32C89">
      <w:pPr>
        <w:pStyle w:val="EndNoteBibliography"/>
        <w:spacing w:after="0"/>
      </w:pPr>
      <w:r w:rsidRPr="00B32C89">
        <w:t>4.</w:t>
      </w:r>
      <w:r w:rsidRPr="00B32C89">
        <w:tab/>
        <w:t>Neuburger J, Currie C, Wakeman R, Tsang C, Plant F, De Stavola B, et al. The impact of a national clinician-led audit initiative on care and mortality after hip fracture in England: an external evaluation using time trends in non-audit data. Med Care. 2015;53(8):686-91.</w:t>
      </w:r>
    </w:p>
    <w:p w14:paraId="4B45CBDA" w14:textId="77777777" w:rsidR="00B32C89" w:rsidRPr="00B32C89" w:rsidRDefault="00B32C89" w:rsidP="00B32C89">
      <w:pPr>
        <w:pStyle w:val="EndNoteBibliography"/>
        <w:spacing w:after="0"/>
      </w:pPr>
      <w:r w:rsidRPr="00B32C89">
        <w:t>5.</w:t>
      </w:r>
      <w:r w:rsidRPr="00B32C89">
        <w:tab/>
        <w:t>Coster WJ. Making the best match: selecting outcome measures for clinical trials and outcome studies. Am J Occup Ther. 2013;67(2):162-70.</w:t>
      </w:r>
    </w:p>
    <w:p w14:paraId="4EE5821F" w14:textId="77777777" w:rsidR="00B32C89" w:rsidRPr="00B32C89" w:rsidRDefault="00B32C89" w:rsidP="00B32C89">
      <w:pPr>
        <w:pStyle w:val="EndNoteBibliography"/>
        <w:spacing w:after="0"/>
      </w:pPr>
      <w:r w:rsidRPr="00B32C89">
        <w:t>6.</w:t>
      </w:r>
      <w:r w:rsidRPr="00B32C89">
        <w:tab/>
        <w:t>Heald AH, Livingston M, Malipatil N, Becher M, Craig J, Stedman M, et al. Improving type 2 diabetes mellitus glycaemic outcomes is possible without spending more on medication: Lessons from the UK National Diabetes Audit. Diabetes, Obesity and Metabolism. 2018;20(1):185-94.</w:t>
      </w:r>
    </w:p>
    <w:p w14:paraId="61BEE119" w14:textId="73926B80" w:rsidR="00B32C89" w:rsidRPr="00B32C89" w:rsidRDefault="00B32C89" w:rsidP="00B32C89">
      <w:pPr>
        <w:pStyle w:val="EndNoteBibliography"/>
        <w:spacing w:after="0"/>
      </w:pPr>
      <w:r w:rsidRPr="00B32C89">
        <w:t>7.</w:t>
      </w:r>
      <w:r w:rsidRPr="00B32C89">
        <w:tab/>
        <w:t xml:space="preserve">Rheumatology TBSf. National Clinical Audit for Rheumatoid and Early Inflammatory Arthritis 2015 [Available from: </w:t>
      </w:r>
      <w:hyperlink r:id="rId10" w:history="1">
        <w:r w:rsidRPr="00B32C89">
          <w:rPr>
            <w:rStyle w:val="Hyperlink"/>
          </w:rPr>
          <w:t>https://www.rheumatology.org.uk/Portals/0/Documents/Guidelines/Previous%20Audits/National%20clinical%20audit%20for%20rheumatoid%20and%20early%20inflammatory%20arthritis.pdf?ver=2019-04-26-163400-363&amp;timestamp=1556293746882</w:t>
        </w:r>
      </w:hyperlink>
      <w:r w:rsidRPr="00B32C89">
        <w:t>.</w:t>
      </w:r>
    </w:p>
    <w:p w14:paraId="0A07EA45" w14:textId="77777777" w:rsidR="00B32C89" w:rsidRPr="00B32C89" w:rsidRDefault="00B32C89" w:rsidP="00B32C89">
      <w:pPr>
        <w:pStyle w:val="EndNoteBibliography"/>
        <w:spacing w:after="0"/>
      </w:pPr>
      <w:r w:rsidRPr="00B32C89">
        <w:t>8.</w:t>
      </w:r>
      <w:r w:rsidRPr="00B32C89">
        <w:tab/>
        <w:t>Mongin D, Lauper K, Turesson C, Hetland ML, Klami Kristianslund E, Kvien TK, et al. Imputing missing data of function and disease activity in rheumatoid arthritis registers: what is the best technique? RMD Open. 2019;5(2):e000994.</w:t>
      </w:r>
    </w:p>
    <w:p w14:paraId="302F58EA" w14:textId="2E19A67A" w:rsidR="00B32C89" w:rsidRPr="00B32C89" w:rsidRDefault="00B32C89" w:rsidP="00B32C89">
      <w:pPr>
        <w:pStyle w:val="EndNoteBibliography"/>
        <w:spacing w:after="0"/>
      </w:pPr>
      <w:r w:rsidRPr="00B32C89">
        <w:t>9.</w:t>
      </w:r>
      <w:r w:rsidRPr="00B32C89">
        <w:tab/>
        <w:t xml:space="preserve">Excellence NIfHaC. Rheumatoid arthritis in over 16s 2018 [Available from: </w:t>
      </w:r>
      <w:hyperlink r:id="rId11" w:history="1">
        <w:r w:rsidRPr="00B32C89">
          <w:rPr>
            <w:rStyle w:val="Hyperlink"/>
          </w:rPr>
          <w:t>https://www.nice.org.uk/guidance/qs33/chapter/Quality-statement-3-Starting-treatment</w:t>
        </w:r>
      </w:hyperlink>
      <w:r w:rsidRPr="00B32C89">
        <w:t>.</w:t>
      </w:r>
    </w:p>
    <w:p w14:paraId="01248B9F" w14:textId="77777777" w:rsidR="00B32C89" w:rsidRPr="00B32C89" w:rsidRDefault="00B32C89" w:rsidP="00B32C89">
      <w:pPr>
        <w:pStyle w:val="EndNoteBibliography"/>
        <w:spacing w:after="0"/>
      </w:pPr>
      <w:r w:rsidRPr="00B32C89">
        <w:t>10.</w:t>
      </w:r>
      <w:r w:rsidRPr="00B32C89">
        <w:tab/>
        <w:t>Wells G, Becker JC, Teng J, Dougados M, Schiff M, Smolen J, et al. Validation of the 28-joint Disease Activity Score (DAS28) and European League Against Rheumatism response criteria based on C-reactive protein against disease progression in patients with rheumatoid arthritis, and comparison with the DAS28 based on erythrocyte sedimentation rate. Annals of the rheumatic diseases. 2009;68(6):954-60.</w:t>
      </w:r>
    </w:p>
    <w:p w14:paraId="2D5C050C" w14:textId="77777777" w:rsidR="00B32C89" w:rsidRPr="00B32C89" w:rsidRDefault="00B32C89" w:rsidP="00B32C89">
      <w:pPr>
        <w:pStyle w:val="EndNoteBibliography"/>
        <w:spacing w:after="0"/>
      </w:pPr>
      <w:r w:rsidRPr="00B32C89">
        <w:t>11.</w:t>
      </w:r>
      <w:r w:rsidRPr="00B32C89">
        <w:tab/>
        <w:t>MacKenzie TA, Grunkemeier GL, Grunwald GK, O'Malley AJ, Bohn C, Wu Y, et al. A primer on using shrinkage to compare in-hospital mortality between centers. Ann Thorac Surg. 2015;99(3):757-61.</w:t>
      </w:r>
    </w:p>
    <w:p w14:paraId="3BFD1A0B" w14:textId="0DD687E2" w:rsidR="00B32C89" w:rsidRPr="00B32C89" w:rsidRDefault="00B32C89" w:rsidP="00B32C89">
      <w:pPr>
        <w:pStyle w:val="EndNoteBibliography"/>
        <w:spacing w:after="0"/>
      </w:pPr>
      <w:r w:rsidRPr="00B32C89">
        <w:t>12.</w:t>
      </w:r>
      <w:r w:rsidRPr="00B32C89">
        <w:tab/>
        <w:t xml:space="preserve">Pisati M. SPMAP: Stata module to visualize spatial data: Boston College Department of Economics; 2007 [Available from: </w:t>
      </w:r>
      <w:hyperlink r:id="rId12" w:history="1">
        <w:r w:rsidRPr="00B32C89">
          <w:rPr>
            <w:rStyle w:val="Hyperlink"/>
          </w:rPr>
          <w:t>https://ideas.repec.org/c/boc/bocode/s456812.html</w:t>
        </w:r>
      </w:hyperlink>
      <w:r w:rsidRPr="00B32C89">
        <w:t>.</w:t>
      </w:r>
    </w:p>
    <w:p w14:paraId="23E1DA8C" w14:textId="77777777" w:rsidR="00B32C89" w:rsidRPr="00B32C89" w:rsidRDefault="00B32C89" w:rsidP="00B32C89">
      <w:pPr>
        <w:pStyle w:val="EndNoteBibliography"/>
        <w:spacing w:after="0"/>
      </w:pPr>
      <w:r w:rsidRPr="00B32C89">
        <w:t>13.</w:t>
      </w:r>
      <w:r w:rsidRPr="00B32C89">
        <w:tab/>
        <w:t>Ledingham JM, Snowden N, Rivett A, Galloway J, Ide Z, Firth J, et al. Achievement of NICE quality standards for patients with new presentation of inflammatory arthritis: observations from the National Clinical Audit for Rheumatoid and Early Inflammatory Arthritis. Rheumatology. 2016;56(2):223-30.</w:t>
      </w:r>
    </w:p>
    <w:p w14:paraId="3797ABFA" w14:textId="6C66E94E" w:rsidR="00B32C89" w:rsidRPr="00B32C89" w:rsidRDefault="00B32C89" w:rsidP="00B32C89">
      <w:pPr>
        <w:pStyle w:val="EndNoteBibliography"/>
        <w:spacing w:after="0"/>
      </w:pPr>
      <w:r w:rsidRPr="00B32C89">
        <w:t>14.</w:t>
      </w:r>
      <w:r w:rsidRPr="00B32C89">
        <w:tab/>
        <w:t xml:space="preserve">Rheumatology BSf. National Early Inflammatory Arthritis Audit (NEIAA) 1st Annual Report 2019 [Available from: </w:t>
      </w:r>
      <w:hyperlink r:id="rId13" w:history="1">
        <w:r w:rsidRPr="00B32C89">
          <w:rPr>
            <w:rStyle w:val="Hyperlink"/>
          </w:rPr>
          <w:t>https://www.rheumatology.org.uk/Portals/0/Documents/Practice_Quality/Audit/NEIA_Audit_report_October_2019.pdf?ver=2019-10-08-103326-710</w:t>
        </w:r>
      </w:hyperlink>
      <w:r w:rsidRPr="00B32C89">
        <w:t>.</w:t>
      </w:r>
    </w:p>
    <w:p w14:paraId="0B313453" w14:textId="77777777" w:rsidR="00B32C89" w:rsidRPr="00B32C89" w:rsidRDefault="00B32C89" w:rsidP="00B32C89">
      <w:pPr>
        <w:pStyle w:val="EndNoteBibliography"/>
        <w:spacing w:after="0"/>
      </w:pPr>
      <w:r w:rsidRPr="00B32C89">
        <w:t>15.</w:t>
      </w:r>
      <w:r w:rsidRPr="00B32C89">
        <w:tab/>
        <w:t>Birkmeyer JD, Dimick JB, Birkmeyer NJ. Measuring the quality of surgical care: structure, process, or outcomes? J Am Coll Surg. 2004;198(4):626-32.</w:t>
      </w:r>
    </w:p>
    <w:p w14:paraId="183C34A1" w14:textId="21193303" w:rsidR="00B32C89" w:rsidRPr="00B32C89" w:rsidRDefault="00B32C89" w:rsidP="00B32C89">
      <w:pPr>
        <w:pStyle w:val="EndNoteBibliography"/>
        <w:spacing w:after="0"/>
      </w:pPr>
      <w:r w:rsidRPr="00B32C89">
        <w:t>16.</w:t>
      </w:r>
      <w:r w:rsidRPr="00B32C89">
        <w:tab/>
        <w:t xml:space="preserve">partnership Hqi. Clinical Outcomes Publication: Technical manual 2016 [Available from: </w:t>
      </w:r>
      <w:hyperlink r:id="rId14" w:history="1">
        <w:r w:rsidRPr="00B32C89">
          <w:rPr>
            <w:rStyle w:val="Hyperlink"/>
          </w:rPr>
          <w:t>https://www.hqip.org.uk/wp-content/uploads/2018/02/clinical-outcomes-publication-technical-manual.pdf</w:t>
        </w:r>
      </w:hyperlink>
      <w:r w:rsidRPr="00B32C89">
        <w:t>.</w:t>
      </w:r>
    </w:p>
    <w:p w14:paraId="4604D67E" w14:textId="77777777" w:rsidR="00B32C89" w:rsidRPr="00B32C89" w:rsidRDefault="00B32C89" w:rsidP="00B32C89">
      <w:pPr>
        <w:pStyle w:val="EndNoteBibliography"/>
        <w:spacing w:after="0"/>
      </w:pPr>
      <w:r w:rsidRPr="00B32C89">
        <w:t>17.</w:t>
      </w:r>
      <w:r w:rsidRPr="00B32C89">
        <w:tab/>
        <w:t>Sterne JA, White IR, Carlin JB, Spratt M, Royston P, Kenward MG, et al. Multiple imputation for missing data in epidemiological and clinical research: potential and pitfalls. Bmj. 2009;338:b2393.</w:t>
      </w:r>
    </w:p>
    <w:p w14:paraId="6A5B1189" w14:textId="77777777" w:rsidR="00B32C89" w:rsidRPr="00B32C89" w:rsidRDefault="00B32C89" w:rsidP="00B32C89">
      <w:pPr>
        <w:pStyle w:val="EndNoteBibliography"/>
        <w:spacing w:after="0"/>
      </w:pPr>
      <w:r w:rsidRPr="00B32C89">
        <w:t>18.</w:t>
      </w:r>
      <w:r w:rsidRPr="00B32C89">
        <w:tab/>
        <w:t>Yates M MA, Ledingham J, Norton S, Bechman K, Rivett A, Dennison EM, Galloway JB. Variation and implications of treatment decisions in early Rheumatoid Arthritis: results from a nationwide cohort study. Rheumatology. 2019;In press. .</w:t>
      </w:r>
    </w:p>
    <w:p w14:paraId="0A523148" w14:textId="24ACEB7B" w:rsidR="00B32C89" w:rsidRPr="00B32C89" w:rsidRDefault="00B32C89" w:rsidP="00B32C89">
      <w:pPr>
        <w:pStyle w:val="EndNoteBibliography"/>
        <w:spacing w:after="0"/>
      </w:pPr>
      <w:r w:rsidRPr="00B32C89">
        <w:t>19.</w:t>
      </w:r>
      <w:r w:rsidRPr="00B32C89">
        <w:tab/>
        <w:t xml:space="preserve">National Diabetes Audit - Report 1 Care Processes and Treatment Targets 2017-18, Full Report 2019 [Available from: </w:t>
      </w:r>
      <w:hyperlink r:id="rId15" w:history="1">
        <w:r w:rsidRPr="00B32C89">
          <w:rPr>
            <w:rStyle w:val="Hyperlink"/>
          </w:rPr>
          <w:t>https://digital.nhs.uk/data-and-information/publications/statistical/national-diabetes-audit/report-1-care-processes-and-treatment-targets-2017-18-full-report</w:t>
        </w:r>
      </w:hyperlink>
      <w:r w:rsidRPr="00B32C89">
        <w:t>.</w:t>
      </w:r>
    </w:p>
    <w:p w14:paraId="7C80CA8C" w14:textId="77777777" w:rsidR="00B32C89" w:rsidRPr="00B32C89" w:rsidRDefault="00B32C89" w:rsidP="00B32C89">
      <w:pPr>
        <w:pStyle w:val="EndNoteBibliography"/>
        <w:spacing w:after="0"/>
      </w:pPr>
      <w:r w:rsidRPr="00B32C89">
        <w:t>20.</w:t>
      </w:r>
      <w:r w:rsidRPr="00B32C89">
        <w:tab/>
        <w:t>Cattle BA, Baxter PD, Greenwood DC, Gale CP, West RM. Multiple imputation for completion of a national clinical audit dataset. Stat Med. 2011;30(22):2736-53.</w:t>
      </w:r>
    </w:p>
    <w:p w14:paraId="5EF32DC3" w14:textId="77777777" w:rsidR="00B32C89" w:rsidRPr="00B32C89" w:rsidRDefault="00B32C89" w:rsidP="00B32C89">
      <w:pPr>
        <w:pStyle w:val="EndNoteBibliography"/>
        <w:spacing w:after="0"/>
      </w:pPr>
      <w:r w:rsidRPr="00B32C89">
        <w:t>21.</w:t>
      </w:r>
      <w:r w:rsidRPr="00B32C89">
        <w:tab/>
        <w:t>Wright CE, Yeung S, Knowles H, Woodhouse A, Barron E, Evans S. Factors influencing variation in participation in the National Diabetes Audit and the impact on the Quality and Outcomes Framework indicators of diabetes care management. BMJ Open Diabetes Res Care. 2018;6(1):e000554-e.</w:t>
      </w:r>
    </w:p>
    <w:p w14:paraId="6A69BE2A" w14:textId="77777777" w:rsidR="00B32C89" w:rsidRPr="00B32C89" w:rsidRDefault="00B32C89" w:rsidP="00B32C89">
      <w:pPr>
        <w:pStyle w:val="EndNoteBibliography"/>
      </w:pPr>
      <w:r w:rsidRPr="00B32C89">
        <w:t>22.</w:t>
      </w:r>
      <w:r w:rsidRPr="00B32C89">
        <w:tab/>
        <w:t>Yates M, Bechman K, Norton S, Nikiphorou E, Galloway J. Centre effects and case-mix in early rheumatoid arthritis observational cohorts: a narrative review. Rheumatology. 2019.</w:t>
      </w:r>
    </w:p>
    <w:p w14:paraId="1A277E02" w14:textId="5EB46B61" w:rsidR="00C166D4" w:rsidRPr="00C166D4" w:rsidRDefault="0012745D" w:rsidP="00C166D4">
      <w:pPr>
        <w:rPr>
          <w:sz w:val="28"/>
          <w:szCs w:val="28"/>
        </w:rPr>
      </w:pPr>
      <w:r>
        <w:rPr>
          <w:sz w:val="28"/>
          <w:szCs w:val="28"/>
        </w:rPr>
        <w:fldChar w:fldCharType="end"/>
      </w:r>
    </w:p>
    <w:sectPr w:rsidR="00C166D4" w:rsidRPr="00C166D4" w:rsidSect="002830C8">
      <w:footerReference w:type="default" r:id="rId16"/>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1F950" w14:textId="77777777" w:rsidR="00C40DAA" w:rsidRDefault="00C40DAA" w:rsidP="00A00C11">
      <w:pPr>
        <w:spacing w:after="0" w:line="240" w:lineRule="auto"/>
      </w:pPr>
      <w:r>
        <w:separator/>
      </w:r>
    </w:p>
  </w:endnote>
  <w:endnote w:type="continuationSeparator" w:id="0">
    <w:p w14:paraId="35C36929" w14:textId="77777777" w:rsidR="00C40DAA" w:rsidRDefault="00C40DAA" w:rsidP="00A0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928549"/>
      <w:docPartObj>
        <w:docPartGallery w:val="Page Numbers (Bottom of Page)"/>
        <w:docPartUnique/>
      </w:docPartObj>
    </w:sdtPr>
    <w:sdtEndPr>
      <w:rPr>
        <w:noProof/>
      </w:rPr>
    </w:sdtEndPr>
    <w:sdtContent>
      <w:p w14:paraId="06D6EE7F" w14:textId="47CA9DE4" w:rsidR="00705614" w:rsidRDefault="007056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D985D3" w14:textId="77777777" w:rsidR="00705614" w:rsidRDefault="00705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E5514" w14:textId="77777777" w:rsidR="00C40DAA" w:rsidRDefault="00C40DAA" w:rsidP="00A00C11">
      <w:pPr>
        <w:spacing w:after="0" w:line="240" w:lineRule="auto"/>
      </w:pPr>
      <w:r>
        <w:separator/>
      </w:r>
    </w:p>
  </w:footnote>
  <w:footnote w:type="continuationSeparator" w:id="0">
    <w:p w14:paraId="595B5CEC" w14:textId="77777777" w:rsidR="00C40DAA" w:rsidRDefault="00C40DAA" w:rsidP="00A00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3C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6B12C3"/>
    <w:multiLevelType w:val="hybridMultilevel"/>
    <w:tmpl w:val="D3EC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95B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9E6DA6"/>
    <w:multiLevelType w:val="hybridMultilevel"/>
    <w:tmpl w:val="C2C6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85833"/>
    <w:multiLevelType w:val="hybridMultilevel"/>
    <w:tmpl w:val="B8E0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204FA"/>
    <w:multiLevelType w:val="hybridMultilevel"/>
    <w:tmpl w:val="12B8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A1DA4"/>
    <w:multiLevelType w:val="hybridMultilevel"/>
    <w:tmpl w:val="8278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E5CAA"/>
    <w:multiLevelType w:val="hybridMultilevel"/>
    <w:tmpl w:val="67DA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86D70"/>
    <w:multiLevelType w:val="hybridMultilevel"/>
    <w:tmpl w:val="794A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4F9D"/>
    <w:multiLevelType w:val="hybridMultilevel"/>
    <w:tmpl w:val="EE6A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576C8"/>
    <w:multiLevelType w:val="hybridMultilevel"/>
    <w:tmpl w:val="696E24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6542D08"/>
    <w:multiLevelType w:val="hybridMultilevel"/>
    <w:tmpl w:val="7ACE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30676"/>
    <w:multiLevelType w:val="hybridMultilevel"/>
    <w:tmpl w:val="0486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40578"/>
    <w:multiLevelType w:val="hybridMultilevel"/>
    <w:tmpl w:val="1454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50454"/>
    <w:multiLevelType w:val="hybridMultilevel"/>
    <w:tmpl w:val="5492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469C3"/>
    <w:multiLevelType w:val="hybridMultilevel"/>
    <w:tmpl w:val="7476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B0B48"/>
    <w:multiLevelType w:val="hybridMultilevel"/>
    <w:tmpl w:val="DB20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24E08"/>
    <w:multiLevelType w:val="hybridMultilevel"/>
    <w:tmpl w:val="8086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B0AE7"/>
    <w:multiLevelType w:val="hybridMultilevel"/>
    <w:tmpl w:val="FD9A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00DF1"/>
    <w:multiLevelType w:val="hybridMultilevel"/>
    <w:tmpl w:val="307C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4E73"/>
    <w:multiLevelType w:val="hybridMultilevel"/>
    <w:tmpl w:val="C4E8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53921"/>
    <w:multiLevelType w:val="hybridMultilevel"/>
    <w:tmpl w:val="E0E4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657FF"/>
    <w:multiLevelType w:val="hybridMultilevel"/>
    <w:tmpl w:val="2580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3653D"/>
    <w:multiLevelType w:val="hybridMultilevel"/>
    <w:tmpl w:val="28AA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81E0A"/>
    <w:multiLevelType w:val="hybridMultilevel"/>
    <w:tmpl w:val="5A6C7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2C1762"/>
    <w:multiLevelType w:val="hybridMultilevel"/>
    <w:tmpl w:val="6EB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3004C"/>
    <w:multiLevelType w:val="hybridMultilevel"/>
    <w:tmpl w:val="166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8"/>
  </w:num>
  <w:num w:numId="4">
    <w:abstractNumId w:val="24"/>
  </w:num>
  <w:num w:numId="5">
    <w:abstractNumId w:val="5"/>
  </w:num>
  <w:num w:numId="6">
    <w:abstractNumId w:val="25"/>
  </w:num>
  <w:num w:numId="7">
    <w:abstractNumId w:val="1"/>
  </w:num>
  <w:num w:numId="8">
    <w:abstractNumId w:val="9"/>
  </w:num>
  <w:num w:numId="9">
    <w:abstractNumId w:val="18"/>
  </w:num>
  <w:num w:numId="10">
    <w:abstractNumId w:val="3"/>
  </w:num>
  <w:num w:numId="11">
    <w:abstractNumId w:val="7"/>
  </w:num>
  <w:num w:numId="12">
    <w:abstractNumId w:val="11"/>
  </w:num>
  <w:num w:numId="13">
    <w:abstractNumId w:val="22"/>
  </w:num>
  <w:num w:numId="14">
    <w:abstractNumId w:val="14"/>
  </w:num>
  <w:num w:numId="15">
    <w:abstractNumId w:val="23"/>
  </w:num>
  <w:num w:numId="16">
    <w:abstractNumId w:val="26"/>
  </w:num>
  <w:num w:numId="17">
    <w:abstractNumId w:val="20"/>
  </w:num>
  <w:num w:numId="18">
    <w:abstractNumId w:val="13"/>
  </w:num>
  <w:num w:numId="19">
    <w:abstractNumId w:val="4"/>
  </w:num>
  <w:num w:numId="20">
    <w:abstractNumId w:val="16"/>
  </w:num>
  <w:num w:numId="21">
    <w:abstractNumId w:val="10"/>
  </w:num>
  <w:num w:numId="22">
    <w:abstractNumId w:val="15"/>
  </w:num>
  <w:num w:numId="23">
    <w:abstractNumId w:val="12"/>
  </w:num>
  <w:num w:numId="24">
    <w:abstractNumId w:val="19"/>
  </w:num>
  <w:num w:numId="25">
    <w:abstractNumId w:val="21"/>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p9r9v5qdfv2hez5ec55x5ldtx2ezvvxs2v&quot;&gt;My EndNote Library&lt;record-ids&gt;&lt;item&gt;17&lt;/item&gt;&lt;item&gt;65&lt;/item&gt;&lt;item&gt;70&lt;/item&gt;&lt;item&gt;71&lt;/item&gt;&lt;item&gt;77&lt;/item&gt;&lt;item&gt;108&lt;/item&gt;&lt;item&gt;109&lt;/item&gt;&lt;item&gt;110&lt;/item&gt;&lt;item&gt;111&lt;/item&gt;&lt;item&gt;113&lt;/item&gt;&lt;item&gt;155&lt;/item&gt;&lt;item&gt;196&lt;/item&gt;&lt;item&gt;206&lt;/item&gt;&lt;item&gt;207&lt;/item&gt;&lt;item&gt;217&lt;/item&gt;&lt;item&gt;284&lt;/item&gt;&lt;item&gt;285&lt;/item&gt;&lt;item&gt;286&lt;/item&gt;&lt;/record-ids&gt;&lt;/item&gt;&lt;/Libraries&gt;"/>
  </w:docVars>
  <w:rsids>
    <w:rsidRoot w:val="00C166D4"/>
    <w:rsid w:val="00006E5C"/>
    <w:rsid w:val="0001233F"/>
    <w:rsid w:val="00014FF7"/>
    <w:rsid w:val="00016A16"/>
    <w:rsid w:val="00017497"/>
    <w:rsid w:val="00023969"/>
    <w:rsid w:val="000279B5"/>
    <w:rsid w:val="00030828"/>
    <w:rsid w:val="00036C07"/>
    <w:rsid w:val="00036C0F"/>
    <w:rsid w:val="00037EFD"/>
    <w:rsid w:val="00050A72"/>
    <w:rsid w:val="0007470B"/>
    <w:rsid w:val="000800CF"/>
    <w:rsid w:val="0009204A"/>
    <w:rsid w:val="000A52F2"/>
    <w:rsid w:val="000C3399"/>
    <w:rsid w:val="000C5E9F"/>
    <w:rsid w:val="000D0873"/>
    <w:rsid w:val="000D720B"/>
    <w:rsid w:val="000E1267"/>
    <w:rsid w:val="00115BEB"/>
    <w:rsid w:val="001244BB"/>
    <w:rsid w:val="0012745D"/>
    <w:rsid w:val="0013159C"/>
    <w:rsid w:val="00134377"/>
    <w:rsid w:val="00156DC5"/>
    <w:rsid w:val="0016156D"/>
    <w:rsid w:val="0017072D"/>
    <w:rsid w:val="0017672D"/>
    <w:rsid w:val="001850C9"/>
    <w:rsid w:val="00191FFF"/>
    <w:rsid w:val="001A069C"/>
    <w:rsid w:val="001A6605"/>
    <w:rsid w:val="001B2648"/>
    <w:rsid w:val="001C59B9"/>
    <w:rsid w:val="001C5C91"/>
    <w:rsid w:val="001D08F2"/>
    <w:rsid w:val="001D30CC"/>
    <w:rsid w:val="001E2F54"/>
    <w:rsid w:val="001F68CA"/>
    <w:rsid w:val="00212BE8"/>
    <w:rsid w:val="002313CC"/>
    <w:rsid w:val="002407E5"/>
    <w:rsid w:val="00253D43"/>
    <w:rsid w:val="002552D0"/>
    <w:rsid w:val="00270962"/>
    <w:rsid w:val="0027189D"/>
    <w:rsid w:val="00280D82"/>
    <w:rsid w:val="002830C8"/>
    <w:rsid w:val="00286AE4"/>
    <w:rsid w:val="002B23CF"/>
    <w:rsid w:val="002C54BC"/>
    <w:rsid w:val="002C6A18"/>
    <w:rsid w:val="002D1E01"/>
    <w:rsid w:val="002E060F"/>
    <w:rsid w:val="002F1918"/>
    <w:rsid w:val="00323643"/>
    <w:rsid w:val="00330152"/>
    <w:rsid w:val="0035410E"/>
    <w:rsid w:val="003613C9"/>
    <w:rsid w:val="00372321"/>
    <w:rsid w:val="003840D1"/>
    <w:rsid w:val="00384CDA"/>
    <w:rsid w:val="0039204A"/>
    <w:rsid w:val="00394969"/>
    <w:rsid w:val="003A7999"/>
    <w:rsid w:val="003B4D7E"/>
    <w:rsid w:val="003C2C79"/>
    <w:rsid w:val="003D61D1"/>
    <w:rsid w:val="003E0012"/>
    <w:rsid w:val="003E1100"/>
    <w:rsid w:val="003F4145"/>
    <w:rsid w:val="003F77DD"/>
    <w:rsid w:val="00426457"/>
    <w:rsid w:val="00426560"/>
    <w:rsid w:val="00443890"/>
    <w:rsid w:val="004454AA"/>
    <w:rsid w:val="004625C8"/>
    <w:rsid w:val="00466FF7"/>
    <w:rsid w:val="00482242"/>
    <w:rsid w:val="004A6DF3"/>
    <w:rsid w:val="004C12BA"/>
    <w:rsid w:val="004C3238"/>
    <w:rsid w:val="004C44A3"/>
    <w:rsid w:val="004E2076"/>
    <w:rsid w:val="004E4BAA"/>
    <w:rsid w:val="004F178D"/>
    <w:rsid w:val="004F1FAC"/>
    <w:rsid w:val="004F44B6"/>
    <w:rsid w:val="004F4D43"/>
    <w:rsid w:val="00503AC9"/>
    <w:rsid w:val="00503D9F"/>
    <w:rsid w:val="00532081"/>
    <w:rsid w:val="00547289"/>
    <w:rsid w:val="0055532D"/>
    <w:rsid w:val="00557D53"/>
    <w:rsid w:val="005633D4"/>
    <w:rsid w:val="0058416E"/>
    <w:rsid w:val="00585E89"/>
    <w:rsid w:val="00586E5C"/>
    <w:rsid w:val="0059055C"/>
    <w:rsid w:val="00590ABE"/>
    <w:rsid w:val="00592E88"/>
    <w:rsid w:val="005934D7"/>
    <w:rsid w:val="005A4C95"/>
    <w:rsid w:val="005B2E83"/>
    <w:rsid w:val="005E112F"/>
    <w:rsid w:val="005E2092"/>
    <w:rsid w:val="005F0882"/>
    <w:rsid w:val="00604DDC"/>
    <w:rsid w:val="00626D95"/>
    <w:rsid w:val="00627532"/>
    <w:rsid w:val="0063064F"/>
    <w:rsid w:val="0063451A"/>
    <w:rsid w:val="00640B5E"/>
    <w:rsid w:val="00652F67"/>
    <w:rsid w:val="0069588D"/>
    <w:rsid w:val="006B655E"/>
    <w:rsid w:val="006C3946"/>
    <w:rsid w:val="006D386F"/>
    <w:rsid w:val="006D69EC"/>
    <w:rsid w:val="006E0142"/>
    <w:rsid w:val="006F06CB"/>
    <w:rsid w:val="00705614"/>
    <w:rsid w:val="0070630A"/>
    <w:rsid w:val="007123C8"/>
    <w:rsid w:val="0071471C"/>
    <w:rsid w:val="0073161D"/>
    <w:rsid w:val="00734250"/>
    <w:rsid w:val="00742395"/>
    <w:rsid w:val="007455CB"/>
    <w:rsid w:val="00750C80"/>
    <w:rsid w:val="00757FF5"/>
    <w:rsid w:val="00764F8D"/>
    <w:rsid w:val="00765F97"/>
    <w:rsid w:val="007706CF"/>
    <w:rsid w:val="007753CA"/>
    <w:rsid w:val="00781FEF"/>
    <w:rsid w:val="00787894"/>
    <w:rsid w:val="007A34C9"/>
    <w:rsid w:val="007A5671"/>
    <w:rsid w:val="007A5B5E"/>
    <w:rsid w:val="007A5D0B"/>
    <w:rsid w:val="007A6EE3"/>
    <w:rsid w:val="007B04B4"/>
    <w:rsid w:val="007C0001"/>
    <w:rsid w:val="007C7AB0"/>
    <w:rsid w:val="007D6F7E"/>
    <w:rsid w:val="007E5032"/>
    <w:rsid w:val="00802579"/>
    <w:rsid w:val="00813C96"/>
    <w:rsid w:val="00815453"/>
    <w:rsid w:val="00815F2E"/>
    <w:rsid w:val="008333BD"/>
    <w:rsid w:val="00843047"/>
    <w:rsid w:val="0085149B"/>
    <w:rsid w:val="0085251B"/>
    <w:rsid w:val="0085337E"/>
    <w:rsid w:val="00853669"/>
    <w:rsid w:val="008556E3"/>
    <w:rsid w:val="0086388C"/>
    <w:rsid w:val="00865381"/>
    <w:rsid w:val="00865A53"/>
    <w:rsid w:val="008715A3"/>
    <w:rsid w:val="00873D4E"/>
    <w:rsid w:val="008922EE"/>
    <w:rsid w:val="008953AC"/>
    <w:rsid w:val="008A7364"/>
    <w:rsid w:val="008B259D"/>
    <w:rsid w:val="008B3766"/>
    <w:rsid w:val="008C6B49"/>
    <w:rsid w:val="008D456B"/>
    <w:rsid w:val="008E57DB"/>
    <w:rsid w:val="008F0CA5"/>
    <w:rsid w:val="008F35A4"/>
    <w:rsid w:val="008F368B"/>
    <w:rsid w:val="008F7E3D"/>
    <w:rsid w:val="00901503"/>
    <w:rsid w:val="00917686"/>
    <w:rsid w:val="009205E2"/>
    <w:rsid w:val="009215B3"/>
    <w:rsid w:val="00926995"/>
    <w:rsid w:val="00931A40"/>
    <w:rsid w:val="00943E5D"/>
    <w:rsid w:val="00956DCE"/>
    <w:rsid w:val="009636E3"/>
    <w:rsid w:val="00965B34"/>
    <w:rsid w:val="00980D3F"/>
    <w:rsid w:val="00982C8A"/>
    <w:rsid w:val="00984F97"/>
    <w:rsid w:val="00996A27"/>
    <w:rsid w:val="009A015C"/>
    <w:rsid w:val="009A1370"/>
    <w:rsid w:val="009A73C9"/>
    <w:rsid w:val="009C7770"/>
    <w:rsid w:val="009D135A"/>
    <w:rsid w:val="009E09FF"/>
    <w:rsid w:val="009E5124"/>
    <w:rsid w:val="009E5615"/>
    <w:rsid w:val="009F4A5E"/>
    <w:rsid w:val="009F782D"/>
    <w:rsid w:val="00A00C11"/>
    <w:rsid w:val="00A23B09"/>
    <w:rsid w:val="00A26087"/>
    <w:rsid w:val="00A30221"/>
    <w:rsid w:val="00A37315"/>
    <w:rsid w:val="00A42375"/>
    <w:rsid w:val="00A55743"/>
    <w:rsid w:val="00A73A77"/>
    <w:rsid w:val="00A743C9"/>
    <w:rsid w:val="00A778D7"/>
    <w:rsid w:val="00A817FC"/>
    <w:rsid w:val="00A86483"/>
    <w:rsid w:val="00AA0330"/>
    <w:rsid w:val="00AA6FF1"/>
    <w:rsid w:val="00AB59C2"/>
    <w:rsid w:val="00AE6BF0"/>
    <w:rsid w:val="00B05369"/>
    <w:rsid w:val="00B10E93"/>
    <w:rsid w:val="00B11BBE"/>
    <w:rsid w:val="00B25DFA"/>
    <w:rsid w:val="00B31B3B"/>
    <w:rsid w:val="00B32C89"/>
    <w:rsid w:val="00B33CF3"/>
    <w:rsid w:val="00B33DA5"/>
    <w:rsid w:val="00B442F6"/>
    <w:rsid w:val="00B536AF"/>
    <w:rsid w:val="00B53FE1"/>
    <w:rsid w:val="00B60CF0"/>
    <w:rsid w:val="00B70050"/>
    <w:rsid w:val="00B71E88"/>
    <w:rsid w:val="00B80714"/>
    <w:rsid w:val="00B856A1"/>
    <w:rsid w:val="00BA77D1"/>
    <w:rsid w:val="00BD799E"/>
    <w:rsid w:val="00BE5EE7"/>
    <w:rsid w:val="00BF0913"/>
    <w:rsid w:val="00C02128"/>
    <w:rsid w:val="00C13155"/>
    <w:rsid w:val="00C15972"/>
    <w:rsid w:val="00C166D4"/>
    <w:rsid w:val="00C342B3"/>
    <w:rsid w:val="00C40DAA"/>
    <w:rsid w:val="00C570C6"/>
    <w:rsid w:val="00C60520"/>
    <w:rsid w:val="00C62C90"/>
    <w:rsid w:val="00C65FA8"/>
    <w:rsid w:val="00C752C7"/>
    <w:rsid w:val="00C86865"/>
    <w:rsid w:val="00C86868"/>
    <w:rsid w:val="00C90DAD"/>
    <w:rsid w:val="00C92056"/>
    <w:rsid w:val="00C956CF"/>
    <w:rsid w:val="00C96D94"/>
    <w:rsid w:val="00CA520E"/>
    <w:rsid w:val="00CA75EB"/>
    <w:rsid w:val="00CB08CA"/>
    <w:rsid w:val="00CB24C4"/>
    <w:rsid w:val="00CB44A2"/>
    <w:rsid w:val="00CC42B1"/>
    <w:rsid w:val="00CD18C2"/>
    <w:rsid w:val="00CD3D24"/>
    <w:rsid w:val="00D12088"/>
    <w:rsid w:val="00D21038"/>
    <w:rsid w:val="00D51D42"/>
    <w:rsid w:val="00D53320"/>
    <w:rsid w:val="00D57173"/>
    <w:rsid w:val="00D76A0D"/>
    <w:rsid w:val="00D809C5"/>
    <w:rsid w:val="00D80A29"/>
    <w:rsid w:val="00D854AC"/>
    <w:rsid w:val="00D93CE2"/>
    <w:rsid w:val="00D9466D"/>
    <w:rsid w:val="00D94DB5"/>
    <w:rsid w:val="00D9582E"/>
    <w:rsid w:val="00D962FB"/>
    <w:rsid w:val="00D966EF"/>
    <w:rsid w:val="00DA07C8"/>
    <w:rsid w:val="00DA69C1"/>
    <w:rsid w:val="00DE35FC"/>
    <w:rsid w:val="00DE573B"/>
    <w:rsid w:val="00DE6C3A"/>
    <w:rsid w:val="00DF12E2"/>
    <w:rsid w:val="00DF415A"/>
    <w:rsid w:val="00DF4430"/>
    <w:rsid w:val="00E005EC"/>
    <w:rsid w:val="00E04A41"/>
    <w:rsid w:val="00E157B1"/>
    <w:rsid w:val="00E16EF8"/>
    <w:rsid w:val="00E24F6D"/>
    <w:rsid w:val="00E37D81"/>
    <w:rsid w:val="00E42478"/>
    <w:rsid w:val="00E47362"/>
    <w:rsid w:val="00E533FC"/>
    <w:rsid w:val="00E53988"/>
    <w:rsid w:val="00E72B0C"/>
    <w:rsid w:val="00E83223"/>
    <w:rsid w:val="00E83310"/>
    <w:rsid w:val="00EA5099"/>
    <w:rsid w:val="00EC4190"/>
    <w:rsid w:val="00ED0141"/>
    <w:rsid w:val="00ED1A83"/>
    <w:rsid w:val="00ED3DDA"/>
    <w:rsid w:val="00EE3D6B"/>
    <w:rsid w:val="00EE54C3"/>
    <w:rsid w:val="00F037D5"/>
    <w:rsid w:val="00F04964"/>
    <w:rsid w:val="00F06CDF"/>
    <w:rsid w:val="00F148B0"/>
    <w:rsid w:val="00F21FBD"/>
    <w:rsid w:val="00F2601C"/>
    <w:rsid w:val="00F30171"/>
    <w:rsid w:val="00F31972"/>
    <w:rsid w:val="00F32418"/>
    <w:rsid w:val="00F41A4B"/>
    <w:rsid w:val="00F470A7"/>
    <w:rsid w:val="00F64901"/>
    <w:rsid w:val="00F64983"/>
    <w:rsid w:val="00F77E64"/>
    <w:rsid w:val="00F809AD"/>
    <w:rsid w:val="00F904EB"/>
    <w:rsid w:val="00F944EA"/>
    <w:rsid w:val="00FB41AE"/>
    <w:rsid w:val="00FC35E4"/>
    <w:rsid w:val="00FC4D9E"/>
    <w:rsid w:val="00FE4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8C5B5"/>
  <w15:chartTrackingRefBased/>
  <w15:docId w15:val="{F9F7094D-C3D5-4184-97F2-24EDF0EB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289"/>
    <w:pPr>
      <w:keepNext/>
      <w:keepLines/>
      <w:numPr>
        <w:numId w:val="2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7289"/>
    <w:pPr>
      <w:keepNext/>
      <w:keepLines/>
      <w:numPr>
        <w:ilvl w:val="1"/>
        <w:numId w:val="2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7289"/>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7289"/>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3B09"/>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23B09"/>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23B09"/>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23B09"/>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B09"/>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6D4"/>
    <w:pPr>
      <w:ind w:left="720"/>
      <w:contextualSpacing/>
    </w:pPr>
  </w:style>
  <w:style w:type="character" w:styleId="CommentReference">
    <w:name w:val="annotation reference"/>
    <w:basedOn w:val="DefaultParagraphFont"/>
    <w:uiPriority w:val="99"/>
    <w:semiHidden/>
    <w:unhideWhenUsed/>
    <w:rsid w:val="0012745D"/>
    <w:rPr>
      <w:sz w:val="16"/>
      <w:szCs w:val="16"/>
    </w:rPr>
  </w:style>
  <w:style w:type="paragraph" w:styleId="CommentText">
    <w:name w:val="annotation text"/>
    <w:basedOn w:val="Normal"/>
    <w:link w:val="CommentTextChar"/>
    <w:uiPriority w:val="99"/>
    <w:unhideWhenUsed/>
    <w:rsid w:val="0012745D"/>
    <w:pPr>
      <w:spacing w:line="240" w:lineRule="auto"/>
    </w:pPr>
    <w:rPr>
      <w:sz w:val="20"/>
      <w:szCs w:val="20"/>
    </w:rPr>
  </w:style>
  <w:style w:type="character" w:customStyle="1" w:styleId="CommentTextChar">
    <w:name w:val="Comment Text Char"/>
    <w:basedOn w:val="DefaultParagraphFont"/>
    <w:link w:val="CommentText"/>
    <w:uiPriority w:val="99"/>
    <w:rsid w:val="0012745D"/>
    <w:rPr>
      <w:sz w:val="20"/>
      <w:szCs w:val="20"/>
    </w:rPr>
  </w:style>
  <w:style w:type="paragraph" w:styleId="BalloonText">
    <w:name w:val="Balloon Text"/>
    <w:basedOn w:val="Normal"/>
    <w:link w:val="BalloonTextChar"/>
    <w:uiPriority w:val="99"/>
    <w:semiHidden/>
    <w:unhideWhenUsed/>
    <w:rsid w:val="00127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45D"/>
    <w:rPr>
      <w:rFonts w:ascii="Segoe UI" w:hAnsi="Segoe UI" w:cs="Segoe UI"/>
      <w:sz w:val="18"/>
      <w:szCs w:val="18"/>
    </w:rPr>
  </w:style>
  <w:style w:type="paragraph" w:customStyle="1" w:styleId="EndNoteBibliographyTitle">
    <w:name w:val="EndNote Bibliography Title"/>
    <w:basedOn w:val="Normal"/>
    <w:link w:val="EndNoteBibliographyTitleChar"/>
    <w:rsid w:val="0012745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745D"/>
    <w:rPr>
      <w:rFonts w:ascii="Calibri" w:hAnsi="Calibri" w:cs="Calibri"/>
      <w:noProof/>
      <w:lang w:val="en-US"/>
    </w:rPr>
  </w:style>
  <w:style w:type="paragraph" w:customStyle="1" w:styleId="EndNoteBibliography">
    <w:name w:val="EndNote Bibliography"/>
    <w:basedOn w:val="Normal"/>
    <w:link w:val="EndNoteBibliographyChar"/>
    <w:rsid w:val="0012745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2745D"/>
    <w:rPr>
      <w:rFonts w:ascii="Calibri" w:hAnsi="Calibri" w:cs="Calibri"/>
      <w:noProof/>
      <w:lang w:val="en-US"/>
    </w:rPr>
  </w:style>
  <w:style w:type="character" w:styleId="Hyperlink">
    <w:name w:val="Hyperlink"/>
    <w:basedOn w:val="DefaultParagraphFont"/>
    <w:uiPriority w:val="99"/>
    <w:unhideWhenUsed/>
    <w:rsid w:val="0012745D"/>
    <w:rPr>
      <w:color w:val="0563C1" w:themeColor="hyperlink"/>
      <w:u w:val="single"/>
    </w:rPr>
  </w:style>
  <w:style w:type="character" w:styleId="UnresolvedMention">
    <w:name w:val="Unresolved Mention"/>
    <w:basedOn w:val="DefaultParagraphFont"/>
    <w:uiPriority w:val="99"/>
    <w:semiHidden/>
    <w:unhideWhenUsed/>
    <w:rsid w:val="00B536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3155"/>
    <w:rPr>
      <w:b/>
      <w:bCs/>
    </w:rPr>
  </w:style>
  <w:style w:type="character" w:customStyle="1" w:styleId="CommentSubjectChar">
    <w:name w:val="Comment Subject Char"/>
    <w:basedOn w:val="CommentTextChar"/>
    <w:link w:val="CommentSubject"/>
    <w:uiPriority w:val="99"/>
    <w:semiHidden/>
    <w:rsid w:val="00C13155"/>
    <w:rPr>
      <w:b/>
      <w:bCs/>
      <w:sz w:val="20"/>
      <w:szCs w:val="20"/>
    </w:rPr>
  </w:style>
  <w:style w:type="character" w:styleId="FollowedHyperlink">
    <w:name w:val="FollowedHyperlink"/>
    <w:basedOn w:val="DefaultParagraphFont"/>
    <w:uiPriority w:val="99"/>
    <w:semiHidden/>
    <w:unhideWhenUsed/>
    <w:rsid w:val="00503D9F"/>
    <w:rPr>
      <w:color w:val="954F72" w:themeColor="followedHyperlink"/>
      <w:u w:val="single"/>
    </w:rPr>
  </w:style>
  <w:style w:type="paragraph" w:styleId="Revision">
    <w:name w:val="Revision"/>
    <w:hidden/>
    <w:uiPriority w:val="99"/>
    <w:semiHidden/>
    <w:rsid w:val="003D61D1"/>
    <w:pPr>
      <w:spacing w:after="0" w:line="240" w:lineRule="auto"/>
    </w:pPr>
  </w:style>
  <w:style w:type="table" w:styleId="ListTable3-Accent5">
    <w:name w:val="List Table 3 Accent 5"/>
    <w:basedOn w:val="TableNormal"/>
    <w:uiPriority w:val="48"/>
    <w:rsid w:val="00B10E93"/>
    <w:pPr>
      <w:spacing w:after="0" w:line="240" w:lineRule="auto"/>
    </w:pPr>
    <w:rPr>
      <w:lang w:val="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Caption">
    <w:name w:val="caption"/>
    <w:basedOn w:val="Normal"/>
    <w:next w:val="Normal"/>
    <w:uiPriority w:val="35"/>
    <w:unhideWhenUsed/>
    <w:qFormat/>
    <w:rsid w:val="00B10E9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00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C11"/>
  </w:style>
  <w:style w:type="paragraph" w:styleId="Footer">
    <w:name w:val="footer"/>
    <w:basedOn w:val="Normal"/>
    <w:link w:val="FooterChar"/>
    <w:uiPriority w:val="99"/>
    <w:unhideWhenUsed/>
    <w:rsid w:val="00A00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C11"/>
  </w:style>
  <w:style w:type="character" w:customStyle="1" w:styleId="Heading1Char">
    <w:name w:val="Heading 1 Char"/>
    <w:basedOn w:val="DefaultParagraphFont"/>
    <w:link w:val="Heading1"/>
    <w:uiPriority w:val="9"/>
    <w:rsid w:val="005472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72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72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472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23B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23B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23B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23B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3B09"/>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2830C8"/>
  </w:style>
  <w:style w:type="table" w:styleId="TableGrid">
    <w:name w:val="Table Grid"/>
    <w:basedOn w:val="TableNormal"/>
    <w:uiPriority w:val="39"/>
    <w:rsid w:val="00392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yates@kcl.ac.uk" TargetMode="External"/><Relationship Id="rId13" Type="http://schemas.openxmlformats.org/officeDocument/2006/relationships/hyperlink" Target="https://www.rheumatology.org.uk/Portals/0/Documents/Practice_Quality/Audit/NEIA_Audit_report_October_2019.pdf?ver=2019-10-08-103326-7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c/boc/bocode/s45681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33/chapter/Quality-statement-3-Starting-treatment" TargetMode="External"/><Relationship Id="rId5" Type="http://schemas.openxmlformats.org/officeDocument/2006/relationships/webSettings" Target="webSettings.xml"/><Relationship Id="rId15" Type="http://schemas.openxmlformats.org/officeDocument/2006/relationships/hyperlink" Target="https://digital.nhs.uk/data-and-information/publications/statistical/national-diabetes-audit/report-1-care-processes-and-treatment-targets-2017-18-full-report" TargetMode="External"/><Relationship Id="rId10" Type="http://schemas.openxmlformats.org/officeDocument/2006/relationships/hyperlink" Target="https://www.rheumatology.org.uk/Portals/0/Documents/Guidelines/Previous%20Audits/National%20clinical%20audit%20for%20rheumatoid%20and%20early%20inflammatory%20arthritis.pdf?ver=2019-04-26-163400-363&amp;timestamp=1556293746882" TargetMode="External"/><Relationship Id="rId4" Type="http://schemas.openxmlformats.org/officeDocument/2006/relationships/settings" Target="settings.xml"/><Relationship Id="rId9" Type="http://schemas.openxmlformats.org/officeDocument/2006/relationships/hyperlink" Target="https://www.rcplondon.ac.uk/projects/outputs/nlca-annual-report-2018" TargetMode="External"/><Relationship Id="rId14" Type="http://schemas.openxmlformats.org/officeDocument/2006/relationships/hyperlink" Target="https://www.hqip.org.uk/wp-content/uploads/2018/02/clinical-outcomes-publication-technical-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86F5-C96E-4D5A-860C-0A872AF0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9788</Words>
  <Characters>55794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Drake K.A.</cp:lastModifiedBy>
  <cp:revision>2</cp:revision>
  <cp:lastPrinted>2020-04-11T07:56:00Z</cp:lastPrinted>
  <dcterms:created xsi:type="dcterms:W3CDTF">2020-04-28T13:42:00Z</dcterms:created>
  <dcterms:modified xsi:type="dcterms:W3CDTF">2020-04-28T13:42:00Z</dcterms:modified>
</cp:coreProperties>
</file>