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849A7" w14:textId="77777777" w:rsidR="001A6F5F" w:rsidRPr="00125F54" w:rsidRDefault="00933262" w:rsidP="001A6F5F">
      <w:pPr>
        <w:spacing w:line="480" w:lineRule="auto"/>
        <w:rPr>
          <w:rFonts w:ascii="Arial" w:hAnsi="Arial" w:cs="Arial"/>
          <w:color w:val="202124"/>
        </w:rPr>
      </w:pPr>
      <w:r w:rsidRPr="00125F54">
        <w:rPr>
          <w:rFonts w:ascii="Arial" w:hAnsi="Arial" w:cs="Arial"/>
          <w:b/>
        </w:rPr>
        <w:t>Starting ADHD medications</w:t>
      </w:r>
      <w:r w:rsidR="00125F54" w:rsidRPr="00125F54">
        <w:rPr>
          <w:rFonts w:ascii="Arial" w:hAnsi="Arial" w:cs="Arial"/>
          <w:b/>
        </w:rPr>
        <w:t xml:space="preserve"> during the Covid</w:t>
      </w:r>
      <w:r w:rsidR="001A6F5F">
        <w:rPr>
          <w:rFonts w:ascii="Arial" w:hAnsi="Arial" w:cs="Arial"/>
          <w:b/>
        </w:rPr>
        <w:t xml:space="preserve">-19 pandemic. Recommendations from the </w:t>
      </w:r>
      <w:r w:rsidR="001A6F5F" w:rsidRPr="001A6F5F">
        <w:rPr>
          <w:rFonts w:ascii="Arial" w:hAnsi="Arial" w:cs="Arial"/>
          <w:b/>
          <w:color w:val="202124"/>
        </w:rPr>
        <w:t>European ADHD Guidelines Group (EAGG)</w:t>
      </w:r>
    </w:p>
    <w:p w14:paraId="4A56431F" w14:textId="663D8A0B" w:rsidR="004576A7" w:rsidRPr="00125F54" w:rsidRDefault="004576A7" w:rsidP="0005757C">
      <w:pPr>
        <w:spacing w:line="480" w:lineRule="auto"/>
        <w:rPr>
          <w:rFonts w:ascii="Arial" w:hAnsi="Arial" w:cs="Arial"/>
          <w:b/>
        </w:rPr>
      </w:pPr>
    </w:p>
    <w:p w14:paraId="5B8567F5" w14:textId="587FF1F6" w:rsidR="00125F54" w:rsidRPr="00125F54" w:rsidRDefault="00125F54" w:rsidP="00125F54">
      <w:pPr>
        <w:spacing w:line="480" w:lineRule="auto"/>
        <w:rPr>
          <w:rFonts w:ascii="Arial" w:hAnsi="Arial" w:cs="Arial"/>
          <w:color w:val="202124"/>
        </w:rPr>
      </w:pPr>
      <w:r w:rsidRPr="00125F54">
        <w:rPr>
          <w:rFonts w:ascii="Arial" w:hAnsi="Arial" w:cs="Arial"/>
        </w:rPr>
        <w:t>Samuele Cortese</w:t>
      </w:r>
      <w:r w:rsidRPr="00125F54">
        <w:rPr>
          <w:rFonts w:ascii="Arial" w:hAnsi="Arial" w:cs="Arial"/>
          <w:vertAlign w:val="superscript"/>
        </w:rPr>
        <w:t>1-5</w:t>
      </w:r>
      <w:r w:rsidRPr="00125F54">
        <w:rPr>
          <w:rFonts w:ascii="Arial" w:hAnsi="Arial" w:cs="Arial"/>
        </w:rPr>
        <w:t>, David Coghill</w:t>
      </w:r>
      <w:r w:rsidRPr="00125F54">
        <w:rPr>
          <w:rFonts w:ascii="Arial" w:hAnsi="Arial" w:cs="Arial"/>
          <w:vertAlign w:val="superscript"/>
        </w:rPr>
        <w:t>6</w:t>
      </w:r>
      <w:r w:rsidRPr="00125F54">
        <w:rPr>
          <w:rFonts w:ascii="Arial" w:hAnsi="Arial" w:cs="Arial"/>
        </w:rPr>
        <w:t xml:space="preserve">, </w:t>
      </w:r>
      <w:r w:rsidRPr="00125F54">
        <w:rPr>
          <w:rFonts w:ascii="Arial" w:hAnsi="Arial" w:cs="Arial"/>
          <w:color w:val="202124"/>
        </w:rPr>
        <w:t>Paramala</w:t>
      </w:r>
      <w:r w:rsidR="00A573B1" w:rsidRPr="00A573B1">
        <w:rPr>
          <w:rFonts w:ascii="Arial" w:hAnsi="Arial" w:cs="Arial"/>
          <w:color w:val="202124"/>
        </w:rPr>
        <w:t xml:space="preserve"> </w:t>
      </w:r>
      <w:r w:rsidR="00A573B1" w:rsidRPr="00125F54">
        <w:rPr>
          <w:rFonts w:ascii="Arial" w:hAnsi="Arial" w:cs="Arial"/>
          <w:color w:val="202124"/>
        </w:rPr>
        <w:t>Santosh</w:t>
      </w:r>
      <w:bookmarkStart w:id="0" w:name="_GoBack"/>
      <w:r w:rsidR="00A573B1" w:rsidRPr="00AC68BD">
        <w:rPr>
          <w:rFonts w:ascii="Arial" w:hAnsi="Arial" w:cs="Arial"/>
          <w:color w:val="202124"/>
          <w:vertAlign w:val="superscript"/>
        </w:rPr>
        <w:t>7</w:t>
      </w:r>
      <w:bookmarkEnd w:id="0"/>
      <w:r w:rsidRPr="00125F54">
        <w:rPr>
          <w:rFonts w:ascii="Arial" w:hAnsi="Arial" w:cs="Arial"/>
          <w:color w:val="202124"/>
        </w:rPr>
        <w:t>, Chris Hollis</w:t>
      </w:r>
      <w:r w:rsidR="00AC289A" w:rsidRPr="00AC289A">
        <w:rPr>
          <w:rFonts w:ascii="Arial" w:hAnsi="Arial" w:cs="Arial"/>
          <w:color w:val="202124"/>
          <w:vertAlign w:val="superscript"/>
        </w:rPr>
        <w:t>5</w:t>
      </w:r>
      <w:r w:rsidRPr="00125F54">
        <w:rPr>
          <w:rFonts w:ascii="Arial" w:hAnsi="Arial" w:cs="Arial"/>
          <w:color w:val="202124"/>
        </w:rPr>
        <w:t>, Emily Simonoff</w:t>
      </w:r>
      <w:r w:rsidR="00AC68BD">
        <w:rPr>
          <w:rFonts w:ascii="Arial" w:hAnsi="Arial" w:cs="Arial"/>
          <w:color w:val="202124"/>
        </w:rPr>
        <w:t xml:space="preserve"> </w:t>
      </w:r>
      <w:r w:rsidR="00AC68BD" w:rsidRPr="00AC68BD">
        <w:rPr>
          <w:rFonts w:ascii="Arial" w:hAnsi="Arial" w:cs="Arial"/>
          <w:color w:val="202124"/>
          <w:vertAlign w:val="superscript"/>
        </w:rPr>
        <w:t>7</w:t>
      </w:r>
      <w:r w:rsidRPr="00125F54">
        <w:rPr>
          <w:rFonts w:ascii="Arial" w:hAnsi="Arial" w:cs="Arial"/>
          <w:color w:val="202124"/>
        </w:rPr>
        <w:t xml:space="preserve"> on behalf of the European ADHD Guidelines Group (EAGG)</w:t>
      </w:r>
      <w:r w:rsidR="003F5D1D">
        <w:rPr>
          <w:rFonts w:ascii="Arial" w:hAnsi="Arial" w:cs="Arial"/>
          <w:color w:val="202124"/>
        </w:rPr>
        <w:t xml:space="preserve"> (a list of members of the EAGG is provided in the Appendix)</w:t>
      </w:r>
    </w:p>
    <w:p w14:paraId="27F1F8B3" w14:textId="77777777" w:rsidR="00125F54" w:rsidRPr="00125F54" w:rsidRDefault="00125F54" w:rsidP="00125F54">
      <w:pPr>
        <w:spacing w:line="480" w:lineRule="auto"/>
        <w:rPr>
          <w:rFonts w:ascii="Arial" w:hAnsi="Arial" w:cs="Arial"/>
          <w:color w:val="202124"/>
        </w:rPr>
      </w:pPr>
    </w:p>
    <w:p w14:paraId="08DEA493" w14:textId="77777777" w:rsidR="00125F54" w:rsidRPr="00125F54" w:rsidRDefault="00125F54" w:rsidP="00125F54">
      <w:pPr>
        <w:pStyle w:val="MDPI16affiliation"/>
        <w:spacing w:line="240" w:lineRule="auto"/>
        <w:ind w:left="0" w:firstLine="0"/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FFFFFF"/>
        </w:rPr>
      </w:pPr>
      <w:r w:rsidRPr="00125F54">
        <w:rPr>
          <w:rFonts w:ascii="Arial" w:hAnsi="Arial" w:cs="Arial"/>
          <w:color w:val="000000" w:themeColor="text1"/>
          <w:sz w:val="24"/>
          <w:szCs w:val="24"/>
          <w:vertAlign w:val="superscript"/>
        </w:rPr>
        <w:t>1</w:t>
      </w:r>
      <w:r w:rsidRPr="00125F5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25F54">
        <w:rPr>
          <w:rFonts w:ascii="Arial" w:hAnsi="Arial" w:cs="Arial"/>
          <w:color w:val="000000" w:themeColor="text1"/>
          <w:sz w:val="24"/>
          <w:szCs w:val="24"/>
        </w:rPr>
        <w:t xml:space="preserve">Center for Innovation in Mental Health, School of Psychology, Faculty of Environmental and Life Sciences, University of Southampton, UK, </w:t>
      </w:r>
      <w:r w:rsidRPr="00125F54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FFFFFF"/>
        </w:rPr>
        <w:t xml:space="preserve">and </w:t>
      </w:r>
      <w:r w:rsidRPr="00125F5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Clinical and Experimental Sciences (CNS and Psychiatry), Faculty of Medicine, </w:t>
      </w:r>
      <w:r w:rsidRPr="00125F54">
        <w:rPr>
          <w:rFonts w:ascii="Arial" w:hAnsi="Arial" w:cs="Arial"/>
          <w:color w:val="000000" w:themeColor="text1"/>
          <w:sz w:val="24"/>
          <w:szCs w:val="24"/>
        </w:rPr>
        <w:t xml:space="preserve">University of Southampton, UK, </w:t>
      </w:r>
    </w:p>
    <w:p w14:paraId="605C620F" w14:textId="77777777" w:rsidR="00125F54" w:rsidRPr="00125F54" w:rsidRDefault="00125F54" w:rsidP="00125F54">
      <w:pPr>
        <w:pStyle w:val="MDPI16affiliation"/>
        <w:spacing w:line="240" w:lineRule="auto"/>
        <w:ind w:left="0" w:firstLine="0"/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FFFFFF"/>
        </w:rPr>
      </w:pPr>
      <w:r w:rsidRPr="00125F54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125F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25F5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Clinical and Experimental Sciences (CNS and Psychiatry), Faculty of Medicine, </w:t>
      </w:r>
      <w:r w:rsidRPr="00125F54">
        <w:rPr>
          <w:rFonts w:ascii="Arial" w:hAnsi="Arial" w:cs="Arial"/>
          <w:color w:val="000000" w:themeColor="text1"/>
          <w:sz w:val="24"/>
          <w:szCs w:val="24"/>
        </w:rPr>
        <w:t xml:space="preserve">University of Southampton, UK, </w:t>
      </w:r>
    </w:p>
    <w:p w14:paraId="532ABE4D" w14:textId="77777777" w:rsidR="00125F54" w:rsidRPr="00125F54" w:rsidRDefault="00125F54" w:rsidP="00125F54">
      <w:pPr>
        <w:pStyle w:val="MDPI16affiliation"/>
        <w:spacing w:line="240" w:lineRule="auto"/>
        <w:ind w:left="0" w:firstLine="0"/>
        <w:rPr>
          <w:rFonts w:ascii="Arial" w:hAnsi="Arial" w:cs="Arial"/>
          <w:bCs/>
          <w:color w:val="000000" w:themeColor="text1"/>
          <w:sz w:val="24"/>
          <w:szCs w:val="24"/>
          <w:bdr w:val="none" w:sz="0" w:space="0" w:color="auto" w:frame="1"/>
        </w:rPr>
      </w:pPr>
      <w:r w:rsidRPr="00125F54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3 </w:t>
      </w:r>
      <w:r w:rsidRPr="00125F54">
        <w:rPr>
          <w:rFonts w:ascii="Arial" w:hAnsi="Arial" w:cs="Arial"/>
          <w:color w:val="000000" w:themeColor="text1"/>
          <w:sz w:val="24"/>
          <w:szCs w:val="24"/>
        </w:rPr>
        <w:t xml:space="preserve">Solent NHS Trust, Southampton, UK, </w:t>
      </w:r>
    </w:p>
    <w:p w14:paraId="29D37C8C" w14:textId="77777777" w:rsidR="00125F54" w:rsidRPr="00125F54" w:rsidRDefault="00125F54" w:rsidP="00125F54">
      <w:pPr>
        <w:pStyle w:val="MDPI16affiliation"/>
        <w:spacing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125F54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4 </w:t>
      </w:r>
      <w:r w:rsidRPr="00125F54">
        <w:rPr>
          <w:rFonts w:ascii="Arial" w:hAnsi="Arial" w:cs="Arial"/>
          <w:color w:val="000000" w:themeColor="text1"/>
          <w:sz w:val="24"/>
          <w:szCs w:val="24"/>
        </w:rPr>
        <w:t xml:space="preserve">New York University Child Study Center, </w:t>
      </w:r>
      <w:r w:rsidRPr="00125F5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New York, </w:t>
      </w:r>
      <w:r w:rsidRPr="00125F54">
        <w:rPr>
          <w:rFonts w:ascii="Arial" w:hAnsi="Arial" w:cs="Arial"/>
          <w:color w:val="000000" w:themeColor="text1"/>
          <w:sz w:val="24"/>
          <w:szCs w:val="24"/>
        </w:rPr>
        <w:t>NY, USA</w:t>
      </w:r>
    </w:p>
    <w:p w14:paraId="315DC1E7" w14:textId="77777777" w:rsidR="00125F54" w:rsidRPr="00125F54" w:rsidRDefault="00125F54" w:rsidP="00125F54">
      <w:pPr>
        <w:rPr>
          <w:rFonts w:ascii="Arial" w:hAnsi="Arial" w:cs="Arial"/>
          <w:color w:val="000000" w:themeColor="text1"/>
        </w:rPr>
      </w:pPr>
      <w:proofErr w:type="gramStart"/>
      <w:r w:rsidRPr="00125F54">
        <w:rPr>
          <w:rFonts w:ascii="Arial" w:hAnsi="Arial" w:cs="Arial"/>
          <w:color w:val="000000" w:themeColor="text1"/>
          <w:vertAlign w:val="superscript"/>
        </w:rPr>
        <w:t xml:space="preserve">5 </w:t>
      </w:r>
      <w:r w:rsidRPr="00125F54">
        <w:rPr>
          <w:rFonts w:ascii="Arial" w:hAnsi="Arial" w:cs="Arial"/>
          <w:color w:val="000000" w:themeColor="text1"/>
          <w:shd w:val="clear" w:color="auto" w:fill="FFFFFF"/>
        </w:rPr>
        <w:t xml:space="preserve"> Division</w:t>
      </w:r>
      <w:proofErr w:type="gramEnd"/>
      <w:r w:rsidRPr="00125F54">
        <w:rPr>
          <w:rFonts w:ascii="Arial" w:hAnsi="Arial" w:cs="Arial"/>
          <w:color w:val="000000" w:themeColor="text1"/>
          <w:shd w:val="clear" w:color="auto" w:fill="FFFFFF"/>
        </w:rPr>
        <w:t xml:space="preserve"> of Psychiatry and Applied Psychology, School of Medicine University of Nottingham UK, NIHR MindTech Mental Health MedTech Cooperative &amp; Centre for ADHD and Neurodevelopmental Disorders Across the Lifespan CANDAL, Institute of Mental Health, University of Nottingham, UK</w:t>
      </w:r>
    </w:p>
    <w:p w14:paraId="255344B8" w14:textId="7E1C0C43" w:rsidR="00125F54" w:rsidRPr="00125F54" w:rsidRDefault="00125F54" w:rsidP="00125F54">
      <w:pPr>
        <w:rPr>
          <w:rFonts w:ascii="Arial" w:hAnsi="Arial" w:cs="Arial"/>
          <w:color w:val="000000" w:themeColor="text1"/>
          <w:shd w:val="clear" w:color="auto" w:fill="FFFFFF"/>
        </w:rPr>
      </w:pPr>
      <w:r w:rsidRPr="00125F54">
        <w:rPr>
          <w:rFonts w:ascii="Arial" w:hAnsi="Arial" w:cs="Arial"/>
          <w:color w:val="000000" w:themeColor="text1"/>
          <w:vertAlign w:val="superscript"/>
        </w:rPr>
        <w:t>6</w:t>
      </w:r>
      <w:r w:rsidRPr="00125F54">
        <w:rPr>
          <w:rFonts w:ascii="Arial" w:hAnsi="Arial" w:cs="Arial"/>
          <w:color w:val="000000" w:themeColor="text1"/>
        </w:rPr>
        <w:t xml:space="preserve"> </w:t>
      </w:r>
      <w:r w:rsidRPr="00125F54">
        <w:rPr>
          <w:rFonts w:ascii="Arial" w:hAnsi="Arial" w:cs="Arial"/>
          <w:color w:val="000000" w:themeColor="text1"/>
          <w:shd w:val="clear" w:color="auto" w:fill="FFFFFF"/>
        </w:rPr>
        <w:t>Faculty of Medicine, Dentistry and Health Sciences, University of Melbourne, Australia; Murdoch Children's Research Institute, Melbourne, Australia; Royal Children's Hospital, Melbourne, Australia</w:t>
      </w:r>
    </w:p>
    <w:p w14:paraId="00EF1F5C" w14:textId="77777777" w:rsidR="00125F54" w:rsidRPr="00125F54" w:rsidRDefault="00125F54" w:rsidP="00125F54">
      <w:pPr>
        <w:rPr>
          <w:rFonts w:ascii="Arial" w:hAnsi="Arial" w:cs="Arial"/>
          <w:color w:val="000000" w:themeColor="text1"/>
        </w:rPr>
      </w:pPr>
      <w:r w:rsidRPr="00125F54">
        <w:rPr>
          <w:rFonts w:ascii="Arial" w:hAnsi="Arial" w:cs="Arial"/>
          <w:color w:val="000000" w:themeColor="text1"/>
          <w:shd w:val="clear" w:color="auto" w:fill="FFFFFF"/>
        </w:rPr>
        <w:t>7 Department of Child &amp; Adolescent Psychiatry, Institute of Psychiatry, Psychology &amp; Neuroscience, King’s College London, UK.</w:t>
      </w:r>
    </w:p>
    <w:p w14:paraId="62C1D37C" w14:textId="77777777" w:rsidR="004E7474" w:rsidRPr="00125F54" w:rsidRDefault="004E7474" w:rsidP="0005757C">
      <w:pPr>
        <w:spacing w:line="480" w:lineRule="auto"/>
        <w:rPr>
          <w:rFonts w:ascii="Arial" w:hAnsi="Arial" w:cs="Arial"/>
          <w:b/>
        </w:rPr>
      </w:pPr>
    </w:p>
    <w:p w14:paraId="40DB14FD" w14:textId="77777777" w:rsidR="004E7474" w:rsidRPr="00125F54" w:rsidRDefault="004E7474" w:rsidP="0005757C">
      <w:pPr>
        <w:spacing w:line="480" w:lineRule="auto"/>
        <w:rPr>
          <w:rFonts w:ascii="Arial" w:hAnsi="Arial" w:cs="Arial"/>
          <w:b/>
        </w:rPr>
      </w:pPr>
    </w:p>
    <w:p w14:paraId="24FA8860" w14:textId="77777777" w:rsidR="00933262" w:rsidRPr="00125F54" w:rsidRDefault="00933262" w:rsidP="0005757C">
      <w:pPr>
        <w:spacing w:line="480" w:lineRule="auto"/>
        <w:rPr>
          <w:rFonts w:ascii="Arial" w:hAnsi="Arial" w:cs="Arial"/>
        </w:rPr>
      </w:pPr>
    </w:p>
    <w:p w14:paraId="22F674FE" w14:textId="77777777" w:rsidR="00055DDA" w:rsidRPr="00011905" w:rsidRDefault="00055DDA" w:rsidP="00055DDA">
      <w:pPr>
        <w:spacing w:line="480" w:lineRule="auto"/>
        <w:rPr>
          <w:rFonts w:ascii="Arial" w:hAnsi="Arial" w:cs="Arial"/>
          <w:b/>
          <w:lang w:val="en-US"/>
        </w:rPr>
      </w:pPr>
      <w:r w:rsidRPr="00011905">
        <w:rPr>
          <w:rFonts w:ascii="Arial" w:hAnsi="Arial" w:cs="Arial"/>
          <w:b/>
          <w:lang w:val="en-US"/>
        </w:rPr>
        <w:t xml:space="preserve">Address correspondence to: </w:t>
      </w:r>
    </w:p>
    <w:p w14:paraId="63F30019" w14:textId="77777777" w:rsidR="00055DDA" w:rsidRPr="00011905" w:rsidRDefault="00055DDA" w:rsidP="00055DD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Professor Samuele Cortese, C</w:t>
      </w:r>
      <w:r w:rsidRPr="00011905">
        <w:rPr>
          <w:rFonts w:ascii="Arial" w:hAnsi="Arial" w:cs="Arial"/>
        </w:rPr>
        <w:t xml:space="preserve">entre for Innovation in Mental Health, School of Psychology, Faculty of Environmental and Life Sciences, </w:t>
      </w:r>
      <w:r w:rsidRPr="00011905">
        <w:rPr>
          <w:rFonts w:ascii="Arial" w:hAnsi="Arial" w:cs="Arial"/>
          <w:shd w:val="clear" w:color="auto" w:fill="FFFFFF"/>
        </w:rPr>
        <w:t>University of Southampton</w:t>
      </w:r>
      <w:r w:rsidRPr="00011905">
        <w:rPr>
          <w:rFonts w:ascii="Arial" w:eastAsia="MS Minchofalt" w:hAnsi="Arial" w:cs="Arial"/>
        </w:rPr>
        <w:t>, Highfield Campus, Building 44</w:t>
      </w:r>
      <w:r w:rsidRPr="00011905">
        <w:rPr>
          <w:rFonts w:ascii="Arial" w:hAnsi="Arial" w:cs="Arial"/>
        </w:rPr>
        <w:t xml:space="preserve">, Southampton, </w:t>
      </w:r>
      <w:r w:rsidRPr="00011905">
        <w:rPr>
          <w:rFonts w:ascii="Arial" w:eastAsia="MS Minchofalt" w:hAnsi="Arial" w:cs="Arial"/>
        </w:rPr>
        <w:t>SO17 1BJ,</w:t>
      </w:r>
      <w:r w:rsidRPr="00011905">
        <w:rPr>
          <w:rFonts w:ascii="Arial" w:hAnsi="Arial" w:cs="Arial"/>
        </w:rPr>
        <w:t xml:space="preserve"> UK, </w:t>
      </w:r>
      <w:r w:rsidRPr="00011905">
        <w:rPr>
          <w:rFonts w:ascii="Arial" w:hAnsi="Arial" w:cs="Arial"/>
          <w:lang w:val="fr-FR"/>
        </w:rPr>
        <w:t>Phone: +44 (0) 2380599645</w:t>
      </w:r>
      <w:r w:rsidRPr="00011905">
        <w:rPr>
          <w:rFonts w:ascii="Arial" w:hAnsi="Arial" w:cs="Arial"/>
        </w:rPr>
        <w:t xml:space="preserve">, </w:t>
      </w:r>
      <w:r w:rsidRPr="00011905">
        <w:rPr>
          <w:rFonts w:ascii="Arial" w:hAnsi="Arial" w:cs="Arial"/>
          <w:lang w:val="fr-FR"/>
        </w:rPr>
        <w:t>E-mail: samuele.cortese@soton.ac.uk</w:t>
      </w:r>
    </w:p>
    <w:p w14:paraId="086B1071" w14:textId="77777777" w:rsidR="00125F54" w:rsidRPr="00125F54" w:rsidRDefault="00125F54" w:rsidP="0005757C">
      <w:pPr>
        <w:spacing w:line="480" w:lineRule="auto"/>
        <w:rPr>
          <w:rFonts w:ascii="Arial" w:hAnsi="Arial" w:cs="Arial"/>
        </w:rPr>
      </w:pPr>
    </w:p>
    <w:p w14:paraId="6F71F200" w14:textId="77777777" w:rsidR="00125F54" w:rsidRPr="00125F54" w:rsidRDefault="00125F54" w:rsidP="0005757C">
      <w:pPr>
        <w:spacing w:line="480" w:lineRule="auto"/>
        <w:rPr>
          <w:rFonts w:ascii="Arial" w:hAnsi="Arial" w:cs="Arial"/>
        </w:rPr>
      </w:pPr>
    </w:p>
    <w:p w14:paraId="6A59E875" w14:textId="6BFD6BDB" w:rsidR="004576A7" w:rsidRPr="006B5CF2" w:rsidRDefault="004576A7" w:rsidP="0005757C">
      <w:pPr>
        <w:spacing w:line="480" w:lineRule="auto"/>
        <w:rPr>
          <w:rFonts w:ascii="Arial" w:hAnsi="Arial" w:cs="Arial"/>
        </w:rPr>
      </w:pPr>
      <w:r w:rsidRPr="00125F54">
        <w:rPr>
          <w:rFonts w:ascii="Arial" w:hAnsi="Arial" w:cs="Arial"/>
        </w:rPr>
        <w:lastRenderedPageBreak/>
        <w:t>The present addendum</w:t>
      </w:r>
      <w:r w:rsidR="0005757C" w:rsidRPr="00125F54">
        <w:rPr>
          <w:rFonts w:ascii="Arial" w:hAnsi="Arial" w:cs="Arial"/>
        </w:rPr>
        <w:t xml:space="preserve"> to Cortese et al.</w:t>
      </w:r>
      <w:r w:rsidR="0005757C" w:rsidRPr="00125F54">
        <w:rPr>
          <w:rFonts w:ascii="Arial" w:hAnsi="Arial" w:cs="Arial"/>
          <w:vertAlign w:val="superscript"/>
        </w:rPr>
        <w:t>1</w:t>
      </w:r>
      <w:r w:rsidR="0005757C" w:rsidRPr="00125F54">
        <w:rPr>
          <w:rFonts w:ascii="Arial" w:hAnsi="Arial" w:cs="Arial"/>
        </w:rPr>
        <w:t xml:space="preserve"> </w:t>
      </w:r>
      <w:r w:rsidRPr="00125F54">
        <w:rPr>
          <w:rFonts w:ascii="Arial" w:hAnsi="Arial" w:cs="Arial"/>
        </w:rPr>
        <w:t xml:space="preserve">provides additional guidance </w:t>
      </w:r>
      <w:r w:rsidR="00666758" w:rsidRPr="00125F54">
        <w:rPr>
          <w:rFonts w:ascii="Arial" w:hAnsi="Arial" w:cs="Arial"/>
        </w:rPr>
        <w:t>from the European ADHD Guidelines Group (EAGG)</w:t>
      </w:r>
      <w:r w:rsidR="001B3718">
        <w:rPr>
          <w:rFonts w:ascii="Arial" w:hAnsi="Arial" w:cs="Arial"/>
        </w:rPr>
        <w:t xml:space="preserve"> </w:t>
      </w:r>
      <w:r w:rsidR="00666758" w:rsidRPr="00125F54">
        <w:rPr>
          <w:rFonts w:ascii="Arial" w:hAnsi="Arial" w:cs="Arial"/>
        </w:rPr>
        <w:t xml:space="preserve">on starting </w:t>
      </w:r>
      <w:r w:rsidR="003F7C92" w:rsidRPr="00125F54">
        <w:rPr>
          <w:rFonts w:ascii="Arial" w:hAnsi="Arial" w:cs="Arial"/>
        </w:rPr>
        <w:t>ADHD medications</w:t>
      </w:r>
      <w:r w:rsidR="005C2130" w:rsidRPr="00125F54">
        <w:rPr>
          <w:rFonts w:ascii="Arial" w:hAnsi="Arial" w:cs="Arial"/>
        </w:rPr>
        <w:t xml:space="preserve"> (more specifically: psychostimulants and atomoxetine), </w:t>
      </w:r>
      <w:r w:rsidR="008F2C71" w:rsidRPr="00125F54">
        <w:rPr>
          <w:rFonts w:ascii="Arial" w:hAnsi="Arial" w:cs="Arial"/>
        </w:rPr>
        <w:t>w</w:t>
      </w:r>
      <w:r w:rsidR="005C2130" w:rsidRPr="00125F54">
        <w:rPr>
          <w:rFonts w:ascii="Arial" w:hAnsi="Arial" w:cs="Arial"/>
        </w:rPr>
        <w:t>here this is deemed appropriate,</w:t>
      </w:r>
      <w:r w:rsidR="008F2C71" w:rsidRPr="00125F54">
        <w:rPr>
          <w:rFonts w:ascii="Arial" w:hAnsi="Arial" w:cs="Arial"/>
        </w:rPr>
        <w:t xml:space="preserve"> </w:t>
      </w:r>
      <w:r w:rsidR="00666758" w:rsidRPr="00125F54">
        <w:rPr>
          <w:rFonts w:ascii="Arial" w:hAnsi="Arial" w:cs="Arial"/>
        </w:rPr>
        <w:t xml:space="preserve">in patients with ADHD who </w:t>
      </w:r>
      <w:r w:rsidR="008F2C71" w:rsidRPr="00125F54">
        <w:rPr>
          <w:rFonts w:ascii="Arial" w:hAnsi="Arial" w:cs="Arial"/>
        </w:rPr>
        <w:t xml:space="preserve">have not had </w:t>
      </w:r>
      <w:r w:rsidR="00666758" w:rsidRPr="00125F54">
        <w:rPr>
          <w:rFonts w:ascii="Arial" w:hAnsi="Arial" w:cs="Arial"/>
        </w:rPr>
        <w:t>a</w:t>
      </w:r>
      <w:r w:rsidR="006B5CF2">
        <w:rPr>
          <w:rFonts w:ascii="Arial" w:hAnsi="Arial" w:cs="Arial"/>
        </w:rPr>
        <w:t xml:space="preserve"> </w:t>
      </w:r>
      <w:r w:rsidR="006B5CF2" w:rsidRPr="006B5CF2">
        <w:rPr>
          <w:rFonts w:ascii="Arial" w:hAnsi="Arial" w:cs="Arial"/>
        </w:rPr>
        <w:t xml:space="preserve">baseline, face-to-face cardiovascular assessment before the Covid-19 crisis.  </w:t>
      </w:r>
      <w:r w:rsidR="00666758" w:rsidRPr="006B5CF2">
        <w:rPr>
          <w:rFonts w:ascii="Arial" w:hAnsi="Arial" w:cs="Arial"/>
        </w:rPr>
        <w:t xml:space="preserve"> </w:t>
      </w:r>
    </w:p>
    <w:p w14:paraId="0EB8C203" w14:textId="1A22E3DA" w:rsidR="00B422D1" w:rsidRPr="00125F54" w:rsidRDefault="00273C43" w:rsidP="0005757C">
      <w:pPr>
        <w:spacing w:line="480" w:lineRule="auto"/>
        <w:rPr>
          <w:rFonts w:ascii="Arial" w:hAnsi="Arial" w:cs="Arial"/>
        </w:rPr>
      </w:pPr>
      <w:r w:rsidRPr="00125F54">
        <w:rPr>
          <w:rFonts w:ascii="Arial" w:hAnsi="Arial" w:cs="Arial"/>
        </w:rPr>
        <w:t xml:space="preserve">The EAGG deems it appropriate, in terms of </w:t>
      </w:r>
      <w:r w:rsidR="008F2C71" w:rsidRPr="00125F54">
        <w:rPr>
          <w:rFonts w:ascii="Arial" w:hAnsi="Arial" w:cs="Arial"/>
        </w:rPr>
        <w:t xml:space="preserve">the </w:t>
      </w:r>
      <w:r w:rsidRPr="00125F54">
        <w:rPr>
          <w:rFonts w:ascii="Arial" w:hAnsi="Arial" w:cs="Arial"/>
        </w:rPr>
        <w:t>risk</w:t>
      </w:r>
      <w:r w:rsidR="00A37D9D" w:rsidRPr="00125F54">
        <w:rPr>
          <w:rFonts w:ascii="Arial" w:hAnsi="Arial" w:cs="Arial"/>
        </w:rPr>
        <w:t xml:space="preserve">/benefit </w:t>
      </w:r>
      <w:r w:rsidR="008F2C71" w:rsidRPr="00125F54">
        <w:rPr>
          <w:rFonts w:ascii="Arial" w:hAnsi="Arial" w:cs="Arial"/>
        </w:rPr>
        <w:t>ratio</w:t>
      </w:r>
      <w:r w:rsidRPr="00125F54">
        <w:rPr>
          <w:rFonts w:ascii="Arial" w:hAnsi="Arial" w:cs="Arial"/>
        </w:rPr>
        <w:t xml:space="preserve">, to </w:t>
      </w:r>
      <w:r w:rsidR="00920C4B" w:rsidRPr="00125F54">
        <w:rPr>
          <w:rFonts w:ascii="Arial" w:hAnsi="Arial" w:cs="Arial"/>
        </w:rPr>
        <w:t xml:space="preserve">remotely </w:t>
      </w:r>
      <w:r w:rsidRPr="00125F54">
        <w:rPr>
          <w:rFonts w:ascii="Arial" w:hAnsi="Arial" w:cs="Arial"/>
        </w:rPr>
        <w:t xml:space="preserve">start a pharmacological treatment </w:t>
      </w:r>
      <w:r w:rsidR="006D3BCD" w:rsidRPr="00125F54">
        <w:rPr>
          <w:rFonts w:ascii="Arial" w:hAnsi="Arial" w:cs="Arial"/>
        </w:rPr>
        <w:t>if</w:t>
      </w:r>
      <w:r w:rsidRPr="00125F54">
        <w:rPr>
          <w:rFonts w:ascii="Arial" w:hAnsi="Arial" w:cs="Arial"/>
        </w:rPr>
        <w:t xml:space="preserve"> all the following conditions are satisfied: </w:t>
      </w:r>
    </w:p>
    <w:p w14:paraId="1559D0F6" w14:textId="77777777" w:rsidR="0005757C" w:rsidRPr="00125F54" w:rsidRDefault="0005757C" w:rsidP="0005757C">
      <w:pPr>
        <w:spacing w:line="480" w:lineRule="auto"/>
        <w:rPr>
          <w:rFonts w:ascii="Arial" w:hAnsi="Arial" w:cs="Arial"/>
        </w:rPr>
      </w:pPr>
    </w:p>
    <w:p w14:paraId="40ABB3BB" w14:textId="77777777" w:rsidR="003F7C92" w:rsidRPr="00125F54" w:rsidRDefault="00A37D9D" w:rsidP="0005757C">
      <w:pPr>
        <w:pStyle w:val="ListParagraph"/>
        <w:numPr>
          <w:ilvl w:val="0"/>
          <w:numId w:val="2"/>
        </w:numPr>
        <w:shd w:val="clear" w:color="auto" w:fill="FFFFFF"/>
        <w:spacing w:line="480" w:lineRule="auto"/>
        <w:ind w:left="0" w:hanging="284"/>
        <w:rPr>
          <w:rFonts w:ascii="Arial" w:eastAsia="Times New Roman" w:hAnsi="Arial" w:cs="Arial"/>
          <w:color w:val="222222"/>
        </w:rPr>
      </w:pPr>
      <w:r w:rsidRPr="00125F54">
        <w:rPr>
          <w:rFonts w:ascii="Arial" w:hAnsi="Arial" w:cs="Arial"/>
        </w:rPr>
        <w:t xml:space="preserve">Personal history of the patient: </w:t>
      </w:r>
      <w:r w:rsidR="00B422D1" w:rsidRPr="00125F54">
        <w:rPr>
          <w:rFonts w:ascii="Arial" w:hAnsi="Arial" w:cs="Arial"/>
        </w:rPr>
        <w:t xml:space="preserve">The patient does not have </w:t>
      </w:r>
      <w:r w:rsidR="006D3BCD" w:rsidRPr="00125F54">
        <w:rPr>
          <w:rFonts w:ascii="Arial" w:hAnsi="Arial" w:cs="Arial"/>
        </w:rPr>
        <w:t>any personal history of</w:t>
      </w:r>
      <w:r w:rsidR="003F7C92" w:rsidRPr="00125F54">
        <w:rPr>
          <w:rFonts w:ascii="Arial" w:hAnsi="Arial" w:cs="Arial"/>
        </w:rPr>
        <w:t>:</w:t>
      </w:r>
    </w:p>
    <w:p w14:paraId="743C04A2" w14:textId="72A7F977" w:rsidR="003F7C92" w:rsidRPr="00125F54" w:rsidRDefault="00AF1BEA" w:rsidP="003F7C92">
      <w:pPr>
        <w:pStyle w:val="ListParagraph"/>
        <w:numPr>
          <w:ilvl w:val="0"/>
          <w:numId w:val="4"/>
        </w:numPr>
        <w:shd w:val="clear" w:color="auto" w:fill="FFFFFF"/>
        <w:spacing w:line="480" w:lineRule="auto"/>
        <w:rPr>
          <w:rFonts w:ascii="Arial" w:eastAsia="Times New Roman" w:hAnsi="Arial" w:cs="Arial"/>
          <w:color w:val="222222"/>
        </w:rPr>
      </w:pPr>
      <w:r w:rsidRPr="00125F54">
        <w:rPr>
          <w:rFonts w:ascii="Arial" w:eastAsia="Times New Roman" w:hAnsi="Arial" w:cs="Arial"/>
          <w:color w:val="222222"/>
        </w:rPr>
        <w:t xml:space="preserve">shortness of breath </w:t>
      </w:r>
      <w:r w:rsidR="003F7C92" w:rsidRPr="00125F54">
        <w:rPr>
          <w:rFonts w:ascii="Arial" w:eastAsia="Times New Roman" w:hAnsi="Arial" w:cs="Arial"/>
          <w:color w:val="222222"/>
        </w:rPr>
        <w:t>on exertion compared with peers</w:t>
      </w:r>
      <w:r w:rsidR="00933262" w:rsidRPr="00125F54">
        <w:rPr>
          <w:rFonts w:ascii="Arial" w:eastAsia="Times New Roman" w:hAnsi="Arial" w:cs="Arial"/>
          <w:color w:val="222222"/>
        </w:rPr>
        <w:t>;</w:t>
      </w:r>
    </w:p>
    <w:p w14:paraId="60E6B9E4" w14:textId="311A3CCC" w:rsidR="003F7C92" w:rsidRPr="00125F54" w:rsidRDefault="00AF1BEA" w:rsidP="003F7C92">
      <w:pPr>
        <w:pStyle w:val="ListParagraph"/>
        <w:numPr>
          <w:ilvl w:val="0"/>
          <w:numId w:val="4"/>
        </w:numPr>
        <w:shd w:val="clear" w:color="auto" w:fill="FFFFFF"/>
        <w:spacing w:line="480" w:lineRule="auto"/>
        <w:rPr>
          <w:rFonts w:ascii="Arial" w:eastAsia="Times New Roman" w:hAnsi="Arial" w:cs="Arial"/>
          <w:color w:val="222222"/>
        </w:rPr>
      </w:pPr>
      <w:r w:rsidRPr="00125F54">
        <w:rPr>
          <w:rFonts w:ascii="Arial" w:eastAsia="Times New Roman" w:hAnsi="Arial" w:cs="Arial"/>
          <w:color w:val="222222"/>
        </w:rPr>
        <w:t xml:space="preserve"> fainting on exertion or</w:t>
      </w:r>
      <w:r w:rsidR="003F7C92" w:rsidRPr="00125F54">
        <w:rPr>
          <w:rFonts w:ascii="Arial" w:eastAsia="Times New Roman" w:hAnsi="Arial" w:cs="Arial"/>
          <w:color w:val="222222"/>
        </w:rPr>
        <w:t xml:space="preserve"> in response to fright or noise</w:t>
      </w:r>
      <w:r w:rsidR="00933262" w:rsidRPr="00125F54">
        <w:rPr>
          <w:rFonts w:ascii="Arial" w:eastAsia="Times New Roman" w:hAnsi="Arial" w:cs="Arial"/>
          <w:color w:val="222222"/>
        </w:rPr>
        <w:t>;</w:t>
      </w:r>
    </w:p>
    <w:p w14:paraId="03ED691F" w14:textId="569B2D9B" w:rsidR="003F7C92" w:rsidRPr="00125F54" w:rsidRDefault="00AF1BEA" w:rsidP="003F7C92">
      <w:pPr>
        <w:pStyle w:val="ListParagraph"/>
        <w:numPr>
          <w:ilvl w:val="0"/>
          <w:numId w:val="4"/>
        </w:numPr>
        <w:shd w:val="clear" w:color="auto" w:fill="FFFFFF"/>
        <w:spacing w:line="480" w:lineRule="auto"/>
        <w:rPr>
          <w:rFonts w:ascii="Arial" w:eastAsia="Times New Roman" w:hAnsi="Arial" w:cs="Arial"/>
          <w:color w:val="222222"/>
        </w:rPr>
      </w:pPr>
      <w:r w:rsidRPr="00125F54">
        <w:rPr>
          <w:rFonts w:ascii="Arial" w:eastAsia="Times New Roman" w:hAnsi="Arial" w:cs="Arial"/>
          <w:color w:val="222222"/>
        </w:rPr>
        <w:t xml:space="preserve"> </w:t>
      </w:r>
      <w:r w:rsidR="006D3BCD" w:rsidRPr="00125F54">
        <w:rPr>
          <w:rFonts w:ascii="Arial" w:eastAsia="Times New Roman" w:hAnsi="Arial" w:cs="Arial"/>
          <w:color w:val="222222"/>
        </w:rPr>
        <w:t>excessive palpitations, breathlessness or syncope (at rest or after exercise)</w:t>
      </w:r>
      <w:r w:rsidR="003F7C92" w:rsidRPr="00125F54">
        <w:rPr>
          <w:rFonts w:ascii="Arial" w:eastAsia="Times New Roman" w:hAnsi="Arial" w:cs="Arial"/>
          <w:color w:val="222222"/>
        </w:rPr>
        <w:t xml:space="preserve"> or</w:t>
      </w:r>
      <w:r w:rsidR="006D3BCD" w:rsidRPr="00125F54">
        <w:rPr>
          <w:rFonts w:ascii="Arial" w:eastAsia="Times New Roman" w:hAnsi="Arial" w:cs="Arial"/>
          <w:color w:val="222222"/>
        </w:rPr>
        <w:t xml:space="preserve"> </w:t>
      </w:r>
      <w:r w:rsidR="00A37D9D" w:rsidRPr="00125F54">
        <w:rPr>
          <w:rFonts w:ascii="Arial" w:eastAsia="Times New Roman" w:hAnsi="Arial" w:cs="Arial"/>
          <w:color w:val="222222"/>
        </w:rPr>
        <w:t>p</w:t>
      </w:r>
      <w:r w:rsidRPr="00125F54">
        <w:rPr>
          <w:rFonts w:ascii="Arial" w:eastAsia="Times New Roman" w:hAnsi="Arial" w:cs="Arial"/>
          <w:color w:val="222222"/>
        </w:rPr>
        <w:t>alpitations that are rapid, regular and start and stop suddenly (fleeting occasional bumps are usually ectopic</w:t>
      </w:r>
      <w:r w:rsidR="003F7C92" w:rsidRPr="00125F54">
        <w:rPr>
          <w:rFonts w:ascii="Arial" w:eastAsia="Times New Roman" w:hAnsi="Arial" w:cs="Arial"/>
          <w:color w:val="222222"/>
        </w:rPr>
        <w:t xml:space="preserve"> and do not need investigation)</w:t>
      </w:r>
      <w:r w:rsidR="00933262" w:rsidRPr="00125F54">
        <w:rPr>
          <w:rFonts w:ascii="Arial" w:eastAsia="Times New Roman" w:hAnsi="Arial" w:cs="Arial"/>
          <w:color w:val="222222"/>
        </w:rPr>
        <w:t>;</w:t>
      </w:r>
    </w:p>
    <w:p w14:paraId="003BFB93" w14:textId="1A3188CC" w:rsidR="00124A43" w:rsidRPr="00125F54" w:rsidRDefault="00AF1BEA" w:rsidP="00124A43">
      <w:pPr>
        <w:pStyle w:val="ListParagraph"/>
        <w:numPr>
          <w:ilvl w:val="0"/>
          <w:numId w:val="4"/>
        </w:numPr>
        <w:shd w:val="clear" w:color="auto" w:fill="FFFFFF"/>
        <w:spacing w:line="480" w:lineRule="auto"/>
        <w:rPr>
          <w:rFonts w:ascii="Arial" w:eastAsia="Times New Roman" w:hAnsi="Arial" w:cs="Arial"/>
          <w:color w:val="222222"/>
        </w:rPr>
      </w:pPr>
      <w:r w:rsidRPr="00125F54">
        <w:rPr>
          <w:rFonts w:ascii="Arial" w:eastAsia="Times New Roman" w:hAnsi="Arial" w:cs="Arial"/>
          <w:color w:val="222222"/>
        </w:rPr>
        <w:t>chest pain suggesting cardiac origin</w:t>
      </w:r>
      <w:r w:rsidR="00933262" w:rsidRPr="00125F54">
        <w:rPr>
          <w:rFonts w:ascii="Arial" w:eastAsia="Times New Roman" w:hAnsi="Arial" w:cs="Arial"/>
          <w:color w:val="222222"/>
        </w:rPr>
        <w:t>;</w:t>
      </w:r>
      <w:r w:rsidRPr="00125F54">
        <w:rPr>
          <w:rFonts w:ascii="Arial" w:eastAsia="Times New Roman" w:hAnsi="Arial" w:cs="Arial"/>
          <w:color w:val="222222"/>
        </w:rPr>
        <w:t xml:space="preserve"> </w:t>
      </w:r>
    </w:p>
    <w:p w14:paraId="21DC0202" w14:textId="14C200FE" w:rsidR="00124A43" w:rsidRPr="00125F54" w:rsidRDefault="006D3BCD" w:rsidP="00124A43">
      <w:pPr>
        <w:pStyle w:val="ListParagraph"/>
        <w:numPr>
          <w:ilvl w:val="0"/>
          <w:numId w:val="4"/>
        </w:numPr>
        <w:shd w:val="clear" w:color="auto" w:fill="FFFFFF"/>
        <w:spacing w:line="480" w:lineRule="auto"/>
        <w:rPr>
          <w:rFonts w:ascii="Arial" w:eastAsia="Times New Roman" w:hAnsi="Arial" w:cs="Arial"/>
          <w:color w:val="222222"/>
        </w:rPr>
      </w:pPr>
      <w:r w:rsidRPr="00125F54">
        <w:rPr>
          <w:rFonts w:ascii="Arial" w:eastAsia="Times New Roman" w:hAnsi="Arial" w:cs="Arial"/>
          <w:color w:val="222222"/>
        </w:rPr>
        <w:t xml:space="preserve">any previously documented </w:t>
      </w:r>
      <w:r w:rsidR="00737198" w:rsidRPr="00125F54">
        <w:rPr>
          <w:rFonts w:ascii="Arial" w:eastAsia="Times New Roman" w:hAnsi="Arial" w:cs="Arial"/>
          <w:color w:val="222222"/>
        </w:rPr>
        <w:t xml:space="preserve">hypertension, </w:t>
      </w:r>
      <w:r w:rsidR="00AF1BEA" w:rsidRPr="00125F54">
        <w:rPr>
          <w:rFonts w:ascii="Arial" w:eastAsia="Times New Roman" w:hAnsi="Arial" w:cs="Arial"/>
          <w:color w:val="222222"/>
          <w:shd w:val="clear" w:color="auto" w:fill="FFFFFF"/>
        </w:rPr>
        <w:t>congenital heart</w:t>
      </w:r>
      <w:r w:rsidR="00F05703" w:rsidRPr="00125F54">
        <w:rPr>
          <w:rFonts w:ascii="Arial" w:eastAsia="Times New Roman" w:hAnsi="Arial" w:cs="Arial"/>
          <w:color w:val="222222"/>
          <w:shd w:val="clear" w:color="auto" w:fill="FFFFFF"/>
        </w:rPr>
        <w:t xml:space="preserve"> abnormality</w:t>
      </w:r>
      <w:r w:rsidR="00AF1BEA" w:rsidRPr="00125F54">
        <w:rPr>
          <w:rFonts w:ascii="Arial" w:eastAsia="Times New Roman" w:hAnsi="Arial" w:cs="Arial"/>
          <w:color w:val="222222"/>
          <w:shd w:val="clear" w:color="auto" w:fill="FFFFFF"/>
        </w:rPr>
        <w:t xml:space="preserve">, previous cardiac surgery, </w:t>
      </w:r>
      <w:r w:rsidRPr="00125F54">
        <w:rPr>
          <w:rFonts w:ascii="Arial" w:eastAsia="Times New Roman" w:hAnsi="Arial" w:cs="Arial"/>
          <w:color w:val="222222"/>
          <w:shd w:val="clear" w:color="auto" w:fill="FFFFFF"/>
        </w:rPr>
        <w:t>or underlying condition that increases the risk of having a structural cardiac disorder (e.g., genetic conditions</w:t>
      </w:r>
      <w:r w:rsidR="0005757C" w:rsidRPr="00125F54">
        <w:rPr>
          <w:rFonts w:ascii="Arial" w:eastAsia="Times New Roman" w:hAnsi="Arial" w:cs="Arial"/>
          <w:color w:val="222222"/>
          <w:shd w:val="clear" w:color="auto" w:fill="FFFFFF"/>
        </w:rPr>
        <w:t xml:space="preserve"> or multi-systemic disorder</w:t>
      </w:r>
      <w:r w:rsidR="00F05703" w:rsidRPr="00125F54">
        <w:rPr>
          <w:rFonts w:ascii="Arial" w:eastAsia="Times New Roman" w:hAnsi="Arial" w:cs="Arial"/>
          <w:color w:val="222222"/>
          <w:shd w:val="clear" w:color="auto" w:fill="FFFFFF"/>
        </w:rPr>
        <w:t>s</w:t>
      </w:r>
      <w:r w:rsidRPr="00125F54">
        <w:rPr>
          <w:rFonts w:ascii="Arial" w:eastAsia="Times New Roman" w:hAnsi="Arial" w:cs="Arial"/>
          <w:color w:val="222222"/>
          <w:shd w:val="clear" w:color="auto" w:fill="FFFFFF"/>
        </w:rPr>
        <w:t>)</w:t>
      </w:r>
      <w:r w:rsidR="00124A43" w:rsidRPr="00125F54">
        <w:rPr>
          <w:rFonts w:ascii="Arial" w:eastAsia="Times New Roman" w:hAnsi="Arial" w:cs="Arial"/>
          <w:color w:val="222222"/>
          <w:shd w:val="clear" w:color="auto" w:fill="FFFFFF"/>
        </w:rPr>
        <w:t xml:space="preserve">. </w:t>
      </w:r>
      <w:r w:rsidR="00124A43" w:rsidRPr="00125F54">
        <w:rPr>
          <w:rFonts w:ascii="Arial" w:eastAsia="Times New Roman" w:hAnsi="Arial" w:cs="Arial"/>
          <w:color w:val="222222"/>
          <w:shd w:val="clear" w:color="auto" w:fill="FFFFFF"/>
          <w:vertAlign w:val="superscript"/>
        </w:rPr>
        <w:t>2</w:t>
      </w:r>
      <w:r w:rsidR="00C54CD5" w:rsidRPr="00125F5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</w:p>
    <w:p w14:paraId="21DCE422" w14:textId="0510EF5E" w:rsidR="00AF1BEA" w:rsidRPr="00125F54" w:rsidRDefault="00A37D9D" w:rsidP="000A2E3B">
      <w:pPr>
        <w:pStyle w:val="ListParagraph"/>
        <w:numPr>
          <w:ilvl w:val="0"/>
          <w:numId w:val="2"/>
        </w:numPr>
        <w:shd w:val="clear" w:color="auto" w:fill="FFFFFF"/>
        <w:spacing w:line="480" w:lineRule="auto"/>
        <w:ind w:left="0" w:hanging="284"/>
        <w:rPr>
          <w:rFonts w:ascii="Arial" w:eastAsia="Times New Roman" w:hAnsi="Arial" w:cs="Arial"/>
          <w:color w:val="222222"/>
        </w:rPr>
      </w:pPr>
      <w:r w:rsidRPr="00125F54">
        <w:rPr>
          <w:rFonts w:ascii="Arial" w:eastAsia="Times New Roman" w:hAnsi="Arial" w:cs="Arial"/>
          <w:color w:val="222222"/>
          <w:shd w:val="clear" w:color="auto" w:fill="FFFFFF"/>
        </w:rPr>
        <w:t xml:space="preserve">Family history: </w:t>
      </w:r>
      <w:r w:rsidR="00F67CED" w:rsidRPr="00125F54">
        <w:rPr>
          <w:rFonts w:ascii="Arial" w:eastAsia="Times New Roman" w:hAnsi="Arial" w:cs="Arial"/>
          <w:color w:val="222222"/>
          <w:shd w:val="clear" w:color="auto" w:fill="FFFFFF"/>
        </w:rPr>
        <w:t>There is no history of early (&lt;40 years) su</w:t>
      </w:r>
      <w:r w:rsidR="00AF1BEA" w:rsidRPr="00125F54">
        <w:rPr>
          <w:rFonts w:ascii="Arial" w:eastAsia="Times New Roman" w:hAnsi="Arial" w:cs="Arial"/>
          <w:color w:val="222222"/>
          <w:shd w:val="clear" w:color="auto" w:fill="FFFFFF"/>
        </w:rPr>
        <w:t>dden death in a first-</w:t>
      </w:r>
      <w:r w:rsidR="00F67CED" w:rsidRPr="00125F54">
        <w:rPr>
          <w:rFonts w:ascii="Arial" w:eastAsia="Times New Roman" w:hAnsi="Arial" w:cs="Arial"/>
          <w:color w:val="222222"/>
          <w:shd w:val="clear" w:color="auto" w:fill="FFFFFF"/>
        </w:rPr>
        <w:t>degree relative</w:t>
      </w:r>
      <w:r w:rsidR="00AF1BEA" w:rsidRPr="00125F54">
        <w:rPr>
          <w:rFonts w:ascii="Arial" w:eastAsia="Times New Roman" w:hAnsi="Arial" w:cs="Arial"/>
          <w:color w:val="222222"/>
          <w:shd w:val="clear" w:color="auto" w:fill="FFFFFF"/>
        </w:rPr>
        <w:t xml:space="preserve"> suggesting a cardiac disease</w:t>
      </w:r>
      <w:r w:rsidR="00933262" w:rsidRPr="00125F54">
        <w:rPr>
          <w:rFonts w:ascii="Arial" w:eastAsia="Times New Roman" w:hAnsi="Arial" w:cs="Arial"/>
          <w:color w:val="222222"/>
          <w:shd w:val="clear" w:color="auto" w:fill="FFFFFF"/>
        </w:rPr>
        <w:t>.</w:t>
      </w:r>
    </w:p>
    <w:p w14:paraId="09430501" w14:textId="0DC0A958" w:rsidR="006D3BCD" w:rsidRPr="00125F54" w:rsidRDefault="00A37D9D" w:rsidP="0005757C">
      <w:pPr>
        <w:pStyle w:val="ListParagraph"/>
        <w:numPr>
          <w:ilvl w:val="0"/>
          <w:numId w:val="2"/>
        </w:numPr>
        <w:shd w:val="clear" w:color="auto" w:fill="FFFFFF"/>
        <w:spacing w:line="480" w:lineRule="auto"/>
        <w:ind w:left="0" w:hanging="284"/>
        <w:rPr>
          <w:rFonts w:ascii="Arial" w:eastAsia="Times New Roman" w:hAnsi="Arial" w:cs="Arial"/>
          <w:color w:val="222222"/>
        </w:rPr>
      </w:pPr>
      <w:r w:rsidRPr="00125F54">
        <w:rPr>
          <w:rFonts w:ascii="Arial" w:eastAsia="Times New Roman" w:hAnsi="Arial" w:cs="Arial"/>
          <w:color w:val="222222"/>
          <w:shd w:val="clear" w:color="auto" w:fill="FFFFFF"/>
        </w:rPr>
        <w:t>Baseline monitoring before init</w:t>
      </w:r>
      <w:r w:rsidR="00F05703" w:rsidRPr="00125F54">
        <w:rPr>
          <w:rFonts w:ascii="Arial" w:eastAsia="Times New Roman" w:hAnsi="Arial" w:cs="Arial"/>
          <w:color w:val="222222"/>
          <w:shd w:val="clear" w:color="auto" w:fill="FFFFFF"/>
        </w:rPr>
        <w:t>i</w:t>
      </w:r>
      <w:r w:rsidRPr="00125F54">
        <w:rPr>
          <w:rFonts w:ascii="Arial" w:eastAsia="Times New Roman" w:hAnsi="Arial" w:cs="Arial"/>
          <w:color w:val="222222"/>
          <w:shd w:val="clear" w:color="auto" w:fill="FFFFFF"/>
        </w:rPr>
        <w:t xml:space="preserve">ation: </w:t>
      </w:r>
      <w:r w:rsidR="006D3BCD" w:rsidRPr="00125F54">
        <w:rPr>
          <w:rFonts w:ascii="Arial" w:eastAsia="Times New Roman" w:hAnsi="Arial" w:cs="Arial"/>
          <w:color w:val="222222"/>
          <w:shd w:val="clear" w:color="auto" w:fill="FFFFFF"/>
        </w:rPr>
        <w:t>Blood pressure and heart rate can be measured by a family member or another person</w:t>
      </w:r>
      <w:r w:rsidR="00C54CD5" w:rsidRPr="00125F54">
        <w:rPr>
          <w:rFonts w:ascii="Arial" w:eastAsia="Times New Roman" w:hAnsi="Arial" w:cs="Arial"/>
          <w:color w:val="222222"/>
          <w:shd w:val="clear" w:color="auto" w:fill="FFFFFF"/>
        </w:rPr>
        <w:t xml:space="preserve"> remotely (with telephonic assistance, if needed)</w:t>
      </w:r>
      <w:r w:rsidR="006D3BCD" w:rsidRPr="00125F54">
        <w:rPr>
          <w:rFonts w:ascii="Arial" w:eastAsia="Times New Roman" w:hAnsi="Arial" w:cs="Arial"/>
          <w:color w:val="222222"/>
          <w:shd w:val="clear" w:color="auto" w:fill="FFFFFF"/>
        </w:rPr>
        <w:t xml:space="preserve"> on three separate occasions, as detailed in Table 2 in the Appendix to </w:t>
      </w:r>
      <w:r w:rsidR="006D3BCD" w:rsidRPr="00125F54">
        <w:rPr>
          <w:rFonts w:ascii="Arial" w:hAnsi="Arial" w:cs="Arial"/>
        </w:rPr>
        <w:t>Cortese et al.</w:t>
      </w:r>
      <w:r w:rsidR="0005757C" w:rsidRPr="00125F54">
        <w:rPr>
          <w:rFonts w:ascii="Arial" w:hAnsi="Arial" w:cs="Arial"/>
        </w:rPr>
        <w:t xml:space="preserve"> </w:t>
      </w:r>
      <w:r w:rsidR="0005757C" w:rsidRPr="00125F54">
        <w:rPr>
          <w:rFonts w:ascii="Arial" w:hAnsi="Arial" w:cs="Arial"/>
          <w:vertAlign w:val="superscript"/>
        </w:rPr>
        <w:t>1</w:t>
      </w:r>
      <w:r w:rsidR="0005757C" w:rsidRPr="00125F54">
        <w:rPr>
          <w:rFonts w:ascii="Arial" w:hAnsi="Arial" w:cs="Arial"/>
        </w:rPr>
        <w:t xml:space="preserve"> </w:t>
      </w:r>
    </w:p>
    <w:p w14:paraId="4A018A17" w14:textId="77777777" w:rsidR="00737198" w:rsidRPr="00125F54" w:rsidRDefault="00737198" w:rsidP="0005757C">
      <w:pPr>
        <w:pStyle w:val="ListParagraph"/>
        <w:shd w:val="clear" w:color="auto" w:fill="FFFFFF"/>
        <w:spacing w:line="480" w:lineRule="auto"/>
        <w:ind w:left="0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59FC30EF" w14:textId="3FEBB693" w:rsidR="00737198" w:rsidRPr="00125F54" w:rsidRDefault="00737198" w:rsidP="0005757C">
      <w:pPr>
        <w:spacing w:line="480" w:lineRule="auto"/>
        <w:rPr>
          <w:rFonts w:ascii="Arial" w:eastAsia="Times New Roman" w:hAnsi="Arial" w:cs="Arial"/>
          <w:color w:val="222222"/>
          <w:shd w:val="clear" w:color="auto" w:fill="FFFFFF"/>
        </w:rPr>
      </w:pPr>
      <w:r w:rsidRPr="00125F54">
        <w:rPr>
          <w:rFonts w:ascii="Arial" w:eastAsia="Times New Roman" w:hAnsi="Arial" w:cs="Arial"/>
          <w:color w:val="222222"/>
          <w:shd w:val="clear" w:color="auto" w:fill="FFFFFF"/>
        </w:rPr>
        <w:t>If 1) or 2) are not satisfied, a referral to a cardiolog</w:t>
      </w:r>
      <w:r w:rsidR="008F2C71" w:rsidRPr="00125F54">
        <w:rPr>
          <w:rFonts w:ascii="Arial" w:eastAsia="Times New Roman" w:hAnsi="Arial" w:cs="Arial"/>
          <w:color w:val="222222"/>
          <w:shd w:val="clear" w:color="auto" w:fill="FFFFFF"/>
        </w:rPr>
        <w:t>ist</w:t>
      </w:r>
      <w:r w:rsidRPr="00125F54">
        <w:rPr>
          <w:rFonts w:ascii="Arial" w:eastAsia="Times New Roman" w:hAnsi="Arial" w:cs="Arial"/>
          <w:color w:val="222222"/>
          <w:shd w:val="clear" w:color="auto" w:fill="FFFFFF"/>
        </w:rPr>
        <w:t xml:space="preserve"> should be made before starting the pharmacological treatment. If only 3) is not satisfied, the prescriber will need to evaluate the risk/benefits of a face-to-face assessment in the context of the severity of ADHD symptoms, and impact on patient </w:t>
      </w:r>
      <w:r w:rsidR="006B563A" w:rsidRPr="00125F54">
        <w:rPr>
          <w:rFonts w:ascii="Arial" w:eastAsia="Times New Roman" w:hAnsi="Arial" w:cs="Arial"/>
          <w:color w:val="222222"/>
          <w:shd w:val="clear" w:color="auto" w:fill="FFFFFF"/>
        </w:rPr>
        <w:t xml:space="preserve">and the </w:t>
      </w:r>
      <w:r w:rsidRPr="00125F54">
        <w:rPr>
          <w:rFonts w:ascii="Arial" w:eastAsia="Times New Roman" w:hAnsi="Arial" w:cs="Arial"/>
          <w:color w:val="222222"/>
          <w:shd w:val="clear" w:color="auto" w:fill="FFFFFF"/>
        </w:rPr>
        <w:t>family.</w:t>
      </w:r>
    </w:p>
    <w:p w14:paraId="3AF23216" w14:textId="77777777" w:rsidR="00737198" w:rsidRPr="00125F54" w:rsidRDefault="00737198" w:rsidP="0005757C">
      <w:pPr>
        <w:spacing w:line="480" w:lineRule="auto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4B3B0803" w14:textId="7A864CA5" w:rsidR="0005757C" w:rsidRPr="00125F54" w:rsidRDefault="0005757C" w:rsidP="0005757C">
      <w:pPr>
        <w:pStyle w:val="NormalWeb"/>
        <w:spacing w:before="0" w:beforeAutospacing="0" w:after="0" w:afterAutospacing="0" w:line="480" w:lineRule="auto"/>
        <w:rPr>
          <w:rFonts w:ascii="Arial" w:hAnsi="Arial" w:cs="Arial"/>
        </w:rPr>
      </w:pPr>
      <w:r w:rsidRPr="00125F54">
        <w:rPr>
          <w:rFonts w:ascii="Arial" w:hAnsi="Arial" w:cs="Arial"/>
          <w:color w:val="222222"/>
          <w:shd w:val="clear" w:color="auto" w:fill="FFFFFF"/>
        </w:rPr>
        <w:t>As detailed in our previous</w:t>
      </w:r>
      <w:r w:rsidR="00933262" w:rsidRPr="00125F54">
        <w:rPr>
          <w:rFonts w:ascii="Arial" w:hAnsi="Arial" w:cs="Arial"/>
          <w:color w:val="222222"/>
          <w:shd w:val="clear" w:color="auto" w:fill="FFFFFF"/>
        </w:rPr>
        <w:t xml:space="preserve"> 2013 guidance (Cortese et al.</w:t>
      </w:r>
      <w:r w:rsidRPr="00125F5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54CD5" w:rsidRPr="00125F54">
        <w:rPr>
          <w:rFonts w:ascii="Arial" w:hAnsi="Arial" w:cs="Arial"/>
          <w:color w:val="222222"/>
          <w:shd w:val="clear" w:color="auto" w:fill="FFFFFF"/>
          <w:vertAlign w:val="superscript"/>
        </w:rPr>
        <w:t>3</w:t>
      </w:r>
      <w:r w:rsidR="00933262" w:rsidRPr="00125F54">
        <w:rPr>
          <w:rFonts w:ascii="Arial" w:hAnsi="Arial" w:cs="Arial"/>
          <w:color w:val="222222"/>
          <w:shd w:val="clear" w:color="auto" w:fill="FFFFFF"/>
        </w:rPr>
        <w:t>)</w:t>
      </w:r>
      <w:proofErr w:type="gramStart"/>
      <w:r w:rsidR="00933262" w:rsidRPr="00125F54"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125F54">
        <w:rPr>
          <w:rFonts w:ascii="Arial" w:hAnsi="Arial" w:cs="Arial"/>
          <w:color w:val="222222"/>
          <w:shd w:val="clear" w:color="auto" w:fill="FFFFFF"/>
        </w:rPr>
        <w:t>”</w:t>
      </w:r>
      <w:r w:rsidRPr="00125F54">
        <w:rPr>
          <w:rFonts w:ascii="Arial" w:hAnsi="Arial" w:cs="Arial"/>
        </w:rPr>
        <w:t>where</w:t>
      </w:r>
      <w:proofErr w:type="gramEnd"/>
      <w:r w:rsidRPr="00125F54">
        <w:rPr>
          <w:rFonts w:ascii="Arial" w:hAnsi="Arial" w:cs="Arial"/>
        </w:rPr>
        <w:t xml:space="preserve"> persistent tachycardia or a history suggestive of arrhythmia or familial risk is identified, it is appropriate to request a 24-hr ECG”, rather than a standard, 12-lead ECG.</w:t>
      </w:r>
    </w:p>
    <w:p w14:paraId="70379C19" w14:textId="77777777" w:rsidR="0005757C" w:rsidRPr="00125F54" w:rsidRDefault="0005757C" w:rsidP="0005757C">
      <w:pPr>
        <w:pStyle w:val="NormalWeb"/>
        <w:spacing w:before="0" w:beforeAutospacing="0" w:after="0" w:afterAutospacing="0" w:line="480" w:lineRule="auto"/>
        <w:rPr>
          <w:rFonts w:ascii="Arial" w:hAnsi="Arial" w:cs="Arial"/>
        </w:rPr>
      </w:pPr>
    </w:p>
    <w:p w14:paraId="31B2250A" w14:textId="5A502ACA" w:rsidR="0005757C" w:rsidRPr="00125F54" w:rsidRDefault="0005757C" w:rsidP="0005757C">
      <w:pPr>
        <w:pStyle w:val="NormalWeb"/>
        <w:spacing w:before="0" w:beforeAutospacing="0" w:after="0" w:afterAutospacing="0" w:line="480" w:lineRule="auto"/>
        <w:rPr>
          <w:rFonts w:ascii="Arial" w:hAnsi="Arial" w:cs="Arial"/>
        </w:rPr>
      </w:pPr>
      <w:r w:rsidRPr="00125F54">
        <w:rPr>
          <w:rFonts w:ascii="Arial" w:hAnsi="Arial" w:cs="Arial"/>
        </w:rPr>
        <w:t>The EAGG considers that, given the current circumstances, in the absence of risk factors reported in 1) and 2), a cardiac auscultation should not be mandatory before starting a medication for ADHD.</w:t>
      </w:r>
    </w:p>
    <w:p w14:paraId="0D374058" w14:textId="77777777" w:rsidR="00933262" w:rsidRPr="00125F54" w:rsidRDefault="00933262" w:rsidP="0005757C">
      <w:pPr>
        <w:pStyle w:val="NormalWeb"/>
        <w:spacing w:before="0" w:beforeAutospacing="0" w:after="0" w:afterAutospacing="0" w:line="480" w:lineRule="auto"/>
        <w:jc w:val="center"/>
        <w:rPr>
          <w:rFonts w:ascii="Arial" w:hAnsi="Arial" w:cs="Arial"/>
          <w:b/>
        </w:rPr>
      </w:pPr>
    </w:p>
    <w:p w14:paraId="1A43C8E7" w14:textId="30919FBC" w:rsidR="0005757C" w:rsidRPr="00125F54" w:rsidRDefault="0005757C" w:rsidP="0005757C">
      <w:pPr>
        <w:pStyle w:val="NormalWeb"/>
        <w:spacing w:before="0" w:beforeAutospacing="0" w:after="0" w:afterAutospacing="0" w:line="480" w:lineRule="auto"/>
        <w:jc w:val="center"/>
        <w:rPr>
          <w:rFonts w:ascii="Arial" w:hAnsi="Arial" w:cs="Arial"/>
          <w:b/>
        </w:rPr>
      </w:pPr>
      <w:r w:rsidRPr="00125F54">
        <w:rPr>
          <w:rFonts w:ascii="Arial" w:hAnsi="Arial" w:cs="Arial"/>
          <w:b/>
        </w:rPr>
        <w:t>References</w:t>
      </w:r>
    </w:p>
    <w:p w14:paraId="357EF858" w14:textId="2DE20BB1" w:rsidR="0005757C" w:rsidRPr="00125F54" w:rsidRDefault="0005757C" w:rsidP="00C54CD5">
      <w:pPr>
        <w:pStyle w:val="NormalWeb"/>
        <w:numPr>
          <w:ilvl w:val="0"/>
          <w:numId w:val="5"/>
        </w:numPr>
        <w:spacing w:before="0" w:beforeAutospacing="0" w:after="0" w:afterAutospacing="0" w:line="480" w:lineRule="auto"/>
        <w:rPr>
          <w:rFonts w:ascii="Arial" w:hAnsi="Arial" w:cs="Arial"/>
        </w:rPr>
      </w:pPr>
      <w:r w:rsidRPr="00125F54">
        <w:rPr>
          <w:rFonts w:ascii="Arial" w:hAnsi="Arial" w:cs="Arial"/>
        </w:rPr>
        <w:t xml:space="preserve">Cortese S, Asherson P, Sonuga-Barke E et al. ADHD management during the COVID-19 pandemic: guidance from the European ADHD Guidelines Group. </w:t>
      </w:r>
      <w:r w:rsidRPr="00125F54">
        <w:rPr>
          <w:rFonts w:ascii="Arial" w:hAnsi="Arial" w:cs="Arial"/>
          <w:i/>
        </w:rPr>
        <w:t>Lancet Child Adolesc Health</w:t>
      </w:r>
      <w:r w:rsidRPr="00125F54">
        <w:rPr>
          <w:rFonts w:ascii="Arial" w:hAnsi="Arial" w:cs="Arial"/>
        </w:rPr>
        <w:t>. 2020, doi: 10.1016/S2352-4642(20)30110-3.</w:t>
      </w:r>
    </w:p>
    <w:p w14:paraId="258DF34B" w14:textId="77777777" w:rsidR="00C54CD5" w:rsidRPr="00125F54" w:rsidRDefault="00C54CD5" w:rsidP="00C54CD5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</w:rPr>
      </w:pPr>
      <w:r w:rsidRPr="00125F54">
        <w:rPr>
          <w:rFonts w:ascii="Arial" w:hAnsi="Arial" w:cs="Arial"/>
          <w:noProof/>
        </w:rPr>
        <w:t>National Institute for Health and Care Excellence (NICE). Attention deficit hyperactivity disorder: diagnosis and management, NICE guideline [NG87].  Published 14 March 2018. Last update 13 September 2019 (</w:t>
      </w:r>
      <w:hyperlink r:id="rId5" w:history="1">
        <w:r w:rsidRPr="00125F54">
          <w:rPr>
            <w:rStyle w:val="Hyperlink"/>
            <w:rFonts w:ascii="Arial" w:hAnsi="Arial" w:cs="Arial"/>
          </w:rPr>
          <w:t>https://www.nice.org.uk/guidance/NG87</w:t>
        </w:r>
      </w:hyperlink>
      <w:r w:rsidRPr="00125F54">
        <w:rPr>
          <w:rFonts w:ascii="Arial" w:hAnsi="Arial" w:cs="Arial"/>
          <w:noProof/>
        </w:rPr>
        <w:t>)</w:t>
      </w:r>
    </w:p>
    <w:p w14:paraId="30FEAD68" w14:textId="3015CB81" w:rsidR="00273C43" w:rsidRPr="00125F54" w:rsidRDefault="0005757C" w:rsidP="00EA1276">
      <w:pPr>
        <w:pStyle w:val="NormalWeb"/>
        <w:numPr>
          <w:ilvl w:val="0"/>
          <w:numId w:val="5"/>
        </w:numPr>
        <w:spacing w:before="0" w:beforeAutospacing="0" w:after="0" w:afterAutospacing="0" w:line="480" w:lineRule="auto"/>
        <w:rPr>
          <w:rFonts w:ascii="Arial" w:hAnsi="Arial" w:cs="Arial"/>
        </w:rPr>
      </w:pPr>
      <w:r w:rsidRPr="00125F54">
        <w:rPr>
          <w:rFonts w:ascii="Arial" w:hAnsi="Arial" w:cs="Arial"/>
        </w:rPr>
        <w:t xml:space="preserve">Cortese S, Holtmann M, Banaschewski T et al. Practitioner review: current best practice in the management of adverse events during treatment with </w:t>
      </w:r>
      <w:r w:rsidRPr="00125F54">
        <w:rPr>
          <w:rFonts w:ascii="Arial" w:hAnsi="Arial" w:cs="Arial"/>
        </w:rPr>
        <w:lastRenderedPageBreak/>
        <w:t xml:space="preserve">ADHD medications in children and adolescents. </w:t>
      </w:r>
      <w:r w:rsidRPr="00125F54">
        <w:rPr>
          <w:rFonts w:ascii="Arial" w:hAnsi="Arial" w:cs="Arial"/>
          <w:i/>
        </w:rPr>
        <w:t>J Child Psychol Psychiatry</w:t>
      </w:r>
      <w:r w:rsidRPr="00125F54">
        <w:rPr>
          <w:rFonts w:ascii="Arial" w:hAnsi="Arial" w:cs="Arial"/>
        </w:rPr>
        <w:t>. 2013;54(3):227-46.</w:t>
      </w:r>
      <w:r w:rsidR="00C54CD5" w:rsidRPr="00125F54">
        <w:rPr>
          <w:rFonts w:ascii="Arial" w:hAnsi="Arial" w:cs="Arial"/>
          <w:color w:val="222222"/>
        </w:rPr>
        <w:t xml:space="preserve"> </w:t>
      </w:r>
    </w:p>
    <w:sectPr w:rsidR="00273C43" w:rsidRPr="00125F54" w:rsidSect="00DC1D3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falt">
    <w:altName w:val="Arial Unicode MS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86636"/>
    <w:multiLevelType w:val="multilevel"/>
    <w:tmpl w:val="0B50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F414EA"/>
    <w:multiLevelType w:val="hybridMultilevel"/>
    <w:tmpl w:val="935CD612"/>
    <w:lvl w:ilvl="0" w:tplc="11541C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16531"/>
    <w:multiLevelType w:val="hybridMultilevel"/>
    <w:tmpl w:val="74B6EBEA"/>
    <w:lvl w:ilvl="0" w:tplc="5662843C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85325"/>
    <w:multiLevelType w:val="hybridMultilevel"/>
    <w:tmpl w:val="BA560636"/>
    <w:lvl w:ilvl="0" w:tplc="1686754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66AEE"/>
    <w:multiLevelType w:val="hybridMultilevel"/>
    <w:tmpl w:val="EFD2C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A7"/>
    <w:rsid w:val="00007F83"/>
    <w:rsid w:val="00020B74"/>
    <w:rsid w:val="0002788C"/>
    <w:rsid w:val="0003261F"/>
    <w:rsid w:val="00040253"/>
    <w:rsid w:val="00040AFA"/>
    <w:rsid w:val="00055DDA"/>
    <w:rsid w:val="0005757C"/>
    <w:rsid w:val="00076F80"/>
    <w:rsid w:val="000B05A0"/>
    <w:rsid w:val="000F1FCB"/>
    <w:rsid w:val="001225B7"/>
    <w:rsid w:val="00124A43"/>
    <w:rsid w:val="00125F54"/>
    <w:rsid w:val="0013430E"/>
    <w:rsid w:val="00136B26"/>
    <w:rsid w:val="00147313"/>
    <w:rsid w:val="00151C4E"/>
    <w:rsid w:val="00163D46"/>
    <w:rsid w:val="00171C61"/>
    <w:rsid w:val="001A6F5F"/>
    <w:rsid w:val="001B3718"/>
    <w:rsid w:val="001B70FC"/>
    <w:rsid w:val="001C297A"/>
    <w:rsid w:val="001D1F6D"/>
    <w:rsid w:val="00201B7E"/>
    <w:rsid w:val="00211E77"/>
    <w:rsid w:val="00250A8E"/>
    <w:rsid w:val="00256C00"/>
    <w:rsid w:val="00273C43"/>
    <w:rsid w:val="002954A8"/>
    <w:rsid w:val="002964FC"/>
    <w:rsid w:val="002A3C8F"/>
    <w:rsid w:val="002A551D"/>
    <w:rsid w:val="002C2F1E"/>
    <w:rsid w:val="002D30C9"/>
    <w:rsid w:val="002D4DEA"/>
    <w:rsid w:val="00315B73"/>
    <w:rsid w:val="00363E80"/>
    <w:rsid w:val="003812E0"/>
    <w:rsid w:val="003C38F7"/>
    <w:rsid w:val="003D15C4"/>
    <w:rsid w:val="003E3D8D"/>
    <w:rsid w:val="003F5D1D"/>
    <w:rsid w:val="003F733A"/>
    <w:rsid w:val="003F7C92"/>
    <w:rsid w:val="00401912"/>
    <w:rsid w:val="00404764"/>
    <w:rsid w:val="00436D90"/>
    <w:rsid w:val="004576A7"/>
    <w:rsid w:val="00461C73"/>
    <w:rsid w:val="004731F9"/>
    <w:rsid w:val="004C5BE8"/>
    <w:rsid w:val="004E7474"/>
    <w:rsid w:val="004F1A67"/>
    <w:rsid w:val="004F5B36"/>
    <w:rsid w:val="00522D10"/>
    <w:rsid w:val="00523E90"/>
    <w:rsid w:val="0053025E"/>
    <w:rsid w:val="005332A6"/>
    <w:rsid w:val="00541E85"/>
    <w:rsid w:val="00560D57"/>
    <w:rsid w:val="00562F70"/>
    <w:rsid w:val="00594167"/>
    <w:rsid w:val="00594D0C"/>
    <w:rsid w:val="005C2130"/>
    <w:rsid w:val="005D0641"/>
    <w:rsid w:val="005E27AB"/>
    <w:rsid w:val="005F5A55"/>
    <w:rsid w:val="0060037F"/>
    <w:rsid w:val="006120D5"/>
    <w:rsid w:val="0062082D"/>
    <w:rsid w:val="00624A10"/>
    <w:rsid w:val="006341F3"/>
    <w:rsid w:val="006420DB"/>
    <w:rsid w:val="0064792D"/>
    <w:rsid w:val="00651011"/>
    <w:rsid w:val="00662DD1"/>
    <w:rsid w:val="00666758"/>
    <w:rsid w:val="006710F3"/>
    <w:rsid w:val="00692C27"/>
    <w:rsid w:val="00693409"/>
    <w:rsid w:val="0069545D"/>
    <w:rsid w:val="006A5C0F"/>
    <w:rsid w:val="006B563A"/>
    <w:rsid w:val="006B5CF2"/>
    <w:rsid w:val="006C7389"/>
    <w:rsid w:val="006D3BCD"/>
    <w:rsid w:val="006E0EC4"/>
    <w:rsid w:val="006E6C63"/>
    <w:rsid w:val="006F4918"/>
    <w:rsid w:val="00702088"/>
    <w:rsid w:val="007033E1"/>
    <w:rsid w:val="0071053D"/>
    <w:rsid w:val="0071351C"/>
    <w:rsid w:val="00737198"/>
    <w:rsid w:val="00740B20"/>
    <w:rsid w:val="00740B4C"/>
    <w:rsid w:val="0075016C"/>
    <w:rsid w:val="00775398"/>
    <w:rsid w:val="00776944"/>
    <w:rsid w:val="00794ECD"/>
    <w:rsid w:val="007B7419"/>
    <w:rsid w:val="007C017C"/>
    <w:rsid w:val="007E47B1"/>
    <w:rsid w:val="007F2E2F"/>
    <w:rsid w:val="00853F64"/>
    <w:rsid w:val="0086797F"/>
    <w:rsid w:val="00876B00"/>
    <w:rsid w:val="008921DA"/>
    <w:rsid w:val="008922E4"/>
    <w:rsid w:val="00893BC7"/>
    <w:rsid w:val="0089465B"/>
    <w:rsid w:val="008954E0"/>
    <w:rsid w:val="008A19B1"/>
    <w:rsid w:val="008B1CE8"/>
    <w:rsid w:val="008D387A"/>
    <w:rsid w:val="008F2C71"/>
    <w:rsid w:val="00904352"/>
    <w:rsid w:val="0091418A"/>
    <w:rsid w:val="00915BB3"/>
    <w:rsid w:val="00920C4B"/>
    <w:rsid w:val="00933262"/>
    <w:rsid w:val="009808DE"/>
    <w:rsid w:val="0099766F"/>
    <w:rsid w:val="009A4C23"/>
    <w:rsid w:val="009B049B"/>
    <w:rsid w:val="009E619F"/>
    <w:rsid w:val="009F3D7D"/>
    <w:rsid w:val="00A01B68"/>
    <w:rsid w:val="00A03C4E"/>
    <w:rsid w:val="00A160FD"/>
    <w:rsid w:val="00A24BA8"/>
    <w:rsid w:val="00A37D9D"/>
    <w:rsid w:val="00A539D6"/>
    <w:rsid w:val="00A573B1"/>
    <w:rsid w:val="00A61CEF"/>
    <w:rsid w:val="00A94B2D"/>
    <w:rsid w:val="00AA2C3F"/>
    <w:rsid w:val="00AA5440"/>
    <w:rsid w:val="00AC289A"/>
    <w:rsid w:val="00AC68BD"/>
    <w:rsid w:val="00AF0780"/>
    <w:rsid w:val="00AF1BEA"/>
    <w:rsid w:val="00B26EBD"/>
    <w:rsid w:val="00B422D1"/>
    <w:rsid w:val="00B62AD9"/>
    <w:rsid w:val="00B631EC"/>
    <w:rsid w:val="00B77192"/>
    <w:rsid w:val="00B95088"/>
    <w:rsid w:val="00BA4477"/>
    <w:rsid w:val="00BC36DB"/>
    <w:rsid w:val="00BD216F"/>
    <w:rsid w:val="00BE1B2A"/>
    <w:rsid w:val="00BE6EBC"/>
    <w:rsid w:val="00BF7EDA"/>
    <w:rsid w:val="00C126E1"/>
    <w:rsid w:val="00C47073"/>
    <w:rsid w:val="00C47D50"/>
    <w:rsid w:val="00C54CD5"/>
    <w:rsid w:val="00C568A0"/>
    <w:rsid w:val="00C65A57"/>
    <w:rsid w:val="00C93430"/>
    <w:rsid w:val="00CB7896"/>
    <w:rsid w:val="00CD715E"/>
    <w:rsid w:val="00CD79AF"/>
    <w:rsid w:val="00D15F97"/>
    <w:rsid w:val="00D23281"/>
    <w:rsid w:val="00D35228"/>
    <w:rsid w:val="00D65A37"/>
    <w:rsid w:val="00D878DB"/>
    <w:rsid w:val="00DB587F"/>
    <w:rsid w:val="00DC1D32"/>
    <w:rsid w:val="00DD2D86"/>
    <w:rsid w:val="00DD3D23"/>
    <w:rsid w:val="00E22B33"/>
    <w:rsid w:val="00E2684D"/>
    <w:rsid w:val="00E27CE7"/>
    <w:rsid w:val="00E35787"/>
    <w:rsid w:val="00E64531"/>
    <w:rsid w:val="00E87B4F"/>
    <w:rsid w:val="00EB3B1A"/>
    <w:rsid w:val="00EB5738"/>
    <w:rsid w:val="00ED00A3"/>
    <w:rsid w:val="00ED50AF"/>
    <w:rsid w:val="00EE0739"/>
    <w:rsid w:val="00EF238B"/>
    <w:rsid w:val="00F033D6"/>
    <w:rsid w:val="00F05703"/>
    <w:rsid w:val="00F315A4"/>
    <w:rsid w:val="00F31880"/>
    <w:rsid w:val="00F3462F"/>
    <w:rsid w:val="00F378C4"/>
    <w:rsid w:val="00F55714"/>
    <w:rsid w:val="00F57149"/>
    <w:rsid w:val="00F60983"/>
    <w:rsid w:val="00F628F9"/>
    <w:rsid w:val="00F62EC4"/>
    <w:rsid w:val="00F65C1E"/>
    <w:rsid w:val="00F6613F"/>
    <w:rsid w:val="00F67CED"/>
    <w:rsid w:val="00F830B8"/>
    <w:rsid w:val="00FC367D"/>
    <w:rsid w:val="00FD1927"/>
    <w:rsid w:val="00FD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9492"/>
  <w15:chartTrackingRefBased/>
  <w15:docId w15:val="{CCCBFC81-7945-0340-89F3-5EAF891F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66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7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7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7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75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75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D3B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2D1"/>
    <w:rPr>
      <w:color w:val="0000FF"/>
      <w:u w:val="single"/>
    </w:rPr>
  </w:style>
  <w:style w:type="paragraph" w:customStyle="1" w:styleId="m1446465349259792487m-1976422593569197412msolistparagraph">
    <w:name w:val="m_1446465349259792487m-1976422593569197412msolistparagraph"/>
    <w:basedOn w:val="Normal"/>
    <w:rsid w:val="00B422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0575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DPI16affiliation">
    <w:name w:val="MDPI_1.6_affiliation"/>
    <w:basedOn w:val="Normal"/>
    <w:qFormat/>
    <w:rsid w:val="00125F54"/>
    <w:pPr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1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57480">
                                          <w:blockQuote w:val="1"/>
                                          <w:marLeft w:val="96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25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88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15588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959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ice.org.uk/guidance/NG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2020-04-29T14:54:00Z</dcterms:created>
  <dcterms:modified xsi:type="dcterms:W3CDTF">2020-04-30T13:42:00Z</dcterms:modified>
</cp:coreProperties>
</file>