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74AD9" w14:textId="77777777" w:rsidR="009D7E78" w:rsidRPr="00C862ED" w:rsidRDefault="009D7E78" w:rsidP="00D77E34">
      <w:pPr>
        <w:rPr>
          <w:b/>
        </w:rPr>
      </w:pPr>
      <w:r w:rsidRPr="00C862ED">
        <w:rPr>
          <w:b/>
        </w:rPr>
        <w:t>Risk of poisoning in children and adolescents with ADHD: a systematic review and meta-analysis</w:t>
      </w:r>
    </w:p>
    <w:p w14:paraId="0CEF4745" w14:textId="77777777" w:rsidR="009D7E78" w:rsidRPr="00137592" w:rsidRDefault="009D7E78" w:rsidP="0001413B">
      <w:pPr>
        <w:rPr>
          <w:b/>
          <w:lang w:val="es-ES"/>
        </w:rPr>
      </w:pPr>
      <w:proofErr w:type="spellStart"/>
      <w:r w:rsidRPr="00137592">
        <w:rPr>
          <w:b/>
          <w:lang w:val="es-ES"/>
        </w:rPr>
        <w:t>Author’s</w:t>
      </w:r>
      <w:proofErr w:type="spellEnd"/>
      <w:r w:rsidRPr="00137592">
        <w:rPr>
          <w:b/>
          <w:lang w:val="es-ES"/>
        </w:rPr>
        <w:t xml:space="preserve"> </w:t>
      </w:r>
      <w:proofErr w:type="spellStart"/>
      <w:r w:rsidRPr="00137592">
        <w:rPr>
          <w:b/>
          <w:lang w:val="es-ES"/>
        </w:rPr>
        <w:t>affiliations</w:t>
      </w:r>
      <w:proofErr w:type="spellEnd"/>
    </w:p>
    <w:p w14:paraId="528DCCC6" w14:textId="2DAA180A" w:rsidR="005A298D" w:rsidRPr="00B60C50" w:rsidRDefault="005A298D" w:rsidP="005A298D">
      <w:pPr>
        <w:rPr>
          <w:lang w:val="es-ES"/>
        </w:rPr>
      </w:pPr>
      <w:r w:rsidRPr="00B60C50">
        <w:rPr>
          <w:lang w:val="es-ES"/>
        </w:rPr>
        <w:t>Maite Ruiz-Goikoetxea</w:t>
      </w:r>
      <w:r w:rsidRPr="00B60C50">
        <w:rPr>
          <w:vertAlign w:val="superscript"/>
          <w:lang w:val="es-ES"/>
        </w:rPr>
        <w:t>1</w:t>
      </w:r>
      <w:r w:rsidRPr="00B60C50">
        <w:rPr>
          <w:lang w:val="es-ES"/>
        </w:rPr>
        <w:t xml:space="preserve">; </w:t>
      </w:r>
      <w:proofErr w:type="spellStart"/>
      <w:r w:rsidRPr="00B60C50">
        <w:rPr>
          <w:lang w:val="es-ES"/>
        </w:rPr>
        <w:t>Samuele</w:t>
      </w:r>
      <w:proofErr w:type="spellEnd"/>
      <w:r w:rsidRPr="00B60C50">
        <w:rPr>
          <w:lang w:val="es-ES"/>
        </w:rPr>
        <w:t xml:space="preserve"> Cortese</w:t>
      </w:r>
      <w:r w:rsidRPr="00B60C50">
        <w:rPr>
          <w:vertAlign w:val="superscript"/>
          <w:lang w:val="es-ES"/>
        </w:rPr>
        <w:t>2</w:t>
      </w:r>
      <w:proofErr w:type="gramStart"/>
      <w:r w:rsidR="006425CC" w:rsidRPr="00137592">
        <w:rPr>
          <w:vertAlign w:val="superscript"/>
          <w:lang w:val="es-ES"/>
        </w:rPr>
        <w:t>,</w:t>
      </w:r>
      <w:r w:rsidRPr="00B60C50">
        <w:rPr>
          <w:vertAlign w:val="superscript"/>
          <w:lang w:val="es-ES"/>
        </w:rPr>
        <w:t>3</w:t>
      </w:r>
      <w:r w:rsidR="006425CC" w:rsidRPr="00137592">
        <w:rPr>
          <w:vertAlign w:val="superscript"/>
          <w:lang w:val="es-ES"/>
        </w:rPr>
        <w:t>,</w:t>
      </w:r>
      <w:r w:rsidRPr="00B60C50">
        <w:rPr>
          <w:vertAlign w:val="superscript"/>
          <w:lang w:val="es-ES"/>
        </w:rPr>
        <w:t>4</w:t>
      </w:r>
      <w:r w:rsidR="006425CC" w:rsidRPr="00137592">
        <w:rPr>
          <w:vertAlign w:val="superscript"/>
          <w:lang w:val="es-ES"/>
        </w:rPr>
        <w:t>,</w:t>
      </w:r>
      <w:r w:rsidRPr="00B60C50">
        <w:rPr>
          <w:vertAlign w:val="superscript"/>
          <w:lang w:val="es-ES"/>
        </w:rPr>
        <w:t>5</w:t>
      </w:r>
      <w:r w:rsidR="006425CC" w:rsidRPr="00137592">
        <w:rPr>
          <w:vertAlign w:val="superscript"/>
          <w:lang w:val="es-ES"/>
        </w:rPr>
        <w:t>,</w:t>
      </w:r>
      <w:r w:rsidRPr="00B60C50">
        <w:rPr>
          <w:vertAlign w:val="superscript"/>
          <w:lang w:val="es-ES"/>
        </w:rPr>
        <w:t>6</w:t>
      </w:r>
      <w:proofErr w:type="gramEnd"/>
      <w:r w:rsidRPr="00B60C50">
        <w:rPr>
          <w:lang w:val="es-ES"/>
        </w:rPr>
        <w:t>; Sara Magallón</w:t>
      </w:r>
      <w:r w:rsidRPr="00B60C50">
        <w:rPr>
          <w:vertAlign w:val="superscript"/>
          <w:lang w:val="es-ES"/>
        </w:rPr>
        <w:t>7</w:t>
      </w:r>
      <w:r w:rsidRPr="00B60C50">
        <w:rPr>
          <w:lang w:val="es-ES"/>
        </w:rPr>
        <w:t>; Maite Aznarez-Sanado</w:t>
      </w:r>
      <w:r w:rsidRPr="00B60C50">
        <w:rPr>
          <w:vertAlign w:val="superscript"/>
          <w:lang w:val="es-ES"/>
        </w:rPr>
        <w:t>7,</w:t>
      </w:r>
      <w:r w:rsidRPr="00B60C50">
        <w:rPr>
          <w:lang w:val="es-ES"/>
        </w:rPr>
        <w:t xml:space="preserve"> Noelia Alvarez-Zallo</w:t>
      </w:r>
      <w:r w:rsidRPr="00B60C50">
        <w:rPr>
          <w:vertAlign w:val="superscript"/>
          <w:lang w:val="es-ES"/>
        </w:rPr>
        <w:t>1</w:t>
      </w:r>
      <w:r w:rsidRPr="00B60C50">
        <w:rPr>
          <w:lang w:val="es-ES"/>
        </w:rPr>
        <w:t>; Elkin O. Luis</w:t>
      </w:r>
      <w:r w:rsidRPr="00B60C50">
        <w:rPr>
          <w:vertAlign w:val="superscript"/>
          <w:lang w:val="es-ES"/>
        </w:rPr>
        <w:t>7</w:t>
      </w:r>
      <w:r w:rsidRPr="00B60C50">
        <w:rPr>
          <w:lang w:val="es-ES"/>
        </w:rPr>
        <w:t>; Pilar de Castro-Manglano</w:t>
      </w:r>
      <w:r w:rsidRPr="00B60C50">
        <w:rPr>
          <w:vertAlign w:val="superscript"/>
          <w:lang w:val="es-ES"/>
        </w:rPr>
        <w:t>8</w:t>
      </w:r>
      <w:r w:rsidRPr="00B60C50">
        <w:rPr>
          <w:lang w:val="es-ES"/>
        </w:rPr>
        <w:t>; Cesar Soutullo</w:t>
      </w:r>
      <w:r w:rsidRPr="00B60C50">
        <w:rPr>
          <w:vertAlign w:val="superscript"/>
          <w:lang w:val="es-ES"/>
        </w:rPr>
        <w:t>8</w:t>
      </w:r>
      <w:r w:rsidRPr="00B60C50">
        <w:rPr>
          <w:lang w:val="es-ES"/>
        </w:rPr>
        <w:t>; Gonzalo Arrondo</w:t>
      </w:r>
      <w:r w:rsidRPr="00B60C50">
        <w:rPr>
          <w:vertAlign w:val="superscript"/>
          <w:lang w:val="es-ES"/>
        </w:rPr>
        <w:t>9</w:t>
      </w:r>
      <w:r w:rsidRPr="00B60C50">
        <w:rPr>
          <w:lang w:val="es-ES"/>
        </w:rPr>
        <w:t>*</w:t>
      </w:r>
    </w:p>
    <w:p w14:paraId="24F5B64D" w14:textId="77777777" w:rsidR="005A298D" w:rsidRPr="00B60C50" w:rsidRDefault="005A298D" w:rsidP="005A298D">
      <w:pPr>
        <w:rPr>
          <w:lang w:val="es-ES"/>
        </w:rPr>
      </w:pPr>
    </w:p>
    <w:p w14:paraId="015F70CF" w14:textId="77777777" w:rsidR="005A298D" w:rsidRPr="00B60C50" w:rsidRDefault="005A298D" w:rsidP="005A298D">
      <w:pPr>
        <w:rPr>
          <w:lang w:val="es-ES"/>
        </w:rPr>
      </w:pPr>
      <w:r w:rsidRPr="00B60C50">
        <w:rPr>
          <w:lang w:val="es-ES"/>
        </w:rPr>
        <w:t>*</w:t>
      </w:r>
      <w:proofErr w:type="spellStart"/>
      <w:r w:rsidRPr="00B60C50">
        <w:rPr>
          <w:lang w:val="es-ES"/>
        </w:rPr>
        <w:t>Corresponding</w:t>
      </w:r>
      <w:proofErr w:type="spellEnd"/>
      <w:r w:rsidRPr="00B60C50">
        <w:rPr>
          <w:lang w:val="es-ES"/>
        </w:rPr>
        <w:t xml:space="preserve"> </w:t>
      </w:r>
      <w:proofErr w:type="spellStart"/>
      <w:r w:rsidRPr="00B60C50">
        <w:rPr>
          <w:lang w:val="es-ES"/>
        </w:rPr>
        <w:t>author</w:t>
      </w:r>
      <w:proofErr w:type="spellEnd"/>
    </w:p>
    <w:p w14:paraId="45775797" w14:textId="77777777" w:rsidR="005A298D" w:rsidRPr="00B60C50" w:rsidRDefault="005A298D" w:rsidP="005A298D">
      <w:pPr>
        <w:rPr>
          <w:lang w:val="es-ES"/>
        </w:rPr>
      </w:pPr>
    </w:p>
    <w:p w14:paraId="0E682403" w14:textId="77777777" w:rsidR="005A298D" w:rsidRPr="00B60C50" w:rsidRDefault="005A298D" w:rsidP="005A298D">
      <w:pPr>
        <w:rPr>
          <w:lang w:val="es-ES"/>
        </w:rPr>
      </w:pPr>
      <w:r w:rsidRPr="00B60C50">
        <w:rPr>
          <w:lang w:val="es-ES"/>
        </w:rPr>
        <w:t xml:space="preserve">1: Servicio de Urgencias </w:t>
      </w:r>
      <w:proofErr w:type="spellStart"/>
      <w:r w:rsidRPr="00B60C50">
        <w:rPr>
          <w:lang w:val="es-ES"/>
        </w:rPr>
        <w:t>Extrahospitalarias</w:t>
      </w:r>
      <w:proofErr w:type="spellEnd"/>
      <w:r w:rsidRPr="00B60C50">
        <w:rPr>
          <w:lang w:val="es-ES"/>
        </w:rPr>
        <w:t xml:space="preserve"> Servicio Navarro de Salud-</w:t>
      </w:r>
      <w:proofErr w:type="spellStart"/>
      <w:r w:rsidRPr="00B60C50">
        <w:rPr>
          <w:lang w:val="es-ES"/>
        </w:rPr>
        <w:t>Osasunbidea</w:t>
      </w:r>
      <w:proofErr w:type="spellEnd"/>
      <w:r w:rsidRPr="00B60C50">
        <w:rPr>
          <w:lang w:val="es-ES"/>
        </w:rPr>
        <w:t xml:space="preserve">, Pamplona, </w:t>
      </w:r>
      <w:proofErr w:type="spellStart"/>
      <w:r w:rsidRPr="00B60C50">
        <w:rPr>
          <w:lang w:val="es-ES"/>
        </w:rPr>
        <w:t>Spain</w:t>
      </w:r>
      <w:proofErr w:type="spellEnd"/>
      <w:r w:rsidRPr="00B60C50">
        <w:rPr>
          <w:lang w:val="es-ES"/>
        </w:rPr>
        <w:t xml:space="preserve">. </w:t>
      </w:r>
    </w:p>
    <w:p w14:paraId="4C3A3219" w14:textId="77777777" w:rsidR="005A298D" w:rsidRPr="00C862ED" w:rsidRDefault="005A298D" w:rsidP="005A298D">
      <w:r w:rsidRPr="00C862ED">
        <w:t>2: Center for Innovation in Mental Health, University of Southampton, Academic Unit of Psychology, Southampton, UK</w:t>
      </w:r>
    </w:p>
    <w:p w14:paraId="6FA0CCF5" w14:textId="77777777" w:rsidR="005A298D" w:rsidRPr="00C862ED" w:rsidRDefault="005A298D" w:rsidP="005A298D">
      <w:r w:rsidRPr="00C862ED">
        <w:t xml:space="preserve">3: Faculty of Medicine, Clinical and Experimental Sciences (CNS and Psychiatry), </w:t>
      </w:r>
    </w:p>
    <w:p w14:paraId="06E3D815" w14:textId="77777777" w:rsidR="005A298D" w:rsidRPr="00C862ED" w:rsidRDefault="005A298D" w:rsidP="005A298D">
      <w:r w:rsidRPr="00C862ED">
        <w:t>University of Southampton, Southampton, UK</w:t>
      </w:r>
    </w:p>
    <w:p w14:paraId="6DE54184" w14:textId="77777777" w:rsidR="005A298D" w:rsidRPr="00C862ED" w:rsidRDefault="005A298D" w:rsidP="005A298D">
      <w:r w:rsidRPr="00C862ED">
        <w:t xml:space="preserve">4: Department of Child and Adolescent Psychiatry, NYU </w:t>
      </w:r>
      <w:proofErr w:type="spellStart"/>
      <w:r w:rsidRPr="00C862ED">
        <w:t>Langone</w:t>
      </w:r>
      <w:proofErr w:type="spellEnd"/>
      <w:r w:rsidRPr="00C862ED">
        <w:t xml:space="preserve"> Medical Center, New York, NY, USA</w:t>
      </w:r>
    </w:p>
    <w:p w14:paraId="0F0F6562" w14:textId="77777777" w:rsidR="005A298D" w:rsidRPr="00C862ED" w:rsidRDefault="005A298D" w:rsidP="005A298D">
      <w:r w:rsidRPr="00C862ED">
        <w:t xml:space="preserve">5: </w:t>
      </w:r>
      <w:proofErr w:type="spellStart"/>
      <w:r w:rsidRPr="00C862ED">
        <w:t>Solent</w:t>
      </w:r>
      <w:proofErr w:type="spellEnd"/>
      <w:r w:rsidRPr="00C862ED">
        <w:t xml:space="preserve"> NHS Trust, Southampton, UK</w:t>
      </w:r>
    </w:p>
    <w:p w14:paraId="5CB120F7" w14:textId="77777777" w:rsidR="005A298D" w:rsidRPr="00C862ED" w:rsidRDefault="005A298D" w:rsidP="005A298D">
      <w:r w:rsidRPr="00C862ED">
        <w:t>6: Division of Psychiatry and Applied Psychology, School of Medicine, University of Nottingham, Nottingham, UK</w:t>
      </w:r>
    </w:p>
    <w:p w14:paraId="124A7EB2" w14:textId="77777777" w:rsidR="005A298D" w:rsidRPr="00B60C50" w:rsidRDefault="005A298D" w:rsidP="005A298D">
      <w:pPr>
        <w:rPr>
          <w:lang w:val="es-ES"/>
        </w:rPr>
      </w:pPr>
      <w:r w:rsidRPr="00B60C50">
        <w:rPr>
          <w:lang w:val="es-ES"/>
        </w:rPr>
        <w:t xml:space="preserve">7: Facultad de Educación y Psicología, Universidad de Navarra, Pamplona, </w:t>
      </w:r>
      <w:proofErr w:type="spellStart"/>
      <w:r w:rsidRPr="00B60C50">
        <w:rPr>
          <w:lang w:val="es-ES"/>
        </w:rPr>
        <w:t>Spain</w:t>
      </w:r>
      <w:proofErr w:type="spellEnd"/>
      <w:r w:rsidRPr="00B60C50">
        <w:rPr>
          <w:lang w:val="es-ES"/>
        </w:rPr>
        <w:t xml:space="preserve"> </w:t>
      </w:r>
    </w:p>
    <w:p w14:paraId="4EEB39C5" w14:textId="77777777" w:rsidR="005A298D" w:rsidRPr="00B60C50" w:rsidRDefault="005A298D" w:rsidP="005A298D">
      <w:pPr>
        <w:rPr>
          <w:lang w:val="es-ES"/>
        </w:rPr>
      </w:pPr>
      <w:r w:rsidRPr="00B60C50">
        <w:rPr>
          <w:lang w:val="es-ES"/>
        </w:rPr>
        <w:t xml:space="preserve">8: Departamento de Psiquiatría y Psicología Médica, Unidad de Psiquiatría Infantil y Adolescente, Clínica Universidad de Navarra, Pamplona and Madrid, </w:t>
      </w:r>
      <w:proofErr w:type="spellStart"/>
      <w:r w:rsidRPr="00B60C50">
        <w:rPr>
          <w:lang w:val="es-ES"/>
        </w:rPr>
        <w:t>Spain</w:t>
      </w:r>
      <w:proofErr w:type="spellEnd"/>
    </w:p>
    <w:p w14:paraId="311422DE" w14:textId="77777777" w:rsidR="005A298D" w:rsidRPr="00B60C50" w:rsidRDefault="005A298D" w:rsidP="005A298D">
      <w:pPr>
        <w:rPr>
          <w:lang w:val="es-ES"/>
        </w:rPr>
      </w:pPr>
      <w:r w:rsidRPr="00B60C50">
        <w:rPr>
          <w:lang w:val="es-ES"/>
        </w:rPr>
        <w:t xml:space="preserve">9: Instituto Cultura y Sociedad (ICS), Grupo Mente-Cerebro, Universidad de Navarra, Pamplona, </w:t>
      </w:r>
      <w:proofErr w:type="spellStart"/>
      <w:r w:rsidRPr="00B60C50">
        <w:rPr>
          <w:lang w:val="es-ES"/>
        </w:rPr>
        <w:t>Spain</w:t>
      </w:r>
      <w:proofErr w:type="spellEnd"/>
    </w:p>
    <w:p w14:paraId="6C8A727E" w14:textId="77777777" w:rsidR="00D77E34" w:rsidRPr="00B60C50" w:rsidRDefault="00D77E34" w:rsidP="0001413B">
      <w:pPr>
        <w:rPr>
          <w:b/>
          <w:lang w:val="es-ES"/>
        </w:rPr>
      </w:pPr>
      <w:bookmarkStart w:id="0" w:name="_Toc443058373"/>
      <w:bookmarkStart w:id="1" w:name="_Toc483842927"/>
      <w:bookmarkStart w:id="2" w:name="_Toc483988630"/>
    </w:p>
    <w:p w14:paraId="16572F6E" w14:textId="77777777" w:rsidR="009D7E78" w:rsidRPr="00137592" w:rsidRDefault="009D7E78" w:rsidP="0001413B">
      <w:pPr>
        <w:rPr>
          <w:b/>
        </w:rPr>
      </w:pPr>
      <w:r w:rsidRPr="00137592">
        <w:rPr>
          <w:b/>
        </w:rPr>
        <w:t>Emails</w:t>
      </w:r>
      <w:bookmarkEnd w:id="0"/>
      <w:bookmarkEnd w:id="1"/>
      <w:bookmarkEnd w:id="2"/>
      <w:r w:rsidRPr="00137592">
        <w:rPr>
          <w:b/>
        </w:rPr>
        <w:t xml:space="preserve"> </w:t>
      </w:r>
    </w:p>
    <w:p w14:paraId="29C358EB" w14:textId="77777777" w:rsidR="009D7E78" w:rsidRPr="00137592" w:rsidRDefault="009D7E78" w:rsidP="0001413B">
      <w:proofErr w:type="spellStart"/>
      <w:r w:rsidRPr="00137592">
        <w:t>Maite</w:t>
      </w:r>
      <w:proofErr w:type="spellEnd"/>
      <w:r w:rsidRPr="00137592">
        <w:t xml:space="preserve"> Ruiz-</w:t>
      </w:r>
      <w:proofErr w:type="spellStart"/>
      <w:r w:rsidRPr="00137592">
        <w:t>Goikoetxea</w:t>
      </w:r>
      <w:proofErr w:type="spellEnd"/>
      <w:r w:rsidRPr="00137592">
        <w:t xml:space="preserve">: </w:t>
      </w:r>
      <w:hyperlink r:id="rId9" w:history="1">
        <w:r w:rsidRPr="00137592">
          <w:t>mruizgoikoetxea@yahoo.es</w:t>
        </w:r>
      </w:hyperlink>
      <w:r w:rsidRPr="00137592">
        <w:t xml:space="preserve"> </w:t>
      </w:r>
    </w:p>
    <w:p w14:paraId="4636ED90" w14:textId="77777777" w:rsidR="009D7E78" w:rsidRPr="00137592" w:rsidRDefault="009D7E78" w:rsidP="0001413B">
      <w:pPr>
        <w:rPr>
          <w:lang w:val="es-ES"/>
        </w:rPr>
      </w:pPr>
      <w:proofErr w:type="spellStart"/>
      <w:r w:rsidRPr="00137592">
        <w:rPr>
          <w:lang w:val="es-ES"/>
        </w:rPr>
        <w:t>Samuele</w:t>
      </w:r>
      <w:proofErr w:type="spellEnd"/>
      <w:r w:rsidRPr="00137592">
        <w:rPr>
          <w:lang w:val="es-ES"/>
        </w:rPr>
        <w:t xml:space="preserve"> </w:t>
      </w:r>
      <w:proofErr w:type="spellStart"/>
      <w:r w:rsidRPr="00137592">
        <w:rPr>
          <w:lang w:val="es-ES"/>
        </w:rPr>
        <w:t>Cortese</w:t>
      </w:r>
      <w:proofErr w:type="spellEnd"/>
      <w:r w:rsidRPr="00137592">
        <w:rPr>
          <w:lang w:val="es-ES"/>
        </w:rPr>
        <w:t xml:space="preserve">: </w:t>
      </w:r>
      <w:hyperlink r:id="rId10" w:history="1">
        <w:r w:rsidRPr="00137592">
          <w:rPr>
            <w:rStyle w:val="Hipervnculo"/>
            <w:color w:val="000000" w:themeColor="text1"/>
            <w:u w:val="none"/>
            <w:lang w:val="es-ES"/>
          </w:rPr>
          <w:t>samuele.cortese@gmail.com</w:t>
        </w:r>
      </w:hyperlink>
      <w:r w:rsidRPr="00137592">
        <w:rPr>
          <w:color w:val="000000" w:themeColor="text1"/>
          <w:lang w:val="es-ES"/>
        </w:rPr>
        <w:t xml:space="preserve"> </w:t>
      </w:r>
    </w:p>
    <w:p w14:paraId="44447E03" w14:textId="77777777" w:rsidR="009D7E78" w:rsidRPr="00137592" w:rsidRDefault="009D7E78" w:rsidP="0001413B">
      <w:pPr>
        <w:rPr>
          <w:lang w:val="es-ES"/>
        </w:rPr>
      </w:pPr>
      <w:r w:rsidRPr="00137592">
        <w:rPr>
          <w:lang w:val="es-ES"/>
        </w:rPr>
        <w:t xml:space="preserve">Maite </w:t>
      </w:r>
      <w:proofErr w:type="spellStart"/>
      <w:r w:rsidRPr="00137592">
        <w:rPr>
          <w:lang w:val="es-ES"/>
        </w:rPr>
        <w:t>Aznarez</w:t>
      </w:r>
      <w:proofErr w:type="spellEnd"/>
      <w:r w:rsidRPr="00137592">
        <w:rPr>
          <w:lang w:val="es-ES"/>
        </w:rPr>
        <w:t xml:space="preserve">-Sanado: </w:t>
      </w:r>
      <w:hyperlink r:id="rId11" w:history="1">
        <w:r w:rsidRPr="00137592">
          <w:rPr>
            <w:lang w:val="es-ES"/>
          </w:rPr>
          <w:t>masanado@unav.es</w:t>
        </w:r>
      </w:hyperlink>
      <w:r w:rsidRPr="00B60C50">
        <w:rPr>
          <w:lang w:val="es-ES"/>
        </w:rPr>
        <w:t xml:space="preserve"> </w:t>
      </w:r>
    </w:p>
    <w:p w14:paraId="12A3049F" w14:textId="77777777" w:rsidR="009D7E78" w:rsidRPr="00137592" w:rsidRDefault="009D7E78" w:rsidP="0001413B">
      <w:pPr>
        <w:rPr>
          <w:lang w:val="es-ES"/>
        </w:rPr>
      </w:pPr>
      <w:r w:rsidRPr="00137592">
        <w:rPr>
          <w:lang w:val="es-ES"/>
        </w:rPr>
        <w:t xml:space="preserve">Sara </w:t>
      </w:r>
      <w:proofErr w:type="spellStart"/>
      <w:r w:rsidRPr="00137592">
        <w:rPr>
          <w:lang w:val="es-ES"/>
        </w:rPr>
        <w:t>Magallón</w:t>
      </w:r>
      <w:proofErr w:type="spellEnd"/>
      <w:r w:rsidRPr="00137592">
        <w:rPr>
          <w:lang w:val="es-ES"/>
        </w:rPr>
        <w:t xml:space="preserve">: </w:t>
      </w:r>
      <w:hyperlink r:id="rId12" w:history="1">
        <w:r w:rsidRPr="00137592">
          <w:rPr>
            <w:lang w:val="es-ES"/>
          </w:rPr>
          <w:t>smagallon@unav.es</w:t>
        </w:r>
      </w:hyperlink>
    </w:p>
    <w:p w14:paraId="12F4FED6" w14:textId="77777777" w:rsidR="009D7E78" w:rsidRPr="00137592" w:rsidRDefault="009D7E78" w:rsidP="0001413B">
      <w:pPr>
        <w:rPr>
          <w:lang w:val="es-ES"/>
        </w:rPr>
      </w:pPr>
      <w:r w:rsidRPr="00137592">
        <w:rPr>
          <w:lang w:val="es-ES"/>
        </w:rPr>
        <w:t xml:space="preserve">Noelia </w:t>
      </w:r>
      <w:proofErr w:type="spellStart"/>
      <w:r w:rsidRPr="00137592">
        <w:rPr>
          <w:lang w:val="es-ES"/>
        </w:rPr>
        <w:t>Alvarez</w:t>
      </w:r>
      <w:proofErr w:type="spellEnd"/>
      <w:r w:rsidRPr="00137592">
        <w:rPr>
          <w:lang w:val="es-ES"/>
        </w:rPr>
        <w:t xml:space="preserve">-Zallo: </w:t>
      </w:r>
      <w:hyperlink r:id="rId13" w:history="1">
        <w:r w:rsidRPr="00137592">
          <w:rPr>
            <w:lang w:val="es-ES"/>
          </w:rPr>
          <w:t>noealza@gmail.com</w:t>
        </w:r>
      </w:hyperlink>
    </w:p>
    <w:p w14:paraId="5BE11E9F" w14:textId="77777777" w:rsidR="009D7E78" w:rsidRPr="00137592" w:rsidRDefault="009D7E78" w:rsidP="0001413B">
      <w:pPr>
        <w:rPr>
          <w:lang w:val="es-ES"/>
        </w:rPr>
      </w:pPr>
      <w:r w:rsidRPr="00137592">
        <w:rPr>
          <w:lang w:val="es-ES"/>
        </w:rPr>
        <w:t xml:space="preserve">Elkin O. Luis: </w:t>
      </w:r>
      <w:hyperlink r:id="rId14" w:history="1">
        <w:r w:rsidRPr="00137592">
          <w:rPr>
            <w:lang w:val="es-ES"/>
          </w:rPr>
          <w:t>eluis.1@alumni.unav.es</w:t>
        </w:r>
      </w:hyperlink>
    </w:p>
    <w:p w14:paraId="6660B385" w14:textId="77777777" w:rsidR="009D7E78" w:rsidRPr="00137592" w:rsidRDefault="009D7E78" w:rsidP="0001413B">
      <w:pPr>
        <w:rPr>
          <w:lang w:val="es-ES"/>
        </w:rPr>
      </w:pPr>
      <w:r w:rsidRPr="00137592">
        <w:rPr>
          <w:lang w:val="es-ES"/>
        </w:rPr>
        <w:t xml:space="preserve">Pilar de Castro-Manglano: </w:t>
      </w:r>
      <w:hyperlink r:id="rId15" w:history="1">
        <w:r w:rsidRPr="00137592">
          <w:rPr>
            <w:lang w:val="es-ES"/>
          </w:rPr>
          <w:t>pcastro@unav.es</w:t>
        </w:r>
      </w:hyperlink>
    </w:p>
    <w:p w14:paraId="26D3D587" w14:textId="77777777" w:rsidR="009D7E78" w:rsidRPr="00137592" w:rsidRDefault="009D7E78" w:rsidP="0001413B">
      <w:pPr>
        <w:rPr>
          <w:lang w:val="es-ES"/>
        </w:rPr>
      </w:pPr>
      <w:r w:rsidRPr="00137592">
        <w:rPr>
          <w:lang w:val="es-ES"/>
        </w:rPr>
        <w:t xml:space="preserve">Cesar </w:t>
      </w:r>
      <w:proofErr w:type="spellStart"/>
      <w:r w:rsidRPr="00137592">
        <w:rPr>
          <w:lang w:val="es-ES"/>
        </w:rPr>
        <w:t>Soutullo</w:t>
      </w:r>
      <w:proofErr w:type="spellEnd"/>
      <w:r w:rsidRPr="00137592">
        <w:rPr>
          <w:lang w:val="es-ES"/>
        </w:rPr>
        <w:t>: csoutullo@unav.es</w:t>
      </w:r>
    </w:p>
    <w:p w14:paraId="27B35836" w14:textId="77777777" w:rsidR="009D7E78" w:rsidRPr="00137592" w:rsidRDefault="009D7E78" w:rsidP="0001413B">
      <w:pPr>
        <w:rPr>
          <w:lang w:val="es-ES"/>
        </w:rPr>
      </w:pPr>
      <w:r w:rsidRPr="00137592">
        <w:rPr>
          <w:lang w:val="es-ES"/>
        </w:rPr>
        <w:t xml:space="preserve">Gonzalo Arrondo: </w:t>
      </w:r>
      <w:hyperlink r:id="rId16" w:history="1">
        <w:r w:rsidRPr="00137592">
          <w:rPr>
            <w:lang w:val="es-ES"/>
          </w:rPr>
          <w:t>garrondo@yahoo.es</w:t>
        </w:r>
      </w:hyperlink>
    </w:p>
    <w:p w14:paraId="264BE3FD" w14:textId="77777777" w:rsidR="009D7E78" w:rsidRPr="00137592" w:rsidRDefault="009D7E78" w:rsidP="0001413B">
      <w:pPr>
        <w:rPr>
          <w:lang w:val="es-ES"/>
        </w:rPr>
      </w:pPr>
      <w:bookmarkStart w:id="3" w:name="_Toc483842928"/>
      <w:bookmarkStart w:id="4" w:name="_Toc483988631"/>
    </w:p>
    <w:p w14:paraId="4876289E" w14:textId="77777777" w:rsidR="009D7E78" w:rsidRPr="00137592" w:rsidRDefault="009D7E78" w:rsidP="0001413B">
      <w:pPr>
        <w:rPr>
          <w:b/>
        </w:rPr>
      </w:pPr>
      <w:r w:rsidRPr="00137592">
        <w:rPr>
          <w:b/>
        </w:rPr>
        <w:t>Correspondence</w:t>
      </w:r>
      <w:bookmarkEnd w:id="3"/>
      <w:bookmarkEnd w:id="4"/>
    </w:p>
    <w:p w14:paraId="780108B7" w14:textId="77777777" w:rsidR="009D7E78" w:rsidRPr="00137592" w:rsidRDefault="009D7E78" w:rsidP="0001413B">
      <w:r w:rsidRPr="00137592">
        <w:t xml:space="preserve">Gonzalo Arrondo. </w:t>
      </w:r>
    </w:p>
    <w:p w14:paraId="5AB85415" w14:textId="77777777" w:rsidR="009D7E78" w:rsidRPr="00137592" w:rsidRDefault="009D7E78" w:rsidP="0001413B">
      <w:pPr>
        <w:rPr>
          <w:lang w:val="es-ES"/>
        </w:rPr>
      </w:pPr>
      <w:r w:rsidRPr="00137592">
        <w:t xml:space="preserve">Mind-Brain Group. </w:t>
      </w:r>
      <w:r w:rsidRPr="00137592">
        <w:rPr>
          <w:lang w:val="es-ES"/>
        </w:rPr>
        <w:t xml:space="preserve">Instituto Cultura y Sociedad (ICS). </w:t>
      </w:r>
    </w:p>
    <w:p w14:paraId="6C7E905A" w14:textId="77777777" w:rsidR="009D7E78" w:rsidRPr="00137592" w:rsidRDefault="009D7E78" w:rsidP="0001413B">
      <w:pPr>
        <w:rPr>
          <w:lang w:val="es-ES"/>
        </w:rPr>
      </w:pPr>
      <w:r w:rsidRPr="00137592">
        <w:rPr>
          <w:lang w:val="es-ES"/>
        </w:rPr>
        <w:t>Edificio de Bibliotecas, Universidad de Navarra.</w:t>
      </w:r>
    </w:p>
    <w:p w14:paraId="4E74CE05" w14:textId="77777777" w:rsidR="009D7E78" w:rsidRPr="00137592" w:rsidRDefault="009D7E78" w:rsidP="0001413B">
      <w:pPr>
        <w:rPr>
          <w:lang w:val="es-ES"/>
        </w:rPr>
      </w:pPr>
      <w:r w:rsidRPr="00137592">
        <w:rPr>
          <w:lang w:val="es-ES"/>
        </w:rPr>
        <w:t>Campus Universitario S/N, C.P: 31008.</w:t>
      </w:r>
    </w:p>
    <w:p w14:paraId="7210836F" w14:textId="77777777" w:rsidR="009D7E78" w:rsidRPr="00B60C50" w:rsidRDefault="009D7E78" w:rsidP="0001413B">
      <w:pPr>
        <w:rPr>
          <w:lang w:val="es-ES"/>
        </w:rPr>
      </w:pPr>
      <w:r w:rsidRPr="00B60C50">
        <w:rPr>
          <w:lang w:val="es-ES"/>
        </w:rPr>
        <w:t xml:space="preserve">Pamplona, Navarra, </w:t>
      </w:r>
      <w:proofErr w:type="spellStart"/>
      <w:r w:rsidRPr="00B60C50">
        <w:rPr>
          <w:lang w:val="es-ES"/>
        </w:rPr>
        <w:t>Spain</w:t>
      </w:r>
      <w:proofErr w:type="spellEnd"/>
      <w:r w:rsidRPr="00B60C50">
        <w:rPr>
          <w:lang w:val="es-ES"/>
        </w:rPr>
        <w:t xml:space="preserve">. </w:t>
      </w:r>
    </w:p>
    <w:p w14:paraId="7E8F2F8F" w14:textId="77777777" w:rsidR="009D7E78" w:rsidRPr="00C862ED" w:rsidRDefault="009D7E78">
      <w:r w:rsidRPr="00C862ED">
        <w:t xml:space="preserve">Email: </w:t>
      </w:r>
      <w:hyperlink r:id="rId17" w:history="1">
        <w:r w:rsidRPr="00C862ED">
          <w:t>garrondo@yahoo.es</w:t>
        </w:r>
      </w:hyperlink>
    </w:p>
    <w:p w14:paraId="56207310" w14:textId="77777777" w:rsidR="009D7E78" w:rsidRPr="00C862ED" w:rsidRDefault="009D7E78" w:rsidP="00DB1B04">
      <w:pPr>
        <w:spacing w:after="160" w:line="259" w:lineRule="auto"/>
      </w:pPr>
      <w:r w:rsidRPr="00C862ED">
        <w:br w:type="page"/>
      </w:r>
    </w:p>
    <w:p w14:paraId="35EB1F3B" w14:textId="77777777" w:rsidR="009D7E78" w:rsidRPr="00C862ED" w:rsidRDefault="009D7E78" w:rsidP="00FE4163">
      <w:pPr>
        <w:pStyle w:val="Sinespaciado"/>
        <w:rPr>
          <w:rStyle w:val="Textoennegrita"/>
          <w:sz w:val="28"/>
          <w:szCs w:val="28"/>
          <w:lang w:val="en-US"/>
        </w:rPr>
      </w:pPr>
      <w:r w:rsidRPr="00137592">
        <w:rPr>
          <w:rStyle w:val="Textoennegrita"/>
          <w:sz w:val="28"/>
          <w:szCs w:val="28"/>
          <w:lang w:val="en-US"/>
        </w:rPr>
        <w:lastRenderedPageBreak/>
        <w:t>Abstract</w:t>
      </w:r>
    </w:p>
    <w:p w14:paraId="1819DBEC" w14:textId="2260B3A6" w:rsidR="006935E7" w:rsidRPr="00C862ED" w:rsidRDefault="006935E7" w:rsidP="00FE1EF5">
      <w:pPr>
        <w:ind w:firstLine="720"/>
        <w:jc w:val="both"/>
        <w:rPr>
          <w:rFonts w:eastAsia="Arial Unicode MS"/>
          <w:lang w:eastAsia="en-GB"/>
        </w:rPr>
      </w:pPr>
      <w:r w:rsidRPr="00C862ED">
        <w:rPr>
          <w:rFonts w:eastAsia="Arial Unicode MS"/>
          <w:lang w:eastAsia="en-GB"/>
        </w:rPr>
        <w:t xml:space="preserve">Poisoning, a subtype of physical injury, is an important hazard in children and youth. </w:t>
      </w:r>
      <w:r w:rsidR="006A07E3" w:rsidRPr="00C862ED">
        <w:rPr>
          <w:rFonts w:eastAsia="Arial Unicode MS"/>
          <w:lang w:eastAsia="en-GB"/>
        </w:rPr>
        <w:t>Individuals</w:t>
      </w:r>
      <w:r w:rsidRPr="00C862ED">
        <w:rPr>
          <w:rFonts w:eastAsia="Arial Unicode MS"/>
          <w:lang w:eastAsia="en-GB"/>
        </w:rPr>
        <w:t xml:space="preserve"> with ADHD may be at higher risk of pois</w:t>
      </w:r>
      <w:r w:rsidR="00522D25" w:rsidRPr="00C862ED">
        <w:rPr>
          <w:rFonts w:eastAsia="Arial Unicode MS"/>
          <w:lang w:eastAsia="en-GB"/>
        </w:rPr>
        <w:t>on</w:t>
      </w:r>
      <w:r w:rsidRPr="00C862ED">
        <w:rPr>
          <w:rFonts w:eastAsia="Arial Unicode MS"/>
          <w:lang w:eastAsia="en-GB"/>
        </w:rPr>
        <w:t xml:space="preserve">ing. </w:t>
      </w:r>
      <w:r w:rsidR="00E87640" w:rsidRPr="00C862ED">
        <w:rPr>
          <w:rFonts w:eastAsia="Arial Unicode MS"/>
          <w:lang w:eastAsia="en-GB"/>
        </w:rPr>
        <w:t>Here, we conducted a systematic review and meta-analysis t</w:t>
      </w:r>
      <w:r w:rsidRPr="00C862ED">
        <w:rPr>
          <w:rFonts w:eastAsia="Arial Unicode MS"/>
          <w:lang w:eastAsia="en-GB"/>
        </w:rPr>
        <w:t>o quantify this risk</w:t>
      </w:r>
      <w:r w:rsidR="00E87640" w:rsidRPr="00C862ED">
        <w:rPr>
          <w:rFonts w:eastAsia="Arial Unicode MS"/>
          <w:lang w:eastAsia="en-GB"/>
        </w:rPr>
        <w:t xml:space="preserve">. Furthermore, since </w:t>
      </w:r>
      <w:r w:rsidR="00D77E34" w:rsidRPr="00C862ED">
        <w:rPr>
          <w:rFonts w:eastAsia="Arial Unicode MS"/>
          <w:lang w:eastAsia="en-GB"/>
        </w:rPr>
        <w:t xml:space="preserve">physical </w:t>
      </w:r>
      <w:r w:rsidR="00E87640" w:rsidRPr="00C862ED">
        <w:rPr>
          <w:rFonts w:eastAsia="Arial Unicode MS"/>
          <w:lang w:eastAsia="en-GB"/>
        </w:rPr>
        <w:t xml:space="preserve">injuries, likely share causal mechanisms with those of poisoning, we compared the </w:t>
      </w:r>
      <w:r w:rsidR="00216886">
        <w:rPr>
          <w:rFonts w:eastAsia="Arial Unicode MS"/>
          <w:lang w:eastAsia="en-GB"/>
        </w:rPr>
        <w:t xml:space="preserve">relative </w:t>
      </w:r>
      <w:r w:rsidR="00E87640" w:rsidRPr="00C862ED">
        <w:rPr>
          <w:rFonts w:eastAsia="Arial Unicode MS"/>
          <w:lang w:eastAsia="en-GB"/>
        </w:rPr>
        <w:t>risk of poisoning and injuries pooling studies reporting both.</w:t>
      </w:r>
      <w:r w:rsidRPr="00C862ED">
        <w:rPr>
          <w:rFonts w:eastAsia="Arial Unicode MS"/>
          <w:lang w:eastAsia="en-GB"/>
        </w:rPr>
        <w:t xml:space="preserve"> </w:t>
      </w:r>
      <w:r w:rsidR="005624DB" w:rsidRPr="00C862ED">
        <w:rPr>
          <w:rFonts w:eastAsia="Arial Unicode MS"/>
          <w:lang w:eastAsia="en-GB"/>
        </w:rPr>
        <w:t xml:space="preserve">As per </w:t>
      </w:r>
      <w:r w:rsidR="00E87640" w:rsidRPr="00C862ED">
        <w:rPr>
          <w:rFonts w:eastAsia="Arial Unicode MS"/>
          <w:lang w:eastAsia="en-GB"/>
        </w:rPr>
        <w:t xml:space="preserve">our pre-registered protocol (PROSPERO ID CRD42017079911), we </w:t>
      </w:r>
      <w:r w:rsidRPr="00C862ED">
        <w:rPr>
          <w:rFonts w:eastAsia="Arial Unicode MS"/>
          <w:lang w:eastAsia="en-GB"/>
        </w:rPr>
        <w:t>search</w:t>
      </w:r>
      <w:r w:rsidR="00E87640" w:rsidRPr="00C862ED">
        <w:rPr>
          <w:rFonts w:eastAsia="Arial Unicode MS"/>
          <w:lang w:eastAsia="en-GB"/>
        </w:rPr>
        <w:t>ed</w:t>
      </w:r>
      <w:r w:rsidRPr="00C862ED">
        <w:rPr>
          <w:rFonts w:eastAsia="Arial Unicode MS"/>
          <w:lang w:eastAsia="en-GB"/>
        </w:rPr>
        <w:t xml:space="preserve"> 114</w:t>
      </w:r>
      <w:r w:rsidR="006A07E3" w:rsidRPr="00C862ED">
        <w:rPr>
          <w:rFonts w:eastAsia="Arial Unicode MS"/>
          <w:lang w:eastAsia="en-GB"/>
        </w:rPr>
        <w:t xml:space="preserve"> </w:t>
      </w:r>
      <w:r w:rsidRPr="00C862ED">
        <w:rPr>
          <w:rFonts w:eastAsia="Arial Unicode MS"/>
          <w:lang w:eastAsia="en-GB"/>
        </w:rPr>
        <w:t>databases through November 2017</w:t>
      </w:r>
      <w:r w:rsidR="00E87640" w:rsidRPr="00C862ED">
        <w:rPr>
          <w:rFonts w:eastAsia="Arial Unicode MS"/>
          <w:lang w:eastAsia="en-GB"/>
        </w:rPr>
        <w:t xml:space="preserve">. From a pool of </w:t>
      </w:r>
      <w:r w:rsidRPr="00C862ED">
        <w:rPr>
          <w:rFonts w:eastAsia="Arial Unicode MS"/>
          <w:lang w:eastAsia="en-GB"/>
        </w:rPr>
        <w:t xml:space="preserve">826 </w:t>
      </w:r>
      <w:r w:rsidR="00E87640" w:rsidRPr="00C862ED">
        <w:rPr>
          <w:rFonts w:eastAsia="Arial Unicode MS"/>
          <w:lang w:eastAsia="en-GB"/>
        </w:rPr>
        <w:t xml:space="preserve">potentially relevant references, </w:t>
      </w:r>
      <w:r w:rsidRPr="00C862ED">
        <w:rPr>
          <w:rFonts w:eastAsia="Arial Unicode MS"/>
          <w:lang w:eastAsia="en-GB"/>
        </w:rPr>
        <w:t xml:space="preserve">screened </w:t>
      </w:r>
      <w:r w:rsidR="00E87640" w:rsidRPr="00C862ED">
        <w:rPr>
          <w:rFonts w:eastAsia="Arial Unicode MS"/>
          <w:lang w:eastAsia="en-GB"/>
        </w:rPr>
        <w:t>independently</w:t>
      </w:r>
      <w:r w:rsidRPr="00C862ED">
        <w:rPr>
          <w:rFonts w:eastAsia="Arial Unicode MS"/>
          <w:lang w:eastAsia="en-GB"/>
        </w:rPr>
        <w:t xml:space="preserve"> by two researchers</w:t>
      </w:r>
      <w:r w:rsidR="00E87640" w:rsidRPr="00C862ED">
        <w:rPr>
          <w:rFonts w:eastAsia="Arial Unicode MS"/>
          <w:lang w:eastAsia="en-GB"/>
        </w:rPr>
        <w:t xml:space="preserve">, nine </w:t>
      </w:r>
      <w:r w:rsidRPr="00C862ED">
        <w:rPr>
          <w:rFonts w:eastAsia="Arial Unicode MS"/>
          <w:lang w:eastAsia="en-GB"/>
        </w:rPr>
        <w:t xml:space="preserve">studies </w:t>
      </w:r>
      <w:r w:rsidR="006A07E3" w:rsidRPr="00C862ED">
        <w:rPr>
          <w:rFonts w:eastAsia="Arial Unicode MS"/>
          <w:lang w:eastAsia="en-GB"/>
        </w:rPr>
        <w:t>(</w:t>
      </w:r>
      <w:r w:rsidR="006A07E3" w:rsidRPr="00C862ED">
        <w:t>84,756</w:t>
      </w:r>
      <w:r w:rsidR="006A07E3" w:rsidRPr="00C862ED">
        <w:rPr>
          <w:rFonts w:eastAsia="Arial Unicode MS"/>
          <w:lang w:eastAsia="en-GB"/>
        </w:rPr>
        <w:t xml:space="preserve"> individuals with and </w:t>
      </w:r>
      <w:r w:rsidR="006A07E3" w:rsidRPr="00C862ED">
        <w:t>1,398,946</w:t>
      </w:r>
      <w:r w:rsidR="006A07E3" w:rsidRPr="00C862ED">
        <w:rPr>
          <w:rFonts w:eastAsia="Arial Unicode MS"/>
          <w:lang w:eastAsia="en-GB"/>
        </w:rPr>
        <w:t xml:space="preserve"> without the disorder) </w:t>
      </w:r>
      <w:r w:rsidR="00E87640" w:rsidRPr="00C862ED">
        <w:rPr>
          <w:rFonts w:eastAsia="Arial Unicode MS"/>
          <w:lang w:eastAsia="en-GB"/>
        </w:rPr>
        <w:t xml:space="preserve">were retained. We pooled </w:t>
      </w:r>
      <w:r w:rsidRPr="00C862ED">
        <w:rPr>
          <w:rFonts w:eastAsia="Arial Unicode MS"/>
          <w:lang w:eastAsia="en-GB"/>
        </w:rPr>
        <w:t xml:space="preserve">hazard </w:t>
      </w:r>
      <w:r w:rsidR="0054320B" w:rsidRPr="00C862ED">
        <w:rPr>
          <w:rFonts w:eastAsia="Arial Unicode MS"/>
          <w:lang w:eastAsia="en-GB"/>
        </w:rPr>
        <w:t xml:space="preserve">and </w:t>
      </w:r>
      <w:r w:rsidRPr="00C862ED">
        <w:rPr>
          <w:rFonts w:eastAsia="Arial Unicode MS"/>
          <w:lang w:eastAsia="en-GB"/>
        </w:rPr>
        <w:t xml:space="preserve">odds ratios using </w:t>
      </w:r>
      <w:r w:rsidR="006A07E3" w:rsidRPr="00C862ED">
        <w:rPr>
          <w:rFonts w:eastAsia="Arial Unicode MS"/>
          <w:lang w:eastAsia="en-GB"/>
        </w:rPr>
        <w:t>R</w:t>
      </w:r>
      <w:r w:rsidRPr="00C862ED">
        <w:rPr>
          <w:rFonts w:eastAsia="Arial Unicode MS"/>
          <w:lang w:eastAsia="en-GB"/>
        </w:rPr>
        <w:t xml:space="preserve">obust </w:t>
      </w:r>
      <w:r w:rsidR="006A07E3" w:rsidRPr="00C862ED">
        <w:rPr>
          <w:rFonts w:eastAsia="Arial Unicode MS"/>
          <w:lang w:eastAsia="en-GB"/>
        </w:rPr>
        <w:t>V</w:t>
      </w:r>
      <w:r w:rsidRPr="00C862ED">
        <w:rPr>
          <w:rFonts w:eastAsia="Arial Unicode MS"/>
          <w:lang w:eastAsia="en-GB"/>
        </w:rPr>
        <w:t xml:space="preserve">ariance </w:t>
      </w:r>
      <w:r w:rsidR="006A07E3" w:rsidRPr="00C862ED">
        <w:rPr>
          <w:rFonts w:eastAsia="Arial Unicode MS"/>
          <w:lang w:eastAsia="en-GB"/>
        </w:rPr>
        <w:t>E</w:t>
      </w:r>
      <w:r w:rsidRPr="00C862ED">
        <w:rPr>
          <w:rFonts w:eastAsia="Arial Unicode MS"/>
          <w:lang w:eastAsia="en-GB"/>
        </w:rPr>
        <w:t>stimation</w:t>
      </w:r>
      <w:r w:rsidR="00E87640" w:rsidRPr="00C862ED">
        <w:rPr>
          <w:rFonts w:eastAsia="Arial Unicode MS"/>
          <w:lang w:eastAsia="en-GB"/>
        </w:rPr>
        <w:t xml:space="preserve">, </w:t>
      </w:r>
      <w:r w:rsidR="0043300B" w:rsidRPr="00C862ED">
        <w:rPr>
          <w:rFonts w:eastAsia="Arial Unicode MS"/>
          <w:lang w:eastAsia="en-GB"/>
        </w:rPr>
        <w:t xml:space="preserve">a </w:t>
      </w:r>
      <w:r w:rsidR="00E87640" w:rsidRPr="00C862ED">
        <w:rPr>
          <w:rFonts w:eastAsia="Arial Unicode MS"/>
          <w:lang w:eastAsia="en-GB"/>
        </w:rPr>
        <w:t>meta-analytic method aimed</w:t>
      </w:r>
      <w:r w:rsidRPr="00C862ED">
        <w:rPr>
          <w:rFonts w:eastAsia="Arial Unicode MS"/>
          <w:lang w:eastAsia="en-GB"/>
        </w:rPr>
        <w:t xml:space="preserve"> to deal with non-independence of outcomes</w:t>
      </w:r>
      <w:r w:rsidR="006A07E3" w:rsidRPr="00C862ED">
        <w:rPr>
          <w:rFonts w:eastAsia="Arial Unicode MS"/>
          <w:lang w:eastAsia="en-GB"/>
        </w:rPr>
        <w:t>.</w:t>
      </w:r>
      <w:r w:rsidRPr="00C862ED">
        <w:rPr>
          <w:rFonts w:eastAsia="Arial Unicode MS"/>
          <w:lang w:eastAsia="en-GB"/>
        </w:rPr>
        <w:t xml:space="preserve"> </w:t>
      </w:r>
      <w:r w:rsidR="00E87640" w:rsidRPr="00C862ED">
        <w:rPr>
          <w:rFonts w:eastAsia="Arial Unicode MS"/>
          <w:lang w:eastAsia="en-GB"/>
        </w:rPr>
        <w:t xml:space="preserve">We found that </w:t>
      </w:r>
      <w:r w:rsidRPr="00C862ED">
        <w:rPr>
          <w:rFonts w:eastAsia="Arial Unicode MS"/>
          <w:lang w:eastAsia="en-GB"/>
        </w:rPr>
        <w:t xml:space="preserve">ADHD </w:t>
      </w:r>
      <w:r w:rsidR="00F16AE9" w:rsidRPr="00C862ED">
        <w:rPr>
          <w:rFonts w:eastAsia="Arial Unicode MS"/>
          <w:lang w:eastAsia="en-GB"/>
        </w:rPr>
        <w:t xml:space="preserve">is </w:t>
      </w:r>
      <w:r w:rsidRPr="00C862ED">
        <w:rPr>
          <w:rFonts w:eastAsia="Arial Unicode MS"/>
          <w:lang w:eastAsia="en-GB"/>
        </w:rPr>
        <w:t xml:space="preserve">associated with a </w:t>
      </w:r>
      <w:r w:rsidR="006A07E3" w:rsidRPr="00C862ED">
        <w:rPr>
          <w:rFonts w:eastAsia="Arial Unicode MS"/>
          <w:lang w:eastAsia="en-GB"/>
        </w:rPr>
        <w:t xml:space="preserve">significantly </w:t>
      </w:r>
      <w:r w:rsidRPr="00C862ED">
        <w:rPr>
          <w:rFonts w:eastAsia="Arial Unicode MS"/>
          <w:lang w:eastAsia="en-GB"/>
        </w:rPr>
        <w:t xml:space="preserve">higher risk of poisoning </w:t>
      </w:r>
      <w:r w:rsidRPr="00C862ED">
        <w:t>(</w:t>
      </w:r>
      <w:r w:rsidR="0054320B" w:rsidRPr="00C862ED">
        <w:t>Relative Risk</w:t>
      </w:r>
      <w:r w:rsidRPr="00C862ED">
        <w:t xml:space="preserve"> = 3.14, 95% Confidence Interval</w:t>
      </w:r>
      <w:r w:rsidR="005624DB" w:rsidRPr="00C862ED">
        <w:t xml:space="preserve"> </w:t>
      </w:r>
      <w:r w:rsidRPr="00C862ED">
        <w:t>= 2.23</w:t>
      </w:r>
      <w:r w:rsidR="006A07E3" w:rsidRPr="00C862ED">
        <w:t xml:space="preserve"> to </w:t>
      </w:r>
      <w:r w:rsidRPr="00C862ED">
        <w:t>4.42)</w:t>
      </w:r>
      <w:r w:rsidRPr="00C862ED">
        <w:rPr>
          <w:rFonts w:eastAsia="Arial Unicode MS"/>
          <w:lang w:eastAsia="en-GB"/>
        </w:rPr>
        <w:t xml:space="preserve">. </w:t>
      </w:r>
      <w:r w:rsidR="00B758E8" w:rsidRPr="00C862ED">
        <w:rPr>
          <w:rFonts w:eastAsia="Arial Unicode MS"/>
          <w:lang w:eastAsia="en-GB"/>
        </w:rPr>
        <w:t>R</w:t>
      </w:r>
      <w:r w:rsidRPr="00C862ED">
        <w:rPr>
          <w:rFonts w:eastAsia="Arial Unicode MS"/>
          <w:lang w:eastAsia="en-GB"/>
        </w:rPr>
        <w:t>esults</w:t>
      </w:r>
      <w:r w:rsidR="00D77E34" w:rsidRPr="00C862ED">
        <w:rPr>
          <w:rFonts w:eastAsia="Arial Unicode MS"/>
          <w:lang w:eastAsia="en-GB"/>
        </w:rPr>
        <w:t xml:space="preserve"> also</w:t>
      </w:r>
      <w:r w:rsidRPr="00C862ED">
        <w:rPr>
          <w:rFonts w:eastAsia="Arial Unicode MS"/>
          <w:lang w:eastAsia="en-GB"/>
        </w:rPr>
        <w:t xml:space="preserve"> indicated that the</w:t>
      </w:r>
      <w:r w:rsidR="00CC46C2">
        <w:rPr>
          <w:rFonts w:eastAsia="Arial Unicode MS"/>
          <w:lang w:eastAsia="en-GB"/>
        </w:rPr>
        <w:t xml:space="preserve"> relative</w:t>
      </w:r>
      <w:r w:rsidRPr="00C862ED">
        <w:rPr>
          <w:rFonts w:eastAsia="Arial Unicode MS"/>
          <w:lang w:eastAsia="en-GB"/>
        </w:rPr>
        <w:t xml:space="preserve"> </w:t>
      </w:r>
      <w:r w:rsidR="00B758E8" w:rsidRPr="00C862ED">
        <w:rPr>
          <w:rFonts w:eastAsia="Arial Unicode MS"/>
          <w:lang w:eastAsia="en-GB"/>
        </w:rPr>
        <w:t>risk</w:t>
      </w:r>
      <w:r w:rsidR="00CC46C2">
        <w:rPr>
          <w:rFonts w:eastAsia="Arial Unicode MS"/>
          <w:lang w:eastAsia="en-GB"/>
        </w:rPr>
        <w:t xml:space="preserve"> </w:t>
      </w:r>
      <w:r w:rsidR="00B758E8" w:rsidRPr="00C862ED">
        <w:rPr>
          <w:rFonts w:eastAsia="Arial Unicode MS"/>
          <w:lang w:eastAsia="en-GB"/>
        </w:rPr>
        <w:t xml:space="preserve">of </w:t>
      </w:r>
      <w:r w:rsidR="00CC46C2">
        <w:rPr>
          <w:rFonts w:eastAsia="Arial Unicode MS"/>
          <w:lang w:eastAsia="en-GB"/>
        </w:rPr>
        <w:t xml:space="preserve">poisoning </w:t>
      </w:r>
      <w:r w:rsidR="00F16AE9" w:rsidRPr="00C862ED">
        <w:rPr>
          <w:rFonts w:eastAsia="Arial Unicode MS"/>
          <w:lang w:eastAsia="en-GB"/>
        </w:rPr>
        <w:t xml:space="preserve">is </w:t>
      </w:r>
      <w:r w:rsidRPr="00C862ED">
        <w:rPr>
          <w:rFonts w:eastAsia="Arial Unicode MS"/>
          <w:lang w:eastAsia="en-GB"/>
        </w:rPr>
        <w:t xml:space="preserve">significantly higher </w:t>
      </w:r>
      <w:r w:rsidR="00B758E8" w:rsidRPr="00C862ED">
        <w:rPr>
          <w:rFonts w:eastAsia="Arial Unicode MS"/>
          <w:lang w:eastAsia="en-GB"/>
        </w:rPr>
        <w:t xml:space="preserve">than that of </w:t>
      </w:r>
      <w:r w:rsidR="00CC46C2" w:rsidRPr="00C862ED">
        <w:rPr>
          <w:rFonts w:eastAsia="Arial Unicode MS"/>
          <w:lang w:eastAsia="en-GB"/>
        </w:rPr>
        <w:t>physical injuries</w:t>
      </w:r>
      <w:r w:rsidR="00B758E8" w:rsidRPr="00C862ED">
        <w:rPr>
          <w:rFonts w:eastAsia="Arial Unicode MS"/>
          <w:lang w:eastAsia="en-GB"/>
        </w:rPr>
        <w:t xml:space="preserve"> </w:t>
      </w:r>
      <w:r w:rsidR="00CC46C2">
        <w:rPr>
          <w:rFonts w:eastAsia="Arial Unicode MS"/>
          <w:lang w:eastAsia="en-GB"/>
        </w:rPr>
        <w:t xml:space="preserve">when comparing individuals with and without ADHD </w:t>
      </w:r>
      <w:r w:rsidRPr="00C862ED">
        <w:t xml:space="preserve">(Beta coefficient = 0.686, 95% </w:t>
      </w:r>
      <w:r w:rsidR="0043300B" w:rsidRPr="00C862ED">
        <w:t>Confidence Interval</w:t>
      </w:r>
      <w:r w:rsidRPr="00C862ED">
        <w:t xml:space="preserve"> = 0.166</w:t>
      </w:r>
      <w:r w:rsidR="005624DB" w:rsidRPr="00C862ED">
        <w:t xml:space="preserve"> to</w:t>
      </w:r>
      <w:r w:rsidRPr="00C862ED">
        <w:t xml:space="preserve"> 1.206)</w:t>
      </w:r>
      <w:r w:rsidRPr="00C862ED">
        <w:rPr>
          <w:rFonts w:eastAsia="Arial Unicode MS"/>
          <w:lang w:eastAsia="en-GB"/>
        </w:rPr>
        <w:t>. These findings should inform clinical guidelines</w:t>
      </w:r>
      <w:r w:rsidR="00E87640" w:rsidRPr="00C862ED">
        <w:rPr>
          <w:rFonts w:eastAsia="Arial Unicode MS"/>
          <w:lang w:eastAsia="en-GB"/>
        </w:rPr>
        <w:t xml:space="preserve"> and public health </w:t>
      </w:r>
      <w:r w:rsidR="00C862ED" w:rsidRPr="00C862ED">
        <w:rPr>
          <w:rFonts w:eastAsia="Arial Unicode MS"/>
          <w:lang w:eastAsia="en-GB"/>
        </w:rPr>
        <w:t>programs</w:t>
      </w:r>
      <w:r w:rsidR="00E87640" w:rsidRPr="00C862ED">
        <w:rPr>
          <w:rFonts w:eastAsia="Arial Unicode MS"/>
          <w:lang w:eastAsia="en-GB"/>
        </w:rPr>
        <w:t xml:space="preserve"> </w:t>
      </w:r>
      <w:r w:rsidRPr="00C862ED">
        <w:rPr>
          <w:rFonts w:eastAsia="Arial Unicode MS"/>
          <w:lang w:eastAsia="en-GB"/>
        </w:rPr>
        <w:t>aimed to reduce physical risks in children/adolescents with ADHD</w:t>
      </w:r>
      <w:r w:rsidR="00E87640" w:rsidRPr="00C862ED">
        <w:rPr>
          <w:rFonts w:eastAsia="Arial Unicode MS"/>
          <w:lang w:eastAsia="en-GB"/>
        </w:rPr>
        <w:t>.</w:t>
      </w:r>
    </w:p>
    <w:p w14:paraId="3316BD22" w14:textId="77777777" w:rsidR="009D7E78" w:rsidRPr="00C862ED" w:rsidRDefault="009D7E78" w:rsidP="00DB1B04">
      <w:pPr>
        <w:spacing w:after="160" w:line="259" w:lineRule="auto"/>
        <w:rPr>
          <w:rStyle w:val="Textoennegrita"/>
          <w:sz w:val="28"/>
          <w:szCs w:val="28"/>
        </w:rPr>
      </w:pPr>
      <w:r w:rsidRPr="00137592">
        <w:rPr>
          <w:rFonts w:eastAsia="Arial Unicode MS"/>
          <w:lang w:eastAsia="en-GB"/>
        </w:rPr>
        <w:br w:type="page"/>
      </w:r>
      <w:r w:rsidRPr="00C862ED">
        <w:rPr>
          <w:rStyle w:val="Textoennegrita"/>
          <w:sz w:val="28"/>
          <w:szCs w:val="28"/>
        </w:rPr>
        <w:lastRenderedPageBreak/>
        <w:t>Introduction</w:t>
      </w:r>
    </w:p>
    <w:p w14:paraId="0A62975F" w14:textId="77777777" w:rsidR="009D7E78" w:rsidRPr="00C862ED" w:rsidRDefault="009D7E78" w:rsidP="003F79B0">
      <w:pPr>
        <w:pStyle w:val="Sinespaciado"/>
        <w:rPr>
          <w:rStyle w:val="Textoennegrita"/>
          <w:sz w:val="28"/>
          <w:szCs w:val="28"/>
          <w:lang w:val="en-US"/>
        </w:rPr>
      </w:pPr>
    </w:p>
    <w:p w14:paraId="0355DF13" w14:textId="77777777" w:rsidR="009D7E78" w:rsidRPr="00C862ED" w:rsidRDefault="009D7E78" w:rsidP="00405C12">
      <w:pPr>
        <w:ind w:firstLine="720"/>
        <w:rPr>
          <w:rFonts w:eastAsia="Arial Unicode MS"/>
          <w:lang w:eastAsia="en-GB"/>
        </w:rPr>
      </w:pPr>
      <w:r w:rsidRPr="00C862ED">
        <w:rPr>
          <w:rFonts w:eastAsia="Arial Unicode MS"/>
          <w:lang w:eastAsia="en-GB"/>
        </w:rPr>
        <w:t>Poisoning is defined by the World Health Organization as “an injury that results from being exposed to an exogenous substance that causes cellular injury or death”</w:t>
      </w:r>
      <w:r w:rsidR="00E03B13" w:rsidRPr="00C862ED">
        <w:rPr>
          <w:rFonts w:eastAsia="Arial Unicode MS"/>
          <w:lang w:eastAsia="en-GB"/>
        </w:rPr>
        <w:fldChar w:fldCharType="begin" w:fldLock="1"/>
      </w:r>
      <w:r w:rsidR="00405C12" w:rsidRPr="00C862ED">
        <w:rPr>
          <w:rFonts w:eastAsia="Arial Unicode MS"/>
          <w:lang w:eastAsia="en-GB"/>
        </w:rPr>
        <w:instrText>ADDIN CSL_CITATION { "citationItems" : [ { "id" : "ITEM-1",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"ITEM-1", "issued" : { "date-parts" : [ [ "2008" ] ] }, "number-of-pages" : "232", "publisher-place" : "Geneva, Switzerland", "title" : "World report on child injury prevention", "type" : "report" }, "uris" : [ "http://www.mendeley.com/documents/?uuid=94f0a0ee-7b4d-4816-8ca8-4d27c40cf9f3" ] } ], "mendeley" : { "formattedCitation" : "&lt;sup&gt;1&lt;/sup&gt;", "plainTextFormattedCitation" : "1", "previouslyFormattedCitation" : "&lt;sup&gt;1&lt;/sup&gt;" }, "properties" : {  }, "schema" : "https://github.com/citation-style-language/schema/raw/master/csl-citation.json" }</w:instrText>
      </w:r>
      <w:r w:rsidR="00E03B13" w:rsidRPr="00C862ED">
        <w:rPr>
          <w:rFonts w:eastAsia="Arial Unicode MS"/>
          <w:lang w:eastAsia="en-GB"/>
        </w:rPr>
        <w:fldChar w:fldCharType="separate"/>
      </w:r>
      <w:r w:rsidR="00405C12" w:rsidRPr="00C862ED">
        <w:rPr>
          <w:rFonts w:eastAsia="Arial Unicode MS"/>
          <w:noProof/>
          <w:vertAlign w:val="superscript"/>
          <w:lang w:eastAsia="en-GB"/>
        </w:rPr>
        <w:t>1</w:t>
      </w:r>
      <w:r w:rsidR="00E03B13" w:rsidRPr="00C862ED">
        <w:rPr>
          <w:rFonts w:eastAsia="Arial Unicode MS"/>
          <w:lang w:eastAsia="en-GB"/>
        </w:rPr>
        <w:fldChar w:fldCharType="end"/>
      </w:r>
      <w:r w:rsidRPr="00C862ED">
        <w:rPr>
          <w:rFonts w:eastAsia="Arial Unicode MS"/>
          <w:lang w:eastAsia="en-GB"/>
        </w:rPr>
        <w:t>. Poisons can be inhaled, i</w:t>
      </w:r>
      <w:r w:rsidR="00405C12" w:rsidRPr="00C862ED">
        <w:rPr>
          <w:rFonts w:eastAsia="Arial Unicode MS"/>
          <w:lang w:eastAsia="en-GB"/>
        </w:rPr>
        <w:t xml:space="preserve">ngested, injected or absorbed. </w:t>
      </w:r>
      <w:r w:rsidRPr="00C862ED">
        <w:t>On a global scale, poisoning is estimated to cause 350,000 deaths every year, of which 45,000 refer to individuals under the age of twenty</w:t>
      </w:r>
      <w:r w:rsidR="00E03B13" w:rsidRPr="00C862ED">
        <w:rPr>
          <w:rFonts w:eastAsia="Arial Unicode MS"/>
          <w:lang w:eastAsia="en-GB"/>
        </w:rPr>
        <w:fldChar w:fldCharType="begin" w:fldLock="1"/>
      </w:r>
      <w:r w:rsidRPr="00C862ED">
        <w:rPr>
          <w:rFonts w:eastAsia="Arial Unicode MS"/>
          <w:lang w:eastAsia="en-GB"/>
        </w:rPr>
        <w:instrText>ADDIN CSL_CITATION { "citationItems" : [ { "id" : "ITEM-1",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"ITEM-1", "issued" : { "date-parts" : [ [ "2008" ] ] }, "number-of-pages" : "232", "publisher-place" : "Geneva, Switzerland", "title" : "World report on child injury prevention", "type" : "report" }, "uris" : [ "http://www.mendeley.com/documents/?uuid=94f0a0ee-7b4d-4816-8ca8-4d27c40cf9f3" ] } ], "mendeley" : { "formattedCitation" : "&lt;sup&gt;1&lt;/sup&gt;", "plainTextFormattedCitation" : "1", "previouslyFormattedCitation" : "&lt;sup&gt;1&lt;/sup&gt;" }, "properties" : {  }, "schema" : "https://github.com/citation-style-language/schema/raw/master/csl-citation.json" }</w:instrText>
      </w:r>
      <w:r w:rsidR="00E03B13" w:rsidRPr="00C862ED">
        <w:rPr>
          <w:rFonts w:eastAsia="Arial Unicode MS"/>
          <w:lang w:eastAsia="en-GB"/>
        </w:rPr>
        <w:fldChar w:fldCharType="separate"/>
      </w:r>
      <w:r w:rsidRPr="00C862ED">
        <w:rPr>
          <w:rFonts w:eastAsia="Arial Unicode MS"/>
          <w:noProof/>
          <w:vertAlign w:val="superscript"/>
          <w:lang w:eastAsia="en-GB"/>
        </w:rPr>
        <w:t>1</w:t>
      </w:r>
      <w:r w:rsidR="00E03B13" w:rsidRPr="00C862ED">
        <w:rPr>
          <w:rFonts w:eastAsia="Arial Unicode MS"/>
          <w:lang w:eastAsia="en-GB"/>
        </w:rPr>
        <w:fldChar w:fldCharType="end"/>
      </w:r>
      <w:r w:rsidR="00C63CD3" w:rsidRPr="00C862ED">
        <w:rPr>
          <w:rFonts w:eastAsia="Arial Unicode MS"/>
          <w:lang w:eastAsia="en-GB"/>
        </w:rPr>
        <w:t>, and</w:t>
      </w:r>
      <w:r w:rsidR="00351972" w:rsidRPr="00C862ED">
        <w:rPr>
          <w:rFonts w:eastAsia="Arial Unicode MS"/>
          <w:lang w:eastAsia="en-GB"/>
        </w:rPr>
        <w:t>,</w:t>
      </w:r>
      <w:r w:rsidR="00C63CD3" w:rsidRPr="00C862ED">
        <w:rPr>
          <w:rFonts w:eastAsia="Arial Unicode MS"/>
          <w:lang w:eastAsia="en-GB"/>
        </w:rPr>
        <w:t xml:space="preserve"> more generally, it leads to higher mortality and morbidity rates in this age group</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"URL" : "https://www.cdc.gov/injury/wisqars/fatal.html", "accessed" : { "date-parts" : [ [ "2017", "11", "21" ] ] }, "author" : [ { "dropping-particle" : "", "family" : "Centers for Disease Control and Prevention", "given" : "National Center for Injury Prevention and Control", "non-dropping-particle" : "", "parse-names" : false, "suffix" : "" } ], "id" : "ITEM-1", "issued" : { "date-parts" : [ [ "2017" ] ] }, "title" : "Fatal Injury Data", "type" : "webpage" }, "uris" : [ "http://www.mendeley.com/documents/?uuid=776f506c-0066-499c-a815-720d417ee9ef" ] }, { "id" : "ITEM-2", "itemData" : { "author" : [ { "dropping-particle" : "", "family" : "Albert M, McCaig LF", "given" : "Uddin S.", "non-dropping-particle" : "", "parse-names" : false, "suffix" : "" } ], "container-title" : "NCHS data brief, National Center for Health Statistics.", "id" : "ITEM-2", "issue" : "196", "issued" : { "date-parts" : [ [ "2015" ] ] }, "title" : "Emergency department visits for drug poisoning: United States, 2008\u20132011.", "type" : "report" }, "uris" : [ "http://www.mendeley.com/documents/?uuid=2055d5ee-6541-4c54-ab69-dc0aee0f0d78" ] }, { "id" : "ITEM-3", "itemData" : { "DOI" : "10.1136/archdischild-2015-309921", "ISSN" : "1468-2044", "PMID" : "27185085", "abstract" : "OBJECTIVE Accidental poisoning in young children is common, but severe or fatal events are rare. This study was performed to identify the number of such events occurring in the UK and the medications that were most commonly responsible. DESIGN Analysis of national data sets containing information relating to severe and fatal poisoning in children in the UK. DATA SOURCES Office of National Statistics mortality data for fatal poisoning; Paediatric Intensive Care Audit Network admissions database and the National Poisons Information Service for severe non-fatal poisoning; Hospital Episode Statistics for admission data for implicated agents. RESULTS Between 2001 and 2013, there were 28 children aged 4 years and under with a death registered as due to accidental poisoning by a pharmaceutical product in England and Wales. Methadone was the responsible drug in 16 (57%) cases. In the UK, 201 children aged 4 years and under were admitted to paediatric intensive care with pharmaceutical poisoning between 2002 and 2012. The agent(s) responsible was identified in 115 cases, most commonly benzodiazepines (22/115, 19%) and methadone (20/115, 17%). CONCLUSIONS Methadone is the most common pharmaceutical causing fatal poisoning and a common cause of intensive care unit admissions in young children in the UK.", "author" : [ { "dropping-particle" : "", "family" : "Anderson", "given" : "Mark", "non-dropping-particle" : "", "parse-names" : false, "suffix" : "" }, { "dropping-particle" : "", "family" : "Hawkins", "given" : "Leonard", "non-dropping-particle" : "", "parse-names" : false, "suffix" : "" }, { "dropping-particle" : "", "family" : "Eddleston", "given" : "Michael", "non-dropping-particle" : "", "parse-names" : false, "suffix" : "" }, { "dropping-particle" : "", "family" : "Thompson", "given" : "John P", "non-dropping-particle" : "", "parse-names" : false, "suffix" : "" }, { "dropping-particle" : "", "family" : "Vale", "given" : "J Allister", "non-dropping-particle" : "", "parse-names" : false, "suffix" : "" }, { "dropping-particle" : "", "family" : "Thomas", "given" : "Simon H L", "non-dropping-particle" : "", "parse-names" : false, "suffix" : "" } ], "container-title" : "Archives of disease in childhood", "id" : "ITEM-3", "issue" : "7", "issued" : { "date-parts" : [ [ "2016", "7" ] ] }, "page" : "653-6", "title" : "Severe and fatal pharmaceutical poisoning in young children in the UK.", "type" : "article-journal", "volume" : "101" }, "uris" : [ "http://www.mendeley.com/documents/?uuid=90764b22-2ac1-4b27-8f45-34e0d16d006a" ] }, { "id" : "ITEM-4", "itemData" : { "DOI" : "10.1097/PEC.0000000000001031", "ISSN" : "1535-1815", "PMID" : "28121975", "abstract" : "BACKGROUND AND OBJECTIVE Identifying international differences in the epidemiology of acute poisonings in children may help in improving prevention. We sought to evaluate the international epidemiological differences in acute poisonings in children presenting to emergency departments (EDs) from 8 different global regions. METHODS This was an international multicenter cross-sectional prospective study including children younger than 18 years with acute poisonings presenting to 105 EDs in 20 countries was conducted. Data collection started at each ED between January and September 2013, and continued for 1 year. RESULTS During the study period, we registered 363,245 pediatric ED presentations, of which 1727 were for poisoning (0.47%; 95% confidence interval, 0.45%-0.50%), with a significant variation in incidence between the regions. Full data were obtained for 1688 presentations. Most poisonings (1361 [80.6%]) occurred at home with either ingestion (1504 [89.0%]) or inhalation of the toxin (126 [7.6%]). Nonintentional exposures accounted for 1157 poisonings (68.5%; mainly in South America and Eastern Mediterranean region), with therapeutic drugs (494 [42.7%]), household products (310 [26.8%]), and pesticides (59 [5.1%]) being the most common toxins. Suicide attempts accounted for 233 exposures (13.8%; mainly in the Western Pacific region and North America), with therapeutic drugs (214 [91.8%], mainly psychotropics and acetaminophen) being the most common toxins. Significant differences between regions were found in both types of poisonings. Recreational poisonings were more common in Europe and Western Pacific region. No patient died. CONCLUSIONS There are substantial epidemiological differences in acute poisonings among children in different countries and regions of the globe. International best practices need to be identified for prevention of acute poisonings in childhood.", "author" : [ { "dropping-particle" : "", "family" : "Mintegi", "given" : "Santiago", "non-dropping-particle" : "", "parse-names" : false, "suffix" : "" }, { "dropping-particle" : "", "family" : "Azkunaga", "given" : "Beatriz", "non-dropping-particle" : "", "parse-names" : false, "suffix" : "" }, { "dropping-particle" : "", "family" : "Prego", "given" : "Javier", "non-dropping-particle" : "", "parse-names" : false, "suffix" : "" }, { "dropping-particle" : "", "family" : "Qureshi", "given" : "Nadeem", "non-dropping-particle" : "", "parse-names" : false, "suffix" : "" }, { "dropping-particle" : "", "family" : "Dalziel", "given" : "Stuart R", "non-dropping-particle" : "", "parse-names" : false, "suffix" : "" }, { "dropping-particle" : "", "family" : "Arana-Arri", "given" : "Eunate", "non-dropping-particle" : "", "parse-names" : false, "suffix" : "" }, { "dropping-particle" : "", "family" : "Acedo", "given" : "Yordana", "non-dropping-particle" : "", "parse-names" : false, "suffix" : "" }, { "dropping-particle" : "", "family" : "Martinez-Indart", "given" : "Lorea", "non-dropping-particle" : "", "parse-names" : false, "suffix" : "" }, { "dropping-particle" : "", "family" : "Urkaregi", "given" : "Arantza", "non-dropping-particle" : "", "parse-names" : false, "suffix" : "" }, { "dropping-particle" : "", "family" : "Salmon", "given" : "Nerea", "non-dropping-particle" : "", "parse-names" : false, "suffix" : "" }, { "dropping-particle" : "", "family" : "Benito", "given" : "Javier", "non-dropping-particle" : "", "parse-names" : false, "suffix" : "" }, { "dropping-particle" : "", "family" : "Kuppermann", "given" : "Nathan", "non-dropping-particle" : "", "parse-names" : false, "suffix" : "" }, { "dropping-particle" : "", "family" : "Pediatric Emergency Research Networks (PERN) Poisoning Working Group", "given" : "", "non-dropping-particle" : "", "parse-names" : false, "suffix" : "" } ], "container-title" : "Pediatric emergency care", "id" : "ITEM-4", "issued" : { "date-parts" : [ [ "2017" ] ] }, "title" : "International Epidemiological Differences in Acute Poisonings in Pediatric Emergency Departments.", "type" : "article-journal" }, "uris" : [ "http://www.mendeley.com/documents/?uuid=eb702ed3-f431-46d3-b6af-03d6d503c06a" ] }, { "id" : "ITEM-5", "itemData" : { "DOI" : "10.1080/15563650.2016.1245421", "ISSN" : "1556-9519", "PMID" : "28004588", "abstract" : "INTRODUCTION This is the 33rd Annual Report of the American Association of Poison Control Centers' (AAPCC) National Poison Data System (NPDS). As of 1 January 2015, 55 of the nation's poison centers (PCs) uploaded case data automatically to NPDS. The upload interval was 9.52 [7.40, 13.6] (median [25%, 75%]) minutes, creating a near real-time national exposure and information database and surveillance system. METHODS We analyzed the case data tabulating specific indices from NPDS. The methodology was similar to that of previous years. Where changes were introduced, the differences are identified. Poison center cases with medical outcomes of death were evaluated by a team of medical and clinical toxicologist reviewers using an ordinal scale of 1-6 to assess the Relative Contribution to Fatality (RCF) of the exposure. RESULTS In 2015, 2,792,130 closed encounters were logged by NPDS: 2,168,371 human exposures, 55,516 animal exposures, 560,467 information calls, 7657 human confirmed nonexposures, and 119 animal confirmed nonexposures. US PCs also made 2,695,699 follow-up calls in 2015. Total encounters showed a 3.42% decline from 2014, while health care facility (HCF) human exposure cases increased by 5.09% from 2014. All information calls decreased by 15.5% but HCF information calls increased 2.67%, and while medication identification requests (Drug ID) decreased 31.7%, human exposures reported to US PCs were essentially flat, increasing by 0.149%. Human exposures with less serious outcomes have decreased 2.95% per year since 2008 while those with more serious outcomes (moderate, major or death) have increased by 4.34% per year since 2000. The top 5 substance classes most frequently involved in all human exposures were analgesics (11.1%), household cleaning substances (7.54%), cosmetics/personal care products (7.41%), sedatives/hypnotics/antipsychotics (5.83%), and antidepressants (4.58%). Sedative/Hypnotics/Antipsychotics exposures as a class increased the most rapidly (2597 calls (11.4%)/year) over the last 14 years for cases showing more serious outcomes. The top 5 most common exposures in children age 5 years or less were cosmetics/personal care products (13.6%), household cleaning substances (11.2%), analgesics (9.12%), foreign bodies/toys/miscellaneous (6.45%), and topical preparations (5.33%). Drug identification requests comprised 35.0% of all information calls. NPDS documented 1831 human exposures resulting in death with 1371 human fatalities judge\u2026", "author" : [ { "dropping-particle" : "", "family" : "Mowry", "given" : "James B", "non-dropping-particle" : "", "parse-names" : false, "suffix" : "" }, { "dropping-particle" : "", "family" : "Spyker", "given" : "Daniel A", "non-dropping-particle" : "", "parse-names" : false, "suffix" : "" }, { "dropping-particle" : "", "family" : "Brooks", "given" : "Daniel E", "non-dropping-particle" : "", "parse-names" : false, "suffix" : "" }, { "dropping-particle" : "", "family" : "Zimmerman", "given" : "Ashlea", "non-dropping-particle" : "", "parse-names" : false, "suffix" : "" }, { "dropping-particle" : "", "family" : "Schauben", "given" : "Jay L", "non-dropping-particle" : "", "parse-names" : false, "suffix" : "" } ], "container-title" : "Clinical toxicology (Philadelphia, Pa.)", "id" : "ITEM-5", "issue" : "10", "issued" : { "date-parts" : [ [ "2016", "12" ] ] }, "page" : "924-1109", "title" : "2015 Annual Report of the American Association of Poison Control Centers' National Poison Data System (NPDS): 33rd Annual Report.", "type" : "article-journal", "volume" : "54" }, "uris" : [ "http://www.mendeley.com/documents/?uuid=f508d904-40bf-4c9e-a1c5-89668fb99163" ] } ], "mendeley" : { "formattedCitation" : "&lt;sup&gt;2\u20136&lt;/sup&gt;", "plainTextFormattedCitation" : "2\u20136", "previouslyFormattedCitation" : "&lt;sup&gt;2\u20136&lt;/sup&gt;"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2–6</w:t>
      </w:r>
      <w:r w:rsidR="00E03B13" w:rsidRPr="00C862ED">
        <w:rPr>
          <w:rFonts w:eastAsia="Arial Unicode MS"/>
          <w:lang w:eastAsia="en-GB"/>
        </w:rPr>
        <w:fldChar w:fldCharType="end"/>
      </w:r>
      <w:r w:rsidRPr="00C862ED">
        <w:rPr>
          <w:rFonts w:eastAsia="Arial Unicode MS"/>
          <w:lang w:eastAsia="en-GB"/>
        </w:rPr>
        <w:t xml:space="preserve">. </w:t>
      </w:r>
    </w:p>
    <w:p w14:paraId="105B7AED" w14:textId="77777777" w:rsidR="009D7E78" w:rsidRPr="00C862ED" w:rsidRDefault="009D7E78" w:rsidP="00E31716">
      <w:pPr>
        <w:ind w:firstLine="720"/>
        <w:rPr>
          <w:rFonts w:eastAsia="Arial Unicode MS"/>
          <w:lang w:eastAsia="en-GB"/>
        </w:rPr>
      </w:pPr>
      <w:r w:rsidRPr="00C862ED">
        <w:rPr>
          <w:rFonts w:eastAsia="Arial Unicode MS"/>
          <w:lang w:eastAsia="en-GB"/>
        </w:rPr>
        <w:t>Risk factors for poisonings include age</w:t>
      </w:r>
      <w:r w:rsidR="006278D0" w:rsidRPr="00C862ED">
        <w:rPr>
          <w:rFonts w:eastAsia="Arial Unicode MS"/>
          <w:lang w:eastAsia="en-GB"/>
        </w:rPr>
        <w:t xml:space="preserve"> and</w:t>
      </w:r>
      <w:r w:rsidRPr="00C862ED">
        <w:rPr>
          <w:rFonts w:eastAsia="Arial Unicode MS"/>
          <w:lang w:eastAsia="en-GB"/>
        </w:rPr>
        <w:t xml:space="preserve"> sex, among others. Being male </w:t>
      </w:r>
      <w:r w:rsidR="003A5E31" w:rsidRPr="00C862ED">
        <w:rPr>
          <w:rFonts w:eastAsia="Arial Unicode MS"/>
          <w:lang w:eastAsia="en-GB"/>
        </w:rPr>
        <w:t xml:space="preserve">is </w:t>
      </w:r>
      <w:r w:rsidRPr="00C862ED">
        <w:rPr>
          <w:rFonts w:eastAsia="Arial Unicode MS"/>
          <w:lang w:eastAsia="en-GB"/>
        </w:rPr>
        <w:t>related to a higher poisoning risk across all age groups</w:t>
      </w:r>
      <w:r w:rsidR="00E03B13" w:rsidRPr="00C862ED">
        <w:rPr>
          <w:rFonts w:eastAsia="Arial Unicode MS"/>
          <w:lang w:eastAsia="en-GB"/>
        </w:rPr>
        <w:fldChar w:fldCharType="begin" w:fldLock="1"/>
      </w:r>
      <w:r w:rsidR="0043300B" w:rsidRPr="00C862ED">
        <w:rPr>
          <w:rFonts w:eastAsia="Arial Unicode MS"/>
          <w:lang w:eastAsia="en-GB"/>
        </w:rPr>
        <w:instrText>ADDIN CSL_CITATION { "citationItems" : [ { "id" : "ITEM-1", "itemData" : { "DOI" : "10.1097/PEC.0000000000001031", "ISSN" : "1535-1815", "PMID" : "28121975", "abstract" : "BACKGROUND AND OBJECTIVE Identifying international differences in the epidemiology of acute poisonings in children may help in improving prevention. We sought to evaluate the international epidemiological differences in acute poisonings in children presenting to emergency departments (EDs) from 8 different global regions. METHODS This was an international multicenter cross-sectional prospective study including children younger than 18 years with acute poisonings presenting to 105 EDs in 20 countries was conducted. Data collection started at each ED between January and September 2013, and continued for 1 year. RESULTS During the study period, we registered 363,245 pediatric ED presentations, of which 1727 were for poisoning (0.47%; 95% confidence interval, 0.45%-0.50%), with a significant variation in incidence between the regions. Full data were obtained for 1688 presentations. Most poisonings (1361 [80.6%]) occurred at home with either ingestion (1504 [89.0%]) or inhalation of the toxin (126 [7.6%]). Nonintentional exposures accounted for 1157 poisonings (68.5%; mainly in South America and Eastern Mediterranean region), with therapeutic drugs (494 [42.7%]), household products (310 [26.8%]), and pesticides (59 [5.1%]) being the most common toxins. Suicide attempts accounted for 233 exposures (13.8%; mainly in the Western Pacific region and North America), with therapeutic drugs (214 [91.8%], mainly psychotropics and acetaminophen) being the most common toxins. Significant differences between regions were found in both types of poisonings. Recreational poisonings were more common in Europe and Western Pacific region. No patient died. CONCLUSIONS There are substantial epidemiological differences in acute poisonings among children in different countries and regions of the globe. International best practices need to be identified for prevention of acute poisonings in childhood.", "author" : [ { "dropping-particle" : "", "family" : "Mintegi", "given" : "Santiago", "non-dropping-particle" : "", "parse-names" : false, "suffix" : "" }, { "dropping-particle" : "", "family" : "Azkunaga", "given" : "Beatriz", "non-dropping-particle" : "", "parse-names" : false, "suffix" : "" }, { "dropping-particle" : "", "family" : "Prego", "given" : "Javier", "non-dropping-particle" : "", "parse-names" : false, "suffix" : "" }, { "dropping-particle" : "", "family" : "Qureshi", "given" : "Nadeem", "non-dropping-particle" : "", "parse-names" : false, "suffix" : "" }, { "dropping-particle" : "", "family" : "Dalziel", "given" : "Stuart R", "non-dropping-particle" : "", "parse-names" : false, "suffix" : "" }, { "dropping-particle" : "", "family" : "Arana-Arri", "given" : "Eunate", "non-dropping-particle" : "", "parse-names" : false, "suffix" : "" }, { "dropping-particle" : "", "family" : "Acedo", "given" : "Yordana", "non-dropping-particle" : "", "parse-names" : false, "suffix" : "" }, { "dropping-particle" : "", "family" : "Martinez-Indart", "given" : "Lorea", "non-dropping-particle" : "", "parse-names" : false, "suffix" : "" }, { "dropping-particle" : "", "family" : "Urkaregi", "given" : "Arantza", "non-dropping-particle" : "", "parse-names" : false, "suffix" : "" }, { "dropping-particle" : "", "family" : "Salmon", "given" : "Nerea", "non-dropping-particle" : "", "parse-names" : false, "suffix" : "" }, { "dropping-particle" : "", "family" : "Benito", "given" : "Javier", "non-dropping-particle" : "", "parse-names" : false, "suffix" : "" }, { "dropping-particle" : "", "family" : "Kuppermann", "given" : "Nathan", "non-dropping-particle" : "", "parse-names" : false, "suffix" : "" }, { "dropping-particle" : "", "family" : "Pediatric Emergency Research Networks (PERN) Poisoning Working Group", "given" : "", "non-dropping-particle" : "", "parse-names" : false, "suffix" : "" } ], "container-title" : "Pediatric emergency care", "id" : "ITEM-1", "issued" : { "date-parts" : [ [ "2017" ] ] }, "title" : "International Epidemiological Differences in Acute Poisonings in Pediatric Emergency Departments.", "type" : "article-journal" }, "uris" : [ "http://www.mendeley.com/documents/?uuid=eb702ed3-f431-46d3-b6af-03d6d503c06a" ] }, { "id" : "ITEM-2",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"ITEM-2", "issued" : { "date-parts" : [ [ "2008" ] ] }, "number-of-pages" : "232", "publisher-place" : "Geneva, Switzerland", "title" : "World report on child injury prevention", "type" : "report" }, "uris" : [ "http://www.mendeley.com/documents/?uuid=94f0a0ee-7b4d-4816-8ca8-4d27c40cf9f3" ] } ], "mendeley" : { "formattedCitation" : "&lt;sup&gt;1,5&lt;/sup&gt;", "plainTextFormattedCitation" : "1,5", "previouslyFormattedCitation" : "&lt;sup&gt;1,5&lt;/sup&gt;" }, "properties" : {  }, "schema" : "https://github.com/citation-style-language/schema/raw/master/csl-citation.json" }</w:instrText>
      </w:r>
      <w:r w:rsidR="00E03B13" w:rsidRPr="00C862ED">
        <w:rPr>
          <w:rFonts w:eastAsia="Arial Unicode MS"/>
          <w:lang w:eastAsia="en-GB"/>
        </w:rPr>
        <w:fldChar w:fldCharType="separate"/>
      </w:r>
      <w:r w:rsidR="0043300B" w:rsidRPr="00C862ED">
        <w:rPr>
          <w:rFonts w:eastAsia="Arial Unicode MS"/>
          <w:noProof/>
          <w:vertAlign w:val="superscript"/>
          <w:lang w:eastAsia="en-GB"/>
        </w:rPr>
        <w:t>1,5</w:t>
      </w:r>
      <w:r w:rsidR="00E03B13" w:rsidRPr="00C862ED">
        <w:rPr>
          <w:rFonts w:eastAsia="Arial Unicode MS"/>
          <w:lang w:eastAsia="en-GB"/>
        </w:rPr>
        <w:fldChar w:fldCharType="end"/>
      </w:r>
      <w:r w:rsidRPr="00C862ED">
        <w:rPr>
          <w:rFonts w:eastAsia="Arial Unicode MS"/>
          <w:lang w:eastAsia="en-GB"/>
        </w:rPr>
        <w:t xml:space="preserve">. The relationship between age and risk of poisoning has a bimodal distribution with two peaks of highest risk between the ages </w:t>
      </w:r>
      <w:r w:rsidRPr="00C862ED">
        <w:t>of 1 and 4, as well as between 13 and 18 years of age</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"10.1097/PEC.0000000000001031", "ISSN" : "1535-1815", "PMID" : "28121975", "abstract" : "BACKGROUND AND OBJECTIVE Identifying international differences in the epidemiology of acute poisonings in children may help in improving prevention. We sought to evaluate the international epidemiological differences in acute poisonings in children presenting to emergency departments (EDs) from 8 different global regions. METHODS This was an international multicenter cross-sectional prospective study including children younger than 18 years with acute poisonings presenting to 105 EDs in 20 countries was conducted. Data collection started at each ED between January and September 2013, and continued for 1 year. RESULTS During the study period, we registered 363,245 pediatric ED presentations, of which 1727 were for poisoning (0.47%; 95% confidence interval, 0.45%-0.50%), with a significant variation in incidence between the regions. Full data were obtained for 1688 presentations. Most poisonings (1361 [80.6%]) occurred at home with either ingestion (1504 [89.0%]) or inhalation of the toxin (126 [7.6%]). Nonintentional exposures accounted for 1157 poisonings (68.5%; mainly in South America and Eastern Mediterranean region), with therapeutic drugs (494 [42.7%]), household products (310 [26.8%]), and pesticides (59 [5.1%]) being the most common toxins. Suicide attempts accounted for 233 exposures (13.8%; mainly in the Western Pacific region and North America), with therapeutic drugs (214 [91.8%], mainly psychotropics and acetaminophen) being the most common toxins. Significant differences between regions were found in both types of poisonings. Recreational poisonings were more common in Europe and Western Pacific region. No patient died. CONCLUSIONS There are substantial epidemiological differences in acute poisonings among children in different countries and regions of the globe. International best practices need to be identified for prevention of acute poisonings in childhood.", "author" : [ { "dropping-particle" : "", "family" : "Mintegi", "given" : "Santiago", "non-dropping-particle" : "", "parse-names" : false, "suffix" : "" }, { "dropping-particle" : "", "family" : "Azkunaga", "given" : "Beatriz", "non-dropping-particle" : "", "parse-names" : false, "suffix" : "" }, { "dropping-particle" : "", "family" : "Prego", "given" : "Javier", "non-dropping-particle" : "", "parse-names" : false, "suffix" : "" }, { "dropping-particle" : "", "family" : "Qureshi", "given" : "Nadeem", "non-dropping-particle" : "", "parse-names" : false, "suffix" : "" }, { "dropping-particle" : "", "family" : "Dalziel", "given" : "Stuart R", "non-dropping-particle" : "", "parse-names" : false, "suffix" : "" }, { "dropping-particle" : "", "family" : "Arana-Arri", "given" : "Eunate", "non-dropping-particle" : "", "parse-names" : false, "suffix" : "" }, { "dropping-particle" : "", "family" : "Acedo", "given" : "Yordana", "non-dropping-particle" : "", "parse-names" : false, "suffix" : "" }, { "dropping-particle" : "", "family" : "Martinez-Indart", "given" : "Lorea", "non-dropping-particle" : "", "parse-names" : false, "suffix" : "" }, { "dropping-particle" : "", "family" : "Urkaregi", "given" : "Arantza", "non-dropping-particle" : "", "parse-names" : false, "suffix" : "" }, { "dropping-particle" : "", "family" : "Salmon", "given" : "Nerea", "non-dropping-particle" : "", "parse-names" : false, "suffix" : "" }, { "dropping-particle" : "", "family" : "Benito", "given" : "Javier", "non-dropping-particle" : "", "parse-names" : false, "suffix" : "" }, { "dropping-particle" : "", "family" : "Kuppermann", "given" : "Nathan", "non-dropping-particle" : "", "parse-names" : false, "suffix" : "" }, { "dropping-particle" : "", "family" : "Pediatric Emergency Research Networks (PERN) Poisoning Working Group", "given" : "", "non-dropping-particle" : "", "parse-names" : false, "suffix" : "" } ], "container-title" : "Pediatric emergency care", "id" : "ITEM-1", "issued" : { "date-parts" : [ [ "2017" ] ] }, "title" : "International Epidemiological Differences in Acute Poisonings in Pediatric Emergency Departments.", "type" : "article-journal" }, "uris" : [ "http://www.mendeley.com/documents/?uuid=eb702ed3-f431-46d3-b6af-03d6d503c06a" ] }, { "id" : "ITEM-2",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"ITEM-2", "issued" : { "date-parts" : [ [ "2008" ] ] }, "number-of-pages" : "232", "publisher-place" : "Geneva, Switzerland", "title" : "World report on child injury prevention", "type" : "report" }, "uris" : [ "http://www.mendeley.com/documents/?uuid=94f0a0ee-7b4d-4816-8ca8-4d27c40cf9f3" ] } ], "mendeley" : { "formattedCitation" : "&lt;sup&gt;1,5&lt;/sup&gt;", "plainTextFormattedCitation" : "1,5", "previouslyFormattedCitation" : "&lt;sup&gt;1,5&lt;/sup&gt;"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1,5</w:t>
      </w:r>
      <w:r w:rsidR="00E03B13" w:rsidRPr="00C862ED">
        <w:rPr>
          <w:rFonts w:eastAsia="Arial Unicode MS"/>
          <w:lang w:eastAsia="en-GB"/>
        </w:rPr>
        <w:fldChar w:fldCharType="end"/>
      </w:r>
      <w:r w:rsidRPr="00C862ED">
        <w:rPr>
          <w:rFonts w:eastAsia="Arial Unicode MS"/>
          <w:lang w:eastAsia="en-GB"/>
        </w:rPr>
        <w:t xml:space="preserve">. Age is also associated with a change in the mechanism of poisoning: whereas most poisonings before the age of fourteen are unintentional, the proportion of intentional poisonings increases </w:t>
      </w:r>
      <w:r w:rsidRPr="00C862ED">
        <w:t>dramatically from that age on</w:t>
      </w:r>
      <w:r w:rsidR="00351972" w:rsidRPr="00C862ED">
        <w:t>ward</w:t>
      </w:r>
      <w:r w:rsidR="00E03B13" w:rsidRPr="00C862ED">
        <w:rPr>
          <w:rFonts w:eastAsia="Arial Unicode MS"/>
          <w:lang w:eastAsia="en-GB"/>
        </w:rPr>
        <w:fldChar w:fldCharType="begin" w:fldLock="1"/>
      </w:r>
      <w:r w:rsidRPr="00C862ED">
        <w:rPr>
          <w:rFonts w:eastAsia="Arial Unicode MS"/>
          <w:lang w:eastAsia="en-GB"/>
        </w:rPr>
        <w:instrText>ADDIN CSL_CITATION { "citationItems" : [ { "id" : "ITEM-1", "itemData" : { "DOI" : "10.1111/j.1651-2227.2012.02714.x", "ISSN" : "1651-2227", "PMID" : "22537208", "abstract" : "AIM To study poisoning mortality from birth to the end of teenage. METHODS Registry study within the Danish population including all deaths from poisoning in the 0-19-year age groups for the years 1970-2006. RESULTS Poisoning mortality was age dependent with a modest peak in preschool children because of accidents and a very steep increase from 0.1/10(5) person years (p.y.) at 12 years to 6.1/10(5) p.y. at 19 years. Accidents, suicide and undetermined manner of death all contributed to the increase. A significant proportion of accidental and undetermined manner of death was caused by opioides and probably abuse related. During the study period, mortality decreased by more than 50% with all manners of death contributing significantly to the decline. Carbon monoxide poisoning was the overall dominating cause of death and contributed most to reduction in mortality. Poisoning death caused by opioides and unspecified drugs was unchanged over time. CONCLUSION Poisoning mortality among the youngest Danish children was dominated by accidental poisonings. During teenage, the level and pattern of adults was approached with respect to suicidal and abuse related deaths. A fall in mortality since mid-eighties was explained by fewer deaths from carbon monoxide poisoning.", "author" : [ { "dropping-particle" : "", "family" : "Jacobsen", "given" : "Peter", "non-dropping-particle" : "", "parse-names" : false, "suffix" : "" }, { "dropping-particle" : "", "family" : "Juel", "given" : "Knud", "non-dropping-particle" : "", "parse-names" : false, "suffix" : "" } ], "container-title" : "Acta paediatrica (Oslo, Norway : 1992)", "id" : "ITEM-1", "issue" : "8", "issued" : { "date-parts" : [ [ "2012", "8" ] ] }, "page" : "873-6", "title" : "Poisoning mortality in Danish children and adolescents, 1970-2006 - a registry-based study.", "type" : "article-journal", "volume" : "101" }, "uris" : [ "http://www.mendeley.com/documents/?uuid=0c43f9e6-ba81-4093-ab95-e1eea41397d8" ] }, { "id" : "ITEM-2",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"ITEM-2", "issued" : { "date-parts" : [ [ "2008" ] ] }, "number-of-pages" : "232", "publisher-place" : "Geneva, Switzerland", "title" : "World report on child injury prevention", "type" : "report" }, "uris" : [ "http://www.mendeley.com/documents/?uuid=94f0a0ee-7b4d-4816-8ca8-4d27c40cf9f3" ] } ], "mendeley" : { "formattedCitation" : "&lt;sup&gt;1,7&lt;/sup&gt;", "plainTextFormattedCitation" : "1,7", "previouslyFormattedCitation" : "&lt;sup&gt;1,7&lt;/sup&gt;" }, "properties" : {  }, "schema" : "https://github.com/citation-style-language/schema/raw/master/csl-citation.json" }</w:instrText>
      </w:r>
      <w:r w:rsidR="00E03B13" w:rsidRPr="00C862ED">
        <w:rPr>
          <w:rFonts w:eastAsia="Arial Unicode MS"/>
          <w:lang w:eastAsia="en-GB"/>
        </w:rPr>
        <w:fldChar w:fldCharType="separate"/>
      </w:r>
      <w:r w:rsidRPr="00C862ED">
        <w:rPr>
          <w:rFonts w:eastAsia="Arial Unicode MS"/>
          <w:noProof/>
          <w:vertAlign w:val="superscript"/>
          <w:lang w:eastAsia="en-GB"/>
        </w:rPr>
        <w:t>1,7</w:t>
      </w:r>
      <w:r w:rsidR="00E03B13" w:rsidRPr="00C862ED">
        <w:rPr>
          <w:rFonts w:eastAsia="Arial Unicode MS"/>
          <w:lang w:eastAsia="en-GB"/>
        </w:rPr>
        <w:fldChar w:fldCharType="end"/>
      </w:r>
      <w:r w:rsidR="00351972" w:rsidRPr="00C862ED">
        <w:rPr>
          <w:rFonts w:eastAsia="Arial Unicode MS"/>
          <w:lang w:eastAsia="en-GB"/>
        </w:rPr>
        <w:t>.</w:t>
      </w:r>
      <w:r w:rsidRPr="00C862ED">
        <w:rPr>
          <w:rFonts w:eastAsia="Arial Unicode MS"/>
          <w:lang w:eastAsia="en-GB"/>
        </w:rPr>
        <w:t xml:space="preserve"> </w:t>
      </w:r>
      <w:r w:rsidRPr="00C862ED">
        <w:t>The majority of suicide intents in adolescents consist of intentional intoxications</w:t>
      </w:r>
      <w:r w:rsidR="00E03B13" w:rsidRPr="00C862ED">
        <w:rPr>
          <w:rFonts w:eastAsia="Arial Unicode MS"/>
          <w:lang w:eastAsia="en-GB"/>
        </w:rPr>
        <w:fldChar w:fldCharType="begin" w:fldLock="1"/>
      </w:r>
      <w:r w:rsidR="00DE1586" w:rsidRPr="00C862ED">
        <w:rPr>
          <w:rFonts w:eastAsia="Arial Unicode MS"/>
          <w:lang w:eastAsia="en-GB"/>
        </w:rPr>
        <w:instrText>ADDIN CSL_CITATION { "citationItems" : [ { "id" : "ITEM-1", "itemData" : { "DOI" : "10.1080/15563650.2016.1245421", "ISSN" : "1556-9519", "PMID" : "28004588", "abstract" : "INTRODUCTION This is the 33rd Annual Report of the American Association of Poison Control Centers' (AAPCC) National Poison Data System (NPDS). As of 1 January 2015, 55 of the nation's poison centers (PCs) uploaded case data automatically to NPDS. The upload interval was 9.52 [7.40, 13.6] (median [25%, 75%]) minutes, creating a near real-time national exposure and information database and surveillance system. METHODS We analyzed the case data tabulating specific indices from NPDS. The methodology was similar to that of previous years. Where changes were introduced, the differences are identified. Poison center cases with medical outcomes of death were evaluated by a team of medical and clinical toxicologist reviewers using an ordinal scale of 1-6 to assess the Relative Contribution to Fatality (RCF) of the exposure. RESULTS In 2015, 2,792,130 closed encounters were logged by NPDS: 2,168,371 human exposures, 55,516 animal exposures, 560,467 information calls, 7657 human confirmed nonexposures, and 119 animal confirmed nonexposures. US PCs also made 2,695,699 follow-up calls in 2015. Total encounters showed a 3.42% decline from 2014, while health care facility (HCF) human exposure cases increased by 5.09% from 2014. All information calls decreased by 15.5% but HCF information calls increased 2.67%, and while medication identification requests (Drug ID) decreased 31.7%, human exposures reported to US PCs were essentially flat, increasing by 0.149%. Human exposures with less serious outcomes have decreased 2.95% per year since 2008 while those with more serious outcomes (moderate, major or death) have increased by 4.34% per year since 2000. The top 5 substance classes most frequently involved in all human exposures were analgesics (11.1%), household cleaning substances (7.54%), cosmetics/personal care products (7.41%), sedatives/hypnotics/antipsychotics (5.83%), and antidepressants (4.58%). Sedative/Hypnotics/Antipsychotics exposures as a class increased the most rapidly (2597 calls (11.4%)/year) over the last 14 years for cases showing more serious outcomes. The top 5 most common exposures in children age 5 years or less were cosmetics/personal care products (13.6%), household cleaning substances (11.2%), analgesics (9.12%), foreign bodies/toys/miscellaneous (6.45%), and topical preparations (5.33%). Drug identification requests comprised 35.0% of all information calls. NPDS documented 1831 human exposures resulting in death with 1371 human fatalities judge\u2026", "author" : [ { "dropping-particle" : "", "family" : "Mowry", "given" : "James B", "non-dropping-particle" : "", "parse-names" : false, "suffix" : "" }, { "dropping-particle" : "", "family" : "Spyker", "given" : "Daniel A", "non-dropping-particle" : "", "parse-names" : false, "suffix" : "" }, { "dropping-particle" : "", "family" : "Brooks", "given" : "Daniel E", "non-dropping-particle" : "", "parse-names" : false, "suffix" : "" }, { "dropping-particle" : "", "family" : "Zimmerman", "given" : "Ashlea", "non-dropping-particle" : "", "parse-names" : false, "suffix" : "" }, { "dropping-particle" : "", "family" : "Schauben", "given" : "Jay L", "non-dropping-particle" : "", "parse-names" : false, "suffix" : "" } ], "container-title" : "Clinical toxicology (Philadelphia, Pa.)", "id" : "ITEM-1", "issue" : "10", "issued" : { "date-parts" : [ [ "2016", "12" ] ] }, "page" : "924-1109", "title" : "2015 Annual Report of the American Association of Poison Control Centers' National Poison Data System (NPDS): 33rd Annual Report.", "type" : "article-journal", "volume" : "54" }, "uris" : [ "http://www.mendeley.com/documents/?uuid=f508d904-40bf-4c9e-a1c5-89668fb99163" ] }, { "id" : "ITEM-2",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"ITEM-2", "issued" : { "date-parts" : [ [ "2008" ] ] }, "number-of-pages" : "232", "publisher-place" : "Geneva, Switzerland", "title" : "World report on child injury prevention", "type" : "report" }, "uris" : [ "http://www.mendeley.com/documents/?uuid=94f0a0ee-7b4d-4816-8ca8-4d27c40cf9f3" ] } ], "mendeley" : { "formattedCitation" : "&lt;sup&gt;1,6&lt;/sup&gt;", "plainTextFormattedCitation" : "1,6", "previouslyFormattedCitation" : "&lt;sup&gt;1,6&lt;/sup&gt;" }, "properties" : {  }, "schema" : "https://github.com/citation-style-language/schema/raw/master/csl-citation.json" }</w:instrText>
      </w:r>
      <w:r w:rsidR="00E03B13" w:rsidRPr="00C862ED">
        <w:rPr>
          <w:rFonts w:eastAsia="Arial Unicode MS"/>
          <w:lang w:eastAsia="en-GB"/>
        </w:rPr>
        <w:fldChar w:fldCharType="separate"/>
      </w:r>
      <w:r w:rsidR="00FA6977" w:rsidRPr="00C862ED">
        <w:rPr>
          <w:rFonts w:eastAsia="Arial Unicode MS"/>
          <w:noProof/>
          <w:vertAlign w:val="superscript"/>
          <w:lang w:eastAsia="en-GB"/>
        </w:rPr>
        <w:t>1,6</w:t>
      </w:r>
      <w:r w:rsidR="00E03B13" w:rsidRPr="00C862ED">
        <w:rPr>
          <w:rFonts w:eastAsia="Arial Unicode MS"/>
          <w:lang w:eastAsia="en-GB"/>
        </w:rPr>
        <w:fldChar w:fldCharType="end"/>
      </w:r>
      <w:r w:rsidRPr="00C862ED">
        <w:rPr>
          <w:rFonts w:eastAsia="Arial Unicode MS"/>
          <w:lang w:eastAsia="en-GB"/>
        </w:rPr>
        <w:t>, accounting for one third of total poisonings in that age range</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"10.1097/PEC.0000000000001031", "ISSN" : "1535-1815", "PMID" : "28121975", "abstract" : "BACKGROUND AND OBJECTIVE Identifying international differences in the epidemiology of acute poisonings in children may help in improving prevention. We sought to evaluate the international epidemiological differences in acute poisonings in children presenting to emergency departments (EDs) from 8 different global regions. METHODS This was an international multicenter cross-sectional prospective study including children younger than 18 years with acute poisonings presenting to 105 EDs in 20 countries was conducted. Data collection started at each ED between January and September 2013, and continued for 1 year. RESULTS During the study period, we registered 363,245 pediatric ED presentations, of which 1727 were for poisoning (0.47%; 95% confidence interval, 0.45%-0.50%), with a significant variation in incidence between the regions. Full data were obtained for 1688 presentations. Most poisonings (1361 [80.6%]) occurred at home with either ingestion (1504 [89.0%]) or inhalation of the toxin (126 [7.6%]). Nonintentional exposures accounted for 1157 poisonings (68.5%; mainly in South America and Eastern Mediterranean region), with therapeutic drugs (494 [42.7%]), household products (310 [26.8%]), and pesticides (59 [5.1%]) being the most common toxins. Suicide attempts accounted for 233 exposures (13.8%; mainly in the Western Pacific region and North America), with therapeutic drugs (214 [91.8%], mainly psychotropics and acetaminophen) being the most common toxins. Significant differences between regions were found in both types of poisonings. Recreational poisonings were more common in Europe and Western Pacific region. No patient died. CONCLUSIONS There are substantial epidemiological differences in acute poisonings among children in different countries and regions of the globe. International best practices need to be identified for prevention of acute poisonings in childhood.", "author" : [ { "dropping-particle" : "", "family" : "Mintegi", "given" : "Santiago", "non-dropping-particle" : "", "parse-names" : false, "suffix" : "" }, { "dropping-particle" : "", "family" : "Azkunaga", "given" : "Beatriz", "non-dropping-particle" : "", "parse-names" : false, "suffix" : "" }, { "dropping-particle" : "", "family" : "Prego", "given" : "Javier", "non-dropping-particle" : "", "parse-names" : false, "suffix" : "" }, { "dropping-particle" : "", "family" : "Qureshi", "given" : "Nadeem", "non-dropping-particle" : "", "parse-names" : false, "suffix" : "" }, { "dropping-particle" : "", "family" : "Dalziel", "given" : "Stuart R", "non-dropping-particle" : "", "parse-names" : false, "suffix" : "" }, { "dropping-particle" : "", "family" : "Arana-Arri", "given" : "Eunate", "non-dropping-particle" : "", "parse-names" : false, "suffix" : "" }, { "dropping-particle" : "", "family" : "Acedo", "given" : "Yordana", "non-dropping-particle" : "", "parse-names" : false, "suffix" : "" }, { "dropping-particle" : "", "family" : "Martinez-Indart", "given" : "Lorea", "non-dropping-particle" : "", "parse-names" : false, "suffix" : "" }, { "dropping-particle" : "", "family" : "Urkaregi", "given" : "Arantza", "non-dropping-particle" : "", "parse-names" : false, "suffix" : "" }, { "dropping-particle" : "", "family" : "Salmon", "given" : "Nerea", "non-dropping-particle" : "", "parse-names" : false, "suffix" : "" }, { "dropping-particle" : "", "family" : "Benito", "given" : "Javier", "non-dropping-particle" : "", "parse-names" : false, "suffix" : "" }, { "dropping-particle" : "", "family" : "Kuppermann", "given" : "Nathan", "non-dropping-particle" : "", "parse-names" : false, "suffix" : "" }, { "dropping-particle" : "", "family" : "Pediatric Emergency Research Networks (PERN) Poisoning Working Group", "given" : "", "non-dropping-particle" : "", "parse-names" : false, "suffix" : "" } ], "container-title" : "Pediatric emergency care", "id" : "ITEM-1", "issued" : { "date-parts" : [ [ "2017" ] ] }, "title" : "International Epidemiological Differences in Acute Poisonings in Pediatric Emergency Departments.", "type" : "article-journal" }, "uris" : [ "http://www.mendeley.com/documents/?uuid=eb702ed3-f431-46d3-b6af-03d6d503c06a" ] } ], "mendeley" : { "formattedCitation" : "&lt;sup&gt;5&lt;/sup&gt;", "plainTextFormattedCitation" : "5", "previouslyFormattedCitation" : "&lt;sup&gt;5&lt;/sup&gt;"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5</w:t>
      </w:r>
      <w:r w:rsidR="00E03B13" w:rsidRPr="00C862ED">
        <w:rPr>
          <w:rFonts w:eastAsia="Arial Unicode MS"/>
          <w:lang w:eastAsia="en-GB"/>
        </w:rPr>
        <w:fldChar w:fldCharType="end"/>
      </w:r>
      <w:r w:rsidRPr="00C862ED">
        <w:rPr>
          <w:rFonts w:eastAsia="Arial Unicode MS"/>
          <w:lang w:eastAsia="en-GB"/>
        </w:rPr>
        <w:t>.</w:t>
      </w:r>
    </w:p>
    <w:p w14:paraId="20879138" w14:textId="7ADEFA84" w:rsidR="009D7E78" w:rsidRPr="00C862ED" w:rsidRDefault="009D7E78" w:rsidP="00C63CD3">
      <w:pPr>
        <w:ind w:firstLine="720"/>
        <w:rPr>
          <w:rFonts w:eastAsia="Arial Unicode MS"/>
          <w:lang w:eastAsia="en-GB"/>
        </w:rPr>
      </w:pPr>
      <w:r w:rsidRPr="00C862ED">
        <w:rPr>
          <w:rFonts w:eastAsia="Arial Unicode MS"/>
          <w:lang w:eastAsia="en-GB"/>
        </w:rPr>
        <w:t>Attention-deficit/hyperactivity disorder (ADHD) has a world-wide estimated prevalence of around 5%</w:t>
      </w:r>
      <w:r w:rsidR="00E03B13" w:rsidRPr="00C862ED">
        <w:rPr>
          <w:rFonts w:eastAsia="Arial Unicode MS"/>
          <w:lang w:eastAsia="en-GB"/>
        </w:rPr>
        <w:fldChar w:fldCharType="begin" w:fldLock="1"/>
      </w:r>
      <w:r w:rsidRPr="00C862ED">
        <w:rPr>
          <w:rFonts w:eastAsia="Arial Unicode MS"/>
          <w:lang w:eastAsia="en-GB"/>
        </w:rPr>
        <w:instrText>ADDIN CSL_CITATION { "citationItems" : [ { "id" : "ITEM-1", "itemData" : { "abstract" : "BACKGROUND: The literature on the prevalence of mental disorders affecting children and adolescents has expanded significantly over the last three decades around the world. Despite the field having matured significantly, there has been no meta-analysis to calculate a worldwide-pooled prevalence and to empirically assess the sources of heterogeneity of estimates.\\n\\nMETHODS: We conducted a systematic review of the literature searching in PubMed, PsycINFO, and EMBASE for prevalence studies of mental disorders investigating probabilistic community samples of children and adolescents with standardized assessments methods that derive diagnoses according to the DSM or ICD. Meta-analytical techniques were used to estimate the prevalence rates of any mental disorder and individual diagnostic groups. A meta-regression analysis was performed to estimate the effect of population and sample characteristics, study methods, assessment procedures, and case definition in determining the heterogeneity of estimates.\\n\\nRESULTS: We included 41 studies conducted in 27 countries from every world region. The worldwide-pooled prevalence of mental disorders was 13.4% (CI 95% 11.3-15.9). The worldwide prevalence of any anxiety disorder was 6.5% (CI 95% 4.7-9.1), any depressive disorder was 2.6% (CI 95% 1.7-3.9), attention-deficit hyperactivity disorder was 3.4% (CI 95% 2.6-4.5), and any disruptive disorder was 5.7% (CI 95% 4.0-8.1). Significant heterogeneity was detected for all pooled estimates. The multivariate metaregression analyses indicated that sample representativeness, sample frame, and diagnostic interview were significant moderators of prevalence estimates. Estimates did not vary as a function of geographic location of studies and year of data collection. The multivariate model explained 88.89% of prevalence heterogeneity, but residual heterogeneity was still significant. Additional meta-analysis detected significant pooled difference in prevalence rates according to requirement of funcional impairment for the diagnosis of mental disorders.\\n\\nCONCLUSIONS: Our findings suggest that mental disorders affect a significant number of children and adolescents worldwide. The pooled prevalence estimates and the identification of sources of heterogeneity have important implications to service, training, and research planning around the world.", "author" : [ { "dropping-particle" : "V.", "family" : "Polanczyk", "given" : "Guilherme", "non-dropping-particle" : "", "parse-names" : false, "suffix" : "" }, { "dropping-particle" : "", "family" : "Salum", "given" : "Giovanni A.", "non-dropping-particle" : "", "parse-names" : false, "suffix" : "" }, { "dropping-particle" : "", "family" : "Sugaya", "given" : "Luisa S.", "non-dropping-particle" : "", "parse-names" : false, "suffix" : "" }, { "dropping-particle" : "", "family" : "Caye", "given" : "Arthur", "non-dropping-particle" : "", "parse-names" : false, "suffix" : "" }, { "dropping-particle" : "", "family" : "Rohde", "given" : "Luis A.", "non-dropping-particle" : "", "parse-names" : false, "suffix" : "" } ], "container-title" : "Journal of Child Psychology and Psychiatry and Allied Disciplines", "id" : "ITEM-1", "issue" : "3", "issued" : { "date-parts" : [ [ "2015" ] ] }, "note" : "Gonzalo00.\nMaite00.", "page" : "345-365", "publisher" : "Blackwell Publishing Ltd", "title" : "Annual research review: A meta-analysis of the worldwide prevalence of mental disorders in children and adolescents", "type" : "article-journal", "volume" : "56" }, "uris" : [ "http://www.mendeley.com/documents/?uuid=02317876-c0a0-4ba5-97ec-50b7a9044511" ] } ], "mendeley" : { "formattedCitation" : "&lt;sup&gt;8&lt;/sup&gt;", "plainTextFormattedCitation" : "8", "previouslyFormattedCitation" : "&lt;sup&gt;8&lt;/sup&gt;" }, "properties" : {  }, "schema" : "https://github.com/citation-style-language/schema/raw/master/csl-citation.json" }</w:instrText>
      </w:r>
      <w:r w:rsidR="00E03B13" w:rsidRPr="00C862ED">
        <w:rPr>
          <w:rFonts w:eastAsia="Arial Unicode MS"/>
          <w:lang w:eastAsia="en-GB"/>
        </w:rPr>
        <w:fldChar w:fldCharType="separate"/>
      </w:r>
      <w:r w:rsidRPr="00C862ED">
        <w:rPr>
          <w:rFonts w:eastAsia="Arial Unicode MS"/>
          <w:noProof/>
          <w:vertAlign w:val="superscript"/>
          <w:lang w:eastAsia="en-GB"/>
        </w:rPr>
        <w:t>8</w:t>
      </w:r>
      <w:r w:rsidR="00E03B13" w:rsidRPr="00C862ED">
        <w:rPr>
          <w:rFonts w:eastAsia="Arial Unicode MS"/>
          <w:lang w:eastAsia="en-GB"/>
        </w:rPr>
        <w:fldChar w:fldCharType="end"/>
      </w:r>
      <w:r w:rsidRPr="00C862ED">
        <w:rPr>
          <w:rFonts w:eastAsia="Arial Unicode MS"/>
          <w:lang w:eastAsia="en-GB"/>
        </w:rPr>
        <w:t xml:space="preserve">, which makes it the most frequent </w:t>
      </w:r>
      <w:r w:rsidR="00C862ED" w:rsidRPr="00C862ED">
        <w:rPr>
          <w:rFonts w:eastAsia="Arial Unicode MS"/>
          <w:lang w:eastAsia="en-GB"/>
        </w:rPr>
        <w:t>neuro</w:t>
      </w:r>
      <w:r w:rsidR="00CC46C2">
        <w:rPr>
          <w:rFonts w:eastAsia="Arial Unicode MS"/>
          <w:lang w:eastAsia="en-GB"/>
        </w:rPr>
        <w:t>developmental</w:t>
      </w:r>
      <w:r w:rsidRPr="00C862ED">
        <w:rPr>
          <w:rFonts w:eastAsia="Arial Unicode MS"/>
          <w:lang w:eastAsia="en-GB"/>
        </w:rPr>
        <w:t xml:space="preserve"> disorder in children and adolescents. It is characterized by inattentive and/or hyperactive-</w:t>
      </w:r>
      <w:r w:rsidR="009070B1" w:rsidRPr="00C862ED">
        <w:rPr>
          <w:rFonts w:eastAsia="Arial Unicode MS"/>
          <w:lang w:eastAsia="en-GB"/>
        </w:rPr>
        <w:t xml:space="preserve"> </w:t>
      </w:r>
      <w:r w:rsidRPr="00C862ED">
        <w:rPr>
          <w:rFonts w:eastAsia="Arial Unicode MS"/>
          <w:lang w:eastAsia="en-GB"/>
        </w:rPr>
        <w:t>impulsive symptoms that have a negative impact on social</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"10.7334/psicothema2016.376", "ISSN" : "1886-144X", "PMID" : "29048312", "abstract" : "BACKGROUND The social maladjustment suffered by many children with attention deficit hyperactivity disorder (ADHD) is maintained over time, increasing the risk of subsequent adverse outcomes. The objectives of the study were to explore the mechanisms that operate between ADHD symptoms and social problems with peers, considering the mediation of FE and ToM. METHOD 35 children with ADHD and 37 with typical development matched in age and IQ were compared. Parents assessed ToM skills and relationships with peers, and teachers provided EF ratings. RESULTS The analyses showed statistically significant indirect mediation effects of EF in the relationship between ADHD symptoms and problems in relationships with peers, whereas ToM did not show these effects. CONCLUSIONS EF impairments contribute to the social difficulties of children with ADHD.", "author" : [ { "dropping-particle" : "", "family" : "Berenguer Forner", "given" : "Carmen", "non-dropping-particle" : "", "parse-names" : false, "suffix" : "" }, { "dropping-particle" : "", "family" : "Rosell\u00f3 Miranda", "given" : "Bel\u00e9n", "non-dropping-particle" : "", "parse-names" : false, "suffix" : "" }, { "dropping-particle" : "", "family" : "Baixauli Fortea", "given" : "Inmaculada", "non-dropping-particle" : "", "parse-names" : false, "suffix" : "" }, { "dropping-particle" : "", "family" : "Garc\u00eda Castellar", "given" : "Rosa", "non-dropping-particle" : "", "parse-names" : false, "suffix" : "" }, { "dropping-particle" : "", "family" : "Colomer Diago", "given" : "Carla", "non-dropping-particle" : "", "parse-names" : false, "suffix" : "" }, { "dropping-particle" : "", "family" : "Miranda Casas", "given" : "Ana", "non-dropping-particle" : "", "parse-names" : false, "suffix" : "" } ], "container-title" : "Psicothema", "id" : "ITEM-1", "issue" : "4", "issued" : { "date-parts" : [ [ "2017", "11" ] ] }, "page" : "514-519", "title" : "ADHD Symptoms and peer problems: Mediation of executive function and theory of mind.", "type" : "article-journal", "volume" : "29" }, "uris" : [ "http://www.mendeley.com/documents/?uuid=d2a2f475-fd5f-47c5-9dec-1f23a3f62dc4" ] } ], "mendeley" : { "formattedCitation" : "&lt;sup&gt;9&lt;/sup&gt;", "plainTextFormattedCitation" : "9", "previouslyFormattedCitation" : "&lt;sup&gt;9&lt;/sup&gt;"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9</w:t>
      </w:r>
      <w:r w:rsidR="00E03B13" w:rsidRPr="00C862ED">
        <w:rPr>
          <w:rFonts w:eastAsia="Arial Unicode MS"/>
          <w:lang w:eastAsia="en-GB"/>
        </w:rPr>
        <w:fldChar w:fldCharType="end"/>
      </w:r>
      <w:r w:rsidR="00830EFC" w:rsidRPr="00C862ED">
        <w:rPr>
          <w:rFonts w:eastAsia="Arial Unicode MS"/>
          <w:lang w:eastAsia="en-GB"/>
        </w:rPr>
        <w:t xml:space="preserve">, </w:t>
      </w:r>
      <w:r w:rsidRPr="00C862ED">
        <w:rPr>
          <w:rFonts w:eastAsia="Arial Unicode MS"/>
          <w:lang w:eastAsia="en-GB"/>
        </w:rPr>
        <w:t>academic</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"10.1097/DBP.0000000000000460", "ISSN" : "1536-7312", "PMID" : "28604499", "abstract" : "OBJECTIVE Examine academic achievement of students with attention-deficit hyperactivity disorder (ADHD) during the early high school period and identify potentially modifiable risk factors for low achievement. METHOD Data were collected through surveys (adolescent, parent, and teacher) and direct assessment of Australian adolescents (12-15 yr; n = 130) with ADHD in early high school (i.e., US middle and high school grades). Academic achievement outcomes were measured by linking to individual performance on the National Assessment Program-Literacy and Numeracy (NAPLAN) tests, direct assessment of reading and math, and teacher report of academic competence. Linear regression models examined associations between adolescent, parent/family, and school factors and NAPLAN domain scores. RESULTS Students with ADHD had lower NAPLAN scores on all domains and fewer met minimum academic standards in comparison with state benchmarks. The poorest results were for persuasive writing. Poor achievement was associated with lower intelligence quotient across all academic domains. Adolescent inattention, bullying, poor family management, male sex, and attending a low socioeconomic status school were associated with lower achievement on specific domains. CONCLUSION Students with ADHD are at increased academic risk during the middle school and early high school period. In addition to academic support, interventions targeting modifiable factors including inattention, bullying, and poor family management may improve academic achievement across this critical period.", "author" : [ { "dropping-particle" : "", "family" : "Zendarski", "given" : "Nardia", "non-dropping-particle" : "", "parse-names" : false, "suffix" : "" }, { "dropping-particle" : "", "family" : "Sciberras", "given" : "Emma", "non-dropping-particle" : "", "parse-names" : false, "suffix" : "" }, { "dropping-particle" : "", "family" : "Mensah", "given" : "Fiona", "non-dropping-particle" : "", "parse-names" : false, "suffix" : "" }, { "dropping-particle" : "", "family" : "Hiscock", "given" : "Harriet", "non-dropping-particle" : "", "parse-names" : false, "suffix" : "" } ], "container-title" : "Journal of developmental and behavioral pediatrics : JDBP", "id" : "ITEM-1", "issue" : "6", "issued" : { "date-parts" : [ [ "0" ] ] }, "page" : "358-368", "title" : "Academic Achievement and Risk Factors for Adolescents with Attention-Deficit Hyperactivity Disorder in Middle School and Early High School.", "type" : "article-journal", "volume" : "38" }, "uris" : [ "http://www.mendeley.com/documents/?uuid=e9464591-61d6-4751-a495-8c29ed5d3e78" ] } ], "mendeley" : { "formattedCitation" : "&lt;sup&gt;10&lt;/sup&gt;", "plainTextFormattedCitation" : "10", "previouslyFormattedCitation" : "&lt;sup&gt;10&lt;/sup&gt;"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10</w:t>
      </w:r>
      <w:r w:rsidR="00E03B13" w:rsidRPr="00C862ED">
        <w:rPr>
          <w:rFonts w:eastAsia="Arial Unicode MS"/>
          <w:lang w:eastAsia="en-GB"/>
        </w:rPr>
        <w:fldChar w:fldCharType="end"/>
      </w:r>
      <w:r w:rsidR="00830EFC" w:rsidRPr="00C862ED">
        <w:rPr>
          <w:rFonts w:eastAsia="Arial Unicode MS"/>
          <w:lang w:eastAsia="en-GB"/>
        </w:rPr>
        <w:t xml:space="preserve">, </w:t>
      </w:r>
      <w:r w:rsidR="00192EEC" w:rsidRPr="00C862ED">
        <w:rPr>
          <w:rFonts w:eastAsia="Arial Unicode MS"/>
          <w:lang w:eastAsia="en-GB"/>
        </w:rPr>
        <w:t>and</w:t>
      </w:r>
      <w:r w:rsidR="00830EFC" w:rsidRPr="00C862ED">
        <w:rPr>
          <w:rFonts w:eastAsia="Arial Unicode MS"/>
          <w:lang w:eastAsia="en-GB"/>
        </w:rPr>
        <w:t xml:space="preserve"> health domains</w:t>
      </w:r>
      <w:r w:rsidR="00E03B13" w:rsidRPr="00C862ED">
        <w:rPr>
          <w:rFonts w:eastAsia="Arial Unicode MS"/>
          <w:lang w:eastAsia="en-GB"/>
        </w:rPr>
        <w:fldChar w:fldCharType="begin" w:fldLock="1"/>
      </w:r>
      <w:r w:rsidR="002D749E" w:rsidRPr="00C862ED">
        <w:rPr>
          <w:rFonts w:eastAsia="Arial Unicode MS"/>
          <w:lang w:eastAsia="en-GB"/>
        </w:rPr>
        <w:instrText>ADDIN CSL_CITATION { "citationItems" : [ { "id" : "ITEM-1", "itemData" : { "DOI" : "10.1176/appi.books.9780890425596", "ISBN" : "0-89042-555-8", "ISSN" : "2317-1782", "abstract" : "This new edition of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The criteria are concise and explicit, intended to facilitate an objective assessment of symptom presentations in a variety of clinical settings -- inpatient, outpatient, partial hospital, consultation-liaison, clinical, private practice, and primary care. New features and enhancements make DSM-5? easier to use across all settings: ? The chapter organization reflects a lifespan approach, with disorders typically diagnosed in childhood (such as neurodevelopmental disorders) at the beginning of the manual, and those more typical of older adults (such as neurocognitive disorders) placed at the end. Also included are age-related factors specific to diagnosis. ? The latest findings in neuroimaging and genetics have been integrated into each disorder along with gender and cultural considerations.? The revised organizational structure recognizes symptoms that span multiple diagnostic categories, providing new clinical insight in diagnosis. ? Specific criteria have been streamlined, consolidated, or clarified to be consistent with clinical practice (including the consolidation of autism disorder, Asperger's syndrome, and pervasive developmental disorder into autism spectrum disorder; the streamlined classification of bipolar and depressive disorders; the restructuring of substance use disorders for consistency and clarity; and the enhanced specificity for major and mild neurocognitive disorders).? Dimensional assessments for research and validation of clinical results have been provided.? Both ICD-9-CM and ICD-10-CM codes are included for each disorder, and the organizational structure is consistent with the new ICD-11 in development.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occup\u2026", "author" : [ { "dropping-particle" : "", "family" : "American Psychiatric Association", "given" : "", "non-dropping-particle" : "", "parse-names" : false, "suffix" : "" } ], "edition" : "5", "id" : "ITEM-1", "issued" : { "date-parts" : [ [ "2013", "5", "22" ] ] }, "number-of-pages" : "991", "publisher-place" : "Arlington, VA, US", "title" : "Diagnostic and Statistical Manual of Mental Disorders", "type" : "book" }, "uris" : [ "http://www.mendeley.com/documents/?uuid=8dc85851-9248-42c9-8201-38fb01c4a84b" ] }, { "id" : "ITEM-2", "itemData" : { "DOI" : "10.1016/S0140-6736(14)61684-6", "ISSN" : "01406736", "PMID" : "25726514", "abstract" : "BACKGROUND: Attention deficit hyperactivity disorder (ADHD) is a common mental disorder associated with factors that are likely to increase mortality, such as oppositional defiant disorder or conduct disorder, criminality, accidents, and substance misuse. However, whether ADHD itself is associated with increased mortality remains unknown. We aimed to assess ADHD-related mortality in a large cohort of Danish individuals. METHODS: By use of the Danish national registers, we followed up 1\u00b792 million individuals, including 32,061 with ADHD, from their first birthday through to 2013. We estimated mortality rate ratios (MRRs), adjusted for calendar year, age, sex, family history of psychiatric disorders, maternal and paternal age, and parental educational and employment status, by Poisson regression, to compare individuals with and without ADHD. FINDINGS: During follow-up (24\u00b79 million person-years), 5580 cohort members died. The mortality rate per 10,000 person-years was 5\u00b785 among individuals with ADHD compared with 2\u00b721 in those without (corresponding to a fully adjusted MRR of 2\u00b707, 95% CI 1\u00b770-2\u00b750; p&lt;0\u00b70001). Accidents were the most common cause of death. Compared with individuals without ADHD, the fully adjusted MRR for individuals diagnosed with ADHD at ages younger than 6 years was 1\u00b786 (95% CI 0\u00b793-3\u00b727), and it was 1\u00b758 (1\u00b721-2\u00b703) for those aged 6-17 years, and 4\u00b725 (3\u00b705-5\u00b778) for those aged 18 years or older. After exclusion of individuals with oppositional defiant disorder, conduct disorder, and substance use disorder, ADHD remained associated with increased mortality (fully adjusted MRR 1\u00b750, 1\u00b711-1\u00b798), and was higher in girls and women (2\u00b785, 1\u00b756-4\u00b771) than in boys and men (1\u00b727, 0\u00b789-1\u00b776). INTERPRETATION: ADHD was associated with significantly increased mortality rates. People diagnosed with ADHD in adulthood had a higher MRR than did those diagnosed in childhood and adolescence. Comorbid oppositional defiant disorder, conduct disorder, and substance use disorder increased the MRR even further. However, when adjusted for these comorbidities, ADHD remained associated with excess mortality, with higher MRRs in girls and women with ADHD than in boys and men with ADHD. The excess mortality in ADHD was mainly driven by deaths from unnatural causes, especially accidents. FUNDING: This study was supported by a grant from the Lundbeck Foundation.", "author" : [ { "dropping-particle" : "", "family" : "Dalsgaard", "given" : "S\u00f8ren", "non-dropping-particle" : "", "parse-names" : false, "suffix" : "" }, { "dropping-particle" : "", "family" : "\u00d8stergaard", "given" : "S\u00f8ren Dinesen", "non-dropping-particle" : "", "parse-names" : false, "suffix" : "" }, { "dropping-particle" : "", "family" : "Leckman", "given" : "James F", "non-dropping-particle" : "", "parse-names" : false, "suffix" : "" }, { "dropping-particle" : "", "family" : "Mortensen", "given" : "Preben Bo", "non-dropping-particle" : "", "parse-names" : false, "suffix" : "" }, { "dropping-particle" : "", "family" : "Pedersen", "given" : "Marianne Gi\u00f8rtz", "non-dropping-particle" : "", "parse-names" : false, "suffix" : "" } ], "container-title" : "The Lancet", "id" : "ITEM-2", "issue" : "9983", "issued" : { "date-parts" : [ [ "2015" ] ] }, "note" : "Gonzalo02.\nMaite02.", "page" : "2190-6", "title" : "Mortality in children, adolescents, and adults with attention deficit hyperactivity disorder: a nationwide cohort study", "type" : "article-journal", "volume" : "385" }, "uris" : [ "http://www.mendeley.com/documents/?uuid=17e732cb-253c-493c-9085-1c8bcf48bed8" ] }, { "id" : "ITEM-3", "itemData" : { "DOI" : "10.1176/appi.ajp.2015.15020266", "ISSN" : "1535-7228", "PMID" : "26315982", "abstract" : "OBJECTIVE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 METHOD A broad range of databases was searched through Aug. 31, 2014. Unpublished studies were also obtained. Study quality was rated with the Newcastle-Ottawa Scale. Random-effects models were used. RESULTS Forty-two studies that included a total of 728,136 individuals (48,161 ADHD subjects; 679,975 comparison subjects) were retained. A significant association between obesity and ADHD was found for both children (odds ratio=1.20,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 CONCLUSIONS This study provides meta-analytic evidence for a significant association between ADHD and obesity/overweight. Further research should address possible underlying mechanisms and the long-term effects of ADHD treatments on weight in individuals with both ADHD and obesity.", "author" : [ { "dropping-particle" : "", "family" : "Cortese", "given" : "Samuele", "non-dropping-particle" : "", "parse-names" : false, "suffix" : "" }, { "dropping-particle" : "", "family" : "Moreira-Maia", "given" : "Carlos Renato", "non-dropping-particle" : "", "parse-names" : false, "suffix" : "" }, { "dropping-particle" : "", "family" : "St Fleur", "given" : "Diane", "non-dropping-particle" : "", "parse-names" : false, "suffix" : "" }, { "dropping-particle" : "", "family" : "Morcillo-Pe\u00f1alver", "given" : "Carmen", "non-dropping-particle" : "", "parse-names" : false, "suffix" : "" }, { "dropping-particle" : "", "family" : "Rohde", "given" : "Luis Augusto", "non-dropping-particle" : "", "parse-names" : false, "suffix" : "" }, { "dropping-particle" : "V", "family" : "Faraone", "given" : "Stephen", "non-dropping-particle" : "", "parse-names" : false, "suffix" : "" } ], "container-title" : "The American journal of psychiatry", "id" : "ITEM-3", "issue" : "1", "issued" : { "date-parts" : [ [ "2016", "1", "1" ] ] }, "page" : "34-43", "title" : "Association Between ADHD and Obesity: A Systematic Review and Meta-Analysis.", "type" : "article-journal", "volume" : "173" }, "uris" : [ "http://www.mendeley.com/documents/?uuid=2c053aca-7539-4423-84b8-f0f7e34f4d77" ] } ], "mendeley" : { "formattedCitation" : "&lt;sup&gt;11\u201313&lt;/sup&gt;", "plainTextFormattedCitation" : "11\u201313", "previouslyFormattedCitation" : "&lt;sup&gt;11\u201313&lt;/sup&gt;"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11–13</w:t>
      </w:r>
      <w:r w:rsidR="00E03B13" w:rsidRPr="00C862ED">
        <w:rPr>
          <w:rFonts w:eastAsia="Arial Unicode MS"/>
          <w:lang w:eastAsia="en-GB"/>
        </w:rPr>
        <w:fldChar w:fldCharType="end"/>
      </w:r>
      <w:r w:rsidR="00351972" w:rsidRPr="00C862ED">
        <w:rPr>
          <w:rFonts w:eastAsia="Arial Unicode MS"/>
          <w:lang w:eastAsia="en-GB"/>
        </w:rPr>
        <w:t xml:space="preserve">, </w:t>
      </w:r>
      <w:r w:rsidR="00B758E8" w:rsidRPr="00C862ED">
        <w:rPr>
          <w:rFonts w:eastAsia="Arial Unicode MS"/>
          <w:lang w:eastAsia="en-GB"/>
        </w:rPr>
        <w:t>and reduce</w:t>
      </w:r>
      <w:r w:rsidR="00192EEC" w:rsidRPr="00C862ED">
        <w:rPr>
          <w:rFonts w:eastAsia="Arial Unicode MS"/>
          <w:lang w:eastAsia="en-GB"/>
        </w:rPr>
        <w:t xml:space="preserve"> </w:t>
      </w:r>
      <w:r w:rsidR="00351972" w:rsidRPr="00C862ED">
        <w:rPr>
          <w:rFonts w:eastAsia="Arial Unicode MS"/>
          <w:lang w:eastAsia="en-GB"/>
        </w:rPr>
        <w:t xml:space="preserve">the </w:t>
      </w:r>
      <w:r w:rsidR="00192EEC" w:rsidRPr="00C862ED">
        <w:rPr>
          <w:rFonts w:eastAsia="Arial Unicode MS"/>
          <w:lang w:eastAsia="en-GB"/>
        </w:rPr>
        <w:t>quality of life</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"10.1007/s00787-017-0986-y", "abstract" : "\u00a9 2017 The Author(s)Children, adolescents and adults with attention-deficit/hyperactivity disorder (ADHD) experience functional impairment and poor health-related quality of life (HRQoL) in addition to symptoms of inattention/hyperactivity\u2013impulsivity. To synthesize qualitatively the published evidence from randomized, double-blind, placebo-controlled trials of the effectiveness of pharmacotherapy on functional impairment or HRQoL in patients with ADHD, a systematic PubMed searching and screening strategy was designed to identify journal articles meeting pre-specified criteria. Post hoc analyses and meta-analyses were excluded. HRQoL outcomes, functional outcomes and the principal ADHD symptom-based outcome were extracted from included studies. An effect size of 0.5 versus placebo was used as a threshold for potential clinical relevance (unreported effect sizes were calculated when possible). Of 291 records screened, 35 articles describing 34 studies were included. HRQoL/functioning was usually self-rated in adults and proxy-rated in children/adolescents. Baseline data indicated substantial HRQoL deficits in children/adolescents. Placebo-adjusted effects of medication on ADHD symptoms, HRQoL and functioning, respectively, were statistically or nominally significant in 18/18, 10/12 and 7/9 studies in children/adolescents and 14/16, 9/11 and 9/10 studies in adults. Effect sizes were \u22650.5 versus placebo for symptoms, HRQoL and functioning, respectively, in 14/16, 7/9 and 4/8 studies in children/adolescents; and 6/12, 1/6 and 1/8 studies in adults. Effect sizes were typically larger for stimulants than for non-stimulants, for symptoms than for HRQoL/functioning, and for children/adolescents than for adults. The efficacy of ADHD medication extends beyond symptom control and may help reduce the related but distinct functional impairments and HRQoL deficits in patients with ADHD.", "author" : [ { "dropping-particle" : "", "family" : "Coghill", "given" : "D.R.", "non-dropping-particle" : "", "parse-names" : false, "suffix" : "" }, { "dropping-particle" : "", "family" : "Banaschewski", "given" : "T.", "non-dropping-particle" : "", "parse-names" : false, "suffix" : "" }, { "dropping-particle" : "", "family" : "Soutullo", "given" : "C.", "non-dropping-particle" : "", "parse-names" : false, "suffix" : "" }, { "dropping-particle" : "", "family" : "Cottingham", "given" : "M.G.", "non-dropping-particle" : "", "parse-names" : false, "suffix" : "" }, { "dropping-particle" : "", "family" : "Zuddas", "given" : "A.", "non-dropping-particle" : "", "parse-names" : false, "suffix" : "" } ], "container-title" : "European Child and Adolescent Psychiatry", "id" : "ITEM-1", "issued" : { "date-parts" : [ [ "2017" ] ] }, "title" : "Systematic review of quality of life and functional outcomes in randomized placebo-controlled studies of medications for attention-deficit/hyperactivity disorder", "type" : "article-journal" }, "uris" : [ "http://www.mendeley.com/documents/?uuid=407aedd1-ff06-4943-ae66-847328e6bf97" ] } ], "mendeley" : { "formattedCitation" : "&lt;sup&gt;14&lt;/sup&gt;", "plainTextFormattedCitation" : "14", "previouslyFormattedCitation" : "&lt;sup&gt;14&lt;/sup&gt;"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14</w:t>
      </w:r>
      <w:r w:rsidR="00E03B13" w:rsidRPr="00C862ED">
        <w:rPr>
          <w:rFonts w:eastAsia="Arial Unicode MS"/>
          <w:lang w:eastAsia="en-GB"/>
        </w:rPr>
        <w:fldChar w:fldCharType="end"/>
      </w:r>
      <w:r w:rsidRPr="00C862ED">
        <w:rPr>
          <w:rFonts w:eastAsia="Arial Unicode MS"/>
          <w:lang w:eastAsia="en-GB"/>
        </w:rPr>
        <w:t xml:space="preserve">. ADHD is approximately four times more common in boys than </w:t>
      </w:r>
      <w:r w:rsidR="00351972" w:rsidRPr="00C862ED">
        <w:rPr>
          <w:rFonts w:eastAsia="Arial Unicode MS"/>
          <w:lang w:eastAsia="en-GB"/>
        </w:rPr>
        <w:t xml:space="preserve">in </w:t>
      </w:r>
      <w:r w:rsidRPr="00C862ED">
        <w:rPr>
          <w:rFonts w:eastAsia="Arial Unicode MS"/>
          <w:lang w:eastAsia="en-GB"/>
        </w:rPr>
        <w:t xml:space="preserve">girls. Pharmacological treatment, including </w:t>
      </w:r>
      <w:proofErr w:type="spellStart"/>
      <w:r w:rsidRPr="00C862ED">
        <w:rPr>
          <w:rFonts w:eastAsia="Arial Unicode MS"/>
          <w:lang w:eastAsia="en-GB"/>
        </w:rPr>
        <w:t>psychostimulants</w:t>
      </w:r>
      <w:proofErr w:type="spellEnd"/>
      <w:r w:rsidRPr="00C862ED">
        <w:rPr>
          <w:rFonts w:eastAsia="Arial Unicode MS"/>
          <w:lang w:eastAsia="en-GB"/>
        </w:rPr>
        <w:t xml:space="preserve"> (methylphenidate and amphetamines) and </w:t>
      </w:r>
      <w:r w:rsidR="008B3661" w:rsidRPr="00C862ED">
        <w:rPr>
          <w:rFonts w:eastAsia="Arial Unicode MS"/>
          <w:lang w:eastAsia="en-GB"/>
        </w:rPr>
        <w:t>non-</w:t>
      </w:r>
      <w:proofErr w:type="spellStart"/>
      <w:r w:rsidR="008B3661" w:rsidRPr="00C862ED">
        <w:rPr>
          <w:rFonts w:eastAsia="Arial Unicode MS"/>
          <w:lang w:eastAsia="en-GB"/>
        </w:rPr>
        <w:t>psychostimulants</w:t>
      </w:r>
      <w:proofErr w:type="spellEnd"/>
      <w:r w:rsidRPr="00C862ED">
        <w:rPr>
          <w:rFonts w:eastAsia="Arial Unicode MS"/>
          <w:lang w:eastAsia="en-GB"/>
        </w:rPr>
        <w:t xml:space="preserve"> (e.g., atomoxetine, guanfacine)</w:t>
      </w:r>
      <w:r w:rsidR="00962865" w:rsidRPr="00C862ED">
        <w:rPr>
          <w:rFonts w:eastAsia="Arial Unicode MS"/>
          <w:lang w:eastAsia="en-GB"/>
        </w:rPr>
        <w:t>,</w:t>
      </w:r>
      <w:r w:rsidRPr="00C862ED">
        <w:rPr>
          <w:rFonts w:eastAsia="Arial Unicode MS"/>
          <w:lang w:eastAsia="en-GB"/>
        </w:rPr>
        <w:t xml:space="preserve"> is an important component of t</w:t>
      </w:r>
      <w:r w:rsidR="00FB2CA9" w:rsidRPr="00C862ED">
        <w:rPr>
          <w:rFonts w:eastAsia="Arial Unicode MS"/>
          <w:lang w:eastAsia="en-GB"/>
        </w:rPr>
        <w:t xml:space="preserve">he multimodal treatment of </w:t>
      </w:r>
      <w:r w:rsidR="00FB2CA9" w:rsidRPr="00C862ED">
        <w:rPr>
          <w:rFonts w:eastAsia="Arial Unicode MS"/>
          <w:lang w:eastAsia="en-GB"/>
        </w:rPr>
        <w:lastRenderedPageBreak/>
        <w:t>ADHD</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"10.1177/0269881113519509", "ISSN" : "0269-8811", "author" : [ { "dropping-particle" : "", "family" : "Bolea-Alama\u00f1ac", "given" : "Blanca", "non-dropping-particle" : "", "parse-names" : false, "suffix" : "" }, { "dropping-particle" : "", "family" : "Nutt", "given" : "David J", "non-dropping-particle" : "", "parse-names" : false, "suffix" : "" }, { "dropping-particle" : "", "family" : "Adamou", "given" : "Marios", "non-dropping-particle" : "", "parse-names" : false, "suffix" : "" }, { "dropping-particle" : "", "family" : "Asherson", "given" : "Phillip", "non-dropping-particle" : "", "parse-names" : false, "suffix" : "" }, { "dropping-particle" : "", "family" : "Bazire", "given" : "Stephen", "non-dropping-particle" : "", "parse-names" : false, "suffix" : "" }, { "dropping-particle" : "", "family" : "Coghill", "given" : "David", "non-dropping-particle" : "", "parse-names" : false, "suffix" : "" }, { "dropping-particle" : "", "family" : "Heal", "given" : "David", "non-dropping-particle" : "", "parse-names" : false, "suffix" : "" }, { "dropping-particle" : "", "family" : "M\u00fcller", "given" : "Ulrich", "non-dropping-particle" : "", "parse-names" : false, "suffix" : "" }, { "dropping-particle" : "", "family" : "Nash", "given" : "John", "non-dropping-particle" : "", "parse-names" : false, "suffix" : "" }, { "dropping-particle" : "", "family" : "Santosh", "given" : "Paramala", "non-dropping-particle" : "", "parse-names" : false, "suffix" : "" }, { "dropping-particle" : "", "family" : "Sayal", "given" : "Kapil", "non-dropping-particle" : "", "parse-names" : false, "suffix" : "" }, { "dropping-particle" : "", "family" : "Sonuga-Barke", "given" : "Edmund", "non-dropping-particle" : "", "parse-names" : false, "suffix" : "" }, { "dropping-particle" : "", "family" : "Young", "given" : "Susan J", "non-dropping-particle" : "", "parse-names" : false, "suffix" : "" } ], "container-title" : "Journal of Psychopharmacology", "id" : "ITEM-1", "issue" : "3", "issued" : { "date-parts" : [ [ "2014", "3", "12" ] ] }, "page" : "179-203", "title" : "Evidence-based guidelines for the pharmacological management of attention deficit hyperactivity disorder: Update on recommendations from the British Association for Psychopharmacology", "type" : "article-journal", "volume" : "28" }, "uris" : [ "http://www.mendeley.com/documents/?uuid=67706a08-8ecc-418f-bcfa-796fa7ec208f" ] } ], "mendeley" : { "formattedCitation" : "&lt;sup&gt;15&lt;/sup&gt;", "plainTextFormattedCitation" : "15", "previouslyFormattedCitation" : "&lt;sup&gt;15&lt;/sup&gt;"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15</w:t>
      </w:r>
      <w:r w:rsidR="00E03B13" w:rsidRPr="00C862ED">
        <w:rPr>
          <w:rFonts w:eastAsia="Arial Unicode MS"/>
          <w:lang w:eastAsia="en-GB"/>
        </w:rPr>
        <w:fldChar w:fldCharType="end"/>
      </w:r>
      <w:r w:rsidR="008B3661" w:rsidRPr="00C862ED">
        <w:rPr>
          <w:rFonts w:eastAsia="Arial Unicode MS"/>
          <w:lang w:eastAsia="en-GB"/>
        </w:rPr>
        <w:t>.</w:t>
      </w:r>
      <w:r w:rsidRPr="00C862ED">
        <w:rPr>
          <w:rFonts w:eastAsia="Arial Unicode MS"/>
          <w:lang w:eastAsia="en-GB"/>
        </w:rPr>
        <w:t xml:space="preserve"> In addition, a high percentage of patients have comorbid disorders </w:t>
      </w:r>
      <w:r w:rsidRPr="00C862ED">
        <w:t xml:space="preserve">hence increasing the probability of patients being </w:t>
      </w:r>
      <w:r w:rsidR="003A5E31" w:rsidRPr="00C862ED">
        <w:t>poly</w:t>
      </w:r>
      <w:r w:rsidRPr="00C862ED">
        <w:t>-medicated</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"10.1007/s12402-014-0142-1", "ISSN" : "1866-6647", "PMID" : "24942707", "abstract" : "The present study aimed at identifying the full range of mental disorders comorbid to attention-deficit/hyperactivity disorder (ADHD) in children and adolescents (age 4-17) diagnosed in Danish psychiatric hospitals between 1995 and 2010. A total of 14,825 patients were included in the study and comorbid disorders diagnosed concurrent with ADHD were identified. Associations of comorbid disorders with sex, age, and other mental disorders were investigated by logistic regression analysis. In the total sample, 52.0 % of the patients had at least one psychiatric disorder comorbid to ADHD and 26.2 % had two or more comorbid disorders. The most frequent comorbid disorders were disorders of conduct (16.5 %), specific developmental disorders of language, learning and motor development (15.4 %), autism spectrum disorders (12.4 %), and intellectual disability (7.9 %). Male sex was generally associated with an increased risk for neuropsychiatric disorders while female sex was associated more frequently with internalizing disorders. The analysis of associations between the various comorbid disorders identified several clusters highlighting the differential developmental trajectories seen in patients with ADHD. The study provides evidence that comorbidity with mental disorders is developmentally sensitive. Furthermore, the study shows that particular attention should be given to patients with neurodevelopmental disorders such as autism and intellectual disability in future longitudinal analyses. These disorders are very frequent in patients with ADHD, and the affected patients might follow a different course than patients without these disorders.", "author" : [ { "dropping-particle" : "", "family" : "Jensen", "given" : "Christina Mohr", "non-dropping-particle" : "", "parse-names" : false, "suffix" : "" }, { "dropping-particle" : "", "family" : "Steinhausen", "given" : "Hans-Christoph", "non-dropping-particle" : "", "parse-names" : false, "suffix" : "" } ], "container-title" : "Attention deficit and hyperactivity disorders", "id" : "ITEM-1", "issue" : "1", "issued" : { "date-parts" : [ [ "2015", "3" ] ] }, "page" : "27-38", "title" : "Comorbid mental disorders in children and adolescents with attention-deficit/hyperactivity disorder in a large nationwide study.", "type" : "article-journal", "volume" : "7" }, "uris" : [ "http://www.mendeley.com/documents/?uuid=a7605375-f036-460d-abfd-dd656ecb21df" ] } ], "mendeley" : { "formattedCitation" : "&lt;sup&gt;16&lt;/sup&gt;", "plainTextFormattedCitation" : "16", "previouslyFormattedCitation" : "&lt;sup&gt;16&lt;/sup&gt;"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16</w:t>
      </w:r>
      <w:r w:rsidR="00E03B13" w:rsidRPr="00C862ED">
        <w:rPr>
          <w:rFonts w:eastAsia="Arial Unicode MS"/>
          <w:lang w:eastAsia="en-GB"/>
        </w:rPr>
        <w:fldChar w:fldCharType="end"/>
      </w:r>
      <w:r w:rsidRPr="00C862ED">
        <w:rPr>
          <w:rFonts w:eastAsia="Arial Unicode MS"/>
          <w:lang w:eastAsia="en-GB"/>
        </w:rPr>
        <w:t xml:space="preserve">. </w:t>
      </w:r>
    </w:p>
    <w:p w14:paraId="0BDAD0E3" w14:textId="219F363A" w:rsidR="00243914" w:rsidRPr="00C862ED" w:rsidRDefault="009D7E78" w:rsidP="00E31716">
      <w:pPr>
        <w:ind w:firstLine="720"/>
        <w:rPr>
          <w:rFonts w:eastAsia="Arial Unicode MS"/>
          <w:lang w:eastAsia="en-GB"/>
        </w:rPr>
      </w:pPr>
      <w:r w:rsidRPr="00C862ED">
        <w:rPr>
          <w:rFonts w:eastAsia="Arial Unicode MS"/>
          <w:lang w:eastAsia="en-GB"/>
        </w:rPr>
        <w:t xml:space="preserve">A recent meta-analysis </w:t>
      </w:r>
      <w:r w:rsidR="004F1D20" w:rsidRPr="00C862ED">
        <w:rPr>
          <w:rFonts w:eastAsia="Arial Unicode MS"/>
          <w:lang w:eastAsia="en-GB"/>
        </w:rPr>
        <w:t>by our group</w:t>
      </w:r>
      <w:r w:rsidR="00074E78" w:rsidRPr="00C862ED">
        <w:rPr>
          <w:rFonts w:eastAsia="Arial Unicode MS"/>
          <w:lang w:eastAsia="en-GB"/>
        </w:rPr>
        <w:t xml:space="preserve"> </w:t>
      </w:r>
      <w:r w:rsidRPr="00C862ED">
        <w:rPr>
          <w:rFonts w:eastAsia="Arial Unicode MS"/>
          <w:lang w:eastAsia="en-GB"/>
        </w:rPr>
        <w:t xml:space="preserve">has demonstrated that the risk of </w:t>
      </w:r>
      <w:r w:rsidR="00994C9F" w:rsidRPr="00C862ED">
        <w:rPr>
          <w:rFonts w:eastAsia="Arial Unicode MS"/>
          <w:lang w:eastAsia="en-GB"/>
        </w:rPr>
        <w:t xml:space="preserve">physical </w:t>
      </w:r>
      <w:r w:rsidRPr="00C862ED">
        <w:rPr>
          <w:rFonts w:eastAsia="Arial Unicode MS"/>
          <w:lang w:eastAsia="en-GB"/>
        </w:rPr>
        <w:t xml:space="preserve">injuries is significantly higher in children and adolescents with ADHD compared to the typically developing population. Additionally, </w:t>
      </w:r>
      <w:r w:rsidRPr="00C862ED">
        <w:t xml:space="preserve">this risk is significantly reduced </w:t>
      </w:r>
      <w:r w:rsidR="00FB2CA9" w:rsidRPr="00C862ED">
        <w:t>by the use of ADHD medications</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"&lt;sup&gt;17&lt;/sup&gt;", "plainTextFormattedCitation" : "17", "previouslyFormattedCitation" : "&lt;sup&gt;17&lt;/sup&gt;"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17</w:t>
      </w:r>
      <w:r w:rsidR="00E03B13" w:rsidRPr="00C862ED">
        <w:rPr>
          <w:rFonts w:eastAsia="Arial Unicode MS"/>
          <w:lang w:eastAsia="en-GB"/>
        </w:rPr>
        <w:fldChar w:fldCharType="end"/>
      </w:r>
      <w:r w:rsidRPr="00C862ED">
        <w:rPr>
          <w:rFonts w:eastAsia="Arial Unicode MS"/>
          <w:lang w:eastAsia="en-GB"/>
        </w:rPr>
        <w:t>. Therefore, a plausible hypothesis is that ADHD symptoms (inattention</w:t>
      </w:r>
      <w:r w:rsidR="00B30DFC" w:rsidRPr="00C862ED">
        <w:rPr>
          <w:rFonts w:eastAsia="Arial Unicode MS"/>
          <w:lang w:eastAsia="en-GB"/>
        </w:rPr>
        <w:t xml:space="preserve">, </w:t>
      </w:r>
      <w:r w:rsidRPr="00C862ED">
        <w:rPr>
          <w:rFonts w:eastAsia="Arial Unicode MS"/>
          <w:lang w:eastAsia="en-GB"/>
        </w:rPr>
        <w:t>hyperactivity</w:t>
      </w:r>
      <w:r w:rsidR="00B30DFC" w:rsidRPr="00C862ED">
        <w:rPr>
          <w:rFonts w:eastAsia="Arial Unicode MS"/>
          <w:lang w:eastAsia="en-GB"/>
        </w:rPr>
        <w:t xml:space="preserve"> and impulsivity</w:t>
      </w:r>
      <w:r w:rsidRPr="00C862ED">
        <w:rPr>
          <w:rFonts w:eastAsia="Arial Unicode MS"/>
          <w:lang w:eastAsia="en-GB"/>
        </w:rPr>
        <w:t>) could lead to a similar increase in the risk of poisoning.</w:t>
      </w:r>
      <w:r w:rsidR="00054BE1" w:rsidRPr="00C862ED">
        <w:rPr>
          <w:rFonts w:eastAsia="Arial Unicode MS"/>
          <w:lang w:eastAsia="en-GB"/>
        </w:rPr>
        <w:t xml:space="preserve"> I</w:t>
      </w:r>
      <w:r w:rsidRPr="00C862ED">
        <w:rPr>
          <w:rFonts w:eastAsia="Arial Unicode MS"/>
          <w:lang w:eastAsia="en-GB"/>
        </w:rPr>
        <w:t xml:space="preserve">mpulsivity might </w:t>
      </w:r>
      <w:r w:rsidR="00054BE1" w:rsidRPr="00C862ED">
        <w:rPr>
          <w:rFonts w:eastAsia="Arial Unicode MS"/>
          <w:lang w:eastAsia="en-GB"/>
        </w:rPr>
        <w:t xml:space="preserve">be an important factor, </w:t>
      </w:r>
      <w:r w:rsidRPr="00C862ED">
        <w:rPr>
          <w:rFonts w:eastAsia="Arial Unicode MS"/>
          <w:lang w:eastAsia="en-GB"/>
        </w:rPr>
        <w:t xml:space="preserve">especially considering that </w:t>
      </w:r>
      <w:r w:rsidR="00054BE1" w:rsidRPr="00C862ED">
        <w:rPr>
          <w:rFonts w:eastAsia="Arial Unicode MS"/>
          <w:lang w:eastAsia="en-GB"/>
        </w:rPr>
        <w:t>it</w:t>
      </w:r>
      <w:r w:rsidR="003A5E31" w:rsidRPr="00C862ED">
        <w:rPr>
          <w:rFonts w:eastAsia="Arial Unicode MS"/>
          <w:lang w:eastAsia="en-GB"/>
        </w:rPr>
        <w:t xml:space="preserve"> </w:t>
      </w:r>
      <w:r w:rsidRPr="00C862ED">
        <w:rPr>
          <w:rFonts w:eastAsia="Arial Unicode MS"/>
          <w:lang w:eastAsia="en-GB"/>
        </w:rPr>
        <w:t xml:space="preserve">is significantly associated with suicide attempts, as </w:t>
      </w:r>
      <w:r w:rsidR="00FB2CA9" w:rsidRPr="00C862ED">
        <w:rPr>
          <w:rFonts w:eastAsia="Arial Unicode MS"/>
          <w:lang w:eastAsia="en-GB"/>
        </w:rPr>
        <w:t>shown in a recent meta-analysis</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"10.1016/j.neubiorev.2017.09.019", "ISSN" : "1873-7528", "PMID" : "28928071", "abstract" : "We conducted a meta-analysis of neurobehavioral and neurocognitive indices of impulsivity in relation to suicidal thoughts and behaviors, as well as non-suicidal self-injury (NSSI). In our systematic review, 34 studies were identified and submitted to a random-effects meta-analysis. A small pooled effect size was observed for the association between behavioral impulsivity and NSSI (OR=1.34, p&lt;0.05). A small-to-medium pooled effect size (OR=2.23, p&lt;0.001) was found for the association between behavioral impulsivity and suicide attempts, and a medium-to-large pooled effect size was observed for this outcome in relation to cognitive impulsivity (OR=3.14, p&lt;0.01). Length of time between suicide attempt and impulsivity assessment moderated the strength of the relation between impulsivity and attempts, with a large pooled effect size (OR=5.54, p&lt;0.001) evident when the suicide attempt occurred within a month of behavioral impulsivity assessment. Studies of clinically significant NSSI temporally proximal to impulsivity assessment are needed. Longitudinal research is required to clarify the prognostic value of behavioral and cognitive impulsivity for short-term risk for self-harm.", "author" : [ { "dropping-particle" : "", "family" : "Liu", "given" : "Richard T", "non-dropping-particle" : "", "parse-names" : false, "suffix" : "" }, { "dropping-particle" : "", "family" : "Trout", "given" : "Zo\u00eb M", "non-dropping-particle" : "", "parse-names" : false, "suffix" : "" }, { "dropping-particle" : "", "family" : "Hernandez", "given" : "Evelyn M", "non-dropping-particle" : "", "parse-names" : false, "suffix" : "" }, { "dropping-particle" : "", "family" : "Cheek", "given" : "Shayna M", "non-dropping-particle" : "", "parse-names" : false, "suffix" : "" }, { "dropping-particle" : "", "family" : "Gerlus", "given" : "Nimesha", "non-dropping-particle" : "", "parse-names" : false, "suffix" : "" } ], "container-title" : "Neuroscience and biobehavioral reviews", "id" : "ITEM-1", "issued" : { "date-parts" : [ [ "2017", "9", "18" ] ] }, "title" : "A behavioral and cognitive neuroscience perspective on impulsivity, suicide, and non-suicidal self-injury: Meta-analysis and recommendations for future research.", "type" : "article-journal" }, "uris" : [ "http://www.mendeley.com/documents/?uuid=af6eefa4-c1d0-47b1-a9c0-e4506507711c" ] } ], "mendeley" : { "formattedCitation" : "&lt;sup&gt;18&lt;/sup&gt;", "plainTextFormattedCitation" : "18", "previouslyFormattedCitation" : "&lt;sup&gt;18&lt;/sup&gt;"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18</w:t>
      </w:r>
      <w:r w:rsidR="00E03B13" w:rsidRPr="00C862ED">
        <w:rPr>
          <w:rFonts w:eastAsia="Arial Unicode MS"/>
          <w:lang w:eastAsia="en-GB"/>
        </w:rPr>
        <w:fldChar w:fldCharType="end"/>
      </w:r>
      <w:r w:rsidR="00192EEC" w:rsidRPr="00C862ED">
        <w:rPr>
          <w:rFonts w:eastAsia="Arial Unicode MS"/>
          <w:lang w:eastAsia="en-GB"/>
        </w:rPr>
        <w:t>.</w:t>
      </w:r>
      <w:r w:rsidRPr="00C862ED">
        <w:rPr>
          <w:rFonts w:eastAsia="Arial Unicode MS"/>
          <w:lang w:eastAsia="en-GB"/>
        </w:rPr>
        <w:t xml:space="preserve"> Indeed, a recent systematic review on the relationship between ADHD and suicide concluded that there is a positive association between ADHD and suicidality in both sexes and in all age groups that was likely mediated by the presence of comorbid disorders</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"10.5498/wjp.v7.i1.44", "ISSN" : "2220-3206", "author" : [ { "dropping-particle" : "", "family" : "Balazs", "given" : "Judit", "non-dropping-particle" : "", "parse-names" : false, "suffix" : "" }, { "dropping-particle" : "", "family" : "Kereszteny", "given" : "Agnes", "non-dropping-particle" : "", "parse-names" : false, "suffix" : "" } ], "container-title" : "World Journal of Psychiatry", "id" : "ITEM-1", "issue" : "1", "issued" : { "date-parts" : [ [ "2017" ] ] }, "page" : "44", "title" : "Attention-deficit/hyperactivity disorder and suicide: A systematic review", "type" : "article-journal", "volume" : "7" }, "uris" : [ "http://www.mendeley.com/documents/?uuid=2621cff9-c40d-416c-98a8-478dd358c7db" ] } ], "mendeley" : { "formattedCitation" : "&lt;sup&gt;19&lt;/sup&gt;", "plainTextFormattedCitation" : "19", "previouslyFormattedCitation" : "&lt;sup&gt;19&lt;/sup&gt;"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19</w:t>
      </w:r>
      <w:r w:rsidR="00E03B13" w:rsidRPr="00C862ED">
        <w:rPr>
          <w:rFonts w:eastAsia="Arial Unicode MS"/>
          <w:lang w:eastAsia="en-GB"/>
        </w:rPr>
        <w:fldChar w:fldCharType="end"/>
      </w:r>
      <w:r w:rsidRPr="00C862ED">
        <w:rPr>
          <w:rFonts w:eastAsia="Arial Unicode MS"/>
          <w:lang w:eastAsia="en-GB"/>
        </w:rPr>
        <w:t xml:space="preserve">. </w:t>
      </w:r>
      <w:r w:rsidR="00272989" w:rsidRPr="00C862ED">
        <w:t xml:space="preserve">Furthermore, individuals with ADHD frequently have more access to potentially harmful </w:t>
      </w:r>
      <w:r w:rsidR="006425CC">
        <w:t>medications that</w:t>
      </w:r>
      <w:r w:rsidR="00272989" w:rsidRPr="00C862ED">
        <w:t xml:space="preserve"> many </w:t>
      </w:r>
      <w:r w:rsidR="006425CC">
        <w:t xml:space="preserve">of them </w:t>
      </w:r>
      <w:r w:rsidR="00FE6782">
        <w:t xml:space="preserve">take </w:t>
      </w:r>
      <w:r w:rsidR="00272989" w:rsidRPr="00C862ED">
        <w:t>either for the disorder or for its comorbidities.</w:t>
      </w:r>
    </w:p>
    <w:p w14:paraId="648C4923" w14:textId="73F01281" w:rsidR="009D7E78" w:rsidRPr="00C862ED" w:rsidRDefault="009D7E78" w:rsidP="00E31716">
      <w:pPr>
        <w:ind w:firstLine="720"/>
        <w:rPr>
          <w:rFonts w:eastAsia="Arial Unicode MS"/>
          <w:lang w:eastAsia="en-GB"/>
        </w:rPr>
      </w:pPr>
      <w:r w:rsidRPr="00C862ED">
        <w:rPr>
          <w:rFonts w:eastAsia="Arial Unicode MS"/>
          <w:lang w:eastAsia="en-GB"/>
        </w:rPr>
        <w:t>Whereas a higher rate of poisoning in children and adolescents with ADHD in comparison with their typically developing peers has been reported</w:t>
      </w:r>
      <w:r w:rsidR="00054BE1" w:rsidRPr="00C862ED">
        <w:rPr>
          <w:rFonts w:eastAsia="Arial Unicode MS"/>
          <w:lang w:eastAsia="en-GB"/>
        </w:rPr>
        <w:t xml:space="preserve"> </w:t>
      </w:r>
      <w:r w:rsidR="003A5E31" w:rsidRPr="00C862ED">
        <w:rPr>
          <w:rFonts w:eastAsia="Arial Unicode MS"/>
          <w:lang w:eastAsia="en-GB"/>
        </w:rPr>
        <w:t xml:space="preserve">in </w:t>
      </w:r>
      <w:r w:rsidR="00054BE1" w:rsidRPr="00C862ED">
        <w:rPr>
          <w:rFonts w:eastAsia="Arial Unicode MS"/>
          <w:lang w:eastAsia="en-GB"/>
        </w:rPr>
        <w:t>individual studies</w:t>
      </w:r>
      <w:r w:rsidRPr="00C862ED">
        <w:rPr>
          <w:rFonts w:eastAsia="Arial Unicode MS"/>
          <w:lang w:eastAsia="en-GB"/>
        </w:rPr>
        <w:t xml:space="preserve">, </w:t>
      </w:r>
      <w:r w:rsidR="00243914" w:rsidRPr="00C862ED">
        <w:t>the magnitude of the association is unclear</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"ITEM-1",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"http://www.mendeley.com/documents/?uuid=88ab8fd7-7488-49db-930f-bb5229d7fe00" ] }, { "id" : "ITEM-2",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"ITEM-2",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"http://www.mendeley.com/documents/?uuid=ad831675-b87b-4bfd-9e96-db6d68a56068" ] } ], "mendeley" : { "formattedCitation" : "&lt;sup&gt;20,21&lt;/sup&gt;", "plainTextFormattedCitation" : "20,21", "previouslyFormattedCitation" : "&lt;sup&gt;20,21&lt;/sup&gt;"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20,21</w:t>
      </w:r>
      <w:r w:rsidR="00E03B13" w:rsidRPr="00C862ED">
        <w:rPr>
          <w:rFonts w:eastAsia="Arial Unicode MS"/>
          <w:lang w:eastAsia="en-GB"/>
        </w:rPr>
        <w:fldChar w:fldCharType="end"/>
      </w:r>
      <w:r w:rsidRPr="00C862ED">
        <w:rPr>
          <w:rFonts w:eastAsia="Arial Unicode MS"/>
          <w:lang w:eastAsia="en-GB"/>
        </w:rPr>
        <w:t xml:space="preserve">. Therefore, a meta-analysis quantifying the risk of poisoning in children/adolescents with ADHD is timely. Of note, the previous meta-analysis on </w:t>
      </w:r>
      <w:r w:rsidR="00243914" w:rsidRPr="00C862ED">
        <w:rPr>
          <w:rFonts w:eastAsia="Arial Unicode MS"/>
          <w:lang w:eastAsia="en-GB"/>
        </w:rPr>
        <w:t xml:space="preserve">the </w:t>
      </w:r>
      <w:r w:rsidRPr="00C862ED">
        <w:rPr>
          <w:rFonts w:eastAsia="Arial Unicode MS"/>
          <w:lang w:eastAsia="en-GB"/>
        </w:rPr>
        <w:t xml:space="preserve">risk of physical injuries excluded studies that specifically </w:t>
      </w:r>
      <w:r w:rsidR="00C862ED" w:rsidRPr="00C862ED">
        <w:rPr>
          <w:rFonts w:eastAsia="Arial Unicode MS"/>
          <w:lang w:eastAsia="en-GB"/>
        </w:rPr>
        <w:t>analyzed</w:t>
      </w:r>
      <w:r w:rsidRPr="00C862ED">
        <w:rPr>
          <w:rFonts w:eastAsia="Arial Unicode MS"/>
          <w:lang w:eastAsia="en-GB"/>
        </w:rPr>
        <w:t xml:space="preserve"> the risk of poisoning</w:t>
      </w:r>
      <w:r w:rsidR="00E03B13" w:rsidRPr="00C862ED">
        <w:rPr>
          <w:rFonts w:eastAsia="Arial Unicode MS"/>
          <w:lang w:eastAsia="en-GB"/>
        </w:rPr>
        <w:fldChar w:fldCharType="begin" w:fldLock="1"/>
      </w:r>
      <w:r w:rsidR="0043300B" w:rsidRPr="00C862ED">
        <w:rPr>
          <w:rFonts w:eastAsia="Arial Unicode MS"/>
          <w:lang w:eastAsia="en-GB"/>
        </w:rPr>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"&lt;sup&gt;17&lt;/sup&gt;", "plainTextFormattedCitation" : "17", "previouslyFormattedCitation" : "&lt;sup&gt;17&lt;/sup&gt;" }, "properties" : {  }, "schema" : "https://github.com/citation-style-language/schema/raw/master/csl-citation.json" }</w:instrText>
      </w:r>
      <w:r w:rsidR="00E03B13" w:rsidRPr="00C862ED">
        <w:rPr>
          <w:rFonts w:eastAsia="Arial Unicode MS"/>
          <w:lang w:eastAsia="en-GB"/>
        </w:rPr>
        <w:fldChar w:fldCharType="separate"/>
      </w:r>
      <w:r w:rsidR="0043300B" w:rsidRPr="00C862ED">
        <w:rPr>
          <w:rFonts w:eastAsia="Arial Unicode MS"/>
          <w:noProof/>
          <w:vertAlign w:val="superscript"/>
          <w:lang w:eastAsia="en-GB"/>
        </w:rPr>
        <w:t>17</w:t>
      </w:r>
      <w:r w:rsidR="00E03B13" w:rsidRPr="00C862ED">
        <w:rPr>
          <w:rFonts w:eastAsia="Arial Unicode MS"/>
          <w:lang w:eastAsia="en-GB"/>
        </w:rPr>
        <w:fldChar w:fldCharType="end"/>
      </w:r>
      <w:r w:rsidRPr="00C862ED">
        <w:rPr>
          <w:rFonts w:eastAsia="Arial Unicode MS"/>
          <w:lang w:eastAsia="en-GB"/>
        </w:rPr>
        <w:t xml:space="preserve">. To fill this gap and complement the previous meta-analysis, we conducted the present meta-analysis aimed to quantifying the pooled risk of poisoning in children/adolescents with ADHD compared to </w:t>
      </w:r>
      <w:r w:rsidR="008B3661" w:rsidRPr="00C862ED">
        <w:rPr>
          <w:rFonts w:eastAsia="Arial Unicode MS"/>
          <w:lang w:eastAsia="en-GB"/>
        </w:rPr>
        <w:t>non-ADHD</w:t>
      </w:r>
      <w:r w:rsidRPr="00C862ED">
        <w:rPr>
          <w:rFonts w:eastAsia="Arial Unicode MS"/>
          <w:lang w:eastAsia="en-GB"/>
        </w:rPr>
        <w:t xml:space="preserve"> controls. A secondary aim was to compare the magnitude of the risk of </w:t>
      </w:r>
      <w:r w:rsidR="00243914" w:rsidRPr="00C862ED">
        <w:rPr>
          <w:rFonts w:eastAsia="Arial Unicode MS"/>
          <w:lang w:eastAsia="en-GB"/>
        </w:rPr>
        <w:t xml:space="preserve">unintentional </w:t>
      </w:r>
      <w:r w:rsidRPr="00C862ED">
        <w:rPr>
          <w:rFonts w:eastAsia="Arial Unicode MS"/>
          <w:lang w:eastAsia="en-GB"/>
        </w:rPr>
        <w:t xml:space="preserve">physical injuries and poisoning from studies that reported both. We </w:t>
      </w:r>
      <w:r w:rsidRPr="00C862ED">
        <w:rPr>
          <w:rFonts w:eastAsia="Arial Unicode MS"/>
          <w:lang w:eastAsia="en-GB"/>
        </w:rPr>
        <w:lastRenderedPageBreak/>
        <w:t xml:space="preserve">hypothesize that children and adolescents meeting criteria of ADHD would have significantly higher rates of poisoning compared to those without ADHD, and this increased probability of poisoning would be greater than that of </w:t>
      </w:r>
      <w:r w:rsidR="000A707C" w:rsidRPr="00C862ED">
        <w:rPr>
          <w:rFonts w:eastAsia="Arial Unicode MS"/>
          <w:lang w:eastAsia="en-GB"/>
        </w:rPr>
        <w:t xml:space="preserve">physical </w:t>
      </w:r>
      <w:r w:rsidRPr="00C862ED">
        <w:rPr>
          <w:rFonts w:eastAsia="Arial Unicode MS"/>
          <w:lang w:eastAsia="en-GB"/>
        </w:rPr>
        <w:t xml:space="preserve">injuries. </w:t>
      </w:r>
    </w:p>
    <w:p w14:paraId="74DEB827" w14:textId="77777777" w:rsidR="009D7E78" w:rsidRPr="00C862ED" w:rsidRDefault="009D7E78" w:rsidP="00980141">
      <w:pPr>
        <w:spacing w:after="160" w:line="259" w:lineRule="auto"/>
        <w:rPr>
          <w:sz w:val="22"/>
          <w:szCs w:val="22"/>
        </w:rPr>
      </w:pPr>
    </w:p>
    <w:p w14:paraId="1F4B9459" w14:textId="77777777" w:rsidR="009D7E78" w:rsidRPr="00C862ED" w:rsidRDefault="009D7E78" w:rsidP="00980141">
      <w:pPr>
        <w:spacing w:after="160" w:line="259" w:lineRule="auto"/>
        <w:rPr>
          <w:rStyle w:val="Textoennegrita"/>
          <w:b w:val="0"/>
          <w:bCs w:val="0"/>
          <w:sz w:val="22"/>
          <w:szCs w:val="22"/>
        </w:rPr>
      </w:pPr>
      <w:r w:rsidRPr="00C862ED">
        <w:rPr>
          <w:rStyle w:val="Textoennegrita"/>
          <w:sz w:val="28"/>
          <w:szCs w:val="28"/>
        </w:rPr>
        <w:t xml:space="preserve">Results </w:t>
      </w:r>
    </w:p>
    <w:p w14:paraId="7B4D2AA0" w14:textId="52C1CE12" w:rsidR="00E618FF" w:rsidRPr="00C862ED" w:rsidRDefault="009D7E78" w:rsidP="00E618FF">
      <w:pPr>
        <w:ind w:firstLine="708"/>
      </w:pPr>
      <w:r w:rsidRPr="00C862ED">
        <w:t xml:space="preserve">Searches carried out in </w:t>
      </w:r>
      <w:r w:rsidR="00272989" w:rsidRPr="00C862ED">
        <w:t>114 databases (</w:t>
      </w:r>
      <w:r w:rsidR="00F606F4">
        <w:t xml:space="preserve">including </w:t>
      </w:r>
      <w:r w:rsidRPr="00C862ED">
        <w:t xml:space="preserve">three major bibliographic databases </w:t>
      </w:r>
      <w:r w:rsidR="00F606F4">
        <w:t>plus</w:t>
      </w:r>
      <w:r w:rsidR="00272989" w:rsidRPr="00C862ED">
        <w:t xml:space="preserve"> 111 additional resources from </w:t>
      </w:r>
      <w:r w:rsidRPr="00C862ED">
        <w:t>a database aggregator</w:t>
      </w:r>
      <w:r w:rsidR="00272989" w:rsidRPr="00C862ED">
        <w:t>)</w:t>
      </w:r>
      <w:r w:rsidRPr="00C862ED">
        <w:t xml:space="preserve"> in November 2017 led to 826 articles, whereas </w:t>
      </w:r>
      <w:r w:rsidR="00614D47" w:rsidRPr="00C862ED">
        <w:t>nine</w:t>
      </w:r>
      <w:r w:rsidRPr="00C862ED">
        <w:t xml:space="preserve"> studies were included in the final stage of the systematic review and meta-</w:t>
      </w:r>
      <w:r w:rsidR="00DE72B6" w:rsidRPr="00C862ED">
        <w:t>analysis</w:t>
      </w:r>
      <w:r w:rsidR="00E03B13" w:rsidRPr="00C862ED">
        <w:fldChar w:fldCharType="begin" w:fldLock="1"/>
      </w:r>
      <w:r w:rsidR="008B3661" w:rsidRPr="00C862ED">
        <w:instrText>ADDIN CSL_CITATION { "citationItems" : [ { "id" : "ITEM-1", "itemData" : { "DOI" : "10.1542/peds.111.2.262", "ISSN" : "1098-4275", "PMID" : "12563049", "abstract" : "CONTEXT While an association between pediatric behavioral disorders and injuries is generally acknowledged, no studies have measured the risk for injury in the context of a large, population-based study that is free of cohort biases. OBJECTIVES To examine the association between childhood behavior disorders ([CBDs] as indicated by prescription for methylphenidate [MPH]) and a variety of injury outcomes, and to evaluate the risk for injury among these children after controlling for known demographic correlates. DESIGN Population-based database analysis of all children in British Columbia (BC) under the age of 19 as of December 31, 1996; comparison of those who had been prescribed MPH and therefore placed in the CBD group (n = 16, 806) and those who were not (n = 1,010,067). Demographic information collected was as follows: age, sex, measures of socioeconomic status, and region of residence. OUTCOME MEASURES Common types of childhood injury in BC: International Classification of Diseases, Ninth Revision N-codes (fractures, open wounds, poisoning/toxic effect, concussion, intracranial, burns) and E-codes (falls, postoperative complications, motor vehicle accidents, struck by object, adverse effects of drugs, suffocation, drowning). DATA SOURCE BC Linked Health Data Set and the BC Triplicate Prescription Program. RESULTS After controlling for known demographic correlates, odds for injury was greater among those treated with MPH and presumed to have a behavioral disorder, when injury was characterized either by type (1.67; 99% confidence interval: 1.54-1.81) or cause (1.52; 99% confidence interval: 1.40-1.66) of injury. This increased risk extended to unexpected categories of injury such as postoperative complications and adverse effects of drugs. CONCLUSIONS Children with CBDs have &gt;1.5 times the odds of sustaining injuries of a variety of types from a variety of causes, even after controlling for known demographic correlates, than those without behavioral disorders. The risks for these children extend beyond those that might be directly associated with impulsivity and overactivity. Injury prevention strategies aimed at this group of children and youth would be beneficial. Policy-makers should account for increased risk of a wide variety of injuries in this group of children and youth.", "author" : [ { "dropping-particle" : "", "family" : "Brehaut", "given" : "Jamie C", "non-dropping-particle" : "", "parse-names" : false, "suffix" : "" }, { "dropping-particle" : "", "family" : "Miller", "given" : "Anton", "non-dropping-particle" : "", "parse-names" : false, "suffix" : "" }, { "dropping-particle" : "", "family" : "Raina", "given" : "Parminder", "non-dropping-particle" : "", "parse-names" : false, "suffix" : "" }, { "dropping-particle" : "", "family" : "McGrail", "given" : "Kimberlyn M", "non-dropping-particle" : "", "parse-names" : false, "suffix" : "" } ], "container-title" : "Pediatrics", "id" : "ITEM-1", "issue" : "2", "issued" : { "date-parts" : [ [ "2003", "2" ] ] }, "note" : "From Duplicate 1 (Childhood Behavior Disorders and Injuries Among Children and Youth: A Population-Based Study. - Brehaut, Jamie C Miller AntonRaina ParminderMcGrail Kimberlyn M)\n\nGonzalo02.\n\nMaite02. \nLa duda es porque con el abstract no puedo descartar que no entre.\n\ncited By 76\n\nFrom Duplicate 2 (Childhood Behavior Disorders and Injuries Among Children and Youth: A Population-Based Study. - Brehaut, Jamie C Miller AntonRaina ParminderMcGrail Kimberlyn M)\n\ncited By 76", "page" : "262-9", "title" : "Childhood behavior disorders and injuries among children and youth: a population-based study.", "type" : "article-journal", "volume" : "111" }, "uris" : [ "http://www.mendeley.com/documents/?uuid=c1da2a8d-a420-41d9-ad2a-11677b856287" ] }, { "id" : "ITEM-2",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"ITEM-2",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"id" : "ITEM-3",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"ITEM-3",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"id" : "ITEM-4",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"ITEM-4",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"id" : "ITEM-5",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"ITEM-5",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"id" : "ITEM-6",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"ITEM-6",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"id" : "ITEM-7", "itemData" : { "DOI" : "10.3389/fped.2017.00220", "ISSN" : "2296-2360", "author" : [ { "dropping-particle" : "", "family" : "Lindemann", "given" : "Christina", "non-dropping-particle" : "", "parse-names" : false, "suffix" : "" }, { "dropping-particle" : "", "family" : "Langner", "given" : "Ingo", "non-dropping-particle" : "", "parse-names" : false, "suffix" : "" }, { "dropping-particle" : "", "family" : "Banaschewski", "given" : "Tobias", "non-dropping-particle" : "", "parse-names" : false, "suffix" : "" }, { "dropping-particle" : "", "family" : "Garbe", "given" : "Edeltraut", "non-dropping-particle" : "", "parse-names" : false, "suffix" : "" }, { "dropping-particle" : "", "family" : "Mikolajczyk", "given" : "Rafael T.", "non-dropping-particle" : "", "parse-names" : false, "suffix" : "" } ], "container-title" : "Frontiers in Pediatrics", "id" : "ITEM-7", "issued" : { "date-parts" : [ [ "2017", "10", "24" ] ] }, "title" : "The Risk of Hospitalizations with Injury Diagnoses in a Matched Cohort of Children and Adolescents with and without Attention Deficit/Hyperactivity Disorder in Germany: A Database Study", "type" : "article-journal", "volume" : "5" }, "uris" : [ "http://www.mendeley.com/documents/?uuid=7ef27e7e-cf89-4dd2-90aa-16375dced0e0" ] }, { "id" : "ITEM-8",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"ITEM-8",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"id" : "ITEM-9",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"ITEM-9",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"id" : "ITEM-10", "itemData" : { "DOI" : "10.1016/j.jadohealth.2003.12.003", "ISBN" : "1879-1972 (Electronic)\\r1054-139X (Linking)", "ISSN" : "1879-1972", "PMID" : "15830457", "abstract" : "PURPOSE The purpose is to analyze the incidence and costs of accidents among Attention-Deficit/Hyperactivity Disorder (ADHD) patients. METHODS The analysis relied on administrative medical, pharmaceutical, and disability claims for a national manufacturer's employees, spouses, dependents, and retirees (n &gt; 100,000). Accidental injuries were identified using ICD-9 codes for injuries or poisoning treatment. ADHD sample consists of individuals with at least one claim for ADHD during 1996-98 (NADHD = 1308), which was compared with a matched control sample. In addition to descriptive statistics, multivariate analysis involving logistic regression was used to model the probability of having an accident claim in 1998. This probability was estimated for the whole population, for adults alone, for children (under age 12 years), and for adolescents (age 12-18 years). We also estimated a generalized estimation equation (GEE) model to account for the possibility of multiple accident claims for a single patient. RESULTS ADHD patients had a greater probability of having at least one accident claim than their controls for children (28% vs. 18%), adolescents (32% vs. 23%), and adults (38% vs. 18%). Although ADHD patients' costs were greater than their controls for adults ($483 vs. $146), there was no difference for children or adolescents. However, among patients with accident claims, the average number of accident claims was similar for both groups (3.6 vs. 3.5) and costs were not statistically different. The multivariate analysis confirms this utilization pattern: the odds of having an accident for ADHD patients were 1.7 times greater than for controls. CONCLUSIONS ADHD was a significant predictor of having an accident claim. However, for people with an accident claim, ADHD patients and controls had a similar number of accident claims and costs.", "author" : [ { "dropping-particle" : "", "family" : "Swensen", "given" : "Andrine", "non-dropping-particle" : "", "parse-names" : false, "suffix" : "" }, { "dropping-particle" : "", "family" : "Birnbaum", "given" : "Howard G.", "non-dropping-particle" : "", "parse-names" : false, "suffix" : "" }, { "dropping-particle" : "", "family" : "Hamadi", "given" : "Rym", "non-dropping-particle" : "Ben", "parse-names" : false, "suffix" : "" }, { "dropping-particle" : "", "family" : "Greenberg", "given" : "Paul", "non-dropping-particle" : "", "parse-names" : false, "suffix" : "" }, { "dropping-particle" : "", "family" : "Cremieux", "given" : "Pierre-Yves", "non-dropping-particle" : "", "parse-names" : false, "suffix" : "" }, { "dropping-particle" : "", "family" : "Secnik", "given" : "Kristina", "non-dropping-particle" : "", "parse-names" : false, "suffix" : "" } ], "container-title" : "The Journal of adolescent health : official publication of the Society for Adolescent Medicine", "id" : "ITEM-10", "issue" : "4", "issued" : { "date-parts" : [ [ "2004", "10", "1" ] ] }, "language" : "eng", "note" : "Maite01.\n\nGonzalo01.\n\nFrom Duplicate 2 (Incidence and costs of accidents among attention-deficit/hyperactivity disorder patients. - Swensen, Andrine; Birnbaum, Howard G; Ben Hamadi, Rym; Greenberg, Paul; Cremieux, Pierre-Yves Y; Secnik, Kristina)\n\nFrom Duplicate 1 (Incidence and costs of accidents among attention-deficit/hyperactivity disorder patients - Swensen, Andrine; Birnbaum, Howard G; Ben Hamadi, Rym; Greenberg, Paul; Cremieux, Pierre-Yves Y; Secnik, Kristina)\n\n\n\nFrom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78\n\nFrom Duplicate 2 (Incidence and costs of accidents among attention-deficit/hyperactivity disorder patients. - Swensen, Andrine; Birnbaum, Howard G; Ben Hamadi, Rym; Greenberg, Paul; Cremieux, Pierre-Yves; Secnik, Kristina)\nAnd Duplicate 3 (Incidence and costs of accidents among attention-deficit/hyperactivity disorder patients. - Swensen, Andrine; Birnbaum, Howard G; Ben Hamadi, Rym; Greenberg, Paul; Cremieux, Pierre-Yves; Secnik, Kristina)\n\nBusqueda_pubmed.\n\nFrom Duplicate 4 (Incidence and costs of accidents among attention-deficit/hyperactivity disorder patients - Swensen, Andrine; Birnbaum, Howard G; Ben Hamadi, Rym; Greenberg, Paul; Cremieux, Pierre-Yves Y; Secnik, Kristina)\n\nGonzalo01.\n\nFrom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 "page" : "346.e1-9", "publisher" : "Elsevier Inc.", "publisher-place" : "United States", "title" : "Incidence and costs of accidents among attention-deficit/hyperactivity disorder patients.", "type" : "article-journal", "volume" : "35" }, "uris" : [ "http://www.mendeley.com/documents/?uuid=e22332c3-4de9-4376-9a2b-271494ff3f68" ] } ], "mendeley" : { "formattedCitation" : "&lt;sup&gt;20\u201329&lt;/sup&gt;", "plainTextFormattedCitation" : "20\u201329", "previouslyFormattedCitation" : "&lt;sup&gt;20\u201329&lt;/sup&gt;" }, "properties" : {  }, "schema" : "https://github.com/citation-style-language/schema/raw/master/csl-citation.json" }</w:instrText>
      </w:r>
      <w:r w:rsidR="00E03B13" w:rsidRPr="00C862ED">
        <w:fldChar w:fldCharType="separate"/>
      </w:r>
      <w:proofErr w:type="gramStart"/>
      <w:r w:rsidR="008B3661" w:rsidRPr="00C862ED">
        <w:rPr>
          <w:noProof/>
          <w:vertAlign w:val="superscript"/>
        </w:rPr>
        <w:t>20–29</w:t>
      </w:r>
      <w:r w:rsidR="00E03B13" w:rsidRPr="00C862ED">
        <w:fldChar w:fldCharType="end"/>
      </w:r>
      <w:r w:rsidRPr="00C862ED">
        <w:t>.</w:t>
      </w:r>
      <w:proofErr w:type="gramEnd"/>
      <w:r w:rsidRPr="00C862ED">
        <w:t xml:space="preserve"> Articles that were considered possible candidates for inclusion during the first screening stage but were later deemed ineligible when the full text was assessed are </w:t>
      </w:r>
      <w:r w:rsidR="00614D47" w:rsidRPr="00C862ED">
        <w:t>listed</w:t>
      </w:r>
      <w:r w:rsidRPr="00C862ED">
        <w:t xml:space="preserve"> in Table S1, with reasons for exclusion</w:t>
      </w:r>
      <w:r w:rsidR="00493DFC" w:rsidRPr="00C862ED">
        <w:t xml:space="preserve"> </w:t>
      </w:r>
      <w:r w:rsidRPr="00C862ED">
        <w:t>(see Supplementary material). Multiple reports derived from the</w:t>
      </w:r>
      <w:r w:rsidR="006935E7" w:rsidRPr="00C862ED">
        <w:t xml:space="preserve"> </w:t>
      </w:r>
      <w:r w:rsidR="00614D47" w:rsidRPr="00C862ED">
        <w:t xml:space="preserve">Taiwan </w:t>
      </w:r>
      <w:r w:rsidR="00577228" w:rsidRPr="00C862ED">
        <w:t>Longitudinal Health Insurance Database (LHID)</w:t>
      </w:r>
      <w:r w:rsidRPr="00C862ED">
        <w:t xml:space="preserve"> were treated as the same study</w:t>
      </w:r>
      <w:r w:rsidR="00E03B13" w:rsidRPr="00C862ED">
        <w:rPr>
          <w:sz w:val="20"/>
          <w:szCs w:val="20"/>
        </w:rPr>
        <w:fldChar w:fldCharType="begin" w:fldLock="1"/>
      </w:r>
      <w:r w:rsidR="005E59D9" w:rsidRPr="00C862ED">
        <w:rPr>
          <w:sz w:val="20"/>
          <w:szCs w:val="20"/>
        </w:rPr>
        <w:instrText>ADDIN CSL_CITATION { "citationItems" : [ { "id" : "ITEM-1",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"ITEM-1",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"id" : "ITEM-2",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"ITEM-2",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"id" : "ITEM-3", "itemData" : { "DOI" : "10.1111/dmcn.12501", "ISBN" : "0924-9338", "ISSN" : "00121622", "PMID" : "24867299", "abstract" : "Aim: Attention-deficit-hyperactivity disorder (ADHD) is a disorder that is associated with accidental injuries. The aim of this study was to evaluate the relationship between ADHD and bone fracture in children. Method: The study cohort comprised 3640 children (2874 males, 766 females; mean age 8y 5mo, SD 3y) with ADHD (International Classification of Diseases, Ninth Revision) who were matched to children without ADHD at a ratio of 1:4 (n=14 560; 11 496 males, 3064 females; mean age 8y 5mo, SD 3y). A Cox proportional hazard regression analysis was conducted to estimate how ADHD affected the risk of bone fracture. Results: The incidence of fracture among the ADHD cohort was 197.67 per 10 000 person-years, and was 1.3-fold greater than in the comparison cohort (147.54 per 10 000 person-years). The risk in children with ADHD was higher than that in children without ADHD (p value for log-rank test &lt; 0.001). After adjusting for potential confounding factors, the ADHD cohort was 1.32 times more likely to have bone fracture accidents than the comparison cohort (hazard ratio, 1.32; 95% confidence interval 1.17-1.49). Interpretation: Children with ADHD have a higher risk of experiencing bone fracture accidents than do children without ADHD. What this paper adds: The risk of bone fracture accidents was significantly higher among children with attention-deficit-hyperactivity disorder (ADHD) than among children without ADHD.After adjusting for potential confounding factors, those in the ADHD cohort were 1.32 times more likely to experience bone fracture accidents than those in the comparison cohort. This article is commented on by Cairney on pages 1040-1041 of this issue. \u00a9 2014 Mac Keith Press.", "author" : [ { "dropping-particle" : "", "family" : "Chou", "given" : "I-Ching", "non-dropping-particle" : "", "parse-names" : false, "suffix" : "" }, { "dropping-particle" : "", "family" : "Lin", "given" : "Che-Chen", "non-dropping-particle" : "", "parse-names" : false, "suffix" : "" }, { "dropping-particle" : "", "family" : "Sung", "given" : "Fung-Chang", "non-dropping-particle" : "", "parse-names" : false, "suffix" : "" }, { "dropping-particle" : "", "family" : "Kao", "given" : "Chia-Hung", "non-dropping-particle" : "", "parse-names" : false, "suffix" : "" } ], "container-title" : "Developmental Medicine &amp; Child Neurology", "id" : "ITEM-3", "issue" : "11", "issued" : { "date-parts" : [ [ "2014", "10", "1" ] ] }, "language" : "eng", "note" : "From Duplicate 1 (Attention-deficit-hyperactivity disorder increases risk of bone fracture: a population-based cohort study - Chou, I-Ching; Lin, Che-Chen; Sung, Fung-Chang; Kao, Chia-Hung)\n\nGonzalo01.\nMaite01.\n\nFrom Duplicate 1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2 (Attention-deficit-hyperactivity disorder increases risk of bone fracture: a population-based cohort study. - Chou, I-Ching; Lin, Che-Chen; Sung, Fung-Chang; Kao, Chia-Hung)\n\nBusquedaPubmed.\n\nFrom Duplicate 2 (Attention-deficit-hyperactivity disorder increases risk of bone fracture: a population-based cohort study. - Chou, I-Ching; Lin, Che-Chen; Sung, Fung-Chang; Kao, Chia-Hung)\n\n\n\nFrom Duplicate 1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2 (Attention-deficit-hyperactivity disorder increases risk of bone fracture: a population-based cohort study. - Chou, I-Ching; Lin, Che-Chen; Sung, Fung-Chang; Kao, Chia-Hung)\n\nWebOfScience.\n\nFrom Duplicate 3 (Attention-deficit-hyperactivity disorder increases risk of bone fracture: a population-based cohort study. - Chou, I-Ching; Lin, Che-Chen; Sung, Fung-Chang; Kao, Chia-Hung)\n\nBusquedaPubmed.\n\nFrom Duplicate 3 (Attention-deficit-hyperactivity disorder increases risk of bone fracture: a population-based cohort study - Chou, I-Ching; Lin, Che-Chen; Sung, Fung-Chang; Kao, Chia-Hung)\n\nFrom Duplicate 1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2 (Attention-deficit hyperactivity disorder increases the risk of deliberate self-poisoning: A population-based cohort. - Chou, I-C; Lin, C-C; Sung, F-C; Kao, C-H)\n\nadhd aumenta riesgo de envenenamiento.\n\nWebOfScience.\n\nFrom Duplicate 4 (Attention-deficit-hyperactivity disorder increases risk of bone fracture: a population-based cohort study - Chou, I-Ching; Lin, Che-Chen; Sung, Fung-Chang; Kao, Chia-Hung)\nAnd Duplicate 5 (Attention-deficit-hyperactivity disorder increases risk of bone fracture: a population-based cohort study - Chou, I-Ching; Lin, Che-Chen; Sung, Fung-Chang; Kao, Chia-Hung)\n\n\nFrom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6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Chia-Hung)\nAnd Duplicate 2 (Attention-deficit-hyperactivity disorder increases risk of bone fracture: a population-based cohort study - Chou, I-Ching; Lin, Che-Chen; Sung, Fung-Chang; Kao, Chia-Hung)\n\n\nFrom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3 (Attention-deficit-hyperactivity disorder increases risk of bone fracture: A population-based cohort study - Chou 2 ), I.-C. ( 1; Lin, C.-C. ( 3 ); Sung 4 ), F.-C. ( 3; Kao 6 ), C.-H. ( 5)\n\nAccession Number: edselc.2-52.0-84914158554; (Developmental Medicine and Child Neurology, 1 November 2014, 56(11):1111-1116) Publication Type: Academic Journal; Rights: Copyright 2015 Elsevier B.V., All rights reserved.", "page" : "1111-1116", "publisher" : "Blackwell Publishing Ltd", "publisher-place" : "(1)Department of Paediatrics, China Medical University Hospital, China Medical University, France", "title" : "Attention-deficit-hyperactivity disorder increases risk of bone fracture: a population-based cohort study", "type" : "article-journal", "volume" : "56" }, "uris" : [ "http://www.mendeley.com/documents/?uuid=a0e9a263-6ff1-4bf7-a803-07e6a478bd5e" ] }, { "id" : "ITEM-4", "itemData" : { "DOI" : "10.1111/apa.12213", "ISSN" : "1651-2227 (Electronic)", "PMID" : "23647526", "abstract" : "AIM: To explore the frequency and risk for injury among children with Attention-deficit/hyperactivity Disorder (ADHD) in Taiwan through a population-based study. METHODS: A total of 3616 subjects aged between four and twelve years diagnosed with ADHD were selected along with a comparison cohort comprising 18 080 subjects. Each subject was individually traced for a three-year period from their index date to identify those subjects who subsequently received a diagnosis of injury. We used stratified Cox proportional hazards regressions to examine the three-year injury-free survival rates between the two cohorts. RESULTS: Of the subjects, the incidence rate of injury during the three-year follow-up period was 7.97 (95% CI = 7.45-8.51) and 5.36 (95% CI = 5.17-5.56) for the study and comparison cohort, respectively. After adjusting for geographic region, the hazard ratio (HR) of injury for subjects with ADHD was 1.64 (95% CI = 1.50-1.79) that of comparison subjects. In addition, we found children with ADHD aged between four and 6 years to demonstrate a greater HR (1.98, 95% CI = 1.72-2.28) than those aged between seven and twelve (HR = 1.46, 95% CI = 1.31-1.63). CONCLUSIONS: Children with ADHD appear to be at a higher risk for injury than children that are not diagnosed with ADHD.", "author" : [ { "dropping-particle" : "", "family" : "Kang", "given" : "Jiunn-Horng", "non-dropping-particle" : "", "parse-names" : false, "suffix" : "" }, { "dropping-particle" : "", "family" : "Lin", "given" : "Herng-Ching", "non-dropping-particle" : "", "parse-names" : false, "suffix" : "" }, { "dropping-particle" : "", "family" : "Chung", "given" : "Shiu-Dong", "non-dropping-particle" : "", "parse-names" : false, "suffix" : "" } ], "container-title" : "Acta paediatrica (Oslo, Norway : 1992)", "id" : "ITEM-4", "issue" : "6", "issued" : { "date-parts" : [ [ "2013", "6" ] ] }, "note" : "Maite01.\nGonzalo01.\n\n\n\n\n\n\nFrom Duplicate 1 (Attention-deficit/hyperactivity disorder increased the risk of injury: a population-based follow-up study. - Kang, Jiunn-Horng; Lin, Herng-Ching; Chung, Shiu-Dong)\nAnd Duplicate 2 (Attention-deficit/hyperactivity disorder increased the risk of injury: a population-based follow-up study. - Kang, Jiunn-Horng; Lin, Herng-Ching; Chung, Shiu-Dong)\n\nFrom Duplicate 2 (Attention-deficit/hyperactivity disorder increased the risk of injury: a population-based follow-up study. - Kang, Jiunn-Horng; Lin, Herng-Ching; Chung, Shiu-Dong)\n\n\n\nFrom Duplicate 1 (Attention-deficit/hyperactivity disorder increased the risk of injury: a population-based follow-up study. - Kang, Jiunn-Horng; Lin, Herng-Ching; Chung, Shiu-Dong)\n\nBusqueda_pubmed.\n\nFrom Duplicate 2 (Attention-deficit/hyperactivity disorder increased the risk of injury: a population-based follow-up study. - Kang, Jiunn-Horng; Lin, Herng-Ching; Chung, Shiu-Dong)\n\nBusqueda_Scopus.\n\nFrom Duplicate 3 (Attention-deficit/hyperactivity disorder increased the risk of injury: a population-based follow-up study. - Kang, Jiunn-Horng; Lin, Herng-Ching; Chung, Shiu-Dong)\n\nBusqueda_pubmed.\n\nFrom Duplicate 4 (Attention-deficit/hyperactivity disorder increased the risk of injury: a population-based follow-up study. - Kang, Jiunn-Horng; Lin, Herng-Ching; Chung, Shiu-Dong)\n\nGonzalo01.\n\nFrom Duplicate 1 (Attention-deficit/hyperactivity disorder increased the risk of injury: a population-based follow-up study. - Kang, Jiunn-Horng; Lin, Herng-Ching; Chung, Shiu-Dong)\n\nBusqueda_pubmed.\n\nFrom Duplicate 2 (Attention-deficit/hyperactivity disorder increased the risk of injury: a population-based follow-up study. - Kang, Jiunn-Horng; Lin, Herng-Ching; Chung, Shiu-Dong)\n\nBusqueda_Scopus.", "page" : "640-643", "title" : "Attention-deficit/hyperactivity disorder increased the risk of injury: a population-based follow-up study.", "type" : "article-journal", "volume" : "102" }, "uris" : [ "http://www.mendeley.com/documents/?uuid=855a00ba-b152-4a5d-93ba-f906828abca8" ] }, { "id" : "ITEM-5", "itemData" : { "DOI" : "10.1097/BPB.0000000000000243", "ISBN" : "1060-152x", "ISSN" : "14735865", "PMID" : "26523534", "abstract" : "The aim of this study was to investigate the risk of fracture and the difference between sexes from a nationwide database of fracture risk among children aged 4-17 years with or without attention deficit hyperactivity disorder (ADHD, ICD-9-CD codes 314). The Longitudinal Health Insurance Database (LHID 2000) was used to analyze fracture characteristics of children from the National Health Insurance that covered 96.1% of the Taiwanese population (N=21.4 million). A total of 7200 ADHD children aged between 4 and 17 years whose diagnosis had been confirmed in at least three outpatient clinics between 1 January 2000 and 31 December 2009 were included, and a cohort of 36 000 children without ADHD matched for age, sex, and urbanization was recruited for analysis. The incidence rate of fractures in ADHD children was 21.0 (95% confidence interval=19.4-22.7) per 1000 person-years, significantly (P&lt;0.001) higher than 15.0 (95% confidence interval=14.4-15.6) in non-ADHDs. After adjusting by age, sex, urbanization level, and geographic region, the statistically significant (P&lt;0.001) hazard ratios (HR) of fracture for ADHD children compared with non-ADHD children included 1.62 in girls and 1.38 in boys, 1.53 in the skull, neck, and trunk (ICD-9-CM 800-809), 1.28 in the upper extremity (ICD-9-CM 810-819), and 1.84 in the lower extremity (ICD-9-CM 820-829). The HR also (P&lt;0.001) increased significantly in all age groups, including 1.35 in 4-6, 1.37 in 7-9, and 1.54 in 10-17 years. ADHD should be listed among risk factors of children's fractures in each sex, all age groups, and all body areas that the parents, teachers, caregivers of ADHD children, and pediatric orthopedists should be aware of. Besides, ADHD girls were more affected than ADHD boys, especially after 10 years of age, whereas the adjusted HR was the highest in the lower extremities. Nationwide analysis matched for age and sex showed that ADHD should be considered the risk factor of children's fracture, especially for girls older than 10 years of age.", "author" : [ { "dropping-particle" : "", "family" : "Guo", "given" : "Nai Wen", "non-dropping-particle" : "", "parse-names" : false, "suffix" : "" }, { "dropping-particle" : "", "family" : "Lin", "given" : "Cheng Li", "non-dropping-particle" : "", "parse-names" : false, "suffix" : "" }, { "dropping-particle" : "", "family" : "Lin", "given" : "Cheng Wei", "non-dropping-particle" : "", "parse-names" : false, "suffix" : "" }, { "dropping-particle" : "", "family" : "Huang", "given" : "Ming Tung", "non-dropping-particle" : "", "parse-names" : false, "suffix" : "" }, { "dropping-particle" : "", "family" : "Chang", "given" : "Wei Lun", "non-dropping-particle" : "", "parse-names" : false, "suffix" : "" }, { "dropping-particle" : "", "family" : "Lu", "given" : "Tsung Hsueh", "non-dropping-particle" : "", "parse-names" : false, "suffix" : "" }, { "dropping-particle" : "", "family" : "Lin", "given" : "Chii Jeng", "non-dropping-particle" : "", "parse-names" : false, "suffix" : "" } ], "container-title" : "Journal of Pediatric Orthopaedics Part B", "id" : "ITEM-5", "issue" : "4", "issued" : { "date-parts" : [ [ "2016", "10", "29" ] ] }, "note" : "Busqueda_pubmed.\nMaite01.\nGonzalo01.\nPendienteLocalizar. \nNoEnLeeds.\n\nFrom Duplicate 1 (Fracture risk and correlating factors of a pediatric population with attention deficit hyperactivity disorder: a nationwide matched study. - Guo, Nai-Wen; Lin, Cheng-Li; Lin, Cheng-Wei; Huang, Ming-Tung; Chang, Wei-Lun; Lu, Tsung-Hsueh; Lin, Chii-Jeng)\n\nBusqueda_Scopus.cited By 0; Article in Press\n\nFrom Duplicate 2 (Fracture risk and correlating factors of a pediatric population with attention deficit hyperactivity disorder: a nationwide matched study. - Guo, Nai-Wen; Lin, Cheng-Li; Lin, Cheng-Wei; Huang, Ming-Tung; Chang, Wei-Lun; Lu, Tsung-Hsueh; Lin, Chii-Jeng)\nAnd Duplicate 4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Chii-Jeng)\n\nFrom Duplicate 1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Chii-Jeng)\n\n\n\nFrom Duplicate 2 (Fracture risk and correlating factors of a pediatric population with attention deficit hyperactivity disorder: a nationwide matched study. - Guo, Nai-Wen; Lin, Cheng-Li; Lin, Cheng-Wei; Huang, Ming-Tung; Chang, Wei-Lun; Lu, Tsung-Hsueh; Lin, Chii-Jeng)\n\nBusqueda_Scopus.cited By 0; Article in Press\n\nFrom Duplicate 3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Chii-Jeng)\n\nFrom Duplicate 2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Chii-Jeng)\n\nFrom Duplicate 1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Chii-Jeng)\n\nBusqueda_pubmed.\nMaite01.\nGonzalo01.\n\nFrom Duplicate 2 (Fracture risk and correlating factors of a pediatric population with attention deficit hyperactivity disorder: a nationwide matched study. - Guo, Nai-Wen; Lin, Cheng-Li; Lin, Cheng-Wei; Huang, Ming-Tung; Chang, Wei-Lun; Lu, Tsung-Hsueh; Lin, Chii-Jeng)\n\nBusqueda_Scopus.cited By 0; Article in Press", "page" : "369-374", "publisher" : "Lippincott Williams and Wilkins", "title" : "Fracture risk and correlating factors of a pediatric population with attention deficit hyperactivity disorder: A nationwide matched study", "type" : "article-journal", "volume" : "25" }, "uris" : [ "http://www.mendeley.com/documents/?uuid=3bf46dbd-53c7-4fb6-a811-721c4b0c2c89" ] } ], "mendeley" : { "formattedCitation" : "&lt;sup&gt;20,25,30\u201332&lt;/sup&gt;", "plainTextFormattedCitation" : "20,25,30\u201332", "previouslyFormattedCitation" : "&lt;sup&gt;20,25,30\u201332&lt;/sup&gt;" }, "properties" : {  }, "schema" : "https://github.com/citation-style-language/schema/raw/master/csl-citation.json" }</w:instrText>
      </w:r>
      <w:r w:rsidR="00E03B13" w:rsidRPr="00C862ED">
        <w:rPr>
          <w:sz w:val="20"/>
          <w:szCs w:val="20"/>
        </w:rPr>
        <w:fldChar w:fldCharType="separate"/>
      </w:r>
      <w:r w:rsidR="008B3661" w:rsidRPr="00C862ED">
        <w:rPr>
          <w:noProof/>
          <w:sz w:val="20"/>
          <w:szCs w:val="20"/>
          <w:vertAlign w:val="superscript"/>
        </w:rPr>
        <w:t>20,25,30–32</w:t>
      </w:r>
      <w:r w:rsidR="00E03B13" w:rsidRPr="00C862ED">
        <w:rPr>
          <w:sz w:val="20"/>
          <w:szCs w:val="20"/>
        </w:rPr>
        <w:fldChar w:fldCharType="end"/>
      </w:r>
      <w:r w:rsidRPr="00C862ED">
        <w:t xml:space="preserve">, </w:t>
      </w:r>
      <w:r w:rsidR="00614D47" w:rsidRPr="00C862ED">
        <w:t>similarly to</w:t>
      </w:r>
      <w:r w:rsidRPr="00C862ED">
        <w:t xml:space="preserve"> the</w:t>
      </w:r>
      <w:r w:rsidR="00577228" w:rsidRPr="00C862ED">
        <w:t xml:space="preserve"> Clinical Practice Research </w:t>
      </w:r>
      <w:proofErr w:type="spellStart"/>
      <w:r w:rsidR="00577228" w:rsidRPr="00C862ED">
        <w:t>Datalink</w:t>
      </w:r>
      <w:proofErr w:type="spellEnd"/>
      <w:r w:rsidR="00577228" w:rsidRPr="00C862ED">
        <w:t xml:space="preserve"> and Hospital Episode Statistics (</w:t>
      </w:r>
      <w:r w:rsidRPr="00C862ED">
        <w:t>CPRD-HES</w:t>
      </w:r>
      <w:r w:rsidR="00577228" w:rsidRPr="00C862ED">
        <w:t>)</w:t>
      </w:r>
      <w:r w:rsidRPr="00C862ED">
        <w:t xml:space="preserve"> from the United Kingdom</w:t>
      </w:r>
      <w:r w:rsidR="00E03B13" w:rsidRPr="00C862ED">
        <w:fldChar w:fldCharType="begin" w:fldLock="1"/>
      </w:r>
      <w:r w:rsidR="008B3661" w:rsidRPr="00C862ED">
        <w:instrText>ADDIN CSL_CITATION { "citationItems" : [ { "id" : "ITEM-1", "itemData" : { "abstract" : "Background: ADHD is characterised by three core symptoms: hyperactivity, impulsivity and inattention. For those affected, ADHD can have a wide range of negative impacts. It has the potential to reduce academic performance, interfere with interpersonal relationships and is a purported risk factor for numerous mental and behavioural disorders, and accidental injury. However, questions remain regarding the epidemiology of ADHD in the UK. Aims: Phase 1: To describe the incidence and distribution of ADHD within the UK (2004-2013), and to examine if there was any association between ADHD incidence and socioeconomic deprivation. Phase 2: To assess what proportion of ADHD patients received a primary care prescription for a licensed ADHD medication, and to determine the average time between diagnosis and the start of treatment in primary care. Phase 3: To establish if selected comorbidities, and prescriptions for psychotropic drugs, are significantly more likely in patients with ADHD than matched comparators. Phase 4: To establish if accidental fractures are significantly more likely in patients with ADHD than matched comparators. Methods: The study used electronic healthcare records data. The study population comprised patients diagnosed with ADHD before the age of 19, between 1/1/2004 and 31/12/13. Patients with a diagnosis of ADHD, comorbidities of interest or who had received prescriptions for licensed ADHD medications/psychotropic drugs were identified by the presence of relevant codes in their medical records. Results: Phase 1: Between 2004 and 2013, the incidence of ADHD amongst under 19s in the UK was 11.67 (95% CI 11.45 \u2013 11.90) cases per 10,000 person-years at risk. Most of those diagnosed with ADHD were male (n=8407; 82%). There appeared to be an association between increasing socioeconomic deprivation and ADHD incidence. Annual incidence rates remained relatively stable between 2004 and 2013, but were highest in the last two years studied. Phase 2: 57% of patients with a diagnosis of ADHD received a primary care prescription for a licensed ADHD medication during follow-up. In treated patients, the median interval between diagnosis and a first prescription for an ADHD medication was 84 days (IQR 21\u2013258 days); methylphenidate was used first-line in 92% of treated patients. Phase 3: ADHD was associated with a significantly increased risk of comorbidity [RR 3.59 (95% CI 3.40 \u2013 3.79)]. ADHD patients had significantly higher exposure to second generation a\u2026", "author" : [ { "dropping-particle" : "", "family" : "Hire", "given" : "Adrian James", "non-dropping-particle" : "", "parse-names" : false, "suffix" : "" } ], "id" : "ITEM-1", "issued" : { "date-parts" : [ [ "2016" ] ] }, "note" : "From Duplicate 2 (ADHD incidence, treatment and associated comorbidity in children and adolescents : an epidemiological study using electronic healthcare records - Hire, Adrian James)\n\nAmastersheet.\n\nAccession Number: edsble.706274; Contributors: Ashcroft, Darren, Steinke, Douglas; Publication Type: Dissertation; Language: English; Publication Date: 20170101; Imprint: University of Manchester, 2017.\n\nDavid01.\nVictor01.", "publisher" : "University of Manchester", "title" : "ADHD incidence, treatment and associated comorbidity in children and adolescents : an epidemiological study using electronic healthcare records", "type" : "thesis" }, "uris" : [ "http://www.mendeley.com/documents/?uuid=f3573f76-2d19-4e5d-8305-dddf379f631b" ] }, { "id" : "ITEM-2",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"ITEM-2",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"mendeley" : { "formattedCitation" : "&lt;sup&gt;23,33&lt;/sup&gt;", "plainTextFormattedCitation" : "23,33", "previouslyFormattedCitation" : "&lt;sup&gt;23,33&lt;/sup&gt;" }, "properties" : {  }, "schema" : "https://github.com/citation-style-language/schema/raw/master/csl-citation.json" }</w:instrText>
      </w:r>
      <w:r w:rsidR="00E03B13" w:rsidRPr="00C862ED">
        <w:fldChar w:fldCharType="separate"/>
      </w:r>
      <w:r w:rsidR="008B3661" w:rsidRPr="00C862ED">
        <w:rPr>
          <w:noProof/>
          <w:vertAlign w:val="superscript"/>
        </w:rPr>
        <w:t>23,33</w:t>
      </w:r>
      <w:r w:rsidR="00E03B13" w:rsidRPr="00C862ED">
        <w:fldChar w:fldCharType="end"/>
      </w:r>
      <w:r w:rsidRPr="00C862ED">
        <w:t>. The full process of article search and selection is shown in the PRISMA flow</w:t>
      </w:r>
      <w:r w:rsidR="00493DFC" w:rsidRPr="00C862ED">
        <w:t xml:space="preserve"> </w:t>
      </w:r>
      <w:r w:rsidRPr="00C862ED">
        <w:t xml:space="preserve">diagram in Figure 1. Details from the included studies are </w:t>
      </w:r>
      <w:r w:rsidR="00614D47" w:rsidRPr="00C862ED">
        <w:t>reported</w:t>
      </w:r>
      <w:r w:rsidRPr="00C862ED">
        <w:t xml:space="preserve"> in Table 1</w:t>
      </w:r>
      <w:r w:rsidR="003A1211" w:rsidRPr="00C862ED">
        <w:t xml:space="preserve"> (overall description) and Table 2 (identification of poisoning). O</w:t>
      </w:r>
      <w:r w:rsidRPr="00C862ED">
        <w:t xml:space="preserve">utcome-level data extracted from each article </w:t>
      </w:r>
      <w:r w:rsidR="00493DFC" w:rsidRPr="00C862ED">
        <w:t xml:space="preserve">on the risk of poisoning </w:t>
      </w:r>
      <w:r w:rsidRPr="00C862ED">
        <w:t xml:space="preserve">can be found in Table </w:t>
      </w:r>
      <w:r w:rsidR="005744C0">
        <w:t>3</w:t>
      </w:r>
      <w:r w:rsidR="003A1211" w:rsidRPr="00C862ED">
        <w:t xml:space="preserve"> </w:t>
      </w:r>
      <w:r w:rsidRPr="00C862ED">
        <w:t xml:space="preserve">(16 outcomes in total). </w:t>
      </w:r>
    </w:p>
    <w:p w14:paraId="6A2D9B48" w14:textId="77777777" w:rsidR="00442654" w:rsidRDefault="00E618FF" w:rsidP="00137592">
      <w:pPr>
        <w:ind w:firstLine="708"/>
      </w:pPr>
      <w:r w:rsidRPr="00137592">
        <w:t>The origin of the studies was varied, comprising North-America, Europe, Asia and Australia. All studies but one</w:t>
      </w:r>
      <w:r w:rsidRPr="00137592">
        <w:fldChar w:fldCharType="begin" w:fldLock="1"/>
      </w:r>
      <w:r w:rsidR="00487110" w:rsidRPr="00C862ED">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"&lt;sup&gt;21&lt;/sup&gt;", "plainTextFormattedCitation" : "21", "previouslyFormattedCitation" : "&lt;sup&gt;21&lt;/sup&gt;" }, "properties" : {  }, "schema" : "https://github.com/citation-style-language/schema/raw/master/csl-citation.json" }</w:instrText>
      </w:r>
      <w:r w:rsidRPr="00137592">
        <w:fldChar w:fldCharType="separate"/>
      </w:r>
      <w:r w:rsidR="003A1211" w:rsidRPr="00C862ED">
        <w:rPr>
          <w:noProof/>
          <w:vertAlign w:val="superscript"/>
        </w:rPr>
        <w:t>21</w:t>
      </w:r>
      <w:r w:rsidRPr="00137592">
        <w:fldChar w:fldCharType="end"/>
      </w:r>
      <w:r w:rsidRPr="00137592">
        <w:t xml:space="preserve"> were based on large epidemiological databases. More specifically, there were two regional</w:t>
      </w:r>
      <w:r w:rsidRPr="00137592">
        <w:fldChar w:fldCharType="begin" w:fldLock="1"/>
      </w:r>
      <w:r w:rsidR="00487110" w:rsidRPr="00C862ED">
        <w:instrText>ADDIN CSL_CITATION { "citationItems" : [ { "id" : "ITEM-1", "itemData" : { "DOI" : "10.1542/peds.111.2.262", "ISSN" : "1098-4275", "PMID" : "12563049", "abstract" : "CONTEXT While an association between pediatric behavioral disorders and injuries is generally acknowledged, no studies have measured the risk for injury in the context of a large, population-based study that is free of cohort biases. OBJECTIVES To examine the association between childhood behavior disorders ([CBDs] as indicated by prescription for methylphenidate [MPH]) and a variety of injury outcomes, and to evaluate the risk for injury among these children after controlling for known demographic correlates. DESIGN Population-based database analysis of all children in British Columbia (BC) under the age of 19 as of December 31, 1996; comparison of those who had been prescribed MPH and therefore placed in the CBD group (n = 16, 806) and those who were not (n = 1,010,067). Demographic information collected was as follows: age, sex, measures of socioeconomic status, and region of residence. OUTCOME MEASURES Common types of childhood injury in BC: International Classification of Diseases, Ninth Revision N-codes (fractures, open wounds, poisoning/toxic effect, concussion, intracranial, burns) and E-codes (falls, postoperative complications, motor vehicle accidents, struck by object, adverse effects of drugs, suffocation, drowning). DATA SOURCE BC Linked Health Data Set and the BC Triplicate Prescription Program. RESULTS After controlling for known demographic correlates, odds for injury was greater among those treated with MPH and presumed to have a behavioral disorder, when injury was characterized either by type (1.67; 99% confidence interval: 1.54-1.81) or cause (1.52; 99% confidence interval: 1.40-1.66) of injury. This increased risk extended to unexpected categories of injury such as postoperative complications and adverse effects of drugs. CONCLUSIONS Children with CBDs have &gt;1.5 times the odds of sustaining injuries of a variety of types from a variety of causes, even after controlling for known demographic correlates, than those without behavioral disorders. The risks for these children extend beyond those that might be directly associated with impulsivity and overactivity. Injury prevention strategies aimed at this group of children and youth would be beneficial. Policy-makers should account for increased risk of a wide variety of injuries in this group of children and youth.", "author" : [ { "dropping-particle" : "", "family" : "Brehaut", "given" : "Jamie C", "non-dropping-particle" : "", "parse-names" : false, "suffix" : "" }, { "dropping-particle" : "", "family" : "Miller", "given" : "Anton", "non-dropping-particle" : "", "parse-names" : false, "suffix" : "" }, { "dropping-particle" : "", "family" : "Raina", "given" : "Parminder", "non-dropping-particle" : "", "parse-names" : false, "suffix" : "" }, { "dropping-particle" : "", "family" : "McGrail", "given" : "Kimberlyn M", "non-dropping-particle" : "", "parse-names" : false, "suffix" : "" } ], "container-title" : "Pediatrics", "id" : "ITEM-1", "issue" : "2", "issued" : { "date-parts" : [ [ "2003", "2" ] ] }, "note" : "From Duplicate 1 (Childhood Behavior Disorders and Injuries Among Children and Youth: A Population-Based Study. - Brehaut, Jamie C Miller AntonRaina ParminderMcGrail Kimberlyn M)\n\nGonzalo02.\n\nMaite02. \nLa duda es porque con el abstract no puedo descartar que no entre.\n\ncited By 76\n\nFrom Duplicate 2 (Childhood Behavior Disorders and Injuries Among Children and Youth: A Population-Based Study. - Brehaut, Jamie C Miller AntonRaina ParminderMcGrail Kimberlyn M)\n\ncited By 76", "page" : "262-9", "title" : "Childhood behavior disorders and injuries among children and youth: a population-based study.", "type" : "article-journal", "volume" : "111" }, "uris" : [ "http://www.mendeley.com/documents/?uuid=c1da2a8d-a420-41d9-ad2a-11677b856287" ] }, { "id" : "ITEM-2",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"ITEM-2",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"mendeley" : { "formattedCitation" : "&lt;sup&gt;22,28&lt;/sup&gt;", "plainTextFormattedCitation" : "22,28", "previouslyFormattedCitation" : "&lt;sup&gt;22,28&lt;/sup&gt;" }, "properties" : {  }, "schema" : "https://github.com/citation-style-language/schema/raw/master/csl-citation.json" }</w:instrText>
      </w:r>
      <w:r w:rsidRPr="00137592">
        <w:fldChar w:fldCharType="separate"/>
      </w:r>
      <w:r w:rsidR="003A1211" w:rsidRPr="00C862ED">
        <w:rPr>
          <w:noProof/>
          <w:vertAlign w:val="superscript"/>
        </w:rPr>
        <w:t>22,28</w:t>
      </w:r>
      <w:r w:rsidRPr="00137592">
        <w:fldChar w:fldCharType="end"/>
      </w:r>
      <w:r w:rsidRPr="00137592">
        <w:t xml:space="preserve"> and three national databases </w:t>
      </w:r>
      <w:r w:rsidRPr="00137592">
        <w:fldChar w:fldCharType="begin" w:fldLock="1"/>
      </w:r>
      <w:r w:rsidR="00487110" w:rsidRPr="00C862ED">
        <w:instrText>ADDIN CSL_CITATION { "citationItems" : [ { "id" : "ITEM-1", "itemData" : { "DOI" : "10.3389/fped.2017.00220", "ISSN" : "2296-2360", "author" : [ { "dropping-particle" : "", "family" : "Lindemann", "given" : "Christina", "non-dropping-particle" : "", "parse-names" : false, "suffix" : "" }, { "dropping-particle" : "", "family" : "Langner", "given" : "Ingo", "non-dropping-particle" : "", "parse-names" : false, "suffix" : "" }, { "dropping-particle" : "", "family" : "Banaschewski", "given" : "Tobias", "non-dropping-particle" : "", "parse-names" : false, "suffix" : "" }, { "dropping-particle" : "", "family" : "Garbe", "given" : "Edeltraut", "non-dropping-particle" : "", "parse-names" : false, "suffix" : "" }, { "dropping-particle" : "", "family" : "Mikolajczyk", "given" : "Rafael T.", "non-dropping-particle" : "", "parse-names" : false, "suffix" : "" } ], "container-title" : "Frontiers in Pediatrics", "id" : "ITEM-1", "issued" : { "date-parts" : [ [ "2017", "10", "24" ] ] }, "title" : "The Risk of Hospitalizations with Injury Diagnoses in a Matched Cohort of Children and Adolescents with and without Attention Deficit/Hyperactivity Disorder in Germany: A Database Study", "type" : "article-journal", "volume" : "5" }, "uris" : [ "http://www.mendeley.com/documents/?uuid=7ef27e7e-cf89-4dd2-90aa-16375dced0e0" ] }, { "id" : "ITEM-2",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"ITEM-2",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"id" : "ITEM-3",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"ITEM-3",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"mendeley" : { "formattedCitation" : "&lt;sup&gt;20,23,26&lt;/sup&gt;", "plainTextFormattedCitation" : "20,23,26", "previouslyFormattedCitation" : "&lt;sup&gt;20,23,26&lt;/sup&gt;" }, "properties" : {  }, "schema" : "https://github.com/citation-style-language/schema/raw/master/csl-citation.json" }</w:instrText>
      </w:r>
      <w:r w:rsidRPr="00137592">
        <w:fldChar w:fldCharType="separate"/>
      </w:r>
      <w:r w:rsidR="003A1211" w:rsidRPr="00C862ED">
        <w:rPr>
          <w:noProof/>
          <w:vertAlign w:val="superscript"/>
        </w:rPr>
        <w:t>20,23,26</w:t>
      </w:r>
      <w:r w:rsidRPr="00137592">
        <w:fldChar w:fldCharType="end"/>
      </w:r>
      <w:r w:rsidRPr="00137592">
        <w:t xml:space="preserve">, a nationally representative survey </w:t>
      </w:r>
      <w:r w:rsidRPr="00137592">
        <w:fldChar w:fldCharType="begin" w:fldLock="1"/>
      </w:r>
      <w:r w:rsidR="00487110" w:rsidRPr="00C862ED">
        <w:instrText>ADDIN CSL_CITATION { "citationItems" : [ { "id" : "ITEM-1",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"ITEM-1",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"mendeley" : { "formattedCitation" : "&lt;sup&gt;27&lt;/sup&gt;", "plainTextFormattedCitation" : "27", "previouslyFormattedCitation" : "&lt;sup&gt;27&lt;/sup&gt;" }, "properties" : {  }, "schema" : "https://github.com/citation-style-language/schema/raw/master/csl-citation.json" }</w:instrText>
      </w:r>
      <w:r w:rsidRPr="00137592">
        <w:fldChar w:fldCharType="separate"/>
      </w:r>
      <w:r w:rsidR="003A1211" w:rsidRPr="00C862ED">
        <w:rPr>
          <w:noProof/>
          <w:vertAlign w:val="superscript"/>
        </w:rPr>
        <w:t>27</w:t>
      </w:r>
      <w:r w:rsidRPr="00137592">
        <w:fldChar w:fldCharType="end"/>
      </w:r>
      <w:r w:rsidRPr="00137592">
        <w:t>, a population-based prospective cohort</w:t>
      </w:r>
      <w:r w:rsidRPr="00137592">
        <w:fldChar w:fldCharType="begin" w:fldLock="1"/>
      </w:r>
      <w:r w:rsidR="00487110" w:rsidRPr="00C862ED">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"mendeley" : { "formattedCitation" : "&lt;sup&gt;24&lt;/sup&gt;", "plainTextFormattedCitation" : "24", "previouslyFormattedCitation" : "&lt;sup&gt;24&lt;/sup&gt;" }, "properties" : {  }, "schema" : "https://github.com/citation-style-language/schema/raw/master/csl-citation.json" }</w:instrText>
      </w:r>
      <w:r w:rsidRPr="00137592">
        <w:fldChar w:fldCharType="separate"/>
      </w:r>
      <w:r w:rsidR="003A1211" w:rsidRPr="00C862ED">
        <w:rPr>
          <w:noProof/>
          <w:vertAlign w:val="superscript"/>
        </w:rPr>
        <w:t>24</w:t>
      </w:r>
      <w:r w:rsidRPr="00137592">
        <w:fldChar w:fldCharType="end"/>
      </w:r>
      <w:r w:rsidRPr="00137592">
        <w:t xml:space="preserve">, a study using administrative claims from a self-insured company </w:t>
      </w:r>
      <w:r w:rsidRPr="00137592">
        <w:fldChar w:fldCharType="begin" w:fldLock="1"/>
      </w:r>
      <w:r w:rsidR="00487110" w:rsidRPr="00C862ED">
        <w:instrText>ADDIN CSL_CITATION { "citationItems" : [ { "id" : "ITEM-1", "itemData" : { "DOI" : "10.1016/j.jadohealth.2003.12.003", "ISBN" : "1879-1972 (Electronic)\\r1054-139X (Linking)", "ISSN" : "1879-1972", "PMID" : "15830457", "abstract" : "PURPOSE The purpose is to analyze the incidence and costs of accidents among Attention-Deficit/Hyperactivity Disorder (ADHD) patients. METHODS The analysis relied on administrative medical, pharmaceutical, and disability claims for a national manufacturer's employees, spouses, dependents, and retirees (n &gt; 100,000). Accidental injuries were identified using ICD-9 codes for injuries or poisoning treatment. ADHD sample consists of individuals with at least one claim for ADHD during 1996-98 (NADHD = 1308), which was compared with a matched control sample. In addition to descriptive statistics, multivariate analysis involving logistic regression was used to model the probability of having an accident claim in 1998. This probability was estimated for the whole population, for adults alone, for children (under age 12 years), and for adolescents (age 12-18 years). We also estimated a generalized estimation equation (GEE) model to account for the possibility of multiple accident claims for a single patient. RESULTS ADHD patients had a greater probability of having at least one accident claim than their controls for children (28% vs. 18%), adolescents (32% vs. 23%), and adults (38% vs. 18%). Although ADHD patients' costs were greater than their controls for adults ($483 vs. $146), there was no difference for children or adolescents. However, among patients with accident claims, the average number of accident claims was similar for both groups (3.6 vs. 3.5) and costs were not statistically different. The multivariate analysis confirms this utilization pattern: the odds of having an accident for ADHD patients were 1.7 times greater than for controls. CONCLUSIONS ADHD was a significant predictor of having an accident claim. However, for people with an accident claim, ADHD patients and controls had a similar number of accident claims and costs.", "author" : [ { "dropping-particle" : "", "family" : "Swensen", "given" : "Andrine", "non-dropping-particle" : "", "parse-names" : false, "suffix" : "" }, { "dropping-particle" : "", "family" : "Birnbaum", "given" : "Howard G.", "non-dropping-particle" : "", "parse-names" : false, "suffix" : "" }, { "dropping-particle" : "", "family" : "Hamadi", "given" : "Rym", "non-dropping-particle" : "Ben", "parse-names" : false, "suffix" : "" }, { "dropping-particle" : "", "family" : "Greenberg", "given" : "Paul", "non-dropping-particle" : "", "parse-names" : false, "suffix" : "" }, { "dropping-particle" : "", "family" : "Cremieux", "given" : "Pierre-Yves", "non-dropping-particle" : "", "parse-names" : false, "suffix" : "" }, { "dropping-particle" : "", "family" : "Secnik", "given" : "Kristina", "non-dropping-particle" : "", "parse-names" : false, "suffix" : "" } ], "container-title" : "The Journal of adolescent health : official publication of the Society for Adolescent Medicine", "id" : "ITEM-1", "issue" : "4", "issued" : { "date-parts" : [ [ "2004", "10", "1" ] ] }, "language" : "eng", "note" : "Maite01.\n\nGonzalo01.\n\nFrom Duplicate 2 (Incidence and costs of accidents among attention-deficit/hyperactivity disorder patients. - Swensen, Andrine; Birnbaum, Howard G; Ben Hamadi, Rym; Greenberg, Paul; Cremieux, Pierre-Yves Y; Secnik, Kristina)\n\nFrom Duplicate 1 (Incidence and costs of accidents among attention-deficit/hyperactivity disorder patients - Swensen, Andrine; Birnbaum, Howard G; Ben Hamadi, Rym; Greenberg, Paul; Cremieux, Pierre-Yves Y; Secnik, Kristina)\n\n\n\nFrom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78\n\nFrom Duplicate 2 (Incidence and costs of accidents among attention-deficit/hyperactivity disorder patients. - Swensen, Andrine; Birnbaum, Howard G; Ben Hamadi, Rym; Greenberg, Paul; Cremieux, Pierre-Yves; Secnik, Kristina)\nAnd Duplicate 3 (Incidence and costs of accidents among attention-deficit/hyperactivity disorder patients. - Swensen, Andrine; Birnbaum, Howard G; Ben Hamadi, Rym; Greenberg, Paul; Cremieux, Pierre-Yves; Secnik, Kristina)\n\nBusqueda_pubmed.\n\nFrom Duplicate 4 (Incidence and costs of accidents among attention-deficit/hyperactivity disorder patients - Swensen, Andrine; Birnbaum, Howard G; Ben Hamadi, Rym; Greenberg, Paul; Cremieux, Pierre-Yves Y; Secnik, Kristina)\n\nGonzalo01.\n\nFrom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 "page" : "346.e1-9", "publisher" : "Elsevier Inc.", "publisher-place" : "United States", "title" : "Incidence and costs of accidents among attention-deficit/hyperactivity disorder patients.", "type" : "article-journal", "volume" : "35" }, "uris" : [ "http://www.mendeley.com/documents/?uuid=e22332c3-4de9-4376-9a2b-271494ff3f68" ] } ], "mendeley" : { "formattedCitation" : "&lt;sup&gt;29&lt;/sup&gt;", "plainTextFormattedCitation" : "29", "previouslyFormattedCitation" : "&lt;sup&gt;29&lt;/sup&gt;" }, "properties" : {  }, "schema" : "https://github.com/citation-style-language/schema/raw/master/csl-citation.json" }</w:instrText>
      </w:r>
      <w:r w:rsidRPr="00137592">
        <w:fldChar w:fldCharType="separate"/>
      </w:r>
      <w:r w:rsidR="003A1211" w:rsidRPr="00C862ED">
        <w:rPr>
          <w:noProof/>
          <w:vertAlign w:val="superscript"/>
        </w:rPr>
        <w:t>29</w:t>
      </w:r>
      <w:r w:rsidRPr="00137592">
        <w:fldChar w:fldCharType="end"/>
      </w:r>
      <w:r w:rsidRPr="00137592">
        <w:t>, and a case-control study using a hospital-based registry</w:t>
      </w:r>
      <w:r w:rsidRPr="00137592">
        <w:fldChar w:fldCharType="begin" w:fldLock="1"/>
      </w:r>
      <w:r w:rsidR="00487110" w:rsidRPr="00137592">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"&lt;sup&gt;21&lt;/sup&gt;", "plainTextFormattedCitation" : "21", "previouslyFormattedCitation" : "&lt;sup&gt;21&lt;/sup&gt;" }, "properties" : {  }, "schema" : "https://github.com/citation-style-language/schema/raw/master/csl-citation.json" }</w:instrText>
      </w:r>
      <w:r w:rsidRPr="00137592">
        <w:fldChar w:fldCharType="separate"/>
      </w:r>
      <w:r w:rsidR="003A1211" w:rsidRPr="00137592">
        <w:rPr>
          <w:noProof/>
          <w:vertAlign w:val="superscript"/>
        </w:rPr>
        <w:t>21</w:t>
      </w:r>
      <w:r w:rsidRPr="00137592">
        <w:fldChar w:fldCharType="end"/>
      </w:r>
      <w:r w:rsidRPr="00137592">
        <w:t>. Therefore, all studies but two</w:t>
      </w:r>
      <w:r w:rsidRPr="00137592">
        <w:fldChar w:fldCharType="begin" w:fldLock="1"/>
      </w:r>
      <w:r w:rsidR="00487110" w:rsidRPr="00137592">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"id" : "ITEM-2",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"ITEM-2",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"mendeley" : { "formattedCitation" : "&lt;sup&gt;21,27&lt;/sup&gt;", "plainTextFormattedCitation" : "21,27", "previouslyFormattedCitation" : "&lt;sup&gt;21,27&lt;/sup&gt;" }, "properties" : {  }, "schema" : "https://github.com/citation-style-language/schema/raw/master/csl-citation.json" }</w:instrText>
      </w:r>
      <w:r w:rsidRPr="00137592">
        <w:fldChar w:fldCharType="separate"/>
      </w:r>
      <w:r w:rsidR="003A1211" w:rsidRPr="00137592">
        <w:rPr>
          <w:noProof/>
          <w:vertAlign w:val="superscript"/>
        </w:rPr>
        <w:t>21,27</w:t>
      </w:r>
      <w:r w:rsidRPr="00137592">
        <w:fldChar w:fldCharType="end"/>
      </w:r>
      <w:r w:rsidRPr="00137592">
        <w:t xml:space="preserve"> </w:t>
      </w:r>
      <w:r w:rsidR="00C862ED" w:rsidRPr="00137592">
        <w:t>analyzed</w:t>
      </w:r>
      <w:r w:rsidRPr="00137592">
        <w:t xml:space="preserve"> administrative databases not </w:t>
      </w:r>
      <w:r w:rsidR="00F606F4" w:rsidRPr="00137592">
        <w:t xml:space="preserve">specifically </w:t>
      </w:r>
      <w:r w:rsidRPr="00137592">
        <w:t>designed for research</w:t>
      </w:r>
      <w:r w:rsidR="00F606F4" w:rsidRPr="00137592">
        <w:t xml:space="preserve"> purposes</w:t>
      </w:r>
      <w:r w:rsidRPr="00137592">
        <w:t xml:space="preserve"> at their </w:t>
      </w:r>
      <w:r w:rsidRPr="00137592">
        <w:lastRenderedPageBreak/>
        <w:t>inception</w:t>
      </w:r>
      <w:r w:rsidR="00487110" w:rsidRPr="00137592">
        <w:fldChar w:fldCharType="begin" w:fldLock="1"/>
      </w:r>
      <w:r w:rsidR="00487110" w:rsidRPr="00137592">
        <w:instrText>ADDIN CSL_CITATION { "citationItems" : [ { "id" : "ITEM-1", "itemData" : { "DOI" : "10.1016/j.vaccine.2013.06.048", "ISSN" : "1873-2518", "PMID" : "24331070", "abstract" : "This report provides an overview of methods used to conduct systematic reviews for the US Food and Drug Administration (FDA) Mini-Sentinel project, which is designed to inform the development of safety monitoring tools for FDA-regulated products including vaccines. The objective of these reviews was to summarize the literature describing algorithms (e.g., diagnosis or procedure codes) to identify health outcomes in administrative and claims data. A particular focus was the validity of the algorithms when compared to reference standards such as diagnoses in medical records. The overarching goal was to identify algorithms that can accurately identify the health outcomes for safety surveillance. We searched the MEDLINE database via PubMed and required dual review of full text articles and of data extracted from studies. We also extracted data on each study's methods for case validation. We reviewed over 5600 abstracts/full text studies across 15 health outcomes of interest. Nearly 260 studies met our initial criteria (conducted in the US or Canada, used an administrative database, reported case-finding algorithm). Few studies (N=45), however, reported validation of case-finding algorithms (sensitivity, specificity, positive or negative predictive value). Among these, the most common approach to validation was to calculate positive predictive values, based on a review of medical records as the reference standard. Of the studies reporting validation, the ease with which a given clinical condition could be identified in administrative records varied substantially, both by the clinical condition and by other factors such as the clinical setting, which relates to the disease prevalence.", "author" : [ { "dropping-particle" : "", "family" : "McPheeters", "given" : "Melissa L", "non-dropping-particle" : "", "parse-names" : false, "suffix" : "" }, { "dropping-particle" : "", "family" : "Sathe", "given" : "Nila A", "non-dropping-particle" : "", "parse-names" : false, "suffix" : "" }, { "dropping-particle" : "", "family" : "Jerome", "given" : "Rebecca N", "non-dropping-particle" : "", "parse-names" : false, "suffix" : "" }, { "dropping-particle" : "", "family" : "Carnahan", "given" : "Ryan M", "non-dropping-particle" : "", "parse-names" : false, "suffix" : "" } ], "container-title" : "Vaccine", "id" : "ITEM-1", "issued" : { "date-parts" : [ [ "2013", "12", "30" ] ] }, "page" : "K2-6", "title" : "Methods for systematic reviews of administrative database studies capturing health outcomes of interest.", "type" : "article-journal", "volume" : "31 Suppl 1" }, "uris" : [ "http://www.mendeley.com/documents/?uuid=160180e3-0c08-410d-a09b-29afff326318" ] } ], "mendeley" : { "formattedCitation" : "&lt;sup&gt;34&lt;/sup&gt;", "plainTextFormattedCitation" : "34", "previouslyFormattedCitation" : "&lt;sup&gt;34&lt;/sup&gt;" }, "properties" : {  }, "schema" : "https://github.com/citation-style-language/schema/raw/master/csl-citation.json" }</w:instrText>
      </w:r>
      <w:r w:rsidR="00487110" w:rsidRPr="00137592">
        <w:fldChar w:fldCharType="separate"/>
      </w:r>
      <w:r w:rsidR="00487110" w:rsidRPr="00137592">
        <w:rPr>
          <w:noProof/>
          <w:vertAlign w:val="superscript"/>
        </w:rPr>
        <w:t>34</w:t>
      </w:r>
      <w:r w:rsidR="00487110" w:rsidRPr="00137592">
        <w:fldChar w:fldCharType="end"/>
      </w:r>
      <w:r w:rsidRPr="00137592">
        <w:t xml:space="preserve">. </w:t>
      </w:r>
      <w:r w:rsidR="00C07BFA" w:rsidRPr="00137592">
        <w:t xml:space="preserve">A strength of the included studies is that they tended to have large sample sizes </w:t>
      </w:r>
      <w:r w:rsidRPr="00137592">
        <w:t xml:space="preserve">(between 87 and 1,010,067; median 10,073; </w:t>
      </w:r>
      <w:r w:rsidR="00F606F4" w:rsidRPr="00137592">
        <w:t xml:space="preserve">for </w:t>
      </w:r>
      <w:r w:rsidRPr="00137592">
        <w:t xml:space="preserve">the controls and between 16 and 37,650; median 3,685; </w:t>
      </w:r>
      <w:r w:rsidR="00F606F4" w:rsidRPr="00137592">
        <w:t>for</w:t>
      </w:r>
      <w:r w:rsidRPr="00137592">
        <w:t xml:space="preserve"> ADHD). </w:t>
      </w:r>
      <w:r w:rsidR="009D7E78" w:rsidRPr="00137592">
        <w:t xml:space="preserve">The systematic review and meta-analysis pooled data from a </w:t>
      </w:r>
      <w:r w:rsidR="00B36D17" w:rsidRPr="00137592">
        <w:t xml:space="preserve">total </w:t>
      </w:r>
      <w:r w:rsidR="009D7E78" w:rsidRPr="00137592">
        <w:t>sample of 84,75</w:t>
      </w:r>
      <w:r w:rsidR="009D7E78" w:rsidRPr="00C862ED">
        <w:t>6 and 1,398,946 children and adolescents with and without ADHD</w:t>
      </w:r>
      <w:r w:rsidR="00442654">
        <w:t xml:space="preserve"> </w:t>
      </w:r>
      <w:r w:rsidR="009D7E78" w:rsidRPr="00C862ED">
        <w:t>respectively</w:t>
      </w:r>
      <w:r w:rsidR="003A1211" w:rsidRPr="00C862ED">
        <w:t>.</w:t>
      </w:r>
    </w:p>
    <w:p w14:paraId="52BAF62C" w14:textId="72AAFD08" w:rsidR="00E618FF" w:rsidRPr="00C862ED" w:rsidRDefault="009D7E78" w:rsidP="00137592">
      <w:pPr>
        <w:ind w:firstLine="708"/>
      </w:pPr>
      <w:r w:rsidRPr="00C862ED">
        <w:t>Overall, poisoning cases were uncommon. The median number per study of poisoned individuals that suffered from ADHD was 14 (range 2-184)</w:t>
      </w:r>
      <w:r w:rsidR="00614D47" w:rsidRPr="00C862ED">
        <w:t>,</w:t>
      </w:r>
      <w:r w:rsidRPr="00C862ED">
        <w:t xml:space="preserve"> whereas the median number per study of poisoned individuals who did not suffer from ADHD was 29 (range 3-3</w:t>
      </w:r>
      <w:r w:rsidR="009070B1" w:rsidRPr="00C862ED">
        <w:t>,</w:t>
      </w:r>
      <w:r w:rsidRPr="00C862ED">
        <w:t xml:space="preserve">882). </w:t>
      </w:r>
      <w:r w:rsidR="00552F2F" w:rsidRPr="00C862ED">
        <w:t xml:space="preserve">Prevalence (per 1000) ranged between 3.5 and 60 (median 16) in children and adolescents with ADHD and between 0.8 and 37.3 (median 4.8) in children and adolescents without ADHD. </w:t>
      </w:r>
    </w:p>
    <w:p w14:paraId="594F1020" w14:textId="10577311" w:rsidR="00E618FF" w:rsidRPr="00C862ED" w:rsidRDefault="00E618FF" w:rsidP="00137592">
      <w:pPr>
        <w:ind w:firstLine="708"/>
      </w:pPr>
      <w:r w:rsidRPr="00137592">
        <w:t xml:space="preserve">The ranges of ages of poisoning were large in most cases. An exception was a study in which ADHD </w:t>
      </w:r>
      <w:r w:rsidR="00F606F4">
        <w:t xml:space="preserve">was </w:t>
      </w:r>
      <w:r w:rsidRPr="00137592">
        <w:t>diagnos</w:t>
      </w:r>
      <w:r w:rsidR="00F606F4">
        <w:t>ed in school-age children</w:t>
      </w:r>
      <w:r w:rsidRPr="00137592">
        <w:t xml:space="preserve"> but retrospectively </w:t>
      </w:r>
      <w:r w:rsidR="00F606F4">
        <w:t xml:space="preserve">considered </w:t>
      </w:r>
      <w:r w:rsidRPr="00137592">
        <w:t>the risk of poisoning during pre-school</w:t>
      </w:r>
      <w:r w:rsidRPr="00137592">
        <w:fldChar w:fldCharType="begin" w:fldLock="1"/>
      </w:r>
      <w:r w:rsidR="00487110" w:rsidRPr="00C862ED">
        <w:instrText>ADDIN CSL_CITATION { "citationItems" : [ { "id" : "ITEM-1",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"ITEM-1",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"mendeley" : { "formattedCitation" : "&lt;sup&gt;28&lt;/sup&gt;", "plainTextFormattedCitation" : "28", "previouslyFormattedCitation" : "&lt;sup&gt;28&lt;/sup&gt;" }, "properties" : {  }, "schema" : "https://github.com/citation-style-language/schema/raw/master/csl-citation.json" }</w:instrText>
      </w:r>
      <w:r w:rsidRPr="00137592">
        <w:fldChar w:fldCharType="separate"/>
      </w:r>
      <w:r w:rsidR="003A1211" w:rsidRPr="00C862ED">
        <w:rPr>
          <w:noProof/>
          <w:vertAlign w:val="superscript"/>
        </w:rPr>
        <w:t>28</w:t>
      </w:r>
      <w:r w:rsidRPr="00137592">
        <w:fldChar w:fldCharType="end"/>
      </w:r>
      <w:r w:rsidRPr="00137592">
        <w:t xml:space="preserve">. This is a probable cause for the much higher risk of poisoning in both the group with and without ADHD in this study. The retrospective nature of studies and the use of administrative databases were also related to the type of strategies used to identify cases with ADHD and to define poisoning. </w:t>
      </w:r>
      <w:r w:rsidR="00F606F4">
        <w:t xml:space="preserve"> In the majority of studies, ADHD diagnosis </w:t>
      </w:r>
      <w:r w:rsidRPr="00137592">
        <w:t xml:space="preserve">was </w:t>
      </w:r>
      <w:r w:rsidR="00F606F4">
        <w:t>defined</w:t>
      </w:r>
      <w:r w:rsidRPr="00137592">
        <w:t xml:space="preserve"> </w:t>
      </w:r>
      <w:r w:rsidR="00F606F4">
        <w:t>based on</w:t>
      </w:r>
      <w:r w:rsidRPr="00137592">
        <w:t xml:space="preserve"> ICD codes at visit discharges</w:t>
      </w:r>
      <w:r w:rsidRPr="00137592">
        <w:fldChar w:fldCharType="begin" w:fldLock="1"/>
      </w:r>
      <w:r w:rsidR="00487110" w:rsidRPr="00C862ED">
        <w:instrText>ADDIN CSL_CITATION { "citationItems" : [ { "id" : "ITEM-1",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"ITEM-1",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"id" : "ITEM-2",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"ITEM-2",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"id" : "ITEM-3",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"ITEM-3",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"id" : "ITEM-4",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"ITEM-4",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"id" : "ITEM-5", "itemData" : { "DOI" : "10.1016/j.jadohealth.2003.12.003", "ISBN" : "1879-1972 (Electronic)\\r1054-139X (Linking)", "ISSN" : "1879-1972", "PMID" : "15830457", "abstract" : "PURPOSE The purpose is to analyze the incidence and costs of accidents among Attention-Deficit/Hyperactivity Disorder (ADHD) patients. METHODS The analysis relied on administrative medical, pharmaceutical, and disability claims for a national manufacturer's employees, spouses, dependents, and retirees (n &gt; 100,000). Accidental injuries were identified using ICD-9 codes for injuries or poisoning treatment. ADHD sample consists of individuals with at least one claim for ADHD during 1996-98 (NADHD = 1308), which was compared with a matched control sample. In addition to descriptive statistics, multivariate analysis involving logistic regression was used to model the probability of having an accident claim in 1998. This probability was estimated for the whole population, for adults alone, for children (under age 12 years), and for adolescents (age 12-18 years). We also estimated a generalized estimation equation (GEE) model to account for the possibility of multiple accident claims for a single patient. RESULTS ADHD patients had a greater probability of having at least one accident claim than their controls for children (28% vs. 18%), adolescents (32% vs. 23%), and adults (38% vs. 18%). Although ADHD patients' costs were greater than their controls for adults ($483 vs. $146), there was no difference for children or adolescents. However, among patients with accident claims, the average number of accident claims was similar for both groups (3.6 vs. 3.5) and costs were not statistically different. The multivariate analysis confirms this utilization pattern: the odds of having an accident for ADHD patients were 1.7 times greater than for controls. CONCLUSIONS ADHD was a significant predictor of having an accident claim. However, for people with an accident claim, ADHD patients and controls had a similar number of accident claims and costs.", "author" : [ { "dropping-particle" : "", "family" : "Swensen", "given" : "Andrine", "non-dropping-particle" : "", "parse-names" : false, "suffix" : "" }, { "dropping-particle" : "", "family" : "Birnbaum", "given" : "Howard G.", "non-dropping-particle" : "", "parse-names" : false, "suffix" : "" }, { "dropping-particle" : "", "family" : "Hamadi", "given" : "Rym", "non-dropping-particle" : "Ben", "parse-names" : false, "suffix" : "" }, { "dropping-particle" : "", "family" : "Greenberg", "given" : "Paul", "non-dropping-particle" : "", "parse-names" : false, "suffix" : "" }, { "dropping-particle" : "", "family" : "Cremieux", "given" : "Pierre-Yves", "non-dropping-particle" : "", "parse-names" : false, "suffix" : "" }, { "dropping-particle" : "", "family" : "Secnik", "given" : "Kristina", "non-dropping-particle" : "", "parse-names" : false, "suffix" : "" } ], "container-title" : "The Journal of adolescent health : official publication of the Society for Adolescent Medicine", "id" : "ITEM-5", "issue" : "4", "issued" : { "date-parts" : [ [ "2004", "10", "1" ] ] }, "language" : "eng", "note" : "Maite01.\n\nGonzalo01.\n\nFrom Duplicate 2 (Incidence and costs of accidents among attention-deficit/hyperactivity disorder patients. - Swensen, Andrine; Birnbaum, Howard G; Ben Hamadi, Rym; Greenberg, Paul; Cremieux, Pierre-Yves Y; Secnik, Kristina)\n\nFrom Duplicate 1 (Incidence and costs of accidents among attention-deficit/hyperactivity disorder patients - Swensen, Andrine; Birnbaum, Howard G; Ben Hamadi, Rym; Greenberg, Paul; Cremieux, Pierre-Yves Y; Secnik, Kristina)\n\n\n\nFrom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78\n\nFrom Duplicate 2 (Incidence and costs of accidents among attention-deficit/hyperactivity disorder patients. - Swensen, Andrine; Birnbaum, Howard G; Ben Hamadi, Rym; Greenberg, Paul; Cremieux, Pierre-Yves; Secnik, Kristina)\nAnd Duplicate 3 (Incidence and costs of accidents among attention-deficit/hyperactivity disorder patients. - Swensen, Andrine; Birnbaum, Howard G; Ben Hamadi, Rym; Greenberg, Paul; Cremieux, Pierre-Yves; Secnik, Kristina)\n\nBusqueda_pubmed.\n\nFrom Duplicate 4 (Incidence and costs of accidents among attention-deficit/hyperactivity disorder patients - Swensen, Andrine; Birnbaum, Howard G; Ben Hamadi, Rym; Greenberg, Paul; Cremieux, Pierre-Yves Y; Secnik, Kristina)\n\nGonzalo01.\n\nFrom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 "page" : "346.e1-9", "publisher" : "Elsevier Inc.", "publisher-place" : "United States", "title" : "Incidence and costs of accidents among attention-deficit/hyperactivity disorder patients.", "type" : "article-journal", "volume" : "35" }, "uris" : [ "http://www.mendeley.com/documents/?uuid=e22332c3-4de9-4376-9a2b-271494ff3f68" ] } ], "mendeley" : { "formattedCitation" : "&lt;sup&gt;20,23,25,28,29&lt;/sup&gt;", "plainTextFormattedCitation" : "20,23,25,28,29", "previouslyFormattedCitation" : "&lt;sup&gt;20,23,25,28,29&lt;/sup&gt;" }, "properties" : {  }, "schema" : "https://github.com/citation-style-language/schema/raw/master/csl-citation.json" }</w:instrText>
      </w:r>
      <w:r w:rsidRPr="00137592">
        <w:fldChar w:fldCharType="separate"/>
      </w:r>
      <w:r w:rsidR="003A1211" w:rsidRPr="00C862ED">
        <w:rPr>
          <w:noProof/>
          <w:vertAlign w:val="superscript"/>
        </w:rPr>
        <w:t>20,23,25,28,29</w:t>
      </w:r>
      <w:r w:rsidRPr="00137592">
        <w:fldChar w:fldCharType="end"/>
      </w:r>
      <w:r w:rsidRPr="00137592">
        <w:t xml:space="preserve">, </w:t>
      </w:r>
      <w:r w:rsidR="00F606F4">
        <w:t>by taking</w:t>
      </w:r>
      <w:r w:rsidRPr="00137592">
        <w:t xml:space="preserve"> medications for ADHD</w:t>
      </w:r>
      <w:r w:rsidRPr="00137592">
        <w:fldChar w:fldCharType="begin" w:fldLock="1"/>
      </w:r>
      <w:r w:rsidR="00487110" w:rsidRPr="00C862ED">
        <w:instrText>ADDIN CSL_CITATION { "citationItems" : [ { "id" : "ITEM-1", "itemData" : { "DOI" : "10.1542/peds.111.2.262", "ISSN" : "1098-4275", "PMID" : "12563049", "abstract" : "CONTEXT While an association between pediatric behavioral disorders and injuries is generally acknowledged, no studies have measured the risk for injury in the context of a large, population-based study that is free of cohort biases. OBJECTIVES To examine the association between childhood behavior disorders ([CBDs] as indicated by prescription for methylphenidate [MPH]) and a variety of injury outcomes, and to evaluate the risk for injury among these children after controlling for known demographic correlates. DESIGN Population-based database analysis of all children in British Columbia (BC) under the age of 19 as of December 31, 1996; comparison of those who had been prescribed MPH and therefore placed in the CBD group (n = 16, 806) and those who were not (n = 1,010,067). Demographic information collected was as follows: age, sex, measures of socioeconomic status, and region of residence. OUTCOME MEASURES Common types of childhood injury in BC: International Classification of Diseases, Ninth Revision N-codes (fractures, open wounds, poisoning/toxic effect, concussion, intracranial, burns) and E-codes (falls, postoperative complications, motor vehicle accidents, struck by object, adverse effects of drugs, suffocation, drowning). DATA SOURCE BC Linked Health Data Set and the BC Triplicate Prescription Program. RESULTS After controlling for known demographic correlates, odds for injury was greater among those treated with MPH and presumed to have a behavioral disorder, when injury was characterized either by type (1.67; 99% confidence interval: 1.54-1.81) or cause (1.52; 99% confidence interval: 1.40-1.66) of injury. This increased risk extended to unexpected categories of injury such as postoperative complications and adverse effects of drugs. CONCLUSIONS Children with CBDs have &gt;1.5 times the odds of sustaining injuries of a variety of types from a variety of causes, even after controlling for known demographic correlates, than those without behavioral disorders. The risks for these children extend beyond those that might be directly associated with impulsivity and overactivity. Injury prevention strategies aimed at this group of children and youth would be beneficial. Policy-makers should account for increased risk of a wide variety of injuries in this group of children and youth.", "author" : [ { "dropping-particle" : "", "family" : "Brehaut", "given" : "Jamie C", "non-dropping-particle" : "", "parse-names" : false, "suffix" : "" }, { "dropping-particle" : "", "family" : "Miller", "given" : "Anton", "non-dropping-particle" : "", "parse-names" : false, "suffix" : "" }, { "dropping-particle" : "", "family" : "Raina", "given" : "Parminder", "non-dropping-particle" : "", "parse-names" : false, "suffix" : "" }, { "dropping-particle" : "", "family" : "McGrail", "given" : "Kimberlyn M", "non-dropping-particle" : "", "parse-names" : false, "suffix" : "" } ], "container-title" : "Pediatrics", "id" : "ITEM-1", "issue" : "2", "issued" : { "date-parts" : [ [ "2003", "2" ] ] }, "note" : "From Duplicate 1 (Childhood Behavior Disorders and Injuries Among Children and Youth: A Population-Based Study. - Brehaut, Jamie C Miller AntonRaina ParminderMcGrail Kimberlyn M)\n\nGonzalo02.\n\nMaite02. \nLa duda es porque con el abstract no puedo descartar que no entre.\n\ncited By 76\n\nFrom Duplicate 2 (Childhood Behavior Disorders and Injuries Among Children and Youth: A Population-Based Study. - Brehaut, Jamie C Miller AntonRaina ParminderMcGrail Kimberlyn M)\n\ncited By 76", "page" : "262-9", "title" : "Childhood behavior disorders and injuries among children and youth: a population-based study.", "type" : "article-journal", "volume" : "111" }, "uris" : [ "http://www.mendeley.com/documents/?uuid=c1da2a8d-a420-41d9-ad2a-11677b856287" ] } ], "mendeley" : { "formattedCitation" : "&lt;sup&gt;22&lt;/sup&gt;", "plainTextFormattedCitation" : "22", "previouslyFormattedCitation" : "&lt;sup&gt;22&lt;/sup&gt;" }, "properties" : {  }, "schema" : "https://github.com/citation-style-language/schema/raw/master/csl-citation.json" }</w:instrText>
      </w:r>
      <w:r w:rsidRPr="00137592">
        <w:fldChar w:fldCharType="separate"/>
      </w:r>
      <w:r w:rsidR="003A1211" w:rsidRPr="00C862ED">
        <w:rPr>
          <w:noProof/>
          <w:vertAlign w:val="superscript"/>
        </w:rPr>
        <w:t>22</w:t>
      </w:r>
      <w:r w:rsidRPr="00137592">
        <w:fldChar w:fldCharType="end"/>
      </w:r>
      <w:r w:rsidRPr="00137592">
        <w:t>, or</w:t>
      </w:r>
      <w:r w:rsidR="003A1211" w:rsidRPr="00C862ED">
        <w:t xml:space="preserve"> </w:t>
      </w:r>
      <w:r w:rsidR="00F606F4">
        <w:t>based on the</w:t>
      </w:r>
      <w:r w:rsidR="003A1211" w:rsidRPr="00C862ED">
        <w:t xml:space="preserve"> combinations of the two. </w:t>
      </w:r>
      <w:r w:rsidR="00F606F4">
        <w:t>However,</w:t>
      </w:r>
      <w:r w:rsidRPr="00137592">
        <w:t xml:space="preserve"> two studies</w:t>
      </w:r>
      <w:r w:rsidRPr="00137592">
        <w:fldChar w:fldCharType="begin" w:fldLock="1"/>
      </w:r>
      <w:r w:rsidR="00487110" w:rsidRPr="00C862ED">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"id" : "ITEM-2",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"ITEM-2",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"mendeley" : { "formattedCitation" : "&lt;sup&gt;24,27&lt;/sup&gt;", "plainTextFormattedCitation" : "24,27", "previouslyFormattedCitation" : "&lt;sup&gt;24,27&lt;/sup&gt;" }, "properties" : {  }, "schema" : "https://github.com/citation-style-language/schema/raw/master/csl-citation.json" }</w:instrText>
      </w:r>
      <w:r w:rsidRPr="00137592">
        <w:fldChar w:fldCharType="separate"/>
      </w:r>
      <w:r w:rsidR="003A1211" w:rsidRPr="00C862ED">
        <w:rPr>
          <w:noProof/>
          <w:vertAlign w:val="superscript"/>
        </w:rPr>
        <w:t>24,27</w:t>
      </w:r>
      <w:r w:rsidRPr="00137592">
        <w:fldChar w:fldCharType="end"/>
      </w:r>
      <w:r w:rsidRPr="00137592">
        <w:t xml:space="preserve"> used scales of symptoms and DSM criteria. Similarly, diagnoses of poisoning were </w:t>
      </w:r>
      <w:r w:rsidR="00F606F4">
        <w:t>defined based on</w:t>
      </w:r>
      <w:r w:rsidRPr="00137592">
        <w:t xml:space="preserve"> ICD codes. Whereas most studies included poisoning from medicinal and non-medicinal origins, two studies</w:t>
      </w:r>
      <w:r w:rsidRPr="00137592">
        <w:fldChar w:fldCharType="begin" w:fldLock="1"/>
      </w:r>
      <w:r w:rsidR="00487110" w:rsidRPr="00C862ED">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"id" : "ITEM-2",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"ITEM-2",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"&lt;sup&gt;21,25&lt;/sup&gt;", "plainTextFormattedCitation" : "21,25", "previouslyFormattedCitation" : "&lt;sup&gt;21,25&lt;/sup&gt;" }, "properties" : {  }, "schema" : "https://github.com/citation-style-language/schema/raw/master/csl-citation.json" }</w:instrText>
      </w:r>
      <w:r w:rsidRPr="00137592">
        <w:fldChar w:fldCharType="separate"/>
      </w:r>
      <w:r w:rsidR="003A1211" w:rsidRPr="00C862ED">
        <w:rPr>
          <w:noProof/>
          <w:vertAlign w:val="superscript"/>
        </w:rPr>
        <w:t>21,25</w:t>
      </w:r>
      <w:r w:rsidRPr="00137592">
        <w:fldChar w:fldCharType="end"/>
      </w:r>
      <w:r w:rsidRPr="00137592">
        <w:t xml:space="preserve"> only included poisoning from medicinal drugs. Specifically, one</w:t>
      </w:r>
      <w:r w:rsidRPr="00137592">
        <w:fldChar w:fldCharType="begin" w:fldLock="1"/>
      </w:r>
      <w:r w:rsidR="00487110" w:rsidRPr="00C862ED">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Pr="00137592">
        <w:fldChar w:fldCharType="separate"/>
      </w:r>
      <w:r w:rsidR="003A1211" w:rsidRPr="00C862ED">
        <w:rPr>
          <w:noProof/>
          <w:vertAlign w:val="superscript"/>
        </w:rPr>
        <w:t>25</w:t>
      </w:r>
      <w:r w:rsidRPr="00137592">
        <w:fldChar w:fldCharType="end"/>
      </w:r>
      <w:r w:rsidRPr="00137592">
        <w:t xml:space="preserve"> </w:t>
      </w:r>
      <w:r w:rsidR="00C862ED" w:rsidRPr="00C862ED">
        <w:t>analyzed</w:t>
      </w:r>
      <w:r w:rsidRPr="00137592">
        <w:t xml:space="preserve"> poisoning cases that were intentional in nature, which led to a much smaller prevalence </w:t>
      </w:r>
      <w:r w:rsidR="00E72D10">
        <w:t xml:space="preserve">of poisoning in </w:t>
      </w:r>
      <w:r w:rsidR="00E72D10" w:rsidRPr="00CC46C2">
        <w:t xml:space="preserve">in </w:t>
      </w:r>
      <w:proofErr w:type="spellStart"/>
      <w:r w:rsidR="00E72D10" w:rsidRPr="00CC46C2">
        <w:t>adhd</w:t>
      </w:r>
      <w:proofErr w:type="spellEnd"/>
      <w:r w:rsidR="00E72D10" w:rsidRPr="00CC46C2">
        <w:t xml:space="preserve"> and controls</w:t>
      </w:r>
      <w:r w:rsidRPr="00137592">
        <w:t>.</w:t>
      </w:r>
    </w:p>
    <w:p w14:paraId="207D573B" w14:textId="5730C663" w:rsidR="009D7E78" w:rsidRPr="00C862ED" w:rsidRDefault="009D7E78" w:rsidP="00137592">
      <w:pPr>
        <w:ind w:firstLine="708"/>
      </w:pPr>
      <w:r w:rsidRPr="00C862ED">
        <w:lastRenderedPageBreak/>
        <w:t xml:space="preserve">The main analysis, showing the </w:t>
      </w:r>
      <w:r w:rsidR="00552F2F" w:rsidRPr="00C862ED">
        <w:t>relative risk</w:t>
      </w:r>
      <w:r w:rsidR="00F11178">
        <w:t xml:space="preserve"> (RR)</w:t>
      </w:r>
      <w:r w:rsidR="00552F2F" w:rsidRPr="00C862ED">
        <w:t xml:space="preserve"> </w:t>
      </w:r>
      <w:r w:rsidRPr="00C862ED">
        <w:t xml:space="preserve">of poisoning between </w:t>
      </w:r>
      <w:r w:rsidR="00522D25" w:rsidRPr="00C862ED">
        <w:t>adolescents with and without ADHD</w:t>
      </w:r>
      <w:r w:rsidRPr="00C862ED">
        <w:t xml:space="preserve">, included eleven outcomes derived from </w:t>
      </w:r>
      <w:r w:rsidR="002D749E" w:rsidRPr="00C862ED">
        <w:t xml:space="preserve">nine </w:t>
      </w:r>
      <w:r w:rsidRPr="00C862ED">
        <w:t xml:space="preserve">studies. </w:t>
      </w:r>
      <w:r w:rsidR="00927A5D" w:rsidRPr="00C862ED">
        <w:t>Variation among</w:t>
      </w:r>
      <w:r w:rsidR="000D3F08" w:rsidRPr="00C862ED">
        <w:t xml:space="preserve"> effect sizes was </w:t>
      </w:r>
      <w:r w:rsidR="00927A5D" w:rsidRPr="00C862ED">
        <w:t>important</w:t>
      </w:r>
      <w:r w:rsidR="000D3F08" w:rsidRPr="00C862ED">
        <w:t xml:space="preserve"> as they ranged between 1.2 and 7.98 (median</w:t>
      </w:r>
      <w:r w:rsidR="002D01CE" w:rsidRPr="00C862ED">
        <w:t xml:space="preserve"> 3.47). </w:t>
      </w:r>
      <w:r w:rsidR="00927A5D" w:rsidRPr="00C862ED">
        <w:t>T</w:t>
      </w:r>
      <w:r w:rsidR="002D01CE" w:rsidRPr="00C862ED">
        <w:t xml:space="preserve">he overlap between confidence intervals (CIs) was small. The lower bound of the CI ranged between 0.5 and 3.58 (median 1.91) and the upper bound between 2.6 and 49.35 (median 5.64). </w:t>
      </w:r>
      <w:r w:rsidRPr="00C862ED">
        <w:t xml:space="preserve">All analyses were carried out using Robust Variance Estimation (RVE) to take into account dependence between outcomes. </w:t>
      </w:r>
      <w:r w:rsidR="00522D25" w:rsidRPr="00C862ED">
        <w:t>Individuals with ADHD</w:t>
      </w:r>
      <w:r w:rsidR="00522D25" w:rsidRPr="00C862ED" w:rsidDel="00522D25">
        <w:t xml:space="preserve"> </w:t>
      </w:r>
      <w:r w:rsidRPr="00C862ED">
        <w:t>had a significantly increased risk of poisoning compared t</w:t>
      </w:r>
      <w:r w:rsidR="00493DFC" w:rsidRPr="00C862ED">
        <w:t>o</w:t>
      </w:r>
      <w:r w:rsidRPr="00C862ED">
        <w:t xml:space="preserve"> </w:t>
      </w:r>
      <w:r w:rsidR="00522D25" w:rsidRPr="00C862ED">
        <w:t xml:space="preserve">individuals without the disorder </w:t>
      </w:r>
      <w:r w:rsidRPr="00C862ED">
        <w:t>(</w:t>
      </w:r>
      <w:r w:rsidR="0054320B" w:rsidRPr="00C862ED">
        <w:t>RR</w:t>
      </w:r>
      <w:r w:rsidRPr="00C862ED">
        <w:t xml:space="preserve"> = 3.14, 95% CI- = 2.23</w:t>
      </w:r>
      <w:r w:rsidR="00614D47" w:rsidRPr="00C862ED">
        <w:t xml:space="preserve"> to</w:t>
      </w:r>
      <w:r w:rsidRPr="00C862ED">
        <w:t xml:space="preserve"> 4.42) as shown in the forest plot in Figure 2. Heterogenei</w:t>
      </w:r>
      <w:r w:rsidR="004C6904" w:rsidRPr="00C862ED">
        <w:t xml:space="preserve">ty of studies, as measured by </w:t>
      </w:r>
      <w:r w:rsidR="004C6904" w:rsidRPr="00C862ED">
        <w:rPr>
          <w:rFonts w:eastAsia="Arial Unicode MS"/>
          <w:lang w:eastAsia="en-GB"/>
        </w:rPr>
        <w:t xml:space="preserve">Cochran’s Q test and </w:t>
      </w:r>
      <w:r w:rsidR="004C6904" w:rsidRPr="00C862ED">
        <w:rPr>
          <w:rFonts w:eastAsia="Arial Unicode MS"/>
        </w:rPr>
        <w:t>I</w:t>
      </w:r>
      <w:r w:rsidR="004C6904" w:rsidRPr="00C862ED">
        <w:rPr>
          <w:rFonts w:eastAsia="Arial Unicode MS"/>
          <w:vertAlign w:val="superscript"/>
        </w:rPr>
        <w:t xml:space="preserve">2 </w:t>
      </w:r>
      <w:r w:rsidR="004C6904" w:rsidRPr="00C862ED">
        <w:rPr>
          <w:rFonts w:eastAsia="Arial Unicode MS"/>
          <w:lang w:eastAsia="en-GB"/>
        </w:rPr>
        <w:t>index</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"10.1136/bmj.327.7414.557", "ISBN" : "1468-5833 (Electronic)\\r0959-535X (Linking)", "ISSN" : "1756-1833", "PMID" : "12958120", "abstract" : "Cochrane Reviews have recently started including the quantity I 2 to help readers assess the consistency of the results of studies in meta-analyses. What does this new quantity mean, and why is assessment of heterogeneity so important to clinical practice?", "author" : [ { "dropping-particle" : "", "family" : "Higgins", "given" : "Julian P T", "non-dropping-particle" : "", "parse-names" : false, "suffix" : "" }, { "dropping-particle" : "", "family" : "Thompson", "given" : "Simon G", "non-dropping-particle" : "", "parse-names" : false, "suffix" : "" }, { "dropping-particle" : "", "family" : "Deeks", "given" : "Jonathan J", "non-dropping-particle" : "", "parse-names" : false, "suffix" : "" }, { "dropping-particle" : "", "family" : "Altman", "given" : "Douglas G", "non-dropping-particle" : "", "parse-names" : false, "suffix" : "" } ], "container-title" : "BMJ : British Medical Journal", "id" : "ITEM-1", "issue" : "7414", "issued" : { "date-parts" : [ [ "2003" ] ] }, "page" : "557-560", "title" : "Measuring inconsistency in meta-analyses", "type" : "article-journal", "volume" : "327" }, "uris" : [ "http://www.mendeley.com/documents/?uuid=f13d8112-44e8-45da-b6f9-35e5dd2e3e13" ] } ], "mendeley" : { "formattedCitation" : "&lt;sup&gt;35&lt;/sup&gt;", "plainTextFormattedCitation" : "35", "previouslyFormattedCitation" : "&lt;sup&gt;35&lt;/sup&gt;"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35</w:t>
      </w:r>
      <w:r w:rsidR="00E03B13" w:rsidRPr="00C862ED">
        <w:rPr>
          <w:rFonts w:eastAsia="Arial Unicode MS"/>
          <w:lang w:eastAsia="en-GB"/>
        </w:rPr>
        <w:fldChar w:fldCharType="end"/>
      </w:r>
      <w:r w:rsidRPr="00C862ED">
        <w:rPr>
          <w:rFonts w:eastAsia="Arial Unicode MS"/>
          <w:lang w:eastAsia="en-GB"/>
        </w:rPr>
        <w:t>,</w:t>
      </w:r>
      <w:r w:rsidRPr="00C862ED">
        <w:t xml:space="preserve"> was </w:t>
      </w:r>
      <w:r w:rsidR="00927A5D" w:rsidRPr="00C862ED">
        <w:t>high</w:t>
      </w:r>
      <w:r w:rsidR="003E1D25" w:rsidRPr="00C862ED">
        <w:t xml:space="preserve"> </w:t>
      </w:r>
      <w:r w:rsidRPr="00C862ED">
        <w:t>(χ</w:t>
      </w:r>
      <w:r w:rsidRPr="00C862ED">
        <w:rPr>
          <w:vertAlign w:val="superscript"/>
        </w:rPr>
        <w:t>2</w:t>
      </w:r>
      <w:r w:rsidRPr="00C862ED">
        <w:t xml:space="preserve">=49.42, </w:t>
      </w:r>
      <w:proofErr w:type="spellStart"/>
      <w:r w:rsidRPr="00C862ED">
        <w:t>df</w:t>
      </w:r>
      <w:proofErr w:type="spellEnd"/>
      <w:r w:rsidRPr="00C862ED">
        <w:t>=8, p&lt;0.001, I</w:t>
      </w:r>
      <w:r w:rsidRPr="00C862ED">
        <w:rPr>
          <w:vertAlign w:val="superscript"/>
        </w:rPr>
        <w:t>2</w:t>
      </w:r>
      <w:r w:rsidRPr="00C862ED">
        <w:t xml:space="preserve">=83.8%). Risk of small sample bias was not signiﬁcant according to </w:t>
      </w:r>
      <w:proofErr w:type="spellStart"/>
      <w:r w:rsidRPr="00C862ED">
        <w:rPr>
          <w:rFonts w:eastAsia="Arial Unicode MS"/>
          <w:lang w:eastAsia="en-GB"/>
        </w:rPr>
        <w:t>Begg’s</w:t>
      </w:r>
      <w:proofErr w:type="spellEnd"/>
      <w:r w:rsidRPr="00C862ED">
        <w:rPr>
          <w:rFonts w:eastAsia="Arial Unicode MS"/>
          <w:lang w:eastAsia="en-GB"/>
        </w:rPr>
        <w:t xml:space="preserve"> adjusted rank correlation and Egger’s test</w:t>
      </w:r>
      <w:r w:rsidRPr="00C862ED">
        <w:t xml:space="preserve"> (Egger t = -0.07, p =0.949; </w:t>
      </w:r>
      <w:proofErr w:type="spellStart"/>
      <w:r w:rsidRPr="00C862ED">
        <w:t>Begg</w:t>
      </w:r>
      <w:proofErr w:type="spellEnd"/>
      <w:r w:rsidRPr="00C862ED">
        <w:t xml:space="preserve"> Z = 0.52, p = 0.602, see also the funnel plot in Figure 3). </w:t>
      </w:r>
    </w:p>
    <w:p w14:paraId="03882384" w14:textId="6364664B" w:rsidR="009D7E78" w:rsidRPr="00C862ED" w:rsidRDefault="009D7E78" w:rsidP="00E31716">
      <w:r w:rsidRPr="00C862ED" w:rsidDel="003E1D25">
        <w:t xml:space="preserve">In general, results were </w:t>
      </w:r>
      <w:r w:rsidR="003E1D25" w:rsidRPr="00C862ED">
        <w:t xml:space="preserve">relatively </w:t>
      </w:r>
      <w:r w:rsidRPr="00C862ED" w:rsidDel="003E1D25">
        <w:t xml:space="preserve">robust to sensitivity analyses. </w:t>
      </w:r>
      <w:r w:rsidR="00E27A73" w:rsidRPr="00C862ED">
        <w:t xml:space="preserve">When only studies using hazard ratios as effect measure were included, the resulting average RR was </w:t>
      </w:r>
      <w:r w:rsidR="00E03B13" w:rsidRPr="00137592">
        <w:t>3.91</w:t>
      </w:r>
      <w:r w:rsidRPr="00C862ED">
        <w:t xml:space="preserve"> (95% CI = 3.</w:t>
      </w:r>
      <w:r w:rsidR="00DE796B" w:rsidRPr="00C862ED">
        <w:t>41</w:t>
      </w:r>
      <w:r w:rsidR="000436BE" w:rsidRPr="00C862ED">
        <w:t xml:space="preserve"> </w:t>
      </w:r>
      <w:r w:rsidR="00E27A73" w:rsidRPr="00C862ED">
        <w:t>to 4.</w:t>
      </w:r>
      <w:r w:rsidR="00DE796B" w:rsidRPr="00C862ED">
        <w:t>5</w:t>
      </w:r>
      <w:r w:rsidR="00E27A73" w:rsidRPr="00C862ED">
        <w:t>, I</w:t>
      </w:r>
      <w:r w:rsidR="00E27A73" w:rsidRPr="00C862ED">
        <w:rPr>
          <w:vertAlign w:val="superscript"/>
        </w:rPr>
        <w:t>2</w:t>
      </w:r>
      <w:r w:rsidR="00E27A73" w:rsidRPr="00C862ED">
        <w:t>=0%). The average RR</w:t>
      </w:r>
      <w:r w:rsidR="0054320B" w:rsidRPr="00C862ED">
        <w:t xml:space="preserve"> </w:t>
      </w:r>
      <w:r w:rsidRPr="00C862ED">
        <w:t>was 2.59 (95% CI= 1.81</w:t>
      </w:r>
      <w:r w:rsidR="00614D47" w:rsidRPr="00C862ED">
        <w:t xml:space="preserve"> to</w:t>
      </w:r>
      <w:r w:rsidRPr="00C862ED">
        <w:t xml:space="preserve"> 3.71</w:t>
      </w:r>
      <w:r w:rsidR="00DE4DAC" w:rsidRPr="00C862ED">
        <w:t>, I</w:t>
      </w:r>
      <w:r w:rsidR="00A909C6" w:rsidRPr="00C862ED">
        <w:rPr>
          <w:vertAlign w:val="superscript"/>
        </w:rPr>
        <w:t>2</w:t>
      </w:r>
      <w:r w:rsidR="00A909C6" w:rsidRPr="00C862ED">
        <w:t>=64.4%</w:t>
      </w:r>
      <w:r w:rsidRPr="00C862ED">
        <w:t xml:space="preserve">) when only odds ratios were taken into account. Similarly, the pooled </w:t>
      </w:r>
      <w:r w:rsidR="0054320B" w:rsidRPr="00C862ED">
        <w:t xml:space="preserve">RR </w:t>
      </w:r>
      <w:r w:rsidRPr="00C862ED">
        <w:t>changed to 3.01 (95% CI = 2.01</w:t>
      </w:r>
      <w:r w:rsidR="00614D47" w:rsidRPr="00C862ED">
        <w:t xml:space="preserve"> to</w:t>
      </w:r>
      <w:r w:rsidRPr="00C862ED">
        <w:t xml:space="preserve"> 4.50</w:t>
      </w:r>
      <w:r w:rsidR="003E1D25" w:rsidRPr="00C862ED">
        <w:t xml:space="preserve">, </w:t>
      </w:r>
      <w:r w:rsidR="00DE4DAC" w:rsidRPr="00C862ED">
        <w:t>I</w:t>
      </w:r>
      <w:r w:rsidR="00E03B13" w:rsidRPr="00137592">
        <w:rPr>
          <w:vertAlign w:val="superscript"/>
        </w:rPr>
        <w:t>2</w:t>
      </w:r>
      <w:r w:rsidR="00E03B13" w:rsidRPr="00137592">
        <w:t>=</w:t>
      </w:r>
      <w:r w:rsidR="003E1D25" w:rsidRPr="00C862ED">
        <w:t>87%</w:t>
      </w:r>
      <w:r w:rsidRPr="00C862ED">
        <w:t xml:space="preserve">) when only statistically </w:t>
      </w:r>
      <w:r w:rsidR="00614D47" w:rsidRPr="00C862ED">
        <w:t xml:space="preserve">adjusted </w:t>
      </w:r>
      <w:r w:rsidR="0054320B" w:rsidRPr="00C862ED">
        <w:t xml:space="preserve">RRs </w:t>
      </w:r>
      <w:r w:rsidRPr="00C862ED">
        <w:t>were entered in the meta-analysis</w:t>
      </w:r>
      <w:r w:rsidR="003E1D25" w:rsidRPr="00C862ED">
        <w:t>,</w:t>
      </w:r>
      <w:r w:rsidRPr="00C862ED">
        <w:t xml:space="preserve"> and increased to 5.62 (95% CI = 2.51</w:t>
      </w:r>
      <w:r w:rsidR="00614D47" w:rsidRPr="00C862ED">
        <w:t xml:space="preserve"> to</w:t>
      </w:r>
      <w:r w:rsidRPr="00C862ED">
        <w:t xml:space="preserve"> 12.61</w:t>
      </w:r>
      <w:r w:rsidR="00DE4DAC" w:rsidRPr="00C862ED">
        <w:t>, I</w:t>
      </w:r>
      <w:r w:rsidR="00A909C6" w:rsidRPr="00C862ED">
        <w:rPr>
          <w:vertAlign w:val="superscript"/>
        </w:rPr>
        <w:t>2</w:t>
      </w:r>
      <w:r w:rsidR="00A909C6" w:rsidRPr="00C862ED">
        <w:t>=0%</w:t>
      </w:r>
      <w:r w:rsidRPr="00C862ED">
        <w:t xml:space="preserve">) when uncontrolled effect sizes were used. </w:t>
      </w:r>
      <w:r w:rsidR="004247EC" w:rsidRPr="00C862ED">
        <w:t xml:space="preserve">Since only two </w:t>
      </w:r>
      <w:r w:rsidR="004102EB">
        <w:t>studies</w:t>
      </w:r>
      <w:r w:rsidR="004247EC" w:rsidRPr="00C862ED">
        <w:t xml:space="preserve"> did not combine poisoning and intoxication cases (</w:t>
      </w:r>
      <w:r w:rsidR="004102EB">
        <w:t>defined using</w:t>
      </w:r>
      <w:r w:rsidR="004247EC" w:rsidRPr="00C862ED">
        <w:t xml:space="preserve"> the ICD codes), we could not carry out a sensitivity analysis including only studies that </w:t>
      </w:r>
      <w:r w:rsidR="004102EB">
        <w:t>focused on a</w:t>
      </w:r>
      <w:r w:rsidR="004247EC" w:rsidRPr="00C862ED">
        <w:t xml:space="preserve"> strict definition of poisoning. </w:t>
      </w:r>
      <w:r w:rsidRPr="00C862ED">
        <w:t xml:space="preserve"> It must be noted that in the case of </w:t>
      </w:r>
      <w:r w:rsidR="00614D47" w:rsidRPr="00C862ED">
        <w:t xml:space="preserve">crude </w:t>
      </w:r>
      <w:r w:rsidRPr="00C862ED">
        <w:t xml:space="preserve">effect sizes and hazard ratios only three </w:t>
      </w:r>
      <w:r w:rsidR="00920CA8" w:rsidRPr="00C862ED">
        <w:t xml:space="preserve">and four </w:t>
      </w:r>
      <w:r w:rsidRPr="00C862ED">
        <w:t>studies were</w:t>
      </w:r>
      <w:r w:rsidR="00920CA8" w:rsidRPr="00C862ED">
        <w:t xml:space="preserve"> respectively</w:t>
      </w:r>
      <w:r w:rsidRPr="00C862ED">
        <w:t xml:space="preserve"> included in the analyses and, therefore, confidence intervals with RVE are unreliable</w:t>
      </w:r>
      <w:r w:rsidR="00E03B13" w:rsidRPr="00C862ED">
        <w:fldChar w:fldCharType="begin" w:fldLock="1"/>
      </w:r>
      <w:r w:rsidR="00487110" w:rsidRPr="00C862ED">
        <w:instrText>ADDIN CSL_CITATION { "citationItems" : [ { "id" : "ITEM-1", "itemData" : { "DOI" : "10.3102/1076998615606099", "ISBN" : "1076998615", "ISSN" : "1076-9986", "abstract" : "Meta-analyses often include studies that report multiple effect sizes based on a common pool of subjects or that report effect sizes from several samples that were treated with very similar research protocols. The inclusion of such studies introduces dependence among the effect size estimates. When the number of studies is large, robust variance estimation (RVE) provides a method for pooling dependent effects, even when information on the exact dependence structure is not available. When the number of studies is small or moderate, however, test statistics and confidence intervals based on RVE can have inflated Type I error. This article describes and investigates several small-sample adjustments to F-statistics based on RVE. Simulation results demonstrate that one such test, which approximates the test statistic using Hotelling\u2019s T2 distribution, is level-\u03b1 and uniformly more powerful than the others. An empirical application demonstrates how results based on this test compare to the large-sample F-test.", "author" : [ { "dropping-particle" : "", "family" : "Tipton", "given" : "Elizabeth", "non-dropping-particle" : "", "parse-names" : false, "suffix" : "" }, { "dropping-particle" : "", "family" : "Pustejovsky", "given" : "J. E.", "non-dropping-particle" : "", "parse-names" : false, "suffix" : "" } ], "container-title" : "Journal of Educational and Behavioral Statistics", "id" : "ITEM-1", "issue" : "6", "issued" : { "date-parts" : [ [ "2015" ] ] }, "number-of-pages" : "604-634", "title" : "Small-Sample Adjustments for Tests of Moderators and Model Fit Using Robust Variance Estimation in Meta-Regression", "type" : "book", "volume" : "40" }, "uris" : [ "http://www.mendeley.com/documents/?uuid=7a45fae9-53f2-444d-860b-ffb6e57a55a2" ] } ], "mendeley" : { "formattedCitation" : "&lt;sup&gt;36&lt;/sup&gt;", "plainTextFormattedCitation" : "36", "previouslyFormattedCitation" : "&lt;sup&gt;36&lt;/sup&gt;" }, "properties" : {  }, "schema" : "https://github.com/citation-style-language/schema/raw/master/csl-citation.json" }</w:instrText>
      </w:r>
      <w:r w:rsidR="00E03B13" w:rsidRPr="00C862ED">
        <w:fldChar w:fldCharType="separate"/>
      </w:r>
      <w:r w:rsidR="00487110" w:rsidRPr="00C862ED">
        <w:rPr>
          <w:noProof/>
          <w:vertAlign w:val="superscript"/>
        </w:rPr>
        <w:t>36</w:t>
      </w:r>
      <w:r w:rsidR="00E03B13" w:rsidRPr="00C862ED">
        <w:fldChar w:fldCharType="end"/>
      </w:r>
      <w:r w:rsidRPr="00C862ED">
        <w:t xml:space="preserve">. Changing the p parameter within RVE, </w:t>
      </w:r>
      <w:r w:rsidRPr="00C862ED">
        <w:lastRenderedPageBreak/>
        <w:t xml:space="preserve">a value that accounts for the correlation between outcomes within studies, </w:t>
      </w:r>
      <w:r w:rsidR="00192EEC" w:rsidRPr="00C862ED">
        <w:t>did not change</w:t>
      </w:r>
      <w:r w:rsidRPr="00C862ED">
        <w:t xml:space="preserve"> the </w:t>
      </w:r>
      <w:r w:rsidR="00B36D17" w:rsidRPr="00C862ED">
        <w:t xml:space="preserve">previously stated </w:t>
      </w:r>
      <w:r w:rsidRPr="00C862ED">
        <w:t xml:space="preserve">estimation of effects. </w:t>
      </w:r>
    </w:p>
    <w:p w14:paraId="18C73175" w14:textId="0148F39C" w:rsidR="004A232B" w:rsidRPr="00C862ED" w:rsidRDefault="009D7E78" w:rsidP="00B264C0">
      <w:pPr>
        <w:ind w:firstLine="708"/>
      </w:pPr>
      <w:r w:rsidRPr="00C862ED">
        <w:t>Regarding</w:t>
      </w:r>
      <w:r w:rsidR="00B36D17" w:rsidRPr="00C862ED">
        <w:t xml:space="preserve"> the</w:t>
      </w:r>
      <w:r w:rsidRPr="00C862ED">
        <w:t xml:space="preserve"> risk of bias,</w:t>
      </w:r>
      <w:r w:rsidR="00C12F2B" w:rsidRPr="00C862ED">
        <w:t xml:space="preserve"> </w:t>
      </w:r>
      <w:r w:rsidR="004102EB">
        <w:t>ratings on</w:t>
      </w:r>
      <w:r w:rsidR="00C12F2B" w:rsidRPr="00C862ED">
        <w:t xml:space="preserve"> the </w:t>
      </w:r>
      <w:r w:rsidR="00F11178" w:rsidRPr="00C862ED">
        <w:t>Newcastle-Ottawa Scale (NOS)</w:t>
      </w:r>
      <w:r w:rsidR="00F11178">
        <w:t xml:space="preserve"> </w:t>
      </w:r>
      <w:r w:rsidR="00C12F2B" w:rsidRPr="00C862ED">
        <w:t>tended to be high (range 3 to 6, median 5, out of 7 possible stars as 2 items were deemed inadequate for our study).</w:t>
      </w:r>
      <w:r w:rsidRPr="00C862ED">
        <w:t xml:space="preserve"> </w:t>
      </w:r>
      <w:r w:rsidR="004102EB">
        <w:t xml:space="preserve">The items of </w:t>
      </w:r>
      <w:r w:rsidR="00C12F2B" w:rsidRPr="00C862ED">
        <w:t>the scale</w:t>
      </w:r>
      <w:r w:rsidR="004102EB">
        <w:t xml:space="preserve"> used in the present meta-analysis</w:t>
      </w:r>
      <w:r w:rsidR="00C12F2B" w:rsidRPr="00C862ED">
        <w:t xml:space="preserve">, </w:t>
      </w:r>
      <w:proofErr w:type="spellStart"/>
      <w:r w:rsidR="00C12F2B" w:rsidRPr="00C862ED">
        <w:t>subscores</w:t>
      </w:r>
      <w:proofErr w:type="spellEnd"/>
      <w:r w:rsidR="00C12F2B" w:rsidRPr="00C862ED">
        <w:t xml:space="preserve"> and total score for ea</w:t>
      </w:r>
      <w:r w:rsidR="005744C0">
        <w:t>ch study can be found in Table 4</w:t>
      </w:r>
      <w:r w:rsidR="00C12F2B" w:rsidRPr="00C862ED">
        <w:t>.</w:t>
      </w:r>
      <w:r w:rsidR="001C40AA">
        <w:t xml:space="preserve"> </w:t>
      </w:r>
      <w:r w:rsidR="00C12F2B" w:rsidRPr="00C862ED">
        <w:t xml:space="preserve">A </w:t>
      </w:r>
      <w:r w:rsidRPr="00C862ED">
        <w:t xml:space="preserve">meta-regression including the </w:t>
      </w:r>
      <w:r w:rsidR="00F11178" w:rsidRPr="00C862ED">
        <w:t>NOS</w:t>
      </w:r>
      <w:r w:rsidR="00F11178" w:rsidRPr="00C862ED" w:rsidDel="00F11178">
        <w:t xml:space="preserve"> </w:t>
      </w:r>
      <w:r w:rsidR="00E03B13" w:rsidRPr="00C862ED">
        <w:fldChar w:fldCharType="begin" w:fldLock="1"/>
      </w:r>
      <w:r w:rsidR="00487110" w:rsidRPr="00C862ED">
        <w:instrText>ADDIN CSL_CITATION { "citationItems" : [ { "id" : "ITEM-1", "itemData" : { "author" : [ { "dropping-particle" : "", "family" : "Wells", "given" : "GA", "non-dropping-particle" : "", "parse-names" : false, "suffix" : "" }, { "dropping-particle" : "", "family" : "Shea", "given" : "B", "non-dropping-particle" : "", "parse-names" : false, "suffix" : "" }, { "dropping-particle" : "", "family" : "O'Connell", "given" : "D", "non-dropping-particle" : "", "parse-names" : false, "suffix" : "" }, { "dropping-particle" : "", "family" : "Peterson", "given" : "J", "non-dropping-particle" : "", "parse-names" : false, "suffix" : "" }, { "dropping-particle" : "", "family" : "Welch", "given" : "V", "non-dropping-particle" : "", "parse-names" : false, "suffix" : "" }, { "dropping-particle" : "", "family" : "Losos", "given" : "M", "non-dropping-particle" : "", "parse-names" : false, "suffix" : "" }, { "dropping-particle" : "", "family" : "Tugwell", "given" : "P", "non-dropping-particle" : "", "parse-names" : false, "suffix" : "" } ], "id" : "ITEM-1", "issued" : { "date-parts" : [ [ "0" ] ] }, "publisher" : "Ottawa Hospital Research Institute", "publisher-place" : "Ontario", "title" : "The Newcastle-Ottawa Scale (NOS) for assessing the quality of non randomised studies in meta-analyses", "type" : "article" }, "uris" : [ "http://www.mendeley.com/documents/?uuid=72ef7ac0-b9ce-4347-9d31-bab481f31a77" ] } ], "mendeley" : { "formattedCitation" : "&lt;sup&gt;37&lt;/sup&gt;", "plainTextFormattedCitation" : "37", "previouslyFormattedCitation" : "&lt;sup&gt;37&lt;/sup&gt;" }, "properties" : {  }, "schema" : "https://github.com/citation-style-language/schema/raw/master/csl-citation.json" }</w:instrText>
      </w:r>
      <w:r w:rsidR="00E03B13" w:rsidRPr="00C862ED">
        <w:fldChar w:fldCharType="separate"/>
      </w:r>
      <w:r w:rsidR="00487110" w:rsidRPr="00C862ED">
        <w:rPr>
          <w:noProof/>
          <w:vertAlign w:val="superscript"/>
        </w:rPr>
        <w:t>37</w:t>
      </w:r>
      <w:r w:rsidR="00E03B13" w:rsidRPr="00C862ED">
        <w:fldChar w:fldCharType="end"/>
      </w:r>
      <w:r w:rsidRPr="00C862ED">
        <w:t xml:space="preserve"> scores as a regressor showed no signiﬁcant effects (Beta Coefficient-B- = -0.060, 95% CI = -1.087</w:t>
      </w:r>
      <w:r w:rsidR="00522D25" w:rsidRPr="00C862ED">
        <w:t xml:space="preserve"> to</w:t>
      </w:r>
      <w:r w:rsidRPr="00C862ED">
        <w:t xml:space="preserve"> 0.967, p=0.843). </w:t>
      </w:r>
    </w:p>
    <w:p w14:paraId="2CC11951" w14:textId="3C8E9B86" w:rsidR="002822FB" w:rsidRPr="00C862ED" w:rsidRDefault="009D7E78" w:rsidP="004A232B">
      <w:pPr>
        <w:spacing w:after="160"/>
        <w:ind w:firstLine="708"/>
        <w:contextualSpacing/>
      </w:pPr>
      <w:r w:rsidRPr="00C862ED">
        <w:t xml:space="preserve">Similarly, the </w:t>
      </w:r>
      <w:r w:rsidR="004A232B" w:rsidRPr="00C862ED">
        <w:t>sub-group</w:t>
      </w:r>
      <w:r w:rsidRPr="00C862ED">
        <w:t xml:space="preserve"> analyses carried out in order to assess the effect of age were not statistically significant</w:t>
      </w:r>
      <w:r w:rsidR="00A97E43" w:rsidRPr="00C862ED">
        <w:t>:</w:t>
      </w:r>
      <w:r w:rsidRPr="00C862ED">
        <w:t xml:space="preserve"> </w:t>
      </w:r>
      <w:r w:rsidR="00A97E43" w:rsidRPr="00C862ED">
        <w:t>r</w:t>
      </w:r>
      <w:r w:rsidRPr="00C862ED">
        <w:t>esults of the between-studies comparison of outcomes in children under ten years old against outcomes in which age was not specified were B=0.299, 95% CI= -0.404</w:t>
      </w:r>
      <w:r w:rsidR="00D07B29" w:rsidRPr="00C862ED">
        <w:t xml:space="preserve"> to</w:t>
      </w:r>
      <w:r w:rsidRPr="00C862ED">
        <w:t xml:space="preserve"> 1.000 p=0.279</w:t>
      </w:r>
      <w:r w:rsidR="00A97E43" w:rsidRPr="00C862ED">
        <w:t>;</w:t>
      </w:r>
      <w:r w:rsidRPr="00C862ED">
        <w:t xml:space="preserve"> </w:t>
      </w:r>
      <w:r w:rsidR="00A97E43" w:rsidRPr="00C862ED">
        <w:t>w</w:t>
      </w:r>
      <w:r w:rsidRPr="00C862ED">
        <w:t xml:space="preserve">hen outcomes </w:t>
      </w:r>
      <w:r w:rsidR="00D07B29" w:rsidRPr="00C862ED">
        <w:t xml:space="preserve">from participants with </w:t>
      </w:r>
      <w:r w:rsidR="00B758E8" w:rsidRPr="00C862ED">
        <w:t>un</w:t>
      </w:r>
      <w:r w:rsidR="00D07B29" w:rsidRPr="00C862ED">
        <w:t xml:space="preserve">specified age </w:t>
      </w:r>
      <w:r w:rsidRPr="00C862ED">
        <w:t>were compared to outcomes obtained from participants over 10 years, results were</w:t>
      </w:r>
      <w:r w:rsidR="00D07B29" w:rsidRPr="00C862ED">
        <w:t xml:space="preserve"> not significant</w:t>
      </w:r>
      <w:r w:rsidRPr="00C862ED">
        <w:t xml:space="preserve"> </w:t>
      </w:r>
      <w:r w:rsidR="00F11178">
        <w:t>(</w:t>
      </w:r>
      <w:r w:rsidRPr="00C862ED">
        <w:t>B=-0.417, 95% CI= -0.737</w:t>
      </w:r>
      <w:r w:rsidR="00D07B29" w:rsidRPr="00C862ED">
        <w:t xml:space="preserve"> to</w:t>
      </w:r>
      <w:r w:rsidRPr="00C862ED">
        <w:t xml:space="preserve"> 1.571 p=0.185</w:t>
      </w:r>
      <w:r w:rsidR="00F11178">
        <w:t>)</w:t>
      </w:r>
      <w:r w:rsidR="00A97E43" w:rsidRPr="00C862ED">
        <w:t>; f</w:t>
      </w:r>
      <w:r w:rsidRPr="00C862ED">
        <w:t>inally, when outcomes from individuals under and above 10 were compared</w:t>
      </w:r>
      <w:r w:rsidR="00960CC3" w:rsidRPr="00C862ED">
        <w:t>,</w:t>
      </w:r>
      <w:r w:rsidRPr="00C862ED">
        <w:t xml:space="preserve"> </w:t>
      </w:r>
      <w:r w:rsidR="00D07B29" w:rsidRPr="00C862ED">
        <w:t>results</w:t>
      </w:r>
      <w:r w:rsidR="00B758E8" w:rsidRPr="00C862ED">
        <w:t xml:space="preserve"> </w:t>
      </w:r>
      <w:r w:rsidRPr="00C862ED">
        <w:t xml:space="preserve">were </w:t>
      </w:r>
      <w:r w:rsidR="00D07B29" w:rsidRPr="00C862ED">
        <w:t xml:space="preserve">not significant </w:t>
      </w:r>
      <w:r w:rsidR="00F11178">
        <w:t>either (</w:t>
      </w:r>
      <w:r w:rsidRPr="00C862ED">
        <w:t>B=-0.042</w:t>
      </w:r>
      <w:r w:rsidR="004C6904" w:rsidRPr="00C862ED">
        <w:t>, 95% CI= -2.080</w:t>
      </w:r>
      <w:r w:rsidR="00D07B29" w:rsidRPr="00C862ED">
        <w:t xml:space="preserve"> to</w:t>
      </w:r>
      <w:r w:rsidR="004C6904" w:rsidRPr="00C862ED">
        <w:t xml:space="preserve"> 1.996 p=0.937</w:t>
      </w:r>
      <w:r w:rsidR="00F11178">
        <w:t>)</w:t>
      </w:r>
      <w:r w:rsidRPr="00C862ED">
        <w:t xml:space="preserve">. </w:t>
      </w:r>
    </w:p>
    <w:p w14:paraId="1E610736" w14:textId="78D3690B" w:rsidR="002401D1" w:rsidRDefault="009D7E78" w:rsidP="0092061F">
      <w:pPr>
        <w:spacing w:after="160"/>
        <w:ind w:firstLine="708"/>
        <w:contextualSpacing/>
      </w:pPr>
      <w:r w:rsidRPr="00C862ED">
        <w:t xml:space="preserve">An important question of our systematic review and meta-analysis was whether the </w:t>
      </w:r>
      <w:r w:rsidR="00831CE3">
        <w:t xml:space="preserve">relative </w:t>
      </w:r>
      <w:r w:rsidRPr="00C862ED">
        <w:t>risk of poisoning was statistically different from the</w:t>
      </w:r>
      <w:r w:rsidR="00831CE3">
        <w:t xml:space="preserve"> relative</w:t>
      </w:r>
      <w:r w:rsidRPr="00C862ED">
        <w:t xml:space="preserve"> risk of suffering </w:t>
      </w:r>
      <w:r w:rsidR="000A707C" w:rsidRPr="00C862ED">
        <w:t xml:space="preserve">physical </w:t>
      </w:r>
      <w:r w:rsidRPr="00C862ED">
        <w:t>injuries in general. In order to answer this question, we extracted effect sizes reporting the</w:t>
      </w:r>
      <w:r w:rsidR="00831CE3">
        <w:t xml:space="preserve"> relative</w:t>
      </w:r>
      <w:r w:rsidRPr="00C862ED">
        <w:t xml:space="preserve"> risk of unintentional injuries </w:t>
      </w:r>
      <w:r w:rsidR="00D07B29" w:rsidRPr="00C862ED">
        <w:t>from studies that reported both</w:t>
      </w:r>
      <w:r w:rsidRPr="00C862ED">
        <w:t>. Eight studies reported</w:t>
      </w:r>
      <w:r w:rsidR="00B36D17" w:rsidRPr="00C862ED">
        <w:t xml:space="preserve"> outcomes for</w:t>
      </w:r>
      <w:r w:rsidRPr="00C862ED">
        <w:t xml:space="preserve"> both poisoning and </w:t>
      </w:r>
      <w:r w:rsidR="00B36D17" w:rsidRPr="00C862ED">
        <w:t>physical</w:t>
      </w:r>
      <w:r w:rsidRPr="00C862ED">
        <w:t xml:space="preserve"> injuries</w:t>
      </w:r>
      <w:r w:rsidR="00D90D3F" w:rsidRPr="00C862ED">
        <w:t xml:space="preserve"> </w:t>
      </w:r>
      <w:r w:rsidR="00E618FF" w:rsidRPr="00C862ED">
        <w:t>and one study</w:t>
      </w:r>
      <w:r w:rsidR="00E618FF" w:rsidRPr="00C862ED">
        <w:fldChar w:fldCharType="begin" w:fldLock="1"/>
      </w:r>
      <w:r w:rsidR="00487110" w:rsidRPr="00C862ED">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"&lt;sup&gt;21&lt;/sup&gt;", "plainTextFormattedCitation" : "21", "previouslyFormattedCitation" : "&lt;sup&gt;21&lt;/sup&gt;" }, "properties" : {  }, "schema" : "https://github.com/citation-style-language/schema/raw/master/csl-citation.json" }</w:instrText>
      </w:r>
      <w:r w:rsidR="00E618FF" w:rsidRPr="00C862ED">
        <w:fldChar w:fldCharType="separate"/>
      </w:r>
      <w:r w:rsidR="003A1211" w:rsidRPr="00C862ED">
        <w:rPr>
          <w:noProof/>
          <w:vertAlign w:val="superscript"/>
        </w:rPr>
        <w:t>21</w:t>
      </w:r>
      <w:r w:rsidR="00E618FF" w:rsidRPr="00C862ED">
        <w:fldChar w:fldCharType="end"/>
      </w:r>
      <w:r w:rsidR="00E03B13" w:rsidRPr="00137592">
        <w:t xml:space="preserve"> reported only poisoning outcomes.</w:t>
      </w:r>
      <w:r w:rsidR="009B536D" w:rsidRPr="00C862ED">
        <w:t xml:space="preserve"> The</w:t>
      </w:r>
      <w:r w:rsidR="00B36D17" w:rsidRPr="00C862ED">
        <w:t xml:space="preserve"> outcomes </w:t>
      </w:r>
      <w:r w:rsidR="00D07B29" w:rsidRPr="00C862ED">
        <w:t xml:space="preserve">related to </w:t>
      </w:r>
      <w:r w:rsidR="00B36D17" w:rsidRPr="00C862ED">
        <w:t>p</w:t>
      </w:r>
      <w:r w:rsidR="000A707C" w:rsidRPr="00C862ED">
        <w:t xml:space="preserve">hysical </w:t>
      </w:r>
      <w:r w:rsidRPr="00C862ED">
        <w:t xml:space="preserve">injuries (10 in total) are summarized in Table S3 (see supplementary material). The pooled </w:t>
      </w:r>
      <w:r w:rsidR="0054320B" w:rsidRPr="00C862ED">
        <w:t xml:space="preserve">RR </w:t>
      </w:r>
      <w:r w:rsidRPr="00C862ED">
        <w:t xml:space="preserve">of </w:t>
      </w:r>
      <w:r w:rsidR="000A707C" w:rsidRPr="00C862ED">
        <w:t xml:space="preserve">physical </w:t>
      </w:r>
      <w:r w:rsidRPr="00C862ED">
        <w:t>injuries was 1.54 (95% CI = 1.33</w:t>
      </w:r>
      <w:r w:rsidR="00D07B29" w:rsidRPr="00C862ED">
        <w:t xml:space="preserve"> to</w:t>
      </w:r>
      <w:r w:rsidRPr="00C862ED">
        <w:t xml:space="preserve"> 1.78). Heterogeneity of studies was signiﬁcant (χ</w:t>
      </w:r>
      <w:r w:rsidRPr="00C862ED">
        <w:rPr>
          <w:vertAlign w:val="superscript"/>
        </w:rPr>
        <w:t>2</w:t>
      </w:r>
      <w:r w:rsidRPr="00C862ED">
        <w:t xml:space="preserve">=64.72, </w:t>
      </w:r>
      <w:proofErr w:type="spellStart"/>
      <w:proofErr w:type="gramStart"/>
      <w:r w:rsidRPr="00C862ED">
        <w:t>df</w:t>
      </w:r>
      <w:proofErr w:type="spellEnd"/>
      <w:r w:rsidRPr="00C862ED">
        <w:t>=</w:t>
      </w:r>
      <w:proofErr w:type="gramEnd"/>
      <w:r w:rsidRPr="00C862ED">
        <w:t>7, p&lt;0.001, I</w:t>
      </w:r>
      <w:r w:rsidRPr="00C862ED">
        <w:rPr>
          <w:vertAlign w:val="superscript"/>
        </w:rPr>
        <w:t>2</w:t>
      </w:r>
      <w:r w:rsidRPr="00C862ED">
        <w:t xml:space="preserve">=89.2%). Risk of small sample bias was not </w:t>
      </w:r>
      <w:r w:rsidRPr="00C862ED">
        <w:lastRenderedPageBreak/>
        <w:t xml:space="preserve">signiﬁcant (Egger t = -0.27, p =0.798; </w:t>
      </w:r>
      <w:proofErr w:type="spellStart"/>
      <w:r w:rsidRPr="00C862ED">
        <w:t>Begg</w:t>
      </w:r>
      <w:proofErr w:type="spellEnd"/>
      <w:r w:rsidRPr="00C862ED">
        <w:t xml:space="preserve"> Z = 0.37, p = 0.711). </w:t>
      </w:r>
      <w:r w:rsidR="00970463" w:rsidRPr="00C862ED">
        <w:t>The relative risk</w:t>
      </w:r>
      <w:r w:rsidRPr="00C862ED">
        <w:t xml:space="preserve"> </w:t>
      </w:r>
      <w:r w:rsidR="00970463" w:rsidRPr="00C862ED">
        <w:t xml:space="preserve">of physical injuries </w:t>
      </w:r>
      <w:r w:rsidRPr="00C862ED">
        <w:t>was significantly smaller than the one in the case of poisoning (B = 0.686, 95% CI = 0.166</w:t>
      </w:r>
      <w:r w:rsidR="00D07B29" w:rsidRPr="00C862ED">
        <w:t xml:space="preserve"> to</w:t>
      </w:r>
      <w:r w:rsidRPr="00C862ED">
        <w:t xml:space="preserve"> 1.206, p=0.021). A forest plot comparing the two combinations of outcomes</w:t>
      </w:r>
      <w:r w:rsidR="00D90D3F" w:rsidRPr="00C862ED">
        <w:t xml:space="preserve">, </w:t>
      </w:r>
      <w:r w:rsidR="00831CE3">
        <w:t>with</w:t>
      </w:r>
      <w:r w:rsidR="009B536D" w:rsidRPr="00C862ED">
        <w:t xml:space="preserve"> effect measures from</w:t>
      </w:r>
      <w:r w:rsidR="00D90D3F" w:rsidRPr="00C862ED">
        <w:t xml:space="preserve"> studies which reported both physical injuries and poisoning outcomes,</w:t>
      </w:r>
      <w:r w:rsidRPr="00C862ED">
        <w:t xml:space="preserve"> is shown in Figure 4. </w:t>
      </w:r>
    </w:p>
    <w:p w14:paraId="3CF4A36D" w14:textId="77777777" w:rsidR="0092061F" w:rsidRDefault="0092061F" w:rsidP="0092061F">
      <w:pPr>
        <w:spacing w:after="160"/>
        <w:ind w:firstLine="708"/>
        <w:contextualSpacing/>
      </w:pPr>
      <w:r>
        <w:t>The confidence intervals of the pooled estimates of physical injuries reported in the present meta-analysis (ES=1.54, 95% CI = 1.33 to 1.78, derived from the combination of studies that also reported estimates of poisoning), and those in our previous article (ES=1.53, 95% CI = 1.40 to 1.67, derived from any study reporting injuries), did not overlap with the confidence intervals for the overall effect of poisoning (ES = 3.14, 95% CI = 2.23 to 4.42).</w:t>
      </w:r>
      <w:r>
        <w:fldChar w:fldCharType="begin" w:fldLock="1"/>
      </w:r>
      <w:r>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"&lt;sup&gt;17&lt;/sup&gt;", "plainTextFormattedCitation" : "17", "previouslyFormattedCitation" : "&lt;sup&gt;17&lt;/sup&gt;" }, "properties" : {  }, "schema" : "https://github.com/citation-style-language/schema/raw/master/csl-citation.json" }</w:instrText>
      </w:r>
      <w:r>
        <w:fldChar w:fldCharType="separate"/>
      </w:r>
      <w:r>
        <w:rPr>
          <w:noProof/>
          <w:vertAlign w:val="superscript"/>
        </w:rPr>
        <w:t>17</w:t>
      </w:r>
      <w:r>
        <w:fldChar w:fldCharType="end"/>
      </w:r>
      <w:r>
        <w:t xml:space="preserve"> The same occurred when the analysis was limited to studies reporting hazard ratios, as the confidence intervals reported in our previous article for the pooled estimates of physical injuries (HR=1.39, 95% CI = 1.06 to 1.83) did not overlap with the confidence intervals for the overall effect of poisoning (HR=3.91, 95% CI = 3.41 to 4.40).</w:t>
      </w:r>
      <w:r>
        <w:fldChar w:fldCharType="begin" w:fldLock="1"/>
      </w:r>
      <w:r>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"&lt;sup&gt;17&lt;/sup&gt;", "plainTextFormattedCitation" : "17", "previouslyFormattedCitation" : "&lt;sup&gt;17&lt;/sup&gt;" }, "properties" : {  }, "schema" : "https://github.com/citation-style-language/schema/raw/master/csl-citation.json" }</w:instrText>
      </w:r>
      <w:r>
        <w:fldChar w:fldCharType="separate"/>
      </w:r>
      <w:r>
        <w:rPr>
          <w:noProof/>
          <w:vertAlign w:val="superscript"/>
        </w:rPr>
        <w:t>17</w:t>
      </w:r>
      <w:r>
        <w:fldChar w:fldCharType="end"/>
      </w:r>
      <w:r>
        <w:t xml:space="preserve"> This is further evidence to support that the relative risk of poisoning is significantly greater than the relative risk of suffering physical injuries in children and adolescents with ADHD. </w:t>
      </w:r>
    </w:p>
    <w:p w14:paraId="7C933B38" w14:textId="77777777" w:rsidR="0092061F" w:rsidRPr="0092061F" w:rsidRDefault="0092061F" w:rsidP="0092061F">
      <w:pPr>
        <w:spacing w:after="160"/>
        <w:ind w:firstLine="708"/>
        <w:contextualSpacing/>
        <w:rPr>
          <w:rStyle w:val="Textoennegrita"/>
          <w:b w:val="0"/>
          <w:bCs w:val="0"/>
        </w:rPr>
      </w:pPr>
    </w:p>
    <w:p w14:paraId="0B5E52CD" w14:textId="77777777" w:rsidR="009D7E78" w:rsidRPr="00C862ED" w:rsidRDefault="009D7E78" w:rsidP="0016129C">
      <w:pPr>
        <w:spacing w:after="160"/>
        <w:contextualSpacing/>
        <w:rPr>
          <w:bCs/>
        </w:rPr>
      </w:pPr>
      <w:r w:rsidRPr="00C862ED">
        <w:rPr>
          <w:rStyle w:val="Textoennegrita"/>
          <w:sz w:val="28"/>
          <w:szCs w:val="28"/>
        </w:rPr>
        <w:t>Discussion</w:t>
      </w:r>
    </w:p>
    <w:p w14:paraId="48573C0E" w14:textId="2407B4C2" w:rsidR="003D1354" w:rsidRPr="00C862ED" w:rsidRDefault="009D7E78" w:rsidP="007E1CE3">
      <w:pPr>
        <w:spacing w:after="160"/>
        <w:ind w:firstLine="708"/>
        <w:contextualSpacing/>
      </w:pPr>
      <w:r w:rsidRPr="00C862ED">
        <w:t>Poisoning is an important cause of morbidity among children and adolescents worldwide. Children with ADHD may represent a particular</w:t>
      </w:r>
      <w:r w:rsidR="00F453FF" w:rsidRPr="00C862ED">
        <w:t xml:space="preserve">ly vulnerable group, but so far, </w:t>
      </w:r>
      <w:r w:rsidRPr="00C862ED">
        <w:t xml:space="preserve">no pooled estimates of this risk were available. The present meta-analysis has concluded that there is a significantly higher risk of poisoning in children and adolescents with ADHD compared with their non-ADHD peers, with an estimated </w:t>
      </w:r>
      <w:r w:rsidR="0054320B" w:rsidRPr="00C862ED">
        <w:t>relative risk</w:t>
      </w:r>
      <w:r w:rsidRPr="00C862ED">
        <w:t xml:space="preserve"> of 3.14</w:t>
      </w:r>
      <w:r w:rsidR="00F453FF" w:rsidRPr="00C862ED">
        <w:t xml:space="preserve"> (95% CI = 2.23 to 4.42)</w:t>
      </w:r>
      <w:r w:rsidRPr="00C862ED">
        <w:t xml:space="preserve">. Taking into account the prevalence of </w:t>
      </w:r>
      <w:r w:rsidRPr="00C862ED">
        <w:lastRenderedPageBreak/>
        <w:t xml:space="preserve">ADHD, the disorder could be a major factor contributing to the overall number of </w:t>
      </w:r>
      <w:r w:rsidR="00C862ED" w:rsidRPr="00C862ED">
        <w:t>pediatric</w:t>
      </w:r>
      <w:r w:rsidRPr="00C862ED">
        <w:t xml:space="preserve"> poisonings. Results derive from the combination of </w:t>
      </w:r>
      <w:r w:rsidR="002D749E" w:rsidRPr="00C862ED">
        <w:t xml:space="preserve">nine </w:t>
      </w:r>
      <w:r w:rsidRPr="00C862ED">
        <w:t>large population-based studies with a combined sample close to 1.4 million children and adolescents from the general population and 85k individuals with ADHD. The confidence interval of the estimate is quite narrow (95% CI = 2.23</w:t>
      </w:r>
      <w:r w:rsidR="000E703E" w:rsidRPr="00C862ED">
        <w:t xml:space="preserve"> to </w:t>
      </w:r>
      <w:r w:rsidRPr="00C862ED">
        <w:t xml:space="preserve">4.42) </w:t>
      </w:r>
      <w:r w:rsidR="00F453FF" w:rsidRPr="00C862ED">
        <w:t>because</w:t>
      </w:r>
      <w:r w:rsidRPr="00C862ED">
        <w:t xml:space="preserve"> of the large sample size. </w:t>
      </w:r>
    </w:p>
    <w:p w14:paraId="55A7C957" w14:textId="77912D80" w:rsidR="00616F04" w:rsidRPr="00C862ED" w:rsidRDefault="009D7E78" w:rsidP="00B264C0">
      <w:pPr>
        <w:spacing w:after="160"/>
        <w:ind w:firstLine="708"/>
        <w:contextualSpacing/>
      </w:pPr>
      <w:r w:rsidRPr="00C862ED">
        <w:t xml:space="preserve">This increased risk is consistent with previous </w:t>
      </w:r>
      <w:r w:rsidR="00F453FF" w:rsidRPr="00C862ED">
        <w:t>research,</w:t>
      </w:r>
      <w:r w:rsidRPr="00C862ED">
        <w:t xml:space="preserve"> show</w:t>
      </w:r>
      <w:r w:rsidR="008D6083" w:rsidRPr="00C862ED">
        <w:t>ing</w:t>
      </w:r>
      <w:r w:rsidRPr="00C862ED">
        <w:t xml:space="preserve"> a </w:t>
      </w:r>
      <w:r w:rsidR="008D6083" w:rsidRPr="00C862ED">
        <w:t xml:space="preserve">significantly </w:t>
      </w:r>
      <w:r w:rsidRPr="00C862ED">
        <w:t xml:space="preserve">higher risk of </w:t>
      </w:r>
      <w:r w:rsidR="000A707C" w:rsidRPr="00C862ED">
        <w:t xml:space="preserve">physical </w:t>
      </w:r>
      <w:r w:rsidRPr="00C862ED">
        <w:t>injuries in individuals</w:t>
      </w:r>
      <w:r w:rsidR="000E703E" w:rsidRPr="00C862ED">
        <w:t xml:space="preserve"> with ADHD</w:t>
      </w:r>
      <w:r w:rsidR="00E03B13" w:rsidRPr="00C862ED">
        <w:fldChar w:fldCharType="begin" w:fldLock="1"/>
      </w:r>
      <w:r w:rsidR="00487110" w:rsidRPr="00C862ED">
        <w:instrText>ADDIN CSL_CITATION { "citationItems" : [ { "id" : "ITEM-1", "itemData" : { "DOI" : "10.1016/j.jpedsurg.2014.10.052", "ISSN" : "15315037", "PMID" : "25840059", "abstract" : "Background/aim Children with attention-deficit/hyperactivity disorder (AD/HD) have risk taking behavior and are more prone to sustaining injury. It is aimed to evaluate the cognitive and behavioral characteristics of children with caustic ingestion. Patients and methods Ninety two children with a history of nonsuicidal caustic ingestion (CI, n = 46) and healthy subjects (HS, n = 46) admitted to pediatric surgery department were enrolled into the study. Patients in groups were evaluated for age, sex, number of siblings and educational status of the parents. Before filling the questionnaires, the children were undergone flexible endoscopy and treated accordingly. Conners Parents Rating Scale-revised long form (CPRS-R:L), validated for Turkish Children, was used to evaluate the cognitive and behavioral characteristics of children. Parents rate their child's behavior with a four-point Likert scale. Subscales of CPRS-R:L including cognitive problems/inattention (CG/I), hyperactivity (H), attention deficit hyperactivity disorder index (AD/HD-I), Conners' Global Index-discomfort-impulsivity (CGI-DI), DSM-IV-symptom subscale-inattention (DSMIV, SS-I), DSM-IV-symptom subscale-hyperactivity-impulsivity (DSM-IV, SS-HI), DSMIV-symptom subscale-total score (DSM-IV SS-T) were used to determine the severity of the AD/HD symptom. Demographic features and cognitive/behavioral characteristics of children with caustic ingestion were compared with healthy subjects. Results The median age of the patients was 4 (2-14 years) in both CI and HS groups. Female male ratio was 13:33 in CI and 12:34 in HS. Sixty seven percent of patients were preschool children (younger than 5 years of age) in both CI and HS groups. There was no difference between groups for number of siblings (p &gt; 0.05). Parents of HS group had higher educational status than parents in CI (p &lt; 0.05). When subscale scores of CPRS-R:L compared between CI and HS groups, CI group had higher CGI-DI scores than HS (p &lt; 0.05). Children younger than five years of age had higher scores of H, emotional instability and total CG/I in CI than HS group (p &lt; 0.05). Conclusion Children with caustic ingestion had impulsiveness behavior when compared to healthy children. In addition to impulsivity, hyperactivity can be also assessed as a risk factor for caustic ingestion in children younger than 5 years of age. We suggest that association between AD/HD behavior and risk of sustaining injuries was also confirmed for caustic ingestio\u2026", "author" : [ { "dropping-particle" : "", "family" : "\u00c7akmak", "given" : "Murat", "non-dropping-particle" : "", "parse-names" : false, "suffix" : "" }, { "dropping-particle" : "", "family" : "G\u00f6ll\u00fc", "given" : "G\u00fclnur", "non-dropping-particle" : "", "parse-names" : false, "suffix" : "" }, { "dropping-particle" : "", "family" : "Boybeyi", "given" : "\u00d6zlem", "non-dropping-particle" : "", "parse-names" : false, "suffix" : "" }, { "dropping-particle" : "", "family" : "K\u00fc\u00e7\u00fck", "given" : "G\u00f6n\u00fcl", "non-dropping-particle" : "", "parse-names" : false, "suffix" : "" }, { "dropping-particle" : "", "family" : "Sert\u00e7elik", "given" : "Mehmet", "non-dropping-particle" : "", "parse-names" : false, "suffix" : "" }, { "dropping-particle" : "", "family" : "G\u00fcnal", "given" : "Yasemin Dere", "non-dropping-particle" : "", "parse-names" : false, "suffix" : "" }, { "dropping-particle" : "", "family" : "Aslan", "given" : "Mustafa K.", "non-dropping-particle" : "", "parse-names" : false, "suffix" : "" }, { "dropping-particle" : "", "family" : "Soyer", "given" : "Tutku", "non-dropping-particle" : "", "parse-names" : false, "suffix" : "" }, { "dropping-particle" : "", "family" : "Ko\u00e7ak", "given" : "Orhan M.", "non-dropping-particle" : "", "parse-names" : false, "suffix" : "" }, { "dropping-particle" : "", "family" : "\u00c7akmak", "given" : "Ayt\u00fcl", "non-dropping-particle" : "", "parse-names" : false, "suffix" : "" }, { "dropping-particle" : "", "family" : "\u00c7etin", "given" : "\u015eirin", "non-dropping-particle" : "", "parse-names" : false, "suffix" : "" }, { "dropping-particle" : "", "family" : "Bing\u00f6l-Kolo\u0287lu", "given" : "Meltem", "non-dropping-particle" : "", "parse-names" : false, "suffix" : "" }, { "dropping-particle" : "", "family" : "Ya\u0287murlu", "given" : "Aydin", "non-dropping-particle" : "", "parse-names" : false, "suffix" : "" }, { "dropping-particle" : "", "family" : "Dindar", "given" : "H\u00fcseyin", "non-dropping-particle" : "", "parse-names" : false, "suffix" : "" }, { "dropping-particle" : "", "family" : "Kili\u00e7", "given" : "Birim G\u00fcnay", "non-dropping-particle" : "", "parse-names" : false, "suffix" : "" } ], "container-title" : "Journal of Pediatric Surgery", "id" : "ITEM-1", "issue" : "4", "issued" : { "date-parts" : [ [ "2015", "4" ] ] }, "language" : "eng", "note" : "\n\nGonzalo01.\n\nBusqueda_pubmed.\nMaite02.\n\n\nIngesta ca\u00fasticos,yo lo quitaria.\n\nDecidimos que no entraban los de ingestion de causticos.\n\nFrom Duplicate 4 (Cognitive and behavioral characteristics of children with caustic ingestion. - Cakmak, Murat; Gollu, Gulnur; Boybeyi, Ozlem; Kucuk, Gonul; Sertcelik, Mehmet; Gunal, Yasemin Dere; Aslan, Mustafa K; Soyer, Tutku; Kocak, Orhan M; Cakmak, Aytul; Cetin, Sirin; Bingol-Kologlu, Meltem; Yagmurlu, Aydin; Dindar, Huseyin; Kilic, Birim Gunay)\n", "page" : "540-542", "publisher" : "W.B. Saunders", "publisher-place" : "United States", "title" : "Cognitive and behavioral characteristics of children with caustic ingestion", "type" : "article-journal", "volume" : "50" }, "uris" : [ "http://www.mendeley.com/documents/?uuid=84a4c1a4-9ea2-4baf-b83d-de3a3045185e" ] } ], "mendeley" : { "formattedCitation" : "&lt;sup&gt;38&lt;/sup&gt;", "plainTextFormattedCitation" : "38", "previouslyFormattedCitation" : "&lt;sup&gt;38&lt;/sup&gt;" }, "properties" : {  }, "schema" : "https://github.com/citation-style-language/schema/raw/master/csl-citation.json" }</w:instrText>
      </w:r>
      <w:r w:rsidR="00E03B13" w:rsidRPr="00C862ED">
        <w:fldChar w:fldCharType="separate"/>
      </w:r>
      <w:r w:rsidR="00487110" w:rsidRPr="00C862ED">
        <w:rPr>
          <w:noProof/>
          <w:vertAlign w:val="superscript"/>
        </w:rPr>
        <w:t>38</w:t>
      </w:r>
      <w:r w:rsidR="00E03B13" w:rsidRPr="00C862ED">
        <w:fldChar w:fldCharType="end"/>
      </w:r>
      <w:r w:rsidRPr="00C862ED">
        <w:t xml:space="preserve">. Specific features of the disorder such as impulsivity and inattention are likely a major risk factor for poisoning. Our work provides solid meta-analytic evidence further </w:t>
      </w:r>
      <w:r w:rsidR="008D6083" w:rsidRPr="00C862ED">
        <w:t>highlighting</w:t>
      </w:r>
      <w:r w:rsidR="001728D8" w:rsidRPr="00C862ED">
        <w:t xml:space="preserve"> </w:t>
      </w:r>
      <w:r w:rsidRPr="00C862ED">
        <w:t xml:space="preserve">that ADHD is a disorder with consequences that are not limited to the </w:t>
      </w:r>
      <w:r w:rsidR="00C862ED" w:rsidRPr="00C862ED">
        <w:t>behavioral</w:t>
      </w:r>
      <w:r w:rsidRPr="00C862ED">
        <w:t xml:space="preserve"> or educational domain</w:t>
      </w:r>
      <w:r w:rsidR="008D6083" w:rsidRPr="00C862ED">
        <w:t>s</w:t>
      </w:r>
      <w:r w:rsidRPr="00C862ED">
        <w:t xml:space="preserve">. It has an impact </w:t>
      </w:r>
      <w:r w:rsidR="008D6083" w:rsidRPr="00C862ED">
        <w:t>o</w:t>
      </w:r>
      <w:r w:rsidRPr="00C862ED">
        <w:t>n different health aspects</w:t>
      </w:r>
      <w:r w:rsidR="00E03B13" w:rsidRPr="00C862ED">
        <w:fldChar w:fldCharType="begin" w:fldLock="1"/>
      </w:r>
      <w:r w:rsidR="00487110" w:rsidRPr="00C862ED">
        <w:instrText>ADDIN CSL_CITATION { "citationItems" : [ { "id" : "ITEM-1", "itemData" : { "DOI" : "10.1007/s00420-012-0794-0", "ISSN" : "1432-1246 (Electronic)", "PMID" : "22752312", "abstract" : "PURPOSE: To review the negative effects of attention-deficit/hyperactivity disorder (ADHD) in adolescence and adulthood on work productivity and occupational health. METHODS: A review of the MEDLINE database was carried out to identify direct and indirect effects of ADHD on work, employment and occupational health. RESULTS: ADHD is associated with higher levels of unemployment versus controls. Adults with ADHD who are employed experience workplace impairment and reduced productivity, as well as behavioural issues such as irritability and low frustration tolerance. Adults with ADHD are also at increased risk of accidents, trauma and workplace injuries, particularly traffic accidents. Indirect effects of ADHD on occupational health include reduced educational achievement and increased rates of substance abuse and criminality. Overall, ADHD in adults has a substantial economic impact as a result of absenteeism and lost productivity. Psychoeducation, combined with stimulant medications if necessary, is recommended as first-line treatment for adults with ADHD. Limited data available suggest that stimulant treatment can improve work productivity and efficacy, and reduce the risks associated with driving, although further studies are necessary. CONCLUSIONS: ADHD can affect the ability to gain and maintain employment and to work safely and productively. As ADHD is a treatable condition, patients, employers and physicians have a role to play in ensuring optimal occupational health.", "author" : [ { "dropping-particle" : "", "family" : "Kupper", "given" : "Thomas", "non-dropping-particle" : "", "parse-names" : false, "suffix" : "" }, { "dropping-particle" : "", "family" : "Haavik", "given" : "Jan", "non-dropping-particle" : "", "parse-names" : false, "suffix" : "" }, { "dropping-particle" : "", "family" : "Drexler", "given" : "Hans", "non-dropping-particle" : "", "parse-names" : false, "suffix" : "" }, { "dropping-particle" : "", "family" : "Ramos-Quiroga", "given" : "Josep Antoni", "non-dropping-particle" : "", "parse-names" : false, "suffix" : "" }, { "dropping-particle" : "", "family" : "Wermelskirchen", "given" : "Detlef", "non-dropping-particle" : "", "parse-names" : false, "suffix" : "" }, { "dropping-particle" : "", "family" : "Prutz", "given" : "Christin", "non-dropping-particle" : "", "parse-names" : false, "suffix" : "" }, { "dropping-particle" : "", "family" : "Schauble", "given" : "Barbara", "non-dropping-particle" : "", "parse-names" : false, "suffix" : "" } ], "container-title" : "International archives of occupational and environmental health", "id" : "ITEM-1", "issue" : "8", "issued" : { "date-parts" : [ [ "2012", "11" ] ] }, "language" : "eng", "note" : "From Duplicate 1 (The negative impact of attention-deficit/hyperactivity disorder on occupational health in adults and adolescents. - Kupper, Thomas; Haavik, Jan; Drexler, Hans; Ramos-Quiroga, Josep Antoni; Wermelskirchen, Detlef; Prutz, Christin; Schauble, Barbara)\n\nBusqueda_pubmed.\nGonzalo03. Revision de medicina de trabajo.\n\nFrom Duplicate 2 (The negative impact of attention-deficit/hyperactivity disorder on occupational health in adults and adolescents. - Kupper, Thomas; Haavik, Jan; Drexler, Hans; Ramos-Quiroga, Josep Antoni; Wermelskirchen, Detlef; Prutz, Christin; Schauble, Barbara)\n\nBusqueda_pubmed.", "page" : "837-847", "publisher-place" : "Germany", "title" : "The negative impact of attention-deficit/hyperactivity disorder on occupational health in adults and adolescents.", "type" : "article-journal", "volume" : "85" }, "uris" : [ "http://www.mendeley.com/documents/?uuid=daba5c8a-050d-4135-a130-c97abbabfc9c" ] } ], "mendeley" : { "formattedCitation" : "&lt;sup&gt;39&lt;/sup&gt;", "plainTextFormattedCitation" : "39", "previouslyFormattedCitation" : "&lt;sup&gt;39&lt;/sup&gt;" }, "properties" : {  }, "schema" : "https://github.com/citation-style-language/schema/raw/master/csl-citation.json" }</w:instrText>
      </w:r>
      <w:r w:rsidR="00E03B13" w:rsidRPr="00C862ED">
        <w:fldChar w:fldCharType="separate"/>
      </w:r>
      <w:r w:rsidR="00487110" w:rsidRPr="00C862ED">
        <w:rPr>
          <w:noProof/>
          <w:vertAlign w:val="superscript"/>
        </w:rPr>
        <w:t>39</w:t>
      </w:r>
      <w:r w:rsidR="00E03B13" w:rsidRPr="00C862ED">
        <w:fldChar w:fldCharType="end"/>
      </w:r>
      <w:r w:rsidRPr="00C862ED">
        <w:t xml:space="preserve"> and hence, lead</w:t>
      </w:r>
      <w:r w:rsidR="007E1CE3">
        <w:t>s</w:t>
      </w:r>
      <w:r w:rsidRPr="00C862ED">
        <w:t xml:space="preserve"> to a reduction in the overall quality of life of the </w:t>
      </w:r>
      <w:r w:rsidR="008D6083" w:rsidRPr="00C862ED">
        <w:t>patients</w:t>
      </w:r>
      <w:r w:rsidRPr="00C862ED">
        <w:t xml:space="preserve"> and their families</w:t>
      </w:r>
      <w:r w:rsidR="00E03B13" w:rsidRPr="00C862ED">
        <w:fldChar w:fldCharType="begin" w:fldLock="1"/>
      </w:r>
      <w:r w:rsidR="00487110" w:rsidRPr="00C862ED">
        <w:instrText>ADDIN CSL_CITATION { "citationItems" : [ { "id" : "ITEM-1", "itemData" : { "DOI" : "10.1007/s00787-017-0986-y", "ISSN" : "1435-165X", "PMID" : "28429134", "abstract" : "Children, adolescents and adults with attention-deficit/hyperactivity disorder (ADHD) experience functional impairment and poor health-related quality of life (HRQoL) in addition to symptoms of inattention/hyperactivity-impulsivity. To synthesize qualitatively the published evidence from randomized, double-blind, placebo-controlled trials of the effectiveness of pharmacotherapy on functional impairment or HRQoL in patients with ADHD, a systematic PubMed searching and screening strategy was designed to identify journal articles meeting pre-specified criteria. Post hoc analyses and meta-analyses were excluded. HRQoL outcomes, functional outcomes and the principal ADHD symptom-based outcome were extracted from included studies. An effect size of 0.5 versus placebo was used as a threshold for potential clinical relevance (unreported effect sizes were calculated when possible). Of 291 records screened, 35 articles describing 34 studies were included. HRQoL/functioning was usually self-rated in adults and proxy-rated in children/adolescents. Baseline data indicated substantial HRQoL deficits in children/adolescents. Placebo-adjusted effects of medication on ADHD symptoms, HRQoL and functioning, respectively, were statistically or nominally significant in 18/18, 10/12 and 7/9 studies in children/adolescents and 14/16, 9/11 and 9/10 studies in adults. Effect sizes were \u22650.5 versus placebo for symptoms, HRQoL and functioning, respectively, in 14/16, 7/9 and 4/8 studies in children/adolescents; and 6/12, 1/6 and 1/8 studies in adults. Effect sizes were typically larger for stimulants than for non-stimulants, for symptoms than for HRQoL/functioning, and for children/adolescents than for adults. The efficacy of ADHD medication extends beyond symptom control and may help reduce the related but distinct functional impairments and HRQoL deficits in patients with ADHD.", "author" : [ { "dropping-particle" : "", "family" : "Coghill", "given" : "David R", "non-dropping-particle" : "", "parse-names" : false, "suffix" : "" }, { "dropping-particle" : "", "family" : "Banaschewski", "given" : "Tobias", "non-dropping-particle" : "", "parse-names" : false, "suffix" : "" }, { "dropping-particle" : "", "family" : "Soutullo", "given" : "C\u00e9sar", "non-dropping-particle" : "", "parse-names" : false, "suffix" : "" }, { "dropping-particle" : "", "family" : "Cottingham", "given" : "Matthew G", "non-dropping-particle" : "", "parse-names" : false, "suffix" : "" }, { "dropping-particle" : "", "family" : "Zuddas", "given" : "Alessandro", "non-dropping-particle" : "", "parse-names" : false, "suffix" : "" } ], "container-title" : "European child &amp; adolescent psychiatry", "id" : "ITEM-1", "issued" : { "date-parts" : [ [ "2017", "4", "20" ] ] }, "title" : "Systematic review of quality of life and functional outcomes in randomized placebo-controlled studies of medications for attention-deficit/hyperactivity disorder.", "type" : "article-journal" }, "uris" : [ "http://www.mendeley.com/documents/?uuid=4ecc7d2a-2684-42d6-a830-706aad515649" ] } ], "mendeley" : { "formattedCitation" : "&lt;sup&gt;40&lt;/sup&gt;", "plainTextFormattedCitation" : "40", "previouslyFormattedCitation" : "&lt;sup&gt;40&lt;/sup&gt;" }, "properties" : {  }, "schema" : "https://github.com/citation-style-language/schema/raw/master/csl-citation.json" }</w:instrText>
      </w:r>
      <w:r w:rsidR="00E03B13" w:rsidRPr="00C862ED">
        <w:fldChar w:fldCharType="separate"/>
      </w:r>
      <w:r w:rsidR="00487110" w:rsidRPr="00C862ED">
        <w:rPr>
          <w:noProof/>
          <w:vertAlign w:val="superscript"/>
        </w:rPr>
        <w:t>40</w:t>
      </w:r>
      <w:r w:rsidR="00E03B13" w:rsidRPr="00C862ED">
        <w:fldChar w:fldCharType="end"/>
      </w:r>
      <w:r w:rsidRPr="00C862ED">
        <w:t xml:space="preserve">. </w:t>
      </w:r>
    </w:p>
    <w:p w14:paraId="3411B7EB" w14:textId="77777777" w:rsidR="0092061F" w:rsidRDefault="0092061F" w:rsidP="0092061F">
      <w:pPr>
        <w:spacing w:after="160"/>
        <w:ind w:firstLine="708"/>
        <w:contextualSpacing/>
      </w:pPr>
      <w:r>
        <w:t xml:space="preserve">Results were generally robust to different sensitivity analyses. Furthermore, there was no statistical indication of small-sample bias, including publication bias. However, these analyses were limited by the final number of outcomes and studies in our meta-analysis, so that our results could partly reflect a lack of statistical power. A possible qualitative interpretation of the funnel plot related to our analyses is that studies with greater standard errors (typically smaller studies) were more likely published if they showed an increased risk of poisoning in children/adolescents with ADHD. If real, hidden reporting bias could be leading to an overestimation of the overall effect. However, a line of evidence makes this overestimation unlikely. In most published studies, relative risk of poisoning was only a secondary outcome among several other subgroups of injuries, whereas the central finding of these studies was an overall increased risk of injuries. In such case, publication bias due to results of only one of many secondary outcomes is unlikely. Moreover, within study comparisons are </w:t>
      </w:r>
      <w:r>
        <w:lastRenderedPageBreak/>
        <w:t xml:space="preserve">robust to publication biases. If there was an overall publication bias towards a higher risk of injuries in ADHD (and not only of poisoning), our within-study analytic strategy demonstrating that the relative risk of poisoning is greater than the relative risk  of physical injuries in general would not be affected. </w:t>
      </w:r>
    </w:p>
    <w:p w14:paraId="26C97AAE" w14:textId="0439D459" w:rsidR="0092061F" w:rsidRDefault="0092061F" w:rsidP="0092061F">
      <w:pPr>
        <w:spacing w:after="160"/>
        <w:ind w:firstLine="708"/>
        <w:contextualSpacing/>
      </w:pPr>
      <w:r>
        <w:t>As already mentioned, whereas the pooled sample in our meta-analysis was very big, the number of studies was limited. This can be explained by the fact that poisoning cases are a rare event and, therefore, very large databases are typically needed to be able to carry out epidemiological studies on this outcome. These large epidemiological studies are difficult to conduct: on the one hand, prospective cohorts are expensive and limited; on the other hand, administrative databases (that is, databases for which the main aim and design was not initially research)</w:t>
      </w:r>
      <w:r>
        <w:fldChar w:fldCharType="begin" w:fldLock="1"/>
      </w:r>
      <w:r>
        <w:instrText>ADDIN CSL_CITATION { "citationItems" : [ { "id" : "ITEM-1", "itemData" : { "DOI" : "10.1016/j.vaccine.2013.06.048", "ISSN" : "1873-2518", "PMID" : "24331070", "abstract" : "This report provides an overview of methods used to conduct systematic reviews for the US Food and Drug Administration (FDA) Mini-Sentinel project, which is designed to inform the development of safety monitoring tools for FDA-regulated products including vaccines. The objective of these reviews was to summarize the literature describing algorithms (e.g., diagnosis or procedure codes) to identify health outcomes in administrative and claims data. A particular focus was the validity of the algorithms when compared to reference standards such as diagnoses in medical records. The overarching goal was to identify algorithms that can accurately identify the health outcomes for safety surveillance. We searched the MEDLINE database via PubMed and required dual review of full text articles and of data extracted from studies. We also extracted data on each study's methods for case validation. We reviewed over 5600 abstracts/full text studies across 15 health outcomes of interest. Nearly 260 studies met our initial criteria (conducted in the US or Canada, used an administrative database, reported case-finding algorithm). Few studies (N=45), however, reported validation of case-finding algorithms (sensitivity, specificity, positive or negative predictive value). Among these, the most common approach to validation was to calculate positive predictive values, based on a review of medical records as the reference standard. Of the studies reporting validation, the ease with which a given clinical condition could be identified in administrative records varied substantially, both by the clinical condition and by other factors such as the clinical setting, which relates to the disease prevalence.", "author" : [ { "dropping-particle" : "", "family" : "McPheeters", "given" : "Melissa L", "non-dropping-particle" : "", "parse-names" : false, "suffix" : "" }, { "dropping-particle" : "", "family" : "Sathe", "given" : "Nila A", "non-dropping-particle" : "", "parse-names" : false, "suffix" : "" }, { "dropping-particle" : "", "family" : "Jerome", "given" : "Rebecca N", "non-dropping-particle" : "", "parse-names" : false, "suffix" : "" }, { "dropping-particle" : "", "family" : "Carnahan", "given" : "Ryan M", "non-dropping-particle" : "", "parse-names" : false, "suffix" : "" } ], "container-title" : "Vaccine", "id" : "ITEM-1", "issued" : { "date-parts" : [ [ "2013", "12", "30" ] ] }, "page" : "K2-6", "title" : "Methods for systematic reviews of administrative database studies capturing health outcomes of interest.", "type" : "article-journal", "volume" : "31 Suppl 1" }, "uris" : [ "http://www.mendeley.com/documents/?uuid=160180e3-0c08-410d-a09b-29afff326318" ] } ], "mendeley" : { "formattedCitation" : "&lt;sup&gt;34&lt;/sup&gt;", "plainTextFormattedCitation" : "34", "previouslyFormattedCitation" : "&lt;sup&gt;34&lt;/sup&gt;" }, "properties" : {  }, "schema" : "https://github.com/citation-style-language/schema/raw/master/csl-citation.json" }</w:instrText>
      </w:r>
      <w:r>
        <w:fldChar w:fldCharType="separate"/>
      </w:r>
      <w:r>
        <w:rPr>
          <w:noProof/>
          <w:vertAlign w:val="superscript"/>
        </w:rPr>
        <w:t>34</w:t>
      </w:r>
      <w:r>
        <w:fldChar w:fldCharType="end"/>
      </w:r>
      <w:r>
        <w:t xml:space="preserve"> are also limited in number and in many cases will not include measures of interest for the specific research question. Both issues, number of studies and measures reported in them, limited our analyses. We were not able to carry out possibly informative regression analyses, such as evaluating a relationship between the risk of poisoning and ADHD symptoms, or controlling for comorbidity. Similarly, the statistical power of our regression analyses was also very low. Indeed, as it is always the case in frequentist statistics, a lack of significance only indicates that there is not enough evidence for an effect, which does not necessary involve  that there is not such an effect. Given that our statistical power was limited due to the characteristics of existing </w:t>
      </w:r>
      <w:proofErr w:type="gramStart"/>
      <w:r>
        <w:t>research,</w:t>
      </w:r>
      <w:proofErr w:type="gramEnd"/>
      <w:r>
        <w:t xml:space="preserve"> our results leave an open door for future studies evaluating such effects. </w:t>
      </w:r>
    </w:p>
    <w:p w14:paraId="35BA92DC" w14:textId="11024683" w:rsidR="00616F04" w:rsidRPr="00C862ED" w:rsidRDefault="0092061F" w:rsidP="00137592">
      <w:pPr>
        <w:spacing w:after="160"/>
        <w:contextualSpacing/>
      </w:pPr>
      <w:r>
        <w:t xml:space="preserve">It is also noteworthy that despite our strict inclusion criteria, heterogeneity among studies was significant. Heterogeneity was dealt through the use of random-effects models that assume that the true effect size might differ from study to study, and that studies included in the analysis are a random sample of all possible studies that meet the </w:t>
      </w:r>
      <w:r>
        <w:lastRenderedPageBreak/>
        <w:t>inclusion criteria. Additionally, we investigated the origins of heterogeneity through meta-regression. The most influential factor driving heterogeneity was the type of outcome measure (Hazard or odds ratios), which influenced not only the pooled effect size (RR=3.91, 95% CI = 3.41 to 4.5 for HR; RR=2.59, 95% CI= 1.81 to 3.71 for OR) but also the I</w:t>
      </w:r>
      <w:r>
        <w:rPr>
          <w:vertAlign w:val="superscript"/>
        </w:rPr>
        <w:t>2</w:t>
      </w:r>
      <w:r>
        <w:t xml:space="preserve"> statistic (64.4% when only OR were included and 0% when only HR were included). However, this difference between results cannot be explained by the different outcome measure per se but from other study characteristics that co-occur with the selection of the outcome measure. Taking into account the fact that studies reporting HR tended to be larger, more representative of the population, had better statistical control of possible confounders, and the heterogeneity of their results was smaller, the estimation obtained when only including HR studies might better reflect the true relative risk of poisoning in children and adolescents with ADHD. It must be noted, however, that only four studies were included in the case of HRs and hence the confidence intervals calculated through RVE could be wider than expected </w:t>
      </w:r>
      <w:r>
        <w:fldChar w:fldCharType="begin" w:fldLock="1"/>
      </w:r>
      <w:r>
        <w:instrText>ADDIN CSL_CITATION { "citationItems" : [ { "id" : "ITEM-1", "itemData" : { "DOI" : "10.3102/1076998615606099", "ISBN" : "1076998615", "ISSN" : "1076-9986", "abstract" : "Meta-analyses often include studies that report multiple effect sizes based on a common pool of subjects or that report effect sizes from several samples that were treated with very similar research protocols. The inclusion of such studies introduces dependence among the effect size estimates. When the number of studies is large, robust variance estimation (RVE) provides a method for pooling dependent effects, even when information on the exact dependence structure is not available. When the number of studies is small or moderate, however, test statistics and confidence intervals based on RVE can have inflated Type I error. This article describes and investigates several small-sample adjustments to F-statistics based on RVE. Simulation results demonstrate that one such test, which approximates the test statistic using Hotelling\u2019s T2 distribution, is level-\u03b1 and uniformly more powerful than the others. An empirical application demonstrates how results based on this test compare to the large-sample F-test.", "author" : [ { "dropping-particle" : "", "family" : "Tipton", "given" : "Elizabeth", "non-dropping-particle" : "", "parse-names" : false, "suffix" : "" }, { "dropping-particle" : "", "family" : "Pustejovsky", "given" : "J. E.", "non-dropping-particle" : "", "parse-names" : false, "suffix" : "" } ], "container-title" : "Journal of Educational and Behavioral Statistics", "id" : "ITEM-1", "issue" : "6", "issued" : { "date-parts" : [ [ "2015" ] ] }, "number-of-pages" : "604-634", "title" : "Small-Sample Adjustments for Tests of Moderators and Model Fit Using Robust Variance Estimation in Meta-Regression", "type" : "book", "volume" : "40" }, "uris" : [ "http://www.mendeley.com/documents/?uuid=7a45fae9-53f2-444d-860b-ffb6e57a55a2" ] } ], "mendeley" : { "formattedCitation" : "&lt;sup&gt;36&lt;/sup&gt;", "plainTextFormattedCitation" : "36", "previouslyFormattedCitation" : "&lt;sup&gt;36&lt;/sup&gt;" }, "properties" : {  }, "schema" : "https://github.com/citation-style-language/schema/raw/master/csl-citation.json" }</w:instrText>
      </w:r>
      <w:r>
        <w:fldChar w:fldCharType="separate"/>
      </w:r>
      <w:r>
        <w:rPr>
          <w:noProof/>
          <w:vertAlign w:val="superscript"/>
        </w:rPr>
        <w:t>36</w:t>
      </w:r>
      <w:r>
        <w:fldChar w:fldCharType="end"/>
      </w:r>
      <w:r>
        <w:t>.</w:t>
      </w:r>
    </w:p>
    <w:p w14:paraId="51A0DE28" w14:textId="57AE9422" w:rsidR="002D749E" w:rsidRPr="00C862ED" w:rsidRDefault="009D7E78" w:rsidP="00F453FF">
      <w:pPr>
        <w:spacing w:after="160"/>
        <w:ind w:firstLine="708"/>
        <w:contextualSpacing/>
      </w:pPr>
      <w:r w:rsidRPr="00C862ED">
        <w:t xml:space="preserve">An additional major finding of the meta-analysis is that the </w:t>
      </w:r>
      <w:r w:rsidR="00AC333E">
        <w:t xml:space="preserve">relative </w:t>
      </w:r>
      <w:r w:rsidRPr="00C862ED">
        <w:t>risk of poisoning in individuals</w:t>
      </w:r>
      <w:r w:rsidR="000E703E" w:rsidRPr="00C862ED">
        <w:t xml:space="preserve"> with ADHD</w:t>
      </w:r>
      <w:r w:rsidRPr="00C862ED">
        <w:t xml:space="preserve"> compared to </w:t>
      </w:r>
      <w:r w:rsidR="000E703E" w:rsidRPr="00C862ED">
        <w:t>individuals without it</w:t>
      </w:r>
      <w:r w:rsidRPr="00C862ED">
        <w:t xml:space="preserve"> </w:t>
      </w:r>
      <w:r w:rsidR="008D6083" w:rsidRPr="00C862ED">
        <w:t>was</w:t>
      </w:r>
      <w:r w:rsidRPr="00C862ED">
        <w:t xml:space="preserve"> statistically higher than the overall </w:t>
      </w:r>
      <w:r w:rsidR="00AC333E">
        <w:t xml:space="preserve">relative </w:t>
      </w:r>
      <w:r w:rsidRPr="00C862ED">
        <w:t xml:space="preserve">risk of </w:t>
      </w:r>
      <w:r w:rsidR="00970463" w:rsidRPr="00C862ED">
        <w:t xml:space="preserve">physical </w:t>
      </w:r>
      <w:r w:rsidRPr="00C862ED">
        <w:t>injuries. Eight studies reported both injuries in general and poisoning cases, hence permitting a within-study evaluation of the effect of type of injury. Of note, the risk of injuries from the combination of the eight studies was 1.54 (95% CI = 1.33</w:t>
      </w:r>
      <w:r w:rsidR="000E703E" w:rsidRPr="00C862ED">
        <w:t xml:space="preserve"> to</w:t>
      </w:r>
      <w:r w:rsidRPr="00C862ED">
        <w:t>1.78), closely matching the results from our previous meta-analysis</w:t>
      </w:r>
      <w:r w:rsidR="008D6083" w:rsidRPr="00C862ED">
        <w:t xml:space="preserve"> on </w:t>
      </w:r>
      <w:r w:rsidR="00F453FF" w:rsidRPr="00C862ED">
        <w:t xml:space="preserve">the </w:t>
      </w:r>
      <w:r w:rsidR="008D6083" w:rsidRPr="00C862ED">
        <w:t>risk of physical injuries,</w:t>
      </w:r>
      <w:r w:rsidRPr="00C862ED">
        <w:t xml:space="preserve"> in which the mean </w:t>
      </w:r>
      <w:r w:rsidR="0054320B" w:rsidRPr="00C862ED">
        <w:t>RR</w:t>
      </w:r>
      <w:r w:rsidRPr="00C862ED">
        <w:t xml:space="preserve"> was 1.53 (95% CI = 1.40</w:t>
      </w:r>
      <w:r w:rsidR="000E703E" w:rsidRPr="00C862ED">
        <w:t xml:space="preserve"> to</w:t>
      </w:r>
      <w:r w:rsidRPr="00C862ED">
        <w:t xml:space="preserve"> 1.67). Several factors could be accounting for this increased </w:t>
      </w:r>
      <w:r w:rsidR="00AC333E">
        <w:t xml:space="preserve">relative </w:t>
      </w:r>
      <w:r w:rsidRPr="00C862ED">
        <w:t xml:space="preserve">risk. </w:t>
      </w:r>
      <w:r w:rsidR="00DE72B6" w:rsidRPr="00C862ED">
        <w:t>Accidental overdoses due to a difference between the taken and prescribed doses</w:t>
      </w:r>
      <w:r w:rsidRPr="00C862ED">
        <w:t xml:space="preserve"> are common in </w:t>
      </w:r>
      <w:r w:rsidR="00C862ED" w:rsidRPr="00C862ED">
        <w:t>pediatric</w:t>
      </w:r>
      <w:r w:rsidRPr="00C862ED">
        <w:t xml:space="preserve"> populations</w:t>
      </w:r>
      <w:r w:rsidR="00E03B13" w:rsidRPr="00C862ED">
        <w:fldChar w:fldCharType="begin" w:fldLock="1"/>
      </w:r>
      <w:r w:rsidR="00487110" w:rsidRPr="00C862ED">
        <w:instrText>ADDIN CSL_CITATION { "citationItems" : [ { "id" : "ITEM-1", "itemData" : { "DOI" : "10.1542/peds.2014-0395", "ISSN" : "0031-4005", "author" : [ { "dropping-particle" : "", "family" : "Yin", "given" : "H. S.", "non-dropping-particle" : "", "parse-names" : false, "suffix" : "" }, { "dropping-particle" : "", "family" : "Dreyer", "given" : "B. P.", "non-dropping-particle" : "", "parse-names" : false, "suffix" : "" }, { "dropping-particle" : "", "family" : "Ugboaja", "given" : "D. C.", "non-dropping-particle" : "", "parse-names" : false, "suffix" : "" }, { "dropping-particle" : "", "family" : "Sanchez", "given" : "D. C.", "non-dropping-particle" : "", "parse-names" : false, "suffix" : "" }, { "dropping-particle" : "", "family" : "Paul", "given" : "I. M.", "non-dropping-particle" : "", "parse-names" : false, "suffix" : "" }, { "dropping-particle" : "", "family" : "Moreira", "given" : "H. A.", "non-dropping-particle" : "", "parse-names" : false, "suffix" : "" }, { "dropping-particle" : "", "family" : "Rodriguez", "given" : "L.", "non-dropping-particle" : "", "parse-names" : false, "suffix" : "" }, { "dropping-particle" : "", "family" : "Mendelsohn", "given" : "A. L.", "non-dropping-particle" : "", "parse-names" : false, "suffix" : "" } ], "container-title" : "PEDIATRICS", "id" : "ITEM-1", "issue" : "2", "issued" : { "date-parts" : [ [ "2014", "8", "1" ] ] }, "page" : "e354-e361", "title" : "Unit of Measurement Used and Parent Medication Dosing Errors", "type" : "article-journal", "volume" : "134" }, "uris" : [ "http://www.mendeley.com/documents/?uuid=3a49f0d1-6521-4c3a-a044-dfff84d126d6" ] } ], "mendeley" : { "formattedCitation" : "&lt;sup&gt;41&lt;/sup&gt;", "plainTextFormattedCitation" : "41", "previouslyFormattedCitation" : "&lt;sup&gt;41&lt;/sup&gt;" }, "properties" : {  }, "schema" : "https://github.com/citation-style-language/schema/raw/master/csl-citation.json" }</w:instrText>
      </w:r>
      <w:r w:rsidR="00E03B13" w:rsidRPr="00C862ED">
        <w:fldChar w:fldCharType="separate"/>
      </w:r>
      <w:r w:rsidR="00487110" w:rsidRPr="00C862ED">
        <w:rPr>
          <w:noProof/>
          <w:vertAlign w:val="superscript"/>
        </w:rPr>
        <w:t>41</w:t>
      </w:r>
      <w:r w:rsidR="00E03B13" w:rsidRPr="00C862ED">
        <w:fldChar w:fldCharType="end"/>
      </w:r>
      <w:r w:rsidRPr="00C862ED">
        <w:t xml:space="preserve">, and they increase with an easier access to pharmacological drugs. Indeed, access to medications has been reported </w:t>
      </w:r>
      <w:r w:rsidRPr="00C862ED">
        <w:lastRenderedPageBreak/>
        <w:t>as a risk factor for unintentional poisoning</w:t>
      </w:r>
      <w:r w:rsidR="00E03B13" w:rsidRPr="00C862ED">
        <w:fldChar w:fldCharType="begin" w:fldLock="1"/>
      </w:r>
      <w:r w:rsidR="00487110" w:rsidRPr="00C862ED">
        <w:instrText>ADDIN CSL_CITATION { "citationItems" : [ { "id" : "ITEM-1", "itemData" : { "DOI" : "10.1097/PEC.0000000000000160", "ISSN" : "1535-1815", "PMID" : "24977994", "abstract" : "OBJECTIVE The aim of this study was to provide nationally representative hospital-based emergency department (ED) estimate visits in children (aged \u2264 18 y) attributed to poisoning in the United States in 2008. METHODS Nationwide Emergency Department Sample for the year 2008 was used. All ED visits among children (aged \u2264 18 y) with an external cause of injury for \"poisoning\" were selected for analysis. Demographic characteristics of the ED visits and outcomes examined included ED charges (EDCs), hospitalization charges (HCs), length of stay in hospital, and disposition after ED visit. RESULTS During the year 2008, a total of 191,197 ED visits were attributed to poisoning with close to 56% of all ED visits occurring among those aged younger than 4 years. Boys comprised approximately 54% of all ED visits. After an ED visit, 87% were routinely discharged, and 7.3% were admitted into the same hospital. Forty-eight children died in the ED. The frequently reported poisonings included accidental poisoning by other drugs (44,219 ED visits); accidental poisoning by other gases and vapors (27,035 ED visits); and accidental poisoning by analgesics, antipyretics, and antirheumatics (22,334 ED visits). The mean EDC per visit was $1077. The total EDC across the entire United States was $171.8 million. Mean length of stay was 1.9 days. Among those who were hospitalized, the mean HC was $11,792. The total HC across the entire United States was $162.3 million. CONCLUSIONS The current study provides nationally representative estimates of ED visits attributed to poisoning among children in the United States. High-risk groups and economics associated with treating these injuries are estimated.", "author" : [ { "dropping-particle" : "", "family" : "Nalliah", "given" : "Romesh P", "non-dropping-particle" : "", "parse-names" : false, "suffix" : "" }, { "dropping-particle" : "", "family" : "Anderson", "given" : "Ingrid M", "non-dropping-particle" : "", "parse-names" : false, "suffix" : "" }, { "dropping-particle" : "", "family" : "Lee", "given" : "Min Kyeong", "non-dropping-particle" : "", "parse-names" : false, "suffix" : "" }, { "dropping-particle" : "", "family" : "Rampa", "given" : "Sankeerth", "non-dropping-particle" : "", "parse-names" : false, "suffix" : "" }, { "dropping-particle" : "", "family" : "Allareddy", "given" : "Veerasathpurush", "non-dropping-particle" : "", "parse-names" : false, "suffix" : "" }, { "dropping-particle" : "", "family" : "Allareddy", "given" : "Veerajalandhar", "non-dropping-particle" : "", "parse-names" : false, "suffix" : "" } ], "container-title" : "Pediatric emergency care", "id" : "ITEM-1", "issue" : "7", "issued" : { "date-parts" : [ [ "2014", "7" ] ] }, "page" : "453-7", "title" : "Children in the United States make close to 200,000 emergency department visits due to poisoning each year.", "type" : "article-journal", "volume" : "30" }, "uris" : [ "http://www.mendeley.com/documents/?uuid=004a88c8-cb4e-4f61-ac69-95100a619eee" ] }, { "id" : "ITEM-2", "itemData" : { "ISSN" : "0098-6151", "PMID" : "16912339", "abstract" : "CONTEXT Although the circumstances are not well studied, grandparents' medications account for 10% to 20% of unintentional pediatric intoxications in the United States. OBJECTIVES To characterize circumstances leading to and outcomes from pediatric pharmaceutical exposures. To identify preventable risk factors associated with this pattern of injury, referred to as the \"granny syndrome.\" DESIGN, SETTING, AND PARTICIPANTS Retrospective review of records of telephone calls made to a certified regional poison control center in the United States. Records were analyzed for all calls concerning children aged 6 years or younger who were exposed to grandparents' medication(s). For statistical analysis, regression and chi(2) analysis as well as Fisher exact tests were used. The sample size provided 80% power to detect a 10% difference at the 5% level of significance. Statistical significance was set at P&lt; or =.05. MAIN OUTCOMES MEASURED Use of child-resistant containers (CRCs), the location of pharmaceuticals prior to pediatric ingestion, and drug classes involved (eg, analgesics, cardiovascular drugs). RESULTS Of the 200 incidents analyzed, 90 (45%) cases involved CRCs, and 110 (55%) involved containers that were not child resistant. For these incidents, the average age of the child was 18.8 months; the grandparent was aged on average 58.7 years. Most medications had been placed on tables or countertops (91 [46%]), low shelves (57 [29%]), or in pocketbooks (34 [17%]). The type of container in which the pharmacologic agent was stored (CRC vs non-CRC) was not statistically significant (P&gt;.1). Ease of access to medication, regardless of the type of container used, was the only statistically significant outcome (P&lt;.001). In the present study, accidental pediatric exposures most frequently involved cardiovascular (90 [45%]), analgesic (84 [42%]), and psychotropic (32 [16%]) medications. CONCLUSION Pediatric exposure to pharmaceutical agents is a preventable cause of injury. Physicians have an important opportunity to assist in preventing pediatric pharmaceutical exposures by instructing parents and grandparents on how to better limit children's access to medications as an essential component to enhance child safety.", "author" : [ { "dropping-particle" : "", "family" : "McFee", "given" : "Robin B", "non-dropping-particle" : "", "parse-names" : false, "suffix" : "" }, { "dropping-particle" : "", "family" : "Caraccio", "given" : "Thomas R", "non-dropping-particle" : "", "parse-names" : false, "suffix" : "" } ], "container-title" : "The Journal of the American Osteopathic Association", "id" : "ITEM-2", "issue" : "7", "issued" : { "date-parts" : [ [ "2006", "7" ] ] }, "page" : "405-11", "title" : "\"Hang Up Your Pocketbook\" -- an easy intervention for the granny syndrome: grandparents as a risk factor in unintentional pediatric exposures to pharmaceuticals.", "type" : "article-journal", "volume" : "106" }, "uris" : [ "http://www.mendeley.com/documents/?uuid=5bf4c952-f72b-474d-9f73-f8611406cdb3" ] } ], "mendeley" : { "formattedCitation" : "&lt;sup&gt;42,43&lt;/sup&gt;", "plainTextFormattedCitation" : "42,43", "previouslyFormattedCitation" : "&lt;sup&gt;42,43&lt;/sup&gt;" }, "properties" : {  }, "schema" : "https://github.com/citation-style-language/schema/raw/master/csl-citation.json" }</w:instrText>
      </w:r>
      <w:r w:rsidR="00E03B13" w:rsidRPr="00C862ED">
        <w:fldChar w:fldCharType="separate"/>
      </w:r>
      <w:r w:rsidR="00487110" w:rsidRPr="00C862ED">
        <w:rPr>
          <w:noProof/>
          <w:vertAlign w:val="superscript"/>
        </w:rPr>
        <w:t>42,43</w:t>
      </w:r>
      <w:r w:rsidR="00E03B13" w:rsidRPr="00C862ED">
        <w:fldChar w:fldCharType="end"/>
      </w:r>
      <w:r w:rsidRPr="00C862ED">
        <w:t xml:space="preserve">. Children and adolescents with ADHD have more access to medications than developmentally normal </w:t>
      </w:r>
      <w:r w:rsidR="00BE6513" w:rsidRPr="00C862ED">
        <w:t>individuals do</w:t>
      </w:r>
      <w:r w:rsidRPr="00C862ED">
        <w:t>. Nearly 60% of ADHD diagnosed children receive pharmacological treatment with stimulants and other drugs</w:t>
      </w:r>
      <w:r w:rsidR="00E03B13" w:rsidRPr="00C862ED">
        <w:fldChar w:fldCharType="begin" w:fldLock="1"/>
      </w:r>
      <w:r w:rsidR="00487110" w:rsidRPr="00C862ED">
        <w:instrText>ADDIN CSL_CITATION { "citationItems" : [ { "id" : "ITEM-1", "itemData" : { "DOI" : "10.1017/S2045796016000500", "ISSN" : "2045-7960", "author" : [ { "dropping-particle" : "", "family" : "Wang", "given" : "L.-J.", "non-dropping-particle" : "", "parse-names" : false, "suffix" : "" }, { "dropping-particle" : "", "family" : "Lee", "given" : "S.-Y.", "non-dropping-particle" : "", "parse-names" : false, "suffix" : "" }, { "dropping-particle" : "", "family" : "Yuan", "given" : "S.-S.", "non-dropping-particle" : "", "parse-names" : false, "suffix" : "" }, { "dropping-particle" : "", "family" : "Yang", "given" : "C.-J.", "non-dropping-particle" : "", "parse-names" : false, "suffix" : "" }, { "dropping-particle" : "", "family" : "Yang", "given" : "K.-C.", "non-dropping-particle" : "", "parse-names" : false, "suffix" : "" }, { "dropping-particle" : "", "family" : "Huang", "given" : "T.-S.", "non-dropping-particle" : "", "parse-names" : false, "suffix" : "" }, { "dropping-particle" : "", "family" : "Chou", "given" : "W.-J.", "non-dropping-particle" : "", "parse-names" : false, "suffix" : "" }, { "dropping-particle" : "", "family" : "Chou", "given" : "M.-C.", "non-dropping-particle" : "", "parse-names" : false, "suffix" : "" }, { "dropping-particle" : "", "family" : "Lee", "given" : "M.-J.", "non-dropping-particle" : "", "parse-names" : false, "suffix" : "" }, { "dropping-particle" : "", "family" : "Lee", "given" : "T.-L.", "non-dropping-particle" : "", "parse-names" : false, "suffix" : "" }, { "dropping-particle" : "", "family" : "Shyu", "given" : "Y.-C.", "non-dropping-particle" : "", "parse-names" : false, "suffix" : "" } ], "container-title" : "Epidemiology and Psychiatric Sciences", "id" : "ITEM-1", "issue" : "06", "issued" : { "date-parts" : [ [ "2017", "12", "20" ] ] }, "page" : "624-634", "title" : "Prevalence rates of youths diagnosed with and medicated for ADHD in a nationwide survey in Taiwan from 2000 to 2011", "type" : "article-journal", "volume" : "26" }, "uris" : [ "http://www.mendeley.com/documents/?uuid=2bb6dd61-7b54-48ad-bc01-88ccb3dba97a" ] }, { "id" : "ITEM-2", "itemData" : { "DOI" : "10.5888/pcd9.120073", "ISSN" : "1545-1151", "author" : [ { "dropping-particle" : "", "family" : "Visser", "given" : "Susanna N.", "non-dropping-particle" : "", "parse-names" : false, "suffix" : "" }, { "dropping-particle" : "", "family" : "Blumberg", "given" : "Stephen J.", "non-dropping-particle" : "", "parse-names" : false, "suffix" : "" }, { "dropping-particle" : "", "family" : "Danielson", "given" : "Melissa L.", "non-dropping-particle" : "", "parse-names" : false, "suffix" : "" }, { "dropping-particle" : "", "family" : "Bitsko", "given" : "Rebecca H.", "non-dropping-particle" : "", "parse-names" : false, "suffix" : "" }, { "dropping-particle" : "", "family" : "Kogan", "given" : "Michael D.", "non-dropping-particle" : "", "parse-names" : false, "suffix" : "" } ], "container-title" : "Preventing Chronic Disease", "id" : "ITEM-2", "issued" : { "date-parts" : [ [ "2013", "1", "24" ] ] }, "page" : "120073", "title" : "State-Based and Demographic Variation in Parent-Reported Medication Rates for Attention-Deficit/Hyperactivity Disorder, 2007\u20132008", "type" : "article-journal", "volume" : "10" }, "uris" : [ "http://www.mendeley.com/documents/?uuid=e2ec6920-1cc4-4f9b-9485-b2eeaeff96ee" ] } ], "mendeley" : { "formattedCitation" : "&lt;sup&gt;44,45&lt;/sup&gt;", "plainTextFormattedCitation" : "44,45", "previouslyFormattedCitation" : "&lt;sup&gt;44,45&lt;/sup&gt;" }, "properties" : {  }, "schema" : "https://github.com/citation-style-language/schema/raw/master/csl-citation.json" }</w:instrText>
      </w:r>
      <w:r w:rsidR="00E03B13" w:rsidRPr="00C862ED">
        <w:fldChar w:fldCharType="separate"/>
      </w:r>
      <w:r w:rsidR="00487110" w:rsidRPr="00C862ED">
        <w:rPr>
          <w:noProof/>
          <w:vertAlign w:val="superscript"/>
        </w:rPr>
        <w:t>44,45</w:t>
      </w:r>
      <w:r w:rsidR="00E03B13" w:rsidRPr="00C862ED">
        <w:fldChar w:fldCharType="end"/>
      </w:r>
      <w:r w:rsidRPr="00C862ED">
        <w:t>, and in many cases a single individual will be prescribed several formulations of the same medication</w:t>
      </w:r>
      <w:r w:rsidR="00E03B13" w:rsidRPr="00C862ED">
        <w:fldChar w:fldCharType="begin" w:fldLock="1"/>
      </w:r>
      <w:r w:rsidR="00487110" w:rsidRPr="00C862ED">
        <w:instrText>ADDIN CSL_CITATION { "citationItems" : [ { "id" : "ITEM-1", "itemData" : { "DOI" : "10.1089/cap.2012.0022", "ISSN" : "1044-5463", "author" : [ { "dropping-particle" : "", "family" : "Garbe", "given" : "Edeltraut", "non-dropping-particle" : "", "parse-names" : false, "suffix" : "" }, { "dropping-particle" : "", "family" : "Mikolajczyk", "given" : "Rafael T.", "non-dropping-particle" : "", "parse-names" : false, "suffix" : "" }, { "dropping-particle" : "", "family" : "Banaschewski", "given" : "Tobias", "non-dropping-particle" : "", "parse-names" : false, "suffix" : "" }, { "dropping-particle" : "", "family" : "Petermann", "given" : "Ulrike", "non-dropping-particle" : "", "parse-names" : false, "suffix" : "" }, { "dropping-particle" : "", "family" : "Petermann", "given" : "Franz", "non-dropping-particle" : "", "parse-names" : false, "suffix" : "" }, { "dropping-particle" : "", "family" : "Kraut", "given" : "Angela A.", "non-dropping-particle" : "", "parse-names" : false, "suffix" : "" }, { "dropping-particle" : "", "family" : "Langner", "given" : "Ingo", "non-dropping-particle" : "", "parse-names" : false, "suffix" : "" } ], "container-title" : "Journal of Child and Adolescent Psychopharmacology", "id" : "ITEM-1", "issue" : "6", "issued" : { "date-parts" : [ [ "2012", "12" ] ] }, "page" : "452-458", "title" : "Drug Treatment Patterns of Attention-Deficit/Hyperactivity Disorder in Children and Adolescents in Germany: Results from a Large Population-Based Cohort Study", "type" : "article-journal", "volume" : "22" }, "uris" : [ "http://www.mendeley.com/documents/?uuid=30dbe448-bd78-4803-a5bd-22f08130770c" ] } ], "mendeley" : { "formattedCitation" : "&lt;sup&gt;46&lt;/sup&gt;", "plainTextFormattedCitation" : "46", "previouslyFormattedCitation" : "&lt;sup&gt;46&lt;/sup&gt;" }, "properties" : {  }, "schema" : "https://github.com/citation-style-language/schema/raw/master/csl-citation.json" }</w:instrText>
      </w:r>
      <w:r w:rsidR="00E03B13" w:rsidRPr="00C862ED">
        <w:fldChar w:fldCharType="separate"/>
      </w:r>
      <w:r w:rsidR="00487110" w:rsidRPr="00C862ED">
        <w:rPr>
          <w:noProof/>
          <w:vertAlign w:val="superscript"/>
        </w:rPr>
        <w:t>46</w:t>
      </w:r>
      <w:r w:rsidR="00E03B13" w:rsidRPr="00C862ED">
        <w:fldChar w:fldCharType="end"/>
      </w:r>
      <w:r w:rsidRPr="00C862ED">
        <w:t>. In addition, many individuals will receive additional medications for comorbid disorders</w:t>
      </w:r>
      <w:r w:rsidR="00E03B13" w:rsidRPr="00C862ED">
        <w:fldChar w:fldCharType="begin" w:fldLock="1"/>
      </w:r>
      <w:r w:rsidR="008B3661" w:rsidRPr="00C862ED">
        <w:instrText>ADDIN CSL_CITATION { "citationItems" : [ { "id" : "ITEM-1", "itemData" : { "DOI" : "10.1007/s12402-014-0142-1", "ISSN" : "1866-6647", "PMID" : "24942707", "abstract" : "The present study aimed at identifying the full range of mental disorders comorbid to attention-deficit/hyperactivity disorder (ADHD) in children and adolescents (age 4-17) diagnosed in Danish psychiatric hospitals between 1995 and 2010. A total of 14,825 patients were included in the study and comorbid disorders diagnosed concurrent with ADHD were identified. Associations of comorbid disorders with sex, age, and other mental disorders were investigated by logistic regression analysis. In the total sample, 52.0 % of the patients had at least one psychiatric disorder comorbid to ADHD and 26.2 % had two or more comorbid disorders. The most frequent comorbid disorders were disorders of conduct (16.5 %), specific developmental disorders of language, learning and motor development (15.4 %), autism spectrum disorders (12.4 %), and intellectual disability (7.9 %). Male sex was generally associated with an increased risk for neuropsychiatric disorders while female sex was associated more frequently with internalizing disorders. The analysis of associations between the various comorbid disorders identified several clusters highlighting the differential developmental trajectories seen in patients with ADHD. The study provides evidence that comorbidity with mental disorders is developmentally sensitive. Furthermore, the study shows that particular attention should be given to patients with neurodevelopmental disorders such as autism and intellectual disability in future longitudinal analyses. These disorders are very frequent in patients with ADHD, and the affected patients might follow a different course than patients without these disorders.", "author" : [ { "dropping-particle" : "", "family" : "Jensen", "given" : "Christina Mohr", "non-dropping-particle" : "", "parse-names" : false, "suffix" : "" }, { "dropping-particle" : "", "family" : "Steinhausen", "given" : "Hans-Christoph", "non-dropping-particle" : "", "parse-names" : false, "suffix" : "" } ], "container-title" : "Attention deficit and hyperactivity disorders", "id" : "ITEM-1", "issue" : "1", "issued" : { "date-parts" : [ [ "2015", "3" ] ] }, "page" : "27-38", "title" : "Comorbid mental disorders in children and adolescents with attention-deficit/hyperactivity disorder in a large nationwide study.", "type" : "article-journal", "volume" : "7" }, "uris" : [ "http://www.mendeley.com/documents/?uuid=a7605375-f036-460d-abfd-dd656ecb21df" ] } ], "mendeley" : { "formattedCitation" : "&lt;sup&gt;16&lt;/sup&gt;", "plainTextFormattedCitation" : "16", "previouslyFormattedCitation" : "&lt;sup&gt;16&lt;/sup&gt;" }, "properties" : {  }, "schema" : "https://github.com/citation-style-language/schema/raw/master/csl-citation.json" }</w:instrText>
      </w:r>
      <w:r w:rsidR="00E03B13" w:rsidRPr="00C862ED">
        <w:fldChar w:fldCharType="separate"/>
      </w:r>
      <w:r w:rsidR="008B3661" w:rsidRPr="00C862ED">
        <w:rPr>
          <w:noProof/>
          <w:vertAlign w:val="superscript"/>
        </w:rPr>
        <w:t>16</w:t>
      </w:r>
      <w:r w:rsidR="00E03B13" w:rsidRPr="00C862ED">
        <w:fldChar w:fldCharType="end"/>
      </w:r>
      <w:r w:rsidR="008D6083" w:rsidRPr="00C862ED">
        <w:t xml:space="preserve">, such as </w:t>
      </w:r>
      <w:r w:rsidRPr="00C862ED">
        <w:t xml:space="preserve">oppositional defiant disorder, conduct disorder, anxiety, coordination problems, depression, tic disorders </w:t>
      </w:r>
      <w:r w:rsidRPr="00C862ED">
        <w:rPr>
          <w:szCs w:val="32"/>
        </w:rPr>
        <w:t>and Tourette s</w:t>
      </w:r>
      <w:r w:rsidR="00F453FF" w:rsidRPr="00C862ED">
        <w:rPr>
          <w:szCs w:val="32"/>
        </w:rPr>
        <w:t xml:space="preserve">yndrome. </w:t>
      </w:r>
      <w:r w:rsidRPr="00C862ED">
        <w:t xml:space="preserve">Hence, the poly-pharmacy status in many ADHD patients could increase the likelihood of an accidental poisoning. Moreover, comorbid mental disorders might make children and adolescents </w:t>
      </w:r>
      <w:r w:rsidR="00341640" w:rsidRPr="00C862ED">
        <w:t xml:space="preserve">with ADHD </w:t>
      </w:r>
      <w:r w:rsidRPr="00C862ED">
        <w:t>even more prone to an accidental poisoning. Data on comorbidity was not reported in most of the studies included in the present meta-analysis</w:t>
      </w:r>
      <w:r w:rsidR="008D6083" w:rsidRPr="00C862ED">
        <w:t>, so that the impact of comorbidity could not be elucidated</w:t>
      </w:r>
      <w:r w:rsidRPr="00C862ED">
        <w:t xml:space="preserve">. Further research should clarify whether medicated individuals are at a greater risk of poisoning, if comorbidities increase the risk of intoxications, and to which extent these effects can be disentangled. </w:t>
      </w:r>
      <w:r w:rsidR="008D6083" w:rsidRPr="00C862ED">
        <w:t>T</w:t>
      </w:r>
      <w:r w:rsidRPr="00C862ED">
        <w:t xml:space="preserve">he role of ADHD medication is even more complex. ADHD pharmacological treatment has already been shown to reduce the risk of suffering an unintentional injury </w:t>
      </w:r>
      <w:r w:rsidR="00E03B13" w:rsidRPr="00C862ED">
        <w:fldChar w:fldCharType="begin" w:fldLock="1"/>
      </w:r>
      <w:r w:rsidR="008B3661" w:rsidRPr="00C862ED">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"&lt;sup&gt;17&lt;/sup&gt;", "plainTextFormattedCitation" : "17", "previouslyFormattedCitation" : "&lt;sup&gt;17&lt;/sup&gt;" }, "properties" : {  }, "schema" : "https://github.com/citation-style-language/schema/raw/master/csl-citation.json" }</w:instrText>
      </w:r>
      <w:r w:rsidR="00E03B13" w:rsidRPr="00C862ED">
        <w:fldChar w:fldCharType="separate"/>
      </w:r>
      <w:r w:rsidR="008B3661" w:rsidRPr="00C862ED">
        <w:rPr>
          <w:noProof/>
          <w:vertAlign w:val="superscript"/>
        </w:rPr>
        <w:t>17</w:t>
      </w:r>
      <w:r w:rsidR="00E03B13" w:rsidRPr="00C862ED">
        <w:fldChar w:fldCharType="end"/>
      </w:r>
      <w:r w:rsidRPr="00C862ED">
        <w:t>, and conversely, it reduces the risk of driving accidents in adults</w:t>
      </w:r>
      <w:r w:rsidR="00E03B13" w:rsidRPr="00C862ED">
        <w:fldChar w:fldCharType="begin" w:fldLock="1"/>
      </w:r>
      <w:r w:rsidR="00487110" w:rsidRPr="00C862ED">
        <w:instrText>ADDIN CSL_CITATION { "citationItems" : [ { "id" : "ITEM-1", "itemData" : { "DOI" : "10.1001/jamapsychiatry.2013.4174", "ISBN" : "2122633255", "ISSN" : "2168-6238", "PMID" : "24477798", "abstract" : "IMPORTANCE: Studies have shown that attention-deficit/hyperactivity disorder (ADHD) is associated with transport accidents, but the magnitude of the association remains unclear. Most important, it is also unclear whether ADHD medication reduces this risk.\\n\\nOBJECTIVES: To estimate the association between ADHD and the risk of serious transport accidents and to explore the extent to which ADHD medication influences this risk among patients with ADHD.\\n\\nDESIGN, SETTING, AND PARTICIPANTS: In total, 17,408 patients with a diagnosis of ADHD were observed from January 1, 2006, through December 31, 2009, for serious transport accidents documented in Swedish national registers. The association between ADHD and accidents was estimated with Cox proportional hazards regression. To study the effect of ADHD medication, we used stratified Cox regression to compare the risk of accidents during the medication period with the risk during the nonmedication period within the same patients.\\n\\nMAIN OUTCOMES AND MEASURES: Serious transport accident, identified as an emergency hospital visit or death due to transport accident.\\n\\nRESULTS: Compared with individuals without ADHD, male patients with ADHD (adjusted hazard ratio, 1.47; 95% CI, 1.32-1.63) and female patients with ADHD (1.45; 1.24-1.71) had an increased risk of serious transport accidents. In male patients with ADHD, medication was associated with a 58% risk reduction (hazard ratio, 0.42; 95% CI, 0.23-0.75), but there was no statistically significant association in female patients. Estimates of the population-attributable fractions suggested that 41% to 49% of the accidents in male patients with ADHD could have been avoided if they had been receiving treatment during the entire follow-up.\\n\\nCONCLUSIONS AND RELEVANCE: Attention-deficit/hyperactivity disorder is associated with an increased risk of serious transport accidents, and this risk seems to be possibly reduced by ADHD medication, at least among male patients. This should lead to increased awareness among clinicians and patients of the association between serious transport accidents and ADHD medication.", "author" : [ { "dropping-particle" : "", "family" : "Chang", "given" : "Zheng", "non-dropping-particle" : "", "parse-names" : false, "suffix" : "" }, { "dropping-particle" : "", "family" : "Lichtenstein", "given" : "Paul", "non-dropping-particle" : "", "parse-names" : false, "suffix" : "" }, { "dropping-particle" : "", "family" : "D'Onofrio", "given" : "Brian M", "non-dropping-particle" : "", "parse-names" : false, "suffix" : "" }, { "dropping-particle" : "", "family" : "Sj\u00f6lander", "given" : "Arvid", "non-dropping-particle" : "", "parse-names" : false, "suffix" : "" }, { "dropping-particle" : "", "family" : "Larsson", "given" : "Henrik", "non-dropping-particle" : "", "parse-names" : false, "suffix" : "" } ], "container-title" : "JAMA psychiatry", "id" : "ITEM-1", "issue" : "3", "issued" : { "date-parts" : [ [ "2014" ] ] }, "note" : "Gonzalo03.\nMaite03.\n", "page" : "319-25", "title" : "Serious transport accidents in adults with attention-deficit/hyperactivity disorder and the effect of medication: a population-based study.", "type" : "article-journal", "volume" : "71" }, "uris" : [ "http://www.mendeley.com/documents/?uuid=68331a00-c76e-4800-850a-eb9d01318f6c" ] }, { "id" : "ITEM-2", "itemData" : { "DOI" : "10.1007/s40263-017-0465-5", "ISSN" : "1172-7047", "author" : [ { "dropping-particle" : "", "family" : "Surman", "given" : "Craig B. H.", "non-dropping-particle" : "", "parse-names" : false, "suffix" : "" }, { "dropping-particle" : "", "family" : "Fried", "given" : "Ronna", "non-dropping-particle" : "", "parse-names" : false, "suffix" : "" }, { "dropping-particle" : "", "family" : "Rhodewalt", "given" : "Lauren", "non-dropping-particle" : "", "parse-names" : false, "suffix" : "" }, { "dropping-particle" : "", "family" : "Boland", "given" : "Heidi", "non-dropping-particle" : "", "parse-names" : false, "suffix" : "" } ], "container-title" : "CNS Drugs", "id" : "ITEM-2", "issue" : "10", "issued" : { "date-parts" : [ [ "2017", "10", "19" ] ] }, "page" : "857-866", "title" : "Do Pharmaceuticals Improve Driving in Individuals with ADHD? A Review of the Literature and Evidence for Clinical Practice", "type" : "article-journal", "volume" : "31" }, "uris" : [ "http://www.mendeley.com/documents/?uuid=127811e0-407e-4d3f-b1fb-b8924f59289f" ] } ], "mendeley" : { "formattedCitation" : "&lt;sup&gt;47,48&lt;/sup&gt;", "plainTextFormattedCitation" : "47,48", "previouslyFormattedCitation" : "&lt;sup&gt;47,48&lt;/sup&gt;" }, "properties" : {  }, "schema" : "https://github.com/citation-style-language/schema/raw/master/csl-citation.json" }</w:instrText>
      </w:r>
      <w:r w:rsidR="00E03B13" w:rsidRPr="00C862ED">
        <w:fldChar w:fldCharType="separate"/>
      </w:r>
      <w:r w:rsidR="00487110" w:rsidRPr="00C862ED">
        <w:rPr>
          <w:noProof/>
          <w:vertAlign w:val="superscript"/>
        </w:rPr>
        <w:t>47,48</w:t>
      </w:r>
      <w:r w:rsidR="00E03B13" w:rsidRPr="00C862ED">
        <w:fldChar w:fldCharType="end"/>
      </w:r>
      <w:r w:rsidRPr="00C862ED">
        <w:t xml:space="preserve">. </w:t>
      </w:r>
      <w:r w:rsidR="002D749E" w:rsidRPr="00C862ED">
        <w:t xml:space="preserve">Drugs used to treat ADHD could have a similar effect on the risk of poising: as they improve attention and impulsivity, they could lead to a reduction in the risk of poisoning. However, our systematic review was not able to find any studies on the effect of medication on poisoning risk. Therefore, the relationship between medication effects and risk of poisoning in ADHD deserves further </w:t>
      </w:r>
      <w:r w:rsidR="00FB2CA9" w:rsidRPr="00C862ED">
        <w:t>clarification.</w:t>
      </w:r>
    </w:p>
    <w:p w14:paraId="23779560" w14:textId="51F8DA98" w:rsidR="009D7E78" w:rsidRPr="00C862ED" w:rsidRDefault="002D749E" w:rsidP="00F453FF">
      <w:pPr>
        <w:spacing w:after="160"/>
        <w:ind w:firstLine="708"/>
        <w:contextualSpacing/>
      </w:pPr>
      <w:r w:rsidRPr="00C862ED">
        <w:t xml:space="preserve">In terms of age effects, poisoning incidence has two peaks across the child </w:t>
      </w:r>
      <w:r w:rsidR="00F453FF" w:rsidRPr="00C862ED">
        <w:t>life span</w:t>
      </w:r>
      <w:r w:rsidRPr="00C862ED">
        <w:t xml:space="preserve">. The first peak occurs in the first years of life and the second is around the beginning of adolescence, changing also </w:t>
      </w:r>
      <w:r w:rsidR="005E59D9" w:rsidRPr="00C862ED">
        <w:t>the causal factors of poisoning</w:t>
      </w:r>
      <w:r w:rsidR="005E59D9" w:rsidRPr="00C862ED">
        <w:rPr>
          <w:noProof/>
          <w:vertAlign w:val="superscript"/>
        </w:rPr>
        <w:t>1,5</w:t>
      </w:r>
      <w:r w:rsidR="005E59D9" w:rsidRPr="00C862ED">
        <w:t>.</w:t>
      </w:r>
      <w:r w:rsidRPr="00C862ED">
        <w:t xml:space="preserve"> As the child </w:t>
      </w:r>
      <w:r w:rsidRPr="00C862ED">
        <w:lastRenderedPageBreak/>
        <w:t>grows</w:t>
      </w:r>
      <w:r w:rsidR="005E59D9" w:rsidRPr="00C862ED">
        <w:t>,</w:t>
      </w:r>
      <w:r w:rsidRPr="00C862ED">
        <w:t xml:space="preserve"> there is an increase of intentional poisonings, although the total percentage of intentional poisonings remains lower than the perce</w:t>
      </w:r>
      <w:r w:rsidR="005E59D9" w:rsidRPr="00C862ED">
        <w:t>ntage of unintentional cases</w:t>
      </w:r>
      <w:r w:rsidR="005E59D9" w:rsidRPr="00C862ED">
        <w:rPr>
          <w:noProof/>
          <w:vertAlign w:val="superscript"/>
        </w:rPr>
        <w:t>1,5</w:t>
      </w:r>
      <w:r w:rsidRPr="00C862ED">
        <w:t xml:space="preserve">. For the second age group, recreational drug usage and suicide attempts are important causes of poisoning. Regarding the specific case of individuals with ADHD, adolescents with the disorder use more frequently drugs </w:t>
      </w:r>
      <w:r w:rsidR="009D7E78" w:rsidRPr="00C862ED">
        <w:t>recreationally</w:t>
      </w:r>
      <w:r w:rsidR="00E03B13" w:rsidRPr="00C862ED">
        <w:fldChar w:fldCharType="begin" w:fldLock="1"/>
      </w:r>
      <w:r w:rsidR="00487110" w:rsidRPr="00C862ED">
        <w:instrText>ADDIN CSL_CITATION { "citationItems" : [ { "id" : "ITEM-1", "itemData" : { "DOI" : "10.1016/j.jaac.2017.05.004", "ISSN" : "1527-5418", "PMID" : "28647007", "abstract" : "OBJECTIVE To assess the prospective risk of developing substance-related disorders after childhood mental health disorders (i.e., attention-deficit/hyperactivity disorder [ADHD], oppositional defiant disorder [ODD] or conduct disorder [CD], anxiety disorder, and depression) using meta-analysis. METHOD PubMed, Embase, and PsycInfo were searched for relevant longitudinal studies that described childhood (&lt;18 years old) ADHD, ODD or CD, anxiety, or depression in relation to later alcohol-, nicotine-, or drug-related disorders or substance use disorders (SUDs) published in peer-reviewed journals in the English language from 1986 to May 2016. Two researchers conducted all review stages. Meta-analysis of Observational Studies in Epidemiology (MOOSE) guidelines were followed. RESULTS Thirty-seven studies including more than 762,187 participants were identified for quantitative analyses. These studies included 22,029 participants with ADHD, 434 participants with ODD or CD, 1,433 participants with anxiety disorder, and 2,451 participants with depression. Ninety-seven effects sizes were extracted for analyses. Meta-analysis showed a significantly increased risk for addiction in ADHD (n = 23, odds ratio [OR] 2.27, 95% CI 1.98-3.67; OR alcohol 2.15, 95% CI 1.56-2.97; OR drugs 1.52, 95% CI 1.52-5.27; OR nicotine 2.52, 95% CI 2.01-3.15; OR SUDs 2.61, 95% CI 1.77-3.84), ODD or CD (n = 8, OR 3.18, 95% CI 1.97-5.80; OR alcohol 1.73, 95% CI 1.51-2.00; OR drugs 4.24, 95% CI 1.3.21.5.59; OR nicotine 4.22, 95% CI 3.21-5.55; OR SUDs 4.86, 95% CI 3.09-7.56), and depression (n = 13, OR 2.03, 95% CI 1.47-2.81; OR alcohol 1.10, 95% CI 1.02-1.19; OR nicotine 2.56, 95% CI 1.89-3.48; OR SUDs 2.20, 95% CI 1.41-3.43), but not for anxiety disorders (n = 15, OR 1.34, 95% CI 0.90-1.55, not significant). CONCLUSION Childhood ADHD, ODD, CD, and depression increase the risk of developing substance-related disorders. Anxiety disorders do not seem to increase the risk for future substance-related disorders, although the findings are highly heterogeneous. These findings emphasize the need for early detection and intervention to prevent debilitating substance-related disorders in later life.", "author" : [ { "dropping-particle" : "", "family" : "Groenman", "given" : "Annabeth P", "non-dropping-particle" : "", "parse-names" : false, "suffix" : "" }, { "dropping-particle" : "", "family" : "Janssen", "given" : "Tieme W P", "non-dropping-particle" : "", "parse-names" : false, "suffix" : "" }, { "dropping-particle" : "", "family" : "Oosterlaan", "given" : "Jaap", "non-dropping-particle" : "", "parse-names" : false, "suffix" : "" } ], "container-title" : "Journal of the American Academy of Child and Adolescent Psychiatry", "id" : "ITEM-1", "issue" : "7", "issued" : { "date-parts" : [ [ "2017", "7" ] ] }, "page" : "556-569", "title" : "Childhood Psychiatric Disorders as Risk Factor for Subsequent Substance Abuse: A Meta-Analysis.", "type" : "article-journal", "volume" : "56" }, "uris" : [ "http://www.mendeley.com/documents/?uuid=fe9a953c-cae6-42a3-b88c-51af7187d46a" ] } ], "mendeley" : { "formattedCitation" : "&lt;sup&gt;49&lt;/sup&gt;", "plainTextFormattedCitation" : "49", "previouslyFormattedCitation" : "&lt;sup&gt;49&lt;/sup&gt;" }, "properties" : {  }, "schema" : "https://github.com/citation-style-language/schema/raw/master/csl-citation.json" }</w:instrText>
      </w:r>
      <w:r w:rsidR="00E03B13" w:rsidRPr="00C862ED">
        <w:fldChar w:fldCharType="separate"/>
      </w:r>
      <w:r w:rsidR="00487110" w:rsidRPr="00C862ED">
        <w:rPr>
          <w:noProof/>
          <w:vertAlign w:val="superscript"/>
        </w:rPr>
        <w:t>49</w:t>
      </w:r>
      <w:r w:rsidR="00E03B13" w:rsidRPr="00C862ED">
        <w:fldChar w:fldCharType="end"/>
      </w:r>
      <w:r w:rsidR="009D7E78" w:rsidRPr="00C862ED">
        <w:t>, including their own medications</w:t>
      </w:r>
      <w:r w:rsidR="00E03B13" w:rsidRPr="00C862ED">
        <w:fldChar w:fldCharType="begin" w:fldLock="1"/>
      </w:r>
      <w:r w:rsidR="00487110" w:rsidRPr="00C862ED">
        <w:instrText>ADDIN CSL_CITATION { "citationItems" : [ { "id" : "ITEM-1", "itemData" : { "DOI" : "10.1097/chi.0b013e31815a56f1", "ISSN" : "0890-8567", "PMID" : "18174822", "abstract" : "OBJECTIVE Recent studies have provided variable information on the frequency and context of diversion and the use of nonprescribed and prescribed stimulant medications in adolescent and young adult populations. The purpose of this systematic review of the literature is to evaluate the extent and characteristics of stimulant misuse and diversion in attention-deficit/hyperactivity disorder (ADHD) and non-ADHD individuals. METHOD We conducted a systematic review of the literature of available studies looking at misuse and diversion of prescription ADHD medications using misuse, diversion, stimulants, illicit use, and ADHD medications as key words for the search. RESULTS We identified 21 studies representing 113,104 subjects. The studies reported rates of past year nonprescribed stimulant use to range from 5% to 9% in grade school- and high school-age children and 5% to 35% in college-age individuals. Lifetime rates of diversion ranged from 16% to 29% of students with stimulant prescriptions asked to give, sell, or trade their medications. Recent work suggests that whites, members of fraternities and sororities, individuals with lower grade point averages, use of immediate-release compared to extended-release preparations, and individuals who report ADHD symptoms are at highest risk for misusing and diverting stimulants. Reported reasons for use, misuse, and diversion of stimulants include to concentrate, improve alertness, \"get high,\" or to experiment. CONCLUSIONS The literature suggests that individuals both with and without ADHD misuse stimulant medications. Recent work has begun to document the context, motivation, and demographic profile of those most at risk for using, misusing, and diverting stimulants. The literature highlights the need to carefully monitor high-risk individuals for the use of nonprescribed stimulants and educate individuals with ADHD as to the pitfalls of the misuse and diversion of the stimulants.", "author" : [ { "dropping-particle" : "", "family" : "Wilens", "given" : "Timothy E", "non-dropping-particle" : "", "parse-names" : false, "suffix" : "" }, { "dropping-particle" : "", "family" : "Adler", "given" : "Lenard A", "non-dropping-particle" : "", "parse-names" : false, "suffix" : "" }, { "dropping-particle" : "", "family" : "Adams", "given" : "Jill", "non-dropping-particle" : "", "parse-names" : false, "suffix" : "" }, { "dropping-particle" : "", "family" : "Sgambati", "given" : "Stephanie", "non-dropping-particle" : "", "parse-names" : false, "suffix" : "" }, { "dropping-particle" : "", "family" : "Rotrosen", "given" : "John", "non-dropping-particle" : "", "parse-names" : false, "suffix" : "" }, { "dropping-particle" : "", "family" : "Sawtelle", "given" : "Robert", "non-dropping-particle" : "", "parse-names" : false, "suffix" : "" }, { "dropping-particle" : "", "family" : "Utzinger", "given" : "Linsey", "non-dropping-particle" : "", "parse-names" : false, "suffix" : "" }, { "dropping-particle" : "", "family" : "Fusillo", "given" : "Steven", "non-dropping-particle" : "", "parse-names" : false, "suffix" : "" } ], "container-title" : "Journal of the American Academy of Child and Adolescent Psychiatry", "id" : "ITEM-1", "issue" : "1", "issued" : { "date-parts" : [ [ "2008", "1" ] ] }, "page" : "21-31", "title" : "Misuse and diversion of stimulants prescribed for ADHD: a systematic review of the literature.", "type" : "article-journal", "volume" : "47" }, "uris" : [ "http://www.mendeley.com/documents/?uuid=b16490b5-6fbe-4563-bb76-6ac396ad82f6" ] } ], "mendeley" : { "formattedCitation" : "&lt;sup&gt;50&lt;/sup&gt;", "plainTextFormattedCitation" : "50", "previouslyFormattedCitation" : "&lt;sup&gt;50&lt;/sup&gt;" }, "properties" : {  }, "schema" : "https://github.com/citation-style-language/schema/raw/master/csl-citation.json" }</w:instrText>
      </w:r>
      <w:r w:rsidR="00E03B13" w:rsidRPr="00C862ED">
        <w:fldChar w:fldCharType="separate"/>
      </w:r>
      <w:r w:rsidR="00487110" w:rsidRPr="00C862ED">
        <w:rPr>
          <w:noProof/>
          <w:vertAlign w:val="superscript"/>
        </w:rPr>
        <w:t>50</w:t>
      </w:r>
      <w:r w:rsidR="00E03B13" w:rsidRPr="00C862ED">
        <w:fldChar w:fldCharType="end"/>
      </w:r>
      <w:r w:rsidR="009D7E78" w:rsidRPr="00C862ED">
        <w:t>. For example, a study carried out among adolescents and young adults with the disorder reported that 14.3% of the participants in the study had once abused of their prescribed pharmacological treatment</w:t>
      </w:r>
      <w:r w:rsidR="00E03B13" w:rsidRPr="00C862ED">
        <w:fldChar w:fldCharType="begin" w:fldLock="1"/>
      </w:r>
      <w:r w:rsidR="00487110" w:rsidRPr="00C862ED">
        <w:instrText>ADDIN CSL_CITATION { "citationItems" : [ { "id" : "ITEM-1", "itemData" : { "ISSN" : "1934-1997", "PMID" : "18596945", "abstract" : "OBJECTIVE The objective is to assess abuse of prescription and illicit stimulants among individuals being treated for attention-deficit/hyperactivity disorder (ADHD). METHODS A survey was distributed to patients enrolled in an ADHD treatment center. It included questions designed to gain information about demographics; ADHD treatment history; illicit drug use; and misuse of prescribed stimulant medications, including type of stimulant medication most frequently misused or abused, and how the stimulant was prepared and administered. RESULTS A total of 545 subjects (89.2% with ADHD) were included in the survey. Results indicated that 14.3% of respondents abused prescription stimulants. Of these, 79.8% abused short-acting agents; 17.2% abused long-acting stimulants; 2.0% abused both short- and long-acting agents; and 1.0% abused other agents. The specific medications abused most often were mixed amphetamine salts (Adderall; 40.0%), mixed amphetamine salts extended release (Adderall XR; 14.2%), and methylphenidate (Ritalin; 15.0%), and the most common manner of stimulant abuse was crushing pills and snorting (75.0%). Survey results also showed that 39.1% of respondents used nonprescription stimulants, most often cocaine (62.2%), methamphetamine (4.8%), and both cocaine and amphetamine (31.1%). Choice of illicit drug was based on rapidity of high onset (43.5%), ease of acquisition (40.7%), ease of use (10.2%), and cost (5.5%). CONCLUSIONS The risks for abuse of prescription and illicit stimulants are elevated among individuals being treated in an ADHD clinic. Prescription agents used most often are those with pharmacologic and pharmacokinetic characteristics that provide a rapid high. This suggests that long-acting stimulant preparations that have been developed for the treatment of ADHD may have lower abuse potential than short-acting formulations.", "author" : [ { "dropping-particle" : "", "family" : "Bright", "given" : "George M", "non-dropping-particle" : "", "parse-names" : false, "suffix" : "" } ], "container-title" : "Medscape journal of medicine", "id" : "ITEM-1", "issue" : "5", "issued" : { "date-parts" : [ [ "2008", "5", "7" ] ] }, "page" : "111", "title" : "Abuse of medications employed for the treatment of ADHD: results from a large-scale community survey.", "type" : "article-journal", "volume" : "10" }, "uris" : [ "http://www.mendeley.com/documents/?uuid=68238ea5-c581-4584-8fb5-76e5b42d8b04" ] } ], "mendeley" : { "formattedCitation" : "&lt;sup&gt;51&lt;/sup&gt;", "plainTextFormattedCitation" : "51", "previouslyFormattedCitation" : "&lt;sup&gt;51&lt;/sup&gt;" }, "properties" : {  }, "schema" : "https://github.com/citation-style-language/schema/raw/master/csl-citation.json" }</w:instrText>
      </w:r>
      <w:r w:rsidR="00E03B13" w:rsidRPr="00C862ED">
        <w:fldChar w:fldCharType="separate"/>
      </w:r>
      <w:r w:rsidR="00487110" w:rsidRPr="00C862ED">
        <w:rPr>
          <w:noProof/>
          <w:vertAlign w:val="superscript"/>
        </w:rPr>
        <w:t>51</w:t>
      </w:r>
      <w:r w:rsidR="00E03B13" w:rsidRPr="00C862ED">
        <w:fldChar w:fldCharType="end"/>
      </w:r>
      <w:r w:rsidR="009D7E78" w:rsidRPr="00C862ED">
        <w:t>. Furthermore, evidence tends to support the fact that individuals with ADHD have a higher risk of suicide and suicide attempts</w:t>
      </w:r>
      <w:r w:rsidR="00E03B13" w:rsidRPr="00C862ED">
        <w:rPr>
          <w:rFonts w:eastAsia="Arial Unicode MS"/>
          <w:lang w:eastAsia="en-GB"/>
        </w:rPr>
        <w:fldChar w:fldCharType="begin" w:fldLock="1"/>
      </w:r>
      <w:r w:rsidR="008B3661" w:rsidRPr="00C862ED">
        <w:rPr>
          <w:rFonts w:eastAsia="Arial Unicode MS"/>
          <w:lang w:eastAsia="en-GB"/>
        </w:rPr>
        <w:instrText>ADDIN CSL_CITATION { "citationItems" : [ { "id" : "ITEM-1", "itemData" : { "DOI" : "10.5498/wjp.v7.i1.44", "ISSN" : "2220-3206", "author" : [ { "dropping-particle" : "", "family" : "Balazs", "given" : "Judit", "non-dropping-particle" : "", "parse-names" : false, "suffix" : "" }, { "dropping-particle" : "", "family" : "Kereszteny", "given" : "Agnes", "non-dropping-particle" : "", "parse-names" : false, "suffix" : "" } ], "container-title" : "World Journal of Psychiatry", "id" : "ITEM-1", "issue" : "1", "issued" : { "date-parts" : [ [ "2017" ] ] }, "page" : "44", "title" : "Attention-deficit/hyperactivity disorder and suicide: A systematic review", "type" : "article-journal", "volume" : "7" }, "uris" : [ "http://www.mendeley.com/documents/?uuid=2621cff9-c40d-416c-98a8-478dd358c7db" ] } ], "mendeley" : { "formattedCitation" : "&lt;sup&gt;19&lt;/sup&gt;", "plainTextFormattedCitation" : "19", "previouslyFormattedCitation" : "&lt;sup&gt;19&lt;/sup&gt;" }, "properties" : {  }, "schema" : "https://github.com/citation-style-language/schema/raw/master/csl-citation.json" }</w:instrText>
      </w:r>
      <w:r w:rsidR="00E03B13" w:rsidRPr="00C862ED">
        <w:rPr>
          <w:rFonts w:eastAsia="Arial Unicode MS"/>
          <w:lang w:eastAsia="en-GB"/>
        </w:rPr>
        <w:fldChar w:fldCharType="separate"/>
      </w:r>
      <w:r w:rsidR="008B3661" w:rsidRPr="00C862ED">
        <w:rPr>
          <w:rFonts w:eastAsia="Arial Unicode MS"/>
          <w:noProof/>
          <w:vertAlign w:val="superscript"/>
          <w:lang w:eastAsia="en-GB"/>
        </w:rPr>
        <w:t>19</w:t>
      </w:r>
      <w:r w:rsidR="00E03B13" w:rsidRPr="00C862ED">
        <w:rPr>
          <w:rFonts w:eastAsia="Arial Unicode MS"/>
          <w:lang w:eastAsia="en-GB"/>
        </w:rPr>
        <w:fldChar w:fldCharType="end"/>
      </w:r>
      <w:r w:rsidR="009D7E78" w:rsidRPr="00C862ED">
        <w:t xml:space="preserve">. In summary, ADHD adolescents could be especially prone to intentional (suicide attempts) or semi-intentional (recreational drug use) cases of poisoning, compared to younger children with the disorder and also the general population, and this could be driving in part the higher risk of poisonings compared to </w:t>
      </w:r>
      <w:r w:rsidR="00C63CD3" w:rsidRPr="00C862ED">
        <w:t xml:space="preserve">physical </w:t>
      </w:r>
      <w:r w:rsidR="009D7E78" w:rsidRPr="00C862ED">
        <w:t xml:space="preserve">injuries. However, a direct test of this hypothesis was not possible in our meta-analysis since included studies did not differentiate between intentional and unintentional poisonings. Whereas future studies should try to address this issue, it must be noted that this differentiation is likely impossible when using administrative databases. We sought for indirect support for the role of intentional poisoning through a meta-regression </w:t>
      </w:r>
      <w:r w:rsidR="00E70543" w:rsidRPr="00C862ED">
        <w:t xml:space="preserve">including </w:t>
      </w:r>
      <w:r w:rsidR="009D7E78" w:rsidRPr="00C862ED">
        <w:t>age</w:t>
      </w:r>
      <w:r w:rsidR="00E70543" w:rsidRPr="00C862ED">
        <w:t xml:space="preserve"> as a covariate</w:t>
      </w:r>
      <w:r w:rsidR="009D7E78" w:rsidRPr="00C862ED">
        <w:t xml:space="preserve">, but the results of this meta-regression analysis were not significant. Therefore, the role of age as a mediator in this issue still remains unknown. </w:t>
      </w:r>
    </w:p>
    <w:p w14:paraId="3DAA4C7B" w14:textId="5F75C793" w:rsidR="009D7E78" w:rsidRDefault="009D7E78" w:rsidP="00F453FF">
      <w:pPr>
        <w:spacing w:after="160"/>
        <w:ind w:firstLine="708"/>
      </w:pPr>
      <w:r w:rsidRPr="00C862ED">
        <w:rPr>
          <w:lang w:eastAsia="it-IT"/>
        </w:rPr>
        <w:t xml:space="preserve">The results of our systematic review/meta-analysis should be considered in the light of its strengths and limitations. As for the strengths, we pre-registered the protocol in a publicly available repository (PROSPERO), reducing the risk of reporting bias. Furthermore, we </w:t>
      </w:r>
      <w:r w:rsidR="00C862ED" w:rsidRPr="00C862ED">
        <w:rPr>
          <w:lang w:eastAsia="it-IT"/>
        </w:rPr>
        <w:t>endeavored</w:t>
      </w:r>
      <w:r w:rsidRPr="00C862ED">
        <w:rPr>
          <w:lang w:eastAsia="it-IT"/>
        </w:rPr>
        <w:t xml:space="preserve"> to perform a comprehensive and systematic search in several databases, with no restrictions in terms of language, date, or document type</w:t>
      </w:r>
      <w:r w:rsidR="00873A28" w:rsidRPr="00C862ED">
        <w:rPr>
          <w:lang w:eastAsia="it-IT"/>
        </w:rPr>
        <w:t>.</w:t>
      </w:r>
      <w:r w:rsidRPr="00C862ED">
        <w:rPr>
          <w:lang w:eastAsia="it-IT"/>
        </w:rPr>
        <w:t xml:space="preserve"> </w:t>
      </w:r>
      <w:r w:rsidR="00873A28" w:rsidRPr="00C862ED">
        <w:rPr>
          <w:lang w:eastAsia="it-IT"/>
        </w:rPr>
        <w:lastRenderedPageBreak/>
        <w:t>Additionally</w:t>
      </w:r>
      <w:r w:rsidRPr="00C862ED">
        <w:rPr>
          <w:lang w:eastAsia="it-IT"/>
        </w:rPr>
        <w:t xml:space="preserve">, we used a state-of-the-art tool, the Newcastle-Ottawa scale, to assess the quality of the retained studies. </w:t>
      </w:r>
      <w:r w:rsidRPr="00C862ED">
        <w:t xml:space="preserve">Furthermore, the included studies typically used big longitudinal or administrative cohorts or national surveys, which provide adequate statistical power to estimate the overall incidence of an infrequent type of event, such as is poisoning. </w:t>
      </w:r>
      <w:r w:rsidRPr="00C862ED">
        <w:rPr>
          <w:lang w:eastAsia="it-IT"/>
        </w:rPr>
        <w:t>There are also a number of limitations that should be taken into account, which are mostly related to the individual studies that we included rather than to methodological issues with our systematic review/meta-analysis.</w:t>
      </w:r>
      <w:r w:rsidRPr="00C862ED">
        <w:t xml:space="preserve"> First, intentionality of poisoning was not controlled in the included studies. Second, we could not find sufficient data to evaluate the effects of age, medication</w:t>
      </w:r>
      <w:r w:rsidR="00E70543" w:rsidRPr="00C862ED">
        <w:t xml:space="preserve"> status</w:t>
      </w:r>
      <w:r w:rsidRPr="00C862ED">
        <w:t xml:space="preserve"> or comorbidities on the risk of poisoning in ADHD.</w:t>
      </w:r>
      <w:r w:rsidR="00E03B13" w:rsidRPr="00C862ED">
        <w:t xml:space="preserve"> </w:t>
      </w:r>
      <w:r w:rsidR="00E03B13" w:rsidRPr="00137592">
        <w:t xml:space="preserve">Since these major confounders were not controlled </w:t>
      </w:r>
      <w:r w:rsidR="00197515">
        <w:t xml:space="preserve">for </w:t>
      </w:r>
      <w:r w:rsidR="00E03B13" w:rsidRPr="00137592">
        <w:t xml:space="preserve">in our analyses, the increased relative risk cannot be directly ascribed to ADHD. Although our results </w:t>
      </w:r>
      <w:r w:rsidR="00197515">
        <w:t>support the conclusion</w:t>
      </w:r>
      <w:r w:rsidR="00E03B13" w:rsidRPr="00137592">
        <w:t xml:space="preserve"> that individuals with ADHD in the real world suffer more poisoning events than those without it, we cannot know what factor or factors are at the origin of this relationship and in this regard, any causative explanation derived from them should be taken with caution.</w:t>
      </w:r>
    </w:p>
    <w:p w14:paraId="4944E4E6" w14:textId="2AA21442" w:rsidR="009D7E78" w:rsidRPr="00C862ED" w:rsidRDefault="009D7E78" w:rsidP="00F453FF">
      <w:pPr>
        <w:spacing w:after="160"/>
        <w:ind w:firstLine="708"/>
      </w:pPr>
      <w:r w:rsidRPr="00C862ED">
        <w:t xml:space="preserve">Our findings have important implication </w:t>
      </w:r>
      <w:r w:rsidR="00873A28" w:rsidRPr="00C862ED">
        <w:t>from</w:t>
      </w:r>
      <w:r w:rsidR="00F453FF" w:rsidRPr="00C862ED">
        <w:t xml:space="preserve"> a public health standpoint. </w:t>
      </w:r>
      <w:r w:rsidRPr="00C862ED">
        <w:t>Poisoning remains a leading cause of preventable injuries in childhood and adolescence</w:t>
      </w:r>
      <w:r w:rsidR="00E03B13" w:rsidRPr="00C862ED">
        <w:rPr>
          <w:rFonts w:eastAsia="Arial Unicode MS"/>
          <w:lang w:eastAsia="en-GB"/>
        </w:rPr>
        <w:fldChar w:fldCharType="begin" w:fldLock="1"/>
      </w:r>
      <w:r w:rsidR="00D86E25" w:rsidRPr="00C862ED">
        <w:rPr>
          <w:rFonts w:eastAsia="Arial Unicode MS"/>
          <w:lang w:eastAsia="en-GB"/>
        </w:rPr>
        <w:instrText>ADDIN CSL_CITATION { "citationItems" : [ { "id" : "ITEM-1",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"ITEM-1", "issued" : { "date-parts" : [ [ "2008" ] ] }, "number-of-pages" : "232", "publisher-place" : "Geneva, Switzerland", "title" : "World report on child injury prevention", "type" : "report" }, "uris" : [ "http://www.mendeley.com/documents/?uuid=94f0a0ee-7b4d-4816-8ca8-4d27c40cf9f3" ] } ], "mendeley" : { "formattedCitation" : "&lt;sup&gt;1&lt;/sup&gt;", "plainTextFormattedCitation" : "1", "previouslyFormattedCitation" : "&lt;sup&gt;1&lt;/sup&gt;" }, "properties" : {  }, "schema" : "https://github.com/citation-style-language/schema/raw/master/csl-citation.json" }</w:instrText>
      </w:r>
      <w:r w:rsidR="00E03B13" w:rsidRPr="00C862ED">
        <w:rPr>
          <w:rFonts w:eastAsia="Arial Unicode MS"/>
          <w:lang w:eastAsia="en-GB"/>
        </w:rPr>
        <w:fldChar w:fldCharType="separate"/>
      </w:r>
      <w:r w:rsidR="00D86E25" w:rsidRPr="00C862ED">
        <w:rPr>
          <w:rFonts w:eastAsia="Arial Unicode MS"/>
          <w:noProof/>
          <w:vertAlign w:val="superscript"/>
          <w:lang w:eastAsia="en-GB"/>
        </w:rPr>
        <w:t>1</w:t>
      </w:r>
      <w:r w:rsidR="00E03B13" w:rsidRPr="00C862ED">
        <w:rPr>
          <w:rFonts w:eastAsia="Arial Unicode MS"/>
          <w:lang w:eastAsia="en-GB"/>
        </w:rPr>
        <w:fldChar w:fldCharType="end"/>
      </w:r>
      <w:r w:rsidRPr="00C862ED">
        <w:t>, whose treatment involves a huge cost of economic and human resources</w:t>
      </w:r>
      <w:r w:rsidR="00E03B13" w:rsidRPr="00C862ED">
        <w:fldChar w:fldCharType="begin" w:fldLock="1"/>
      </w:r>
      <w:r w:rsidR="00487110" w:rsidRPr="00C862ED">
        <w:instrText>ADDIN CSL_CITATION { "citationItems" : [ { "id" : "ITEM-1", "itemData" : { "DOI" : "10.1542/peds.2007-3551", "ISSN" : "1098-4275", "PMID" : "19047241", "abstract" : "OBJECTIVES The goals were to develop national estimates of unintentional child poisoning cases treated in US hospital emergency departments, to determine population-based poisoning rates, and to evaluate characteristics of the victims and the products involved. METHODS Cases reported through the US Consumer Product Safety Commission National Electronic Injury Surveillance System, involving a national probability sample of US hospital emergency departments, were used as a basis for developing national estimates of product-related poisonings involving children&lt;5 years of age treated in US hospital emergency departments in 2004. RESULTS There were an estimated 86194 child poisoning incidents treated in US hospital emergency departments in 2004, amounting to 429.4 poisonings per 100000 children. Approximately 70% of the poisonings involved children 1 or 2 years of age, slightly more than one half involved boys, and 13.3% resulted in hospital admission. Approximately 59.5% of the poisonings involved oral prescription drugs, oral nonprescription drugs, or supplements. Other major product categories resulting in poisonings included cleaning products (13.2%), drugs and ointment preparations intended for external use (4.9%), and personal care products (4.7%). Approximately 54.7% of the poisonings involved products already subject to child-resistant packaging requirements under the Poison Prevention Packaging Act. CONCLUSIONS Despite advances in recent years, unintentional child poisonings remain an important public health concern. The circumstances surrounding poisonings need to be evaluated further, and intervention strategies need to be developed.", "author" : [ { "dropping-particle" : "", "family" : "Franklin", "given" : "Robert L", "non-dropping-particle" : "", "parse-names" : false, "suffix" : "" }, { "dropping-particle" : "", "family" : "Rodgers", "given" : "Gregory B", "non-dropping-particle" : "", "parse-names" : false, "suffix" : "" } ], "container-title" : "Pediatrics", "id" : "ITEM-1", "issue" : "6", "issued" : { "date-parts" : [ [ "2008", "12" ] ] }, "page" : "1244-51", "title" : "Unintentional child poisonings treated in United States hospital emergency departments: national estimates of incident cases, population-based poisoning rates, and product involvement.", "type" : "article-journal", "volume" : "122" }, "uris" : [ "http://www.mendeley.com/documents/?uuid=75ff5f4c-91f1-4f9a-8e60-3f26d97a08b0" ] }, { "id" : "ITEM-2", "itemData" : { "DOI" : "10.1007/s13181-016-0564-6", "ISSN" : "1937-6995", "PMID" : "27342464", "abstract" : "In recent years, there has been an increase in poisoning-related emergency department (ED) visits. This study examines trends in ED resource utilization for poisoning-related visits over time. A retrospective review of data from the National Hospital Ambulatory Medical Care Survey, 2003-2011, was conducted. All ED visits with a reason for visit or ICD-9 code related to poisoning were included. We examined the number of ED visits and resources used including diagnostic studies and procedures performed, medications provided, admission rates, and length of stay. The proportion of visits involving resource use was tabulated and trends analyzed using survey-weighted logistic regression, grouping into 2-year periods to ensure adequate sample size. Of an estimated 843 million ED visits between 2003 and 2011, 8 million (0.9 %) were related to poisoning. Visits increased from 1.8 million (0.8 %) visits in 2003-2004 to 2.9 million (1.1 %) visits in 2010-2011, p = 0.001. Use of laboratory studies, EKGs, plain radiographs, and procedures remained stable across the study period. CT use was more than doubled, increasing from 5.2 to 13.7 % of visits, p = 0.001. ED length of stay increased by 35.5 % from 254 to 344 min, p = 0.001. Admission rates increased by 45.3 %, from 15.0 to 21.8 %, p = 0.046. Over the entire study period, 52.0 % of poisoned patients arrived via ambulance, and 3.0 % of patients had been discharged from the hospital within the previous 7 days. Poisoning-related ED visits increased over the 8-year study period; poisonings are resource-intensive visits and require increasingly longer lengths of ED stay or hospital admission.", "author" : [ { "dropping-particle" : "", "family" : "Mazer-Amirshahi", "given" : "Maryann", "non-dropping-particle" : "", "parse-names" : false, "suffix" : "" }, { "dropping-particle" : "", "family" : "Sun", "given" : "Christie", "non-dropping-particle" : "", "parse-names" : false, "suffix" : "" }, { "dropping-particle" : "", "family" : "Mullins", "given" : "Peter", "non-dropping-particle" : "", "parse-names" : false, "suffix" : "" }, { "dropping-particle" : "", "family" : "Perrone", "given" : "Jeanmarie", "non-dropping-particle" : "", "parse-names" : false, "suffix" : "" }, { "dropping-particle" : "", "family" : "Nelson", "given" : "Lewis", "non-dropping-particle" : "", "parse-names" : false, "suffix" : "" }, { "dropping-particle" : "", "family" : "Pines", "given" : "Jesse M", "non-dropping-particle" : "", "parse-names" : false, "suffix" : "" } ], "container-title" : "Journal of medical toxicology : official journal of the American College of Medical Toxicology", "id" : "ITEM-2", "issue" : "3", "issued" : { "date-parts" : [ [ "2016" ] ] }, "page" : "248-54", "title" : "Trends in Emergency Department Resource Utilization for Poisoning-Related Visits, 2003-2011.", "type" : "article-journal", "volume" : "12" }, "uris" : [ "http://www.mendeley.com/documents/?uuid=e8a188dd-f90d-44a0-80d4-eadb171ada96" ] } ], "mendeley" : { "formattedCitation" : "&lt;sup&gt;52,53&lt;/sup&gt;", "plainTextFormattedCitation" : "52,53", "previouslyFormattedCitation" : "&lt;sup&gt;52,53&lt;/sup&gt;" }, "properties" : {  }, "schema" : "https://github.com/citation-style-language/schema/raw/master/csl-citation.json" }</w:instrText>
      </w:r>
      <w:r w:rsidR="00E03B13" w:rsidRPr="00C862ED">
        <w:fldChar w:fldCharType="separate"/>
      </w:r>
      <w:r w:rsidR="00487110" w:rsidRPr="00C862ED">
        <w:rPr>
          <w:noProof/>
          <w:vertAlign w:val="superscript"/>
        </w:rPr>
        <w:t>52,53</w:t>
      </w:r>
      <w:r w:rsidR="00E03B13" w:rsidRPr="00C862ED">
        <w:fldChar w:fldCharType="end"/>
      </w:r>
      <w:r w:rsidRPr="00C862ED">
        <w:t xml:space="preserve">. The present meta-analysis has shown that children and adolescents with ADHD are a population with an increased risk of poisoning. Specific preventive measures in this population could help to minimize this risk or the detrimental consequences of poisoning. Health providers should ensure a correct understanding of treatment dosages and frequency intakes, as well as alarm signs regarding </w:t>
      </w:r>
      <w:r w:rsidR="00F453FF" w:rsidRPr="00C862ED">
        <w:t>side effects</w:t>
      </w:r>
      <w:r w:rsidRPr="00C862ED">
        <w:t xml:space="preserve"> or poisoning and how should parents and or patients act in a case of possible poisoning. They should also emphasize the hazard of having dangerous </w:t>
      </w:r>
      <w:r w:rsidR="00F453FF" w:rsidRPr="00C862ED">
        <w:t>household</w:t>
      </w:r>
      <w:r w:rsidRPr="00C862ED">
        <w:t xml:space="preserve"> products out of </w:t>
      </w:r>
      <w:r w:rsidRPr="00C862ED">
        <w:lastRenderedPageBreak/>
        <w:t xml:space="preserve">the reach of children. Further studies on the incidence of intentional injuries (recreational drug use and suicide intents) in this population, and the effect of medication on the risk of poisoning are needed. </w:t>
      </w:r>
    </w:p>
    <w:p w14:paraId="730E19B4" w14:textId="77777777" w:rsidR="009D7E78" w:rsidRPr="00C862ED" w:rsidRDefault="009D7E78" w:rsidP="009458A9">
      <w:pPr>
        <w:spacing w:after="160" w:line="360" w:lineRule="auto"/>
        <w:rPr>
          <w:rStyle w:val="Textoennegrita"/>
        </w:rPr>
      </w:pPr>
    </w:p>
    <w:p w14:paraId="7EFCF989" w14:textId="77777777" w:rsidR="009D7E78" w:rsidRPr="00C862ED" w:rsidRDefault="009D7E78" w:rsidP="009458A9">
      <w:pPr>
        <w:spacing w:after="160" w:line="360" w:lineRule="auto"/>
        <w:rPr>
          <w:rStyle w:val="Textoennegrita"/>
        </w:rPr>
      </w:pPr>
      <w:r w:rsidRPr="00C862ED">
        <w:rPr>
          <w:rStyle w:val="Textoennegrita"/>
        </w:rPr>
        <w:t>METHODS</w:t>
      </w:r>
    </w:p>
    <w:p w14:paraId="49FDF361" w14:textId="44762978" w:rsidR="009D7E78" w:rsidRPr="00C862ED" w:rsidRDefault="006278D0" w:rsidP="00F453FF">
      <w:pPr>
        <w:ind w:firstLine="708"/>
        <w:rPr>
          <w:rFonts w:eastAsia="Times New Roman"/>
          <w:lang w:eastAsia="es-ES"/>
        </w:rPr>
      </w:pPr>
      <w:r w:rsidRPr="00C862ED">
        <w:rPr>
          <w:rStyle w:val="st"/>
        </w:rPr>
        <w:t xml:space="preserve">The </w:t>
      </w:r>
      <w:r w:rsidR="00873A28" w:rsidRPr="00C862ED">
        <w:rPr>
          <w:rStyle w:val="st"/>
        </w:rPr>
        <w:t>Preferred Reporting Items for Systematic Review and Meta-Analysis Protocols (</w:t>
      </w:r>
      <w:r w:rsidR="009D7E78" w:rsidRPr="00C862ED">
        <w:rPr>
          <w:rFonts w:eastAsia="Arial Unicode MS"/>
          <w:lang w:eastAsia="en-GB"/>
        </w:rPr>
        <w:t>PRISMA-P</w:t>
      </w:r>
      <w:r w:rsidR="00873A28" w:rsidRPr="00C862ED">
        <w:rPr>
          <w:rFonts w:eastAsia="Arial Unicode MS"/>
          <w:lang w:eastAsia="en-GB"/>
        </w:rPr>
        <w:t>)</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"10.1136/bmj.g7647", "ISSN" : "1756-1833", "PMID" : "25555855", "abstract" : "Protocols of systematic reviews and meta-analyses allow for planning and documentation of review methods, act as a guard against arbitrary decision making during review conduct, enable readers to assess for the presence of selective reporting against completed reviews, and, when made publicly available, reduce duplication of efforts and potentially prompt collaboration. Evidence documenting the existence of selective reporting and excessive duplication of reviews on the same or similar topics is accumulating and many calls have been made in support of the documentation and public availability of review protocols. Several efforts have emerged in recent years to rectify these problems, including development of an international register for prospective reviews (PROSPERO) and launch of the first open access journal dedicated to the exclusive publication of systematic review products, including protocols (BioMed Central's Systematic Reviews). Furthering these efforts and building on the PRISMA (Preferred Reporting Items for Systematic Reviews and Meta-analyses) guidelines, an international group of experts has created a guideline to improve the transparency, accuracy, completeness, and frequency of documented systematic review and meta-analysis protocols--PRISMA-P (for protocols) 2015. The PRISMA-P checklist contains 17 items considered to be essential and minimum components of a systematic review or meta-analysis protocol.This PRISMA-P 2015 Explanation and Elaboration paper provides readers with a full understanding of and evidence about the necessity of each item as well as a model example from an existing published protocol. This paper should be read together with the PRISMA-P 2015 statement. Systematic review authors and assessors are strongly encouraged to make use of PRISMA-P when drafting and appraising review protocols.", "author" : [ { "dropping-particle" : "", "family" : "Shamseer", "given" : "Larissa", "non-dropping-particle" : "", "parse-names" : false, "suffix" : "" }, { "dropping-particle" : "", "family" : "Moher", "given" : "David", "non-dropping-particle" : "", "parse-names" : false, "suffix" : "" }, { "dropping-particle" : "", "family" : "Clarke", "given" : "Mike", "non-dropping-particle" : "", "parse-names" : false, "suffix" : "" }, { "dropping-particle" : "", "family" : "Ghersi", "given" : "Davina", "non-dropping-particle" : "", "parse-names" : false, "suffix" : "" }, { "dropping-particle" : "", "family" : "Liberati", "given" : "Alessandro", "non-dropping-particle" : "", "parse-names" : false, "suffix" : "" }, { "dropping-particle" : "", "family" : "Petticrew", "given" : "Mark", "non-dropping-particle" : "", "parse-names" : false, "suffix" : "" }, { "dropping-particle" : "", "family" : "Shekelle", "given" : "Paul", "non-dropping-particle" : "", "parse-names" : false, "suffix" : "" }, { "dropping-particle" : "", "family" : "Stewart", "given" : "Lesley A", "non-dropping-particle" : "", "parse-names" : false, "suffix" : "" }, { "dropping-particle" : "", "family" : "PRISMA-P Group", "given" : "", "non-dropping-particle" : "", "parse-names" : false, "suffix" : "" } ], "container-title" : "BMJ (Clinical research ed.)", "id" : "ITEM-1", "issued" : { "date-parts" : [ [ "2015", "1", "2" ] ] }, "page" : "g7647", "title" : "Preferred reporting items for systematic review and meta-analysis protocols (PRISMA-P) 2015: elaboration and explanation.", "type" : "article-journal", "volume" : "349" }, "uris" : [ "http://www.mendeley.com/documents/?uuid=5599855a-d707-4110-816c-decedac6475d" ] }, { "id" : "ITEM-2", "itemData" : { "DOI" : "10.1186/2046-4053-4-1", "ISBN" : "10.1186/2046-4053-4-1", "ISSN" : "2046-4053", "PMID" : "25554246", "abstract" : "Systematic reviews should build on a protocol that describes the rationale, hypothesis, and planned methods of the review; few reviews report whether a protocol exists. Detailed, well-described protocols can facilitate the understanding and appraisal of the review methods, as well as the detection of modifications to methods and selective reporting in completed reviews. We describe the development of a reporting guideline, the Preferred Reporting Items for Systematic reviews and Meta-Analyses for Protocols 2015 (PRISMA-P 2015). PRISMA-P consists of a 17-item checklist intended to facilitate the preparation and reporting of a robust protocol for the systematic review. Funders and those commissioning reviews might consider mandating the use of the checklist to facilitate the submission of relevant protocol information in funding applications. Similarly, peer reviewers and editors can use the guidance to gauge the completeness and transparency of a systematic review protocol submitted for publication in a journal or other medium.", "author" : [ { "dropping-particle" : "", "family" : "Moher", "given" : "David", "non-dropping-particle" : "", "parse-names" : false, "suffix" : "" }, { "dropping-particle" : "", "family" : "Shamseer", "given" : "Larissa", "non-dropping-particle" : "", "parse-names" : false, "suffix" : "" }, { "dropping-particle" : "", "family" : "Clarke", "given" : "Mike", "non-dropping-particle" : "", "parse-names" : false, "suffix" : "" }, { "dropping-particle" : "", "family" : "Ghersi", "given" : "Davina", "non-dropping-particle" : "", "parse-names" : false, "suffix" : "" }, { "dropping-particle" : "", "family" : "Liberati", "given" : "Alessandro", "non-dropping-particle" : "", "parse-names" : false, "suffix" : "" }, { "dropping-particle" : "", "family" : "Petticrew", "given" : "Mark", "non-dropping-particle" : "", "parse-names" : false, "suffix" : "" }, { "dropping-particle" : "", "family" : "Shekelle", "given" : "Paul", "non-dropping-particle" : "", "parse-names" : false, "suffix" : "" }, { "dropping-particle" : "", "family" : "Stewart", "given" : "Lesley A", "non-dropping-particle" : "", "parse-names" : false, "suffix" : "" } ], "container-title" : "Systematic reviews", "id" : "ITEM-2", "issue" : "1", "issued" : { "date-parts" : [ [ "2015", "1", "1" ] ] }, "language" : "En", "page" : "1", "publisher" : "BioMed Central", "title" : "Preferred Reporting Items for Systematic Review and Meta-Analysis Protocols (PRISMA-P) 2015 statement.", "type" : "article-journal", "volume" : "4" }, "uris" : [ "http://www.mendeley.com/documents/?uuid=ce8ba037-4e3c-4cd0-87d1-c6fc1188678d" ] } ], "mendeley" : { "formattedCitation" : "&lt;sup&gt;54,55&lt;/sup&gt;", "plainTextFormattedCitation" : "54,55", "previouslyFormattedCitation" : "&lt;sup&gt;54,55&lt;/sup&gt;"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54,55</w:t>
      </w:r>
      <w:r w:rsidR="00E03B13" w:rsidRPr="00C862ED">
        <w:rPr>
          <w:rFonts w:eastAsia="Arial Unicode MS"/>
          <w:lang w:eastAsia="en-GB"/>
        </w:rPr>
        <w:fldChar w:fldCharType="end"/>
      </w:r>
      <w:r w:rsidR="003A5E31" w:rsidRPr="00C862ED">
        <w:rPr>
          <w:rFonts w:eastAsia="Arial Unicode MS"/>
          <w:lang w:eastAsia="en-GB"/>
        </w:rPr>
        <w:t>,</w:t>
      </w:r>
      <w:r w:rsidRPr="00C862ED">
        <w:rPr>
          <w:rFonts w:eastAsia="Arial Unicode MS"/>
          <w:lang w:eastAsia="en-GB"/>
        </w:rPr>
        <w:t xml:space="preserve"> the </w:t>
      </w:r>
      <w:r w:rsidR="00873A28" w:rsidRPr="00C862ED">
        <w:rPr>
          <w:rStyle w:val="st"/>
        </w:rPr>
        <w:t>Preferred Reporting Items for Systematic Rev</w:t>
      </w:r>
      <w:r w:rsidR="00FB2CA9" w:rsidRPr="00C862ED">
        <w:rPr>
          <w:rStyle w:val="st"/>
        </w:rPr>
        <w:t>iew and Meta-Analysis (PRISMA)</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"10.7326/0003-4819-151-4-200908180-00136", "ISBN" : "1756-1833 (Electronic)\\r0959-535X (Linking)", "ISSN" : "1756-1833", "PMID" : "19622552", "abstract" : "Systematic reviews and meta-analyses are essential to summarise evidence relating to efficacy and safety of healthcare interventions accurately and reliably. The clarity and transparency of these reports, however, are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Realising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website (www.prisma-statement.org/) should be helpful resources to improve reporting of systematic reviews and meta-analyses.", "author" : [ { "dropping-particle" : "", "family" : "Liberati", "given" : "Alessandro", "non-dropping-particle" : "", "parse-names" : false, "suffix" : "" }, { "dropping-particle" : "", "family" : "Altman", "given" : "Douglas G", "non-dropping-particle" : "", "parse-names" : false, "suffix" : "" }, { "dropping-particle" : "", "family" : "Tetzlaff", "given" : "Jennifer", "non-dropping-particle" : "", "parse-names" : false, "suffix" : "" }, { "dropping-particle" : "", "family" : "Mulrow", "given" : "Cynthia", "non-dropping-particle" : "", "parse-names" : false, "suffix" : "" }, { "dropping-particle" : "", "family" : "G\u00f8tzsche", "given" : "Peter C", "non-dropping-particle" : "", "parse-names" : false, "suffix" : "" }, { "dropping-particle" : "", "family" : "Ioannidis", "given" : "John P A", "non-dropping-particle" : "", "parse-names" : false, "suffix" : "" }, { "dropping-particle" : "", "family" : "Clarke", "given" : "Mike", "non-dropping-particle" : "", "parse-names" : false, "suffix" : "" }, { "dropping-particle" : "", "family" : "Devereaux", "given" : "P J", "non-dropping-particle" : "", "parse-names" : false, "suffix" : "" }, { "dropping-particle" : "", "family" : "Kleijnen", "given" : "Jos", "non-dropping-particle" : "", "parse-names" : false, "suffix" : "" }, { "dropping-particle" : "", "family" : "Moher", "given" : "David", "non-dropping-particle" : "", "parse-names" : false, "suffix" : "" } ], "container-title" : "BMJ (Clinical research ed.)", "id" : "ITEM-1", "issued" : { "date-parts" : [ [ "2009" ] ] }, "page" : "b2700", "title" : "The PRISMA statement for reporting systematic reviews and meta-analyses of studies that evaluate healthcare interventions: explanation and elaboration.", "type" : "article-journal", "volume" : "339" }, "uris" : [ "http://www.mendeley.com/documents/?uuid=01de18af-6f41-466a-9906-2fc60c26c16d" ] }, { "id" : "ITEM-2", "itemData" : { "DOI" : "10.1371/journal.pmed.1000097", "ISSN" : "1549-1676", "PMID" : "19621072", "author" : [ { "dropping-particle" : "", "family" : "Moher", "given" : "David", "non-dropping-particle" : "", "parse-names" : false, "suffix" : "" }, { "dropping-particle" : "", "family" : "Liberati", "given" : "Alessandro", "non-dropping-particle" : "", "parse-names" : false, "suffix" : "" }, { "dropping-particle" : "", "family" : "Tetzlaff", "given" : "Jennifer", "non-dropping-particle" : "", "parse-names" : false, "suffix" : "" }, { "dropping-particle" : "", "family" : "Altman", "given" : "Douglas G", "non-dropping-particle" : "", "parse-names" : false, "suffix" : "" } ], "container-title" : "PLoS medicine", "id" : "ITEM-2", "issue" : "7", "issued" : { "date-parts" : [ [ "2009", "7", "21" ] ] }, "page" : "e1000097", "publisher" : "Public Library of Science", "title" : "Preferred reporting items for systematic reviews and meta-analyses: the PRISMA statement.", "type" : "article-journal", "volume" : "6" }, "uris" : [ "http://www.mendeley.com/documents/?uuid=8317c546-1b77-48ba-90d6-b21cb0a27d2a" ] } ], "mendeley" : { "formattedCitation" : "&lt;sup&gt;56,57&lt;/sup&gt;", "plainTextFormattedCitation" : "56,57", "previouslyFormattedCitation" : "&lt;sup&gt;56,57&lt;/sup&gt;"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56,57</w:t>
      </w:r>
      <w:r w:rsidR="00E03B13" w:rsidRPr="00C862ED">
        <w:rPr>
          <w:rFonts w:eastAsia="Arial Unicode MS"/>
          <w:lang w:eastAsia="en-GB"/>
        </w:rPr>
        <w:fldChar w:fldCharType="end"/>
      </w:r>
      <w:r w:rsidR="009D7E78" w:rsidRPr="00C862ED">
        <w:rPr>
          <w:rFonts w:eastAsia="Arial Unicode MS"/>
          <w:lang w:eastAsia="en-GB"/>
        </w:rPr>
        <w:t xml:space="preserve"> and </w:t>
      </w:r>
      <w:r w:rsidRPr="00C862ED">
        <w:rPr>
          <w:rFonts w:eastAsia="Arial Unicode MS"/>
          <w:lang w:eastAsia="en-GB"/>
        </w:rPr>
        <w:t xml:space="preserve">the </w:t>
      </w:r>
      <w:r w:rsidR="00873A28" w:rsidRPr="00C862ED">
        <w:rPr>
          <w:rFonts w:eastAsia="Times New Roman"/>
          <w:lang w:eastAsia="es-ES"/>
        </w:rPr>
        <w:t>Meta-analysis of Observational Studies</w:t>
      </w:r>
      <w:r w:rsidRPr="00C862ED">
        <w:rPr>
          <w:rFonts w:eastAsia="Times New Roman"/>
          <w:lang w:eastAsia="es-ES"/>
        </w:rPr>
        <w:t xml:space="preserve"> </w:t>
      </w:r>
      <w:r w:rsidR="00873A28" w:rsidRPr="00C862ED">
        <w:rPr>
          <w:rFonts w:eastAsia="Times New Roman"/>
          <w:lang w:eastAsia="es-ES"/>
        </w:rPr>
        <w:t>in Epidemiology (</w:t>
      </w:r>
      <w:r w:rsidR="009D7E78" w:rsidRPr="00C862ED">
        <w:rPr>
          <w:rFonts w:eastAsia="Arial Unicode MS"/>
          <w:lang w:eastAsia="en-GB"/>
        </w:rPr>
        <w:t>MOOSE</w:t>
      </w:r>
      <w:r w:rsidR="00873A28" w:rsidRPr="00C862ED">
        <w:rPr>
          <w:rFonts w:eastAsia="Arial Unicode MS"/>
          <w:lang w:eastAsia="en-GB"/>
        </w:rPr>
        <w:t>)</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"10.1001/jama.283.15.2008", "ISBN" : "0098-7484 (Print) 0098-7484", "ISSN" : "0098-7484", "PMID" : "10789670", "abstract" : "OBJECTIVE Because of the pressure for timely, informed decisions in public health and clinical practice and the explosion of information in the scientific literature, research results must be synthesized. Meta-analyses are increasingly used to address this problem, and they often evaluate observational studies. A workshop was held in Atlanta, Ga, in April 1997, to examine the reporting of meta-analyses of observational studies and to make recommendations to aid authors, reviewers, editors, and readers. PARTICIPANTS Twenty-seven participants were selected by a steering committee, based on expertise in clinical practice, trials, statistics, epidemiology, social sciences, and biomedical editing. Deliberations of the workshop were open to other interested scientists. Funding for this activity was provided by the Centers for Disease Control and Prevention. EVIDENCE We conducted a systematic review of the published literature on the conduct and reporting of meta-analyses in observational studies using MEDLINE, Educational Research Information Center (ERIC), PsycLIT, and the Current Index to Statistics. We also examined reference lists of the 32 studies retrieved and contacted experts in the field. Participants were assigned to small-group discussions on the subjects of bias, searching and abstracting, heterogeneity, study categorization, and statistical methods. CONSENSUS PROCESS From the material presented at the workshop, the authors developed a checklist summarizing recommendations for reporting meta-analyses of observational studies. The checklist and supporting evidence were circulated to all conference attendees and additional experts. All suggestions for revisions were addressed. CONCLUSIONS The proposed checklist contains specifications for reporting of meta-analyses of observational studies in epidemiology, including background, search strategy, methods, results, discussion, and conclusion. Use of the checklist should improve the usefulness of meta-analyses for authors, reviewers, editors, readers, and decision makers. An evaluation plan is suggested and research areas are explored.", "author" : [ { "dropping-particle" : "", "family" : "Stroup", "given" : "D F", "non-dropping-particle" : "", "parse-names" : false, "suffix" : "" }, { "dropping-particle" : "", "family" : "Berlin", "given" : "J A", "non-dropping-particle" : "", "parse-names" : false, "suffix" : "" }, { "dropping-particle" : "", "family" : "Morton", "given" : "S C", "non-dropping-particle" : "", "parse-names" : false, "suffix" : "" }, { "dropping-particle" : "", "family" : "Olkin", "given" : "I", "non-dropping-particle" : "", "parse-names" : false, "suffix" : "" }, { "dropping-particle" : "", "family" : "Williamson", "given" : "G D", "non-dropping-particle" : "", "parse-names" : false, "suffix" : "" }, { "dropping-particle" : "", "family" : "Rennie", "given" : "D", "non-dropping-particle" : "", "parse-names" : false, "suffix" : "" }, { "dropping-particle" : "", "family" : "Moher", "given" : "D", "non-dropping-particle" : "", "parse-names" : false, "suffix" : "" }, { "dropping-particle" : "", "family" : "Becker", "given" : "B J", "non-dropping-particle" : "", "parse-names" : false, "suffix" : "" }, { "dropping-particle" : "", "family" : "Sipe", "given" : "T A", "non-dropping-particle" : "", "parse-names" : false, "suffix" : "" }, { "dropping-particle" : "", "family" : "Thacker", "given" : "S B", "non-dropping-particle" : "", "parse-names" : false, "suffix" : "" } ], "container-title" : "JAMA", "id" : "ITEM-1", "issue" : "15", "issued" : { "date-parts" : [ [ "2000", "4", "19" ] ] }, "page" : "2008-12", "title" : "Meta-analysis of observational studies in epidemiology: a proposal for reporting. Meta-analysis Of Observational Studies in Epidemiology (MOOSE) group.", "type" : "article-journal", "volume" : "283" }, "uris" : [ "http://www.mendeley.com/documents/?uuid=fdb782b1-4be5-424a-8a35-7d0f16e20e63" ] } ], "mendeley" : { "formattedCitation" : "&lt;sup&gt;58&lt;/sup&gt;", "plainTextFormattedCitation" : "58", "previouslyFormattedCitation" : "&lt;sup&gt;58&lt;/sup&gt;"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58</w:t>
      </w:r>
      <w:r w:rsidR="00E03B13" w:rsidRPr="00C862ED">
        <w:rPr>
          <w:rFonts w:eastAsia="Arial Unicode MS"/>
          <w:lang w:eastAsia="en-GB"/>
        </w:rPr>
        <w:fldChar w:fldCharType="end"/>
      </w:r>
      <w:r w:rsidR="009D7E78" w:rsidRPr="00C862ED">
        <w:rPr>
          <w:rFonts w:eastAsia="Arial Unicode MS"/>
          <w:lang w:eastAsia="en-GB"/>
        </w:rPr>
        <w:t xml:space="preserve"> guidelines were followed when planning and carrying out our work. The protocol for the study was registered in the international prospective register of systematic reviews held by the University </w:t>
      </w:r>
      <w:proofErr w:type="gramStart"/>
      <w:r w:rsidR="009D7E78" w:rsidRPr="00C862ED">
        <w:rPr>
          <w:rFonts w:eastAsia="Arial Unicode MS"/>
          <w:lang w:eastAsia="en-GB"/>
        </w:rPr>
        <w:t>of</w:t>
      </w:r>
      <w:proofErr w:type="gramEnd"/>
      <w:r w:rsidR="009D7E78" w:rsidRPr="00C862ED">
        <w:rPr>
          <w:rFonts w:eastAsia="Arial Unicode MS"/>
          <w:lang w:eastAsia="en-GB"/>
        </w:rPr>
        <w:t xml:space="preserve"> York (PROSPERO) prior to data analysis (registration number CRD42017079911). Methods reflected those of our previous meta-analysis on the risk of </w:t>
      </w:r>
      <w:r w:rsidR="00C63CD3" w:rsidRPr="00C862ED">
        <w:rPr>
          <w:rFonts w:eastAsia="Arial Unicode MS"/>
          <w:lang w:eastAsia="en-GB"/>
        </w:rPr>
        <w:t xml:space="preserve">physical </w:t>
      </w:r>
      <w:r w:rsidR="009D7E78" w:rsidRPr="00C862ED">
        <w:rPr>
          <w:rFonts w:eastAsia="Arial Unicode MS"/>
          <w:lang w:eastAsia="en-GB"/>
        </w:rPr>
        <w:t>injuries in order to make results comparable</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"10.1136/bmjopen-2017-018027",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"Magallon", "given" : "Sara", "non-dropping-particle" : "", "parse-names" : false, "suffix" : "" }, { "dropping-particle" : "", "family" : "Luis", "given" : "Elkin O.", "non-dropping-particle" : "", "parse-names" : false, "suffix" : "" }, { "dropping-particle" : "", "family" : "Alvarez Zallo", "given" : "Noelia",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"British medical journal Open", "id" : "ITEM-1", "issued" : { "date-parts" : [ [ "2017" ] ] }, "title" : "Risk of unintentional injuries in children and adolescents with ADHD and the impact of ADHD medications: protocol for a systematic review and meta-analysis", "type" : "article-journal" }, "uris" : [ "http://www.mendeley.com/documents/?uuid=21b0e203-517b-44c9-8854-76ca11e5a8f5" ] } ], "mendeley" : { "formattedCitation" : "&lt;sup&gt;59&lt;/sup&gt;", "plainTextFormattedCitation" : "59", "previouslyFormattedCitation" : "&lt;sup&gt;59&lt;/sup&gt;"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59</w:t>
      </w:r>
      <w:r w:rsidR="00E03B13" w:rsidRPr="00C862ED">
        <w:rPr>
          <w:rFonts w:eastAsia="Arial Unicode MS"/>
          <w:lang w:eastAsia="en-GB"/>
        </w:rPr>
        <w:fldChar w:fldCharType="end"/>
      </w:r>
      <w:r w:rsidR="009D7E78" w:rsidRPr="00C862ED">
        <w:rPr>
          <w:rFonts w:eastAsia="Arial Unicode MS"/>
          <w:lang w:eastAsia="en-GB"/>
        </w:rPr>
        <w:t>.</w:t>
      </w:r>
    </w:p>
    <w:p w14:paraId="2E6EBEC2" w14:textId="77777777" w:rsidR="009D7E78" w:rsidRPr="00C862ED" w:rsidRDefault="009D7E78" w:rsidP="00F453FF">
      <w:pPr>
        <w:spacing w:before="100" w:beforeAutospacing="1" w:after="100" w:afterAutospacing="1"/>
        <w:ind w:firstLine="708"/>
        <w:rPr>
          <w:lang w:eastAsia="es-ES"/>
        </w:rPr>
      </w:pPr>
      <w:r w:rsidRPr="00C862ED">
        <w:rPr>
          <w:rFonts w:eastAsia="Arial Unicode MS"/>
          <w:lang w:eastAsia="en-GB"/>
        </w:rPr>
        <w:t xml:space="preserve">Three major databases –PubMed (Medline Plus), Web of Science core database and Scopus- were searched. Furthermore, we searched over 110 additional databases from an institutional reference aggregator </w:t>
      </w:r>
      <w:r w:rsidRPr="00C862ED">
        <w:rPr>
          <w:lang w:eastAsia="es-ES"/>
        </w:rPr>
        <w:t>(</w:t>
      </w:r>
      <w:r w:rsidR="009B7AD3" w:rsidRPr="00C862ED">
        <w:rPr>
          <w:i/>
          <w:lang w:eastAsia="es-ES"/>
        </w:rPr>
        <w:t>UNIKA</w:t>
      </w:r>
      <w:r w:rsidR="009B7AD3" w:rsidRPr="00C862ED">
        <w:rPr>
          <w:lang w:eastAsia="es-ES"/>
        </w:rPr>
        <w:t xml:space="preserve">: </w:t>
      </w:r>
      <w:hyperlink r:id="rId18" w:history="1">
        <w:r w:rsidRPr="00C862ED">
          <w:rPr>
            <w:rStyle w:val="Hipervnculo"/>
            <w:lang w:eastAsia="es-ES"/>
          </w:rPr>
          <w:t>http://www.unav.edu/en/web/biblioteca</w:t>
        </w:r>
      </w:hyperlink>
      <w:r w:rsidRPr="00C862ED">
        <w:rPr>
          <w:lang w:eastAsia="es-ES"/>
        </w:rPr>
        <w:t>), that uses the EBSCO discovery service (</w:t>
      </w:r>
      <w:hyperlink r:id="rId19" w:history="1">
        <w:r w:rsidR="000A707C" w:rsidRPr="00C862ED">
          <w:rPr>
            <w:rStyle w:val="Hipervnculo"/>
            <w:lang w:eastAsia="es-ES"/>
          </w:rPr>
          <w:t>http://support.ebsco.com/help/index.php?lang=en&amp;int=eds</w:t>
        </w:r>
      </w:hyperlink>
      <w:r w:rsidRPr="00C862ED">
        <w:rPr>
          <w:lang w:eastAsia="es-ES"/>
        </w:rPr>
        <w:t xml:space="preserve">) to provide a list of references </w:t>
      </w:r>
      <w:r w:rsidR="00B36D17" w:rsidRPr="00C862ED">
        <w:rPr>
          <w:lang w:eastAsia="es-ES"/>
        </w:rPr>
        <w:t>combining</w:t>
      </w:r>
      <w:r w:rsidRPr="00C862ED">
        <w:rPr>
          <w:lang w:eastAsia="es-ES"/>
        </w:rPr>
        <w:t xml:space="preserve"> both internal (library) and external (database vendors) sources</w:t>
      </w:r>
      <w:r w:rsidRPr="00C862ED">
        <w:rPr>
          <w:rFonts w:eastAsia="Arial Unicode MS"/>
          <w:lang w:eastAsia="en-GB"/>
        </w:rPr>
        <w:t xml:space="preserve">. Searches were carried out </w:t>
      </w:r>
      <w:r w:rsidR="00E70543" w:rsidRPr="00C862ED">
        <w:rPr>
          <w:rFonts w:eastAsia="Arial Unicode MS"/>
          <w:lang w:eastAsia="en-GB"/>
        </w:rPr>
        <w:t xml:space="preserve">on </w:t>
      </w:r>
      <w:r w:rsidR="00AD7472" w:rsidRPr="00C862ED">
        <w:rPr>
          <w:rFonts w:eastAsia="Arial Unicode MS"/>
          <w:lang w:eastAsia="en-GB"/>
        </w:rPr>
        <w:t>November 30</w:t>
      </w:r>
      <w:r w:rsidR="00AD7472" w:rsidRPr="00C862ED">
        <w:rPr>
          <w:rFonts w:eastAsia="Arial Unicode MS"/>
          <w:vertAlign w:val="superscript"/>
          <w:lang w:eastAsia="en-GB"/>
        </w:rPr>
        <w:t xml:space="preserve">th </w:t>
      </w:r>
      <w:r w:rsidRPr="00C862ED">
        <w:rPr>
          <w:rFonts w:eastAsia="Arial Unicode MS"/>
          <w:lang w:eastAsia="en-GB"/>
        </w:rPr>
        <w:t xml:space="preserve">2017, with no time or language restrictions. </w:t>
      </w:r>
      <w:r w:rsidRPr="00C862ED">
        <w:t>References of retrieved pertinent papers were scanned to find additional possibly relevant</w:t>
      </w:r>
      <w:r w:rsidR="000A707C" w:rsidRPr="00C862ED">
        <w:t xml:space="preserve"> </w:t>
      </w:r>
      <w:r w:rsidRPr="00C862ED">
        <w:t>studies</w:t>
      </w:r>
      <w:r w:rsidR="009E095C" w:rsidRPr="00C862ED">
        <w:t>.</w:t>
      </w:r>
      <w:r w:rsidR="000A707C" w:rsidRPr="00C862ED">
        <w:t xml:space="preserve"> R</w:t>
      </w:r>
      <w:r w:rsidRPr="00C862ED">
        <w:t xml:space="preserve">eferences of interest from our previous meta-analysis on </w:t>
      </w:r>
      <w:r w:rsidR="006C685A" w:rsidRPr="00C862ED">
        <w:t xml:space="preserve">the </w:t>
      </w:r>
      <w:r w:rsidRPr="00C862ED">
        <w:t xml:space="preserve">risk of </w:t>
      </w:r>
      <w:r w:rsidRPr="00C862ED">
        <w:lastRenderedPageBreak/>
        <w:t>physical injuries were also evaluated for potential inclusion</w:t>
      </w:r>
      <w:r w:rsidR="00E03B13" w:rsidRPr="00C862ED">
        <w:rPr>
          <w:rFonts w:eastAsia="Arial Unicode MS"/>
          <w:lang w:eastAsia="en-GB"/>
        </w:rPr>
        <w:fldChar w:fldCharType="begin" w:fldLock="1"/>
      </w:r>
      <w:r w:rsidR="002A3D68" w:rsidRPr="00C862ED">
        <w:rPr>
          <w:rFonts w:eastAsia="Arial Unicode MS"/>
          <w:lang w:eastAsia="en-GB"/>
        </w:rPr>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"&lt;sup&gt;17&lt;/sup&gt;", "plainTextFormattedCitation" : "17", "previouslyFormattedCitation" : "&lt;sup&gt;17&lt;/sup&gt;" }, "properties" : {  }, "schema" : "https://github.com/citation-style-language/schema/raw/master/csl-citation.json" }</w:instrText>
      </w:r>
      <w:r w:rsidR="00E03B13" w:rsidRPr="00C862ED">
        <w:rPr>
          <w:rFonts w:eastAsia="Arial Unicode MS"/>
          <w:lang w:eastAsia="en-GB"/>
        </w:rPr>
        <w:fldChar w:fldCharType="separate"/>
      </w:r>
      <w:r w:rsidR="002A3D68" w:rsidRPr="00C862ED">
        <w:rPr>
          <w:rFonts w:eastAsia="Arial Unicode MS"/>
          <w:noProof/>
          <w:vertAlign w:val="superscript"/>
          <w:lang w:eastAsia="en-GB"/>
        </w:rPr>
        <w:t>17</w:t>
      </w:r>
      <w:r w:rsidR="00E03B13" w:rsidRPr="00C862ED">
        <w:rPr>
          <w:rFonts w:eastAsia="Arial Unicode MS"/>
          <w:lang w:eastAsia="en-GB"/>
        </w:rPr>
        <w:fldChar w:fldCharType="end"/>
      </w:r>
      <w:r w:rsidRPr="00C862ED">
        <w:t xml:space="preserve">. </w:t>
      </w:r>
      <w:proofErr w:type="gramStart"/>
      <w:r w:rsidRPr="00C862ED">
        <w:t>See additional details, including search syntax, in Supplementary Methods 1 and 2 (Supplementary material).</w:t>
      </w:r>
      <w:proofErr w:type="gramEnd"/>
      <w:r w:rsidRPr="00C862ED">
        <w:rPr>
          <w:b/>
        </w:rPr>
        <w:t xml:space="preserve"> </w:t>
      </w:r>
    </w:p>
    <w:p w14:paraId="6998EF3E" w14:textId="77777777" w:rsidR="009D7E78" w:rsidRPr="00C862ED" w:rsidRDefault="009D7E78" w:rsidP="00873A28">
      <w:pPr>
        <w:rPr>
          <w:shd w:val="clear" w:color="auto" w:fill="FFFFFF"/>
        </w:rPr>
      </w:pPr>
    </w:p>
    <w:p w14:paraId="2B1F0467" w14:textId="77777777" w:rsidR="009D7E78" w:rsidRPr="00C862ED" w:rsidRDefault="009D7E78" w:rsidP="009458A9">
      <w:pPr>
        <w:rPr>
          <w:b/>
          <w:i/>
        </w:rPr>
      </w:pPr>
      <w:r w:rsidRPr="00C862ED">
        <w:rPr>
          <w:b/>
          <w:i/>
        </w:rPr>
        <w:t>2.2. Study selection</w:t>
      </w:r>
    </w:p>
    <w:p w14:paraId="5FF8A5F4" w14:textId="77777777" w:rsidR="009D7E78" w:rsidRPr="00C862ED" w:rsidRDefault="009D7E78" w:rsidP="009458A9">
      <w:pPr>
        <w:rPr>
          <w:i/>
        </w:rPr>
      </w:pPr>
      <w:r w:rsidRPr="00C862ED">
        <w:rPr>
          <w:i/>
        </w:rPr>
        <w:t>2.2.1. Study type</w:t>
      </w:r>
    </w:p>
    <w:p w14:paraId="610366DE" w14:textId="77777777" w:rsidR="009D7E78" w:rsidRPr="00C862ED" w:rsidRDefault="009D7E78" w:rsidP="009458A9">
      <w:pPr>
        <w:ind w:firstLine="720"/>
        <w:rPr>
          <w:rFonts w:eastAsia="Arial Unicode MS"/>
        </w:rPr>
      </w:pPr>
      <w:r w:rsidRPr="00C862ED">
        <w:rPr>
          <w:rFonts w:eastAsia="Arial Unicode MS"/>
          <w:lang w:eastAsia="en-GB"/>
        </w:rPr>
        <w:t>Data from published or unpublished empirical studies that compared the risk of poisoning</w:t>
      </w:r>
      <w:r w:rsidR="00B36D17" w:rsidRPr="00C862ED">
        <w:rPr>
          <w:rFonts w:eastAsia="Arial Unicode MS"/>
          <w:lang w:eastAsia="en-GB"/>
        </w:rPr>
        <w:t xml:space="preserve"> in</w:t>
      </w:r>
      <w:r w:rsidRPr="00C862ED">
        <w:rPr>
          <w:rFonts w:eastAsia="Arial Unicode MS"/>
          <w:lang w:eastAsia="en-GB"/>
        </w:rPr>
        <w:t xml:space="preserve"> children and/or adolescents with ADHD and in typically developing individuals were combined regardless of the </w:t>
      </w:r>
      <w:r w:rsidRPr="00C862ED">
        <w:rPr>
          <w:rFonts w:eastAsia="Arial Unicode MS"/>
        </w:rPr>
        <w:t xml:space="preserve">design, the temporality (i.e., prospective, retrospective or cross-sectional) or setting (clinical or epidemiological). </w:t>
      </w:r>
    </w:p>
    <w:p w14:paraId="5A8E3BB2" w14:textId="6234DE87" w:rsidR="009D7E78" w:rsidRPr="00C862ED" w:rsidRDefault="009D7E78" w:rsidP="009458A9">
      <w:pPr>
        <w:ind w:firstLine="720"/>
        <w:rPr>
          <w:rFonts w:eastAsia="Arial Unicode MS"/>
        </w:rPr>
      </w:pPr>
      <w:r w:rsidRPr="00C862ED">
        <w:rPr>
          <w:rFonts w:eastAsia="Arial Unicode MS"/>
        </w:rPr>
        <w:t>ADHD diagnosis is more common in males</w:t>
      </w:r>
      <w:r w:rsidR="00E03B13" w:rsidRPr="00C862ED">
        <w:rPr>
          <w:rFonts w:eastAsia="Arial Unicode MS"/>
        </w:rPr>
        <w:fldChar w:fldCharType="begin" w:fldLock="1"/>
      </w:r>
      <w:r w:rsidR="00487110" w:rsidRPr="00C862ED">
        <w:rPr>
          <w:rFonts w:eastAsia="Arial Unicode MS"/>
        </w:rPr>
        <w:instrText>ADDIN CSL_CITATION { "citationItems" : [ { "id" : "ITEM-1", "itemData" : { "DOI" : "10.1097/00004583-199708000-00011", "ISBN" : "0890-8567", "ISSN" : "0890-8567", "PMID" : "9256583", "abstract" : "Objective: To quantitatively review and critically evaluate literature examining gender differences in attention-deficit hyperactivity disorder (ADHD). Method: A meta-analysis of relevant research based on 18 studies meeting inclusion criteria was performed. Domains evaluated included primary symptomatology, intellectual and academic functioning, comorbid behavior problems, social behavior, and family variables. Results: Gender differences were not found in impulsivity, academic performance, social functioning, fine motor skills, parental education, or parental depression. However, compared with ADHD boys, ADHD girls displayed greater intellectual impairment, lower levels of hyperactiv-ity, and lower rates of other externalizing behaviors; it was not possible to evaluate the extent to which referral bias affected these findings. Some gender differences were clearly mediated by the effects of referral source; among children with ADHD identified from nonreferred populations, girls with ADHD displayed lower levels of inattention, internalizing behavior, and peer aggression than boys with ADHD, while girls and boys with ADHD identified from clinic-referred sam-ples displayed similar levels of impairment on these variables. Conclusions: The need for future research examining gender differences in ADHD is strongly indicated, with attention to methodological limitations of the current literature, including the potential confounding effects of referral bias, comorbidity, developmental patterns, diagnostic procedures, and rater source.", "author" : [ { "dropping-particle" : "", "family" : "Gaub", "given" : "Miranda", "non-dropping-particle" : "", "parse-names" : false, "suffix" : "" }, { "dropping-particle" : "", "family" : "Carlson", "given" : "Caryn L", "non-dropping-particle" : "", "parse-names" : false, "suffix" : "" } ], "container-title" : "Psychiatry", "id" : "ITEM-1", "issue" : "8", "issued" : { "date-parts" : [ [ "1997" ] ] }, "page" : "1036-1045", "title" : "Gender Differences in ADHD: A Meta-Analysis and Critical Review", "type" : "article-journal", "volume" : "36" }, "uris" : [ "http://www.mendeley.com/documents/?uuid=b9212a46-53f4-45ca-a012-729bbcef8e38" ] } ], "mendeley" : { "formattedCitation" : "&lt;sup&gt;60&lt;/sup&gt;", "plainTextFormattedCitation" : "60", "previouslyFormattedCitation" : "&lt;sup&gt;60&lt;/sup&gt;" }, "properties" : {  }, "schema" : "https://github.com/citation-style-language/schema/raw/master/csl-citation.json" }</w:instrText>
      </w:r>
      <w:r w:rsidR="00E03B13" w:rsidRPr="00C862ED">
        <w:rPr>
          <w:rFonts w:eastAsia="Arial Unicode MS"/>
        </w:rPr>
        <w:fldChar w:fldCharType="separate"/>
      </w:r>
      <w:r w:rsidR="00487110" w:rsidRPr="00C862ED">
        <w:rPr>
          <w:rFonts w:eastAsia="Arial Unicode MS"/>
          <w:noProof/>
          <w:vertAlign w:val="superscript"/>
        </w:rPr>
        <w:t>60</w:t>
      </w:r>
      <w:r w:rsidR="00E03B13" w:rsidRPr="00C862ED">
        <w:rPr>
          <w:rFonts w:eastAsia="Arial Unicode MS"/>
        </w:rPr>
        <w:fldChar w:fldCharType="end"/>
      </w:r>
      <w:r w:rsidRPr="00C862ED">
        <w:rPr>
          <w:rFonts w:eastAsia="Arial Unicode MS"/>
        </w:rPr>
        <w:t xml:space="preserve"> and, similarly, poisoning injuries occur more frequently in males than in females</w:t>
      </w:r>
      <w:r w:rsidR="00E03B13" w:rsidRPr="00C862ED">
        <w:rPr>
          <w:rFonts w:eastAsia="Arial Unicode MS"/>
        </w:rPr>
        <w:fldChar w:fldCharType="begin" w:fldLock="1"/>
      </w:r>
      <w:r w:rsidRPr="00C862ED">
        <w:rPr>
          <w:rFonts w:eastAsia="Arial Unicode MS"/>
        </w:rPr>
        <w:instrText>ADDIN CSL_CITATION { "citationItems" : [ { "id" : "ITEM-1",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"ITEM-1", "issued" : { "date-parts" : [ [ "2008" ] ] }, "number-of-pages" : "232", "publisher-place" : "Geneva, Switzerland", "title" : "World report on child injury prevention", "type" : "report" }, "uris" : [ "http://www.mendeley.com/documents/?uuid=94f0a0ee-7b4d-4816-8ca8-4d27c40cf9f3" ] } ], "mendeley" : { "formattedCitation" : "&lt;sup&gt;1&lt;/sup&gt;", "plainTextFormattedCitation" : "1", "previouslyFormattedCitation" : "&lt;sup&gt;1&lt;/sup&gt;" }, "properties" : {  }, "schema" : "https://github.com/citation-style-language/schema/raw/master/csl-citation.json" }</w:instrText>
      </w:r>
      <w:r w:rsidR="00E03B13" w:rsidRPr="00C862ED">
        <w:rPr>
          <w:rFonts w:eastAsia="Arial Unicode MS"/>
        </w:rPr>
        <w:fldChar w:fldCharType="separate"/>
      </w:r>
      <w:r w:rsidRPr="00C862ED">
        <w:rPr>
          <w:rFonts w:eastAsia="Arial Unicode MS"/>
          <w:noProof/>
          <w:vertAlign w:val="superscript"/>
        </w:rPr>
        <w:t>1</w:t>
      </w:r>
      <w:r w:rsidR="00E03B13" w:rsidRPr="00C862ED">
        <w:rPr>
          <w:rFonts w:eastAsia="Arial Unicode MS"/>
        </w:rPr>
        <w:fldChar w:fldCharType="end"/>
      </w:r>
      <w:r w:rsidRPr="00C862ED">
        <w:rPr>
          <w:rFonts w:eastAsia="Arial Unicode MS"/>
        </w:rPr>
        <w:t>. Therefore, we included only articles that took into account this bias either by sample selection (no differences in the number of male and females between the ADHD and no ADHD samples) or statistically (sex controlled as a confounding covariate).</w:t>
      </w:r>
    </w:p>
    <w:p w14:paraId="1D950ED5" w14:textId="77777777" w:rsidR="009D7E78" w:rsidRPr="00C862ED" w:rsidRDefault="009D7E78" w:rsidP="009458A9">
      <w:pPr>
        <w:rPr>
          <w:i/>
        </w:rPr>
      </w:pPr>
    </w:p>
    <w:p w14:paraId="7A66BBD2" w14:textId="77777777" w:rsidR="009D7E78" w:rsidRPr="00C862ED" w:rsidRDefault="009D7E78" w:rsidP="009458A9">
      <w:pPr>
        <w:rPr>
          <w:i/>
        </w:rPr>
      </w:pPr>
      <w:r w:rsidRPr="00C862ED">
        <w:rPr>
          <w:i/>
        </w:rPr>
        <w:t>2.2.2. Population</w:t>
      </w:r>
    </w:p>
    <w:p w14:paraId="52405B34" w14:textId="1D5BC19A" w:rsidR="009D7E78" w:rsidRPr="00C862ED" w:rsidRDefault="009D7E78" w:rsidP="00AD7472">
      <w:pPr>
        <w:ind w:firstLine="708"/>
      </w:pPr>
      <w:r w:rsidRPr="00C862ED">
        <w:t xml:space="preserve">The majority of the sample of a study had to be children and/or adolescents (defined as </w:t>
      </w:r>
      <w:r w:rsidR="00C862ED" w:rsidRPr="00C862ED">
        <w:t>less than</w:t>
      </w:r>
      <w:r w:rsidRPr="00C862ED">
        <w:t xml:space="preserve"> 18 years</w:t>
      </w:r>
      <w:r w:rsidR="00B7526F" w:rsidRPr="00C862ED">
        <w:t>-old</w:t>
      </w:r>
      <w:r w:rsidRPr="00C862ED">
        <w:t xml:space="preserve">). </w:t>
      </w:r>
      <w:r w:rsidR="00B7526F" w:rsidRPr="00C862ED">
        <w:t xml:space="preserve">The </w:t>
      </w:r>
      <w:r w:rsidRPr="00C862ED">
        <w:rPr>
          <w:lang w:eastAsia="es-ES"/>
        </w:rPr>
        <w:t xml:space="preserve">accepted operational definitions </w:t>
      </w:r>
      <w:r w:rsidR="00B7526F" w:rsidRPr="00C862ED">
        <w:rPr>
          <w:lang w:eastAsia="es-ES"/>
        </w:rPr>
        <w:t xml:space="preserve">of ADHD </w:t>
      </w:r>
      <w:r w:rsidRPr="00C862ED">
        <w:rPr>
          <w:lang w:eastAsia="es-ES"/>
        </w:rPr>
        <w:t>were the following: 1) A categorical diagnosis according to standardized criteria, either the DSM (III, III-R, IV, IV-TR or 5) or the diagnosis of hyperkinetic disorder as per ICD-10 or previous versions; 2) Being above a pre-established threshold in a validated psychometric scale for the screening of ADHD</w:t>
      </w:r>
      <w:r w:rsidR="00E70543" w:rsidRPr="00C862ED">
        <w:rPr>
          <w:lang w:eastAsia="es-ES"/>
        </w:rPr>
        <w:t>;</w:t>
      </w:r>
      <w:r w:rsidRPr="00C862ED">
        <w:rPr>
          <w:lang w:eastAsia="es-ES"/>
        </w:rPr>
        <w:t xml:space="preserve"> 3) The coding of the diagnosis in a medical registry; 4) A positive answer to the question: “Have you ever been told </w:t>
      </w:r>
      <w:r w:rsidR="00B7526F" w:rsidRPr="00C862ED">
        <w:rPr>
          <w:lang w:eastAsia="es-ES"/>
        </w:rPr>
        <w:t xml:space="preserve">by a doctor </w:t>
      </w:r>
      <w:r w:rsidRPr="00C862ED">
        <w:rPr>
          <w:lang w:eastAsia="es-ES"/>
        </w:rPr>
        <w:t xml:space="preserve">that you have ADHD?” or similar questions; </w:t>
      </w:r>
      <w:r w:rsidR="00E70543" w:rsidRPr="00C862ED">
        <w:rPr>
          <w:lang w:eastAsia="es-ES"/>
        </w:rPr>
        <w:t xml:space="preserve">and </w:t>
      </w:r>
      <w:r w:rsidRPr="00C862ED">
        <w:rPr>
          <w:lang w:eastAsia="es-ES"/>
        </w:rPr>
        <w:t xml:space="preserve">5) Being prescribed ADHD medication(s). Studies on </w:t>
      </w:r>
      <w:r w:rsidR="00C862ED" w:rsidRPr="00C862ED">
        <w:rPr>
          <w:lang w:eastAsia="es-ES"/>
        </w:rPr>
        <w:t>preschoolers</w:t>
      </w:r>
      <w:r w:rsidRPr="00C862ED">
        <w:rPr>
          <w:lang w:eastAsia="es-ES"/>
        </w:rPr>
        <w:t xml:space="preserve"> and those using the diagnosis </w:t>
      </w:r>
      <w:r w:rsidRPr="00C862ED">
        <w:t xml:space="preserve">of “Deficits in </w:t>
      </w:r>
      <w:r w:rsidRPr="00C862ED">
        <w:lastRenderedPageBreak/>
        <w:t>attention, motor control, and perception” (</w:t>
      </w:r>
      <w:r w:rsidR="00FB2CA9" w:rsidRPr="00C862ED">
        <w:rPr>
          <w:rFonts w:eastAsia="Arial Unicode MS"/>
        </w:rPr>
        <w:t>DAMP</w:t>
      </w:r>
      <w:r w:rsidRPr="00C862ED">
        <w:rPr>
          <w:rFonts w:eastAsia="Arial Unicode MS"/>
        </w:rPr>
        <w:t>)</w:t>
      </w:r>
      <w:r w:rsidR="00E03B13" w:rsidRPr="00C862ED">
        <w:rPr>
          <w:rFonts w:eastAsia="Arial Unicode MS"/>
        </w:rPr>
        <w:fldChar w:fldCharType="begin" w:fldLock="1"/>
      </w:r>
      <w:r w:rsidR="00487110" w:rsidRPr="00C862ED">
        <w:rPr>
          <w:rFonts w:eastAsia="Arial Unicode MS"/>
        </w:rPr>
        <w:instrText>ADDIN CSL_CITATION { "citationItems" : [ { "id" : "ITEM-1", "itemData" : { "DOI" : "10.1136/adc.88.10.904", "ISBN" : "1468-2044", "ISSN" : "1468-2044", "PMID" : "14500312", "abstract" : "The concept of DAMP (deficits in attention, motor control, and perception) has been in clinical use in Scandinavia for about 20 years. DAMP is diagnosed on the basis of concomitant attention deficit/hyperactivity disorder and developmental coordination disorder in children who do not have severe learning disability or cerebral palsy. In clinically severe form it affects about 1.5% of the general population of school age children; another few per cent are affected by more moderate variants. Boys are overrepresented; girls are currently probably underdiagnosed. There are many comorbid problems/overlapping conditions, including conduct disorder, depression/anxiety, and academic failure. There is a strong link with autism spectrum disorders in severe DAMP. Familial factors and pre- and perinatal risk factors account for much of the variance. Psychosocial risk factors appear to increase the risk of marked psychiatric abnormality in DAMP. Outcome in early adult age was psychosocially poor in one study in almost 60% of unmedicated cases. There are effective interventions available for many of the problems encountered in DAMP.", "author" : [ { "dropping-particle" : "", "family" : "Gillberg", "given" : "C", "non-dropping-particle" : "", "parse-names" : false, "suffix" : "" } ], "container-title" : "Archives of disease in childhood", "id" : "ITEM-1", "issue" : "10", "issued" : { "date-parts" : [ [ "2003" ] ] }, "page" : "904-10", "title" : "Deficits in attention, motor control, and perception: a brief review.", "type" : "article-journal", "volume" : "88" }, "uris" : [ "http://www.mendeley.com/documents/?uuid=88ff06ed-6268-412d-8bcf-5dae7cae4a89" ] } ], "mendeley" : { "formattedCitation" : "&lt;sup&gt;61&lt;/sup&gt;", "plainTextFormattedCitation" : "61", "previouslyFormattedCitation" : "&lt;sup&gt;61&lt;/sup&gt;" }, "properties" : {  }, "schema" : "https://github.com/citation-style-language/schema/raw/master/csl-citation.json" }</w:instrText>
      </w:r>
      <w:r w:rsidR="00E03B13" w:rsidRPr="00C862ED">
        <w:rPr>
          <w:rFonts w:eastAsia="Arial Unicode MS"/>
        </w:rPr>
        <w:fldChar w:fldCharType="separate"/>
      </w:r>
      <w:r w:rsidR="00487110" w:rsidRPr="00C862ED">
        <w:rPr>
          <w:rFonts w:eastAsia="Arial Unicode MS"/>
          <w:noProof/>
          <w:vertAlign w:val="superscript"/>
        </w:rPr>
        <w:t>61</w:t>
      </w:r>
      <w:r w:rsidR="00E03B13" w:rsidRPr="00C862ED">
        <w:rPr>
          <w:rFonts w:eastAsia="Arial Unicode MS"/>
        </w:rPr>
        <w:fldChar w:fldCharType="end"/>
      </w:r>
      <w:r w:rsidRPr="00C862ED">
        <w:rPr>
          <w:rFonts w:eastAsia="Arial Unicode MS"/>
        </w:rPr>
        <w:t>, or equivalent constructs</w:t>
      </w:r>
      <w:r w:rsidR="00E03B13" w:rsidRPr="00C862ED">
        <w:rPr>
          <w:rFonts w:eastAsia="Arial Unicode MS"/>
        </w:rPr>
        <w:fldChar w:fldCharType="begin" w:fldLock="1"/>
      </w:r>
      <w:r w:rsidR="00487110" w:rsidRPr="00C862ED">
        <w:rPr>
          <w:rFonts w:eastAsia="Arial Unicode MS"/>
        </w:rPr>
        <w:instrText>ADDIN CSL_CITATION { "citationItems" : [ { "id" : "ITEM-1", "itemData" : { "DOI" : "10.1177/0883073815572227", "ISSN" : "0883-0738", "PMID" : "25736429", "abstract" : "The aim is to assess repetition-based learning of procedures in children with developmental coordination disorder (DCD), reading disorder (RD) and attention-deficit hyperactivity disorder (ADHD). Participants included 187 children, studied in 4 groups: (a) DCD comorbid with RD and ADHD (DCD+RD+ADHD) (n = 30); (b) RD comorbid with ADHD (RD+ADHD) (n = 48); (c) ADHD (n = 19); and typically developing children (control group) (n = 90). Two procedural learning tasks were used: Assembly learning and Mirror drawing. Children were tested on 4 occasions for each task: 3 trials were consecutive and the fourth trial was performed after an interference task. Task performance by DCD+RD+ADHD children improved with training (P &lt; .05); however, the improvement was significantly lower than that achieved by the other groups (RD+ADHD, ADHD and controls) (P &lt; .05). In conclusion, children with DCD+RD+ADHD improve in their use of cognitive-motor procedures over a short training period. Aims of intervention in DCD+RD+ADHD should be based on individual learning abilities.", "author" : [ { "dropping-particle" : "", "family" : "Magallon", "given" : "S.", "non-dropping-particle" : "", "parse-names" : false, "suffix" : "" }, { "dropping-particle" : "", "family" : "Crespo-Eguilaz", "given" : "N.", "non-dropping-particle" : "", "parse-names" : false, "suffix" : "" }, { "dropping-particle" : "", "family" : "Narbona", "given" : "J.", "non-dropping-particle" : "", "parse-names" : false, "suffix" : "" } ], "container-title" : "Journal of Child Neurology", "id" : "ITEM-1", "issue" : "11", "issued" : { "date-parts" : [ [ "2015" ] ] }, "page" : "0883073815572227-", "title" : "Procedural Learning in Children With Developmental Coordination, Reading, and Attention Disorders", "type" : "article-journal", "volume" : "30" }, "uris" : [ "http://www.mendeley.com/documents/?uuid=c0d386d3-40f7-42b3-9413-8f1f7f424af6" ] } ], "mendeley" : { "formattedCitation" : "&lt;sup&gt;62&lt;/sup&gt;", "plainTextFormattedCitation" : "62", "previouslyFormattedCitation" : "&lt;sup&gt;62&lt;/sup&gt;" }, "properties" : {  }, "schema" : "https://github.com/citation-style-language/schema/raw/master/csl-citation.json" }</w:instrText>
      </w:r>
      <w:r w:rsidR="00E03B13" w:rsidRPr="00C862ED">
        <w:rPr>
          <w:rFonts w:eastAsia="Arial Unicode MS"/>
        </w:rPr>
        <w:fldChar w:fldCharType="separate"/>
      </w:r>
      <w:r w:rsidR="00487110" w:rsidRPr="00C862ED">
        <w:rPr>
          <w:rFonts w:eastAsia="Arial Unicode MS"/>
          <w:noProof/>
          <w:vertAlign w:val="superscript"/>
        </w:rPr>
        <w:t>62</w:t>
      </w:r>
      <w:r w:rsidR="00E03B13" w:rsidRPr="00C862ED">
        <w:rPr>
          <w:rFonts w:eastAsia="Arial Unicode MS"/>
        </w:rPr>
        <w:fldChar w:fldCharType="end"/>
      </w:r>
      <w:r w:rsidR="00FB2CA9" w:rsidRPr="00C862ED">
        <w:rPr>
          <w:rFonts w:eastAsia="Arial Unicode MS"/>
        </w:rPr>
        <w:t>,</w:t>
      </w:r>
      <w:r w:rsidRPr="00C862ED">
        <w:rPr>
          <w:rFonts w:eastAsia="Arial Unicode MS"/>
        </w:rPr>
        <w:t xml:space="preserve"> were excluded</w:t>
      </w:r>
      <w:r w:rsidR="00E70543" w:rsidRPr="00C862ED">
        <w:rPr>
          <w:rFonts w:eastAsia="Arial Unicode MS"/>
        </w:rPr>
        <w:t xml:space="preserve">, since </w:t>
      </w:r>
      <w:r w:rsidR="00AD7472" w:rsidRPr="00C862ED">
        <w:rPr>
          <w:rFonts w:eastAsia="Arial Unicode MS"/>
        </w:rPr>
        <w:t xml:space="preserve">they are </w:t>
      </w:r>
      <w:r w:rsidR="00E70543" w:rsidRPr="00C862ED">
        <w:rPr>
          <w:rFonts w:eastAsia="Arial Unicode MS"/>
        </w:rPr>
        <w:t>not equivalent to ADHD</w:t>
      </w:r>
      <w:r w:rsidRPr="00C862ED">
        <w:rPr>
          <w:rFonts w:eastAsia="Arial Unicode MS"/>
        </w:rPr>
        <w:t xml:space="preserve">. </w:t>
      </w:r>
    </w:p>
    <w:p w14:paraId="09F7B3BC" w14:textId="77777777" w:rsidR="009D7E78" w:rsidRPr="00C862ED" w:rsidRDefault="009D7E78" w:rsidP="00874024">
      <w:pPr>
        <w:ind w:firstLine="720"/>
      </w:pPr>
    </w:p>
    <w:p w14:paraId="7EB6DE9A" w14:textId="77777777" w:rsidR="009D7E78" w:rsidRPr="00C862ED" w:rsidRDefault="009D7E78" w:rsidP="009458A9">
      <w:pPr>
        <w:rPr>
          <w:i/>
        </w:rPr>
      </w:pPr>
      <w:r w:rsidRPr="00C862ED">
        <w:rPr>
          <w:i/>
        </w:rPr>
        <w:t>2.2.4. Outcomes</w:t>
      </w:r>
    </w:p>
    <w:p w14:paraId="4886B9B3" w14:textId="121C3EAA" w:rsidR="009D7E78" w:rsidRPr="00C862ED" w:rsidRDefault="009D7E78" w:rsidP="00F5108B">
      <w:pPr>
        <w:ind w:firstLine="708"/>
        <w:rPr>
          <w:lang w:eastAsia="es-ES"/>
        </w:rPr>
      </w:pPr>
      <w:r w:rsidRPr="00C862ED">
        <w:rPr>
          <w:lang w:eastAsia="es-ES"/>
        </w:rPr>
        <w:t xml:space="preserve">The World Health Organization (WHO) definition of poisoning or intoxication was used to define eligible outcomes. Intoxication is defined by WHO as “a condition that follows the administration of a psychoactive substance and results in disturbances in the level of consciousness, cognition, perception, </w:t>
      </w:r>
      <w:r w:rsidR="00C862ED" w:rsidRPr="00C862ED">
        <w:rPr>
          <w:lang w:eastAsia="es-ES"/>
        </w:rPr>
        <w:t>judgment</w:t>
      </w:r>
      <w:r w:rsidRPr="00C862ED">
        <w:rPr>
          <w:lang w:eastAsia="es-ES"/>
        </w:rPr>
        <w:t xml:space="preserve">, affect, or </w:t>
      </w:r>
      <w:r w:rsidR="00C862ED" w:rsidRPr="00C862ED">
        <w:rPr>
          <w:lang w:eastAsia="es-ES"/>
        </w:rPr>
        <w:t>behavior</w:t>
      </w:r>
      <w:r w:rsidRPr="00C862ED">
        <w:rPr>
          <w:lang w:eastAsia="es-ES"/>
        </w:rPr>
        <w:t>, or other psychophysiological functions and response”</w:t>
      </w:r>
      <w:r w:rsidR="00E03B13" w:rsidRPr="00F5108B">
        <w:rPr>
          <w:lang w:eastAsia="es-ES"/>
        </w:rPr>
        <w:fldChar w:fldCharType="begin" w:fldLock="1"/>
      </w:r>
      <w:r w:rsidR="002A3D68" w:rsidRPr="00F5108B">
        <w:rPr>
          <w:lang w:eastAsia="es-ES"/>
        </w:rPr>
        <w:instrText>ADDIN CSL_CITATION { "citationItems" : [ { "id" : "ITEM-1",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"ITEM-1", "issued" : { "date-parts" : [ [ "2008" ] ] }, "number-of-pages" : "232", "publisher-place" : "Geneva, Switzerland", "title" : "World report on child injury prevention", "type" : "report" }, "uris" : [ "http://www.mendeley.com/documents/?uuid=94f0a0ee-7b4d-4816-8ca8-4d27c40cf9f3" ] } ], "mendeley" : { "formattedCitation" : "&lt;sup&gt;1&lt;/sup&gt;", "plainTextFormattedCitation" : "1", "previouslyFormattedCitation" : "&lt;sup&gt;1&lt;/sup&gt;" }, "properties" : {  }, "schema" : "https://github.com/citation-style-language/schema/raw/master/csl-citation.json" }</w:instrText>
      </w:r>
      <w:r w:rsidR="00E03B13" w:rsidRPr="00F5108B">
        <w:rPr>
          <w:lang w:eastAsia="es-ES"/>
        </w:rPr>
        <w:fldChar w:fldCharType="separate"/>
      </w:r>
      <w:r w:rsidR="002A3D68" w:rsidRPr="00F5108B">
        <w:rPr>
          <w:noProof/>
          <w:lang w:eastAsia="es-ES"/>
        </w:rPr>
        <w:t>1</w:t>
      </w:r>
      <w:r w:rsidR="00E03B13" w:rsidRPr="00F5108B">
        <w:rPr>
          <w:lang w:eastAsia="es-ES"/>
        </w:rPr>
        <w:fldChar w:fldCharType="end"/>
      </w:r>
      <w:r w:rsidRPr="00C862ED">
        <w:rPr>
          <w:lang w:eastAsia="es-ES"/>
        </w:rPr>
        <w:t>. Since the term "intoxication" can be used in relation to alcohol or drug abuse, outcomes describing poisoning were preferred to those reporting intoxications. However, if an article only reported intoxications</w:t>
      </w:r>
      <w:r w:rsidR="00E70543" w:rsidRPr="00C862ED">
        <w:rPr>
          <w:lang w:eastAsia="es-ES"/>
        </w:rPr>
        <w:t>,</w:t>
      </w:r>
      <w:r w:rsidRPr="00C862ED">
        <w:rPr>
          <w:lang w:eastAsia="es-ES"/>
        </w:rPr>
        <w:t xml:space="preserve"> it was also included. Hence, outcomes from articles reporting health problems related to the codes T36-T61 of the 19</w:t>
      </w:r>
      <w:r w:rsidRPr="00F5108B">
        <w:rPr>
          <w:lang w:eastAsia="es-ES"/>
        </w:rPr>
        <w:t>th</w:t>
      </w:r>
      <w:r w:rsidRPr="00C862ED">
        <w:rPr>
          <w:lang w:eastAsia="es-ES"/>
        </w:rPr>
        <w:t xml:space="preserve"> chapter of the International Classification of Diseases (ICD-10) or similar problems were deemed eligible.</w:t>
      </w:r>
    </w:p>
    <w:p w14:paraId="2E74E596" w14:textId="7A7F113A" w:rsidR="00F5108B" w:rsidRDefault="009D7E78" w:rsidP="00F5108B">
      <w:pPr>
        <w:ind w:firstLine="708"/>
        <w:rPr>
          <w:lang w:eastAsia="es-ES"/>
        </w:rPr>
      </w:pPr>
      <w:r w:rsidRPr="00C862ED">
        <w:rPr>
          <w:lang w:eastAsia="es-ES"/>
        </w:rPr>
        <w:t xml:space="preserve">Poisoning cases had to be attended at medical settings and a registry created or self-reported. Studies reporting information requests to poison information </w:t>
      </w:r>
      <w:r w:rsidR="00C862ED" w:rsidRPr="00C862ED">
        <w:rPr>
          <w:lang w:eastAsia="es-ES"/>
        </w:rPr>
        <w:t>centers</w:t>
      </w:r>
      <w:r w:rsidRPr="00C862ED">
        <w:rPr>
          <w:lang w:eastAsia="es-ES"/>
        </w:rPr>
        <w:t xml:space="preserve"> or similar entities were not included. Poisoning could occur before or after the diagnosis of ADHD. Risk measures had to describe the ratio in the risk of poisoning between children and adolescents with and without ADHD. The primary outcome measure was defined as the hazard ratio (HR) obtained from Cox proportional hazards models, </w:t>
      </w:r>
      <w:r w:rsidR="00B7526F" w:rsidRPr="00C862ED">
        <w:rPr>
          <w:lang w:eastAsia="es-ES"/>
        </w:rPr>
        <w:t xml:space="preserve">as </w:t>
      </w:r>
      <w:r w:rsidRPr="00C862ED">
        <w:rPr>
          <w:lang w:eastAsia="es-ES"/>
        </w:rPr>
        <w:t xml:space="preserve">it provides a time-independent estimation of the risk. However, odds ratios (ORs) are more frequently </w:t>
      </w:r>
      <w:r w:rsidR="00E70543" w:rsidRPr="00C862ED">
        <w:rPr>
          <w:lang w:eastAsia="es-ES"/>
        </w:rPr>
        <w:t xml:space="preserve">reported </w:t>
      </w:r>
      <w:r w:rsidRPr="00C862ED">
        <w:rPr>
          <w:lang w:eastAsia="es-ES"/>
        </w:rPr>
        <w:t xml:space="preserve">than HR, and they are the only risk measure that can be obtained from case-control studies that compare ADHD rates in a poisoned and a non-poisoned group. Therefore, ORs were accepted as secondary valid </w:t>
      </w:r>
      <w:r w:rsidR="00970463" w:rsidRPr="00C862ED">
        <w:rPr>
          <w:lang w:eastAsia="es-ES"/>
        </w:rPr>
        <w:t>estimation</w:t>
      </w:r>
      <w:r w:rsidR="00DD2AE8" w:rsidRPr="00C862ED">
        <w:rPr>
          <w:lang w:eastAsia="es-ES"/>
        </w:rPr>
        <w:t>s</w:t>
      </w:r>
      <w:r w:rsidR="00970463" w:rsidRPr="00C862ED">
        <w:rPr>
          <w:lang w:eastAsia="es-ES"/>
        </w:rPr>
        <w:t xml:space="preserve"> of relative risk</w:t>
      </w:r>
      <w:r w:rsidR="00AD7472" w:rsidRPr="00C862ED">
        <w:rPr>
          <w:lang w:eastAsia="es-ES"/>
        </w:rPr>
        <w:t xml:space="preserve"> and combined with </w:t>
      </w:r>
      <w:proofErr w:type="spellStart"/>
      <w:r w:rsidR="00AD7472" w:rsidRPr="00C862ED">
        <w:rPr>
          <w:lang w:eastAsia="es-ES"/>
        </w:rPr>
        <w:t>HRs.</w:t>
      </w:r>
      <w:proofErr w:type="spellEnd"/>
    </w:p>
    <w:p w14:paraId="120B1705" w14:textId="121B763F" w:rsidR="009D7E78" w:rsidRPr="00C862ED" w:rsidRDefault="00E03B13" w:rsidP="00F5108B">
      <w:pPr>
        <w:ind w:firstLine="708"/>
        <w:rPr>
          <w:lang w:eastAsia="es-ES"/>
        </w:rPr>
      </w:pPr>
      <w:r w:rsidRPr="00137592">
        <w:rPr>
          <w:lang w:eastAsia="es-ES"/>
        </w:rPr>
        <w:lastRenderedPageBreak/>
        <w:t xml:space="preserve">In order to </w:t>
      </w:r>
      <w:r w:rsidR="00C61B4D" w:rsidRPr="00C862ED">
        <w:rPr>
          <w:lang w:eastAsia="es-ES"/>
        </w:rPr>
        <w:t>address</w:t>
      </w:r>
      <w:r w:rsidRPr="00137592">
        <w:rPr>
          <w:lang w:eastAsia="es-ES"/>
        </w:rPr>
        <w:t xml:space="preserve"> the secondary aim of the present meta-analysis (i.e.</w:t>
      </w:r>
      <w:r w:rsidR="00197515">
        <w:rPr>
          <w:lang w:eastAsia="es-ES"/>
        </w:rPr>
        <w:t>,</w:t>
      </w:r>
      <w:r w:rsidR="00C61B4D" w:rsidRPr="00C862ED">
        <w:rPr>
          <w:lang w:eastAsia="es-ES"/>
        </w:rPr>
        <w:t xml:space="preserve"> assess</w:t>
      </w:r>
      <w:r w:rsidRPr="00137592">
        <w:rPr>
          <w:lang w:eastAsia="es-ES"/>
        </w:rPr>
        <w:t xml:space="preserve"> if there is a </w:t>
      </w:r>
      <w:r w:rsidR="00C61B4D" w:rsidRPr="00C862ED">
        <w:rPr>
          <w:lang w:eastAsia="es-ES"/>
        </w:rPr>
        <w:t xml:space="preserve">significantly </w:t>
      </w:r>
      <w:r w:rsidRPr="00137592">
        <w:rPr>
          <w:lang w:eastAsia="es-ES"/>
        </w:rPr>
        <w:t>higher</w:t>
      </w:r>
      <w:r w:rsidR="00FB2FD8">
        <w:rPr>
          <w:lang w:eastAsia="es-ES"/>
        </w:rPr>
        <w:t xml:space="preserve"> relative</w:t>
      </w:r>
      <w:r w:rsidRPr="00137592">
        <w:rPr>
          <w:lang w:eastAsia="es-ES"/>
        </w:rPr>
        <w:t xml:space="preserve"> risk of poisoning compared to the </w:t>
      </w:r>
      <w:r w:rsidR="00FB2FD8">
        <w:rPr>
          <w:lang w:eastAsia="es-ES"/>
        </w:rPr>
        <w:t xml:space="preserve">relative </w:t>
      </w:r>
      <w:r w:rsidRPr="00137592">
        <w:rPr>
          <w:lang w:eastAsia="es-ES"/>
        </w:rPr>
        <w:t xml:space="preserve">risk of suffering other physical injuries), studies which reported outcomes </w:t>
      </w:r>
      <w:r w:rsidR="00FB2FD8">
        <w:rPr>
          <w:lang w:eastAsia="es-ES"/>
        </w:rPr>
        <w:t>on the</w:t>
      </w:r>
      <w:r w:rsidRPr="00137592">
        <w:rPr>
          <w:lang w:eastAsia="es-ES"/>
        </w:rPr>
        <w:t xml:space="preserve"> relative risk of physical injuries in general and also provided similar data on</w:t>
      </w:r>
      <w:r w:rsidR="00FB2FD8">
        <w:rPr>
          <w:lang w:eastAsia="es-ES"/>
        </w:rPr>
        <w:t xml:space="preserve"> the</w:t>
      </w:r>
      <w:r w:rsidRPr="00137592">
        <w:rPr>
          <w:lang w:eastAsia="es-ES"/>
        </w:rPr>
        <w:t xml:space="preserve"> relative risk of poisoning were eligible. </w:t>
      </w:r>
    </w:p>
    <w:p w14:paraId="4E7ED5B6" w14:textId="77777777" w:rsidR="009D7E78" w:rsidRPr="00C862ED" w:rsidRDefault="009D7E78" w:rsidP="009458A9">
      <w:pPr>
        <w:rPr>
          <w:b/>
          <w:i/>
        </w:rPr>
      </w:pPr>
      <w:r w:rsidRPr="00C862ED">
        <w:rPr>
          <w:b/>
          <w:i/>
        </w:rPr>
        <w:t>2.3. Identification and selection of studies</w:t>
      </w:r>
    </w:p>
    <w:p w14:paraId="72D9781D" w14:textId="77777777" w:rsidR="009D7E78" w:rsidRPr="00C862ED" w:rsidRDefault="009D7E78" w:rsidP="00AD7472">
      <w:pPr>
        <w:ind w:firstLine="708"/>
      </w:pPr>
      <w:r w:rsidRPr="00C862ED">
        <w:t>Studies were identified and selected following a two-stage process: 1) Two investigators independently and blindly screened retrieved titles and abstracts of all non-duplicated papers to exclude non-pertinent ones. Discrepancies were resolved by consensus</w:t>
      </w:r>
      <w:r w:rsidR="00FB2CA9" w:rsidRPr="00C862ED">
        <w:t>;</w:t>
      </w:r>
      <w:r w:rsidRPr="00C862ED">
        <w:t xml:space="preserve"> 2) Articles carried to this stage were assessed after reading the full-text following a similar process of double evaluation </w:t>
      </w:r>
      <w:r w:rsidR="00B7526F" w:rsidRPr="00C862ED">
        <w:t>similar to the one of</w:t>
      </w:r>
      <w:r w:rsidR="00FE1EF5" w:rsidRPr="00C862ED">
        <w:t xml:space="preserve"> </w:t>
      </w:r>
      <w:r w:rsidRPr="00C862ED">
        <w:t xml:space="preserve">the previous step. Multiple reports of the same study were linked together. </w:t>
      </w:r>
    </w:p>
    <w:p w14:paraId="1BE1D7F0" w14:textId="77777777" w:rsidR="009D7E78" w:rsidRPr="00C862ED" w:rsidRDefault="009D7E78" w:rsidP="009458A9">
      <w:pPr>
        <w:ind w:firstLine="720"/>
      </w:pPr>
    </w:p>
    <w:p w14:paraId="4225DF24" w14:textId="77777777" w:rsidR="009D7E78" w:rsidRPr="00C862ED" w:rsidRDefault="009D7E78" w:rsidP="009458A9">
      <w:pPr>
        <w:rPr>
          <w:b/>
          <w:i/>
        </w:rPr>
      </w:pPr>
      <w:r w:rsidRPr="00C862ED">
        <w:rPr>
          <w:b/>
          <w:i/>
        </w:rPr>
        <w:t>2.4. Data extraction</w:t>
      </w:r>
    </w:p>
    <w:p w14:paraId="3EDADB46" w14:textId="77777777" w:rsidR="00527114" w:rsidRPr="00137592" w:rsidRDefault="009D7E78" w:rsidP="00B264C0">
      <w:pPr>
        <w:ind w:firstLine="708"/>
      </w:pPr>
      <w:r w:rsidRPr="00C862ED">
        <w:t xml:space="preserve">M.R-G and G.A independently extracted data from articles that had been deemed eligible in the selection stage. </w:t>
      </w:r>
    </w:p>
    <w:p w14:paraId="1AA46B3A" w14:textId="130FC5CB" w:rsidR="0092061F" w:rsidRDefault="0092061F" w:rsidP="0092061F">
      <w:pPr>
        <w:ind w:firstLine="708"/>
      </w:pPr>
      <w:r>
        <w:t>A modified version of the Newcastle-Ottawa Scale (NOS)</w:t>
      </w:r>
      <w:r>
        <w:fldChar w:fldCharType="begin" w:fldLock="1"/>
      </w:r>
      <w:r>
        <w:instrText>ADDIN CSL_CITATION { "citationItems" : [ { "id" : "ITEM-1", "itemData" : { "author" : [ { "dropping-particle" : "", "family" : "Wells", "given" : "GA", "non-dropping-particle" : "", "parse-names" : false, "suffix" : "" }, { "dropping-particle" : "", "family" : "Shea", "given" : "B", "non-dropping-particle" : "", "parse-names" : false, "suffix" : "" }, { "dropping-particle" : "", "family" : "O'Connell", "given" : "D", "non-dropping-particle" : "", "parse-names" : false, "suffix" : "" }, { "dropping-particle" : "", "family" : "Peterson", "given" : "J", "non-dropping-particle" : "", "parse-names" : false, "suffix" : "" }, { "dropping-particle" : "", "family" : "Welch", "given" : "V", "non-dropping-particle" : "", "parse-names" : false, "suffix" : "" }, { "dropping-particle" : "", "family" : "Losos", "given" : "M", "non-dropping-particle" : "", "parse-names" : false, "suffix" : "" }, { "dropping-particle" : "", "family" : "Tugwell", "given" : "P", "non-dropping-particle" : "", "parse-names" : false, "suffix" : "" } ], "id" : "ITEM-1", "issued" : { "date-parts" : [ [ "0" ] ] }, "publisher" : "Ottawa Hospital Research Institute", "publisher-place" : "Ontario", "title" : "The Newcastle-Ottawa Scale (NOS) for assessing the quality of non randomised studies in meta-analyses", "type" : "article" }, "uris" : [ "http://www.mendeley.com/documents/?uuid=72ef7ac0-b9ce-4347-9d31-bab481f31a77" ] } ], "mendeley" : { "formattedCitation" : "&lt;sup&gt;37&lt;/sup&gt;", "plainTextFormattedCitation" : "37", "previouslyFormattedCitation" : "&lt;sup&gt;37&lt;/sup&gt;" }, "properties" : {  }, "schema" : "https://github.com/citation-style-language/schema/raw/master/csl-citation.json" }</w:instrText>
      </w:r>
      <w:r>
        <w:fldChar w:fldCharType="separate"/>
      </w:r>
      <w:r>
        <w:rPr>
          <w:noProof/>
        </w:rPr>
        <w:t>37</w:t>
      </w:r>
      <w:r>
        <w:fldChar w:fldCharType="end"/>
      </w:r>
      <w:r>
        <w:t xml:space="preserve"> was used to assess the risk of bias of each study and rated independently by the same authors. Any discrepancies at this stage were resolved by consensus between M. R-G and G.A. Two items, one in the selection and one in the exposure subsections, were eliminated as they were deemed inadequate for our study. Hence, the maximum score in the scale was seven instead of nine stars. Final items of the scale can be found in Supplementary Methods 3 in supplementary material.</w:t>
      </w:r>
    </w:p>
    <w:p w14:paraId="41EE3076" w14:textId="091903C1" w:rsidR="009D7E78" w:rsidRPr="00C862ED" w:rsidRDefault="009D7E78" w:rsidP="00AD7472">
      <w:pPr>
        <w:ind w:firstLine="708"/>
      </w:pPr>
    </w:p>
    <w:p w14:paraId="69C5E42C" w14:textId="77777777" w:rsidR="009D7E78" w:rsidRPr="00C862ED" w:rsidRDefault="009D7E78" w:rsidP="009458A9"/>
    <w:p w14:paraId="67CF6CDC" w14:textId="77777777" w:rsidR="009D7E78" w:rsidRPr="00C862ED" w:rsidRDefault="009D7E78" w:rsidP="009458A9">
      <w:pPr>
        <w:rPr>
          <w:b/>
          <w:i/>
        </w:rPr>
      </w:pPr>
      <w:r w:rsidRPr="00C862ED">
        <w:rPr>
          <w:b/>
          <w:i/>
        </w:rPr>
        <w:lastRenderedPageBreak/>
        <w:t>2.5. Data synthesis</w:t>
      </w:r>
    </w:p>
    <w:p w14:paraId="1B901DF3" w14:textId="279018D4" w:rsidR="00C25C76" w:rsidRPr="00C862ED" w:rsidRDefault="009D7E78" w:rsidP="00C25C76">
      <w:pPr>
        <w:ind w:firstLine="708"/>
      </w:pPr>
      <w:r w:rsidRPr="00C862ED">
        <w:t xml:space="preserve">Summary effect measures (HRs or ORs) were combined in order to estimate a population-average </w:t>
      </w:r>
      <w:r w:rsidR="0054320B" w:rsidRPr="00C862ED">
        <w:t>relative risk</w:t>
      </w:r>
      <w:r w:rsidRPr="00C862ED">
        <w:t xml:space="preserve"> between ADHD and poisoning in children and adolescents. </w:t>
      </w:r>
      <w:r w:rsidR="00C25C76" w:rsidRPr="00C862ED">
        <w:t>Hazard Ratios and Odds Ratios were considered equivalent measures of relative risk as the baseline prevalence of poisoning was exp</w:t>
      </w:r>
      <w:r w:rsidR="00DE796B" w:rsidRPr="00C862ED">
        <w:t>ected to be very low (</w:t>
      </w:r>
      <w:r w:rsidR="00C862ED" w:rsidRPr="00C862ED">
        <w:t>less than</w:t>
      </w:r>
      <w:r w:rsidR="00DE796B" w:rsidRPr="00C862ED">
        <w:t xml:space="preserve"> 1%). I</w:t>
      </w:r>
      <w:r w:rsidR="00C25C76" w:rsidRPr="00C862ED">
        <w:t>n such cases the two measures yield very close results</w:t>
      </w:r>
      <w:r w:rsidR="00E03B13" w:rsidRPr="00C862ED">
        <w:rPr>
          <w:i/>
        </w:rPr>
        <w:fldChar w:fldCharType="begin" w:fldLock="1"/>
      </w:r>
      <w:r w:rsidR="00487110" w:rsidRPr="00C862ED">
        <w:rPr>
          <w:i/>
        </w:rPr>
        <w:instrText>ADDIN CSL_CITATION { "citationItems" : [ { "id" : "ITEM-1", "itemData" : { "DOI" : "10.1157/13123495", "ISSN" : "0025-7753", "PMID" : "18588832", "author" : [ { "dropping-particle" : "", "family" : "Mart\u00ednez-Gonz\u00e1lez", "given" : "Miguel Angel", "non-dropping-particle" : "", "parse-names" : false, "suffix" : "" }, { "dropping-particle" : "", "family" : "Alonso", "given" : "Alvaro", "non-dropping-particle" : "", "parse-names" : false, "suffix" : "" }, { "dropping-particle" : "", "family" : "L\u00f3pez Fidalgo", "given" : "Jes\u00fas", "non-dropping-particle" : "", "parse-names" : false, "suffix" : "" } ], "container-title" : "Medicina clinica", "id" : "ITEM-1", "issue" : "2", "issued" : { "date-parts" : [ [ "2008", "6", "14" ] ] }, "page" : "65-72", "title" : "[What is hazard ratio? Concepts in survival analysis].", "type" : "article-journal", "volume" : "131" }, "uris" : [ "http://www.mendeley.com/documents/?uuid=a802bd6f-c556-4c08-a230-4f5f2a359235" ] }, { "id" : "ITEM-2", "itemData" : { "DOI" : "10.1016/S0895-4356(02)00443-2", "ISBN" : "0895-4356 (Print)\\r0895-4356 (Linking)", "ISSN" : "08954356", "PMID" : "12393077", "abstract" : "Analysis of prospective follow-up data usually includes a Cox regression model. When a hazard rate ratio, obtained as the exponential of an estimated regression coefficient from the Cox model, is greater than 1.0, it consistently exceeds relative risk, and is exceeded by the odds ratio. The divergence of these distinct epidemiologic measures increases with the product of three factors: (1) the length of follow-up, (2) the average rate of the end point occurence over the follow-up period, and (3) the magnitude of risk, either above or below 1. Cornfield's rare disease assumption is basically the product of the first two of these factors. However, risks in excess of 2.5 have a powerful effect on the divergence of these measures, and this point has received less emphasis. Conversely, and as seen frequently in applications, relative risk, hazard rate ratio, and odds ratio numerically approximate one another with shorter follow-up, rarer end points, and risks closer to 1. Although the hazard rate ratio is not always distinguished from relative risk, it is commonly close to, and is always between, relative risk and the odds ratio. Consistent and accurate terminology would have us use hazard rate ratio with Cox regression and odds ratio with logistic regression. The term \"relative risk\" seems to be a default choice, regardless of the model being used. However, when relative risk is the object of the model chosen, as in a Poisson regression approximation of two binomial proportions or an equivalent weighted least squares, then for us, relative risk is the accurate terminology.", "author" : [ { "dropping-particle" : "", "family" : "Symons", "given" : "M J", "non-dropping-particle" : "", "parse-names" : false, "suffix" : "" }, { "dropping-particle" : "", "family" : "Moore", "given" : "D T", "non-dropping-particle" : "", "parse-names" : false, "suffix" : "" } ], "container-title" : "J Clin Epidemiol", "id" : "ITEM-2", "issue" : "9", "issued" : { "date-parts" : [ [ "2002" ] ] }, "page" : "893-899", "title" : "Hazard rate ratio and prospective epidemiological studies", "type" : "article-journal", "volume" : "55" }, "uris" : [ "http://www.mendeley.com/documents/?uuid=c12b812a-fadf-4be8-8c25-b757e75b6e95" ] } ], "mendeley" : { "formattedCitation" : "&lt;sup&gt;63,64&lt;/sup&gt;", "plainTextFormattedCitation" : "63,64", "previouslyFormattedCitation" : "&lt;sup&gt;63,64&lt;/sup&gt;" }, "properties" : {  }, "schema" : "https://github.com/citation-style-language/schema/raw/master/csl-citation.json" }</w:instrText>
      </w:r>
      <w:r w:rsidR="00E03B13" w:rsidRPr="00C862ED">
        <w:rPr>
          <w:i/>
        </w:rPr>
        <w:fldChar w:fldCharType="separate"/>
      </w:r>
      <w:r w:rsidR="00487110" w:rsidRPr="00C862ED">
        <w:rPr>
          <w:noProof/>
          <w:vertAlign w:val="superscript"/>
        </w:rPr>
        <w:t>63,64</w:t>
      </w:r>
      <w:r w:rsidR="00E03B13" w:rsidRPr="00C862ED">
        <w:rPr>
          <w:i/>
        </w:rPr>
        <w:fldChar w:fldCharType="end"/>
      </w:r>
      <w:r w:rsidR="007A505C" w:rsidRPr="00C862ED">
        <w:t>.</w:t>
      </w:r>
    </w:p>
    <w:p w14:paraId="02D9A795" w14:textId="51BFD43D" w:rsidR="009D7E78" w:rsidRPr="00C862ED" w:rsidRDefault="009D7E78" w:rsidP="00AD7472">
      <w:pPr>
        <w:ind w:firstLine="708"/>
        <w:rPr>
          <w:lang w:eastAsia="es-ES"/>
        </w:rPr>
      </w:pPr>
      <w:r w:rsidRPr="00C862ED">
        <w:t>Robust Variance Estimation</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"10.1002/jrsm.5", "ISBN" : "1759-2887", "ISSN" : "17592887", "PMID" : "26056092", "abstract" : "Conventional meta-analytic techniques rely on the assumption that effect size estimates from different studies are independent and have sampling distributions with known conditional variances. The independence assumption is violated when studies produce several estimates based on the same individuals or there are clusters of studies that are not independent (such as those carried out by the same investigator or laboratory). This paper provides an estimator of the covariance matrix of meta-regression coefficients that are applicable when there are clusters of internally correlated estimates. It makes no assumptions about the specific form of the sampling distributions of the effect sizes, nor does it require knowledge of the covariance structure of the dependent estimates. Moreover, this paper demonstrates that the meta-regression coefficients are consistent and asymptotically normally distributed and that the robust variance estimator is valid even when the covariates are random. The theory is asymptotic in the number of studies, but simulations suggest that the theory may yield accurate results with as few as 20\u201340 studies. Copyright \u00a9 2010 John Wiley &amp; Sons, Ltd.", "author" : [ { "dropping-particle" : "V.", "family" : "Hedges", "given" : "Larry", "non-dropping-particle" : "", "parse-names" : false, "suffix" : "" }, { "dropping-particle" : "", "family" : "Tipton", "given" : "Elizabeth", "non-dropping-particle" : "", "parse-names" : false, "suffix" : "" }, { "dropping-particle" : "", "family" : "Johnson", "given" : "Matthew C.", "non-dropping-particle" : "", "parse-names" : false, "suffix" : "" } ], "container-title" : "Research Synthesis Methods", "id" : "ITEM-1", "issue" : "1", "issued" : { "date-parts" : [ [ "2010" ] ] }, "page" : "39-65", "title" : "Robust variance estimation in meta-regression with dependent effect size estimates", "type" : "article-journal", "volume" : "1" }, "uris" : [ "http://www.mendeley.com/documents/?uuid=de081500-c7e3-453a-8002-4bfb88e7174e" ] }, { "id" : "ITEM-2", "itemData" : { "DOI" : "10.1002/jrsm.1070", "ISSN" : "1759-2887", "abstract" : "Dependent effect size estimates are a common problem in meta-analysis. Recently, a robust variance estimation method was introduced that can be used whenever effect sizes in a meta-analysis are not independent. This problem arises, for example, when effect sizes are nested or when multiple measures are collected on the same individuals. In this paper, we investigate the robustness of this method in small samples when the effect size of interest is the risk difference, log risk ratio, or log odds ratio. This simulation study examines the accuracy of 95% confidence intervals constructed using the robust variance estimator across a large variety of parameter values. We report results for both estimations of the mean effect (intercept) and of a slope. The results indicate that the robust variance estimator performs well even when the number of studies is as small as 10, although coverage is generally less than nominal in the slope estimation case. Throughout, an example based on a meta-analysis of cognitive behavior therapy is used for motivation. Copyright \u00a9 2013 John Wiley &amp; Sons, Ltd.", "author" : [ { "dropping-particle" : "", "family" : "Tipton", "given" : "Elizabeth", "non-dropping-particle" : "", "parse-names" : false, "suffix" : "" } ], "container-title" : "Research Synthesis Methods", "id" : "ITEM-2", "issue" : "2", "issued" : { "date-parts" : [ [ "2013" ] ] }, "page" : "169\u2013187", "title" : "Robust variance estimation in meta-regression with binary dependent effects", "type" : "article-journal", "volume" : "4" }, "uris" : [ "http://www.mendeley.com/documents/?uuid=cd22f83a-64de-4ea2-81de-3d913478f9e7" ] } ], "mendeley" : { "formattedCitation" : "&lt;sup&gt;65,66&lt;/sup&gt;", "plainTextFormattedCitation" : "65,66", "previouslyFormattedCitation" : "&lt;sup&gt;65,66&lt;/sup&gt;"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65,66</w:t>
      </w:r>
      <w:r w:rsidR="00E03B13" w:rsidRPr="00C862ED">
        <w:rPr>
          <w:rFonts w:eastAsia="Arial Unicode MS"/>
          <w:lang w:eastAsia="en-GB"/>
        </w:rPr>
        <w:fldChar w:fldCharType="end"/>
      </w:r>
      <w:r w:rsidRPr="00C862ED">
        <w:t>,</w:t>
      </w:r>
      <w:r w:rsidRPr="00C862ED">
        <w:rPr>
          <w:lang w:eastAsia="es-ES"/>
        </w:rPr>
        <w:t xml:space="preserve"> a statistical technique that models the nested structure between outcomes of the same study </w:t>
      </w:r>
      <w:r w:rsidRPr="00C862ED">
        <w:rPr>
          <w:rFonts w:eastAsia="Arial Unicode MS"/>
          <w:lang w:eastAsia="en-GB"/>
        </w:rPr>
        <w:t>and allows to account for the non-independence of outcomes</w:t>
      </w:r>
      <w:r w:rsidRPr="00C862ED">
        <w:rPr>
          <w:lang w:eastAsia="es-ES"/>
        </w:rPr>
        <w:t>, was used for the inference of a mean effect size and meta-regression analyses</w:t>
      </w:r>
      <w:r w:rsidRPr="00C862ED">
        <w:t xml:space="preserve">. </w:t>
      </w:r>
      <w:r w:rsidR="000B0B30" w:rsidRPr="00C862ED">
        <w:t xml:space="preserve">We carried out a mixed-effect model with robust variance and random-effect estimates. </w:t>
      </w:r>
      <w:r w:rsidRPr="00C862ED">
        <w:t>A</w:t>
      </w:r>
      <w:r w:rsidRPr="00C862ED">
        <w:rPr>
          <w:lang w:eastAsia="es-ES"/>
        </w:rPr>
        <w:t xml:space="preserve"> model with variation of </w:t>
      </w:r>
      <w:r w:rsidR="0054320B" w:rsidRPr="00C862ED">
        <w:rPr>
          <w:lang w:eastAsia="es-ES"/>
        </w:rPr>
        <w:t xml:space="preserve">RRs </w:t>
      </w:r>
      <w:r w:rsidRPr="00C862ED">
        <w:rPr>
          <w:lang w:eastAsia="es-ES"/>
        </w:rPr>
        <w:t>between studies and equicorrelation between</w:t>
      </w:r>
      <w:r w:rsidR="004C6904" w:rsidRPr="00C862ED">
        <w:rPr>
          <w:lang w:eastAsia="es-ES"/>
        </w:rPr>
        <w:t xml:space="preserve"> same-study effect sizes (p</w:t>
      </w:r>
      <w:r w:rsidRPr="00C862ED">
        <w:rPr>
          <w:lang w:eastAsia="es-ES"/>
        </w:rPr>
        <w:t>; p=0.8 in this case) was assumed. This strategy is highly efficient to estimate a mean model from outcomes which are typically correlated at the study level, but are usually independent</w:t>
      </w:r>
      <w:r w:rsidR="00FB2CA9" w:rsidRPr="00C862ED">
        <w:rPr>
          <w:lang w:eastAsia="es-ES"/>
        </w:rPr>
        <w:t xml:space="preserve"> between studies</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"10.1002/jrsm.5", "ISBN" : "1759-2887", "ISSN" : "17592887", "PMID" : "26056092", "abstract" : "Conventional meta-analytic techniques rely on the assumption that effect size estimates from different studies are independent and have sampling distributions with known conditional variances. The independence assumption is violated when studies produce several estimates based on the same individuals or there are clusters of studies that are not independent (such as those carried out by the same investigator or laboratory). This paper provides an estimator of the covariance matrix of meta-regression coefficients that are applicable when there are clusters of internally correlated estimates. It makes no assumptions about the specific form of the sampling distributions of the effect sizes, nor does it require knowledge of the covariance structure of the dependent estimates. Moreover, this paper demonstrates that the meta-regression coefficients are consistent and asymptotically normally distributed and that the robust variance estimator is valid even when the covariates are random. The theory is asymptotic in the number of studies, but simulations suggest that the theory may yield accurate results with as few as 20\u201340 studies. Copyright \u00a9 2010 John Wiley &amp; Sons, Ltd.", "author" : [ { "dropping-particle" : "V.", "family" : "Hedges", "given" : "Larry", "non-dropping-particle" : "", "parse-names" : false, "suffix" : "" }, { "dropping-particle" : "", "family" : "Tipton", "given" : "Elizabeth", "non-dropping-particle" : "", "parse-names" : false, "suffix" : "" }, { "dropping-particle" : "", "family" : "Johnson", "given" : "Matthew C.", "non-dropping-particle" : "", "parse-names" : false, "suffix" : "" } ], "container-title" : "Research Synthesis Methods", "id" : "ITEM-1", "issue" : "1", "issued" : { "date-parts" : [ [ "2010" ] ] }, "page" : "39-65", "title" : "Robust variance estimation in meta-regression with dependent effect size estimates", "type" : "article-journal", "volume" : "1" }, "uris" : [ "http://www.mendeley.com/documents/?uuid=de081500-c7e3-453a-8002-4bfb88e7174e" ] } ], "mendeley" : { "formattedCitation" : "&lt;sup&gt;65&lt;/sup&gt;", "plainTextFormattedCitation" : "65", "previouslyFormattedCitation" : "&lt;sup&gt;65&lt;/sup&gt;"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65</w:t>
      </w:r>
      <w:r w:rsidR="00E03B13" w:rsidRPr="00C862ED">
        <w:rPr>
          <w:rFonts w:eastAsia="Arial Unicode MS"/>
          <w:lang w:eastAsia="en-GB"/>
        </w:rPr>
        <w:fldChar w:fldCharType="end"/>
      </w:r>
      <w:r w:rsidRPr="00C862ED">
        <w:rPr>
          <w:lang w:eastAsia="es-ES"/>
        </w:rPr>
        <w:t>. The influence of the equicorrelation value chosen here, the most commonly used in previous studies</w:t>
      </w:r>
      <w:r w:rsidR="00E03B13" w:rsidRPr="00C862ED">
        <w:rPr>
          <w:lang w:eastAsia="es-ES"/>
        </w:rPr>
        <w:fldChar w:fldCharType="begin" w:fldLock="1"/>
      </w:r>
      <w:r w:rsidR="00487110" w:rsidRPr="00C862ED">
        <w:rPr>
          <w:lang w:eastAsia="es-ES"/>
        </w:rPr>
        <w:instrText>ADDIN CSL_CITATION { "citationItems" : [ { "id" : "ITEM-1", "itemData" : { "DOI" : "10.4073/csr.2012.3", "ISBN" : "1891-1803", "ISSN" : "1891-1803", "abstract" : "Executive summary/Abstract BACKGROUND Stress and distress are common experiences central to many of the problems occupying health and social services and efforts to improve both health and quality of life are receiving increasing attention. Evaluative research on mind-body interventions is also growing and one of the best studied efforts to reduce stress is mindfulness-based stress reduction (MBSR). Developed by Kabat-Zinn in 1979, MBSR is based on old spiritual traditions and includes regular meditation. Mindfulness is a way of intentionally attending to the present moment in a non-judgemental way. A number of reviews and meta-analyses on MBSR have been conducted, but few have adhered to the meta-analytic protocol stipulated by the Cochrane and Campbell collaborations. The last review of all relevant target groups was published in 2004. OBJECTIVES To evaluate the effect of mindfulness-based stress reduction (MBSR) on health, quality of life, and social functioning in adults. SEARCH STRATEGY We searched all relevant databases: MEDLINE, AMED, PsycINFO, EMBASE, Ovid Nursing Full Text Plus, the British Nursing Index and Archive, the Cochrane Central Register of Controlled Trials (CENTRAL), SIGLE, Web of Science\u00ae, SveMed+, Dissertation Abstracts International, ERIC, Social Services Abstracts, Sociological Abstracts, the International Bibliography of Social Sciences, and ProQuest. The searches were conducted in July 2008 and again in September 2010. SELECTION CRITERIA Randomised controlled trials on all target groups were included where the intervention followed the MBSR protocol developed by Kabat-Zinn, allowing for variations in the length of the MBSR courses.We accepted all types of control groups and no language restrictions were imposed.  DATA COLLECTION AND ANALYSIS Two reviewers independently read the titles, retrieved the studies, and extracted data from all the included studies. We calculated standardised mean differences (expressed as Hedges\u2019 g-values) from all of the study outcomes using Comprehensive Meta Analysis. The meta-analyses were undertaken using the Metafor Package which is part of the statistical program \u2018R\u2019; we used a newly developed technique (Robust Standard Errors) to address the statistical challenge presented by clusters of internally correlated effect estimates. RESULTS We identified 31 RCTs with an overall total of 1,942 participants. Seven studies included people with mild to moderate psychological problems, 13 studies targeted\u2026", "author" : [ { "dropping-particle" : "", "family" : "Vibe", "given" : "M", "non-dropping-particle" : "De", "parse-names" : false, "suffix" : "" } ], "container-title" : "Campbell Systematic Reviews", "id" : "ITEM-1", "issued" : { "date-parts" : [ [ "2012" ] ] }, "page" : "127", "title" : "Mindfulness based stress reduction (MBSR) for improving health, quality of life, and social functioning in adults", "type" : "article-journal" }, "uris" : [ "http://www.mendeley.com/documents/?uuid=ded7a38a-48a9-4911-84bb-1e77cb9d3955" ] }, { "id" : "ITEM-2", "itemData" : { "DOI" : "10.1002/jrsm.1070", "ISSN" : "1759-2887", "abstract" : "Dependent effect size estimates are a common problem in meta-analysis. Recently, a robust variance estimation method was introduced that can be used whenever effect sizes in a meta-analysis are not independent. This problem arises, for example, when effect sizes are nested or when multiple measures are collected on the same individuals. In this paper, we investigate the robustness of this method in small samples when the effect size of interest is the risk difference, log risk ratio, or log odds ratio. This simulation study examines the accuracy of 95% confidence intervals constructed using the robust variance estimator across a large variety of parameter values. We report results for both estimations of the mean effect (intercept) and of a slope. The results indicate that the robust variance estimator performs well even when the number of studies is as small as 10, although coverage is generally less than nominal in the slope estimation case. Throughout, an example based on a meta-analysis of cognitive behavior therapy is used for motivation. Copyright \u00a9 2013 John Wiley &amp; Sons, Ltd.", "author" : [ { "dropping-particle" : "", "family" : "Tipton", "given" : "Elizabeth", "non-dropping-particle" : "", "parse-names" : false, "suffix" : "" } ], "container-title" : "Research Synthesis Methods", "id" : "ITEM-2", "issue" : "2", "issued" : { "date-parts" : [ [ "2013" ] ] }, "page" : "169\u2013187", "title" : "Robust variance estimation in meta-regression with binary dependent effects", "type" : "article-journal", "volume" : "4" }, "uris" : [ "http://www.mendeley.com/documents/?uuid=cd22f83a-64de-4ea2-81de-3d913478f9e7" ] } ], "mendeley" : { "formattedCitation" : "&lt;sup&gt;66,67&lt;/sup&gt;", "plainTextFormattedCitation" : "66,67", "previouslyFormattedCitation" : "&lt;sup&gt;66,67&lt;/sup&gt;" }, "properties" : {  }, "schema" : "https://github.com/citation-style-language/schema/raw/master/csl-citation.json" }</w:instrText>
      </w:r>
      <w:r w:rsidR="00E03B13" w:rsidRPr="00C862ED">
        <w:rPr>
          <w:lang w:eastAsia="es-ES"/>
        </w:rPr>
        <w:fldChar w:fldCharType="separate"/>
      </w:r>
      <w:r w:rsidR="00487110" w:rsidRPr="00C862ED">
        <w:rPr>
          <w:noProof/>
          <w:vertAlign w:val="superscript"/>
          <w:lang w:eastAsia="es-ES"/>
        </w:rPr>
        <w:t>66,67</w:t>
      </w:r>
      <w:r w:rsidR="00E03B13" w:rsidRPr="00C862ED">
        <w:rPr>
          <w:lang w:eastAsia="es-ES"/>
        </w:rPr>
        <w:fldChar w:fldCharType="end"/>
      </w:r>
      <w:r w:rsidR="002A3D68" w:rsidRPr="00C862ED">
        <w:rPr>
          <w:lang w:eastAsia="es-ES"/>
        </w:rPr>
        <w:t>,</w:t>
      </w:r>
      <w:r w:rsidRPr="00C862ED">
        <w:rPr>
          <w:lang w:eastAsia="es-ES"/>
        </w:rPr>
        <w:t xml:space="preserve"> was evaluated in a sensitivity analysis with varying levels of p</w:t>
      </w:r>
      <w:r w:rsidR="00192EEC" w:rsidRPr="00C862ED">
        <w:rPr>
          <w:lang w:eastAsia="es-ES"/>
        </w:rPr>
        <w:t xml:space="preserve"> (0.1 </w:t>
      </w:r>
      <w:r w:rsidR="004C6904" w:rsidRPr="00C862ED">
        <w:rPr>
          <w:lang w:eastAsia="es-ES"/>
        </w:rPr>
        <w:t>steps</w:t>
      </w:r>
      <w:r w:rsidR="00192EEC" w:rsidRPr="00C862ED">
        <w:rPr>
          <w:lang w:eastAsia="es-ES"/>
        </w:rPr>
        <w:t xml:space="preserve"> between 0 and 1)</w:t>
      </w:r>
      <w:r w:rsidRPr="00C862ED">
        <w:rPr>
          <w:lang w:eastAsia="es-ES"/>
        </w:rPr>
        <w:t xml:space="preserve">. </w:t>
      </w:r>
    </w:p>
    <w:p w14:paraId="2EDA8436" w14:textId="23B72FB2" w:rsidR="00971089" w:rsidRPr="00C862ED" w:rsidRDefault="009D7E78" w:rsidP="009458A9">
      <w:pPr>
        <w:ind w:firstLine="720"/>
        <w:rPr>
          <w:rFonts w:eastAsia="Arial Unicode MS"/>
          <w:lang w:eastAsia="en-GB"/>
        </w:rPr>
      </w:pPr>
      <w:r w:rsidRPr="00C862ED">
        <w:rPr>
          <w:rFonts w:eastAsia="Arial Unicode MS"/>
          <w:lang w:eastAsia="en-GB"/>
        </w:rPr>
        <w:t xml:space="preserve">Cochran’s </w:t>
      </w:r>
      <w:r w:rsidR="004C6904" w:rsidRPr="00C862ED">
        <w:rPr>
          <w:rFonts w:eastAsia="Arial Unicode MS"/>
          <w:lang w:eastAsia="en-GB"/>
        </w:rPr>
        <w:t xml:space="preserve">Q test </w:t>
      </w:r>
      <w:r w:rsidRPr="00C862ED">
        <w:rPr>
          <w:rFonts w:eastAsia="Arial Unicode MS"/>
          <w:lang w:eastAsia="en-GB"/>
        </w:rPr>
        <w:t xml:space="preserve">and </w:t>
      </w:r>
      <w:r w:rsidRPr="00C862ED">
        <w:rPr>
          <w:rFonts w:eastAsia="Arial Unicode MS"/>
        </w:rPr>
        <w:t>I</w:t>
      </w:r>
      <w:r w:rsidRPr="00C862ED">
        <w:rPr>
          <w:rFonts w:eastAsia="Arial Unicode MS"/>
          <w:vertAlign w:val="superscript"/>
        </w:rPr>
        <w:t xml:space="preserve">2 </w:t>
      </w:r>
      <w:r w:rsidRPr="00C862ED">
        <w:rPr>
          <w:rFonts w:eastAsia="Arial Unicode MS"/>
          <w:lang w:eastAsia="en-GB"/>
        </w:rPr>
        <w:t xml:space="preserve">index </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"10.1136/bmj.327.7414.557", "ISBN" : "1468-5833 (Electronic)\\r0959-535X (Linking)", "ISSN" : "1756-1833", "PMID" : "12958120", "abstract" : "Cochrane Reviews have recently started including the quantity I 2 to help readers assess the consistency of the results of studies in meta-analyses. What does this new quantity mean, and why is assessment of heterogeneity so important to clinical practice?", "author" : [ { "dropping-particle" : "", "family" : "Higgins", "given" : "Julian P T", "non-dropping-particle" : "", "parse-names" : false, "suffix" : "" }, { "dropping-particle" : "", "family" : "Thompson", "given" : "Simon G", "non-dropping-particle" : "", "parse-names" : false, "suffix" : "" }, { "dropping-particle" : "", "family" : "Deeks", "given" : "Jonathan J", "non-dropping-particle" : "", "parse-names" : false, "suffix" : "" }, { "dropping-particle" : "", "family" : "Altman", "given" : "Douglas G", "non-dropping-particle" : "", "parse-names" : false, "suffix" : "" } ], "container-title" : "BMJ : British Medical Journal", "id" : "ITEM-1", "issue" : "7414", "issued" : { "date-parts" : [ [ "2003" ] ] }, "page" : "557-560", "title" : "Measuring inconsistency in meta-analyses", "type" : "article-journal", "volume" : "327" }, "uris" : [ "http://www.mendeley.com/documents/?uuid=f13d8112-44e8-45da-b6f9-35e5dd2e3e13" ] } ], "mendeley" : { "formattedCitation" : "&lt;sup&gt;35&lt;/sup&gt;", "plainTextFormattedCitation" : "35", "previouslyFormattedCitation" : "&lt;sup&gt;35&lt;/sup&gt;"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35</w:t>
      </w:r>
      <w:r w:rsidR="00E03B13" w:rsidRPr="00C862ED">
        <w:rPr>
          <w:rFonts w:eastAsia="Arial Unicode MS"/>
          <w:lang w:eastAsia="en-GB"/>
        </w:rPr>
        <w:fldChar w:fldCharType="end"/>
      </w:r>
      <w:r w:rsidRPr="00C862ED">
        <w:rPr>
          <w:rFonts w:eastAsia="Arial Unicode MS"/>
          <w:lang w:eastAsia="en-GB"/>
        </w:rPr>
        <w:t xml:space="preserve"> were used to evaluate heterogeneity </w:t>
      </w:r>
      <w:r w:rsidR="00E70543" w:rsidRPr="00C862ED">
        <w:rPr>
          <w:rFonts w:eastAsia="Arial Unicode MS"/>
          <w:lang w:eastAsia="en-GB"/>
        </w:rPr>
        <w:t xml:space="preserve">among </w:t>
      </w:r>
      <w:r w:rsidRPr="00C862ED">
        <w:rPr>
          <w:rFonts w:eastAsia="Arial Unicode MS"/>
          <w:lang w:eastAsia="en-GB"/>
        </w:rPr>
        <w:t xml:space="preserve">studies, whereas </w:t>
      </w:r>
      <w:proofErr w:type="spellStart"/>
      <w:r w:rsidRPr="00C862ED">
        <w:rPr>
          <w:rFonts w:eastAsia="Arial Unicode MS"/>
          <w:lang w:eastAsia="en-GB"/>
        </w:rPr>
        <w:t>Begg’s</w:t>
      </w:r>
      <w:proofErr w:type="spellEnd"/>
      <w:r w:rsidRPr="00C862ED">
        <w:rPr>
          <w:rFonts w:eastAsia="Arial Unicode MS"/>
          <w:lang w:eastAsia="en-GB"/>
        </w:rPr>
        <w:t xml:space="preserve"> adjusted rank correlation and Egger’s test were implemented to formally assess the presence of “small-sample” bias</w:t>
      </w:r>
      <w:r w:rsidR="00E03B13" w:rsidRPr="00C862ED">
        <w:rPr>
          <w:rFonts w:eastAsia="Arial Unicode MS"/>
          <w:lang w:eastAsia="en-GB"/>
        </w:rPr>
        <w:t xml:space="preserve">. These analyses were carried out using a single outcome per study. This outcome was selected at random whenever more than one existed. </w:t>
      </w:r>
      <w:r w:rsidR="00E03B13" w:rsidRPr="00137592">
        <w:rPr>
          <w:rFonts w:eastAsia="Arial Unicode MS"/>
          <w:lang w:eastAsia="en-GB"/>
        </w:rPr>
        <w:t>We planned to combine all outcomes fulfilling our inclusion criteria independently of the results of heterogeneity analyses and deal with heterogeneity through the us</w:t>
      </w:r>
      <w:r w:rsidR="00C07BFA" w:rsidRPr="00C862ED">
        <w:rPr>
          <w:rFonts w:eastAsia="Arial Unicode MS"/>
          <w:lang w:eastAsia="en-GB"/>
        </w:rPr>
        <w:t>e</w:t>
      </w:r>
      <w:r w:rsidR="00E03B13" w:rsidRPr="00137592">
        <w:rPr>
          <w:rFonts w:eastAsia="Arial Unicode MS"/>
          <w:lang w:eastAsia="en-GB"/>
        </w:rPr>
        <w:t xml:space="preserve"> of a random-effects model and meta-regression, as the exclusion of studies prior to performing a meta-analysis affects the validity of the subsequent results </w:t>
      </w:r>
      <w:r w:rsidR="00E03B13" w:rsidRPr="00137592">
        <w:rPr>
          <w:rFonts w:eastAsia="Arial Unicode MS"/>
          <w:lang w:eastAsia="en-GB"/>
        </w:rPr>
        <w:lastRenderedPageBreak/>
        <w:fldChar w:fldCharType="begin" w:fldLock="1"/>
      </w:r>
      <w:r w:rsidR="00487110" w:rsidRPr="00C862ED">
        <w:rPr>
          <w:rFonts w:eastAsia="Arial Unicode MS"/>
          <w:lang w:eastAsia="en-GB"/>
        </w:rPr>
        <w:instrText>ADDIN CSL_CITATION { "citationItems" : [ { "id" : "ITEM-1", "itemData" : { "DOI" : "10.1093/ije/dyn204", "ISSN" : "0300-5771", "author" : [ { "dropping-particle" : "", "family" : "Higgins", "given" : "J. P T", "non-dropping-particle" : "", "parse-names" : false, "suffix" : "" } ], "container-title" : "International Journal of Epidemiology", "id" : "ITEM-1", "issue" : "5", "issued" : { "date-parts" : [ [ "2008", "10", "1" ] ] }, "page" : "1158-1160", "title" : "Commentary: Heterogeneity in meta-analysis should be expected and appropriately quantified", "type" : "article-journal", "volume" : "37" }, "uris" : [ "http://www.mendeley.com/documents/?uuid=dfc9a547-adf5-4f47-a16d-813fb44086fa" ] } ], "mendeley" : { "formattedCitation" : "&lt;sup&gt;68&lt;/sup&gt;", "plainTextFormattedCitation" : "68", "previouslyFormattedCitation" : "&lt;sup&gt;68&lt;/sup&gt;" }, "properties" : {  }, "schema" : "https://github.com/citation-style-language/schema/raw/master/csl-citation.json" }</w:instrText>
      </w:r>
      <w:r w:rsidR="00E03B13" w:rsidRPr="00137592">
        <w:rPr>
          <w:rFonts w:eastAsia="Arial Unicode MS"/>
          <w:lang w:eastAsia="en-GB"/>
        </w:rPr>
        <w:fldChar w:fldCharType="separate"/>
      </w:r>
      <w:r w:rsidR="00487110" w:rsidRPr="00C862ED">
        <w:rPr>
          <w:rFonts w:eastAsia="Arial Unicode MS"/>
          <w:noProof/>
          <w:vertAlign w:val="superscript"/>
          <w:lang w:eastAsia="en-GB"/>
        </w:rPr>
        <w:t>68</w:t>
      </w:r>
      <w:r w:rsidR="00E03B13" w:rsidRPr="00137592">
        <w:rPr>
          <w:rFonts w:eastAsia="Arial Unicode MS"/>
          <w:lang w:eastAsia="en-GB"/>
        </w:rPr>
        <w:fldChar w:fldCharType="end"/>
      </w:r>
      <w:r w:rsidR="00F5108B">
        <w:rPr>
          <w:rFonts w:eastAsia="Arial Unicode MS"/>
          <w:lang w:eastAsia="en-GB"/>
        </w:rPr>
        <w:t xml:space="preserve">. </w:t>
      </w:r>
      <w:r w:rsidRPr="00C862ED">
        <w:rPr>
          <w:rFonts w:eastAsia="Arial Unicode MS"/>
          <w:lang w:eastAsia="en-GB"/>
        </w:rPr>
        <w:t xml:space="preserve">Additional sensitivity/subgroup analyses consisted in: 1-Including ORs and HRs in separate analyses; 2-Calculating a mean effect size including only </w:t>
      </w:r>
      <w:r w:rsidR="00272989" w:rsidRPr="00C862ED">
        <w:rPr>
          <w:rFonts w:eastAsia="Arial Unicode MS"/>
          <w:lang w:eastAsia="en-GB"/>
        </w:rPr>
        <w:t xml:space="preserve">statistically </w:t>
      </w:r>
      <w:r w:rsidRPr="00C862ED">
        <w:rPr>
          <w:rFonts w:eastAsia="Arial Unicode MS"/>
          <w:lang w:eastAsia="en-GB"/>
        </w:rPr>
        <w:t>unadjusted outcomes</w:t>
      </w:r>
      <w:r w:rsidR="00272989" w:rsidRPr="00C862ED">
        <w:rPr>
          <w:rFonts w:eastAsia="Arial Unicode MS"/>
          <w:lang w:eastAsia="en-GB"/>
        </w:rPr>
        <w:t xml:space="preserve"> </w:t>
      </w:r>
      <w:r w:rsidR="00E03B13" w:rsidRPr="00137592">
        <w:rPr>
          <w:rFonts w:eastAsia="Arial Unicode MS"/>
          <w:lang w:eastAsia="en-GB"/>
        </w:rPr>
        <w:t>(from studies that, at least, controlled for sex by design); 3-Calculating a mean effect size including only adjusted outcomes (controlled covariates could include sex. If this was not the case, sex was controlled through sample selection);</w:t>
      </w:r>
      <w:r w:rsidRPr="00C862ED">
        <w:rPr>
          <w:rFonts w:eastAsia="Arial Unicode MS"/>
          <w:lang w:eastAsia="en-GB"/>
        </w:rPr>
        <w:t xml:space="preserve"> 4-Evaluating the influence of removing articles that report intoxication risk (instead of poisoning); 5-Investigating the influence of the risk of bias as evaluated by </w:t>
      </w:r>
      <w:r w:rsidR="00971089" w:rsidRPr="00C862ED">
        <w:rPr>
          <w:rFonts w:eastAsia="Arial Unicode MS"/>
          <w:lang w:eastAsia="en-GB"/>
        </w:rPr>
        <w:t xml:space="preserve">the rating </w:t>
      </w:r>
      <w:r w:rsidRPr="00C862ED">
        <w:rPr>
          <w:rFonts w:eastAsia="Arial Unicode MS"/>
          <w:lang w:eastAsia="en-GB"/>
        </w:rPr>
        <w:t>in the Newcastle-Ottawa Scale by carrying out a meta-regression analysis with the number of stars</w:t>
      </w:r>
      <w:r w:rsidR="00272989" w:rsidRPr="00C862ED">
        <w:rPr>
          <w:rFonts w:eastAsia="Arial Unicode MS"/>
          <w:lang w:eastAsia="en-GB"/>
        </w:rPr>
        <w:t xml:space="preserve"> on the scale</w:t>
      </w:r>
      <w:r w:rsidRPr="00C862ED">
        <w:rPr>
          <w:rFonts w:eastAsia="Arial Unicode MS"/>
          <w:lang w:eastAsia="en-GB"/>
        </w:rPr>
        <w:t xml:space="preserve"> for each article as </w:t>
      </w:r>
      <w:r w:rsidR="00B7526F" w:rsidRPr="00C862ED">
        <w:rPr>
          <w:rFonts w:eastAsia="Arial Unicode MS"/>
          <w:lang w:eastAsia="en-GB"/>
        </w:rPr>
        <w:t xml:space="preserve">a </w:t>
      </w:r>
      <w:r w:rsidRPr="00C862ED">
        <w:rPr>
          <w:rFonts w:eastAsia="Arial Unicode MS"/>
          <w:lang w:eastAsia="en-GB"/>
        </w:rPr>
        <w:t>predictor. We also investigated the effect of age on the risk of poisoning by splitting outcomes into 3 groups according to the age distribution of the participants: outcomes in which participants were under the age of 10, outcomes that included individuals of any age and outcomes in which participants were between 11 and 18 years old. The three groups of outcomes were compared pair-wise using a between-study meta-regression model</w:t>
      </w:r>
      <w:r w:rsidR="00AD0F4C" w:rsidRPr="00C862ED">
        <w:rPr>
          <w:rFonts w:eastAsia="Arial Unicode MS"/>
          <w:lang w:eastAsia="en-GB"/>
        </w:rPr>
        <w:t xml:space="preserve"> as we hypothesized that</w:t>
      </w:r>
      <w:r w:rsidR="008746C1" w:rsidRPr="00C862ED">
        <w:rPr>
          <w:rFonts w:eastAsia="Arial Unicode MS"/>
          <w:lang w:eastAsia="en-GB"/>
        </w:rPr>
        <w:t xml:space="preserve"> the</w:t>
      </w:r>
      <w:r w:rsidR="00AD0F4C" w:rsidRPr="00C862ED">
        <w:rPr>
          <w:rFonts w:eastAsia="Arial Unicode MS"/>
          <w:lang w:eastAsia="en-GB"/>
        </w:rPr>
        <w:t xml:space="preserve"> risk of poisoning would be </w:t>
      </w:r>
      <w:r w:rsidR="00A64CF7" w:rsidRPr="00C862ED">
        <w:rPr>
          <w:rFonts w:eastAsia="Arial Unicode MS"/>
          <w:lang w:eastAsia="en-GB"/>
        </w:rPr>
        <w:t xml:space="preserve">significantly </w:t>
      </w:r>
      <w:r w:rsidR="00AD0F4C" w:rsidRPr="00C862ED">
        <w:rPr>
          <w:rFonts w:eastAsia="Arial Unicode MS"/>
          <w:lang w:eastAsia="en-GB"/>
        </w:rPr>
        <w:t>greater in the older group when compared to younger individuals or to individuals of all ages</w:t>
      </w:r>
      <w:r w:rsidRPr="00C862ED">
        <w:rPr>
          <w:rFonts w:eastAsia="Arial Unicode MS"/>
          <w:lang w:eastAsia="en-GB"/>
        </w:rPr>
        <w:t xml:space="preserve">. </w:t>
      </w:r>
    </w:p>
    <w:p w14:paraId="100ECEAE" w14:textId="6F5F1636" w:rsidR="009D7E78" w:rsidRPr="00C862ED" w:rsidRDefault="00FE1EF5" w:rsidP="00971089">
      <w:pPr>
        <w:ind w:firstLine="720"/>
        <w:rPr>
          <w:rFonts w:eastAsia="Arial Unicode MS"/>
          <w:lang w:eastAsia="en-GB"/>
        </w:rPr>
      </w:pPr>
      <w:r w:rsidRPr="00C862ED">
        <w:rPr>
          <w:rFonts w:eastAsia="Arial Unicode MS"/>
          <w:lang w:eastAsia="en-GB"/>
        </w:rPr>
        <w:t>Finally, we investigated whether, compared to those without, children/adolescents with ADHD had a significantly higher risk of poisoning than of suffering other kinds of physical injuries. To this end, in order to control for confounding variables which could affect this comparison (i.e. country of origin and socio-cultural background of participants), only studies that reported both outcomes (effect measure of poisoning and of suffering physical injuries) were evaluated. These two groups of outcomes were compared using a within-study meta-regression model</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"10.1002/jrsm.5", "ISBN" : "1759-2887", "ISSN" : "17592887", "PMID" : "26056092", "abstract" : "Conventional meta-analytic techniques rely on the assumption that effect size estimates from different studies are independent and have sampling distributions with known conditional variances. The independence assumption is violated when studies produce several estimates based on the same individuals or there are clusters of studies that are not independent (such as those carried out by the same investigator or laboratory). This paper provides an estimator of the covariance matrix of meta-regression coefficients that are applicable when there are clusters of internally correlated estimates. It makes no assumptions about the specific form of the sampling distributions of the effect sizes, nor does it require knowledge of the covariance structure of the dependent estimates. Moreover, this paper demonstrates that the meta-regression coefficients are consistent and asymptotically normally distributed and that the robust variance estimator is valid even when the covariates are random. The theory is asymptotic in the number of studies, but simulations suggest that the theory may yield accurate results with as few as 20\u201340 studies. Copyright \u00a9 2010 John Wiley &amp; Sons, Ltd.", "author" : [ { "dropping-particle" : "V.", "family" : "Hedges", "given" : "Larry", "non-dropping-particle" : "", "parse-names" : false, "suffix" : "" }, { "dropping-particle" : "", "family" : "Tipton", "given" : "Elizabeth", "non-dropping-particle" : "", "parse-names" : false, "suffix" : "" }, { "dropping-particle" : "", "family" : "Johnson", "given" : "Matthew C.", "non-dropping-particle" : "", "parse-names" : false, "suffix" : "" } ], "container-title" : "Research Synthesis Methods", "id" : "ITEM-1", "issue" : "1", "issued" : { "date-parts" : [ [ "2010" ] ] }, "page" : "39-65", "title" : "Robust variance estimation in meta-regression with dependent effect size estimates", "type" : "article-journal", "volume" : "1" }, "uris" : [ "http://www.mendeley.com/documents/?uuid=de081500-c7e3-453a-8002-4bfb88e7174e" ] }, { "id" : "ITEM-2", "itemData" : { "DOI" : "10.1002/jrsm.1070", "ISSN" : "1759-2887", "abstract" : "Dependent effect size estimates are a common problem in meta-analysis. Recently, a robust variance estimation method was introduced that can be used whenever effect sizes in a meta-analysis are not independent. This problem arises, for example, when effect sizes are nested or when multiple measures are collected on the same individuals. In this paper, we investigate the robustness of this method in small samples when the effect size of interest is the risk difference, log risk ratio, or log odds ratio. This simulation study examines the accuracy of 95% confidence intervals constructed using the robust variance estimator across a large variety of parameter values. We report results for both estimations of the mean effect (intercept) and of a slope. The results indicate that the robust variance estimator performs well even when the number of studies is as small as 10, although coverage is generally less than nominal in the slope estimation case. Throughout, an example based on a meta-analysis of cognitive behavior therapy is used for motivation. Copyright \u00a9 2013 John Wiley &amp; Sons, Ltd.", "author" : [ { "dropping-particle" : "", "family" : "Tipton", "given" : "Elizabeth", "non-dropping-particle" : "", "parse-names" : false, "suffix" : "" } ], "container-title" : "Research Synthesis Methods", "id" : "ITEM-2", "issue" : "2", "issued" : { "date-parts" : [ [ "2013" ] ] }, "page" : "169\u2013187", "title" : "Robust variance estimation in meta-regression with binary dependent effects", "type" : "article-journal", "volume" : "4" }, "uris" : [ "http://www.mendeley.com/documents/?uuid=cd22f83a-64de-4ea2-81de-3d913478f9e7" ] } ], "mendeley" : { "formattedCitation" : "&lt;sup&gt;65,66&lt;/sup&gt;", "plainTextFormattedCitation" : "65,66", "previouslyFormattedCitation" : "&lt;sup&gt;65,66&lt;/sup&gt;"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65,66</w:t>
      </w:r>
      <w:r w:rsidR="00E03B13" w:rsidRPr="00C862ED">
        <w:rPr>
          <w:rFonts w:eastAsia="Arial Unicode MS"/>
          <w:lang w:eastAsia="en-GB"/>
        </w:rPr>
        <w:fldChar w:fldCharType="end"/>
      </w:r>
      <w:r w:rsidR="00642C12" w:rsidRPr="00C862ED">
        <w:rPr>
          <w:rFonts w:eastAsia="Arial Unicode MS"/>
          <w:lang w:eastAsia="en-GB"/>
        </w:rPr>
        <w:t xml:space="preserve">. </w:t>
      </w:r>
      <w:r w:rsidR="00343693" w:rsidRPr="00C862ED">
        <w:rPr>
          <w:rFonts w:eastAsia="Arial Unicode MS"/>
          <w:lang w:eastAsia="en-GB"/>
        </w:rPr>
        <w:t xml:space="preserve">This analysis is optimal in cases where there exists within-studies variability </w:t>
      </w:r>
      <w:r w:rsidR="00343693" w:rsidRPr="00C862ED">
        <w:rPr>
          <w:rFonts w:eastAsia="Arial Unicode MS"/>
          <w:lang w:eastAsia="en-GB"/>
        </w:rPr>
        <w:lastRenderedPageBreak/>
        <w:t>in the covariate (outcome type in our case). This variability is studied by including the distance value around the study regressor mean as a covariate in the regression model</w:t>
      </w:r>
      <w:r w:rsidR="00E03B13" w:rsidRPr="00C862ED">
        <w:rPr>
          <w:rFonts w:eastAsia="Arial Unicode MS"/>
          <w:lang w:eastAsia="en-GB"/>
        </w:rPr>
        <w:fldChar w:fldCharType="begin" w:fldLock="1"/>
      </w:r>
      <w:r w:rsidR="00487110" w:rsidRPr="00C862ED">
        <w:rPr>
          <w:rFonts w:eastAsia="Arial Unicode MS"/>
          <w:lang w:eastAsia="en-GB"/>
        </w:rPr>
        <w:instrText>ADDIN CSL_CITATION { "citationItems" : [ { "id" : "ITEM-1", "itemData" : { "DOI" : "10.1002/jrsm.1091", "ISBN" : "1759-2887", "ISSN" : "17592887", "abstract" : "Methodologists have recently proposed robust variance estimation as one way to handle dependent effect sizes in meta-analysis. Software macros for robust variance estimation in meta-analysis are currently available for Stata (StataCorp LP, College Station, TX, USA) and spss (IBM, Armonk, NY, USA), yet there is little guidance for authors regarding the practical application and implementation of those macros. This paper provides a brief tutorial on the implementation of the Stata and spss macros and discusses practical issues meta-analysts should consider when estimating meta-regression models with robust variance estimates. Two example databases are used in the tutorial to illustrate the use of meta-analysis with robust variance estimates. Copyright \u00a9 2013 John Wiley &amp; Sons, Ltd.", "author" : [ { "dropping-particle" : "", "family" : "Tanner-Smith", "given" : "Emily E.", "non-dropping-particle" : "", "parse-names" : false, "suffix" : "" }, { "dropping-particle" : "", "family" : "Tipton", "given" : "Elizabeth", "non-dropping-particle" : "", "parse-names" : false, "suffix" : "" } ], "container-title" : "Research Synthesis Methods", "id" : "ITEM-1", "issue" : "1", "issued" : { "date-parts" : [ [ "2014" ] ] }, "page" : "13-30", "title" : "Robust variance estimation with dependent effect sizes: Practical considerations including a software tutorial in Stata and SPSS", "type" : "article-journal", "volume" : "5" }, "uris" : [ "http://www.mendeley.com/documents/?uuid=d50c1d90-5b8f-4550-b733-fc8aea44ef27" ] } ], "mendeley" : { "formattedCitation" : "&lt;sup&gt;69&lt;/sup&gt;", "plainTextFormattedCitation" : "69", "previouslyFormattedCitation" : "&lt;sup&gt;69&lt;/sup&gt;" }, "properties" : {  }, "schema" : "https://github.com/citation-style-language/schema/raw/master/csl-citation.json" }</w:instrText>
      </w:r>
      <w:r w:rsidR="00E03B13" w:rsidRPr="00C862ED">
        <w:rPr>
          <w:rFonts w:eastAsia="Arial Unicode MS"/>
          <w:lang w:eastAsia="en-GB"/>
        </w:rPr>
        <w:fldChar w:fldCharType="separate"/>
      </w:r>
      <w:r w:rsidR="00487110" w:rsidRPr="00C862ED">
        <w:rPr>
          <w:rFonts w:eastAsia="Arial Unicode MS"/>
          <w:noProof/>
          <w:vertAlign w:val="superscript"/>
          <w:lang w:eastAsia="en-GB"/>
        </w:rPr>
        <w:t>69</w:t>
      </w:r>
      <w:r w:rsidR="00E03B13" w:rsidRPr="00C862ED">
        <w:rPr>
          <w:rFonts w:eastAsia="Arial Unicode MS"/>
          <w:lang w:eastAsia="en-GB"/>
        </w:rPr>
        <w:fldChar w:fldCharType="end"/>
      </w:r>
      <w:r w:rsidR="00343693" w:rsidRPr="00C862ED">
        <w:rPr>
          <w:rFonts w:eastAsia="Arial Unicode MS"/>
          <w:lang w:eastAsia="en-GB"/>
        </w:rPr>
        <w:t xml:space="preserve">. </w:t>
      </w:r>
    </w:p>
    <w:p w14:paraId="231BB27E" w14:textId="45AD9216" w:rsidR="001728D8" w:rsidRPr="00C862ED" w:rsidRDefault="009D7E78" w:rsidP="00FB2CA9">
      <w:pPr>
        <w:ind w:firstLine="720"/>
        <w:rPr>
          <w:rFonts w:eastAsia="Arial Unicode MS"/>
          <w:lang w:eastAsia="en-GB"/>
        </w:rPr>
      </w:pPr>
      <w:r w:rsidRPr="00C862ED">
        <w:rPr>
          <w:rFonts w:eastAsia="Arial Unicode MS"/>
          <w:lang w:eastAsia="en-GB"/>
        </w:rPr>
        <w:t xml:space="preserve">Effect sizes whose 95% confidence intervals (CIs) did not include </w:t>
      </w:r>
      <w:r w:rsidR="000C5D2C" w:rsidRPr="00C862ED">
        <w:rPr>
          <w:rFonts w:eastAsia="Arial Unicode MS"/>
          <w:lang w:eastAsia="en-GB"/>
        </w:rPr>
        <w:t xml:space="preserve">1 </w:t>
      </w:r>
      <w:r w:rsidRPr="00C862ED">
        <w:rPr>
          <w:rFonts w:eastAsia="Arial Unicode MS"/>
          <w:lang w:eastAsia="en-GB"/>
        </w:rPr>
        <w:t xml:space="preserve">were considered significant. Analyses were carried out in STATA v13. Forest plots were created using the </w:t>
      </w:r>
      <w:proofErr w:type="spellStart"/>
      <w:r w:rsidRPr="00C862ED">
        <w:t>DistillerSR</w:t>
      </w:r>
      <w:proofErr w:type="spellEnd"/>
      <w:r w:rsidRPr="00C862ED">
        <w:t xml:space="preserve"> Forest Plot Generator from Evidence Partners </w:t>
      </w:r>
      <w:r w:rsidR="001728D8" w:rsidRPr="00C862ED">
        <w:t>(</w:t>
      </w:r>
      <w:hyperlink r:id="rId20" w:history="1">
        <w:r w:rsidR="001728D8" w:rsidRPr="00C862ED">
          <w:rPr>
            <w:rStyle w:val="Hipervnculo"/>
          </w:rPr>
          <w:t>https://www.evidencepartners.com/resources/forest-plot-generator/</w:t>
        </w:r>
      </w:hyperlink>
      <w:r w:rsidR="001728D8" w:rsidRPr="00C862ED">
        <w:t>)</w:t>
      </w:r>
      <w:r w:rsidRPr="00C862ED">
        <w:t>.</w:t>
      </w:r>
    </w:p>
    <w:p w14:paraId="789B57F9" w14:textId="77777777" w:rsidR="0041100F" w:rsidRPr="00C862ED" w:rsidRDefault="0041100F">
      <w:pPr>
        <w:spacing w:line="240" w:lineRule="auto"/>
        <w:rPr>
          <w:rFonts w:eastAsia="Arial Unicode MS"/>
          <w:lang w:eastAsia="en-GB"/>
        </w:rPr>
      </w:pPr>
      <w:r w:rsidRPr="00C862ED">
        <w:rPr>
          <w:rFonts w:eastAsia="Arial Unicode MS"/>
          <w:lang w:eastAsia="en-GB"/>
        </w:rPr>
        <w:br w:type="page"/>
      </w:r>
    </w:p>
    <w:p w14:paraId="7A8AE13E" w14:textId="77777777" w:rsidR="009D7E78" w:rsidRPr="00137592" w:rsidRDefault="009D7E78" w:rsidP="009C0204">
      <w:pPr>
        <w:spacing w:after="160" w:line="360" w:lineRule="auto"/>
        <w:rPr>
          <w:b/>
          <w:bCs/>
          <w:sz w:val="28"/>
          <w:szCs w:val="28"/>
          <w:lang w:val="es-ES"/>
        </w:rPr>
      </w:pPr>
      <w:proofErr w:type="spellStart"/>
      <w:r w:rsidRPr="00137592">
        <w:rPr>
          <w:rStyle w:val="Textoennegrita"/>
          <w:sz w:val="28"/>
          <w:szCs w:val="28"/>
          <w:lang w:val="es-ES"/>
        </w:rPr>
        <w:lastRenderedPageBreak/>
        <w:t>References</w:t>
      </w:r>
      <w:proofErr w:type="spellEnd"/>
    </w:p>
    <w:p w14:paraId="727B2BDE" w14:textId="42881D9F" w:rsidR="001C299D" w:rsidRPr="001C299D" w:rsidRDefault="00E03B13" w:rsidP="001C299D">
      <w:pPr>
        <w:widowControl w:val="0"/>
        <w:autoSpaceDE w:val="0"/>
        <w:autoSpaceDN w:val="0"/>
        <w:adjustRightInd w:val="0"/>
        <w:spacing w:after="160" w:line="240" w:lineRule="auto"/>
        <w:ind w:left="640" w:hanging="640"/>
        <w:rPr>
          <w:noProof/>
          <w:sz w:val="22"/>
        </w:rPr>
      </w:pPr>
      <w:r w:rsidRPr="00137592">
        <w:rPr>
          <w:sz w:val="22"/>
          <w:szCs w:val="22"/>
        </w:rPr>
        <w:fldChar w:fldCharType="begin" w:fldLock="1"/>
      </w:r>
      <w:r w:rsidR="009D7E78" w:rsidRPr="00A45987">
        <w:rPr>
          <w:sz w:val="22"/>
          <w:szCs w:val="22"/>
          <w:lang w:val="es-ES"/>
        </w:rPr>
        <w:instrText xml:space="preserve">ADDIN Mendeley Bibliography CSL_BIBLIOGRAPHY </w:instrText>
      </w:r>
      <w:r w:rsidRPr="00137592">
        <w:rPr>
          <w:sz w:val="22"/>
          <w:szCs w:val="22"/>
        </w:rPr>
        <w:fldChar w:fldCharType="separate"/>
      </w:r>
      <w:r w:rsidR="001C299D" w:rsidRPr="00BD6F68">
        <w:rPr>
          <w:noProof/>
          <w:sz w:val="22"/>
          <w:lang w:val="es-ES"/>
        </w:rPr>
        <w:t>1.</w:t>
      </w:r>
      <w:r w:rsidR="001C299D" w:rsidRPr="00BD6F68">
        <w:rPr>
          <w:noProof/>
          <w:sz w:val="22"/>
          <w:lang w:val="es-ES"/>
        </w:rPr>
        <w:tab/>
        <w:t xml:space="preserve">Peden, M. </w:t>
      </w:r>
      <w:r w:rsidR="001C299D" w:rsidRPr="00BD6F68">
        <w:rPr>
          <w:i/>
          <w:iCs/>
          <w:noProof/>
          <w:sz w:val="22"/>
          <w:lang w:val="es-ES"/>
        </w:rPr>
        <w:t>et al.</w:t>
      </w:r>
      <w:r w:rsidR="001C299D" w:rsidRPr="00BD6F68">
        <w:rPr>
          <w:noProof/>
          <w:sz w:val="22"/>
          <w:lang w:val="es-ES"/>
        </w:rPr>
        <w:t xml:space="preserve"> </w:t>
      </w:r>
      <w:r w:rsidR="001C299D" w:rsidRPr="001C299D">
        <w:rPr>
          <w:i/>
          <w:iCs/>
          <w:noProof/>
          <w:sz w:val="22"/>
        </w:rPr>
        <w:t>World report on child injury prevention</w:t>
      </w:r>
      <w:r w:rsidR="001C299D" w:rsidRPr="001C299D">
        <w:rPr>
          <w:noProof/>
          <w:sz w:val="22"/>
        </w:rPr>
        <w:t xml:space="preserve">. </w:t>
      </w:r>
      <w:r w:rsidR="001C299D" w:rsidRPr="001C299D">
        <w:rPr>
          <w:i/>
          <w:iCs/>
          <w:noProof/>
          <w:sz w:val="22"/>
        </w:rPr>
        <w:t>World Health Organization</w:t>
      </w:r>
      <w:r w:rsidR="001C299D" w:rsidRPr="001C299D">
        <w:rPr>
          <w:noProof/>
          <w:sz w:val="22"/>
        </w:rPr>
        <w:t xml:space="preserve"> (2008).</w:t>
      </w:r>
    </w:p>
    <w:p w14:paraId="7A4EDD1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w:t>
      </w:r>
      <w:r w:rsidRPr="001C299D">
        <w:rPr>
          <w:noProof/>
          <w:sz w:val="22"/>
        </w:rPr>
        <w:tab/>
        <w:t>Centers for Disease Control and Prevention, N. C. for I. P. and C. Fatal Injury Data. (2017). Available at: https://www.cdc.gov/injury/wisqars/fatal.html. (Accessed: 21st November 2017)</w:t>
      </w:r>
    </w:p>
    <w:p w14:paraId="3E853F95"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w:t>
      </w:r>
      <w:r w:rsidRPr="001C299D">
        <w:rPr>
          <w:noProof/>
          <w:sz w:val="22"/>
        </w:rPr>
        <w:tab/>
        <w:t xml:space="preserve">Albert M, McCaig LF, U. S. </w:t>
      </w:r>
      <w:r w:rsidRPr="001C299D">
        <w:rPr>
          <w:i/>
          <w:iCs/>
          <w:noProof/>
          <w:sz w:val="22"/>
        </w:rPr>
        <w:t>Emergency department visits for drug poisoning: United States, 2008–2011.</w:t>
      </w:r>
      <w:r w:rsidRPr="001C299D">
        <w:rPr>
          <w:noProof/>
          <w:sz w:val="22"/>
        </w:rPr>
        <w:t xml:space="preserve"> </w:t>
      </w:r>
      <w:r w:rsidRPr="001C299D">
        <w:rPr>
          <w:i/>
          <w:iCs/>
          <w:noProof/>
          <w:sz w:val="22"/>
        </w:rPr>
        <w:t>NCHS data brief, National Center for Health Statistics.</w:t>
      </w:r>
      <w:r w:rsidRPr="001C299D">
        <w:rPr>
          <w:noProof/>
          <w:sz w:val="22"/>
        </w:rPr>
        <w:t xml:space="preserve"> (2015).</w:t>
      </w:r>
    </w:p>
    <w:p w14:paraId="18E50AD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w:t>
      </w:r>
      <w:r w:rsidRPr="001C299D">
        <w:rPr>
          <w:noProof/>
          <w:sz w:val="22"/>
        </w:rPr>
        <w:tab/>
        <w:t xml:space="preserve">Anderson, M. </w:t>
      </w:r>
      <w:r w:rsidRPr="001C299D">
        <w:rPr>
          <w:i/>
          <w:iCs/>
          <w:noProof/>
          <w:sz w:val="22"/>
        </w:rPr>
        <w:t>et al.</w:t>
      </w:r>
      <w:r w:rsidRPr="001C299D">
        <w:rPr>
          <w:noProof/>
          <w:sz w:val="22"/>
        </w:rPr>
        <w:t xml:space="preserve"> Severe and fatal pharmaceutical poisoning in young children in the UK. </w:t>
      </w:r>
      <w:r w:rsidRPr="001C299D">
        <w:rPr>
          <w:i/>
          <w:iCs/>
          <w:noProof/>
          <w:sz w:val="22"/>
        </w:rPr>
        <w:t>Arch. Dis. Child.</w:t>
      </w:r>
      <w:r w:rsidRPr="001C299D">
        <w:rPr>
          <w:noProof/>
          <w:sz w:val="22"/>
        </w:rPr>
        <w:t xml:space="preserve"> </w:t>
      </w:r>
      <w:r w:rsidRPr="001C299D">
        <w:rPr>
          <w:b/>
          <w:bCs/>
          <w:noProof/>
          <w:sz w:val="22"/>
        </w:rPr>
        <w:t>101,</w:t>
      </w:r>
      <w:r w:rsidRPr="001C299D">
        <w:rPr>
          <w:noProof/>
          <w:sz w:val="22"/>
        </w:rPr>
        <w:t xml:space="preserve"> 653–6 (2016).</w:t>
      </w:r>
    </w:p>
    <w:p w14:paraId="25DD165F"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w:t>
      </w:r>
      <w:r w:rsidRPr="001C299D">
        <w:rPr>
          <w:noProof/>
          <w:sz w:val="22"/>
        </w:rPr>
        <w:tab/>
        <w:t xml:space="preserve">Mintegi, S. </w:t>
      </w:r>
      <w:r w:rsidRPr="001C299D">
        <w:rPr>
          <w:i/>
          <w:iCs/>
          <w:noProof/>
          <w:sz w:val="22"/>
        </w:rPr>
        <w:t>et al.</w:t>
      </w:r>
      <w:r w:rsidRPr="001C299D">
        <w:rPr>
          <w:noProof/>
          <w:sz w:val="22"/>
        </w:rPr>
        <w:t xml:space="preserve"> International Epidemiological Differences in Acute Poisonings in Pediatric Emergency Departments. </w:t>
      </w:r>
      <w:r w:rsidRPr="001C299D">
        <w:rPr>
          <w:i/>
          <w:iCs/>
          <w:noProof/>
          <w:sz w:val="22"/>
        </w:rPr>
        <w:t>Pediatr. Emerg. Care</w:t>
      </w:r>
      <w:r w:rsidRPr="001C299D">
        <w:rPr>
          <w:noProof/>
          <w:sz w:val="22"/>
        </w:rPr>
        <w:t xml:space="preserve"> (2017). doi:10.1097/PEC.0000000000001031</w:t>
      </w:r>
    </w:p>
    <w:p w14:paraId="2DB00C8F"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w:t>
      </w:r>
      <w:r w:rsidRPr="001C299D">
        <w:rPr>
          <w:noProof/>
          <w:sz w:val="22"/>
        </w:rPr>
        <w:tab/>
        <w:t xml:space="preserve">Mowry, J. B., Spyker, D. A., Brooks, D. E., Zimmerman, A. &amp; Schauben, J. L. 2015 Annual Report of the American Association of Poison Control Centers’ National Poison Data System (NPDS): 33rd Annual Report. </w:t>
      </w:r>
      <w:r w:rsidRPr="001C299D">
        <w:rPr>
          <w:i/>
          <w:iCs/>
          <w:noProof/>
          <w:sz w:val="22"/>
        </w:rPr>
        <w:t>Clin. Toxicol. (Phila).</w:t>
      </w:r>
      <w:r w:rsidRPr="001C299D">
        <w:rPr>
          <w:noProof/>
          <w:sz w:val="22"/>
        </w:rPr>
        <w:t xml:space="preserve"> </w:t>
      </w:r>
      <w:r w:rsidRPr="001C299D">
        <w:rPr>
          <w:b/>
          <w:bCs/>
          <w:noProof/>
          <w:sz w:val="22"/>
        </w:rPr>
        <w:t>54,</w:t>
      </w:r>
      <w:r w:rsidRPr="001C299D">
        <w:rPr>
          <w:noProof/>
          <w:sz w:val="22"/>
        </w:rPr>
        <w:t xml:space="preserve"> 924–1109 (2016).</w:t>
      </w:r>
    </w:p>
    <w:p w14:paraId="55DE9FD1"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7.</w:t>
      </w:r>
      <w:r w:rsidRPr="001C299D">
        <w:rPr>
          <w:noProof/>
          <w:sz w:val="22"/>
        </w:rPr>
        <w:tab/>
        <w:t xml:space="preserve">Jacobsen, P. &amp; Juel, K. Poisoning mortality in Danish children and adolescents, 1970-2006 - a registry-based study. </w:t>
      </w:r>
      <w:r w:rsidRPr="001C299D">
        <w:rPr>
          <w:i/>
          <w:iCs/>
          <w:noProof/>
          <w:sz w:val="22"/>
        </w:rPr>
        <w:t>Acta Paediatr.</w:t>
      </w:r>
      <w:r w:rsidRPr="001C299D">
        <w:rPr>
          <w:noProof/>
          <w:sz w:val="22"/>
        </w:rPr>
        <w:t xml:space="preserve"> </w:t>
      </w:r>
      <w:r w:rsidRPr="001C299D">
        <w:rPr>
          <w:b/>
          <w:bCs/>
          <w:noProof/>
          <w:sz w:val="22"/>
        </w:rPr>
        <w:t>101,</w:t>
      </w:r>
      <w:r w:rsidRPr="001C299D">
        <w:rPr>
          <w:noProof/>
          <w:sz w:val="22"/>
        </w:rPr>
        <w:t xml:space="preserve"> 873–6 (2012).</w:t>
      </w:r>
    </w:p>
    <w:p w14:paraId="58A5F4E8"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8.</w:t>
      </w:r>
      <w:r w:rsidRPr="001C299D">
        <w:rPr>
          <w:noProof/>
          <w:sz w:val="22"/>
        </w:rPr>
        <w:tab/>
        <w:t xml:space="preserve">Polanczyk, G. V., Salum, G. A., Sugaya, L. S., Caye, A. &amp; Rohde, L. A. Annual research review: A meta-analysis of the worldwide prevalence of mental disorders in children and adolescents. </w:t>
      </w:r>
      <w:r w:rsidRPr="001C299D">
        <w:rPr>
          <w:i/>
          <w:iCs/>
          <w:noProof/>
          <w:sz w:val="22"/>
        </w:rPr>
        <w:t>J. Child Psychol. Psychiatry Allied Discip.</w:t>
      </w:r>
      <w:r w:rsidRPr="001C299D">
        <w:rPr>
          <w:noProof/>
          <w:sz w:val="22"/>
        </w:rPr>
        <w:t xml:space="preserve"> </w:t>
      </w:r>
      <w:r w:rsidRPr="001C299D">
        <w:rPr>
          <w:b/>
          <w:bCs/>
          <w:noProof/>
          <w:sz w:val="22"/>
        </w:rPr>
        <w:t>56,</w:t>
      </w:r>
      <w:r w:rsidRPr="001C299D">
        <w:rPr>
          <w:noProof/>
          <w:sz w:val="22"/>
        </w:rPr>
        <w:t xml:space="preserve"> 345–365 (2015).</w:t>
      </w:r>
    </w:p>
    <w:p w14:paraId="71B15C4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9.</w:t>
      </w:r>
      <w:r w:rsidRPr="001C299D">
        <w:rPr>
          <w:noProof/>
          <w:sz w:val="22"/>
        </w:rPr>
        <w:tab/>
        <w:t xml:space="preserve">Berenguer Forner, C. </w:t>
      </w:r>
      <w:r w:rsidRPr="001C299D">
        <w:rPr>
          <w:i/>
          <w:iCs/>
          <w:noProof/>
          <w:sz w:val="22"/>
        </w:rPr>
        <w:t>et al.</w:t>
      </w:r>
      <w:r w:rsidRPr="001C299D">
        <w:rPr>
          <w:noProof/>
          <w:sz w:val="22"/>
        </w:rPr>
        <w:t xml:space="preserve"> ADHD Symptoms and peer problems: Mediation of executive function and theory of mind. </w:t>
      </w:r>
      <w:r w:rsidRPr="001C299D">
        <w:rPr>
          <w:i/>
          <w:iCs/>
          <w:noProof/>
          <w:sz w:val="22"/>
        </w:rPr>
        <w:t>Psicothema</w:t>
      </w:r>
      <w:r w:rsidRPr="001C299D">
        <w:rPr>
          <w:noProof/>
          <w:sz w:val="22"/>
        </w:rPr>
        <w:t xml:space="preserve"> </w:t>
      </w:r>
      <w:r w:rsidRPr="001C299D">
        <w:rPr>
          <w:b/>
          <w:bCs/>
          <w:noProof/>
          <w:sz w:val="22"/>
        </w:rPr>
        <w:t>29,</w:t>
      </w:r>
      <w:r w:rsidRPr="001C299D">
        <w:rPr>
          <w:noProof/>
          <w:sz w:val="22"/>
        </w:rPr>
        <w:t xml:space="preserve"> 514–519 (2017).</w:t>
      </w:r>
    </w:p>
    <w:p w14:paraId="3C2DA3CD"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10.</w:t>
      </w:r>
      <w:r w:rsidRPr="001C299D">
        <w:rPr>
          <w:noProof/>
          <w:sz w:val="22"/>
        </w:rPr>
        <w:tab/>
        <w:t xml:space="preserve">Zendarski, N., Sciberras, E., Mensah, F. &amp; Hiscock, H. Academic Achievement and Risk Factors for Adolescents with Attention-Deficit Hyperactivity Disorder in Middle School and Early High School. </w:t>
      </w:r>
      <w:r w:rsidRPr="001C299D">
        <w:rPr>
          <w:i/>
          <w:iCs/>
          <w:noProof/>
          <w:sz w:val="22"/>
        </w:rPr>
        <w:t>J. Dev. Behav. Pediatr.</w:t>
      </w:r>
      <w:r w:rsidRPr="001C299D">
        <w:rPr>
          <w:noProof/>
          <w:sz w:val="22"/>
        </w:rPr>
        <w:t xml:space="preserve"> </w:t>
      </w:r>
      <w:r w:rsidRPr="001C299D">
        <w:rPr>
          <w:b/>
          <w:bCs/>
          <w:noProof/>
          <w:sz w:val="22"/>
        </w:rPr>
        <w:t>38,</w:t>
      </w:r>
      <w:r w:rsidRPr="001C299D">
        <w:rPr>
          <w:noProof/>
          <w:sz w:val="22"/>
        </w:rPr>
        <w:t xml:space="preserve"> 358–368</w:t>
      </w:r>
    </w:p>
    <w:p w14:paraId="3DF1B621"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11.</w:t>
      </w:r>
      <w:r w:rsidRPr="001C299D">
        <w:rPr>
          <w:noProof/>
          <w:sz w:val="22"/>
        </w:rPr>
        <w:tab/>
        <w:t xml:space="preserve">American Psychiatric Association. </w:t>
      </w:r>
      <w:r w:rsidRPr="001C299D">
        <w:rPr>
          <w:i/>
          <w:iCs/>
          <w:noProof/>
          <w:sz w:val="22"/>
        </w:rPr>
        <w:t>Diagnostic and Statistical Manual of Mental Disorders</w:t>
      </w:r>
      <w:r w:rsidRPr="001C299D">
        <w:rPr>
          <w:noProof/>
          <w:sz w:val="22"/>
        </w:rPr>
        <w:t>. (2013). doi:10.1176/appi.books.9780890425596</w:t>
      </w:r>
    </w:p>
    <w:p w14:paraId="7CE4F4D7"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12.</w:t>
      </w:r>
      <w:r w:rsidRPr="001C299D">
        <w:rPr>
          <w:noProof/>
          <w:sz w:val="22"/>
        </w:rPr>
        <w:tab/>
        <w:t xml:space="preserve">Dalsgaard, S., Østergaard, S. D., Leckman, J. F., Mortensen, P. B. &amp; Pedersen, M. G. Mortality in children, adolescents, and adults with attention deficit hyperactivity disorder: a nationwide cohort study. </w:t>
      </w:r>
      <w:r w:rsidRPr="001C299D">
        <w:rPr>
          <w:i/>
          <w:iCs/>
          <w:noProof/>
          <w:sz w:val="22"/>
        </w:rPr>
        <w:t>Lancet</w:t>
      </w:r>
      <w:r w:rsidRPr="001C299D">
        <w:rPr>
          <w:noProof/>
          <w:sz w:val="22"/>
        </w:rPr>
        <w:t xml:space="preserve"> </w:t>
      </w:r>
      <w:r w:rsidRPr="001C299D">
        <w:rPr>
          <w:b/>
          <w:bCs/>
          <w:noProof/>
          <w:sz w:val="22"/>
        </w:rPr>
        <w:t>385,</w:t>
      </w:r>
      <w:r w:rsidRPr="001C299D">
        <w:rPr>
          <w:noProof/>
          <w:sz w:val="22"/>
        </w:rPr>
        <w:t xml:space="preserve"> 2190–6 (2015).</w:t>
      </w:r>
    </w:p>
    <w:p w14:paraId="7691C8AC"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13.</w:t>
      </w:r>
      <w:r w:rsidRPr="001C299D">
        <w:rPr>
          <w:noProof/>
          <w:sz w:val="22"/>
        </w:rPr>
        <w:tab/>
        <w:t xml:space="preserve">Cortese, S. </w:t>
      </w:r>
      <w:r w:rsidRPr="001C299D">
        <w:rPr>
          <w:i/>
          <w:iCs/>
          <w:noProof/>
          <w:sz w:val="22"/>
        </w:rPr>
        <w:t>et al.</w:t>
      </w:r>
      <w:r w:rsidRPr="001C299D">
        <w:rPr>
          <w:noProof/>
          <w:sz w:val="22"/>
        </w:rPr>
        <w:t xml:space="preserve"> Association Between ADHD and Obesity: A Systematic Review and Meta-Analysis. </w:t>
      </w:r>
      <w:r w:rsidRPr="001C299D">
        <w:rPr>
          <w:i/>
          <w:iCs/>
          <w:noProof/>
          <w:sz w:val="22"/>
        </w:rPr>
        <w:t>Am. J. Psychiatry</w:t>
      </w:r>
      <w:r w:rsidRPr="001C299D">
        <w:rPr>
          <w:noProof/>
          <w:sz w:val="22"/>
        </w:rPr>
        <w:t xml:space="preserve"> </w:t>
      </w:r>
      <w:r w:rsidRPr="001C299D">
        <w:rPr>
          <w:b/>
          <w:bCs/>
          <w:noProof/>
          <w:sz w:val="22"/>
        </w:rPr>
        <w:t>173,</w:t>
      </w:r>
      <w:r w:rsidRPr="001C299D">
        <w:rPr>
          <w:noProof/>
          <w:sz w:val="22"/>
        </w:rPr>
        <w:t xml:space="preserve"> 34–43 (2016).</w:t>
      </w:r>
    </w:p>
    <w:p w14:paraId="51CC765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14.</w:t>
      </w:r>
      <w:r w:rsidRPr="001C299D">
        <w:rPr>
          <w:noProof/>
          <w:sz w:val="22"/>
        </w:rPr>
        <w:tab/>
        <w:t xml:space="preserve">Coghill, D. R., Banaschewski, T., Soutullo, C., Cottingham, M. G. &amp; Zuddas, A. Systematic review of quality of life and functional outcomes in randomized placebo-controlled studies of medications for attention-deficit/hyperactivity disorder. </w:t>
      </w:r>
      <w:r w:rsidRPr="001C299D">
        <w:rPr>
          <w:i/>
          <w:iCs/>
          <w:noProof/>
          <w:sz w:val="22"/>
        </w:rPr>
        <w:t>Eur. Child Adolesc. Psychiatry</w:t>
      </w:r>
      <w:r w:rsidRPr="001C299D">
        <w:rPr>
          <w:noProof/>
          <w:sz w:val="22"/>
        </w:rPr>
        <w:t xml:space="preserve"> (2017). doi:10.1007/s00787-017-0986-y</w:t>
      </w:r>
    </w:p>
    <w:p w14:paraId="2BE45A7F"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15.</w:t>
      </w:r>
      <w:r w:rsidRPr="001C299D">
        <w:rPr>
          <w:noProof/>
          <w:sz w:val="22"/>
        </w:rPr>
        <w:tab/>
        <w:t xml:space="preserve">Bolea-Alamañac, B. </w:t>
      </w:r>
      <w:r w:rsidRPr="001C299D">
        <w:rPr>
          <w:i/>
          <w:iCs/>
          <w:noProof/>
          <w:sz w:val="22"/>
        </w:rPr>
        <w:t>et al.</w:t>
      </w:r>
      <w:r w:rsidRPr="001C299D">
        <w:rPr>
          <w:noProof/>
          <w:sz w:val="22"/>
        </w:rPr>
        <w:t xml:space="preserve"> Evidence-based guidelines for the pharmacological management of attention deficit hyperactivity disorder: Update on recommendations from the British Association for Psychopharmacology. </w:t>
      </w:r>
      <w:r w:rsidRPr="001C299D">
        <w:rPr>
          <w:i/>
          <w:iCs/>
          <w:noProof/>
          <w:sz w:val="22"/>
        </w:rPr>
        <w:t>J. Psychopharmacol.</w:t>
      </w:r>
      <w:r w:rsidRPr="001C299D">
        <w:rPr>
          <w:noProof/>
          <w:sz w:val="22"/>
        </w:rPr>
        <w:t xml:space="preserve"> </w:t>
      </w:r>
      <w:r w:rsidRPr="001C299D">
        <w:rPr>
          <w:b/>
          <w:bCs/>
          <w:noProof/>
          <w:sz w:val="22"/>
        </w:rPr>
        <w:t>28,</w:t>
      </w:r>
      <w:r w:rsidRPr="001C299D">
        <w:rPr>
          <w:noProof/>
          <w:sz w:val="22"/>
        </w:rPr>
        <w:t xml:space="preserve"> 179–203 (2014).</w:t>
      </w:r>
    </w:p>
    <w:p w14:paraId="727075C7"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16.</w:t>
      </w:r>
      <w:r w:rsidRPr="001C299D">
        <w:rPr>
          <w:noProof/>
          <w:sz w:val="22"/>
        </w:rPr>
        <w:tab/>
        <w:t xml:space="preserve">Jensen, C. M. &amp; Steinhausen, H.-C. Comorbid mental disorders in children and adolescents with attention-deficit/hyperactivity disorder in a large nationwide study. </w:t>
      </w:r>
      <w:r w:rsidRPr="001C299D">
        <w:rPr>
          <w:i/>
          <w:iCs/>
          <w:noProof/>
          <w:sz w:val="22"/>
        </w:rPr>
        <w:t>Atten. Defic. Hyperact. Disord.</w:t>
      </w:r>
      <w:r w:rsidRPr="001C299D">
        <w:rPr>
          <w:noProof/>
          <w:sz w:val="22"/>
        </w:rPr>
        <w:t xml:space="preserve"> </w:t>
      </w:r>
      <w:r w:rsidRPr="001C299D">
        <w:rPr>
          <w:b/>
          <w:bCs/>
          <w:noProof/>
          <w:sz w:val="22"/>
        </w:rPr>
        <w:t>7,</w:t>
      </w:r>
      <w:r w:rsidRPr="001C299D">
        <w:rPr>
          <w:noProof/>
          <w:sz w:val="22"/>
        </w:rPr>
        <w:t xml:space="preserve"> 27–38 (2015).</w:t>
      </w:r>
    </w:p>
    <w:p w14:paraId="5F63439C"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lastRenderedPageBreak/>
        <w:t>17.</w:t>
      </w:r>
      <w:r w:rsidRPr="001C299D">
        <w:rPr>
          <w:noProof/>
          <w:sz w:val="22"/>
        </w:rPr>
        <w:tab/>
        <w:t xml:space="preserve">Ruiz-Goikoetxea, M. </w:t>
      </w:r>
      <w:r w:rsidRPr="001C299D">
        <w:rPr>
          <w:i/>
          <w:iCs/>
          <w:noProof/>
          <w:sz w:val="22"/>
        </w:rPr>
        <w:t>et al.</w:t>
      </w:r>
      <w:r w:rsidRPr="001C299D">
        <w:rPr>
          <w:noProof/>
          <w:sz w:val="22"/>
        </w:rPr>
        <w:t xml:space="preserve"> Risk of unintentional injuries in children and adolescents with ADHD and the impact of ADHD medications: a systematic review and meta-analysis. </w:t>
      </w:r>
      <w:r w:rsidRPr="001C299D">
        <w:rPr>
          <w:i/>
          <w:iCs/>
          <w:noProof/>
          <w:sz w:val="22"/>
        </w:rPr>
        <w:t>Neurosci. Biobehav. Rev.</w:t>
      </w:r>
      <w:r w:rsidRPr="001C299D">
        <w:rPr>
          <w:noProof/>
          <w:sz w:val="22"/>
        </w:rPr>
        <w:t xml:space="preserve"> (2017). doi:10.1016/j.neubiorev.2017.11.007</w:t>
      </w:r>
    </w:p>
    <w:p w14:paraId="7E259C4C"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18.</w:t>
      </w:r>
      <w:r w:rsidRPr="001C299D">
        <w:rPr>
          <w:noProof/>
          <w:sz w:val="22"/>
        </w:rPr>
        <w:tab/>
        <w:t xml:space="preserve">Liu, R. T., Trout, Z. M., Hernandez, E. M., Cheek, S. M. &amp; Gerlus, N. A behavioral and cognitive neuroscience perspective on impulsivity, suicide, and non-suicidal self-injury: Meta-analysis and recommendations for future research. </w:t>
      </w:r>
      <w:r w:rsidRPr="001C299D">
        <w:rPr>
          <w:i/>
          <w:iCs/>
          <w:noProof/>
          <w:sz w:val="22"/>
        </w:rPr>
        <w:t>Neurosci. Biobehav. Rev.</w:t>
      </w:r>
      <w:r w:rsidRPr="001C299D">
        <w:rPr>
          <w:noProof/>
          <w:sz w:val="22"/>
        </w:rPr>
        <w:t xml:space="preserve"> (2017). doi:10.1016/j.neubiorev.2017.09.019</w:t>
      </w:r>
    </w:p>
    <w:p w14:paraId="03EA0DA5"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19.</w:t>
      </w:r>
      <w:r w:rsidRPr="001C299D">
        <w:rPr>
          <w:noProof/>
          <w:sz w:val="22"/>
        </w:rPr>
        <w:tab/>
        <w:t xml:space="preserve">Balazs, J. &amp; Kereszteny, A. Attention-deficit/hyperactivity disorder and suicide: A systematic review. </w:t>
      </w:r>
      <w:r w:rsidRPr="001C299D">
        <w:rPr>
          <w:i/>
          <w:iCs/>
          <w:noProof/>
          <w:sz w:val="22"/>
        </w:rPr>
        <w:t>World J. Psychiatry</w:t>
      </w:r>
      <w:r w:rsidRPr="001C299D">
        <w:rPr>
          <w:noProof/>
          <w:sz w:val="22"/>
        </w:rPr>
        <w:t xml:space="preserve"> </w:t>
      </w:r>
      <w:r w:rsidRPr="001C299D">
        <w:rPr>
          <w:b/>
          <w:bCs/>
          <w:noProof/>
          <w:sz w:val="22"/>
        </w:rPr>
        <w:t>7,</w:t>
      </w:r>
      <w:r w:rsidRPr="001C299D">
        <w:rPr>
          <w:noProof/>
          <w:sz w:val="22"/>
        </w:rPr>
        <w:t xml:space="preserve"> 44 (2017).</w:t>
      </w:r>
    </w:p>
    <w:p w14:paraId="451A13FC"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20.</w:t>
      </w:r>
      <w:r w:rsidRPr="001C299D">
        <w:rPr>
          <w:noProof/>
          <w:sz w:val="22"/>
        </w:rPr>
        <w:tab/>
        <w:t xml:space="preserve">Tai, Y.-M., Gau, S. S.-F. &amp; Gau, C.-S. Injury-proneness of youth with attention-deficit hyperactivity disorder: a national clinical data analysis in Taiwan. </w:t>
      </w:r>
      <w:r w:rsidRPr="001C299D">
        <w:rPr>
          <w:i/>
          <w:iCs/>
          <w:noProof/>
          <w:sz w:val="22"/>
        </w:rPr>
        <w:t>Res. Dev. Disabil.</w:t>
      </w:r>
      <w:r w:rsidRPr="001C299D">
        <w:rPr>
          <w:noProof/>
          <w:sz w:val="22"/>
        </w:rPr>
        <w:t xml:space="preserve"> </w:t>
      </w:r>
      <w:r w:rsidRPr="001C299D">
        <w:rPr>
          <w:b/>
          <w:bCs/>
          <w:noProof/>
          <w:sz w:val="22"/>
        </w:rPr>
        <w:t>34,</w:t>
      </w:r>
      <w:r w:rsidRPr="001C299D">
        <w:rPr>
          <w:noProof/>
          <w:sz w:val="22"/>
        </w:rPr>
        <w:t xml:space="preserve"> 1100–8 (2013).</w:t>
      </w:r>
    </w:p>
    <w:p w14:paraId="147D885C"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21.</w:t>
      </w:r>
      <w:r w:rsidRPr="001C299D">
        <w:rPr>
          <w:noProof/>
          <w:sz w:val="22"/>
        </w:rPr>
        <w:tab/>
        <w:t xml:space="preserve">Hariharan, S. &amp; Pomerantz, W. Correlation between hospitalization for pharmaceutical ingestion and attention deficit disorder in children aged 5 to 9 years old. </w:t>
      </w:r>
      <w:r w:rsidRPr="001C299D">
        <w:rPr>
          <w:i/>
          <w:iCs/>
          <w:noProof/>
          <w:sz w:val="22"/>
        </w:rPr>
        <w:t>Clin. Pediatr. (Phila).</w:t>
      </w:r>
      <w:r w:rsidRPr="001C299D">
        <w:rPr>
          <w:noProof/>
          <w:sz w:val="22"/>
        </w:rPr>
        <w:t xml:space="preserve"> </w:t>
      </w:r>
      <w:r w:rsidRPr="001C299D">
        <w:rPr>
          <w:b/>
          <w:bCs/>
          <w:noProof/>
          <w:sz w:val="22"/>
        </w:rPr>
        <w:t>47,</w:t>
      </w:r>
      <w:r w:rsidRPr="001C299D">
        <w:rPr>
          <w:noProof/>
          <w:sz w:val="22"/>
        </w:rPr>
        <w:t xml:space="preserve"> 15–20 (2008).</w:t>
      </w:r>
    </w:p>
    <w:p w14:paraId="2EE4F4C9"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22.</w:t>
      </w:r>
      <w:r w:rsidRPr="001C299D">
        <w:rPr>
          <w:noProof/>
          <w:sz w:val="22"/>
        </w:rPr>
        <w:tab/>
        <w:t xml:space="preserve">Brehaut, J. C., Miller, A., Raina, P. &amp; McGrail, K. M. Childhood behavior disorders and injuries among children and youth: a population-based study. </w:t>
      </w:r>
      <w:r w:rsidRPr="001C299D">
        <w:rPr>
          <w:i/>
          <w:iCs/>
          <w:noProof/>
          <w:sz w:val="22"/>
        </w:rPr>
        <w:t>Pediatrics</w:t>
      </w:r>
      <w:r w:rsidRPr="001C299D">
        <w:rPr>
          <w:noProof/>
          <w:sz w:val="22"/>
        </w:rPr>
        <w:t xml:space="preserve"> </w:t>
      </w:r>
      <w:r w:rsidRPr="001C299D">
        <w:rPr>
          <w:b/>
          <w:bCs/>
          <w:noProof/>
          <w:sz w:val="22"/>
        </w:rPr>
        <w:t>111,</w:t>
      </w:r>
      <w:r w:rsidRPr="001C299D">
        <w:rPr>
          <w:noProof/>
          <w:sz w:val="22"/>
        </w:rPr>
        <w:t xml:space="preserve"> 262–9 (2003).</w:t>
      </w:r>
    </w:p>
    <w:p w14:paraId="208F81D0"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23.</w:t>
      </w:r>
      <w:r w:rsidRPr="001C299D">
        <w:rPr>
          <w:noProof/>
          <w:sz w:val="22"/>
        </w:rPr>
        <w:tab/>
        <w:t>Prasad, V. The epidemiology of injuries in epilepsy and attention deficit-hyperactivity disorder (ADHD) in children and young people using the Clinical Practice Research Datalink (CPRD) and linked data. (University of Nottingham, 2016).</w:t>
      </w:r>
    </w:p>
    <w:p w14:paraId="3C73C448"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24.</w:t>
      </w:r>
      <w:r w:rsidRPr="001C299D">
        <w:rPr>
          <w:noProof/>
          <w:sz w:val="22"/>
        </w:rPr>
        <w:tab/>
        <w:t xml:space="preserve">Hurtig, T., Ebeling, H., Jokelainen, J., Koivumaa-Honkanen, H. &amp; Taanila, A. The Association Between Hospital-Treated Injuries and ADHD Symptoms in Childhood  and Adolescence: A Follow-Up Study in the Northern Finland Birth Cohort 1986. </w:t>
      </w:r>
      <w:r w:rsidRPr="001C299D">
        <w:rPr>
          <w:i/>
          <w:iCs/>
          <w:noProof/>
          <w:sz w:val="22"/>
        </w:rPr>
        <w:t>J. Atten. Disord.</w:t>
      </w:r>
      <w:r w:rsidRPr="001C299D">
        <w:rPr>
          <w:noProof/>
          <w:sz w:val="22"/>
        </w:rPr>
        <w:t xml:space="preserve"> </w:t>
      </w:r>
      <w:r w:rsidRPr="001C299D">
        <w:rPr>
          <w:b/>
          <w:bCs/>
          <w:noProof/>
          <w:sz w:val="22"/>
        </w:rPr>
        <w:t>20,</w:t>
      </w:r>
      <w:r w:rsidRPr="001C299D">
        <w:rPr>
          <w:noProof/>
          <w:sz w:val="22"/>
        </w:rPr>
        <w:t xml:space="preserve"> 3–10 (2016).</w:t>
      </w:r>
    </w:p>
    <w:p w14:paraId="403DCF1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25.</w:t>
      </w:r>
      <w:r w:rsidRPr="001C299D">
        <w:rPr>
          <w:noProof/>
          <w:sz w:val="22"/>
        </w:rPr>
        <w:tab/>
        <w:t xml:space="preserve">Chou, I.-C. C. I.-C. </w:t>
      </w:r>
      <w:r w:rsidRPr="001C299D">
        <w:rPr>
          <w:i/>
          <w:iCs/>
          <w:noProof/>
          <w:sz w:val="22"/>
        </w:rPr>
        <w:t>et al.</w:t>
      </w:r>
      <w:r w:rsidRPr="001C299D">
        <w:rPr>
          <w:noProof/>
          <w:sz w:val="22"/>
        </w:rPr>
        <w:t xml:space="preserve"> Attention-deficit hyperactivity disorder increases the risk of deliberate self-poisoning: A population-based cohort. </w:t>
      </w:r>
      <w:r w:rsidRPr="001C299D">
        <w:rPr>
          <w:i/>
          <w:iCs/>
          <w:noProof/>
          <w:sz w:val="22"/>
        </w:rPr>
        <w:t>Eur. Psychiatry</w:t>
      </w:r>
      <w:r w:rsidRPr="001C299D">
        <w:rPr>
          <w:noProof/>
          <w:sz w:val="22"/>
        </w:rPr>
        <w:t xml:space="preserve"> </w:t>
      </w:r>
      <w:r w:rsidRPr="001C299D">
        <w:rPr>
          <w:b/>
          <w:bCs/>
          <w:noProof/>
          <w:sz w:val="22"/>
        </w:rPr>
        <w:t>29,</w:t>
      </w:r>
      <w:r w:rsidRPr="001C299D">
        <w:rPr>
          <w:noProof/>
          <w:sz w:val="22"/>
        </w:rPr>
        <w:t xml:space="preserve"> 523–527 (2014).</w:t>
      </w:r>
    </w:p>
    <w:p w14:paraId="1E3E12B3"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26.</w:t>
      </w:r>
      <w:r w:rsidRPr="001C299D">
        <w:rPr>
          <w:noProof/>
          <w:sz w:val="22"/>
        </w:rPr>
        <w:tab/>
        <w:t xml:space="preserve">Lindemann, C., Langner, I., Banaschewski, T., Garbe, E. &amp; Mikolajczyk, R. T. The Risk of Hospitalizations with Injury Diagnoses in a Matched Cohort of Children and Adolescents with and without Attention Deficit/Hyperactivity Disorder in Germany: A Database Study. </w:t>
      </w:r>
      <w:r w:rsidRPr="001C299D">
        <w:rPr>
          <w:i/>
          <w:iCs/>
          <w:noProof/>
          <w:sz w:val="22"/>
        </w:rPr>
        <w:t>Front. Pediatr.</w:t>
      </w:r>
      <w:r w:rsidRPr="001C299D">
        <w:rPr>
          <w:noProof/>
          <w:sz w:val="22"/>
        </w:rPr>
        <w:t xml:space="preserve"> </w:t>
      </w:r>
      <w:r w:rsidRPr="001C299D">
        <w:rPr>
          <w:b/>
          <w:bCs/>
          <w:noProof/>
          <w:sz w:val="22"/>
        </w:rPr>
        <w:t>5,</w:t>
      </w:r>
      <w:r w:rsidRPr="001C299D">
        <w:rPr>
          <w:noProof/>
          <w:sz w:val="22"/>
        </w:rPr>
        <w:t xml:space="preserve"> (2017).</w:t>
      </w:r>
    </w:p>
    <w:p w14:paraId="4E602E19"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27.</w:t>
      </w:r>
      <w:r w:rsidRPr="001C299D">
        <w:rPr>
          <w:noProof/>
          <w:sz w:val="22"/>
        </w:rPr>
        <w:tab/>
        <w:t xml:space="preserve">Rowe, R., Maughan, B. &amp; Goodman, R. Childhood Psychiatric Disorder and Unintentional Injury: Findings from a National Cohort Study. </w:t>
      </w:r>
      <w:r w:rsidRPr="001C299D">
        <w:rPr>
          <w:i/>
          <w:iCs/>
          <w:noProof/>
          <w:sz w:val="22"/>
        </w:rPr>
        <w:t>J. Pediatr. Psychol.</w:t>
      </w:r>
      <w:r w:rsidRPr="001C299D">
        <w:rPr>
          <w:noProof/>
          <w:sz w:val="22"/>
        </w:rPr>
        <w:t xml:space="preserve"> </w:t>
      </w:r>
      <w:r w:rsidRPr="001C299D">
        <w:rPr>
          <w:b/>
          <w:bCs/>
          <w:noProof/>
          <w:sz w:val="22"/>
        </w:rPr>
        <w:t>29,</w:t>
      </w:r>
      <w:r w:rsidRPr="001C299D">
        <w:rPr>
          <w:noProof/>
          <w:sz w:val="22"/>
        </w:rPr>
        <w:t xml:space="preserve"> 119–130 (2004).</w:t>
      </w:r>
    </w:p>
    <w:p w14:paraId="5AD56373"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28.</w:t>
      </w:r>
      <w:r w:rsidRPr="001C299D">
        <w:rPr>
          <w:noProof/>
          <w:sz w:val="22"/>
        </w:rPr>
        <w:tab/>
        <w:t xml:space="preserve">Silva, D. </w:t>
      </w:r>
      <w:r w:rsidRPr="001C299D">
        <w:rPr>
          <w:i/>
          <w:iCs/>
          <w:noProof/>
          <w:sz w:val="22"/>
        </w:rPr>
        <w:t>et al.</w:t>
      </w:r>
      <w:r w:rsidRPr="001C299D">
        <w:rPr>
          <w:noProof/>
          <w:sz w:val="22"/>
        </w:rPr>
        <w:t xml:space="preserve"> Children diagnosed with attention deficit disorder and their hospitalisations: population data linkage study. </w:t>
      </w:r>
      <w:r w:rsidRPr="001C299D">
        <w:rPr>
          <w:i/>
          <w:iCs/>
          <w:noProof/>
          <w:sz w:val="22"/>
        </w:rPr>
        <w:t>Eur. Child Adolesc. Psychiatry</w:t>
      </w:r>
      <w:r w:rsidRPr="001C299D">
        <w:rPr>
          <w:noProof/>
          <w:sz w:val="22"/>
        </w:rPr>
        <w:t xml:space="preserve"> </w:t>
      </w:r>
      <w:r w:rsidRPr="001C299D">
        <w:rPr>
          <w:b/>
          <w:bCs/>
          <w:noProof/>
          <w:sz w:val="22"/>
        </w:rPr>
        <w:t>23,</w:t>
      </w:r>
      <w:r w:rsidRPr="001C299D">
        <w:rPr>
          <w:noProof/>
          <w:sz w:val="22"/>
        </w:rPr>
        <w:t xml:space="preserve"> 1043–1050 (2014).</w:t>
      </w:r>
    </w:p>
    <w:p w14:paraId="475521F9"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29.</w:t>
      </w:r>
      <w:r w:rsidRPr="001C299D">
        <w:rPr>
          <w:noProof/>
          <w:sz w:val="22"/>
        </w:rPr>
        <w:tab/>
        <w:t xml:space="preserve">Swensen, A. </w:t>
      </w:r>
      <w:r w:rsidRPr="001C299D">
        <w:rPr>
          <w:i/>
          <w:iCs/>
          <w:noProof/>
          <w:sz w:val="22"/>
        </w:rPr>
        <w:t>et al.</w:t>
      </w:r>
      <w:r w:rsidRPr="001C299D">
        <w:rPr>
          <w:noProof/>
          <w:sz w:val="22"/>
        </w:rPr>
        <w:t xml:space="preserve"> Incidence and costs of accidents among attention-deficit/hyperactivity disorder patients. </w:t>
      </w:r>
      <w:r w:rsidRPr="001C299D">
        <w:rPr>
          <w:i/>
          <w:iCs/>
          <w:noProof/>
          <w:sz w:val="22"/>
        </w:rPr>
        <w:t>J. Adolesc. Health</w:t>
      </w:r>
      <w:r w:rsidRPr="001C299D">
        <w:rPr>
          <w:noProof/>
          <w:sz w:val="22"/>
        </w:rPr>
        <w:t xml:space="preserve"> </w:t>
      </w:r>
      <w:r w:rsidRPr="001C299D">
        <w:rPr>
          <w:b/>
          <w:bCs/>
          <w:noProof/>
          <w:sz w:val="22"/>
        </w:rPr>
        <w:t>35,</w:t>
      </w:r>
      <w:r w:rsidRPr="001C299D">
        <w:rPr>
          <w:noProof/>
          <w:sz w:val="22"/>
        </w:rPr>
        <w:t xml:space="preserve"> 346.e1-9 (2004).</w:t>
      </w:r>
    </w:p>
    <w:p w14:paraId="28051637"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30.</w:t>
      </w:r>
      <w:r w:rsidRPr="001C299D">
        <w:rPr>
          <w:noProof/>
          <w:sz w:val="22"/>
        </w:rPr>
        <w:tab/>
        <w:t xml:space="preserve">Chou, I.-C., Lin, C.-C., Sung, F.-C. &amp; Kao, C.-H. Attention-deficit-hyperactivity disorder increases risk of bone fracture: a population-based cohort study. </w:t>
      </w:r>
      <w:r w:rsidRPr="001C299D">
        <w:rPr>
          <w:i/>
          <w:iCs/>
          <w:noProof/>
          <w:sz w:val="22"/>
        </w:rPr>
        <w:t>Dev. Med. Child Neurol.</w:t>
      </w:r>
      <w:r w:rsidRPr="001C299D">
        <w:rPr>
          <w:noProof/>
          <w:sz w:val="22"/>
        </w:rPr>
        <w:t xml:space="preserve"> </w:t>
      </w:r>
      <w:r w:rsidRPr="001C299D">
        <w:rPr>
          <w:b/>
          <w:bCs/>
          <w:noProof/>
          <w:sz w:val="22"/>
        </w:rPr>
        <w:t>56,</w:t>
      </w:r>
      <w:r w:rsidRPr="001C299D">
        <w:rPr>
          <w:noProof/>
          <w:sz w:val="22"/>
        </w:rPr>
        <w:t xml:space="preserve"> 1111–1116 (2014).</w:t>
      </w:r>
    </w:p>
    <w:p w14:paraId="6631FDC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31.</w:t>
      </w:r>
      <w:r w:rsidRPr="001C299D">
        <w:rPr>
          <w:noProof/>
          <w:sz w:val="22"/>
        </w:rPr>
        <w:tab/>
        <w:t xml:space="preserve">Kang, J.-H., Lin, H.-C. &amp; Chung, S.-D. Attention-deficit/hyperactivity disorder increased the risk of injury: a population-based follow-up study. </w:t>
      </w:r>
      <w:r w:rsidRPr="001C299D">
        <w:rPr>
          <w:i/>
          <w:iCs/>
          <w:noProof/>
          <w:sz w:val="22"/>
        </w:rPr>
        <w:t>Acta Paediatr.</w:t>
      </w:r>
      <w:r w:rsidRPr="001C299D">
        <w:rPr>
          <w:noProof/>
          <w:sz w:val="22"/>
        </w:rPr>
        <w:t xml:space="preserve"> </w:t>
      </w:r>
      <w:r w:rsidRPr="001C299D">
        <w:rPr>
          <w:b/>
          <w:bCs/>
          <w:noProof/>
          <w:sz w:val="22"/>
        </w:rPr>
        <w:t>102,</w:t>
      </w:r>
      <w:r w:rsidRPr="001C299D">
        <w:rPr>
          <w:noProof/>
          <w:sz w:val="22"/>
        </w:rPr>
        <w:t xml:space="preserve"> 640–643 (2013).</w:t>
      </w:r>
    </w:p>
    <w:p w14:paraId="26E1347A"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lastRenderedPageBreak/>
        <w:t>32.</w:t>
      </w:r>
      <w:r w:rsidRPr="001C299D">
        <w:rPr>
          <w:noProof/>
          <w:sz w:val="22"/>
        </w:rPr>
        <w:tab/>
        <w:t xml:space="preserve">Guo, N. W. </w:t>
      </w:r>
      <w:r w:rsidRPr="001C299D">
        <w:rPr>
          <w:i/>
          <w:iCs/>
          <w:noProof/>
          <w:sz w:val="22"/>
        </w:rPr>
        <w:t>et al.</w:t>
      </w:r>
      <w:r w:rsidRPr="001C299D">
        <w:rPr>
          <w:noProof/>
          <w:sz w:val="22"/>
        </w:rPr>
        <w:t xml:space="preserve"> Fracture risk and correlating factors of a pediatric population with attention deficit hyperactivity disorder: A nationwide matched study. </w:t>
      </w:r>
      <w:r w:rsidRPr="001C299D">
        <w:rPr>
          <w:i/>
          <w:iCs/>
          <w:noProof/>
          <w:sz w:val="22"/>
        </w:rPr>
        <w:t>J. Pediatr. Orthop. Part B</w:t>
      </w:r>
      <w:r w:rsidRPr="001C299D">
        <w:rPr>
          <w:noProof/>
          <w:sz w:val="22"/>
        </w:rPr>
        <w:t xml:space="preserve"> </w:t>
      </w:r>
      <w:r w:rsidRPr="001C299D">
        <w:rPr>
          <w:b/>
          <w:bCs/>
          <w:noProof/>
          <w:sz w:val="22"/>
        </w:rPr>
        <w:t>25,</w:t>
      </w:r>
      <w:r w:rsidRPr="001C299D">
        <w:rPr>
          <w:noProof/>
          <w:sz w:val="22"/>
        </w:rPr>
        <w:t xml:space="preserve"> 369–374 (2016).</w:t>
      </w:r>
    </w:p>
    <w:p w14:paraId="28A6F1D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33.</w:t>
      </w:r>
      <w:r w:rsidRPr="001C299D">
        <w:rPr>
          <w:noProof/>
          <w:sz w:val="22"/>
        </w:rPr>
        <w:tab/>
        <w:t>Hire, A. J. ADHD incidence, treatment and associated comorbidity in children and adolescents : an epidemiological study using electronic healthcare records. (University of Manchester, 2016).</w:t>
      </w:r>
    </w:p>
    <w:p w14:paraId="2799279E"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34.</w:t>
      </w:r>
      <w:r w:rsidRPr="001C299D">
        <w:rPr>
          <w:noProof/>
          <w:sz w:val="22"/>
        </w:rPr>
        <w:tab/>
        <w:t xml:space="preserve">McPheeters, M. L., Sathe, N. A., Jerome, R. N. &amp; Carnahan, R. M. Methods for systematic reviews of administrative database studies capturing health outcomes of interest. </w:t>
      </w:r>
      <w:r w:rsidRPr="001C299D">
        <w:rPr>
          <w:i/>
          <w:iCs/>
          <w:noProof/>
          <w:sz w:val="22"/>
        </w:rPr>
        <w:t>Vaccine</w:t>
      </w:r>
      <w:r w:rsidRPr="001C299D">
        <w:rPr>
          <w:noProof/>
          <w:sz w:val="22"/>
        </w:rPr>
        <w:t xml:space="preserve"> </w:t>
      </w:r>
      <w:r w:rsidRPr="001C299D">
        <w:rPr>
          <w:b/>
          <w:bCs/>
          <w:noProof/>
          <w:sz w:val="22"/>
        </w:rPr>
        <w:t>31 Suppl 1,</w:t>
      </w:r>
      <w:r w:rsidRPr="001C299D">
        <w:rPr>
          <w:noProof/>
          <w:sz w:val="22"/>
        </w:rPr>
        <w:t xml:space="preserve"> K2-6 (2013).</w:t>
      </w:r>
    </w:p>
    <w:p w14:paraId="39918FB2"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35.</w:t>
      </w:r>
      <w:r w:rsidRPr="001C299D">
        <w:rPr>
          <w:noProof/>
          <w:sz w:val="22"/>
        </w:rPr>
        <w:tab/>
        <w:t xml:space="preserve">Higgins, J. P. T., Thompson, S. G., Deeks, J. J. &amp; Altman, D. G. Measuring inconsistency in meta-analyses. </w:t>
      </w:r>
      <w:r w:rsidRPr="001C299D">
        <w:rPr>
          <w:i/>
          <w:iCs/>
          <w:noProof/>
          <w:sz w:val="22"/>
        </w:rPr>
        <w:t>BMJ  Br. Med. J.</w:t>
      </w:r>
      <w:r w:rsidRPr="001C299D">
        <w:rPr>
          <w:noProof/>
          <w:sz w:val="22"/>
        </w:rPr>
        <w:t xml:space="preserve"> </w:t>
      </w:r>
      <w:r w:rsidRPr="001C299D">
        <w:rPr>
          <w:b/>
          <w:bCs/>
          <w:noProof/>
          <w:sz w:val="22"/>
        </w:rPr>
        <w:t>327,</w:t>
      </w:r>
      <w:r w:rsidRPr="001C299D">
        <w:rPr>
          <w:noProof/>
          <w:sz w:val="22"/>
        </w:rPr>
        <w:t xml:space="preserve"> 557–560 (2003).</w:t>
      </w:r>
    </w:p>
    <w:p w14:paraId="20427B7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36.</w:t>
      </w:r>
      <w:r w:rsidRPr="001C299D">
        <w:rPr>
          <w:noProof/>
          <w:sz w:val="22"/>
        </w:rPr>
        <w:tab/>
        <w:t xml:space="preserve">Tipton, E. &amp; Pustejovsky, J. E. </w:t>
      </w:r>
      <w:r w:rsidRPr="001C299D">
        <w:rPr>
          <w:i/>
          <w:iCs/>
          <w:noProof/>
          <w:sz w:val="22"/>
        </w:rPr>
        <w:t>Small-Sample Adjustments for Tests of Moderators and Model Fit Using Robust Variance Estimation in Meta-Regression</w:t>
      </w:r>
      <w:r w:rsidRPr="001C299D">
        <w:rPr>
          <w:noProof/>
          <w:sz w:val="22"/>
        </w:rPr>
        <w:t xml:space="preserve">. </w:t>
      </w:r>
      <w:r w:rsidRPr="001C299D">
        <w:rPr>
          <w:i/>
          <w:iCs/>
          <w:noProof/>
          <w:sz w:val="22"/>
        </w:rPr>
        <w:t>Journal of Educational and Behavioral Statistics</w:t>
      </w:r>
      <w:r w:rsidRPr="001C299D">
        <w:rPr>
          <w:noProof/>
          <w:sz w:val="22"/>
        </w:rPr>
        <w:t xml:space="preserve"> </w:t>
      </w:r>
      <w:r w:rsidRPr="001C299D">
        <w:rPr>
          <w:b/>
          <w:bCs/>
          <w:noProof/>
          <w:sz w:val="22"/>
        </w:rPr>
        <w:t>40,</w:t>
      </w:r>
      <w:r w:rsidRPr="001C299D">
        <w:rPr>
          <w:noProof/>
          <w:sz w:val="22"/>
        </w:rPr>
        <w:t xml:space="preserve"> (2015).</w:t>
      </w:r>
    </w:p>
    <w:p w14:paraId="3186D82D"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37.</w:t>
      </w:r>
      <w:r w:rsidRPr="001C299D">
        <w:rPr>
          <w:noProof/>
          <w:sz w:val="22"/>
        </w:rPr>
        <w:tab/>
        <w:t xml:space="preserve">Wells, G. </w:t>
      </w:r>
      <w:r w:rsidRPr="001C299D">
        <w:rPr>
          <w:i/>
          <w:iCs/>
          <w:noProof/>
          <w:sz w:val="22"/>
        </w:rPr>
        <w:t>et al.</w:t>
      </w:r>
      <w:r w:rsidRPr="001C299D">
        <w:rPr>
          <w:noProof/>
          <w:sz w:val="22"/>
        </w:rPr>
        <w:t xml:space="preserve"> The Newcastle-Ottawa Scale (NOS) for assessing the quality of non randomised studies in meta-analyses.</w:t>
      </w:r>
    </w:p>
    <w:p w14:paraId="1D1FF152"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38.</w:t>
      </w:r>
      <w:r w:rsidRPr="001C299D">
        <w:rPr>
          <w:noProof/>
          <w:sz w:val="22"/>
        </w:rPr>
        <w:tab/>
        <w:t xml:space="preserve">Çakmak, M. </w:t>
      </w:r>
      <w:r w:rsidRPr="001C299D">
        <w:rPr>
          <w:i/>
          <w:iCs/>
          <w:noProof/>
          <w:sz w:val="22"/>
        </w:rPr>
        <w:t>et al.</w:t>
      </w:r>
      <w:r w:rsidRPr="001C299D">
        <w:rPr>
          <w:noProof/>
          <w:sz w:val="22"/>
        </w:rPr>
        <w:t xml:space="preserve"> Cognitive and behavioral characteristics of children with caustic ingestion. </w:t>
      </w:r>
      <w:r w:rsidRPr="001C299D">
        <w:rPr>
          <w:i/>
          <w:iCs/>
          <w:noProof/>
          <w:sz w:val="22"/>
        </w:rPr>
        <w:t>J. Pediatr. Surg.</w:t>
      </w:r>
      <w:r w:rsidRPr="001C299D">
        <w:rPr>
          <w:noProof/>
          <w:sz w:val="22"/>
        </w:rPr>
        <w:t xml:space="preserve"> </w:t>
      </w:r>
      <w:r w:rsidRPr="001C299D">
        <w:rPr>
          <w:b/>
          <w:bCs/>
          <w:noProof/>
          <w:sz w:val="22"/>
        </w:rPr>
        <w:t>50,</w:t>
      </w:r>
      <w:r w:rsidRPr="001C299D">
        <w:rPr>
          <w:noProof/>
          <w:sz w:val="22"/>
        </w:rPr>
        <w:t xml:space="preserve"> 540–542 (2015).</w:t>
      </w:r>
    </w:p>
    <w:p w14:paraId="6D798864"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39.</w:t>
      </w:r>
      <w:r w:rsidRPr="001C299D">
        <w:rPr>
          <w:noProof/>
          <w:sz w:val="22"/>
        </w:rPr>
        <w:tab/>
        <w:t xml:space="preserve">Kupper, T. </w:t>
      </w:r>
      <w:r w:rsidRPr="001C299D">
        <w:rPr>
          <w:i/>
          <w:iCs/>
          <w:noProof/>
          <w:sz w:val="22"/>
        </w:rPr>
        <w:t>et al.</w:t>
      </w:r>
      <w:r w:rsidRPr="001C299D">
        <w:rPr>
          <w:noProof/>
          <w:sz w:val="22"/>
        </w:rPr>
        <w:t xml:space="preserve"> The negative impact of attention-deficit/hyperactivity disorder on occupational health in adults and adolescents. </w:t>
      </w:r>
      <w:r w:rsidRPr="001C299D">
        <w:rPr>
          <w:i/>
          <w:iCs/>
          <w:noProof/>
          <w:sz w:val="22"/>
        </w:rPr>
        <w:t>Int. Arch. Occup. Environ. Health</w:t>
      </w:r>
      <w:r w:rsidRPr="001C299D">
        <w:rPr>
          <w:noProof/>
          <w:sz w:val="22"/>
        </w:rPr>
        <w:t xml:space="preserve"> </w:t>
      </w:r>
      <w:r w:rsidRPr="001C299D">
        <w:rPr>
          <w:b/>
          <w:bCs/>
          <w:noProof/>
          <w:sz w:val="22"/>
        </w:rPr>
        <w:t>85,</w:t>
      </w:r>
      <w:r w:rsidRPr="001C299D">
        <w:rPr>
          <w:noProof/>
          <w:sz w:val="22"/>
        </w:rPr>
        <w:t xml:space="preserve"> 837–847 (2012).</w:t>
      </w:r>
    </w:p>
    <w:p w14:paraId="6A72479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40.</w:t>
      </w:r>
      <w:r w:rsidRPr="001C299D">
        <w:rPr>
          <w:noProof/>
          <w:sz w:val="22"/>
        </w:rPr>
        <w:tab/>
        <w:t xml:space="preserve">Coghill, D. R., Banaschewski, T., Soutullo, C., Cottingham, M. G. &amp; Zuddas, A. Systematic review of quality of life and functional outcomes in randomized placebo-controlled studies of medications for attention-deficit/hyperactivity disorder. </w:t>
      </w:r>
      <w:r w:rsidRPr="001C299D">
        <w:rPr>
          <w:i/>
          <w:iCs/>
          <w:noProof/>
          <w:sz w:val="22"/>
        </w:rPr>
        <w:t>Eur. Child Adolesc. Psychiatry</w:t>
      </w:r>
      <w:r w:rsidRPr="001C299D">
        <w:rPr>
          <w:noProof/>
          <w:sz w:val="22"/>
        </w:rPr>
        <w:t xml:space="preserve"> (2017). doi:10.1007/s00787-017-0986-y</w:t>
      </w:r>
    </w:p>
    <w:p w14:paraId="3D31F913"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41.</w:t>
      </w:r>
      <w:r w:rsidRPr="001C299D">
        <w:rPr>
          <w:noProof/>
          <w:sz w:val="22"/>
        </w:rPr>
        <w:tab/>
        <w:t xml:space="preserve">Yin, H. S. </w:t>
      </w:r>
      <w:r w:rsidRPr="001C299D">
        <w:rPr>
          <w:i/>
          <w:iCs/>
          <w:noProof/>
          <w:sz w:val="22"/>
        </w:rPr>
        <w:t>et al.</w:t>
      </w:r>
      <w:r w:rsidRPr="001C299D">
        <w:rPr>
          <w:noProof/>
          <w:sz w:val="22"/>
        </w:rPr>
        <w:t xml:space="preserve"> Unit of Measurement Used and Parent Medication Dosing Errors. </w:t>
      </w:r>
      <w:r w:rsidRPr="001C299D">
        <w:rPr>
          <w:i/>
          <w:iCs/>
          <w:noProof/>
          <w:sz w:val="22"/>
        </w:rPr>
        <w:t>Pediatrics</w:t>
      </w:r>
      <w:r w:rsidRPr="001C299D">
        <w:rPr>
          <w:noProof/>
          <w:sz w:val="22"/>
        </w:rPr>
        <w:t xml:space="preserve"> </w:t>
      </w:r>
      <w:r w:rsidRPr="001C299D">
        <w:rPr>
          <w:b/>
          <w:bCs/>
          <w:noProof/>
          <w:sz w:val="22"/>
        </w:rPr>
        <w:t>134,</w:t>
      </w:r>
      <w:r w:rsidRPr="001C299D">
        <w:rPr>
          <w:noProof/>
          <w:sz w:val="22"/>
        </w:rPr>
        <w:t xml:space="preserve"> e354–e361 (2014).</w:t>
      </w:r>
    </w:p>
    <w:p w14:paraId="412D19B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42.</w:t>
      </w:r>
      <w:r w:rsidRPr="001C299D">
        <w:rPr>
          <w:noProof/>
          <w:sz w:val="22"/>
        </w:rPr>
        <w:tab/>
        <w:t xml:space="preserve">Nalliah, R. P. </w:t>
      </w:r>
      <w:r w:rsidRPr="001C299D">
        <w:rPr>
          <w:i/>
          <w:iCs/>
          <w:noProof/>
          <w:sz w:val="22"/>
        </w:rPr>
        <w:t>et al.</w:t>
      </w:r>
      <w:r w:rsidRPr="001C299D">
        <w:rPr>
          <w:noProof/>
          <w:sz w:val="22"/>
        </w:rPr>
        <w:t xml:space="preserve"> Children in the United States make close to 200,000 emergency department visits due to poisoning each year. </w:t>
      </w:r>
      <w:r w:rsidRPr="001C299D">
        <w:rPr>
          <w:i/>
          <w:iCs/>
          <w:noProof/>
          <w:sz w:val="22"/>
        </w:rPr>
        <w:t>Pediatr. Emerg. Care</w:t>
      </w:r>
      <w:r w:rsidRPr="001C299D">
        <w:rPr>
          <w:noProof/>
          <w:sz w:val="22"/>
        </w:rPr>
        <w:t xml:space="preserve"> </w:t>
      </w:r>
      <w:r w:rsidRPr="001C299D">
        <w:rPr>
          <w:b/>
          <w:bCs/>
          <w:noProof/>
          <w:sz w:val="22"/>
        </w:rPr>
        <w:t>30,</w:t>
      </w:r>
      <w:r w:rsidRPr="001C299D">
        <w:rPr>
          <w:noProof/>
          <w:sz w:val="22"/>
        </w:rPr>
        <w:t xml:space="preserve"> 453–7 (2014).</w:t>
      </w:r>
    </w:p>
    <w:p w14:paraId="7A40EDE0"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43.</w:t>
      </w:r>
      <w:r w:rsidRPr="001C299D">
        <w:rPr>
          <w:noProof/>
          <w:sz w:val="22"/>
        </w:rPr>
        <w:tab/>
        <w:t xml:space="preserve">McFee, R. B. &amp; Caraccio, T. R. ‘Hang Up Your Pocketbook’ -- an easy intervention for the granny syndrome: grandparents as a risk factor in unintentional pediatric exposures to pharmaceuticals. </w:t>
      </w:r>
      <w:r w:rsidRPr="001C299D">
        <w:rPr>
          <w:i/>
          <w:iCs/>
          <w:noProof/>
          <w:sz w:val="22"/>
        </w:rPr>
        <w:t>J. Am. Osteopath. Assoc.</w:t>
      </w:r>
      <w:r w:rsidRPr="001C299D">
        <w:rPr>
          <w:noProof/>
          <w:sz w:val="22"/>
        </w:rPr>
        <w:t xml:space="preserve"> </w:t>
      </w:r>
      <w:r w:rsidRPr="001C299D">
        <w:rPr>
          <w:b/>
          <w:bCs/>
          <w:noProof/>
          <w:sz w:val="22"/>
        </w:rPr>
        <w:t>106,</w:t>
      </w:r>
      <w:r w:rsidRPr="001C299D">
        <w:rPr>
          <w:noProof/>
          <w:sz w:val="22"/>
        </w:rPr>
        <w:t xml:space="preserve"> 405–11 (2006).</w:t>
      </w:r>
    </w:p>
    <w:p w14:paraId="27F2AD80"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44.</w:t>
      </w:r>
      <w:r w:rsidRPr="001C299D">
        <w:rPr>
          <w:noProof/>
          <w:sz w:val="22"/>
        </w:rPr>
        <w:tab/>
        <w:t xml:space="preserve">Wang, L.-J. </w:t>
      </w:r>
      <w:r w:rsidRPr="001C299D">
        <w:rPr>
          <w:i/>
          <w:iCs/>
          <w:noProof/>
          <w:sz w:val="22"/>
        </w:rPr>
        <w:t>et al.</w:t>
      </w:r>
      <w:r w:rsidRPr="001C299D">
        <w:rPr>
          <w:noProof/>
          <w:sz w:val="22"/>
        </w:rPr>
        <w:t xml:space="preserve"> Prevalence rates of youths diagnosed with and medicated for ADHD in a nationwide survey in Taiwan from 2000 to 2011. </w:t>
      </w:r>
      <w:r w:rsidRPr="001C299D">
        <w:rPr>
          <w:i/>
          <w:iCs/>
          <w:noProof/>
          <w:sz w:val="22"/>
        </w:rPr>
        <w:t>Epidemiol. Psychiatr. Sci.</w:t>
      </w:r>
      <w:r w:rsidRPr="001C299D">
        <w:rPr>
          <w:noProof/>
          <w:sz w:val="22"/>
        </w:rPr>
        <w:t xml:space="preserve"> </w:t>
      </w:r>
      <w:r w:rsidRPr="001C299D">
        <w:rPr>
          <w:b/>
          <w:bCs/>
          <w:noProof/>
          <w:sz w:val="22"/>
        </w:rPr>
        <w:t>26,</w:t>
      </w:r>
      <w:r w:rsidRPr="001C299D">
        <w:rPr>
          <w:noProof/>
          <w:sz w:val="22"/>
        </w:rPr>
        <w:t xml:space="preserve"> 624–634 (2017).</w:t>
      </w:r>
    </w:p>
    <w:p w14:paraId="23F6DC65"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45.</w:t>
      </w:r>
      <w:r w:rsidRPr="001C299D">
        <w:rPr>
          <w:noProof/>
          <w:sz w:val="22"/>
        </w:rPr>
        <w:tab/>
        <w:t xml:space="preserve">Visser, S. N., Blumberg, S. J., Danielson, M. L., Bitsko, R. H. &amp; Kogan, M. D. State-Based and Demographic Variation in Parent-Reported Medication Rates for Attention-Deficit/Hyperactivity Disorder, 2007–2008. </w:t>
      </w:r>
      <w:r w:rsidRPr="001C299D">
        <w:rPr>
          <w:i/>
          <w:iCs/>
          <w:noProof/>
          <w:sz w:val="22"/>
        </w:rPr>
        <w:t>Prev. Chronic Dis.</w:t>
      </w:r>
      <w:r w:rsidRPr="001C299D">
        <w:rPr>
          <w:noProof/>
          <w:sz w:val="22"/>
        </w:rPr>
        <w:t xml:space="preserve"> </w:t>
      </w:r>
      <w:r w:rsidRPr="001C299D">
        <w:rPr>
          <w:b/>
          <w:bCs/>
          <w:noProof/>
          <w:sz w:val="22"/>
        </w:rPr>
        <w:t>10,</w:t>
      </w:r>
      <w:r w:rsidRPr="001C299D">
        <w:rPr>
          <w:noProof/>
          <w:sz w:val="22"/>
        </w:rPr>
        <w:t xml:space="preserve"> 120073 (2013).</w:t>
      </w:r>
    </w:p>
    <w:p w14:paraId="5071E0D0"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46.</w:t>
      </w:r>
      <w:r w:rsidRPr="001C299D">
        <w:rPr>
          <w:noProof/>
          <w:sz w:val="22"/>
        </w:rPr>
        <w:tab/>
        <w:t xml:space="preserve">Garbe, E. </w:t>
      </w:r>
      <w:r w:rsidRPr="001C299D">
        <w:rPr>
          <w:i/>
          <w:iCs/>
          <w:noProof/>
          <w:sz w:val="22"/>
        </w:rPr>
        <w:t>et al.</w:t>
      </w:r>
      <w:r w:rsidRPr="001C299D">
        <w:rPr>
          <w:noProof/>
          <w:sz w:val="22"/>
        </w:rPr>
        <w:t xml:space="preserve"> Drug Treatment Patterns of Attention-Deficit/Hyperactivity Disorder in Children and Adolescents in Germany: Results from a Large Population-Based Cohort Study. </w:t>
      </w:r>
      <w:r w:rsidRPr="001C299D">
        <w:rPr>
          <w:i/>
          <w:iCs/>
          <w:noProof/>
          <w:sz w:val="22"/>
        </w:rPr>
        <w:t>J. Child Adolesc. Psychopharmacol.</w:t>
      </w:r>
      <w:r w:rsidRPr="001C299D">
        <w:rPr>
          <w:noProof/>
          <w:sz w:val="22"/>
        </w:rPr>
        <w:t xml:space="preserve"> </w:t>
      </w:r>
      <w:r w:rsidRPr="001C299D">
        <w:rPr>
          <w:b/>
          <w:bCs/>
          <w:noProof/>
          <w:sz w:val="22"/>
        </w:rPr>
        <w:t>22,</w:t>
      </w:r>
      <w:r w:rsidRPr="001C299D">
        <w:rPr>
          <w:noProof/>
          <w:sz w:val="22"/>
        </w:rPr>
        <w:t xml:space="preserve"> 452–458 (2012).</w:t>
      </w:r>
    </w:p>
    <w:p w14:paraId="3BCA6866"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47.</w:t>
      </w:r>
      <w:r w:rsidRPr="001C299D">
        <w:rPr>
          <w:noProof/>
          <w:sz w:val="22"/>
        </w:rPr>
        <w:tab/>
        <w:t xml:space="preserve">Chang, Z., Lichtenstein, P., D’Onofrio, B. M., Sjölander, A. &amp; Larsson, H. Serious transport accidents in adults with attention-deficit/hyperactivity disorder and the effect of medication: a population-based study. </w:t>
      </w:r>
      <w:r w:rsidRPr="001C299D">
        <w:rPr>
          <w:i/>
          <w:iCs/>
          <w:noProof/>
          <w:sz w:val="22"/>
        </w:rPr>
        <w:t>JAMA psychiatry</w:t>
      </w:r>
      <w:r w:rsidRPr="001C299D">
        <w:rPr>
          <w:noProof/>
          <w:sz w:val="22"/>
        </w:rPr>
        <w:t xml:space="preserve"> </w:t>
      </w:r>
      <w:r w:rsidRPr="001C299D">
        <w:rPr>
          <w:b/>
          <w:bCs/>
          <w:noProof/>
          <w:sz w:val="22"/>
        </w:rPr>
        <w:t>71,</w:t>
      </w:r>
      <w:r w:rsidRPr="001C299D">
        <w:rPr>
          <w:noProof/>
          <w:sz w:val="22"/>
        </w:rPr>
        <w:t xml:space="preserve"> 319–25 (2014).</w:t>
      </w:r>
    </w:p>
    <w:p w14:paraId="5F13ECEA"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48.</w:t>
      </w:r>
      <w:r w:rsidRPr="001C299D">
        <w:rPr>
          <w:noProof/>
          <w:sz w:val="22"/>
        </w:rPr>
        <w:tab/>
        <w:t xml:space="preserve">Surman, C. B. H., Fried, R., Rhodewalt, L. &amp; Boland, H. Do Pharmaceuticals Improve </w:t>
      </w:r>
      <w:r w:rsidRPr="001C299D">
        <w:rPr>
          <w:noProof/>
          <w:sz w:val="22"/>
        </w:rPr>
        <w:lastRenderedPageBreak/>
        <w:t xml:space="preserve">Driving in Individuals with ADHD? A Review of the Literature and Evidence for Clinical Practice. </w:t>
      </w:r>
      <w:r w:rsidRPr="001C299D">
        <w:rPr>
          <w:i/>
          <w:iCs/>
          <w:noProof/>
          <w:sz w:val="22"/>
        </w:rPr>
        <w:t>CNS Drugs</w:t>
      </w:r>
      <w:r w:rsidRPr="001C299D">
        <w:rPr>
          <w:noProof/>
          <w:sz w:val="22"/>
        </w:rPr>
        <w:t xml:space="preserve"> </w:t>
      </w:r>
      <w:r w:rsidRPr="001C299D">
        <w:rPr>
          <w:b/>
          <w:bCs/>
          <w:noProof/>
          <w:sz w:val="22"/>
        </w:rPr>
        <w:t>31,</w:t>
      </w:r>
      <w:r w:rsidRPr="001C299D">
        <w:rPr>
          <w:noProof/>
          <w:sz w:val="22"/>
        </w:rPr>
        <w:t xml:space="preserve"> 857–866 (2017).</w:t>
      </w:r>
    </w:p>
    <w:p w14:paraId="1A74C160"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49.</w:t>
      </w:r>
      <w:r w:rsidRPr="001C299D">
        <w:rPr>
          <w:noProof/>
          <w:sz w:val="22"/>
        </w:rPr>
        <w:tab/>
        <w:t xml:space="preserve">Groenman, A. P., Janssen, T. W. P. &amp; Oosterlaan, J. Childhood Psychiatric Disorders as Risk Factor for Subsequent Substance Abuse: A Meta-Analysis. </w:t>
      </w:r>
      <w:r w:rsidRPr="001C299D">
        <w:rPr>
          <w:i/>
          <w:iCs/>
          <w:noProof/>
          <w:sz w:val="22"/>
        </w:rPr>
        <w:t>J. Am. Acad. Child Adolesc. Psychiatry</w:t>
      </w:r>
      <w:r w:rsidRPr="001C299D">
        <w:rPr>
          <w:noProof/>
          <w:sz w:val="22"/>
        </w:rPr>
        <w:t xml:space="preserve"> </w:t>
      </w:r>
      <w:r w:rsidRPr="001C299D">
        <w:rPr>
          <w:b/>
          <w:bCs/>
          <w:noProof/>
          <w:sz w:val="22"/>
        </w:rPr>
        <w:t>56,</w:t>
      </w:r>
      <w:r w:rsidRPr="001C299D">
        <w:rPr>
          <w:noProof/>
          <w:sz w:val="22"/>
        </w:rPr>
        <w:t xml:space="preserve"> 556–569 (2017).</w:t>
      </w:r>
    </w:p>
    <w:p w14:paraId="0C2B36BA"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50.</w:t>
      </w:r>
      <w:r w:rsidRPr="001C299D">
        <w:rPr>
          <w:noProof/>
          <w:sz w:val="22"/>
        </w:rPr>
        <w:tab/>
        <w:t xml:space="preserve">Wilens, T. E. </w:t>
      </w:r>
      <w:r w:rsidRPr="001C299D">
        <w:rPr>
          <w:i/>
          <w:iCs/>
          <w:noProof/>
          <w:sz w:val="22"/>
        </w:rPr>
        <w:t>et al.</w:t>
      </w:r>
      <w:r w:rsidRPr="001C299D">
        <w:rPr>
          <w:noProof/>
          <w:sz w:val="22"/>
        </w:rPr>
        <w:t xml:space="preserve"> Misuse and diversion of stimulants prescribed for ADHD: a systematic review of the literature. </w:t>
      </w:r>
      <w:r w:rsidRPr="001C299D">
        <w:rPr>
          <w:i/>
          <w:iCs/>
          <w:noProof/>
          <w:sz w:val="22"/>
        </w:rPr>
        <w:t>J. Am. Acad. Child Adolesc. Psychiatry</w:t>
      </w:r>
      <w:r w:rsidRPr="001C299D">
        <w:rPr>
          <w:noProof/>
          <w:sz w:val="22"/>
        </w:rPr>
        <w:t xml:space="preserve"> </w:t>
      </w:r>
      <w:r w:rsidRPr="001C299D">
        <w:rPr>
          <w:b/>
          <w:bCs/>
          <w:noProof/>
          <w:sz w:val="22"/>
        </w:rPr>
        <w:t>47,</w:t>
      </w:r>
      <w:r w:rsidRPr="001C299D">
        <w:rPr>
          <w:noProof/>
          <w:sz w:val="22"/>
        </w:rPr>
        <w:t xml:space="preserve"> 21–31 (2008).</w:t>
      </w:r>
    </w:p>
    <w:p w14:paraId="70DF2F8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51.</w:t>
      </w:r>
      <w:r w:rsidRPr="001C299D">
        <w:rPr>
          <w:noProof/>
          <w:sz w:val="22"/>
        </w:rPr>
        <w:tab/>
        <w:t xml:space="preserve">Bright, G. M. Abuse of medications employed for the treatment of ADHD: results from a large-scale community survey. </w:t>
      </w:r>
      <w:r w:rsidRPr="001C299D">
        <w:rPr>
          <w:i/>
          <w:iCs/>
          <w:noProof/>
          <w:sz w:val="22"/>
        </w:rPr>
        <w:t>Medscape J. Med.</w:t>
      </w:r>
      <w:r w:rsidRPr="001C299D">
        <w:rPr>
          <w:noProof/>
          <w:sz w:val="22"/>
        </w:rPr>
        <w:t xml:space="preserve"> </w:t>
      </w:r>
      <w:r w:rsidRPr="001C299D">
        <w:rPr>
          <w:b/>
          <w:bCs/>
          <w:noProof/>
          <w:sz w:val="22"/>
        </w:rPr>
        <w:t>10,</w:t>
      </w:r>
      <w:r w:rsidRPr="001C299D">
        <w:rPr>
          <w:noProof/>
          <w:sz w:val="22"/>
        </w:rPr>
        <w:t xml:space="preserve"> 111 (2008).</w:t>
      </w:r>
    </w:p>
    <w:p w14:paraId="3D2FED9E"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52.</w:t>
      </w:r>
      <w:r w:rsidRPr="001C299D">
        <w:rPr>
          <w:noProof/>
          <w:sz w:val="22"/>
        </w:rPr>
        <w:tab/>
        <w:t xml:space="preserve">Franklin, R. L. &amp; Rodgers, G. B. Unintentional child poisonings treated in United States hospital emergency departments: national estimates of incident cases, population-based poisoning rates, and product involvement. </w:t>
      </w:r>
      <w:r w:rsidRPr="001C299D">
        <w:rPr>
          <w:i/>
          <w:iCs/>
          <w:noProof/>
          <w:sz w:val="22"/>
        </w:rPr>
        <w:t>Pediatrics</w:t>
      </w:r>
      <w:r w:rsidRPr="001C299D">
        <w:rPr>
          <w:noProof/>
          <w:sz w:val="22"/>
        </w:rPr>
        <w:t xml:space="preserve"> </w:t>
      </w:r>
      <w:r w:rsidRPr="001C299D">
        <w:rPr>
          <w:b/>
          <w:bCs/>
          <w:noProof/>
          <w:sz w:val="22"/>
        </w:rPr>
        <w:t>122,</w:t>
      </w:r>
      <w:r w:rsidRPr="001C299D">
        <w:rPr>
          <w:noProof/>
          <w:sz w:val="22"/>
        </w:rPr>
        <w:t xml:space="preserve"> 1244–51 (2008).</w:t>
      </w:r>
    </w:p>
    <w:p w14:paraId="72BBA57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53.</w:t>
      </w:r>
      <w:r w:rsidRPr="001C299D">
        <w:rPr>
          <w:noProof/>
          <w:sz w:val="22"/>
        </w:rPr>
        <w:tab/>
        <w:t xml:space="preserve">Mazer-Amirshahi, M. </w:t>
      </w:r>
      <w:r w:rsidRPr="001C299D">
        <w:rPr>
          <w:i/>
          <w:iCs/>
          <w:noProof/>
          <w:sz w:val="22"/>
        </w:rPr>
        <w:t>et al.</w:t>
      </w:r>
      <w:r w:rsidRPr="001C299D">
        <w:rPr>
          <w:noProof/>
          <w:sz w:val="22"/>
        </w:rPr>
        <w:t xml:space="preserve"> Trends in Emergency Department Resource Utilization for Poisoning-Related Visits, 2003-2011. </w:t>
      </w:r>
      <w:r w:rsidRPr="001C299D">
        <w:rPr>
          <w:i/>
          <w:iCs/>
          <w:noProof/>
          <w:sz w:val="22"/>
        </w:rPr>
        <w:t>J. Med. Toxicol.</w:t>
      </w:r>
      <w:r w:rsidRPr="001C299D">
        <w:rPr>
          <w:noProof/>
          <w:sz w:val="22"/>
        </w:rPr>
        <w:t xml:space="preserve"> </w:t>
      </w:r>
      <w:r w:rsidRPr="001C299D">
        <w:rPr>
          <w:b/>
          <w:bCs/>
          <w:noProof/>
          <w:sz w:val="22"/>
        </w:rPr>
        <w:t>12,</w:t>
      </w:r>
      <w:r w:rsidRPr="001C299D">
        <w:rPr>
          <w:noProof/>
          <w:sz w:val="22"/>
        </w:rPr>
        <w:t xml:space="preserve"> 248–54 (2016).</w:t>
      </w:r>
    </w:p>
    <w:p w14:paraId="23C84CC8"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54.</w:t>
      </w:r>
      <w:r w:rsidRPr="001C299D">
        <w:rPr>
          <w:noProof/>
          <w:sz w:val="22"/>
        </w:rPr>
        <w:tab/>
        <w:t xml:space="preserve">Shamseer, L. </w:t>
      </w:r>
      <w:r w:rsidRPr="001C299D">
        <w:rPr>
          <w:i/>
          <w:iCs/>
          <w:noProof/>
          <w:sz w:val="22"/>
        </w:rPr>
        <w:t>et al.</w:t>
      </w:r>
      <w:r w:rsidRPr="001C299D">
        <w:rPr>
          <w:noProof/>
          <w:sz w:val="22"/>
        </w:rPr>
        <w:t xml:space="preserve"> Preferred reporting items for systematic review and meta-analysis protocols (PRISMA-P) 2015: elaboration and explanation. </w:t>
      </w:r>
      <w:r w:rsidRPr="001C299D">
        <w:rPr>
          <w:i/>
          <w:iCs/>
          <w:noProof/>
          <w:sz w:val="22"/>
        </w:rPr>
        <w:t>BMJ</w:t>
      </w:r>
      <w:r w:rsidRPr="001C299D">
        <w:rPr>
          <w:noProof/>
          <w:sz w:val="22"/>
        </w:rPr>
        <w:t xml:space="preserve"> </w:t>
      </w:r>
      <w:r w:rsidRPr="001C299D">
        <w:rPr>
          <w:b/>
          <w:bCs/>
          <w:noProof/>
          <w:sz w:val="22"/>
        </w:rPr>
        <w:t>349,</w:t>
      </w:r>
      <w:r w:rsidRPr="001C299D">
        <w:rPr>
          <w:noProof/>
          <w:sz w:val="22"/>
        </w:rPr>
        <w:t xml:space="preserve"> g7647 (2015).</w:t>
      </w:r>
    </w:p>
    <w:p w14:paraId="56365A1D"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55.</w:t>
      </w:r>
      <w:r w:rsidRPr="001C299D">
        <w:rPr>
          <w:noProof/>
          <w:sz w:val="22"/>
        </w:rPr>
        <w:tab/>
        <w:t xml:space="preserve">Moher, D. </w:t>
      </w:r>
      <w:r w:rsidRPr="001C299D">
        <w:rPr>
          <w:i/>
          <w:iCs/>
          <w:noProof/>
          <w:sz w:val="22"/>
        </w:rPr>
        <w:t>et al.</w:t>
      </w:r>
      <w:r w:rsidRPr="001C299D">
        <w:rPr>
          <w:noProof/>
          <w:sz w:val="22"/>
        </w:rPr>
        <w:t xml:space="preserve"> Preferred Reporting Items for Systematic Review and Meta-Analysis Protocols (PRISMA-P) 2015 statement. </w:t>
      </w:r>
      <w:r w:rsidRPr="001C299D">
        <w:rPr>
          <w:i/>
          <w:iCs/>
          <w:noProof/>
          <w:sz w:val="22"/>
        </w:rPr>
        <w:t>Syst. Rev.</w:t>
      </w:r>
      <w:r w:rsidRPr="001C299D">
        <w:rPr>
          <w:noProof/>
          <w:sz w:val="22"/>
        </w:rPr>
        <w:t xml:space="preserve"> </w:t>
      </w:r>
      <w:r w:rsidRPr="001C299D">
        <w:rPr>
          <w:b/>
          <w:bCs/>
          <w:noProof/>
          <w:sz w:val="22"/>
        </w:rPr>
        <w:t>4,</w:t>
      </w:r>
      <w:r w:rsidRPr="001C299D">
        <w:rPr>
          <w:noProof/>
          <w:sz w:val="22"/>
        </w:rPr>
        <w:t xml:space="preserve"> 1 (2015).</w:t>
      </w:r>
    </w:p>
    <w:p w14:paraId="7E2BF2F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56.</w:t>
      </w:r>
      <w:r w:rsidRPr="001C299D">
        <w:rPr>
          <w:noProof/>
          <w:sz w:val="22"/>
        </w:rPr>
        <w:tab/>
        <w:t xml:space="preserve">Liberati, A. </w:t>
      </w:r>
      <w:r w:rsidRPr="001C299D">
        <w:rPr>
          <w:i/>
          <w:iCs/>
          <w:noProof/>
          <w:sz w:val="22"/>
        </w:rPr>
        <w:t>et al.</w:t>
      </w:r>
      <w:r w:rsidRPr="001C299D">
        <w:rPr>
          <w:noProof/>
          <w:sz w:val="22"/>
        </w:rPr>
        <w:t xml:space="preserve"> The PRISMA statement for reporting systematic reviews and meta-analyses of studies that evaluate healthcare interventions: explanation and elaboration. </w:t>
      </w:r>
      <w:r w:rsidRPr="001C299D">
        <w:rPr>
          <w:i/>
          <w:iCs/>
          <w:noProof/>
          <w:sz w:val="22"/>
        </w:rPr>
        <w:t>BMJ</w:t>
      </w:r>
      <w:r w:rsidRPr="001C299D">
        <w:rPr>
          <w:noProof/>
          <w:sz w:val="22"/>
        </w:rPr>
        <w:t xml:space="preserve"> </w:t>
      </w:r>
      <w:r w:rsidRPr="001C299D">
        <w:rPr>
          <w:b/>
          <w:bCs/>
          <w:noProof/>
          <w:sz w:val="22"/>
        </w:rPr>
        <w:t>339,</w:t>
      </w:r>
      <w:r w:rsidRPr="001C299D">
        <w:rPr>
          <w:noProof/>
          <w:sz w:val="22"/>
        </w:rPr>
        <w:t xml:space="preserve"> b2700 (2009).</w:t>
      </w:r>
    </w:p>
    <w:p w14:paraId="77158F53"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57.</w:t>
      </w:r>
      <w:r w:rsidRPr="001C299D">
        <w:rPr>
          <w:noProof/>
          <w:sz w:val="22"/>
        </w:rPr>
        <w:tab/>
        <w:t xml:space="preserve">Moher, D., Liberati, A., Tetzlaff, J. &amp; Altman, D. G. Preferred reporting items for systematic reviews and meta-analyses: the PRISMA statement. </w:t>
      </w:r>
      <w:r w:rsidRPr="001C299D">
        <w:rPr>
          <w:i/>
          <w:iCs/>
          <w:noProof/>
          <w:sz w:val="22"/>
        </w:rPr>
        <w:t>PLoS Med.</w:t>
      </w:r>
      <w:r w:rsidRPr="001C299D">
        <w:rPr>
          <w:noProof/>
          <w:sz w:val="22"/>
        </w:rPr>
        <w:t xml:space="preserve"> </w:t>
      </w:r>
      <w:r w:rsidRPr="001C299D">
        <w:rPr>
          <w:b/>
          <w:bCs/>
          <w:noProof/>
          <w:sz w:val="22"/>
        </w:rPr>
        <w:t>6,</w:t>
      </w:r>
      <w:r w:rsidRPr="001C299D">
        <w:rPr>
          <w:noProof/>
          <w:sz w:val="22"/>
        </w:rPr>
        <w:t xml:space="preserve"> e1000097 (2009).</w:t>
      </w:r>
    </w:p>
    <w:p w14:paraId="11286502"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58.</w:t>
      </w:r>
      <w:r w:rsidRPr="001C299D">
        <w:rPr>
          <w:noProof/>
          <w:sz w:val="22"/>
        </w:rPr>
        <w:tab/>
        <w:t xml:space="preserve">Stroup, D. F. </w:t>
      </w:r>
      <w:r w:rsidRPr="001C299D">
        <w:rPr>
          <w:i/>
          <w:iCs/>
          <w:noProof/>
          <w:sz w:val="22"/>
        </w:rPr>
        <w:t>et al.</w:t>
      </w:r>
      <w:r w:rsidRPr="001C299D">
        <w:rPr>
          <w:noProof/>
          <w:sz w:val="22"/>
        </w:rPr>
        <w:t xml:space="preserve"> Meta-analysis of observational studies in epidemiology: a proposal for reporting. Meta-analysis Of Observational Studies in Epidemiology (MOOSE) group. </w:t>
      </w:r>
      <w:r w:rsidRPr="001C299D">
        <w:rPr>
          <w:i/>
          <w:iCs/>
          <w:noProof/>
          <w:sz w:val="22"/>
        </w:rPr>
        <w:t>JAMA</w:t>
      </w:r>
      <w:r w:rsidRPr="001C299D">
        <w:rPr>
          <w:noProof/>
          <w:sz w:val="22"/>
        </w:rPr>
        <w:t xml:space="preserve"> </w:t>
      </w:r>
      <w:r w:rsidRPr="001C299D">
        <w:rPr>
          <w:b/>
          <w:bCs/>
          <w:noProof/>
          <w:sz w:val="22"/>
        </w:rPr>
        <w:t>283,</w:t>
      </w:r>
      <w:r w:rsidRPr="001C299D">
        <w:rPr>
          <w:noProof/>
          <w:sz w:val="22"/>
        </w:rPr>
        <w:t xml:space="preserve"> 2008–12 (2000).</w:t>
      </w:r>
    </w:p>
    <w:p w14:paraId="55B7A8F6"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C14C69">
        <w:rPr>
          <w:noProof/>
          <w:sz w:val="22"/>
          <w:lang w:val="es-ES"/>
        </w:rPr>
        <w:t>59.</w:t>
      </w:r>
      <w:r w:rsidRPr="00C14C69">
        <w:rPr>
          <w:noProof/>
          <w:sz w:val="22"/>
          <w:lang w:val="es-ES"/>
        </w:rPr>
        <w:tab/>
        <w:t xml:space="preserve">Ruiz-Goikoetxea, M. </w:t>
      </w:r>
      <w:r w:rsidRPr="00C14C69">
        <w:rPr>
          <w:i/>
          <w:iCs/>
          <w:noProof/>
          <w:sz w:val="22"/>
          <w:lang w:val="es-ES"/>
        </w:rPr>
        <w:t>et al.</w:t>
      </w:r>
      <w:r w:rsidRPr="00C14C69">
        <w:rPr>
          <w:noProof/>
          <w:sz w:val="22"/>
          <w:lang w:val="es-ES"/>
        </w:rPr>
        <w:t xml:space="preserve"> </w:t>
      </w:r>
      <w:r w:rsidRPr="001C299D">
        <w:rPr>
          <w:noProof/>
          <w:sz w:val="22"/>
        </w:rPr>
        <w:t xml:space="preserve">Risk of unintentional injuries in children and adolescents with ADHD and the impact of ADHD medications: protocol for a systematic review and meta-analysis. </w:t>
      </w:r>
      <w:r w:rsidRPr="001C299D">
        <w:rPr>
          <w:i/>
          <w:iCs/>
          <w:noProof/>
          <w:sz w:val="22"/>
        </w:rPr>
        <w:t>Br. Med. J. Open</w:t>
      </w:r>
      <w:r w:rsidRPr="001C299D">
        <w:rPr>
          <w:noProof/>
          <w:sz w:val="22"/>
        </w:rPr>
        <w:t xml:space="preserve"> (2017). doi:10.1136/bmjopen-2017-018027</w:t>
      </w:r>
    </w:p>
    <w:p w14:paraId="01D9B7C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60.</w:t>
      </w:r>
      <w:r w:rsidRPr="001C299D">
        <w:rPr>
          <w:noProof/>
          <w:sz w:val="22"/>
        </w:rPr>
        <w:tab/>
        <w:t xml:space="preserve">Gaub, M. &amp; Carlson, C. L. Gender Differences in ADHD: A Meta-Analysis and Critical Review. </w:t>
      </w:r>
      <w:r w:rsidRPr="001C299D">
        <w:rPr>
          <w:i/>
          <w:iCs/>
          <w:noProof/>
          <w:sz w:val="22"/>
        </w:rPr>
        <w:t>Psychiatry</w:t>
      </w:r>
      <w:r w:rsidRPr="001C299D">
        <w:rPr>
          <w:noProof/>
          <w:sz w:val="22"/>
        </w:rPr>
        <w:t xml:space="preserve"> </w:t>
      </w:r>
      <w:r w:rsidRPr="001C299D">
        <w:rPr>
          <w:b/>
          <w:bCs/>
          <w:noProof/>
          <w:sz w:val="22"/>
        </w:rPr>
        <w:t>36,</w:t>
      </w:r>
      <w:r w:rsidRPr="001C299D">
        <w:rPr>
          <w:noProof/>
          <w:sz w:val="22"/>
        </w:rPr>
        <w:t xml:space="preserve"> 1036–1045 (1997).</w:t>
      </w:r>
    </w:p>
    <w:p w14:paraId="186C92BB"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61.</w:t>
      </w:r>
      <w:r w:rsidRPr="001C299D">
        <w:rPr>
          <w:noProof/>
          <w:sz w:val="22"/>
        </w:rPr>
        <w:tab/>
        <w:t xml:space="preserve">Gillberg, C. Deficits in attention, motor control, and perception: a brief review. </w:t>
      </w:r>
      <w:r w:rsidRPr="001C299D">
        <w:rPr>
          <w:i/>
          <w:iCs/>
          <w:noProof/>
          <w:sz w:val="22"/>
        </w:rPr>
        <w:t>Arch. Dis. Child.</w:t>
      </w:r>
      <w:r w:rsidRPr="001C299D">
        <w:rPr>
          <w:noProof/>
          <w:sz w:val="22"/>
        </w:rPr>
        <w:t xml:space="preserve"> </w:t>
      </w:r>
      <w:r w:rsidRPr="001C299D">
        <w:rPr>
          <w:b/>
          <w:bCs/>
          <w:noProof/>
          <w:sz w:val="22"/>
        </w:rPr>
        <w:t>88,</w:t>
      </w:r>
      <w:r w:rsidRPr="001C299D">
        <w:rPr>
          <w:noProof/>
          <w:sz w:val="22"/>
        </w:rPr>
        <w:t xml:space="preserve"> 904–10 (2003).</w:t>
      </w:r>
    </w:p>
    <w:p w14:paraId="1845DB51"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62.</w:t>
      </w:r>
      <w:r w:rsidRPr="001C299D">
        <w:rPr>
          <w:noProof/>
          <w:sz w:val="22"/>
        </w:rPr>
        <w:tab/>
        <w:t xml:space="preserve">Magallon, S., Crespo-Eguilaz, N. &amp; Narbona, J. Procedural Learning in Children With Developmental Coordination, Reading, and Attention Disorders. </w:t>
      </w:r>
      <w:r w:rsidRPr="001C299D">
        <w:rPr>
          <w:i/>
          <w:iCs/>
          <w:noProof/>
          <w:sz w:val="22"/>
        </w:rPr>
        <w:t>J. Child Neurol.</w:t>
      </w:r>
      <w:r w:rsidRPr="001C299D">
        <w:rPr>
          <w:noProof/>
          <w:sz w:val="22"/>
        </w:rPr>
        <w:t xml:space="preserve"> </w:t>
      </w:r>
      <w:r w:rsidRPr="001C299D">
        <w:rPr>
          <w:b/>
          <w:bCs/>
          <w:noProof/>
          <w:sz w:val="22"/>
        </w:rPr>
        <w:t>30,</w:t>
      </w:r>
      <w:r w:rsidRPr="001C299D">
        <w:rPr>
          <w:noProof/>
          <w:sz w:val="22"/>
        </w:rPr>
        <w:t xml:space="preserve"> 0883073815572227- (2015).</w:t>
      </w:r>
    </w:p>
    <w:p w14:paraId="4AFB7290"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63.</w:t>
      </w:r>
      <w:r w:rsidRPr="001C299D">
        <w:rPr>
          <w:noProof/>
          <w:sz w:val="22"/>
        </w:rPr>
        <w:tab/>
        <w:t xml:space="preserve">Martínez-González, M. A., Alonso, A. &amp; López Fidalgo, J. [What is hazard ratio? Concepts in survival analysis]. </w:t>
      </w:r>
      <w:r w:rsidRPr="001C299D">
        <w:rPr>
          <w:i/>
          <w:iCs/>
          <w:noProof/>
          <w:sz w:val="22"/>
        </w:rPr>
        <w:t>Med. Clin. (Barc).</w:t>
      </w:r>
      <w:r w:rsidRPr="001C299D">
        <w:rPr>
          <w:noProof/>
          <w:sz w:val="22"/>
        </w:rPr>
        <w:t xml:space="preserve"> </w:t>
      </w:r>
      <w:r w:rsidRPr="001C299D">
        <w:rPr>
          <w:b/>
          <w:bCs/>
          <w:noProof/>
          <w:sz w:val="22"/>
        </w:rPr>
        <w:t>131,</w:t>
      </w:r>
      <w:r w:rsidRPr="001C299D">
        <w:rPr>
          <w:noProof/>
          <w:sz w:val="22"/>
        </w:rPr>
        <w:t xml:space="preserve"> 65–72 (2008).</w:t>
      </w:r>
    </w:p>
    <w:p w14:paraId="2B66EABC"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64.</w:t>
      </w:r>
      <w:r w:rsidRPr="001C299D">
        <w:rPr>
          <w:noProof/>
          <w:sz w:val="22"/>
        </w:rPr>
        <w:tab/>
        <w:t xml:space="preserve">Symons, M. J. &amp; Moore, D. T. Hazard rate ratio and prospective epidemiological studies. </w:t>
      </w:r>
      <w:r w:rsidRPr="001C299D">
        <w:rPr>
          <w:i/>
          <w:iCs/>
          <w:noProof/>
          <w:sz w:val="22"/>
        </w:rPr>
        <w:t>J Clin Epidemiol</w:t>
      </w:r>
      <w:r w:rsidRPr="001C299D">
        <w:rPr>
          <w:noProof/>
          <w:sz w:val="22"/>
        </w:rPr>
        <w:t xml:space="preserve"> </w:t>
      </w:r>
      <w:r w:rsidRPr="001C299D">
        <w:rPr>
          <w:b/>
          <w:bCs/>
          <w:noProof/>
          <w:sz w:val="22"/>
        </w:rPr>
        <w:t>55,</w:t>
      </w:r>
      <w:r w:rsidRPr="001C299D">
        <w:rPr>
          <w:noProof/>
          <w:sz w:val="22"/>
        </w:rPr>
        <w:t xml:space="preserve"> 893–899 (2002).</w:t>
      </w:r>
    </w:p>
    <w:p w14:paraId="264801C5"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65.</w:t>
      </w:r>
      <w:r w:rsidRPr="001C299D">
        <w:rPr>
          <w:noProof/>
          <w:sz w:val="22"/>
        </w:rPr>
        <w:tab/>
        <w:t xml:space="preserve">Hedges, L. V., Tipton, E. &amp; Johnson, M. C. Robust variance estimation in meta-regression with dependent effect size estimates. </w:t>
      </w:r>
      <w:r w:rsidRPr="001C299D">
        <w:rPr>
          <w:i/>
          <w:iCs/>
          <w:noProof/>
          <w:sz w:val="22"/>
        </w:rPr>
        <w:t>Res. Synth. Methods</w:t>
      </w:r>
      <w:r w:rsidRPr="001C299D">
        <w:rPr>
          <w:noProof/>
          <w:sz w:val="22"/>
        </w:rPr>
        <w:t xml:space="preserve"> </w:t>
      </w:r>
      <w:r w:rsidRPr="001C299D">
        <w:rPr>
          <w:b/>
          <w:bCs/>
          <w:noProof/>
          <w:sz w:val="22"/>
        </w:rPr>
        <w:t>1,</w:t>
      </w:r>
      <w:r w:rsidRPr="001C299D">
        <w:rPr>
          <w:noProof/>
          <w:sz w:val="22"/>
        </w:rPr>
        <w:t xml:space="preserve"> 39–65 (2010).</w:t>
      </w:r>
    </w:p>
    <w:p w14:paraId="3378A361"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lastRenderedPageBreak/>
        <w:t>66.</w:t>
      </w:r>
      <w:r w:rsidRPr="001C299D">
        <w:rPr>
          <w:noProof/>
          <w:sz w:val="22"/>
        </w:rPr>
        <w:tab/>
        <w:t xml:space="preserve">Tipton, E. Robust variance estimation in meta-regression with binary dependent effects. </w:t>
      </w:r>
      <w:r w:rsidRPr="001C299D">
        <w:rPr>
          <w:i/>
          <w:iCs/>
          <w:noProof/>
          <w:sz w:val="22"/>
        </w:rPr>
        <w:t>Res. Synth. Methods</w:t>
      </w:r>
      <w:r w:rsidRPr="001C299D">
        <w:rPr>
          <w:noProof/>
          <w:sz w:val="22"/>
        </w:rPr>
        <w:t xml:space="preserve"> </w:t>
      </w:r>
      <w:r w:rsidRPr="001C299D">
        <w:rPr>
          <w:b/>
          <w:bCs/>
          <w:noProof/>
          <w:sz w:val="22"/>
        </w:rPr>
        <w:t>4,</w:t>
      </w:r>
      <w:r w:rsidRPr="001C299D">
        <w:rPr>
          <w:noProof/>
          <w:sz w:val="22"/>
        </w:rPr>
        <w:t xml:space="preserve"> 169–187 (2013).</w:t>
      </w:r>
    </w:p>
    <w:p w14:paraId="36209EA6"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67.</w:t>
      </w:r>
      <w:r w:rsidRPr="001C299D">
        <w:rPr>
          <w:noProof/>
          <w:sz w:val="22"/>
        </w:rPr>
        <w:tab/>
        <w:t xml:space="preserve">De Vibe, M. Mindfulness based stress reduction (MBSR) for improving health, quality of life, and social functioning in adults. </w:t>
      </w:r>
      <w:r w:rsidRPr="001C299D">
        <w:rPr>
          <w:i/>
          <w:iCs/>
          <w:noProof/>
          <w:sz w:val="22"/>
        </w:rPr>
        <w:t>Campbell Syst. Rev.</w:t>
      </w:r>
      <w:r w:rsidRPr="001C299D">
        <w:rPr>
          <w:noProof/>
          <w:sz w:val="22"/>
        </w:rPr>
        <w:t xml:space="preserve"> 127 (2012). doi:10.4073/csr.2012.3</w:t>
      </w:r>
    </w:p>
    <w:p w14:paraId="1C731B0D"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68.</w:t>
      </w:r>
      <w:r w:rsidRPr="001C299D">
        <w:rPr>
          <w:noProof/>
          <w:sz w:val="22"/>
        </w:rPr>
        <w:tab/>
        <w:t xml:space="preserve">Higgins, J. P. T. Commentary: Heterogeneity in meta-analysis should be expected and appropriately quantified. </w:t>
      </w:r>
      <w:r w:rsidRPr="001C299D">
        <w:rPr>
          <w:i/>
          <w:iCs/>
          <w:noProof/>
          <w:sz w:val="22"/>
        </w:rPr>
        <w:t>Int. J. Epidemiol.</w:t>
      </w:r>
      <w:r w:rsidRPr="001C299D">
        <w:rPr>
          <w:noProof/>
          <w:sz w:val="22"/>
        </w:rPr>
        <w:t xml:space="preserve"> </w:t>
      </w:r>
      <w:r w:rsidRPr="001C299D">
        <w:rPr>
          <w:b/>
          <w:bCs/>
          <w:noProof/>
          <w:sz w:val="22"/>
        </w:rPr>
        <w:t>37,</w:t>
      </w:r>
      <w:r w:rsidRPr="001C299D">
        <w:rPr>
          <w:noProof/>
          <w:sz w:val="22"/>
        </w:rPr>
        <w:t xml:space="preserve"> 1158–1160 (2008).</w:t>
      </w:r>
    </w:p>
    <w:p w14:paraId="06E185E9"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69.</w:t>
      </w:r>
      <w:r w:rsidRPr="001C299D">
        <w:rPr>
          <w:noProof/>
          <w:sz w:val="22"/>
        </w:rPr>
        <w:tab/>
        <w:t xml:space="preserve">Tanner-Smith, E. E. &amp; Tipton, E. Robust variance estimation with dependent effect sizes: Practical considerations including a software tutorial in Stata and SPSS. </w:t>
      </w:r>
      <w:r w:rsidRPr="001C299D">
        <w:rPr>
          <w:i/>
          <w:iCs/>
          <w:noProof/>
          <w:sz w:val="22"/>
        </w:rPr>
        <w:t>Res. Synth. Methods</w:t>
      </w:r>
      <w:r w:rsidRPr="001C299D">
        <w:rPr>
          <w:noProof/>
          <w:sz w:val="22"/>
        </w:rPr>
        <w:t xml:space="preserve"> </w:t>
      </w:r>
      <w:r w:rsidRPr="001C299D">
        <w:rPr>
          <w:b/>
          <w:bCs/>
          <w:noProof/>
          <w:sz w:val="22"/>
        </w:rPr>
        <w:t>5,</w:t>
      </w:r>
      <w:r w:rsidRPr="001C299D">
        <w:rPr>
          <w:noProof/>
          <w:sz w:val="22"/>
        </w:rPr>
        <w:t xml:space="preserve"> 13–30 (2014).</w:t>
      </w:r>
    </w:p>
    <w:p w14:paraId="14DAFA5D"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70.</w:t>
      </w:r>
      <w:r w:rsidRPr="001C299D">
        <w:rPr>
          <w:noProof/>
          <w:sz w:val="22"/>
        </w:rPr>
        <w:tab/>
        <w:t xml:space="preserve">Polanczyk, G. V., Willcutt, E. G., Salum, G. A., Kieling, C. &amp; Rohde, L. A. ADHD prevalence estimates across three decades: An updated systematic review and meta-regression analysis. </w:t>
      </w:r>
      <w:r w:rsidRPr="001C299D">
        <w:rPr>
          <w:i/>
          <w:iCs/>
          <w:noProof/>
          <w:sz w:val="22"/>
        </w:rPr>
        <w:t>Int. J. Epidemiol.</w:t>
      </w:r>
      <w:r w:rsidRPr="001C299D">
        <w:rPr>
          <w:noProof/>
          <w:sz w:val="22"/>
        </w:rPr>
        <w:t xml:space="preserve"> </w:t>
      </w:r>
      <w:r w:rsidRPr="001C299D">
        <w:rPr>
          <w:b/>
          <w:bCs/>
          <w:noProof/>
          <w:sz w:val="22"/>
        </w:rPr>
        <w:t>43,</w:t>
      </w:r>
      <w:r w:rsidRPr="001C299D">
        <w:rPr>
          <w:noProof/>
          <w:sz w:val="22"/>
        </w:rPr>
        <w:t xml:space="preserve"> 434–442 (2014).</w:t>
      </w:r>
    </w:p>
    <w:p w14:paraId="2FC37689"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71.</w:t>
      </w:r>
      <w:r w:rsidRPr="001C299D">
        <w:rPr>
          <w:noProof/>
          <w:sz w:val="22"/>
        </w:rPr>
        <w:tab/>
        <w:t xml:space="preserve">Spady, D. W., Saunders, D. L., Schopflocher, D. P. &amp; Svenson, L. W. Patterns of injury in children: a population-based approach. </w:t>
      </w:r>
      <w:r w:rsidRPr="001C299D">
        <w:rPr>
          <w:i/>
          <w:iCs/>
          <w:noProof/>
          <w:sz w:val="22"/>
        </w:rPr>
        <w:t>Pediatrics</w:t>
      </w:r>
      <w:r w:rsidRPr="001C299D">
        <w:rPr>
          <w:noProof/>
          <w:sz w:val="22"/>
        </w:rPr>
        <w:t xml:space="preserve"> </w:t>
      </w:r>
      <w:r w:rsidRPr="001C299D">
        <w:rPr>
          <w:b/>
          <w:bCs/>
          <w:noProof/>
          <w:sz w:val="22"/>
        </w:rPr>
        <w:t>113,</w:t>
      </w:r>
      <w:r w:rsidRPr="001C299D">
        <w:rPr>
          <w:noProof/>
          <w:sz w:val="22"/>
        </w:rPr>
        <w:t xml:space="preserve"> 522–9 (2004).</w:t>
      </w:r>
    </w:p>
    <w:p w14:paraId="78A73ACF" w14:textId="77777777" w:rsidR="001C299D" w:rsidRPr="001C299D" w:rsidRDefault="001C299D" w:rsidP="001C299D">
      <w:pPr>
        <w:widowControl w:val="0"/>
        <w:autoSpaceDE w:val="0"/>
        <w:autoSpaceDN w:val="0"/>
        <w:adjustRightInd w:val="0"/>
        <w:spacing w:after="160" w:line="240" w:lineRule="auto"/>
        <w:ind w:left="640" w:hanging="640"/>
        <w:rPr>
          <w:noProof/>
          <w:sz w:val="22"/>
        </w:rPr>
      </w:pPr>
      <w:r w:rsidRPr="001C299D">
        <w:rPr>
          <w:noProof/>
          <w:sz w:val="22"/>
        </w:rPr>
        <w:t>72.</w:t>
      </w:r>
      <w:r w:rsidRPr="001C299D">
        <w:rPr>
          <w:noProof/>
          <w:sz w:val="22"/>
        </w:rPr>
        <w:tab/>
        <w:t xml:space="preserve">Fingerhut, L. A. &amp; Warner, M. The ICD-10 injury mortality diagnosis matrix. </w:t>
      </w:r>
      <w:r w:rsidRPr="001C299D">
        <w:rPr>
          <w:i/>
          <w:iCs/>
          <w:noProof/>
          <w:sz w:val="22"/>
        </w:rPr>
        <w:t>Inj. Prev.</w:t>
      </w:r>
      <w:r w:rsidRPr="001C299D">
        <w:rPr>
          <w:noProof/>
          <w:sz w:val="22"/>
        </w:rPr>
        <w:t xml:space="preserve"> </w:t>
      </w:r>
      <w:r w:rsidRPr="001C299D">
        <w:rPr>
          <w:b/>
          <w:bCs/>
          <w:noProof/>
          <w:sz w:val="22"/>
        </w:rPr>
        <w:t>12,</w:t>
      </w:r>
      <w:r w:rsidRPr="001C299D">
        <w:rPr>
          <w:noProof/>
          <w:sz w:val="22"/>
        </w:rPr>
        <w:t xml:space="preserve"> 24–9 (2006).</w:t>
      </w:r>
    </w:p>
    <w:p w14:paraId="3FA6C964" w14:textId="0C9F5EFD" w:rsidR="009D7E78" w:rsidRPr="00C862ED" w:rsidRDefault="00E03B13" w:rsidP="001C299D">
      <w:pPr>
        <w:widowControl w:val="0"/>
        <w:autoSpaceDE w:val="0"/>
        <w:autoSpaceDN w:val="0"/>
        <w:adjustRightInd w:val="0"/>
        <w:spacing w:after="160" w:line="240" w:lineRule="auto"/>
        <w:ind w:left="640" w:hanging="640"/>
        <w:rPr>
          <w:sz w:val="22"/>
          <w:szCs w:val="22"/>
        </w:rPr>
      </w:pPr>
      <w:r w:rsidRPr="00137592">
        <w:rPr>
          <w:sz w:val="22"/>
          <w:szCs w:val="22"/>
        </w:rPr>
        <w:fldChar w:fldCharType="end"/>
      </w:r>
    </w:p>
    <w:p w14:paraId="7C88CFC6" w14:textId="77777777" w:rsidR="009D7E78" w:rsidRPr="00C862ED" w:rsidRDefault="009D7E78">
      <w:pPr>
        <w:spacing w:after="160" w:line="259" w:lineRule="auto"/>
        <w:rPr>
          <w:sz w:val="22"/>
          <w:szCs w:val="22"/>
        </w:rPr>
      </w:pPr>
      <w:r w:rsidRPr="00C862ED">
        <w:rPr>
          <w:sz w:val="22"/>
          <w:szCs w:val="22"/>
        </w:rPr>
        <w:br w:type="page"/>
      </w:r>
    </w:p>
    <w:p w14:paraId="2797E5F4" w14:textId="77777777" w:rsidR="004C6904" w:rsidRPr="00C862ED" w:rsidRDefault="004C6904" w:rsidP="004C6904">
      <w:pPr>
        <w:spacing w:after="160" w:line="360" w:lineRule="auto"/>
        <w:rPr>
          <w:rStyle w:val="Textoennegrita"/>
          <w:sz w:val="28"/>
          <w:szCs w:val="28"/>
        </w:rPr>
      </w:pPr>
      <w:r w:rsidRPr="00C862ED">
        <w:rPr>
          <w:rStyle w:val="Textoennegrita"/>
          <w:sz w:val="28"/>
          <w:szCs w:val="28"/>
        </w:rPr>
        <w:lastRenderedPageBreak/>
        <w:t>Supplementary information</w:t>
      </w:r>
    </w:p>
    <w:p w14:paraId="095D8169" w14:textId="77777777" w:rsidR="004C6904" w:rsidRPr="00C862ED" w:rsidRDefault="004C6904" w:rsidP="004C6904">
      <w:pPr>
        <w:spacing w:after="160" w:line="360" w:lineRule="auto"/>
        <w:rPr>
          <w:rStyle w:val="Textoennegrita"/>
          <w:b w:val="0"/>
        </w:rPr>
      </w:pPr>
      <w:r w:rsidRPr="00C862ED">
        <w:rPr>
          <w:rStyle w:val="Textoennegrita"/>
          <w:b w:val="0"/>
        </w:rPr>
        <w:t xml:space="preserve">Supplementary information accompanies this paper as supplementary online material. </w:t>
      </w:r>
    </w:p>
    <w:p w14:paraId="633A3C5C" w14:textId="77777777" w:rsidR="006603B3" w:rsidRPr="00C862ED" w:rsidRDefault="006603B3" w:rsidP="004C6904">
      <w:pPr>
        <w:spacing w:after="160" w:line="360" w:lineRule="auto"/>
        <w:rPr>
          <w:rStyle w:val="Textoennegrita"/>
          <w:b w:val="0"/>
        </w:rPr>
      </w:pPr>
    </w:p>
    <w:p w14:paraId="4C2A7D7F" w14:textId="77777777" w:rsidR="004C6904" w:rsidRPr="00C862ED" w:rsidRDefault="004C6904" w:rsidP="004C6904">
      <w:pPr>
        <w:spacing w:after="160" w:line="360" w:lineRule="auto"/>
        <w:rPr>
          <w:rStyle w:val="Textoennegrita"/>
          <w:sz w:val="28"/>
          <w:szCs w:val="28"/>
        </w:rPr>
      </w:pPr>
      <w:r w:rsidRPr="00C862ED">
        <w:rPr>
          <w:rStyle w:val="Textoennegrita"/>
          <w:sz w:val="28"/>
          <w:szCs w:val="28"/>
        </w:rPr>
        <w:t>Acknowledgements</w:t>
      </w:r>
    </w:p>
    <w:p w14:paraId="151D5671" w14:textId="77777777" w:rsidR="004C6904" w:rsidRPr="00C862ED" w:rsidRDefault="004C6904" w:rsidP="004C6904">
      <w:pPr>
        <w:spacing w:after="160" w:line="360" w:lineRule="auto"/>
        <w:rPr>
          <w:rStyle w:val="Textoennegrita"/>
          <w:b w:val="0"/>
        </w:rPr>
      </w:pPr>
      <w:r w:rsidRPr="00C862ED">
        <w:rPr>
          <w:rStyle w:val="Textoennegrita"/>
          <w:b w:val="0"/>
        </w:rPr>
        <w:t xml:space="preserve">We thank Elisabeth Mertz and Alessandra </w:t>
      </w:r>
      <w:proofErr w:type="spellStart"/>
      <w:r w:rsidRPr="00C862ED">
        <w:rPr>
          <w:rStyle w:val="Textoennegrita"/>
          <w:b w:val="0"/>
        </w:rPr>
        <w:t>Sambuceti</w:t>
      </w:r>
      <w:proofErr w:type="spellEnd"/>
      <w:r w:rsidRPr="00C862ED">
        <w:rPr>
          <w:rStyle w:val="Textoennegrita"/>
          <w:b w:val="0"/>
        </w:rPr>
        <w:t xml:space="preserve"> for their help as intern </w:t>
      </w:r>
      <w:proofErr w:type="gramStart"/>
      <w:r w:rsidRPr="00C862ED">
        <w:rPr>
          <w:rStyle w:val="Textoennegrita"/>
          <w:b w:val="0"/>
        </w:rPr>
        <w:t>students</w:t>
      </w:r>
      <w:proofErr w:type="gramEnd"/>
      <w:r w:rsidRPr="00C862ED">
        <w:rPr>
          <w:rStyle w:val="Textoennegrita"/>
          <w:b w:val="0"/>
        </w:rPr>
        <w:t xml:space="preserve"> proof-reading the article. </w:t>
      </w:r>
    </w:p>
    <w:p w14:paraId="2189F6B5" w14:textId="77777777" w:rsidR="006603B3" w:rsidRPr="00C862ED" w:rsidRDefault="006603B3" w:rsidP="004C6904">
      <w:pPr>
        <w:spacing w:after="160" w:line="360" w:lineRule="auto"/>
        <w:rPr>
          <w:rStyle w:val="Textoennegrita"/>
          <w:b w:val="0"/>
        </w:rPr>
      </w:pPr>
    </w:p>
    <w:p w14:paraId="44CA466F" w14:textId="77777777" w:rsidR="006603B3" w:rsidRPr="00C862ED" w:rsidRDefault="006603B3" w:rsidP="006603B3">
      <w:pPr>
        <w:spacing w:after="160" w:line="360" w:lineRule="auto"/>
        <w:rPr>
          <w:rStyle w:val="Textoennegrita"/>
          <w:sz w:val="28"/>
          <w:szCs w:val="28"/>
        </w:rPr>
      </w:pPr>
      <w:r w:rsidRPr="00C862ED">
        <w:rPr>
          <w:rStyle w:val="Textoennegrita"/>
          <w:sz w:val="28"/>
          <w:szCs w:val="28"/>
        </w:rPr>
        <w:t>Funding</w:t>
      </w:r>
    </w:p>
    <w:p w14:paraId="1EFCF182" w14:textId="2ECA2857" w:rsidR="006603B3" w:rsidRPr="00C862ED" w:rsidRDefault="006603B3" w:rsidP="006603B3">
      <w:pPr>
        <w:spacing w:after="160" w:line="360" w:lineRule="auto"/>
        <w:rPr>
          <w:rStyle w:val="Textoennegrita"/>
          <w:b w:val="0"/>
        </w:rPr>
      </w:pPr>
      <w:r w:rsidRPr="00C862ED">
        <w:rPr>
          <w:rStyle w:val="Textoennegrita"/>
          <w:b w:val="0"/>
        </w:rPr>
        <w:t>This research was supported by the 2016 research program of the Health department of the Government of Navarre (grant number 89/2016), Spain. This program was 50% co-ﬁnanced by the operational program of the European Regional Development Fund (ERDF) 2014–2020 of Navarre.</w:t>
      </w:r>
    </w:p>
    <w:p w14:paraId="68C9D241" w14:textId="77777777" w:rsidR="006603B3" w:rsidRPr="00C862ED" w:rsidRDefault="006603B3" w:rsidP="006603B3">
      <w:pPr>
        <w:spacing w:after="160" w:line="360" w:lineRule="auto"/>
        <w:rPr>
          <w:rStyle w:val="Textoennegrita"/>
          <w:b w:val="0"/>
        </w:rPr>
      </w:pPr>
    </w:p>
    <w:p w14:paraId="2193F323" w14:textId="77777777" w:rsidR="006603B3" w:rsidRPr="00C862ED" w:rsidRDefault="006603B3" w:rsidP="006603B3">
      <w:pPr>
        <w:spacing w:after="160" w:line="360" w:lineRule="auto"/>
        <w:rPr>
          <w:rStyle w:val="Textoennegrita"/>
          <w:sz w:val="28"/>
          <w:szCs w:val="28"/>
        </w:rPr>
      </w:pPr>
      <w:r w:rsidRPr="00C862ED">
        <w:rPr>
          <w:rStyle w:val="Textoennegrita"/>
          <w:sz w:val="28"/>
          <w:szCs w:val="28"/>
        </w:rPr>
        <w:t>Role of funder/Sponsor</w:t>
      </w:r>
    </w:p>
    <w:p w14:paraId="43E3524B" w14:textId="77777777" w:rsidR="006603B3" w:rsidRPr="00C862ED" w:rsidRDefault="006603B3" w:rsidP="006603B3">
      <w:pPr>
        <w:spacing w:after="160" w:line="360" w:lineRule="auto"/>
        <w:rPr>
          <w:rStyle w:val="Textoennegrita"/>
          <w:b w:val="0"/>
        </w:rPr>
      </w:pPr>
      <w:r w:rsidRPr="00C862ED">
        <w:rPr>
          <w:rStyle w:val="Textoennegrita"/>
          <w:b w:val="0"/>
        </w:rPr>
        <w:t>The University of Navarra, provided database and bibliographic access, and licenses for proprietary programs (Mendeley institutional and STATA). The sponsor of this review was the Child and Adolescent Psychiatry Unit, Department of Psychiatry and Medical Psychology, University of Navarra Clinic, which has the ﬁnal responsibility over the Study.</w:t>
      </w:r>
    </w:p>
    <w:p w14:paraId="02D8D327" w14:textId="77777777" w:rsidR="006603B3" w:rsidRPr="00C862ED" w:rsidRDefault="006603B3" w:rsidP="006603B3">
      <w:pPr>
        <w:spacing w:after="160" w:line="360" w:lineRule="auto"/>
        <w:rPr>
          <w:rStyle w:val="Textoennegrita"/>
          <w:b w:val="0"/>
        </w:rPr>
      </w:pPr>
    </w:p>
    <w:p w14:paraId="532932B8" w14:textId="77777777" w:rsidR="006603B3" w:rsidRPr="00C862ED" w:rsidRDefault="006603B3" w:rsidP="006603B3">
      <w:pPr>
        <w:spacing w:after="160" w:line="360" w:lineRule="auto"/>
        <w:rPr>
          <w:rStyle w:val="Textoennegrita"/>
          <w:sz w:val="28"/>
          <w:szCs w:val="28"/>
        </w:rPr>
      </w:pPr>
      <w:r w:rsidRPr="00C862ED">
        <w:rPr>
          <w:rStyle w:val="Textoennegrita"/>
          <w:sz w:val="28"/>
          <w:szCs w:val="28"/>
        </w:rPr>
        <w:t>Data statement</w:t>
      </w:r>
    </w:p>
    <w:p w14:paraId="6E8B957C" w14:textId="77777777" w:rsidR="006603B3" w:rsidRPr="00C862ED" w:rsidRDefault="006603B3" w:rsidP="006603B3">
      <w:pPr>
        <w:spacing w:after="160" w:line="360" w:lineRule="auto"/>
        <w:rPr>
          <w:rStyle w:val="Textoennegrita"/>
          <w:b w:val="0"/>
        </w:rPr>
      </w:pPr>
      <w:r w:rsidRPr="00C862ED">
        <w:rPr>
          <w:rStyle w:val="Textoennegrita"/>
          <w:b w:val="0"/>
        </w:rPr>
        <w:t>All data used in the preparation of the systematic review and meta-analysis is available upon request.</w:t>
      </w:r>
    </w:p>
    <w:p w14:paraId="7BF2A251" w14:textId="77777777" w:rsidR="004C6904" w:rsidRPr="00C862ED" w:rsidRDefault="004C6904" w:rsidP="004C6904">
      <w:pPr>
        <w:spacing w:after="160" w:line="360" w:lineRule="auto"/>
        <w:rPr>
          <w:rStyle w:val="Textoennegrita"/>
          <w:b w:val="0"/>
        </w:rPr>
      </w:pPr>
    </w:p>
    <w:p w14:paraId="2649E966" w14:textId="77777777" w:rsidR="004C6904" w:rsidRPr="00C862ED" w:rsidRDefault="004C6904" w:rsidP="004C6904">
      <w:pPr>
        <w:spacing w:after="160" w:line="360" w:lineRule="auto"/>
        <w:rPr>
          <w:rStyle w:val="Textoennegrita"/>
          <w:sz w:val="28"/>
          <w:szCs w:val="28"/>
        </w:rPr>
      </w:pPr>
      <w:r w:rsidRPr="00C862ED">
        <w:rPr>
          <w:rStyle w:val="Textoennegrita"/>
          <w:sz w:val="28"/>
          <w:szCs w:val="28"/>
        </w:rPr>
        <w:t>Author’s contributions</w:t>
      </w:r>
    </w:p>
    <w:p w14:paraId="7C8BBE26" w14:textId="77777777" w:rsidR="004C6904" w:rsidRPr="00C862ED" w:rsidRDefault="006603B3" w:rsidP="004C6904">
      <w:pPr>
        <w:spacing w:after="160" w:line="360" w:lineRule="auto"/>
        <w:rPr>
          <w:rStyle w:val="Textoennegrita"/>
          <w:b w:val="0"/>
        </w:rPr>
      </w:pPr>
      <w:r w:rsidRPr="00C862ED">
        <w:rPr>
          <w:rStyle w:val="Textoennegrita"/>
          <w:b w:val="0"/>
        </w:rPr>
        <w:lastRenderedPageBreak/>
        <w:t>M. R-</w:t>
      </w:r>
      <w:r w:rsidR="004C6904" w:rsidRPr="00C862ED">
        <w:rPr>
          <w:rStyle w:val="Textoennegrita"/>
          <w:b w:val="0"/>
        </w:rPr>
        <w:t xml:space="preserve">G. </w:t>
      </w:r>
      <w:proofErr w:type="gramStart"/>
      <w:r w:rsidRPr="00C862ED">
        <w:rPr>
          <w:rStyle w:val="Textoennegrita"/>
          <w:b w:val="0"/>
        </w:rPr>
        <w:t>and</w:t>
      </w:r>
      <w:proofErr w:type="gramEnd"/>
      <w:r w:rsidRPr="00C862ED">
        <w:rPr>
          <w:rStyle w:val="Textoennegrita"/>
          <w:b w:val="0"/>
        </w:rPr>
        <w:t xml:space="preserve"> G. </w:t>
      </w:r>
      <w:r w:rsidR="004C6904" w:rsidRPr="00C862ED">
        <w:rPr>
          <w:rStyle w:val="Textoennegrita"/>
          <w:b w:val="0"/>
        </w:rPr>
        <w:t>A. contributed equally to this</w:t>
      </w:r>
      <w:r w:rsidR="004C6904" w:rsidRPr="00C862ED">
        <w:rPr>
          <w:b/>
        </w:rPr>
        <w:t xml:space="preserve"> </w:t>
      </w:r>
      <w:r w:rsidR="004C6904" w:rsidRPr="00C862ED">
        <w:t xml:space="preserve">work. </w:t>
      </w:r>
      <w:r w:rsidRPr="00C862ED">
        <w:rPr>
          <w:rStyle w:val="Textoennegrita"/>
          <w:b w:val="0"/>
        </w:rPr>
        <w:t xml:space="preserve">M. R-G. </w:t>
      </w:r>
      <w:proofErr w:type="gramStart"/>
      <w:r w:rsidRPr="00C862ED">
        <w:rPr>
          <w:rStyle w:val="Textoennegrita"/>
          <w:b w:val="0"/>
        </w:rPr>
        <w:t>and</w:t>
      </w:r>
      <w:proofErr w:type="gramEnd"/>
      <w:r w:rsidRPr="00C862ED">
        <w:rPr>
          <w:rStyle w:val="Textoennegrita"/>
          <w:b w:val="0"/>
        </w:rPr>
        <w:t xml:space="preserve"> G. </w:t>
      </w:r>
      <w:r w:rsidR="004C6904" w:rsidRPr="00C862ED">
        <w:rPr>
          <w:rStyle w:val="Textoennegrita"/>
          <w:b w:val="0"/>
        </w:rPr>
        <w:t>A. had full access to all the data in the study and take responsibility for the integrity of the data and the accuracy of the data analysis. Study concept and design: M. R</w:t>
      </w:r>
      <w:r w:rsidRPr="00C862ED">
        <w:rPr>
          <w:rStyle w:val="Textoennegrita"/>
          <w:b w:val="0"/>
        </w:rPr>
        <w:t>-</w:t>
      </w:r>
      <w:r w:rsidR="004C6904" w:rsidRPr="00C862ED">
        <w:rPr>
          <w:rStyle w:val="Textoennegrita"/>
          <w:b w:val="0"/>
        </w:rPr>
        <w:t>G., S. C. and G. A. Acquisition, analysis, or interpretation of data: All authors. Drafting</w:t>
      </w:r>
      <w:r w:rsidRPr="00C862ED">
        <w:rPr>
          <w:rStyle w:val="Textoennegrita"/>
          <w:b w:val="0"/>
        </w:rPr>
        <w:t xml:space="preserve"> of the manuscript: M. </w:t>
      </w:r>
      <w:r w:rsidR="004C6904" w:rsidRPr="00C862ED">
        <w:rPr>
          <w:rStyle w:val="Textoennegrita"/>
          <w:b w:val="0"/>
        </w:rPr>
        <w:t>R</w:t>
      </w:r>
      <w:r w:rsidRPr="00C862ED">
        <w:rPr>
          <w:rStyle w:val="Textoennegrita"/>
          <w:b w:val="0"/>
        </w:rPr>
        <w:t>-</w:t>
      </w:r>
      <w:r w:rsidR="004C6904" w:rsidRPr="00C862ED">
        <w:rPr>
          <w:rStyle w:val="Textoennegrita"/>
          <w:b w:val="0"/>
        </w:rPr>
        <w:t>G., S.</w:t>
      </w:r>
      <w:r w:rsidRPr="00C862ED">
        <w:rPr>
          <w:rStyle w:val="Textoennegrita"/>
          <w:b w:val="0"/>
        </w:rPr>
        <w:t xml:space="preserve"> </w:t>
      </w:r>
      <w:r w:rsidR="004C6904" w:rsidRPr="00C862ED">
        <w:rPr>
          <w:rStyle w:val="Textoennegrita"/>
          <w:b w:val="0"/>
        </w:rPr>
        <w:t xml:space="preserve">C., </w:t>
      </w:r>
      <w:proofErr w:type="gramStart"/>
      <w:r w:rsidR="004C6904" w:rsidRPr="00C862ED">
        <w:rPr>
          <w:rStyle w:val="Textoennegrita"/>
          <w:b w:val="0"/>
        </w:rPr>
        <w:t>S</w:t>
      </w:r>
      <w:proofErr w:type="gramEnd"/>
      <w:r w:rsidR="004C6904" w:rsidRPr="00C862ED">
        <w:rPr>
          <w:rStyle w:val="Textoennegrita"/>
          <w:b w:val="0"/>
        </w:rPr>
        <w:t>.</w:t>
      </w:r>
      <w:r w:rsidRPr="00C862ED">
        <w:rPr>
          <w:rStyle w:val="Textoennegrita"/>
          <w:b w:val="0"/>
        </w:rPr>
        <w:t xml:space="preserve"> </w:t>
      </w:r>
      <w:r w:rsidR="004C6904" w:rsidRPr="00C862ED">
        <w:rPr>
          <w:rStyle w:val="Textoennegrita"/>
          <w:b w:val="0"/>
        </w:rPr>
        <w:t>M, C.</w:t>
      </w:r>
      <w:r w:rsidRPr="00C862ED">
        <w:rPr>
          <w:rStyle w:val="Textoennegrita"/>
          <w:b w:val="0"/>
        </w:rPr>
        <w:t xml:space="preserve"> </w:t>
      </w:r>
      <w:r w:rsidR="004C6904" w:rsidRPr="00C862ED">
        <w:rPr>
          <w:rStyle w:val="Textoennegrita"/>
          <w:b w:val="0"/>
        </w:rPr>
        <w:t>S. G. A. Critical revision of the manuscript for important intellectual content: All authors. Statistical analysis: M. A</w:t>
      </w:r>
      <w:r w:rsidRPr="00C862ED">
        <w:rPr>
          <w:rStyle w:val="Textoennegrita"/>
          <w:b w:val="0"/>
        </w:rPr>
        <w:t>-</w:t>
      </w:r>
      <w:r w:rsidR="004C6904" w:rsidRPr="00C862ED">
        <w:rPr>
          <w:rStyle w:val="Textoennegrita"/>
          <w:b w:val="0"/>
        </w:rPr>
        <w:t xml:space="preserve">S. </w:t>
      </w:r>
      <w:proofErr w:type="gramStart"/>
      <w:r w:rsidR="004C6904" w:rsidRPr="00C862ED">
        <w:rPr>
          <w:rStyle w:val="Textoennegrita"/>
          <w:b w:val="0"/>
        </w:rPr>
        <w:t>and</w:t>
      </w:r>
      <w:proofErr w:type="gramEnd"/>
      <w:r w:rsidR="004C6904" w:rsidRPr="00C862ED">
        <w:rPr>
          <w:rStyle w:val="Textoennegrita"/>
          <w:b w:val="0"/>
        </w:rPr>
        <w:t xml:space="preserve"> G. A.</w:t>
      </w:r>
      <w:r w:rsidR="004C6904" w:rsidRPr="00C862ED">
        <w:rPr>
          <w:rStyle w:val="Textoennegrita"/>
          <w:b w:val="0"/>
          <w:bCs w:val="0"/>
        </w:rPr>
        <w:t xml:space="preserve"> </w:t>
      </w:r>
      <w:r w:rsidR="004C6904" w:rsidRPr="00C862ED">
        <w:rPr>
          <w:rStyle w:val="Textoennegrita"/>
          <w:b w:val="0"/>
        </w:rPr>
        <w:t>Obtained funding: All authors. Administrative, technical, or material support: C. S. and G A. Study Supervision: S. C., C. S. and G. A.</w:t>
      </w:r>
    </w:p>
    <w:p w14:paraId="180ABEAE" w14:textId="77777777" w:rsidR="004C6904" w:rsidRPr="00C862ED" w:rsidRDefault="004C6904" w:rsidP="004C6904">
      <w:pPr>
        <w:spacing w:after="160" w:line="360" w:lineRule="auto"/>
        <w:rPr>
          <w:rStyle w:val="Textoennegrita"/>
          <w:b w:val="0"/>
          <w:bCs w:val="0"/>
        </w:rPr>
      </w:pPr>
    </w:p>
    <w:p w14:paraId="6F41CAE3" w14:textId="1DB643ED" w:rsidR="004C6904" w:rsidRPr="00C862ED" w:rsidRDefault="004C6904" w:rsidP="004C6904">
      <w:pPr>
        <w:spacing w:after="160" w:line="360" w:lineRule="auto"/>
        <w:rPr>
          <w:rStyle w:val="Textoennegrita"/>
          <w:sz w:val="28"/>
          <w:szCs w:val="28"/>
        </w:rPr>
      </w:pPr>
      <w:r w:rsidRPr="00C862ED">
        <w:rPr>
          <w:rStyle w:val="Textoennegrita"/>
          <w:sz w:val="28"/>
          <w:szCs w:val="28"/>
        </w:rPr>
        <w:t>Competing interests</w:t>
      </w:r>
    </w:p>
    <w:p w14:paraId="4A1150B6" w14:textId="77DF4C9C" w:rsidR="004C6904" w:rsidRDefault="004C6904" w:rsidP="004C6904">
      <w:pPr>
        <w:spacing w:after="160" w:line="360" w:lineRule="auto"/>
        <w:rPr>
          <w:rStyle w:val="Textoennegrita"/>
          <w:b w:val="0"/>
        </w:rPr>
      </w:pPr>
      <w:r w:rsidRPr="00C862ED">
        <w:rPr>
          <w:rStyle w:val="Textoennegrita"/>
          <w:b w:val="0"/>
        </w:rPr>
        <w:t xml:space="preserve">S. </w:t>
      </w:r>
      <w:proofErr w:type="spellStart"/>
      <w:r w:rsidRPr="00C862ED">
        <w:rPr>
          <w:rStyle w:val="Textoennegrita"/>
          <w:b w:val="0"/>
        </w:rPr>
        <w:t>Cortese</w:t>
      </w:r>
      <w:proofErr w:type="spellEnd"/>
      <w:r w:rsidRPr="00C862ED">
        <w:rPr>
          <w:rStyle w:val="Textoennegrita"/>
          <w:b w:val="0"/>
        </w:rPr>
        <w:t xml:space="preserve"> has received grant/research support from the </w:t>
      </w:r>
      <w:proofErr w:type="spellStart"/>
      <w:r w:rsidRPr="00C862ED">
        <w:rPr>
          <w:rStyle w:val="Textoennegrita"/>
          <w:b w:val="0"/>
        </w:rPr>
        <w:t>Solent</w:t>
      </w:r>
      <w:proofErr w:type="spellEnd"/>
      <w:r w:rsidRPr="00C862ED">
        <w:rPr>
          <w:rStyle w:val="Textoennegrita"/>
          <w:b w:val="0"/>
        </w:rPr>
        <w:t xml:space="preserve"> National Health Service (NHS) Trust, UK. He has received honorarium and travel expenses from the Association for Child and Adolescent Mental Health (ACAMH), a non-profit organization providing educational activities on child psychopathology. P. de Castro-</w:t>
      </w:r>
      <w:proofErr w:type="spellStart"/>
      <w:r w:rsidRPr="00C862ED">
        <w:rPr>
          <w:rStyle w:val="Textoennegrita"/>
          <w:b w:val="0"/>
        </w:rPr>
        <w:t>Manglano</w:t>
      </w:r>
      <w:proofErr w:type="spellEnd"/>
      <w:r w:rsidRPr="00C862ED">
        <w:rPr>
          <w:rStyle w:val="Textoennegrita"/>
          <w:b w:val="0"/>
        </w:rPr>
        <w:t xml:space="preserve"> has received research funds for his department from </w:t>
      </w:r>
      <w:proofErr w:type="spellStart"/>
      <w:r w:rsidRPr="00C862ED">
        <w:rPr>
          <w:rStyle w:val="Textoennegrita"/>
          <w:b w:val="0"/>
        </w:rPr>
        <w:t>Caja</w:t>
      </w:r>
      <w:proofErr w:type="spellEnd"/>
      <w:r w:rsidRPr="00C862ED">
        <w:rPr>
          <w:rStyle w:val="Textoennegrita"/>
          <w:b w:val="0"/>
        </w:rPr>
        <w:t xml:space="preserve"> Navarra Foundation and Shire and she has served as Consultant for the Alicia </w:t>
      </w:r>
      <w:proofErr w:type="spellStart"/>
      <w:r w:rsidRPr="00C862ED">
        <w:rPr>
          <w:rStyle w:val="Textoennegrita"/>
          <w:b w:val="0"/>
        </w:rPr>
        <w:t>Koplowitz</w:t>
      </w:r>
      <w:proofErr w:type="spellEnd"/>
      <w:r w:rsidRPr="00C862ED">
        <w:rPr>
          <w:rStyle w:val="Textoennegrita"/>
          <w:b w:val="0"/>
        </w:rPr>
        <w:t xml:space="preserve"> Foundation. C.</w:t>
      </w:r>
      <w:r w:rsidR="00AF6770" w:rsidRPr="00C862ED">
        <w:rPr>
          <w:rStyle w:val="Textoennegrita"/>
          <w:b w:val="0"/>
        </w:rPr>
        <w:t xml:space="preserve"> </w:t>
      </w:r>
      <w:proofErr w:type="spellStart"/>
      <w:r w:rsidRPr="00C862ED">
        <w:rPr>
          <w:rStyle w:val="Textoennegrita"/>
          <w:b w:val="0"/>
        </w:rPr>
        <w:t>Soutullo</w:t>
      </w:r>
      <w:proofErr w:type="spellEnd"/>
      <w:r w:rsidR="006603B3" w:rsidRPr="00C862ED">
        <w:rPr>
          <w:rStyle w:val="Textoennegrita"/>
          <w:b w:val="0"/>
        </w:rPr>
        <w:t xml:space="preserve"> </w:t>
      </w:r>
      <w:r w:rsidRPr="00C862ED">
        <w:rPr>
          <w:rStyle w:val="Textoennegrita"/>
          <w:b w:val="0"/>
        </w:rPr>
        <w:t>has received compensation for serving as consultant or speaker or the University of Navarra has received research support or royalties</w:t>
      </w:r>
      <w:r w:rsidR="006603B3" w:rsidRPr="00C862ED">
        <w:rPr>
          <w:rStyle w:val="Textoennegrita"/>
          <w:b w:val="0"/>
        </w:rPr>
        <w:t xml:space="preserve"> due to C </w:t>
      </w:r>
      <w:proofErr w:type="spellStart"/>
      <w:r w:rsidR="006603B3" w:rsidRPr="00C862ED">
        <w:rPr>
          <w:rStyle w:val="Textoennegrita"/>
          <w:b w:val="0"/>
        </w:rPr>
        <w:t>Soutullo’s</w:t>
      </w:r>
      <w:proofErr w:type="spellEnd"/>
      <w:r w:rsidR="006603B3" w:rsidRPr="00C862ED">
        <w:rPr>
          <w:rStyle w:val="Textoennegrita"/>
          <w:b w:val="0"/>
        </w:rPr>
        <w:t xml:space="preserve"> activities,</w:t>
      </w:r>
      <w:r w:rsidRPr="00C862ED">
        <w:rPr>
          <w:rStyle w:val="Textoennegrita"/>
          <w:b w:val="0"/>
        </w:rPr>
        <w:t xml:space="preserve"> from the following companies or organizations: Alicia </w:t>
      </w:r>
      <w:proofErr w:type="spellStart"/>
      <w:r w:rsidRPr="00C862ED">
        <w:rPr>
          <w:rStyle w:val="Textoennegrita"/>
          <w:b w:val="0"/>
        </w:rPr>
        <w:t>Koplowitz</w:t>
      </w:r>
      <w:proofErr w:type="spellEnd"/>
      <w:r w:rsidRPr="00C862ED">
        <w:rPr>
          <w:rStyle w:val="Textoennegrita"/>
          <w:b w:val="0"/>
        </w:rPr>
        <w:t xml:space="preserve"> Foundation, DOYMA, Editorial </w:t>
      </w:r>
      <w:proofErr w:type="spellStart"/>
      <w:r w:rsidRPr="00C862ED">
        <w:rPr>
          <w:rStyle w:val="Textoennegrita"/>
          <w:b w:val="0"/>
        </w:rPr>
        <w:t>Médica</w:t>
      </w:r>
      <w:proofErr w:type="spellEnd"/>
      <w:r w:rsidRPr="00C862ED">
        <w:rPr>
          <w:rStyle w:val="Textoennegrita"/>
          <w:b w:val="0"/>
        </w:rPr>
        <w:t xml:space="preserve"> </w:t>
      </w:r>
      <w:proofErr w:type="spellStart"/>
      <w:r w:rsidRPr="00C862ED">
        <w:rPr>
          <w:rStyle w:val="Textoennegrita"/>
          <w:b w:val="0"/>
        </w:rPr>
        <w:t>Panamericana</w:t>
      </w:r>
      <w:proofErr w:type="spellEnd"/>
      <w:r w:rsidRPr="00C862ED">
        <w:rPr>
          <w:rStyle w:val="Textoennegrita"/>
          <w:b w:val="0"/>
        </w:rPr>
        <w:t xml:space="preserve">, Eli Lilly, EUNETHYDIS (European Network on Hyperkinetic Disorder), EUNSA, Janssen, </w:t>
      </w:r>
      <w:proofErr w:type="spellStart"/>
      <w:r w:rsidRPr="00C862ED">
        <w:rPr>
          <w:rStyle w:val="Textoennegrita"/>
          <w:b w:val="0"/>
        </w:rPr>
        <w:t>Lundbeck</w:t>
      </w:r>
      <w:proofErr w:type="spellEnd"/>
      <w:r w:rsidRPr="00C862ED">
        <w:rPr>
          <w:rStyle w:val="Textoennegrita"/>
          <w:b w:val="0"/>
        </w:rPr>
        <w:t xml:space="preserve">, Mayo </w:t>
      </w:r>
      <w:proofErr w:type="spellStart"/>
      <w:r w:rsidRPr="00C862ED">
        <w:rPr>
          <w:rStyle w:val="Textoennegrita"/>
          <w:b w:val="0"/>
        </w:rPr>
        <w:t>Ediciones</w:t>
      </w:r>
      <w:proofErr w:type="spellEnd"/>
      <w:r w:rsidRPr="00C862ED">
        <w:rPr>
          <w:rStyle w:val="Textoennegrita"/>
          <w:b w:val="0"/>
        </w:rPr>
        <w:t xml:space="preserve">, </w:t>
      </w:r>
      <w:proofErr w:type="spellStart"/>
      <w:r w:rsidRPr="00C862ED">
        <w:rPr>
          <w:rStyle w:val="Textoennegrita"/>
          <w:b w:val="0"/>
        </w:rPr>
        <w:t>Medice</w:t>
      </w:r>
      <w:proofErr w:type="spellEnd"/>
      <w:r w:rsidRPr="00C862ED">
        <w:rPr>
          <w:rStyle w:val="Textoennegrita"/>
          <w:b w:val="0"/>
        </w:rPr>
        <w:t xml:space="preserve"> Group, </w:t>
      </w:r>
      <w:proofErr w:type="spellStart"/>
      <w:r w:rsidRPr="00C862ED">
        <w:rPr>
          <w:rStyle w:val="Textoennegrita"/>
          <w:b w:val="0"/>
        </w:rPr>
        <w:t>NeuroTech</w:t>
      </w:r>
      <w:proofErr w:type="spellEnd"/>
      <w:r w:rsidRPr="00C862ED">
        <w:rPr>
          <w:rStyle w:val="Textoennegrita"/>
          <w:b w:val="0"/>
        </w:rPr>
        <w:t xml:space="preserve"> Solutions Ltd, Rubi</w:t>
      </w:r>
      <w:r w:rsidR="00DB152E">
        <w:rPr>
          <w:rStyle w:val="Textoennegrita"/>
          <w:b w:val="0"/>
        </w:rPr>
        <w:t>o</w:t>
      </w:r>
      <w:r w:rsidRPr="00C862ED">
        <w:rPr>
          <w:rStyle w:val="Textoennegrita"/>
          <w:b w:val="0"/>
        </w:rPr>
        <w:t xml:space="preserve">, Shire, Spanish Health Ministry Quality Plan (Clinical Practice Guidelines on TDAH and Clinical Practice Guidelines on Depression), TEVE, Universidad </w:t>
      </w:r>
      <w:proofErr w:type="spellStart"/>
      <w:r w:rsidRPr="00C862ED">
        <w:rPr>
          <w:rStyle w:val="Textoennegrita"/>
          <w:b w:val="0"/>
        </w:rPr>
        <w:t>Internacional</w:t>
      </w:r>
      <w:proofErr w:type="spellEnd"/>
      <w:r w:rsidRPr="00C862ED">
        <w:rPr>
          <w:rStyle w:val="Textoennegrita"/>
          <w:b w:val="0"/>
        </w:rPr>
        <w:t xml:space="preserve"> de La Rioja (UNIR) and Universidad </w:t>
      </w:r>
      <w:proofErr w:type="spellStart"/>
      <w:r w:rsidRPr="00C862ED">
        <w:rPr>
          <w:rStyle w:val="Textoennegrita"/>
          <w:b w:val="0"/>
        </w:rPr>
        <w:t>Internacional</w:t>
      </w:r>
      <w:proofErr w:type="spellEnd"/>
      <w:r w:rsidRPr="00C862ED">
        <w:rPr>
          <w:rStyle w:val="Textoennegrita"/>
          <w:b w:val="0"/>
        </w:rPr>
        <w:t xml:space="preserve"> Menéndez </w:t>
      </w:r>
      <w:proofErr w:type="spellStart"/>
      <w:r w:rsidRPr="00C862ED">
        <w:rPr>
          <w:rStyle w:val="Textoennegrita"/>
          <w:b w:val="0"/>
        </w:rPr>
        <w:t>Pelayo</w:t>
      </w:r>
      <w:proofErr w:type="spellEnd"/>
      <w:r w:rsidRPr="00C862ED">
        <w:rPr>
          <w:rStyle w:val="Textoennegrita"/>
          <w:b w:val="0"/>
        </w:rPr>
        <w:t>. All other authors do not have any conﬂicts of interest to disclose</w:t>
      </w:r>
      <w:bookmarkStart w:id="5" w:name="_GoBack"/>
      <w:bookmarkEnd w:id="5"/>
      <w:r w:rsidR="00AF6770" w:rsidRPr="00C862ED">
        <w:rPr>
          <w:rStyle w:val="Textoennegrita"/>
          <w:b w:val="0"/>
        </w:rPr>
        <w:t>.</w:t>
      </w:r>
    </w:p>
    <w:p w14:paraId="155245D7" w14:textId="1215CB3D" w:rsidR="005B6027" w:rsidRPr="00F5108B" w:rsidRDefault="005B6027" w:rsidP="00F5108B">
      <w:pPr>
        <w:spacing w:after="160" w:line="360" w:lineRule="auto"/>
        <w:rPr>
          <w:rStyle w:val="Textoennegrita"/>
          <w:b w:val="0"/>
        </w:rPr>
      </w:pPr>
      <w:r w:rsidRPr="00F5108B">
        <w:rPr>
          <w:rStyle w:val="Textoennegrita"/>
          <w:b w:val="0"/>
        </w:rPr>
        <w:br w:type="page"/>
      </w:r>
    </w:p>
    <w:p w14:paraId="6922ACBD" w14:textId="77777777" w:rsidR="000C48AB" w:rsidRPr="00C862ED" w:rsidRDefault="000C48AB" w:rsidP="004C6904">
      <w:pPr>
        <w:spacing w:after="160" w:line="360" w:lineRule="auto"/>
        <w:rPr>
          <w:rStyle w:val="Textoennegrita"/>
          <w:sz w:val="28"/>
          <w:szCs w:val="28"/>
        </w:rPr>
      </w:pPr>
    </w:p>
    <w:p w14:paraId="104DF5EA" w14:textId="77777777" w:rsidR="00AF6770" w:rsidRPr="00C862ED" w:rsidRDefault="000C48AB" w:rsidP="004C6904">
      <w:pPr>
        <w:spacing w:after="160" w:line="360" w:lineRule="auto"/>
        <w:rPr>
          <w:rStyle w:val="Textoennegrita"/>
          <w:sz w:val="28"/>
          <w:szCs w:val="28"/>
        </w:rPr>
      </w:pPr>
      <w:r w:rsidRPr="00C862ED">
        <w:rPr>
          <w:rStyle w:val="Textoennegrita"/>
          <w:sz w:val="28"/>
          <w:szCs w:val="28"/>
        </w:rPr>
        <w:t>Figure legends</w:t>
      </w:r>
    </w:p>
    <w:p w14:paraId="19DFDD50" w14:textId="77777777" w:rsidR="000C48AB" w:rsidRPr="00C862ED" w:rsidRDefault="000C48AB" w:rsidP="000C48AB">
      <w:pPr>
        <w:rPr>
          <w:b/>
          <w:noProof/>
          <w:lang w:eastAsia="es-ES"/>
        </w:rPr>
      </w:pPr>
      <w:r w:rsidRPr="00C862ED">
        <w:rPr>
          <w:b/>
          <w:noProof/>
          <w:lang w:eastAsia="es-ES"/>
        </w:rPr>
        <w:t xml:space="preserve">Figure 1: </w:t>
      </w:r>
      <w:r w:rsidR="00534724" w:rsidRPr="00C862ED">
        <w:rPr>
          <w:b/>
          <w:noProof/>
          <w:lang w:eastAsia="es-ES"/>
        </w:rPr>
        <w:t>PRISMA</w:t>
      </w:r>
      <w:r w:rsidRPr="00C862ED">
        <w:rPr>
          <w:b/>
          <w:noProof/>
          <w:lang w:eastAsia="es-ES"/>
        </w:rPr>
        <w:t xml:space="preserve"> flow diagram of record identification and study selection.</w:t>
      </w:r>
      <w:r w:rsidRPr="00C862ED">
        <w:rPr>
          <w:noProof/>
          <w:lang w:eastAsia="es-ES"/>
        </w:rPr>
        <w:t xml:space="preserve"> </w:t>
      </w:r>
      <w:r w:rsidR="008D2B83" w:rsidRPr="00C862ED">
        <w:rPr>
          <w:b/>
          <w:noProof/>
          <w:lang w:eastAsia="es-ES"/>
        </w:rPr>
        <w:t>*</w:t>
      </w:r>
      <w:r w:rsidR="00534724" w:rsidRPr="00C862ED">
        <w:rPr>
          <w:noProof/>
          <w:lang w:eastAsia="es-ES"/>
        </w:rPr>
        <w:t>Four</w:t>
      </w:r>
      <w:r w:rsidRPr="00C862ED">
        <w:rPr>
          <w:noProof/>
          <w:lang w:eastAsia="es-ES"/>
        </w:rPr>
        <w:t xml:space="preserve"> additional articles only reporting physical injuries for two of the included studies were also found. </w:t>
      </w:r>
    </w:p>
    <w:p w14:paraId="3C3A0E98" w14:textId="77777777" w:rsidR="000C48AB" w:rsidRPr="00C862ED" w:rsidRDefault="000C48AB" w:rsidP="000C48AB">
      <w:pPr>
        <w:rPr>
          <w:b/>
          <w:noProof/>
          <w:lang w:eastAsia="es-ES"/>
        </w:rPr>
      </w:pPr>
    </w:p>
    <w:p w14:paraId="1A4EB077" w14:textId="72EFEDB1" w:rsidR="000C48AB" w:rsidRPr="00C862ED" w:rsidRDefault="000C48AB" w:rsidP="000C48AB">
      <w:pPr>
        <w:rPr>
          <w:noProof/>
          <w:lang w:eastAsia="es-ES"/>
        </w:rPr>
      </w:pPr>
      <w:r w:rsidRPr="00C862ED">
        <w:rPr>
          <w:b/>
          <w:noProof/>
          <w:lang w:eastAsia="es-ES"/>
        </w:rPr>
        <w:t>Figure 2:</w:t>
      </w:r>
      <w:r w:rsidRPr="00C862ED">
        <w:rPr>
          <w:noProof/>
          <w:lang w:eastAsia="es-ES"/>
        </w:rPr>
        <w:t xml:space="preserve"> </w:t>
      </w:r>
      <w:r w:rsidRPr="00C862ED">
        <w:rPr>
          <w:b/>
          <w:noProof/>
          <w:lang w:eastAsia="es-ES"/>
        </w:rPr>
        <w:t>Pooled effect size estimating the association between ADHD and poisoning.</w:t>
      </w:r>
      <w:r w:rsidR="008D2B83" w:rsidRPr="00C862ED">
        <w:rPr>
          <w:noProof/>
          <w:lang w:eastAsia="es-ES"/>
        </w:rPr>
        <w:t xml:space="preserve"> </w:t>
      </w:r>
      <w:r w:rsidRPr="00C862ED">
        <w:rPr>
          <w:noProof/>
          <w:lang w:eastAsia="es-ES"/>
        </w:rPr>
        <w:t>Hazard and odds ratios were combined. The area of each square is proportional to the weight that the individual study contributed to the meta-analysis. Weights are from a ramdom-effects model using RVE. The diamond indicates the overall weighted mean effect across all studies. Study name is the first author and year</w:t>
      </w:r>
      <w:r w:rsidR="0004457F" w:rsidRPr="00C862ED">
        <w:rPr>
          <w:noProof/>
          <w:lang w:eastAsia="es-ES"/>
        </w:rPr>
        <w:t xml:space="preserve"> </w:t>
      </w:r>
      <w:r w:rsidRPr="00C862ED">
        <w:rPr>
          <w:noProof/>
          <w:lang w:eastAsia="es-ES"/>
        </w:rPr>
        <w:t xml:space="preserve">except when several articles come from the same database. </w:t>
      </w:r>
      <w:r w:rsidR="0004457F" w:rsidRPr="00C862ED">
        <w:rPr>
          <w:noProof/>
          <w:lang w:eastAsia="es-ES"/>
        </w:rPr>
        <w:t>RR</w:t>
      </w:r>
      <w:r w:rsidRPr="00C862ED">
        <w:rPr>
          <w:noProof/>
          <w:lang w:eastAsia="es-ES"/>
        </w:rPr>
        <w:t xml:space="preserve">: </w:t>
      </w:r>
      <w:r w:rsidR="0004457F" w:rsidRPr="00C862ED">
        <w:rPr>
          <w:noProof/>
          <w:lang w:eastAsia="es-ES"/>
        </w:rPr>
        <w:t>relative risk</w:t>
      </w:r>
      <w:r w:rsidRPr="00C862ED">
        <w:rPr>
          <w:noProof/>
          <w:lang w:eastAsia="es-ES"/>
        </w:rPr>
        <w:t>, UBCI: upper bound of the 95% confidence interval, LBCI: lower bound of the 95% confidence interval</w:t>
      </w:r>
    </w:p>
    <w:p w14:paraId="57D49780" w14:textId="77777777" w:rsidR="000C48AB" w:rsidRPr="00C862ED" w:rsidRDefault="000C48AB" w:rsidP="000C48AB">
      <w:pPr>
        <w:rPr>
          <w:b/>
          <w:noProof/>
          <w:lang w:eastAsia="es-ES"/>
        </w:rPr>
      </w:pPr>
    </w:p>
    <w:p w14:paraId="11C4F447" w14:textId="77777777" w:rsidR="000C48AB" w:rsidRPr="00C862ED" w:rsidRDefault="000C48AB" w:rsidP="000C48AB">
      <w:pPr>
        <w:rPr>
          <w:noProof/>
          <w:lang w:eastAsia="es-ES"/>
        </w:rPr>
      </w:pPr>
      <w:r w:rsidRPr="00C862ED">
        <w:rPr>
          <w:b/>
          <w:noProof/>
          <w:lang w:eastAsia="es-ES"/>
        </w:rPr>
        <w:t>Figure 3:</w:t>
      </w:r>
      <w:r w:rsidRPr="00C862ED">
        <w:rPr>
          <w:noProof/>
          <w:lang w:eastAsia="es-ES"/>
        </w:rPr>
        <w:t xml:space="preserve"> </w:t>
      </w:r>
      <w:r w:rsidRPr="00C862ED">
        <w:rPr>
          <w:b/>
          <w:noProof/>
          <w:lang w:eastAsia="es-ES"/>
        </w:rPr>
        <w:t xml:space="preserve">Funnel plot of the studies included in the risk of poisoning meta-analysis. </w:t>
      </w:r>
    </w:p>
    <w:p w14:paraId="4BDBF50D" w14:textId="77777777" w:rsidR="000C48AB" w:rsidRPr="00C862ED" w:rsidRDefault="000C48AB" w:rsidP="000C48AB">
      <w:pPr>
        <w:rPr>
          <w:b/>
          <w:noProof/>
          <w:lang w:eastAsia="es-ES"/>
        </w:rPr>
      </w:pPr>
    </w:p>
    <w:p w14:paraId="5054C279" w14:textId="4AA948A5" w:rsidR="000C48AB" w:rsidRPr="00C862ED" w:rsidRDefault="000C48AB" w:rsidP="008D2B83">
      <w:pPr>
        <w:rPr>
          <w:noProof/>
          <w:lang w:eastAsia="es-ES"/>
        </w:rPr>
      </w:pPr>
      <w:r w:rsidRPr="00C862ED">
        <w:rPr>
          <w:b/>
          <w:noProof/>
          <w:lang w:eastAsia="es-ES"/>
        </w:rPr>
        <w:t>Figure 4:</w:t>
      </w:r>
      <w:r w:rsidRPr="00C862ED">
        <w:rPr>
          <w:noProof/>
          <w:lang w:eastAsia="es-ES"/>
        </w:rPr>
        <w:t xml:space="preserve"> </w:t>
      </w:r>
      <w:r w:rsidRPr="00C862ED">
        <w:rPr>
          <w:b/>
          <w:noProof/>
          <w:lang w:eastAsia="es-ES"/>
        </w:rPr>
        <w:t xml:space="preserve">Comparison between the </w:t>
      </w:r>
      <w:r w:rsidR="001C40AA">
        <w:rPr>
          <w:b/>
          <w:noProof/>
          <w:lang w:eastAsia="es-ES"/>
        </w:rPr>
        <w:t xml:space="preserve">relative </w:t>
      </w:r>
      <w:r w:rsidRPr="00C862ED">
        <w:rPr>
          <w:b/>
          <w:noProof/>
          <w:lang w:eastAsia="es-ES"/>
        </w:rPr>
        <w:t>risk of poisoning and that of physical injuries in ADHD.</w:t>
      </w:r>
      <w:r w:rsidRPr="00C862ED">
        <w:rPr>
          <w:noProof/>
          <w:lang w:eastAsia="es-ES"/>
        </w:rPr>
        <w:t xml:space="preserve"> Hazard and odds ratios </w:t>
      </w:r>
      <w:r w:rsidR="009B536D" w:rsidRPr="00C862ED">
        <w:t>from studies which reported both physical injuries and poisoning outcomes</w:t>
      </w:r>
      <w:r w:rsidR="009B536D" w:rsidRPr="00C862ED">
        <w:rPr>
          <w:noProof/>
          <w:lang w:eastAsia="es-ES"/>
        </w:rPr>
        <w:t xml:space="preserve"> were combined</w:t>
      </w:r>
      <w:r w:rsidR="004C6910">
        <w:rPr>
          <w:noProof/>
          <w:lang w:eastAsia="es-ES"/>
        </w:rPr>
        <w:t>. Poisoning relative risks</w:t>
      </w:r>
      <w:r w:rsidRPr="00C862ED">
        <w:rPr>
          <w:noProof/>
          <w:lang w:eastAsia="es-ES"/>
        </w:rPr>
        <w:t xml:space="preserve"> are shown in blue and </w:t>
      </w:r>
      <w:r w:rsidR="004C6910">
        <w:rPr>
          <w:noProof/>
          <w:lang w:eastAsia="es-ES"/>
        </w:rPr>
        <w:t xml:space="preserve">relative risks of </w:t>
      </w:r>
      <w:r w:rsidRPr="00C862ED">
        <w:rPr>
          <w:noProof/>
          <w:lang w:eastAsia="es-ES"/>
        </w:rPr>
        <w:t>p</w:t>
      </w:r>
      <w:r w:rsidR="00534724" w:rsidRPr="00C862ED">
        <w:rPr>
          <w:noProof/>
          <w:lang w:eastAsia="es-ES"/>
        </w:rPr>
        <w:t>hysical injuries in red</w:t>
      </w:r>
      <w:r w:rsidRPr="00C862ED">
        <w:rPr>
          <w:noProof/>
          <w:lang w:eastAsia="es-ES"/>
        </w:rPr>
        <w:t xml:space="preserve">. Study name is the first author and year, except when several articles come from the same database. </w:t>
      </w:r>
      <w:r w:rsidR="0004457F" w:rsidRPr="00C862ED">
        <w:rPr>
          <w:noProof/>
          <w:lang w:eastAsia="es-ES"/>
        </w:rPr>
        <w:t>RR: relative risk</w:t>
      </w:r>
      <w:r w:rsidRPr="00C862ED">
        <w:rPr>
          <w:noProof/>
          <w:lang w:eastAsia="es-ES"/>
        </w:rPr>
        <w:t xml:space="preserve">, UBCI: upper bound of the 95% confidence interval, LBCI: lower bound of the 95% confidence interval. p value is obtained from a within-study analysis and indicates that </w:t>
      </w:r>
      <w:r w:rsidRPr="00C862ED">
        <w:rPr>
          <w:noProof/>
          <w:lang w:eastAsia="es-ES"/>
        </w:rPr>
        <w:lastRenderedPageBreak/>
        <w:t xml:space="preserve">the </w:t>
      </w:r>
      <w:r w:rsidR="004C6910">
        <w:rPr>
          <w:noProof/>
          <w:lang w:eastAsia="es-ES"/>
        </w:rPr>
        <w:t xml:space="preserve">relative </w:t>
      </w:r>
      <w:r w:rsidRPr="00C862ED">
        <w:rPr>
          <w:noProof/>
          <w:lang w:eastAsia="es-ES"/>
        </w:rPr>
        <w:t>risk of poisoning is greater than that of physical injuries in children and adolescents with ADHD compared to their peers.</w:t>
      </w:r>
    </w:p>
    <w:p w14:paraId="5EB5721F" w14:textId="77777777" w:rsidR="008D2B83" w:rsidRPr="00C862ED" w:rsidRDefault="008D2B83" w:rsidP="008D2B83">
      <w:pPr>
        <w:rPr>
          <w:rStyle w:val="Textoennegrita"/>
          <w:b w:val="0"/>
          <w:bCs w:val="0"/>
          <w:noProof/>
          <w:lang w:eastAsia="es-ES"/>
        </w:rPr>
      </w:pPr>
    </w:p>
    <w:p w14:paraId="71E80B1E" w14:textId="72AE85C6" w:rsidR="009D7E78" w:rsidRPr="00C862ED" w:rsidRDefault="009D7E78" w:rsidP="005B6027">
      <w:pPr>
        <w:spacing w:after="160" w:line="360" w:lineRule="auto"/>
        <w:rPr>
          <w:rStyle w:val="Textoennegrita"/>
          <w:sz w:val="28"/>
          <w:szCs w:val="28"/>
        </w:rPr>
        <w:sectPr w:rsidR="009D7E78" w:rsidRPr="00C862ED" w:rsidSect="00AA7FD9">
          <w:pgSz w:w="11906" w:h="16838"/>
          <w:pgMar w:top="1417" w:right="1701" w:bottom="1417" w:left="1701" w:header="708" w:footer="708" w:gutter="0"/>
          <w:cols w:space="708"/>
          <w:docGrid w:linePitch="360"/>
        </w:sectPr>
      </w:pPr>
    </w:p>
    <w:p w14:paraId="2C4F01A1" w14:textId="0AE86FCD" w:rsidR="005B6027" w:rsidRPr="00C862ED" w:rsidRDefault="005B6027" w:rsidP="00033B37">
      <w:pPr>
        <w:spacing w:after="160" w:line="360" w:lineRule="auto"/>
        <w:rPr>
          <w:rStyle w:val="Textoennegrita"/>
          <w:sz w:val="28"/>
          <w:szCs w:val="28"/>
        </w:rPr>
      </w:pPr>
      <w:r w:rsidRPr="00C862ED">
        <w:rPr>
          <w:rStyle w:val="Textoennegrita"/>
          <w:sz w:val="28"/>
          <w:szCs w:val="28"/>
        </w:rPr>
        <w:lastRenderedPageBreak/>
        <w:t>TABLES</w:t>
      </w:r>
    </w:p>
    <w:p w14:paraId="6DFF6167" w14:textId="77777777" w:rsidR="009D7E78" w:rsidRPr="00C862ED" w:rsidRDefault="009D7E78" w:rsidP="00033B37">
      <w:pPr>
        <w:spacing w:after="160" w:line="360" w:lineRule="auto"/>
        <w:rPr>
          <w:rStyle w:val="Textoennegrita"/>
          <w:sz w:val="28"/>
          <w:szCs w:val="28"/>
        </w:rPr>
      </w:pPr>
      <w:r w:rsidRPr="00C862ED">
        <w:rPr>
          <w:rStyle w:val="Textoennegrita"/>
          <w:sz w:val="28"/>
          <w:szCs w:val="28"/>
        </w:rPr>
        <w:t>Table 1: Description of studies included in the meta-analysis</w:t>
      </w:r>
    </w:p>
    <w:tbl>
      <w:tblPr>
        <w:tblW w:w="11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992"/>
        <w:gridCol w:w="851"/>
        <w:gridCol w:w="992"/>
        <w:gridCol w:w="992"/>
        <w:gridCol w:w="992"/>
        <w:gridCol w:w="1276"/>
        <w:gridCol w:w="709"/>
        <w:gridCol w:w="709"/>
        <w:gridCol w:w="709"/>
        <w:gridCol w:w="709"/>
        <w:gridCol w:w="708"/>
        <w:gridCol w:w="850"/>
      </w:tblGrid>
      <w:tr w:rsidR="009B7689" w:rsidRPr="00C862ED" w14:paraId="6EEAD31B" w14:textId="77777777" w:rsidTr="00137592">
        <w:trPr>
          <w:trHeight w:val="20"/>
        </w:trPr>
        <w:tc>
          <w:tcPr>
            <w:tcW w:w="1384" w:type="dxa"/>
          </w:tcPr>
          <w:p w14:paraId="79488EA5"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Name</w:t>
            </w:r>
          </w:p>
        </w:tc>
        <w:tc>
          <w:tcPr>
            <w:tcW w:w="992" w:type="dxa"/>
          </w:tcPr>
          <w:p w14:paraId="6F95553C"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Country</w:t>
            </w:r>
          </w:p>
        </w:tc>
        <w:tc>
          <w:tcPr>
            <w:tcW w:w="851" w:type="dxa"/>
          </w:tcPr>
          <w:p w14:paraId="4EF3E465"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Sample</w:t>
            </w:r>
          </w:p>
        </w:tc>
        <w:tc>
          <w:tcPr>
            <w:tcW w:w="992" w:type="dxa"/>
            <w:noWrap/>
          </w:tcPr>
          <w:p w14:paraId="7D8DCB6F"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Type</w:t>
            </w:r>
          </w:p>
          <w:p w14:paraId="43C24BDF"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of study</w:t>
            </w:r>
          </w:p>
        </w:tc>
        <w:tc>
          <w:tcPr>
            <w:tcW w:w="992" w:type="dxa"/>
          </w:tcPr>
          <w:p w14:paraId="0FE58F3E"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N non-ADHD</w:t>
            </w:r>
          </w:p>
        </w:tc>
        <w:tc>
          <w:tcPr>
            <w:tcW w:w="992" w:type="dxa"/>
          </w:tcPr>
          <w:p w14:paraId="74B50035"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N ADHD</w:t>
            </w:r>
          </w:p>
        </w:tc>
        <w:tc>
          <w:tcPr>
            <w:tcW w:w="1276" w:type="dxa"/>
            <w:noWrap/>
          </w:tcPr>
          <w:p w14:paraId="5ED5E46B"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 xml:space="preserve">ADHD diagnosis </w:t>
            </w:r>
          </w:p>
        </w:tc>
        <w:tc>
          <w:tcPr>
            <w:tcW w:w="709" w:type="dxa"/>
          </w:tcPr>
          <w:p w14:paraId="4EA8BDC1" w14:textId="77777777" w:rsidR="009B7689" w:rsidRPr="00C862ED" w:rsidRDefault="009B7689" w:rsidP="00F35634">
            <w:pPr>
              <w:spacing w:line="240" w:lineRule="auto"/>
              <w:rPr>
                <w:rFonts w:ascii="Arial" w:hAnsi="Arial" w:cs="Arial"/>
                <w:szCs w:val="20"/>
              </w:rPr>
            </w:pPr>
            <w:r w:rsidRPr="00137592">
              <w:rPr>
                <w:rFonts w:ascii="Arial" w:hAnsi="Arial" w:cs="Arial"/>
                <w:b/>
                <w:bCs/>
                <w:sz w:val="22"/>
                <w:szCs w:val="20"/>
              </w:rPr>
              <w:t xml:space="preserve">% Male </w:t>
            </w:r>
            <w:r w:rsidRPr="00137592">
              <w:rPr>
                <w:rFonts w:ascii="Arial" w:hAnsi="Arial" w:cs="Arial"/>
                <w:b/>
                <w:bCs/>
                <w:sz w:val="20"/>
                <w:szCs w:val="20"/>
              </w:rPr>
              <w:t>ADHD</w:t>
            </w:r>
          </w:p>
        </w:tc>
        <w:tc>
          <w:tcPr>
            <w:tcW w:w="709" w:type="dxa"/>
          </w:tcPr>
          <w:p w14:paraId="3A8469A2" w14:textId="77777777" w:rsidR="009B7689" w:rsidRPr="00C862ED" w:rsidRDefault="009B7689" w:rsidP="00F35634">
            <w:pPr>
              <w:spacing w:line="240" w:lineRule="auto"/>
              <w:rPr>
                <w:rFonts w:ascii="Arial" w:hAnsi="Arial" w:cs="Arial"/>
                <w:szCs w:val="20"/>
              </w:rPr>
            </w:pPr>
            <w:r w:rsidRPr="00137592">
              <w:rPr>
                <w:rFonts w:ascii="Arial" w:hAnsi="Arial" w:cs="Arial"/>
                <w:b/>
                <w:bCs/>
                <w:sz w:val="22"/>
                <w:szCs w:val="20"/>
              </w:rPr>
              <w:t xml:space="preserve">% Male </w:t>
            </w:r>
            <w:r w:rsidRPr="00137592">
              <w:rPr>
                <w:rFonts w:ascii="Arial" w:hAnsi="Arial" w:cs="Arial"/>
                <w:b/>
                <w:bCs/>
                <w:sz w:val="20"/>
                <w:szCs w:val="20"/>
              </w:rPr>
              <w:t>Control</w:t>
            </w:r>
          </w:p>
        </w:tc>
        <w:tc>
          <w:tcPr>
            <w:tcW w:w="709" w:type="dxa"/>
            <w:noWrap/>
          </w:tcPr>
          <w:p w14:paraId="04D54180"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Medicated %</w:t>
            </w:r>
          </w:p>
        </w:tc>
        <w:tc>
          <w:tcPr>
            <w:tcW w:w="709" w:type="dxa"/>
            <w:noWrap/>
          </w:tcPr>
          <w:p w14:paraId="043E7038"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Duration</w:t>
            </w:r>
          </w:p>
        </w:tc>
        <w:tc>
          <w:tcPr>
            <w:tcW w:w="708" w:type="dxa"/>
          </w:tcPr>
          <w:p w14:paraId="6A63C7F8" w14:textId="77777777" w:rsidR="009B7689" w:rsidRPr="00C862ED" w:rsidRDefault="009B7689" w:rsidP="00505682">
            <w:pPr>
              <w:spacing w:line="240" w:lineRule="auto"/>
              <w:rPr>
                <w:rFonts w:ascii="Arial" w:hAnsi="Arial" w:cs="Arial"/>
                <w:b/>
                <w:bCs/>
                <w:szCs w:val="20"/>
              </w:rPr>
            </w:pPr>
            <w:r w:rsidRPr="00C862ED">
              <w:rPr>
                <w:rFonts w:ascii="Arial" w:hAnsi="Arial" w:cs="Arial"/>
                <w:b/>
                <w:bCs/>
                <w:sz w:val="22"/>
                <w:szCs w:val="20"/>
              </w:rPr>
              <w:t>Age range</w:t>
            </w:r>
          </w:p>
        </w:tc>
        <w:tc>
          <w:tcPr>
            <w:tcW w:w="850" w:type="dxa"/>
            <w:noWrap/>
          </w:tcPr>
          <w:p w14:paraId="14ED4E8A" w14:textId="77777777" w:rsidR="009B7689" w:rsidRPr="00137592" w:rsidRDefault="009B7689" w:rsidP="00505682">
            <w:pPr>
              <w:spacing w:line="240" w:lineRule="auto"/>
              <w:rPr>
                <w:rFonts w:ascii="Arial" w:hAnsi="Arial" w:cs="Arial"/>
                <w:b/>
                <w:bCs/>
                <w:szCs w:val="20"/>
              </w:rPr>
            </w:pPr>
            <w:r w:rsidRPr="00137592">
              <w:rPr>
                <w:rFonts w:ascii="Arial" w:hAnsi="Arial" w:cs="Arial"/>
                <w:b/>
                <w:bCs/>
                <w:sz w:val="22"/>
                <w:szCs w:val="20"/>
              </w:rPr>
              <w:t>Risk Measure</w:t>
            </w:r>
          </w:p>
        </w:tc>
      </w:tr>
      <w:tr w:rsidR="009B7689" w:rsidRPr="00C862ED" w14:paraId="6B472B1C" w14:textId="77777777" w:rsidTr="00137592">
        <w:trPr>
          <w:trHeight w:val="20"/>
        </w:trPr>
        <w:tc>
          <w:tcPr>
            <w:tcW w:w="1384" w:type="dxa"/>
          </w:tcPr>
          <w:p w14:paraId="41B19DE2" w14:textId="77777777" w:rsidR="009B7689" w:rsidRPr="00137592" w:rsidRDefault="009B7689" w:rsidP="00341640">
            <w:pPr>
              <w:spacing w:line="240" w:lineRule="auto"/>
              <w:rPr>
                <w:rFonts w:ascii="Arial" w:hAnsi="Arial" w:cs="Arial"/>
                <w:b/>
                <w:bCs/>
                <w:szCs w:val="20"/>
              </w:rPr>
            </w:pPr>
            <w:proofErr w:type="spellStart"/>
            <w:r w:rsidRPr="00C862ED">
              <w:rPr>
                <w:rFonts w:ascii="Arial" w:hAnsi="Arial" w:cs="Arial"/>
                <w:szCs w:val="20"/>
              </w:rPr>
              <w:t>Brehaut</w:t>
            </w:r>
            <w:proofErr w:type="spellEnd"/>
            <w:r w:rsidRPr="00C862ED">
              <w:rPr>
                <w:rFonts w:ascii="Arial" w:hAnsi="Arial" w:cs="Arial"/>
                <w:szCs w:val="20"/>
              </w:rPr>
              <w:t xml:space="preserve"> (2003) </w:t>
            </w:r>
          </w:p>
        </w:tc>
        <w:tc>
          <w:tcPr>
            <w:tcW w:w="992" w:type="dxa"/>
          </w:tcPr>
          <w:p w14:paraId="5602B04E" w14:textId="77777777" w:rsidR="009B7689" w:rsidRPr="00137592" w:rsidRDefault="009B7689" w:rsidP="00341640">
            <w:pPr>
              <w:spacing w:line="240" w:lineRule="auto"/>
              <w:rPr>
                <w:rFonts w:ascii="Arial" w:hAnsi="Arial" w:cs="Arial"/>
                <w:b/>
                <w:bCs/>
                <w:szCs w:val="20"/>
              </w:rPr>
            </w:pPr>
            <w:r w:rsidRPr="00C862ED">
              <w:rPr>
                <w:rFonts w:ascii="Arial" w:hAnsi="Arial" w:cs="Arial"/>
                <w:szCs w:val="20"/>
              </w:rPr>
              <w:t>Canada</w:t>
            </w:r>
          </w:p>
        </w:tc>
        <w:tc>
          <w:tcPr>
            <w:tcW w:w="851" w:type="dxa"/>
          </w:tcPr>
          <w:p w14:paraId="40328BEF" w14:textId="77777777" w:rsidR="009B7689" w:rsidRPr="00137592" w:rsidRDefault="009B7689" w:rsidP="00341640">
            <w:pPr>
              <w:spacing w:line="240" w:lineRule="auto"/>
              <w:rPr>
                <w:rFonts w:ascii="Arial" w:hAnsi="Arial" w:cs="Arial"/>
                <w:b/>
                <w:bCs/>
                <w:szCs w:val="20"/>
              </w:rPr>
            </w:pPr>
            <w:r w:rsidRPr="00C862ED">
              <w:rPr>
                <w:rFonts w:ascii="Arial" w:hAnsi="Arial" w:cs="Arial"/>
                <w:szCs w:val="20"/>
              </w:rPr>
              <w:t>BCLHD</w:t>
            </w:r>
          </w:p>
        </w:tc>
        <w:tc>
          <w:tcPr>
            <w:tcW w:w="992" w:type="dxa"/>
            <w:noWrap/>
          </w:tcPr>
          <w:p w14:paraId="6E2F235E" w14:textId="77777777" w:rsidR="009B7689" w:rsidRPr="00137592" w:rsidRDefault="009B7689" w:rsidP="00341640">
            <w:pPr>
              <w:spacing w:line="240" w:lineRule="auto"/>
              <w:rPr>
                <w:rFonts w:ascii="Arial" w:hAnsi="Arial" w:cs="Arial"/>
                <w:b/>
                <w:bCs/>
                <w:szCs w:val="20"/>
              </w:rPr>
            </w:pPr>
            <w:r w:rsidRPr="00C862ED">
              <w:rPr>
                <w:rFonts w:ascii="Arial" w:hAnsi="Arial" w:cs="Arial"/>
                <w:szCs w:val="20"/>
              </w:rPr>
              <w:t>Registry</w:t>
            </w:r>
          </w:p>
        </w:tc>
        <w:tc>
          <w:tcPr>
            <w:tcW w:w="992" w:type="dxa"/>
          </w:tcPr>
          <w:p w14:paraId="216CBB4C" w14:textId="77777777" w:rsidR="009B7689" w:rsidRPr="00137592" w:rsidRDefault="009B7689" w:rsidP="00341640">
            <w:pPr>
              <w:spacing w:line="240" w:lineRule="auto"/>
              <w:rPr>
                <w:rFonts w:ascii="Arial" w:hAnsi="Arial" w:cs="Arial"/>
                <w:b/>
                <w:bCs/>
                <w:szCs w:val="20"/>
              </w:rPr>
            </w:pPr>
            <w:r w:rsidRPr="00C862ED">
              <w:rPr>
                <w:rFonts w:ascii="Arial" w:hAnsi="Arial" w:cs="Arial"/>
                <w:szCs w:val="20"/>
              </w:rPr>
              <w:t>1010067</w:t>
            </w:r>
          </w:p>
        </w:tc>
        <w:tc>
          <w:tcPr>
            <w:tcW w:w="992" w:type="dxa"/>
          </w:tcPr>
          <w:p w14:paraId="635A06AF" w14:textId="77777777" w:rsidR="009B7689" w:rsidRPr="00137592" w:rsidRDefault="009B7689" w:rsidP="00341640">
            <w:pPr>
              <w:spacing w:line="240" w:lineRule="auto"/>
              <w:rPr>
                <w:rFonts w:ascii="Arial" w:hAnsi="Arial" w:cs="Arial"/>
                <w:b/>
                <w:bCs/>
                <w:szCs w:val="20"/>
              </w:rPr>
            </w:pPr>
            <w:r w:rsidRPr="00C862ED">
              <w:rPr>
                <w:rFonts w:ascii="Arial" w:hAnsi="Arial" w:cs="Arial"/>
                <w:szCs w:val="20"/>
              </w:rPr>
              <w:t>16806</w:t>
            </w:r>
          </w:p>
        </w:tc>
        <w:tc>
          <w:tcPr>
            <w:tcW w:w="1276" w:type="dxa"/>
            <w:noWrap/>
          </w:tcPr>
          <w:p w14:paraId="0FBF4AA2" w14:textId="77777777" w:rsidR="009B7689" w:rsidRPr="00137592" w:rsidRDefault="009B7689" w:rsidP="00341640">
            <w:pPr>
              <w:spacing w:line="240" w:lineRule="auto"/>
              <w:rPr>
                <w:rFonts w:ascii="Arial" w:hAnsi="Arial" w:cs="Arial"/>
                <w:b/>
                <w:bCs/>
                <w:szCs w:val="20"/>
              </w:rPr>
            </w:pPr>
            <w:r w:rsidRPr="00C862ED">
              <w:rPr>
                <w:rFonts w:ascii="Arial" w:hAnsi="Arial" w:cs="Arial"/>
                <w:szCs w:val="20"/>
              </w:rPr>
              <w:t>Administrative coding (medication)</w:t>
            </w:r>
          </w:p>
        </w:tc>
        <w:tc>
          <w:tcPr>
            <w:tcW w:w="709" w:type="dxa"/>
          </w:tcPr>
          <w:p w14:paraId="389EE146" w14:textId="5B54AD78" w:rsidR="009B7689" w:rsidRPr="00C862ED" w:rsidRDefault="009B7689" w:rsidP="00341640">
            <w:pPr>
              <w:spacing w:line="240" w:lineRule="auto"/>
              <w:rPr>
                <w:rFonts w:ascii="Arial" w:hAnsi="Arial" w:cs="Arial"/>
                <w:szCs w:val="20"/>
              </w:rPr>
            </w:pPr>
            <w:r w:rsidRPr="00C862ED">
              <w:rPr>
                <w:rFonts w:ascii="Arial" w:hAnsi="Arial" w:cs="Arial"/>
                <w:sz w:val="22"/>
                <w:szCs w:val="20"/>
              </w:rPr>
              <w:t>81,6</w:t>
            </w:r>
          </w:p>
        </w:tc>
        <w:tc>
          <w:tcPr>
            <w:tcW w:w="709" w:type="dxa"/>
          </w:tcPr>
          <w:p w14:paraId="42350BA7" w14:textId="5A8FB207" w:rsidR="009B7689" w:rsidRPr="00C862ED" w:rsidRDefault="009B7689" w:rsidP="00341640">
            <w:pPr>
              <w:spacing w:line="240" w:lineRule="auto"/>
              <w:rPr>
                <w:rFonts w:ascii="Arial" w:hAnsi="Arial" w:cs="Arial"/>
                <w:szCs w:val="20"/>
              </w:rPr>
            </w:pPr>
            <w:r w:rsidRPr="00C862ED">
              <w:rPr>
                <w:rFonts w:ascii="Arial" w:hAnsi="Arial" w:cs="Arial"/>
                <w:sz w:val="22"/>
                <w:szCs w:val="20"/>
              </w:rPr>
              <w:t>50,9</w:t>
            </w:r>
          </w:p>
        </w:tc>
        <w:tc>
          <w:tcPr>
            <w:tcW w:w="709" w:type="dxa"/>
            <w:noWrap/>
          </w:tcPr>
          <w:p w14:paraId="080CDB9D" w14:textId="77777777" w:rsidR="009B7689" w:rsidRPr="00137592" w:rsidRDefault="009B7689" w:rsidP="00341640">
            <w:pPr>
              <w:spacing w:line="240" w:lineRule="auto"/>
              <w:rPr>
                <w:rFonts w:ascii="Arial" w:hAnsi="Arial" w:cs="Arial"/>
                <w:b/>
                <w:bCs/>
                <w:szCs w:val="20"/>
              </w:rPr>
            </w:pPr>
            <w:r w:rsidRPr="00C862ED">
              <w:t>100</w:t>
            </w:r>
          </w:p>
        </w:tc>
        <w:tc>
          <w:tcPr>
            <w:tcW w:w="709" w:type="dxa"/>
            <w:noWrap/>
          </w:tcPr>
          <w:p w14:paraId="7051D69F" w14:textId="77777777" w:rsidR="009B7689" w:rsidRPr="00137592" w:rsidRDefault="009B7689" w:rsidP="00341640">
            <w:pPr>
              <w:spacing w:line="240" w:lineRule="auto"/>
              <w:rPr>
                <w:rFonts w:ascii="Arial" w:hAnsi="Arial" w:cs="Arial"/>
                <w:b/>
                <w:bCs/>
                <w:szCs w:val="20"/>
              </w:rPr>
            </w:pPr>
            <w:r w:rsidRPr="00C862ED">
              <w:t>&gt;1</w:t>
            </w:r>
          </w:p>
        </w:tc>
        <w:tc>
          <w:tcPr>
            <w:tcW w:w="708" w:type="dxa"/>
          </w:tcPr>
          <w:p w14:paraId="0EA381A2" w14:textId="77777777" w:rsidR="009B7689" w:rsidRPr="00DB152E" w:rsidRDefault="009B7689" w:rsidP="00341640">
            <w:pPr>
              <w:spacing w:line="240" w:lineRule="auto"/>
              <w:rPr>
                <w:rFonts w:ascii="Arial" w:hAnsi="Arial" w:cs="Arial"/>
                <w:b/>
                <w:bCs/>
                <w:szCs w:val="20"/>
              </w:rPr>
            </w:pPr>
            <w:r w:rsidRPr="00C862ED">
              <w:t>0-19</w:t>
            </w:r>
          </w:p>
        </w:tc>
        <w:tc>
          <w:tcPr>
            <w:tcW w:w="850" w:type="dxa"/>
            <w:noWrap/>
          </w:tcPr>
          <w:p w14:paraId="695B3683" w14:textId="77777777" w:rsidR="009B7689" w:rsidRPr="00137592" w:rsidRDefault="009B7689" w:rsidP="00341640">
            <w:pPr>
              <w:spacing w:line="240" w:lineRule="auto"/>
              <w:rPr>
                <w:rFonts w:ascii="Arial" w:hAnsi="Arial" w:cs="Arial"/>
                <w:b/>
                <w:bCs/>
                <w:szCs w:val="20"/>
              </w:rPr>
            </w:pPr>
            <w:r w:rsidRPr="00DB152E">
              <w:t>OR</w:t>
            </w:r>
          </w:p>
        </w:tc>
      </w:tr>
      <w:tr w:rsidR="009B7689" w:rsidRPr="00C862ED" w14:paraId="234FDF4B" w14:textId="77777777" w:rsidTr="00137592">
        <w:trPr>
          <w:trHeight w:val="20"/>
        </w:trPr>
        <w:tc>
          <w:tcPr>
            <w:tcW w:w="1384" w:type="dxa"/>
            <w:noWrap/>
          </w:tcPr>
          <w:p w14:paraId="244DC41D" w14:textId="77777777" w:rsidR="009B7689" w:rsidRPr="00C862ED" w:rsidRDefault="009B7689" w:rsidP="008B3661">
            <w:pPr>
              <w:spacing w:line="240" w:lineRule="auto"/>
              <w:rPr>
                <w:rFonts w:ascii="Arial" w:hAnsi="Arial" w:cs="Arial"/>
                <w:szCs w:val="20"/>
              </w:rPr>
            </w:pPr>
            <w:r w:rsidRPr="00C862ED">
              <w:rPr>
                <w:rFonts w:ascii="Arial" w:hAnsi="Arial" w:cs="Arial"/>
                <w:sz w:val="22"/>
                <w:szCs w:val="20"/>
              </w:rPr>
              <w:t>CPRD-HES</w:t>
            </w:r>
            <w:r w:rsidRPr="00DB152E">
              <w:rPr>
                <w:rFonts w:ascii="Arial" w:hAnsi="Arial" w:cs="Arial"/>
                <w:sz w:val="22"/>
                <w:szCs w:val="20"/>
              </w:rPr>
              <w:fldChar w:fldCharType="begin" w:fldLock="1"/>
            </w:r>
            <w:r w:rsidRPr="00C862ED">
              <w:rPr>
                <w:rFonts w:ascii="Arial" w:hAnsi="Arial" w:cs="Arial"/>
                <w:sz w:val="22"/>
                <w:szCs w:val="20"/>
              </w:rPr>
              <w:instrText>ADDIN CSL_CITATION { "citationItems" : [ { "id" : "ITEM-1",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"ITEM-1",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"id" : "ITEM-2", "itemData" : { "abstract" : "Background: ADHD is characterised by three core symptoms: hyperactivity, impulsivity and inattention. For those affected, ADHD can have a wide range of negative impacts. It has the potential to reduce academic performance, interfere with interpersonal relationships and is a purported risk factor for numerous mental and behavioural disorders, and accidental injury. However, questions remain regarding the epidemiology of ADHD in the UK. Aims: Phase 1: To describe the incidence and distribution of ADHD within the UK (2004-2013), and to examine if there was any association between ADHD incidence and socioeconomic deprivation. Phase 2: To assess what proportion of ADHD patients received a primary care prescription for a licensed ADHD medication, and to determine the average time between diagnosis and the start of treatment in primary care. Phase 3: To establish if selected comorbidities, and prescriptions for psychotropic drugs, are significantly more likely in patients with ADHD than matched comparators. Phase 4: To establish if accidental fractures are significantly more likely in patients with ADHD than matched comparators. Methods: The study used electronic healthcare records data. The study population comprised patients diagnosed with ADHD before the age of 19, between 1/1/2004 and 31/12/13. Patients with a diagnosis of ADHD, comorbidities of interest or who had received prescriptions for licensed ADHD medications/psychotropic drugs were identified by the presence of relevant codes in their medical records. Results: Phase 1: Between 2004 and 2013, the incidence of ADHD amongst under 19s in the UK was 11.67 (95% CI 11.45 \u2013 11.90) cases per 10,000 person-years at risk. Most of those diagnosed with ADHD were male (n=8407; 82%). There appeared to be an association between increasing socioeconomic deprivation and ADHD incidence. Annual incidence rates remained relatively stable between 2004 and 2013, but were highest in the last two years studied. Phase 2: 57% of patients with a diagnosis of ADHD received a primary care prescription for a licensed ADHD medication during follow-up. In treated patients, the median interval between diagnosis and a first prescription for an ADHD medication was 84 days (IQR 21\u2013258 days); methylphenidate was used first-line in 92% of treated patients. Phase 3: ADHD was associated with a significantly increased risk of comorbidity [RR 3.59 (95% CI 3.40 \u2013 3.79)]. ADHD patients had significantly higher exposure to second generation a\u2026", "author" : [ { "dropping-particle" : "", "family" : "Hire", "given" : "Adrian James", "non-dropping-particle" : "", "parse-names" : false, "suffix" : "" } ], "id" : "ITEM-2", "issued" : { "date-parts" : [ [ "2016" ] ] }, "note" : "From Duplicate 2 (ADHD incidence, treatment and associated comorbidity in children and adolescents : an epidemiological study using electronic healthcare records - Hire, Adrian James)\n\nAmastersheet.\n\nAccession Number: edsble.706274; Contributors: Ashcroft, Darren, Steinke, Douglas; Publication Type: Dissertation; Language: English; Publication Date: 20170101; Imprint: University of Manchester, 2017.\n\nDavid01.\nVictor01.", "publisher" : "University of Manchester", "title" : "ADHD incidence, treatment and associated comorbidity in children and adolescents : an epidemiological study using electronic healthcare records", "type" : "thesis" }, "uris" : [ "http://www.mendeley.com/documents/?uuid=f3573f76-2d19-4e5d-8305-dddf379f631b" ] } ], "mendeley" : { "formattedCitation" : "&lt;sup&gt;23,33&lt;/sup&gt;", "plainTextFormattedCitation" : "23,33", "previouslyFormattedCitation" : "&lt;sup&gt;23,33&lt;/sup&gt;" }, "properties" : {  }, "schema" : "https://github.com/citation-style-language/schema/raw/master/csl-citation.json" }</w:instrText>
            </w:r>
            <w:r w:rsidRPr="00DB152E">
              <w:rPr>
                <w:rFonts w:ascii="Arial" w:hAnsi="Arial" w:cs="Arial"/>
                <w:sz w:val="22"/>
                <w:szCs w:val="20"/>
              </w:rPr>
              <w:fldChar w:fldCharType="separate"/>
            </w:r>
            <w:r w:rsidRPr="00DB152E">
              <w:rPr>
                <w:rFonts w:ascii="Arial" w:hAnsi="Arial" w:cs="Arial"/>
                <w:noProof/>
                <w:sz w:val="22"/>
                <w:szCs w:val="20"/>
                <w:vertAlign w:val="superscript"/>
              </w:rPr>
              <w:t>23,33</w:t>
            </w:r>
            <w:r w:rsidRPr="00DB152E">
              <w:rPr>
                <w:rFonts w:ascii="Arial" w:hAnsi="Arial" w:cs="Arial"/>
                <w:sz w:val="22"/>
                <w:szCs w:val="20"/>
              </w:rPr>
              <w:fldChar w:fldCharType="end"/>
            </w:r>
          </w:p>
        </w:tc>
        <w:tc>
          <w:tcPr>
            <w:tcW w:w="992" w:type="dxa"/>
          </w:tcPr>
          <w:p w14:paraId="56695896"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UK</w:t>
            </w:r>
          </w:p>
        </w:tc>
        <w:tc>
          <w:tcPr>
            <w:tcW w:w="851" w:type="dxa"/>
            <w:noWrap/>
          </w:tcPr>
          <w:p w14:paraId="22785A5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CPRD-HES</w:t>
            </w:r>
          </w:p>
        </w:tc>
        <w:tc>
          <w:tcPr>
            <w:tcW w:w="992" w:type="dxa"/>
            <w:noWrap/>
          </w:tcPr>
          <w:p w14:paraId="7E2EB25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Registry</w:t>
            </w:r>
          </w:p>
        </w:tc>
        <w:tc>
          <w:tcPr>
            <w:tcW w:w="992" w:type="dxa"/>
            <w:noWrap/>
          </w:tcPr>
          <w:p w14:paraId="607D962A"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291909</w:t>
            </w:r>
            <w:r w:rsidRPr="00C862ED">
              <w:rPr>
                <w:rFonts w:ascii="Arial" w:hAnsi="Arial" w:cs="Arial"/>
                <w:sz w:val="22"/>
                <w:szCs w:val="20"/>
                <w:vertAlign w:val="superscript"/>
              </w:rPr>
              <w:t>c</w:t>
            </w:r>
          </w:p>
        </w:tc>
        <w:tc>
          <w:tcPr>
            <w:tcW w:w="992" w:type="dxa"/>
            <w:noWrap/>
          </w:tcPr>
          <w:p w14:paraId="4CF6B72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15742</w:t>
            </w:r>
            <w:r w:rsidRPr="00C862ED">
              <w:rPr>
                <w:rFonts w:ascii="Arial" w:hAnsi="Arial" w:cs="Arial"/>
                <w:sz w:val="22"/>
                <w:szCs w:val="20"/>
                <w:vertAlign w:val="superscript"/>
              </w:rPr>
              <w:t>c</w:t>
            </w:r>
          </w:p>
        </w:tc>
        <w:tc>
          <w:tcPr>
            <w:tcW w:w="1276" w:type="dxa"/>
            <w:noWrap/>
          </w:tcPr>
          <w:p w14:paraId="2FDE2519"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Administrative coding</w:t>
            </w:r>
          </w:p>
        </w:tc>
        <w:tc>
          <w:tcPr>
            <w:tcW w:w="709" w:type="dxa"/>
          </w:tcPr>
          <w:p w14:paraId="7841EB33"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84,6</w:t>
            </w:r>
          </w:p>
        </w:tc>
        <w:tc>
          <w:tcPr>
            <w:tcW w:w="709" w:type="dxa"/>
          </w:tcPr>
          <w:p w14:paraId="13E8E96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50,7</w:t>
            </w:r>
          </w:p>
        </w:tc>
        <w:tc>
          <w:tcPr>
            <w:tcW w:w="709" w:type="dxa"/>
            <w:noWrap/>
          </w:tcPr>
          <w:p w14:paraId="694FFBF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44</w:t>
            </w:r>
          </w:p>
        </w:tc>
        <w:tc>
          <w:tcPr>
            <w:tcW w:w="709" w:type="dxa"/>
            <w:noWrap/>
          </w:tcPr>
          <w:p w14:paraId="3C835A13"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&gt;1</w:t>
            </w:r>
          </w:p>
        </w:tc>
        <w:tc>
          <w:tcPr>
            <w:tcW w:w="708" w:type="dxa"/>
          </w:tcPr>
          <w:p w14:paraId="16236F16"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3-17</w:t>
            </w:r>
          </w:p>
        </w:tc>
        <w:tc>
          <w:tcPr>
            <w:tcW w:w="850" w:type="dxa"/>
            <w:noWrap/>
          </w:tcPr>
          <w:p w14:paraId="2AB600F7"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HR</w:t>
            </w:r>
          </w:p>
        </w:tc>
      </w:tr>
      <w:tr w:rsidR="009B7689" w:rsidRPr="00C862ED" w14:paraId="6567A1EA" w14:textId="77777777" w:rsidTr="00137592">
        <w:trPr>
          <w:trHeight w:val="20"/>
        </w:trPr>
        <w:tc>
          <w:tcPr>
            <w:tcW w:w="1384" w:type="dxa"/>
            <w:noWrap/>
          </w:tcPr>
          <w:p w14:paraId="4A3618BC" w14:textId="77777777" w:rsidR="009B7689" w:rsidRPr="00C862ED" w:rsidRDefault="009B7689" w:rsidP="00F35634">
            <w:pPr>
              <w:spacing w:line="240" w:lineRule="auto"/>
              <w:rPr>
                <w:rFonts w:ascii="Arial" w:hAnsi="Arial" w:cs="Arial"/>
                <w:szCs w:val="20"/>
              </w:rPr>
            </w:pPr>
            <w:proofErr w:type="spellStart"/>
            <w:r w:rsidRPr="00C862ED">
              <w:rPr>
                <w:rFonts w:ascii="Arial" w:hAnsi="Arial" w:cs="Arial"/>
                <w:sz w:val="22"/>
                <w:szCs w:val="20"/>
              </w:rPr>
              <w:t>Hariharan</w:t>
            </w:r>
            <w:proofErr w:type="spellEnd"/>
            <w:r w:rsidRPr="00C862ED">
              <w:rPr>
                <w:rFonts w:ascii="Arial" w:hAnsi="Arial" w:cs="Arial"/>
                <w:sz w:val="22"/>
                <w:szCs w:val="20"/>
              </w:rPr>
              <w:t xml:space="preserve"> (2008)</w:t>
            </w:r>
          </w:p>
        </w:tc>
        <w:tc>
          <w:tcPr>
            <w:tcW w:w="992" w:type="dxa"/>
          </w:tcPr>
          <w:p w14:paraId="185FD1F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US</w:t>
            </w:r>
          </w:p>
        </w:tc>
        <w:tc>
          <w:tcPr>
            <w:tcW w:w="851" w:type="dxa"/>
            <w:noWrap/>
          </w:tcPr>
          <w:p w14:paraId="2F07D41E" w14:textId="77777777" w:rsidR="009B7689" w:rsidRPr="00C862ED" w:rsidRDefault="009B7689" w:rsidP="00F35634">
            <w:pPr>
              <w:spacing w:line="240" w:lineRule="auto"/>
              <w:rPr>
                <w:rFonts w:ascii="Arial" w:hAnsi="Arial" w:cs="Arial"/>
                <w:szCs w:val="20"/>
              </w:rPr>
            </w:pPr>
          </w:p>
        </w:tc>
        <w:tc>
          <w:tcPr>
            <w:tcW w:w="992" w:type="dxa"/>
            <w:noWrap/>
          </w:tcPr>
          <w:p w14:paraId="5A614A61"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Registry (Case-control)</w:t>
            </w:r>
          </w:p>
        </w:tc>
        <w:tc>
          <w:tcPr>
            <w:tcW w:w="992" w:type="dxa"/>
          </w:tcPr>
          <w:p w14:paraId="616F5004"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87</w:t>
            </w:r>
          </w:p>
        </w:tc>
        <w:tc>
          <w:tcPr>
            <w:tcW w:w="992" w:type="dxa"/>
          </w:tcPr>
          <w:p w14:paraId="065D8F0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16</w:t>
            </w:r>
          </w:p>
        </w:tc>
        <w:tc>
          <w:tcPr>
            <w:tcW w:w="1276" w:type="dxa"/>
          </w:tcPr>
          <w:p w14:paraId="4E45F19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Administrative coding (medication and ICD-9)</w:t>
            </w:r>
          </w:p>
        </w:tc>
        <w:tc>
          <w:tcPr>
            <w:tcW w:w="709" w:type="dxa"/>
          </w:tcPr>
          <w:p w14:paraId="6C52F29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tcPr>
          <w:p w14:paraId="453193E6"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noWrap/>
          </w:tcPr>
          <w:p w14:paraId="1A03C0F0"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45</w:t>
            </w:r>
          </w:p>
        </w:tc>
        <w:tc>
          <w:tcPr>
            <w:tcW w:w="709" w:type="dxa"/>
            <w:noWrap/>
          </w:tcPr>
          <w:p w14:paraId="1D0D7D9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NA</w:t>
            </w:r>
          </w:p>
        </w:tc>
        <w:tc>
          <w:tcPr>
            <w:tcW w:w="708" w:type="dxa"/>
            <w:noWrap/>
          </w:tcPr>
          <w:p w14:paraId="29990CB6"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 xml:space="preserve">5-9 </w:t>
            </w:r>
          </w:p>
        </w:tc>
        <w:tc>
          <w:tcPr>
            <w:tcW w:w="850" w:type="dxa"/>
            <w:noWrap/>
          </w:tcPr>
          <w:p w14:paraId="074E6439"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OR</w:t>
            </w:r>
          </w:p>
        </w:tc>
      </w:tr>
      <w:tr w:rsidR="009B7689" w:rsidRPr="00C862ED" w14:paraId="542643C8" w14:textId="77777777" w:rsidTr="00137592">
        <w:trPr>
          <w:trHeight w:val="20"/>
        </w:trPr>
        <w:tc>
          <w:tcPr>
            <w:tcW w:w="1384" w:type="dxa"/>
            <w:noWrap/>
          </w:tcPr>
          <w:p w14:paraId="53BB8B96" w14:textId="77777777" w:rsidR="009B7689" w:rsidRPr="00C862ED" w:rsidRDefault="009B7689" w:rsidP="00F35634">
            <w:pPr>
              <w:spacing w:line="240" w:lineRule="auto"/>
              <w:rPr>
                <w:rFonts w:ascii="Arial" w:hAnsi="Arial" w:cs="Arial"/>
                <w:szCs w:val="20"/>
              </w:rPr>
            </w:pPr>
            <w:proofErr w:type="spellStart"/>
            <w:r w:rsidRPr="00C862ED">
              <w:rPr>
                <w:rFonts w:ascii="Arial" w:hAnsi="Arial" w:cs="Arial"/>
                <w:sz w:val="22"/>
                <w:szCs w:val="20"/>
              </w:rPr>
              <w:t>Hurtig</w:t>
            </w:r>
            <w:proofErr w:type="spellEnd"/>
            <w:r w:rsidRPr="00C862ED">
              <w:rPr>
                <w:rFonts w:ascii="Arial" w:hAnsi="Arial" w:cs="Arial"/>
                <w:sz w:val="22"/>
                <w:szCs w:val="20"/>
              </w:rPr>
              <w:t xml:space="preserve"> (2016) </w:t>
            </w:r>
          </w:p>
        </w:tc>
        <w:tc>
          <w:tcPr>
            <w:tcW w:w="992" w:type="dxa"/>
          </w:tcPr>
          <w:p w14:paraId="5CE6E3D0"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Finland</w:t>
            </w:r>
          </w:p>
        </w:tc>
        <w:tc>
          <w:tcPr>
            <w:tcW w:w="851" w:type="dxa"/>
            <w:noWrap/>
          </w:tcPr>
          <w:p w14:paraId="20BE991A"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NFBC</w:t>
            </w:r>
          </w:p>
        </w:tc>
        <w:tc>
          <w:tcPr>
            <w:tcW w:w="992" w:type="dxa"/>
            <w:noWrap/>
          </w:tcPr>
          <w:p w14:paraId="4B043B8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Prospective cohort</w:t>
            </w:r>
          </w:p>
        </w:tc>
        <w:tc>
          <w:tcPr>
            <w:tcW w:w="992" w:type="dxa"/>
          </w:tcPr>
          <w:p w14:paraId="7C6DB0D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5639</w:t>
            </w:r>
            <w:r w:rsidRPr="00C862ED">
              <w:rPr>
                <w:rFonts w:ascii="Arial" w:hAnsi="Arial" w:cs="Arial"/>
                <w:sz w:val="22"/>
                <w:szCs w:val="20"/>
                <w:vertAlign w:val="superscript"/>
              </w:rPr>
              <w:t>a</w:t>
            </w:r>
          </w:p>
        </w:tc>
        <w:tc>
          <w:tcPr>
            <w:tcW w:w="992" w:type="dxa"/>
          </w:tcPr>
          <w:p w14:paraId="17271F46" w14:textId="77777777" w:rsidR="009B7689" w:rsidRPr="00C862ED" w:rsidRDefault="009B7689" w:rsidP="00657F7D">
            <w:pPr>
              <w:spacing w:line="240" w:lineRule="auto"/>
              <w:rPr>
                <w:rFonts w:ascii="Arial" w:hAnsi="Arial" w:cs="Arial"/>
                <w:szCs w:val="20"/>
              </w:rPr>
            </w:pPr>
            <w:r w:rsidRPr="00C862ED">
              <w:rPr>
                <w:rFonts w:ascii="Arial" w:hAnsi="Arial" w:cs="Arial"/>
                <w:sz w:val="22"/>
                <w:szCs w:val="20"/>
              </w:rPr>
              <w:t>288</w:t>
            </w:r>
            <w:r w:rsidRPr="00C862ED">
              <w:rPr>
                <w:sz w:val="22"/>
                <w:szCs w:val="22"/>
                <w:vertAlign w:val="superscript"/>
              </w:rPr>
              <w:t>d</w:t>
            </w:r>
          </w:p>
        </w:tc>
        <w:tc>
          <w:tcPr>
            <w:tcW w:w="1276" w:type="dxa"/>
          </w:tcPr>
          <w:p w14:paraId="52E78630"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Clinical/Scales with threshold</w:t>
            </w:r>
          </w:p>
        </w:tc>
        <w:tc>
          <w:tcPr>
            <w:tcW w:w="709" w:type="dxa"/>
          </w:tcPr>
          <w:p w14:paraId="1713BD67" w14:textId="77777777" w:rsidR="009B7689" w:rsidRPr="00C862ED" w:rsidRDefault="009B7689" w:rsidP="00F35634">
            <w:pPr>
              <w:spacing w:line="240" w:lineRule="auto"/>
              <w:rPr>
                <w:rFonts w:ascii="Arial" w:hAnsi="Arial" w:cs="Arial"/>
                <w:szCs w:val="20"/>
              </w:rPr>
            </w:pPr>
            <w:r w:rsidRPr="00C862ED">
              <w:rPr>
                <w:rFonts w:ascii="Arial" w:hAnsi="Arial" w:cs="Arial"/>
                <w:szCs w:val="20"/>
              </w:rPr>
              <w:t>66.1</w:t>
            </w:r>
            <w:r w:rsidRPr="00C862ED">
              <w:rPr>
                <w:rFonts w:ascii="Arial" w:hAnsi="Arial" w:cs="Arial"/>
                <w:sz w:val="22"/>
                <w:szCs w:val="20"/>
                <w:vertAlign w:val="superscript"/>
              </w:rPr>
              <w:t xml:space="preserve"> a</w:t>
            </w:r>
          </w:p>
        </w:tc>
        <w:tc>
          <w:tcPr>
            <w:tcW w:w="709" w:type="dxa"/>
          </w:tcPr>
          <w:p w14:paraId="6B55C359" w14:textId="77777777" w:rsidR="009B7689" w:rsidRPr="00C862ED" w:rsidRDefault="009B7689" w:rsidP="00F35634">
            <w:pPr>
              <w:spacing w:line="240" w:lineRule="auto"/>
              <w:rPr>
                <w:rFonts w:ascii="Arial" w:hAnsi="Arial" w:cs="Arial"/>
                <w:szCs w:val="20"/>
              </w:rPr>
            </w:pPr>
            <w:r w:rsidRPr="00C862ED">
              <w:rPr>
                <w:rFonts w:ascii="Arial" w:hAnsi="Arial" w:cs="Arial"/>
                <w:szCs w:val="20"/>
              </w:rPr>
              <w:t>48.5</w:t>
            </w:r>
            <w:r w:rsidRPr="00C862ED">
              <w:rPr>
                <w:rFonts w:ascii="Arial" w:hAnsi="Arial" w:cs="Arial"/>
                <w:sz w:val="22"/>
                <w:szCs w:val="20"/>
                <w:vertAlign w:val="superscript"/>
              </w:rPr>
              <w:t xml:space="preserve"> a</w:t>
            </w:r>
          </w:p>
        </w:tc>
        <w:tc>
          <w:tcPr>
            <w:tcW w:w="709" w:type="dxa"/>
            <w:noWrap/>
          </w:tcPr>
          <w:p w14:paraId="5434309B"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0</w:t>
            </w:r>
          </w:p>
        </w:tc>
        <w:tc>
          <w:tcPr>
            <w:tcW w:w="709" w:type="dxa"/>
            <w:noWrap/>
          </w:tcPr>
          <w:p w14:paraId="71398D23"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&gt;1</w:t>
            </w:r>
          </w:p>
        </w:tc>
        <w:tc>
          <w:tcPr>
            <w:tcW w:w="708" w:type="dxa"/>
            <w:noWrap/>
          </w:tcPr>
          <w:p w14:paraId="47E867F5"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0-15</w:t>
            </w:r>
          </w:p>
        </w:tc>
        <w:tc>
          <w:tcPr>
            <w:tcW w:w="850" w:type="dxa"/>
            <w:noWrap/>
          </w:tcPr>
          <w:p w14:paraId="3AA7D86B"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HR</w:t>
            </w:r>
          </w:p>
        </w:tc>
      </w:tr>
      <w:tr w:rsidR="009B7689" w:rsidRPr="00C862ED" w14:paraId="77B4A0BB" w14:textId="77777777" w:rsidTr="00137592">
        <w:trPr>
          <w:trHeight w:val="20"/>
        </w:trPr>
        <w:tc>
          <w:tcPr>
            <w:tcW w:w="1384" w:type="dxa"/>
            <w:noWrap/>
          </w:tcPr>
          <w:p w14:paraId="5B03315D" w14:textId="77777777" w:rsidR="009B7689" w:rsidRPr="00C862ED" w:rsidRDefault="009B7689" w:rsidP="008B3661">
            <w:pPr>
              <w:spacing w:line="240" w:lineRule="auto"/>
              <w:rPr>
                <w:rFonts w:ascii="Arial" w:hAnsi="Arial" w:cs="Arial"/>
                <w:szCs w:val="20"/>
              </w:rPr>
            </w:pPr>
            <w:r w:rsidRPr="00C862ED">
              <w:rPr>
                <w:rFonts w:ascii="Arial" w:hAnsi="Arial" w:cs="Arial"/>
                <w:sz w:val="22"/>
                <w:szCs w:val="20"/>
              </w:rPr>
              <w:t>LHID</w:t>
            </w:r>
            <w:r w:rsidRPr="00DB152E">
              <w:rPr>
                <w:rFonts w:ascii="Arial" w:hAnsi="Arial" w:cs="Arial"/>
                <w:sz w:val="22"/>
                <w:szCs w:val="20"/>
              </w:rPr>
              <w:fldChar w:fldCharType="begin" w:fldLock="1"/>
            </w:r>
            <w:r w:rsidRPr="00C862ED">
              <w:rPr>
                <w:rFonts w:ascii="Arial" w:hAnsi="Arial" w:cs="Arial"/>
                <w:sz w:val="22"/>
                <w:szCs w:val="20"/>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"id" : "ITEM-2", "itemData" : { "DOI" : "10.1111/dmcn.12501", "ISBN" : "0924-9338", "ISSN" : "00121622", "PMID" : "24867299", "abstract" : "Aim: Attention-deficit-hyperactivity disorder (ADHD) is a disorder that is associated with accidental injuries. The aim of this study was to evaluate the relationship between ADHD and bone fracture in children. Method: The study cohort comprised 3640 children (2874 males, 766 females; mean age 8y 5mo, SD 3y) with ADHD (International Classification of Diseases, Ninth Revision) who were matched to children without ADHD at a ratio of 1:4 (n=14 560; 11 496 males, 3064 females; mean age 8y 5mo, SD 3y). A Cox proportional hazard regression analysis was conducted to estimate how ADHD affected the risk of bone fracture. Results: The incidence of fracture among the ADHD cohort was 197.67 per 10 000 person-years, and was 1.3-fold greater than in the comparison cohort (147.54 per 10 000 person-years). The risk in children with ADHD was higher than that in children without ADHD (p value for log-rank test &lt; 0.001). After adjusting for potential confounding factors, the ADHD cohort was 1.32 times more likely to have bone fracture accidents than the comparison cohort (hazard ratio, 1.32; 95% confidence interval 1.17-1.49). Interpretation: Children with ADHD have a higher risk of experiencing bone fracture accidents than do children without ADHD. What this paper adds: The risk of bone fracture accidents was significantly higher among children with attention-deficit-hyperactivity disorder (ADHD) than among children without ADHD.After adjusting for potential confounding factors, those in the ADHD cohort were 1.32 times more likely to experience bone fracture accidents than those in the comparison cohort. This article is commented on by Cairney on pages 1040-1041 of this issue. \u00a9 2014 Mac Keith Press.", "author" : [ { "dropping-particle" : "", "family" : "Chou", "given" : "I-Ching", "non-dropping-particle" : "", "parse-names" : false, "suffix" : "" }, { "dropping-particle" : "", "family" : "Lin", "given" : "Che-Chen", "non-dropping-particle" : "", "parse-names" : false, "suffix" : "" }, { "dropping-particle" : "", "family" : "Sung", "given" : "Fung-Chang", "non-dropping-particle" : "", "parse-names" : false, "suffix" : "" }, { "dropping-particle" : "", "family" : "Kao", "given" : "Chia-Hung", "non-dropping-particle" : "", "parse-names" : false, "suffix" : "" } ], "container-title" : "Developmental Medicine &amp; Child Neurology", "id" : "ITEM-2", "issue" : "11", "issued" : { "date-parts" : [ [ "2014", "10", "1" ] ] }, "language" : "eng", "note" : "From Duplicate 1 (Attention-deficit-hyperactivity disorder increases risk of bone fracture: a population-based cohort study - Chou, I-Ching; Lin, Che-Chen; Sung, Fung-Chang; Kao, Chia-Hung)\n\nGonzalo01.\nMaite01.\n\nFrom Duplicate 1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2 (Attention-deficit-hyperactivity disorder increases risk of bone fracture: a population-based cohort study. - Chou, I-Ching; Lin, Che-Chen; Sung, Fung-Chang; Kao, Chia-Hung)\n\nBusquedaPubmed.\n\nFrom Duplicate 2 (Attention-deficit-hyperactivity disorder increases risk of bone fracture: a population-based cohort study. - Chou, I-Ching; Lin, Che-Chen; Sung, Fung-Chang; Kao, Chia-Hung)\n\n\n\nFrom Duplicate 1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2 (Attention-deficit-hyperactivity disorder increases risk of bone fracture: a population-based cohort study. - Chou, I-Ching; Lin, Che-Chen; Sung, Fung-Chang; Kao, Chia-Hung)\n\nWebOfScience.\n\nFrom Duplicate 3 (Attention-deficit-hyperactivity disorder increases risk of bone fracture: a population-based cohort study. - Chou, I-Ching; Lin, Che-Chen; Sung, Fung-Chang; Kao, Chia-Hung)\n\nBusquedaPubmed.\n\nFrom Duplicate 3 (Attention-deficit-hyperactivity disorder increases risk of bone fracture: a population-based cohort study - Chou, I-Ching; Lin, Che-Chen; Sung, Fung-Chang; Kao, Chia-Hung)\n\nFrom Duplicate 1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2 (Attention-deficit hyperactivity disorder increases the risk of deliberate self-poisoning: A population-based cohort. - Chou, I-C; Lin, C-C; Sung, F-C; Kao, C-H)\n\nadhd aumenta riesgo de envenenamiento.\n\nWebOfScience.\n\nFrom Duplicate 4 (Attention-deficit-hyperactivity disorder increases risk of bone fracture: a population-based cohort study - Chou, I-Ching; Lin, Che-Chen; Sung, Fung-Chang; Kao, Chia-Hung)\nAnd Duplicate 5 (Attention-deficit-hyperactivity disorder increases risk of bone fracture: a population-based cohort study - Chou, I-Ching; Lin, Che-Chen; Sung, Fung-Chang; Kao, Chia-Hung)\n\n\nFrom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6 (Attention-deficit-hyperactivity disorder increases risk of bone fracture: a population-based cohort study - Chou, I-Ching; Lin, Che-Chen; Sung, Fung-Chang; Kao, Chia-Hung)\n\nFrom Duplicate 1 (Attention-deficit-hyperactivity disorder increases risk of bone fracture: a population-based cohort study - Chou, I-Ching; Lin, Che-Chen; Sung, Fung-Chang; Kao, Chia-Hung)\nAnd Duplicate 2 (Attention-deficit-hyperactivity disorder increases risk of bone fracture: a population-based cohort study - Chou, I-Ching; Lin, Che-Chen; Sung, Fung-Chang; Kao, Chia-Hung)\n\n\nFrom Duplicate 1 (Attention-deficit-hyperactivity disorder increases risk of bone fracture: a population-based cohort study - Chou, I-Ching; Lin, Che-Chen; Sung, Fung-Chang; Kao, Chia-Hung)\n\nBusquedaScopus.\n\nFrom Duplicate 2 (Attention-deficit-hyperactivity disorder increases risk of bone fracture: a population-based cohort study - Chou, I-Ching; Lin, Che-Chen; Sung, Fung-Chang; Kao, Chia-Hung)\n\nBusquedaScopus.cited By 3\n\nFrom Duplicate 3 (Attention-deficit-hyperactivity disorder increases risk of bone fracture: A population-based cohort study - Chou 2 ), I.-C. ( 1; Lin, C.-C. ( 3 ); Sung 4 ), F.-C. ( 3; Kao 6 ), C.-H. ( 5)\n\nAccession Number: edselc.2-52.0-84914158554; (Developmental Medicine and Child Neurology, 1 November 2014, 56(11):1111-1116) Publication Type: Academic Journal; Rights: Copyright 2015 Elsevier B.V., All rights reserved.", "page" : "1111-1116", "publisher" : "Blackwell Publishing Ltd", "publisher-place" : "(1)Department of Paediatrics, China Medical University Hospital, China Medical University, France", "title" : "Attention-deficit-hyperactivity disorder increases risk of bone fracture: a population-based cohort study", "type" : "article-journal", "volume" : "56" }, "uris" : [ "http://www.mendeley.com/documents/?uuid=a0e9a263-6ff1-4bf7-a803-07e6a478bd5e" ] }, { "id" : "ITEM-3", "itemData" : { "DOI" : "10.1097/BPB.0000000000000243", "ISBN" : "1060-152x", "ISSN" : "14735865", "PMID" : "26523534", "abstract" : "The aim of this study was to investigate the risk of fracture and the difference between sexes from a nationwide database of fracture risk among children aged 4-17 years with or without attention deficit hyperactivity disorder (ADHD, ICD-9-CD codes 314). The Longitudinal Health Insurance Database (LHID 2000) was used to analyze fracture characteristics of children from the National Health Insurance that covered 96.1% of the Taiwanese population (N=21.4 million). A total of 7200 ADHD children aged between 4 and 17 years whose diagnosis had been confirmed in at least three outpatient clinics between 1 January 2000 and 31 December 2009 were included, and a cohort of 36 000 children without ADHD matched for age, sex, and urbanization was recruited for analysis. The incidence rate of fractures in ADHD children was 21.0 (95% confidence interval=19.4-22.7) per 1000 person-years, significantly (P&lt;0.001) higher than 15.0 (95% confidence interval=14.4-15.6) in non-ADHDs. After adjusting by age, sex, urbanization level, and geographic region, the statistically significant (P&lt;0.001) hazard ratios (HR) of fracture for ADHD children compared with non-ADHD children included 1.62 in girls and 1.38 in boys, 1.53 in the skull, neck, and trunk (ICD-9-CM 800-809), 1.28 in the upper extremity (ICD-9-CM 810-819), and 1.84 in the lower extremity (ICD-9-CM 820-829). The HR also (P&lt;0.001) increased significantly in all age groups, including 1.35 in 4-6, 1.37 in 7-9, and 1.54 in 10-17 years. ADHD should be listed among risk factors of children's fractures in each sex, all age groups, and all body areas that the parents, teachers, caregivers of ADHD children, and pediatric orthopedists should be aware of. Besides, ADHD girls were more affected than ADHD boys, especially after 10 years of age, whereas the adjusted HR was the highest in the lower extremities. Nationwide analysis matched for age and sex showed that ADHD should be considered the risk factor of children's fracture, especially for girls older than 10 years of age.", "author" : [ { "dropping-particle" : "", "family" : "Guo", "given" : "Nai Wen", "non-dropping-particle" : "", "parse-names" : false, "suffix" : "" }, { "dropping-particle" : "", "family" : "Lin", "given" : "Cheng Li", "non-dropping-particle" : "", "parse-names" : false, "suffix" : "" }, { "dropping-particle" : "", "family" : "Lin", "given" : "Cheng Wei", "non-dropping-particle" : "", "parse-names" : false, "suffix" : "" }, { "dropping-particle" : "", "family" : "Huang", "given" : "Ming Tung", "non-dropping-particle" : "", "parse-names" : false, "suffix" : "" }, { "dropping-particle" : "", "family" : "Chang", "given" : "Wei Lun", "non-dropping-particle" : "", "parse-names" : false, "suffix" : "" }, { "dropping-particle" : "", "family" : "Lu", "given" : "Tsung Hsueh", "non-dropping-particle" : "", "parse-names" : false, "suffix" : "" }, { "dropping-particle" : "", "family" : "Lin", "given" : "Chii Jeng", "non-dropping-particle" : "", "parse-names" : false, "suffix" : "" } ], "container-title" : "Journal of Pediatric Orthopaedics Part B", "id" : "ITEM-3", "issue" : "4", "issued" : { "date-parts" : [ [ "2016", "10", "29" ] ] }, "note" : "Busqueda_pubmed.\nMaite01.\nGonzalo01.\nPendienteLocalizar. \nNoEnLeeds.\n\nFrom Duplicate 1 (Fracture risk and correlating factors of a pediatric population with attention deficit hyperactivity disorder: a nationwide matched study. - Guo, Nai-Wen; Lin, Cheng-Li; Lin, Cheng-Wei; Huang, Ming-Tung; Chang, Wei-Lun; Lu, Tsung-Hsueh; Lin, Chii-Jeng)\n\nBusqueda_Scopus.cited By 0; Article in Press\n\nFrom Duplicate 2 (Fracture risk and correlating factors of a pediatric population with attention deficit hyperactivity disorder: a nationwide matched study. - Guo, Nai-Wen; Lin, Cheng-Li; Lin, Cheng-Wei; Huang, Ming-Tung; Chang, Wei-Lun; Lu, Tsung-Hsueh; Lin, Chii-Jeng)\nAnd Duplicate 4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Chii-Jeng)\n\nFrom Duplicate 1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Chii-Jeng)\n\n\n\nFrom Duplicate 2 (Fracture risk and correlating factors of a pediatric population with attention deficit hyperactivity disorder: a nationwide matched study. - Guo, Nai-Wen; Lin, Cheng-Li; Lin, Cheng-Wei; Huang, Ming-Tung; Chang, Wei-Lun; Lu, Tsung-Hsueh; Lin, Chii-Jeng)\n\nBusqueda_Scopus.cited By 0; Article in Press\n\nFrom Duplicate 3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Chii-Jeng)\n\nFrom Duplicate 2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Chii-Jeng)\n\nFrom Duplicate 1 (Fracture risk and correlating factors of a pediatric population with attention deficit hyperactivity disorder: a nationwide matched study. - Guo, Nai-Wen; Lin, Cheng-Wei Cheng-Li Chii-Jeng; Lin, Cheng-Wei Cheng-Li Chii-Jeng; Huang, Ming-Tung; Chang, Wei-Lun; Lu, Tsung-Hsueh; Lin, Cheng-Wei Cheng-Li Chii-Jeng)\n\nBusqueda_pubmed.\nMaite01.\nGonzalo01.\n\nFrom Duplicate 2 (Fracture risk and correlating factors of a pediatric population with attention deficit hyperactivity disorder: a nationwide matched study. - Guo, Nai-Wen; Lin, Cheng-Li; Lin, Cheng-Wei; Huang, Ming-Tung; Chang, Wei-Lun; Lu, Tsung-Hsueh; Lin, Chii-Jeng)\n\nBusqueda_Scopus.cited By 0; Article in Press", "page" : "369-374", "publisher" : "Lippincott Williams and Wilkins", "title" : "Fracture risk and correlating factors of a pediatric population with attention deficit hyperactivity disorder: A nationwide matched study", "type" : "article-journal", "volume" : "25" }, "uris" : [ "http://www.mendeley.com/documents/?uuid=3bf46dbd-53c7-4fb6-a811-721c4b0c2c89" ] }, { "id" : "ITEM-4", "itemData" : { "DOI" : "10.1111/apa.12213", "ISSN" : "1651-2227 (Electronic)", "PMID" : "23647526", "abstract" : "AIM: To explore the frequency and risk for injury among children with Attention-deficit/hyperactivity Disorder (ADHD) in Taiwan through a population-based study. METHODS: A total of 3616 subjects aged between four and twelve years diagnosed with ADHD were selected along with a comparison cohort comprising 18 080 subjects. Each subject was individually traced for a three-year period from their index date to identify those subjects who subsequently received a diagnosis of injury. We used stratified Cox proportional hazards regressions to examine the three-year injury-free survival rates between the two cohorts. RESULTS: Of the subjects, the incidence rate of injury during the three-year follow-up period was 7.97 (95% CI = 7.45-8.51) and 5.36 (95% CI = 5.17-5.56) for the study and comparison cohort, respectively. After adjusting for geographic region, the hazard ratio (HR) of injury for subjects with ADHD was 1.64 (95% CI = 1.50-1.79) that of comparison subjects. In addition, we found children with ADHD aged between four and 6 years to demonstrate a greater HR (1.98, 95% CI = 1.72-2.28) than those aged between seven and twelve (HR = 1.46, 95% CI = 1.31-1.63). CONCLUSIONS: Children with ADHD appear to be at a higher risk for injury than children that are not diagnosed with ADHD.", "author" : [ { "dropping-particle" : "", "family" : "Kang", "given" : "Jiunn-Horng", "non-dropping-particle" : "", "parse-names" : false, "suffix" : "" }, { "dropping-particle" : "", "family" : "Lin", "given" : "Herng-Ching", "non-dropping-particle" : "", "parse-names" : false, "suffix" : "" }, { "dropping-particle" : "", "family" : "Chung", "given" : "Shiu-Dong", "non-dropping-particle" : "", "parse-names" : false, "suffix" : "" } ], "container-title" : "Acta paediatrica (Oslo, Norway : 1992)", "id" : "ITEM-4", "issue" : "6", "issued" : { "date-parts" : [ [ "2013", "6" ] ] }, "note" : "Maite01.\nGonzalo01.\n\n\n\n\n\n\nFrom Duplicate 1 (Attention-deficit/hyperactivity disorder increased the risk of injury: a population-based follow-up study. - Kang, Jiunn-Horng; Lin, Herng-Ching; Chung, Shiu-Dong)\nAnd Duplicate 2 (Attention-deficit/hyperactivity disorder increased the risk of injury: a population-based follow-up study. - Kang, Jiunn-Horng; Lin, Herng-Ching; Chung, Shiu-Dong)\n\nFrom Duplicate 2 (Attention-deficit/hyperactivity disorder increased the risk of injury: a population-based follow-up study. - Kang, Jiunn-Horng; Lin, Herng-Ching; Chung, Shiu-Dong)\n\n\n\nFrom Duplicate 1 (Attention-deficit/hyperactivity disorder increased the risk of injury: a population-based follow-up study. - Kang, Jiunn-Horng; Lin, Herng-Ching; Chung, Shiu-Dong)\n\nBusqueda_pubmed.\n\nFrom Duplicate 2 (Attention-deficit/hyperactivity disorder increased the risk of injury: a population-based follow-up study. - Kang, Jiunn-Horng; Lin, Herng-Ching; Chung, Shiu-Dong)\n\nBusqueda_Scopus.\n\nFrom Duplicate 3 (Attention-deficit/hyperactivity disorder increased the risk of injury: a population-based follow-up study. - Kang, Jiunn-Horng; Lin, Herng-Ching; Chung, Shiu-Dong)\n\nBusqueda_pubmed.\n\nFrom Duplicate 4 (Attention-deficit/hyperactivity disorder increased the risk of injury: a population-based follow-up study. - Kang, Jiunn-Horng; Lin, Herng-Ching; Chung, Shiu-Dong)\n\nGonzalo01.\n\nFrom Duplicate 1 (Attention-deficit/hyperactivity disorder increased the risk of injury: a population-based follow-up study. - Kang, Jiunn-Horng; Lin, Herng-Ching; Chung, Shiu-Dong)\n\nBusqueda_pubmed.\n\nFrom Duplicate 2 (Attention-deficit/hyperactivity disorder increased the risk of injury: a population-based follow-up study. - Kang, Jiunn-Horng; Lin, Herng-Ching; Chung, Shiu-Dong)\n\nBusqueda_Scopus.", "page" : "640-643", "title" : "Attention-deficit/hyperactivity disorder increased the risk of injury: a population-based follow-up study.", "type" : "article-journal", "volume" : "102" }, "uris" : [ "http://www.mendeley.com/documents/?uuid=855a00ba-b152-4a5d-93ba-f906828abca8" ] }, { "id" : "ITEM-5",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"ITEM-5",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"mendeley" : { "formattedCitation" : "&lt;sup&gt;20,25,30\u201332&lt;/sup&gt;", "plainTextFormattedCitation" : "20,25,30\u201332", "previouslyFormattedCitation" : "&lt;sup&gt;20,25,30\u201332&lt;/sup&gt;" }, "properties" : {  }, "schema" : "https://github.com/citation-style-language/schema/raw/master/csl-citation.json" }</w:instrText>
            </w:r>
            <w:r w:rsidRPr="00DB152E">
              <w:rPr>
                <w:rFonts w:ascii="Arial" w:hAnsi="Arial" w:cs="Arial"/>
                <w:sz w:val="22"/>
                <w:szCs w:val="20"/>
              </w:rPr>
              <w:fldChar w:fldCharType="separate"/>
            </w:r>
            <w:r w:rsidRPr="00DB152E">
              <w:rPr>
                <w:rFonts w:ascii="Arial" w:hAnsi="Arial" w:cs="Arial"/>
                <w:noProof/>
                <w:sz w:val="22"/>
                <w:szCs w:val="20"/>
                <w:vertAlign w:val="superscript"/>
              </w:rPr>
              <w:t>20,25,30–32</w:t>
            </w:r>
            <w:r w:rsidRPr="00DB152E">
              <w:rPr>
                <w:rFonts w:ascii="Arial" w:hAnsi="Arial" w:cs="Arial"/>
                <w:sz w:val="22"/>
                <w:szCs w:val="20"/>
              </w:rPr>
              <w:fldChar w:fldCharType="end"/>
            </w:r>
          </w:p>
        </w:tc>
        <w:tc>
          <w:tcPr>
            <w:tcW w:w="992" w:type="dxa"/>
          </w:tcPr>
          <w:p w14:paraId="2489913B"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Taiwan</w:t>
            </w:r>
          </w:p>
        </w:tc>
        <w:tc>
          <w:tcPr>
            <w:tcW w:w="851" w:type="dxa"/>
            <w:noWrap/>
          </w:tcPr>
          <w:p w14:paraId="4C95531C"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LHID</w:t>
            </w:r>
          </w:p>
        </w:tc>
        <w:tc>
          <w:tcPr>
            <w:tcW w:w="992" w:type="dxa"/>
            <w:noWrap/>
          </w:tcPr>
          <w:p w14:paraId="17A22860"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Registry</w:t>
            </w:r>
          </w:p>
        </w:tc>
        <w:tc>
          <w:tcPr>
            <w:tcW w:w="992" w:type="dxa"/>
            <w:noWrap/>
          </w:tcPr>
          <w:p w14:paraId="42F39E20" w14:textId="77777777" w:rsidR="009B7689" w:rsidRPr="00C862ED" w:rsidRDefault="009B7689" w:rsidP="00F35634">
            <w:pPr>
              <w:spacing w:line="240" w:lineRule="auto"/>
              <w:rPr>
                <w:rFonts w:ascii="Arial" w:hAnsi="Arial" w:cs="Arial"/>
                <w:szCs w:val="20"/>
                <w:vertAlign w:val="superscript"/>
              </w:rPr>
            </w:pPr>
            <w:r w:rsidRPr="00C862ED">
              <w:rPr>
                <w:rFonts w:ascii="Arial" w:hAnsi="Arial" w:cs="Arial"/>
                <w:sz w:val="22"/>
                <w:szCs w:val="20"/>
              </w:rPr>
              <w:t>36850</w:t>
            </w:r>
            <w:r w:rsidRPr="00C862ED">
              <w:rPr>
                <w:rFonts w:ascii="Arial" w:hAnsi="Arial" w:cs="Arial"/>
                <w:sz w:val="22"/>
                <w:szCs w:val="20"/>
                <w:vertAlign w:val="superscript"/>
              </w:rPr>
              <w:t>ac</w:t>
            </w:r>
          </w:p>
        </w:tc>
        <w:tc>
          <w:tcPr>
            <w:tcW w:w="992" w:type="dxa"/>
            <w:noWrap/>
          </w:tcPr>
          <w:p w14:paraId="170614C2"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3685</w:t>
            </w:r>
            <w:r w:rsidRPr="00C862ED">
              <w:rPr>
                <w:rFonts w:ascii="Arial" w:hAnsi="Arial" w:cs="Arial"/>
                <w:sz w:val="22"/>
                <w:szCs w:val="20"/>
                <w:vertAlign w:val="superscript"/>
              </w:rPr>
              <w:t>ac</w:t>
            </w:r>
          </w:p>
        </w:tc>
        <w:tc>
          <w:tcPr>
            <w:tcW w:w="1276" w:type="dxa"/>
            <w:noWrap/>
          </w:tcPr>
          <w:p w14:paraId="5F5715D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Administrative coding</w:t>
            </w:r>
          </w:p>
        </w:tc>
        <w:tc>
          <w:tcPr>
            <w:tcW w:w="709" w:type="dxa"/>
          </w:tcPr>
          <w:p w14:paraId="2AEEB2C0" w14:textId="77777777" w:rsidR="009B7689" w:rsidRPr="00C862ED" w:rsidRDefault="009B7689" w:rsidP="00F35634">
            <w:pPr>
              <w:spacing w:line="240" w:lineRule="auto"/>
              <w:rPr>
                <w:rFonts w:ascii="Arial" w:hAnsi="Arial" w:cs="Arial"/>
                <w:szCs w:val="20"/>
              </w:rPr>
            </w:pPr>
            <w:r w:rsidRPr="00C862ED">
              <w:rPr>
                <w:rFonts w:ascii="Arial" w:hAnsi="Arial" w:cs="Arial"/>
                <w:szCs w:val="20"/>
              </w:rPr>
              <w:t>79.0</w:t>
            </w:r>
            <w:r w:rsidRPr="00C862ED">
              <w:rPr>
                <w:rFonts w:ascii="Arial" w:hAnsi="Arial" w:cs="Arial"/>
                <w:sz w:val="22"/>
                <w:szCs w:val="20"/>
                <w:vertAlign w:val="superscript"/>
              </w:rPr>
              <w:t xml:space="preserve"> ac</w:t>
            </w:r>
          </w:p>
        </w:tc>
        <w:tc>
          <w:tcPr>
            <w:tcW w:w="709" w:type="dxa"/>
          </w:tcPr>
          <w:p w14:paraId="224C4612" w14:textId="77777777" w:rsidR="009B7689" w:rsidRPr="00C862ED" w:rsidRDefault="009B7689" w:rsidP="00F35634">
            <w:pPr>
              <w:spacing w:line="240" w:lineRule="auto"/>
              <w:rPr>
                <w:rFonts w:ascii="Arial" w:hAnsi="Arial" w:cs="Arial"/>
                <w:szCs w:val="20"/>
              </w:rPr>
            </w:pPr>
            <w:r w:rsidRPr="00C862ED">
              <w:rPr>
                <w:rFonts w:ascii="Arial" w:hAnsi="Arial" w:cs="Arial"/>
                <w:szCs w:val="20"/>
              </w:rPr>
              <w:t>79.0</w:t>
            </w:r>
            <w:r w:rsidRPr="00C862ED">
              <w:rPr>
                <w:rFonts w:ascii="Arial" w:hAnsi="Arial" w:cs="Arial"/>
                <w:sz w:val="22"/>
                <w:szCs w:val="20"/>
                <w:vertAlign w:val="superscript"/>
              </w:rPr>
              <w:t xml:space="preserve"> ac</w:t>
            </w:r>
          </w:p>
        </w:tc>
        <w:tc>
          <w:tcPr>
            <w:tcW w:w="709" w:type="dxa"/>
            <w:noWrap/>
          </w:tcPr>
          <w:p w14:paraId="6328DD9B"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74.3</w:t>
            </w:r>
            <w:r w:rsidRPr="00C862ED">
              <w:rPr>
                <w:rFonts w:ascii="Arial" w:hAnsi="Arial" w:cs="Arial"/>
                <w:sz w:val="22"/>
                <w:szCs w:val="20"/>
                <w:vertAlign w:val="superscript"/>
              </w:rPr>
              <w:t xml:space="preserve"> ac</w:t>
            </w:r>
          </w:p>
        </w:tc>
        <w:tc>
          <w:tcPr>
            <w:tcW w:w="709" w:type="dxa"/>
            <w:noWrap/>
          </w:tcPr>
          <w:p w14:paraId="31CA5E93"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&gt;1</w:t>
            </w:r>
          </w:p>
        </w:tc>
        <w:tc>
          <w:tcPr>
            <w:tcW w:w="708" w:type="dxa"/>
          </w:tcPr>
          <w:p w14:paraId="3B9AEA05"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3-18</w:t>
            </w:r>
          </w:p>
        </w:tc>
        <w:tc>
          <w:tcPr>
            <w:tcW w:w="850" w:type="dxa"/>
            <w:noWrap/>
          </w:tcPr>
          <w:p w14:paraId="34E2B132"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OR and HR</w:t>
            </w:r>
          </w:p>
        </w:tc>
      </w:tr>
      <w:tr w:rsidR="009B7689" w:rsidRPr="00C862ED" w14:paraId="211BB0C0" w14:textId="77777777" w:rsidTr="00137592">
        <w:trPr>
          <w:trHeight w:val="20"/>
        </w:trPr>
        <w:tc>
          <w:tcPr>
            <w:tcW w:w="1384" w:type="dxa"/>
          </w:tcPr>
          <w:p w14:paraId="67871068" w14:textId="77777777" w:rsidR="009B7689" w:rsidRPr="00C862ED" w:rsidRDefault="009B7689" w:rsidP="00F35634">
            <w:pPr>
              <w:spacing w:line="240" w:lineRule="auto"/>
              <w:rPr>
                <w:rFonts w:ascii="Arial" w:hAnsi="Arial" w:cs="Arial"/>
                <w:szCs w:val="20"/>
              </w:rPr>
            </w:pPr>
            <w:proofErr w:type="spellStart"/>
            <w:r w:rsidRPr="00C862ED">
              <w:rPr>
                <w:rFonts w:ascii="Arial" w:hAnsi="Arial" w:cs="Arial"/>
                <w:sz w:val="22"/>
                <w:szCs w:val="20"/>
              </w:rPr>
              <w:t>Lindemann</w:t>
            </w:r>
            <w:proofErr w:type="spellEnd"/>
            <w:r w:rsidRPr="00C862ED">
              <w:rPr>
                <w:rFonts w:ascii="Arial" w:hAnsi="Arial" w:cs="Arial"/>
                <w:sz w:val="22"/>
                <w:szCs w:val="20"/>
              </w:rPr>
              <w:t xml:space="preserve"> (2017)</w:t>
            </w:r>
          </w:p>
        </w:tc>
        <w:tc>
          <w:tcPr>
            <w:tcW w:w="992" w:type="dxa"/>
          </w:tcPr>
          <w:p w14:paraId="438D43F7"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 xml:space="preserve">Germany </w:t>
            </w:r>
          </w:p>
        </w:tc>
        <w:tc>
          <w:tcPr>
            <w:tcW w:w="851" w:type="dxa"/>
          </w:tcPr>
          <w:p w14:paraId="1D7540EF"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GEPARD</w:t>
            </w:r>
          </w:p>
        </w:tc>
        <w:tc>
          <w:tcPr>
            <w:tcW w:w="992" w:type="dxa"/>
            <w:noWrap/>
          </w:tcPr>
          <w:p w14:paraId="3648E160" w14:textId="77777777" w:rsidR="009B7689" w:rsidRPr="00C862ED" w:rsidRDefault="009B7689" w:rsidP="00F35634">
            <w:pPr>
              <w:spacing w:line="240" w:lineRule="auto"/>
              <w:rPr>
                <w:rFonts w:ascii="Arial" w:hAnsi="Arial" w:cs="Arial"/>
                <w:szCs w:val="20"/>
              </w:rPr>
            </w:pPr>
            <w:proofErr w:type="spellStart"/>
            <w:r w:rsidRPr="00C862ED">
              <w:rPr>
                <w:rFonts w:ascii="Arial" w:hAnsi="Arial" w:cs="Arial"/>
                <w:sz w:val="22"/>
                <w:szCs w:val="20"/>
              </w:rPr>
              <w:t>Regystry</w:t>
            </w:r>
            <w:proofErr w:type="spellEnd"/>
          </w:p>
        </w:tc>
        <w:tc>
          <w:tcPr>
            <w:tcW w:w="992" w:type="dxa"/>
            <w:noWrap/>
          </w:tcPr>
          <w:p w14:paraId="24FADD7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37650</w:t>
            </w:r>
          </w:p>
        </w:tc>
        <w:tc>
          <w:tcPr>
            <w:tcW w:w="992" w:type="dxa"/>
            <w:noWrap/>
          </w:tcPr>
          <w:p w14:paraId="470F03E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37650</w:t>
            </w:r>
          </w:p>
        </w:tc>
        <w:tc>
          <w:tcPr>
            <w:tcW w:w="1276" w:type="dxa"/>
          </w:tcPr>
          <w:p w14:paraId="2615C7C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Administrative coding (medication and ICD-10)</w:t>
            </w:r>
          </w:p>
        </w:tc>
        <w:tc>
          <w:tcPr>
            <w:tcW w:w="709" w:type="dxa"/>
          </w:tcPr>
          <w:p w14:paraId="2C9DF7BC"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tcPr>
          <w:p w14:paraId="4335A3F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noWrap/>
          </w:tcPr>
          <w:p w14:paraId="7BE0FFB1"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noWrap/>
          </w:tcPr>
          <w:p w14:paraId="01BE20E4"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&gt;1</w:t>
            </w:r>
          </w:p>
        </w:tc>
        <w:tc>
          <w:tcPr>
            <w:tcW w:w="708" w:type="dxa"/>
          </w:tcPr>
          <w:p w14:paraId="76007A6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3-17</w:t>
            </w:r>
          </w:p>
        </w:tc>
        <w:tc>
          <w:tcPr>
            <w:tcW w:w="850" w:type="dxa"/>
            <w:noWrap/>
          </w:tcPr>
          <w:p w14:paraId="355BE2E1"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HR</w:t>
            </w:r>
          </w:p>
        </w:tc>
      </w:tr>
      <w:tr w:rsidR="009B7689" w:rsidRPr="00C862ED" w14:paraId="5232DC33" w14:textId="77777777" w:rsidTr="00137592">
        <w:trPr>
          <w:trHeight w:val="20"/>
        </w:trPr>
        <w:tc>
          <w:tcPr>
            <w:tcW w:w="1384" w:type="dxa"/>
          </w:tcPr>
          <w:p w14:paraId="3E587584"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lastRenderedPageBreak/>
              <w:t xml:space="preserve">Rowe (2004) </w:t>
            </w:r>
          </w:p>
        </w:tc>
        <w:tc>
          <w:tcPr>
            <w:tcW w:w="992" w:type="dxa"/>
          </w:tcPr>
          <w:p w14:paraId="62A1128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UK</w:t>
            </w:r>
          </w:p>
        </w:tc>
        <w:tc>
          <w:tcPr>
            <w:tcW w:w="851" w:type="dxa"/>
          </w:tcPr>
          <w:p w14:paraId="5850D37B"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BCAMHS:99</w:t>
            </w:r>
          </w:p>
        </w:tc>
        <w:tc>
          <w:tcPr>
            <w:tcW w:w="992" w:type="dxa"/>
            <w:noWrap/>
          </w:tcPr>
          <w:p w14:paraId="2FCDFAF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Population-based survey</w:t>
            </w:r>
          </w:p>
        </w:tc>
        <w:tc>
          <w:tcPr>
            <w:tcW w:w="992" w:type="dxa"/>
            <w:noWrap/>
          </w:tcPr>
          <w:p w14:paraId="0C228591" w14:textId="77777777" w:rsidR="009B7689" w:rsidRPr="00C862ED" w:rsidRDefault="009B7689" w:rsidP="00F35634">
            <w:pPr>
              <w:spacing w:line="240" w:lineRule="auto"/>
              <w:rPr>
                <w:rFonts w:ascii="Arial" w:hAnsi="Arial" w:cs="Arial"/>
                <w:szCs w:val="20"/>
                <w:vertAlign w:val="superscript"/>
              </w:rPr>
            </w:pPr>
            <w:r w:rsidRPr="00C862ED">
              <w:rPr>
                <w:rFonts w:ascii="Arial" w:hAnsi="Arial" w:cs="Arial"/>
                <w:sz w:val="22"/>
                <w:szCs w:val="20"/>
              </w:rPr>
              <w:t>10073</w:t>
            </w:r>
            <w:r w:rsidRPr="00C862ED">
              <w:rPr>
                <w:rFonts w:ascii="Arial" w:hAnsi="Arial" w:cs="Arial"/>
                <w:sz w:val="22"/>
                <w:szCs w:val="20"/>
                <w:vertAlign w:val="superscript"/>
              </w:rPr>
              <w:t>b</w:t>
            </w:r>
          </w:p>
        </w:tc>
        <w:tc>
          <w:tcPr>
            <w:tcW w:w="992" w:type="dxa"/>
            <w:noWrap/>
          </w:tcPr>
          <w:p w14:paraId="236AD45C" w14:textId="77777777" w:rsidR="009B7689" w:rsidRPr="00C862ED" w:rsidRDefault="009B7689" w:rsidP="00F35634">
            <w:pPr>
              <w:spacing w:line="240" w:lineRule="auto"/>
              <w:rPr>
                <w:rFonts w:ascii="Arial" w:hAnsi="Arial" w:cs="Arial"/>
                <w:szCs w:val="20"/>
                <w:vertAlign w:val="superscript"/>
              </w:rPr>
            </w:pPr>
            <w:r w:rsidRPr="00C862ED">
              <w:rPr>
                <w:rFonts w:ascii="Arial" w:hAnsi="Arial" w:cs="Arial"/>
                <w:sz w:val="22"/>
                <w:szCs w:val="20"/>
              </w:rPr>
              <w:t>365</w:t>
            </w:r>
            <w:r w:rsidRPr="00C862ED">
              <w:rPr>
                <w:rFonts w:ascii="Arial" w:hAnsi="Arial" w:cs="Arial"/>
                <w:sz w:val="22"/>
                <w:szCs w:val="20"/>
                <w:vertAlign w:val="superscript"/>
              </w:rPr>
              <w:t>b</w:t>
            </w:r>
          </w:p>
        </w:tc>
        <w:tc>
          <w:tcPr>
            <w:tcW w:w="1276" w:type="dxa"/>
          </w:tcPr>
          <w:p w14:paraId="5461883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DSM-IV</w:t>
            </w:r>
          </w:p>
        </w:tc>
        <w:tc>
          <w:tcPr>
            <w:tcW w:w="709" w:type="dxa"/>
          </w:tcPr>
          <w:p w14:paraId="3CB47C8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tcPr>
          <w:p w14:paraId="731B18B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noWrap/>
          </w:tcPr>
          <w:p w14:paraId="719123F6"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noWrap/>
          </w:tcPr>
          <w:p w14:paraId="681D86C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&gt;1</w:t>
            </w:r>
          </w:p>
        </w:tc>
        <w:tc>
          <w:tcPr>
            <w:tcW w:w="708" w:type="dxa"/>
          </w:tcPr>
          <w:p w14:paraId="4FC88E95"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5-15</w:t>
            </w:r>
          </w:p>
        </w:tc>
        <w:tc>
          <w:tcPr>
            <w:tcW w:w="850" w:type="dxa"/>
            <w:noWrap/>
          </w:tcPr>
          <w:p w14:paraId="5695F70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OR</w:t>
            </w:r>
          </w:p>
        </w:tc>
      </w:tr>
      <w:tr w:rsidR="009B7689" w:rsidRPr="00C862ED" w14:paraId="08009E59" w14:textId="77777777" w:rsidTr="00137592">
        <w:trPr>
          <w:trHeight w:val="20"/>
        </w:trPr>
        <w:tc>
          <w:tcPr>
            <w:tcW w:w="1384" w:type="dxa"/>
          </w:tcPr>
          <w:p w14:paraId="043678C2"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 xml:space="preserve">Silva (2014) </w:t>
            </w:r>
          </w:p>
        </w:tc>
        <w:tc>
          <w:tcPr>
            <w:tcW w:w="992" w:type="dxa"/>
          </w:tcPr>
          <w:p w14:paraId="38C350F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Australia</w:t>
            </w:r>
          </w:p>
        </w:tc>
        <w:tc>
          <w:tcPr>
            <w:tcW w:w="851" w:type="dxa"/>
            <w:noWrap/>
          </w:tcPr>
          <w:p w14:paraId="3806E1B0"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MNS</w:t>
            </w:r>
          </w:p>
        </w:tc>
        <w:tc>
          <w:tcPr>
            <w:tcW w:w="992" w:type="dxa"/>
            <w:noWrap/>
          </w:tcPr>
          <w:p w14:paraId="7B0CE65D" w14:textId="77777777" w:rsidR="009B7689" w:rsidRPr="00DB152E" w:rsidRDefault="009B7689" w:rsidP="00F35634">
            <w:pPr>
              <w:spacing w:line="240" w:lineRule="auto"/>
              <w:rPr>
                <w:rFonts w:ascii="Arial" w:hAnsi="Arial" w:cs="Arial"/>
                <w:szCs w:val="20"/>
              </w:rPr>
            </w:pPr>
            <w:r w:rsidRPr="00C862ED">
              <w:rPr>
                <w:rFonts w:ascii="Arial" w:hAnsi="Arial" w:cs="Arial"/>
                <w:sz w:val="22"/>
                <w:szCs w:val="20"/>
              </w:rPr>
              <w:t>Registry</w:t>
            </w:r>
          </w:p>
        </w:tc>
        <w:tc>
          <w:tcPr>
            <w:tcW w:w="992" w:type="dxa"/>
          </w:tcPr>
          <w:p w14:paraId="38EE7E4A"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5363</w:t>
            </w:r>
          </w:p>
        </w:tc>
        <w:tc>
          <w:tcPr>
            <w:tcW w:w="992" w:type="dxa"/>
          </w:tcPr>
          <w:p w14:paraId="306FA424" w14:textId="77777777" w:rsidR="009B7689" w:rsidRPr="00C862ED" w:rsidRDefault="009B7689" w:rsidP="00F35634">
            <w:pPr>
              <w:spacing w:line="240" w:lineRule="auto"/>
              <w:rPr>
                <w:rFonts w:ascii="Arial" w:hAnsi="Arial" w:cs="Arial"/>
                <w:sz w:val="20"/>
                <w:szCs w:val="20"/>
              </w:rPr>
            </w:pPr>
            <w:r w:rsidRPr="00C862ED">
              <w:rPr>
                <w:rFonts w:ascii="Arial" w:hAnsi="Arial" w:cs="Arial"/>
                <w:sz w:val="20"/>
                <w:szCs w:val="20"/>
              </w:rPr>
              <w:t>8896</w:t>
            </w:r>
          </w:p>
          <w:p w14:paraId="45F8C8F4" w14:textId="77777777" w:rsidR="009B7689" w:rsidRPr="00C862ED" w:rsidRDefault="009B7689" w:rsidP="00F35634">
            <w:pPr>
              <w:spacing w:line="240" w:lineRule="auto"/>
              <w:rPr>
                <w:rFonts w:ascii="Arial" w:hAnsi="Arial" w:cs="Arial"/>
                <w:szCs w:val="20"/>
              </w:rPr>
            </w:pPr>
          </w:p>
        </w:tc>
        <w:tc>
          <w:tcPr>
            <w:tcW w:w="1276" w:type="dxa"/>
          </w:tcPr>
          <w:p w14:paraId="7442043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Administrative coding (ICD-9 and ICD-10)</w:t>
            </w:r>
          </w:p>
        </w:tc>
        <w:tc>
          <w:tcPr>
            <w:tcW w:w="709" w:type="dxa"/>
          </w:tcPr>
          <w:p w14:paraId="23A9A2E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78.3</w:t>
            </w:r>
          </w:p>
        </w:tc>
        <w:tc>
          <w:tcPr>
            <w:tcW w:w="709" w:type="dxa"/>
          </w:tcPr>
          <w:p w14:paraId="3DDC4739"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78</w:t>
            </w:r>
          </w:p>
        </w:tc>
        <w:tc>
          <w:tcPr>
            <w:tcW w:w="709" w:type="dxa"/>
            <w:noWrap/>
          </w:tcPr>
          <w:p w14:paraId="46A5297A"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100</w:t>
            </w:r>
          </w:p>
        </w:tc>
        <w:tc>
          <w:tcPr>
            <w:tcW w:w="709" w:type="dxa"/>
            <w:noWrap/>
          </w:tcPr>
          <w:p w14:paraId="49350A02"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&gt;1</w:t>
            </w:r>
          </w:p>
        </w:tc>
        <w:tc>
          <w:tcPr>
            <w:tcW w:w="708" w:type="dxa"/>
          </w:tcPr>
          <w:p w14:paraId="12CDBCA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0-4</w:t>
            </w:r>
          </w:p>
        </w:tc>
        <w:tc>
          <w:tcPr>
            <w:tcW w:w="850" w:type="dxa"/>
            <w:noWrap/>
          </w:tcPr>
          <w:p w14:paraId="01ED4F1C"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OR</w:t>
            </w:r>
          </w:p>
        </w:tc>
      </w:tr>
      <w:tr w:rsidR="009B7689" w:rsidRPr="00C862ED" w14:paraId="4B659E5C" w14:textId="77777777" w:rsidTr="00137592">
        <w:trPr>
          <w:trHeight w:val="20"/>
        </w:trPr>
        <w:tc>
          <w:tcPr>
            <w:tcW w:w="1384" w:type="dxa"/>
          </w:tcPr>
          <w:p w14:paraId="1AC76027" w14:textId="77777777" w:rsidR="009B7689" w:rsidRPr="00C862ED" w:rsidRDefault="009B7689" w:rsidP="00F35634">
            <w:pPr>
              <w:spacing w:line="240" w:lineRule="auto"/>
              <w:rPr>
                <w:rFonts w:ascii="Arial" w:hAnsi="Arial" w:cs="Arial"/>
                <w:szCs w:val="20"/>
              </w:rPr>
            </w:pPr>
            <w:proofErr w:type="spellStart"/>
            <w:r w:rsidRPr="00C862ED">
              <w:rPr>
                <w:rFonts w:ascii="Arial" w:hAnsi="Arial" w:cs="Arial"/>
                <w:sz w:val="22"/>
                <w:szCs w:val="20"/>
              </w:rPr>
              <w:t>Swensen</w:t>
            </w:r>
            <w:proofErr w:type="spellEnd"/>
            <w:r w:rsidRPr="00C862ED">
              <w:rPr>
                <w:rFonts w:ascii="Arial" w:hAnsi="Arial" w:cs="Arial"/>
                <w:sz w:val="22"/>
                <w:szCs w:val="20"/>
              </w:rPr>
              <w:t xml:space="preserve"> (2004) </w:t>
            </w:r>
          </w:p>
        </w:tc>
        <w:tc>
          <w:tcPr>
            <w:tcW w:w="992" w:type="dxa"/>
          </w:tcPr>
          <w:p w14:paraId="6DC07BE4"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US</w:t>
            </w:r>
          </w:p>
        </w:tc>
        <w:tc>
          <w:tcPr>
            <w:tcW w:w="851" w:type="dxa"/>
          </w:tcPr>
          <w:p w14:paraId="0C5DD294"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 </w:t>
            </w:r>
          </w:p>
        </w:tc>
        <w:tc>
          <w:tcPr>
            <w:tcW w:w="992" w:type="dxa"/>
            <w:noWrap/>
          </w:tcPr>
          <w:p w14:paraId="0664337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Registry</w:t>
            </w:r>
          </w:p>
        </w:tc>
        <w:tc>
          <w:tcPr>
            <w:tcW w:w="992" w:type="dxa"/>
          </w:tcPr>
          <w:p w14:paraId="4D17ECF8"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1308</w:t>
            </w:r>
          </w:p>
        </w:tc>
        <w:tc>
          <w:tcPr>
            <w:tcW w:w="992" w:type="dxa"/>
          </w:tcPr>
          <w:p w14:paraId="29EAC687"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1308</w:t>
            </w:r>
          </w:p>
        </w:tc>
        <w:tc>
          <w:tcPr>
            <w:tcW w:w="1276" w:type="dxa"/>
          </w:tcPr>
          <w:p w14:paraId="2ECEFA1E"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Administrative coding (Other ICD)</w:t>
            </w:r>
          </w:p>
        </w:tc>
        <w:tc>
          <w:tcPr>
            <w:tcW w:w="709" w:type="dxa"/>
          </w:tcPr>
          <w:p w14:paraId="555E18E7"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73.2</w:t>
            </w:r>
          </w:p>
        </w:tc>
        <w:tc>
          <w:tcPr>
            <w:tcW w:w="709" w:type="dxa"/>
          </w:tcPr>
          <w:p w14:paraId="15EE451D"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73.2</w:t>
            </w:r>
          </w:p>
        </w:tc>
        <w:tc>
          <w:tcPr>
            <w:tcW w:w="709" w:type="dxa"/>
            <w:noWrap/>
          </w:tcPr>
          <w:p w14:paraId="70DE324A"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NR</w:t>
            </w:r>
          </w:p>
        </w:tc>
        <w:tc>
          <w:tcPr>
            <w:tcW w:w="709" w:type="dxa"/>
            <w:noWrap/>
          </w:tcPr>
          <w:p w14:paraId="173C2909"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&lt;1</w:t>
            </w:r>
          </w:p>
        </w:tc>
        <w:tc>
          <w:tcPr>
            <w:tcW w:w="708" w:type="dxa"/>
            <w:noWrap/>
          </w:tcPr>
          <w:p w14:paraId="79FF0453" w14:textId="77777777" w:rsidR="009B7689" w:rsidRPr="00C862ED" w:rsidRDefault="009B7689" w:rsidP="00FB37EF">
            <w:pPr>
              <w:spacing w:line="240" w:lineRule="auto"/>
              <w:rPr>
                <w:rFonts w:ascii="Arial" w:hAnsi="Arial" w:cs="Arial"/>
                <w:szCs w:val="20"/>
              </w:rPr>
            </w:pPr>
            <w:r w:rsidRPr="00C862ED">
              <w:rPr>
                <w:rFonts w:ascii="Arial" w:hAnsi="Arial" w:cs="Arial"/>
                <w:sz w:val="22"/>
                <w:szCs w:val="20"/>
              </w:rPr>
              <w:t>Any (17% over 18)</w:t>
            </w:r>
          </w:p>
        </w:tc>
        <w:tc>
          <w:tcPr>
            <w:tcW w:w="850" w:type="dxa"/>
            <w:noWrap/>
          </w:tcPr>
          <w:p w14:paraId="4431F3E0" w14:textId="77777777" w:rsidR="009B7689" w:rsidRPr="00C862ED" w:rsidRDefault="009B7689" w:rsidP="00F35634">
            <w:pPr>
              <w:spacing w:line="240" w:lineRule="auto"/>
              <w:rPr>
                <w:rFonts w:ascii="Arial" w:hAnsi="Arial" w:cs="Arial"/>
                <w:szCs w:val="20"/>
              </w:rPr>
            </w:pPr>
            <w:r w:rsidRPr="00C862ED">
              <w:rPr>
                <w:rFonts w:ascii="Arial" w:hAnsi="Arial" w:cs="Arial"/>
                <w:sz w:val="22"/>
                <w:szCs w:val="20"/>
              </w:rPr>
              <w:t>OR</w:t>
            </w:r>
          </w:p>
        </w:tc>
      </w:tr>
    </w:tbl>
    <w:p w14:paraId="1478FBED" w14:textId="77777777" w:rsidR="009D7E78" w:rsidRPr="00C862ED" w:rsidRDefault="009D7E78" w:rsidP="009C0204">
      <w:pPr>
        <w:spacing w:after="160" w:line="259" w:lineRule="auto"/>
        <w:rPr>
          <w:sz w:val="22"/>
          <w:szCs w:val="22"/>
        </w:rPr>
      </w:pPr>
    </w:p>
    <w:p w14:paraId="00657809" w14:textId="77777777" w:rsidR="006603B3" w:rsidRPr="00137592" w:rsidRDefault="009D7E78" w:rsidP="00847F22">
      <w:pPr>
        <w:pStyle w:val="Sinespaciado"/>
        <w:rPr>
          <w:b/>
          <w:sz w:val="22"/>
          <w:szCs w:val="22"/>
          <w:lang w:val="en-US"/>
        </w:rPr>
      </w:pPr>
      <w:r w:rsidRPr="00137592">
        <w:rPr>
          <w:b/>
          <w:sz w:val="22"/>
          <w:szCs w:val="22"/>
          <w:lang w:val="en-US"/>
        </w:rPr>
        <w:t>Tabl</w:t>
      </w:r>
      <w:r w:rsidR="006603B3" w:rsidRPr="00137592">
        <w:rPr>
          <w:b/>
          <w:sz w:val="22"/>
          <w:szCs w:val="22"/>
          <w:lang w:val="en-US"/>
        </w:rPr>
        <w:t>e legend</w:t>
      </w:r>
    </w:p>
    <w:p w14:paraId="4FBAA8F1" w14:textId="0A58C209" w:rsidR="009D7E78" w:rsidRPr="00C862ED" w:rsidRDefault="009D7E78" w:rsidP="00847F22">
      <w:pPr>
        <w:pStyle w:val="Sinespaciado"/>
        <w:rPr>
          <w:sz w:val="22"/>
          <w:szCs w:val="22"/>
          <w:lang w:val="en-US"/>
        </w:rPr>
      </w:pPr>
      <w:r w:rsidRPr="00C862ED">
        <w:rPr>
          <w:sz w:val="22"/>
          <w:szCs w:val="22"/>
          <w:lang w:val="en-US"/>
        </w:rPr>
        <w:t>Country: country where data were collected; Sample: abbreviated name of the sample originating the data; % medicated: percentage of medicated individuals</w:t>
      </w:r>
      <w:r w:rsidR="00341640" w:rsidRPr="00C862ED">
        <w:rPr>
          <w:sz w:val="22"/>
          <w:szCs w:val="22"/>
          <w:lang w:val="en-US"/>
        </w:rPr>
        <w:t xml:space="preserve"> with ADHD</w:t>
      </w:r>
      <w:r w:rsidRPr="00C862ED">
        <w:rPr>
          <w:sz w:val="22"/>
          <w:szCs w:val="22"/>
          <w:lang w:val="en-US"/>
        </w:rPr>
        <w:t>, duration is duration of follow-up time for occurrence of injuries and is reported as &lt;1 (less or equal to a year) or &gt;1 (more than a year); Age rang</w:t>
      </w:r>
      <w:r w:rsidR="00341640" w:rsidRPr="00C862ED">
        <w:rPr>
          <w:sz w:val="22"/>
          <w:szCs w:val="22"/>
          <w:lang w:val="en-US"/>
        </w:rPr>
        <w:t>e</w:t>
      </w:r>
      <w:r w:rsidRPr="00C862ED">
        <w:rPr>
          <w:sz w:val="22"/>
          <w:szCs w:val="22"/>
          <w:lang w:val="en-US"/>
        </w:rPr>
        <w:t xml:space="preserve"> at injury; NR: not reported; NA: not applicable</w:t>
      </w:r>
    </w:p>
    <w:p w14:paraId="46EFFDD1" w14:textId="77777777" w:rsidR="009D7E78" w:rsidRPr="00C862ED" w:rsidRDefault="009D7E78" w:rsidP="00847F22">
      <w:pPr>
        <w:spacing w:after="160" w:line="259" w:lineRule="auto"/>
        <w:rPr>
          <w:sz w:val="22"/>
          <w:szCs w:val="22"/>
        </w:rPr>
      </w:pPr>
    </w:p>
    <w:p w14:paraId="7FE92219" w14:textId="77777777" w:rsidR="009D7E78" w:rsidRPr="00C862ED" w:rsidRDefault="009D7E78" w:rsidP="00847F22">
      <w:pPr>
        <w:spacing w:line="240" w:lineRule="auto"/>
        <w:rPr>
          <w:sz w:val="22"/>
          <w:szCs w:val="22"/>
        </w:rPr>
      </w:pPr>
      <w:r w:rsidRPr="00C862ED">
        <w:rPr>
          <w:sz w:val="22"/>
          <w:szCs w:val="22"/>
        </w:rPr>
        <w:t xml:space="preserve">a= Obtained from biggest </w:t>
      </w:r>
      <w:r w:rsidR="00C73DDF" w:rsidRPr="00C862ED">
        <w:rPr>
          <w:sz w:val="22"/>
          <w:szCs w:val="22"/>
        </w:rPr>
        <w:t>outcome</w:t>
      </w:r>
    </w:p>
    <w:p w14:paraId="2DCE1DDB" w14:textId="0A188CBE" w:rsidR="009D7E78" w:rsidRPr="00C862ED" w:rsidRDefault="009D7E78" w:rsidP="00847F22">
      <w:pPr>
        <w:spacing w:line="240" w:lineRule="auto"/>
        <w:rPr>
          <w:sz w:val="22"/>
          <w:szCs w:val="22"/>
        </w:rPr>
      </w:pPr>
      <w:r w:rsidRPr="00C862ED">
        <w:rPr>
          <w:sz w:val="22"/>
          <w:szCs w:val="22"/>
        </w:rPr>
        <w:t xml:space="preserve">b= Estimated from total (3.5% of total for individuals </w:t>
      </w:r>
      <w:r w:rsidR="00341640" w:rsidRPr="00C862ED">
        <w:rPr>
          <w:sz w:val="22"/>
          <w:szCs w:val="22"/>
        </w:rPr>
        <w:t xml:space="preserve">with ADHD </w:t>
      </w:r>
      <w:r w:rsidRPr="00C862ED">
        <w:rPr>
          <w:sz w:val="22"/>
          <w:szCs w:val="22"/>
        </w:rPr>
        <w:t>and 96.5 for individuals without ADHD)</w:t>
      </w:r>
      <w:r w:rsidR="00E03B13" w:rsidRPr="00DB152E">
        <w:rPr>
          <w:sz w:val="22"/>
          <w:szCs w:val="22"/>
        </w:rPr>
        <w:fldChar w:fldCharType="begin" w:fldLock="1"/>
      </w:r>
      <w:r w:rsidR="00487110" w:rsidRPr="00C862ED">
        <w:rPr>
          <w:sz w:val="22"/>
          <w:szCs w:val="22"/>
        </w:rPr>
        <w:instrText>ADDIN CSL_CITATION { "citationItems" : [ { "id" : "ITEM-1", "itemData" : { "DOI" : "10.1093/ije/dyt261", "ISBN" : "1464-3685 (Electronic)\\r0300-5771 (Linking)", "ISSN" : "14643685", "PMID" : "24464188", "abstract" : "BACKGROUND: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 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 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 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 "author" : [ { "dropping-particle" : "V.", "family" : "Polanczyk", "given" : "Guilherme", "non-dropping-particle" : "", "parse-names" : false, "suffix" : "" }, { "dropping-particle" : "", "family" : "Willcutt", "given" : "Erik G.", "non-dropping-particle" : "", "parse-names" : false, "suffix" : "" }, { "dropping-particle" : "", "family" : "Salum", "given" : "Giovanni A.", "non-dropping-particle" : "", "parse-names" : false, "suffix" : "" }, { "dropping-particle" : "", "family" : "Kieling", "given" : "Christian", "non-dropping-particle" : "", "parse-names" : false, "suffix" : "" }, { "dropping-particle" : "", "family" : "Rohde", "given" : "Luis A.", "non-dropping-particle" : "", "parse-names" : false, "suffix" : "" } ], "container-title" : "International Journal of Epidemiology", "id" : "ITEM-1", "issue" : "2", "issued" : { "date-parts" : [ [ "2014" ] ] }, "page" : "434-442", "title" : "ADHD prevalence estimates across three decades: An updated systematic review and meta-regression analysis", "type" : "article-journal", "volume" : "43" }, "uris" : [ "http://www.mendeley.com/documents/?uuid=11e8b8a2-1d12-41e8-ad1c-fe4cbb86a91f" ] } ], "mendeley" : { "formattedCitation" : "&lt;sup&gt;70&lt;/sup&gt;", "plainTextFormattedCitation" : "70", "previouslyFormattedCitation" : "&lt;sup&gt;70&lt;/sup&gt;" }, "properties" : {  }, "schema" : "https://github.com/citation-style-language/schema/raw/master/csl-citation.json" }</w:instrText>
      </w:r>
      <w:r w:rsidR="00E03B13" w:rsidRPr="00DB152E">
        <w:rPr>
          <w:sz w:val="22"/>
          <w:szCs w:val="22"/>
        </w:rPr>
        <w:fldChar w:fldCharType="separate"/>
      </w:r>
      <w:r w:rsidR="00487110" w:rsidRPr="00DB152E">
        <w:rPr>
          <w:noProof/>
          <w:sz w:val="22"/>
          <w:szCs w:val="22"/>
          <w:vertAlign w:val="superscript"/>
        </w:rPr>
        <w:t>70</w:t>
      </w:r>
      <w:r w:rsidR="00E03B13" w:rsidRPr="00DB152E">
        <w:rPr>
          <w:sz w:val="22"/>
          <w:szCs w:val="22"/>
        </w:rPr>
        <w:fldChar w:fldCharType="end"/>
      </w:r>
    </w:p>
    <w:p w14:paraId="575C2F4D" w14:textId="77777777" w:rsidR="009D7E78" w:rsidRPr="00C862ED" w:rsidRDefault="009D7E78" w:rsidP="00847F22">
      <w:pPr>
        <w:spacing w:line="240" w:lineRule="auto"/>
        <w:rPr>
          <w:sz w:val="22"/>
          <w:szCs w:val="22"/>
        </w:rPr>
      </w:pPr>
      <w:r w:rsidRPr="00C862ED">
        <w:rPr>
          <w:sz w:val="22"/>
          <w:szCs w:val="22"/>
        </w:rPr>
        <w:t>c=number obtained from article(s) reporting poisoning</w:t>
      </w:r>
    </w:p>
    <w:p w14:paraId="068F8786" w14:textId="33BF5A10" w:rsidR="009D7E78" w:rsidRPr="00C862ED" w:rsidRDefault="009D7E78" w:rsidP="00033B37">
      <w:pPr>
        <w:spacing w:line="240" w:lineRule="auto"/>
        <w:rPr>
          <w:sz w:val="22"/>
          <w:szCs w:val="22"/>
        </w:rPr>
      </w:pPr>
      <w:r w:rsidRPr="00C862ED">
        <w:rPr>
          <w:sz w:val="22"/>
          <w:szCs w:val="22"/>
        </w:rPr>
        <w:t xml:space="preserve">d=averaged between </w:t>
      </w:r>
      <w:r w:rsidR="000C48AB" w:rsidRPr="00C862ED">
        <w:rPr>
          <w:sz w:val="22"/>
          <w:szCs w:val="22"/>
        </w:rPr>
        <w:t>outcome</w:t>
      </w:r>
      <w:r w:rsidR="009B7689" w:rsidRPr="00C862ED">
        <w:rPr>
          <w:sz w:val="22"/>
          <w:szCs w:val="22"/>
        </w:rPr>
        <w:t>s</w:t>
      </w:r>
    </w:p>
    <w:p w14:paraId="4B4EDE65" w14:textId="77777777" w:rsidR="00480F79" w:rsidRPr="00C862ED" w:rsidRDefault="00480F79">
      <w:pPr>
        <w:spacing w:line="240" w:lineRule="auto"/>
        <w:rPr>
          <w:sz w:val="22"/>
          <w:szCs w:val="22"/>
        </w:rPr>
      </w:pPr>
      <w:r w:rsidRPr="00C862ED">
        <w:rPr>
          <w:sz w:val="22"/>
          <w:szCs w:val="22"/>
        </w:rPr>
        <w:br w:type="page"/>
      </w:r>
    </w:p>
    <w:p w14:paraId="75BB3DCA" w14:textId="46CF794C" w:rsidR="009B7689" w:rsidRPr="00C862ED" w:rsidRDefault="009B7689" w:rsidP="009B7689">
      <w:pPr>
        <w:spacing w:after="160" w:line="360" w:lineRule="auto"/>
        <w:rPr>
          <w:rStyle w:val="Textoennegrita"/>
          <w:sz w:val="28"/>
          <w:szCs w:val="28"/>
        </w:rPr>
      </w:pPr>
      <w:r w:rsidRPr="00C862ED">
        <w:rPr>
          <w:rStyle w:val="Textoennegrita"/>
          <w:sz w:val="28"/>
          <w:szCs w:val="28"/>
        </w:rPr>
        <w:lastRenderedPageBreak/>
        <w:t xml:space="preserve">Table 2: </w:t>
      </w:r>
      <w:r w:rsidR="00D510E4" w:rsidRPr="00C862ED">
        <w:rPr>
          <w:rStyle w:val="Textoennegrita"/>
          <w:sz w:val="28"/>
          <w:szCs w:val="28"/>
        </w:rPr>
        <w:t>Identification of poisoning cases</w:t>
      </w:r>
    </w:p>
    <w:tbl>
      <w:tblPr>
        <w:tblW w:w="4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5"/>
        <w:gridCol w:w="2224"/>
        <w:gridCol w:w="3685"/>
        <w:gridCol w:w="3260"/>
      </w:tblGrid>
      <w:tr w:rsidR="00D510E4" w:rsidRPr="00C862ED" w14:paraId="7CAAB5D9" w14:textId="77777777" w:rsidTr="00137592">
        <w:trPr>
          <w:trHeight w:val="20"/>
        </w:trPr>
        <w:tc>
          <w:tcPr>
            <w:tcW w:w="1397" w:type="pct"/>
          </w:tcPr>
          <w:p w14:paraId="1225C4B2" w14:textId="77777777" w:rsidR="009B7689" w:rsidRPr="00137592" w:rsidRDefault="009B7689" w:rsidP="00BE5E31">
            <w:pPr>
              <w:spacing w:line="240" w:lineRule="auto"/>
              <w:rPr>
                <w:rFonts w:ascii="Arial" w:hAnsi="Arial" w:cs="Arial"/>
                <w:b/>
                <w:bCs/>
                <w:szCs w:val="20"/>
              </w:rPr>
            </w:pPr>
            <w:r w:rsidRPr="00137592">
              <w:rPr>
                <w:rFonts w:ascii="Arial" w:hAnsi="Arial" w:cs="Arial"/>
                <w:b/>
                <w:bCs/>
                <w:sz w:val="22"/>
                <w:szCs w:val="20"/>
              </w:rPr>
              <w:t>Name</w:t>
            </w:r>
          </w:p>
        </w:tc>
        <w:tc>
          <w:tcPr>
            <w:tcW w:w="874" w:type="pct"/>
          </w:tcPr>
          <w:p w14:paraId="4DF7ADD7" w14:textId="67E6D2E5" w:rsidR="009B7689" w:rsidRPr="00C862ED" w:rsidRDefault="009B7689" w:rsidP="009B7689">
            <w:pPr>
              <w:spacing w:line="240" w:lineRule="auto"/>
              <w:rPr>
                <w:rFonts w:ascii="Arial" w:hAnsi="Arial" w:cs="Arial"/>
                <w:b/>
                <w:bCs/>
                <w:sz w:val="22"/>
                <w:szCs w:val="20"/>
              </w:rPr>
            </w:pPr>
            <w:r w:rsidRPr="00C862ED">
              <w:rPr>
                <w:rFonts w:ascii="Arial" w:hAnsi="Arial" w:cs="Arial"/>
                <w:b/>
                <w:bCs/>
                <w:sz w:val="22"/>
                <w:szCs w:val="20"/>
              </w:rPr>
              <w:t>Method for diagnosis</w:t>
            </w:r>
          </w:p>
        </w:tc>
        <w:tc>
          <w:tcPr>
            <w:tcW w:w="1448" w:type="pct"/>
          </w:tcPr>
          <w:p w14:paraId="31D4EE64" w14:textId="77777777" w:rsidR="009B7689" w:rsidRPr="00C862ED" w:rsidRDefault="009B7689" w:rsidP="00BE5E31">
            <w:pPr>
              <w:spacing w:line="240" w:lineRule="auto"/>
              <w:rPr>
                <w:rFonts w:ascii="Arial" w:hAnsi="Arial" w:cs="Arial"/>
                <w:b/>
                <w:bCs/>
                <w:sz w:val="22"/>
                <w:szCs w:val="20"/>
              </w:rPr>
            </w:pPr>
            <w:r w:rsidRPr="00C862ED">
              <w:rPr>
                <w:rFonts w:ascii="Arial" w:hAnsi="Arial" w:cs="Arial"/>
                <w:b/>
                <w:bCs/>
                <w:sz w:val="22"/>
                <w:szCs w:val="20"/>
              </w:rPr>
              <w:t>Classification system(s): codes</w:t>
            </w:r>
          </w:p>
        </w:tc>
        <w:tc>
          <w:tcPr>
            <w:tcW w:w="1281" w:type="pct"/>
          </w:tcPr>
          <w:p w14:paraId="50CA51A3" w14:textId="77777777" w:rsidR="009B7689" w:rsidRPr="00C862ED" w:rsidRDefault="009B7689" w:rsidP="00BE5E31">
            <w:pPr>
              <w:spacing w:line="240" w:lineRule="auto"/>
              <w:rPr>
                <w:rFonts w:ascii="Arial" w:hAnsi="Arial" w:cs="Arial"/>
                <w:b/>
                <w:bCs/>
                <w:sz w:val="22"/>
                <w:szCs w:val="20"/>
              </w:rPr>
            </w:pPr>
            <w:r w:rsidRPr="00C862ED">
              <w:rPr>
                <w:rFonts w:ascii="Arial" w:hAnsi="Arial" w:cs="Arial"/>
                <w:b/>
                <w:bCs/>
                <w:sz w:val="22"/>
                <w:szCs w:val="20"/>
              </w:rPr>
              <w:t>Types of poisoning</w:t>
            </w:r>
          </w:p>
        </w:tc>
      </w:tr>
      <w:tr w:rsidR="00D510E4" w:rsidRPr="00C862ED" w14:paraId="5CB933B8" w14:textId="77777777" w:rsidTr="00137592">
        <w:trPr>
          <w:trHeight w:val="20"/>
        </w:trPr>
        <w:tc>
          <w:tcPr>
            <w:tcW w:w="1397" w:type="pct"/>
          </w:tcPr>
          <w:p w14:paraId="3C0F4BA8" w14:textId="7A9B394F" w:rsidR="009B7689" w:rsidRPr="00137592" w:rsidRDefault="009B7689" w:rsidP="00874EE3">
            <w:pPr>
              <w:spacing w:line="240" w:lineRule="auto"/>
              <w:rPr>
                <w:rFonts w:ascii="Arial" w:hAnsi="Arial" w:cs="Arial"/>
                <w:b/>
                <w:bCs/>
                <w:szCs w:val="20"/>
              </w:rPr>
            </w:pPr>
            <w:proofErr w:type="spellStart"/>
            <w:r w:rsidRPr="00C862ED">
              <w:rPr>
                <w:rFonts w:ascii="Arial" w:hAnsi="Arial" w:cs="Arial"/>
                <w:szCs w:val="20"/>
              </w:rPr>
              <w:t>Brehaut</w:t>
            </w:r>
            <w:proofErr w:type="spellEnd"/>
            <w:r w:rsidRPr="00C862ED">
              <w:rPr>
                <w:rFonts w:ascii="Arial" w:hAnsi="Arial" w:cs="Arial"/>
                <w:szCs w:val="20"/>
              </w:rPr>
              <w:t xml:space="preserve"> (2003)</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"10.1542/peds.111.2.262", "ISSN" : "1098-4275", "PMID" : "12563049", "abstract" : "CONTEXT While an association between pediatric behavioral disorders and injuries is generally acknowledged, no studies have measured the risk for injury in the context of a large, population-based study that is free of cohort biases. OBJECTIVES To examine the association between childhood behavior disorders ([CBDs] as indicated by prescription for methylphenidate [MPH]) and a variety of injury outcomes, and to evaluate the risk for injury among these children after controlling for known demographic correlates. DESIGN Population-based database analysis of all children in British Columbia (BC) under the age of 19 as of December 31, 1996; comparison of those who had been prescribed MPH and therefore placed in the CBD group (n = 16, 806) and those who were not (n = 1,010,067). Demographic information collected was as follows: age, sex, measures of socioeconomic status, and region of residence. OUTCOME MEASURES Common types of childhood injury in BC: International Classification of Diseases, Ninth Revision N-codes (fractures, open wounds, poisoning/toxic effect, concussion, intracranial, burns) and E-codes (falls, postoperative complications, motor vehicle accidents, struck by object, adverse effects of drugs, suffocation, drowning). DATA SOURCE BC Linked Health Data Set and the BC Triplicate Prescription Program. RESULTS After controlling for known demographic correlates, odds for injury was greater among those treated with MPH and presumed to have a behavioral disorder, when injury was characterized either by type (1.67; 99% confidence interval: 1.54-1.81) or cause (1.52; 99% confidence interval: 1.40-1.66) of injury. This increased risk extended to unexpected categories of injury such as postoperative complications and adverse effects of drugs. CONCLUSIONS Children with CBDs have &gt;1.5 times the odds of sustaining injuries of a variety of types from a variety of causes, even after controlling for known demographic correlates, than those without behavioral disorders. The risks for these children extend beyond those that might be directly associated with impulsivity and overactivity. Injury prevention strategies aimed at this group of children and youth would be beneficial. Policy-makers should account for increased risk of a wide variety of injuries in this group of children and youth.", "author" : [ { "dropping-particle" : "", "family" : "Brehaut", "given" : "Jamie C", "non-dropping-particle" : "", "parse-names" : false, "suffix" : "" }, { "dropping-particle" : "", "family" : "Miller", "given" : "Anton", "non-dropping-particle" : "", "parse-names" : false, "suffix" : "" }, { "dropping-particle" : "", "family" : "Raina", "given" : "Parminder", "non-dropping-particle" : "", "parse-names" : false, "suffix" : "" }, { "dropping-particle" : "", "family" : "McGrail", "given" : "Kimberlyn M", "non-dropping-particle" : "", "parse-names" : false, "suffix" : "" } ], "container-title" : "Pediatrics", "id" : "ITEM-1", "issue" : "2", "issued" : { "date-parts" : [ [ "2003", "2" ] ] }, "note" : "From Duplicate 1 (Childhood Behavior Disorders and Injuries Among Children and Youth: A Population-Based Study. - Brehaut, Jamie C Miller AntonRaina ParminderMcGrail Kimberlyn M)\n\nGonzalo02.\n\nMaite02. \nLa duda es porque con el abstract no puedo descartar que no entre.\n\ncited By 76\n\nFrom Duplicate 2 (Childhood Behavior Disorders and Injuries Among Children and Youth: A Population-Based Study. - Brehaut, Jamie C Miller AntonRaina ParminderMcGrail Kimberlyn M)\n\ncited By 76", "page" : "262-9", "title" : "Childhood behavior disorders and injuries among children and youth: a population-based study.", "type" : "article-journal", "volume" : "111" }, "uris" : [ "http://www.mendeley.com/documents/?uuid=c1da2a8d-a420-41d9-ad2a-11677b856287" ] } ], "mendeley" : { "formattedCitation" : "&lt;sup&gt;22&lt;/sup&gt;", "plainTextFormattedCitation" : "22", "previouslyFormattedCitation" : "&lt;sup&gt;22&lt;/sup&gt;"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22</w:t>
            </w:r>
            <w:r w:rsidR="00F30667" w:rsidRPr="00DB152E">
              <w:rPr>
                <w:rFonts w:ascii="Arial" w:hAnsi="Arial" w:cs="Arial"/>
                <w:sz w:val="20"/>
                <w:szCs w:val="20"/>
              </w:rPr>
              <w:fldChar w:fldCharType="end"/>
            </w:r>
            <w:r w:rsidRPr="00C862ED">
              <w:rPr>
                <w:rFonts w:ascii="Arial" w:hAnsi="Arial" w:cs="Arial"/>
                <w:szCs w:val="20"/>
              </w:rPr>
              <w:t xml:space="preserve"> </w:t>
            </w:r>
          </w:p>
        </w:tc>
        <w:tc>
          <w:tcPr>
            <w:tcW w:w="874" w:type="pct"/>
          </w:tcPr>
          <w:p w14:paraId="31D62F3E" w14:textId="77777777" w:rsidR="009B7689" w:rsidRPr="00C862ED" w:rsidRDefault="009B7689" w:rsidP="00BE5E31">
            <w:pPr>
              <w:spacing w:line="240" w:lineRule="auto"/>
              <w:rPr>
                <w:rFonts w:ascii="Arial" w:hAnsi="Arial" w:cs="Arial"/>
                <w:szCs w:val="20"/>
              </w:rPr>
            </w:pPr>
            <w:r w:rsidRPr="00137592">
              <w:rPr>
                <w:rFonts w:ascii="Arial" w:hAnsi="Arial" w:cs="Arial"/>
                <w:sz w:val="22"/>
                <w:szCs w:val="20"/>
              </w:rPr>
              <w:t>Registry</w:t>
            </w:r>
          </w:p>
        </w:tc>
        <w:tc>
          <w:tcPr>
            <w:tcW w:w="1448" w:type="pct"/>
          </w:tcPr>
          <w:p w14:paraId="00DF34BF"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ICD-9: 960-989</w:t>
            </w:r>
          </w:p>
        </w:tc>
        <w:tc>
          <w:tcPr>
            <w:tcW w:w="1281" w:type="pct"/>
          </w:tcPr>
          <w:p w14:paraId="0DF720FD" w14:textId="77777777" w:rsidR="009B7689" w:rsidRPr="00C862ED" w:rsidRDefault="009B7689" w:rsidP="00BE5E31">
            <w:pPr>
              <w:spacing w:line="240" w:lineRule="auto"/>
              <w:rPr>
                <w:rFonts w:ascii="Arial" w:hAnsi="Arial" w:cs="Arial"/>
                <w:szCs w:val="20"/>
              </w:rPr>
            </w:pPr>
            <w:r w:rsidRPr="00C862ED">
              <w:rPr>
                <w:rFonts w:ascii="Arial" w:hAnsi="Arial" w:cs="Arial"/>
                <w:sz w:val="22"/>
                <w:szCs w:val="20"/>
              </w:rPr>
              <w:t xml:space="preserve">Medicinal and non-medicinal </w:t>
            </w:r>
          </w:p>
        </w:tc>
      </w:tr>
      <w:tr w:rsidR="00D510E4" w:rsidRPr="00C862ED" w14:paraId="59C811F8" w14:textId="77777777" w:rsidTr="00137592">
        <w:trPr>
          <w:trHeight w:val="20"/>
        </w:trPr>
        <w:tc>
          <w:tcPr>
            <w:tcW w:w="1397" w:type="pct"/>
            <w:noWrap/>
          </w:tcPr>
          <w:p w14:paraId="48020CD2" w14:textId="05985872" w:rsidR="009B7689" w:rsidRPr="00C862ED" w:rsidRDefault="009B7689" w:rsidP="00874EE3">
            <w:pPr>
              <w:spacing w:line="240" w:lineRule="auto"/>
              <w:rPr>
                <w:rFonts w:ascii="Arial" w:hAnsi="Arial" w:cs="Arial"/>
                <w:szCs w:val="20"/>
              </w:rPr>
            </w:pPr>
            <w:r w:rsidRPr="00C862ED">
              <w:rPr>
                <w:rFonts w:ascii="Arial" w:hAnsi="Arial" w:cs="Arial"/>
                <w:sz w:val="22"/>
                <w:szCs w:val="20"/>
              </w:rPr>
              <w:t>CPRD-HES: Prasad (2016)</w:t>
            </w:r>
            <w:r w:rsidR="00F30667" w:rsidRPr="00DB152E">
              <w:fldChar w:fldCharType="begin" w:fldLock="1"/>
            </w:r>
            <w:r w:rsidR="00BE5E31" w:rsidRPr="00C862ED">
              <w:instrText>ADDIN CSL_CITATION { "citationItems" : [ { "id" : "ITEM-1",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"ITEM-1",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"mendeley" : { "formattedCitation" : "&lt;sup&gt;23&lt;/sup&gt;", "plainTextFormattedCitation" : "23", "previouslyFormattedCitation" : "&lt;sup&gt;23&lt;/sup&gt;" }, "properties" : {  }, "schema" : "https://github.com/citation-style-language/schema/raw/master/csl-citation.json" }</w:instrText>
            </w:r>
            <w:r w:rsidR="00F30667" w:rsidRPr="00DB152E">
              <w:fldChar w:fldCharType="separate"/>
            </w:r>
            <w:r w:rsidR="00874EE3" w:rsidRPr="00DB152E">
              <w:rPr>
                <w:noProof/>
                <w:vertAlign w:val="superscript"/>
              </w:rPr>
              <w:t>23</w:t>
            </w:r>
            <w:r w:rsidR="00F30667" w:rsidRPr="00DB152E">
              <w:fldChar w:fldCharType="end"/>
            </w:r>
          </w:p>
        </w:tc>
        <w:tc>
          <w:tcPr>
            <w:tcW w:w="874" w:type="pct"/>
          </w:tcPr>
          <w:p w14:paraId="11B2B6E6"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101F4A88"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 xml:space="preserve">ICD-10 and OPCS4 </w:t>
            </w:r>
          </w:p>
        </w:tc>
        <w:tc>
          <w:tcPr>
            <w:tcW w:w="1281" w:type="pct"/>
          </w:tcPr>
          <w:p w14:paraId="1B7B06FE"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and non-medicinal</w:t>
            </w:r>
          </w:p>
        </w:tc>
      </w:tr>
      <w:tr w:rsidR="00D510E4" w:rsidRPr="00C862ED" w14:paraId="6B8A8F6A" w14:textId="77777777" w:rsidTr="00137592">
        <w:trPr>
          <w:trHeight w:val="20"/>
        </w:trPr>
        <w:tc>
          <w:tcPr>
            <w:tcW w:w="1397" w:type="pct"/>
            <w:noWrap/>
          </w:tcPr>
          <w:p w14:paraId="6B662CCF" w14:textId="54F94E6A" w:rsidR="009B7689" w:rsidRPr="00C862ED" w:rsidRDefault="009B7689" w:rsidP="00874EE3">
            <w:pPr>
              <w:spacing w:line="240" w:lineRule="auto"/>
              <w:rPr>
                <w:rFonts w:ascii="Arial" w:hAnsi="Arial" w:cs="Arial"/>
                <w:szCs w:val="20"/>
              </w:rPr>
            </w:pPr>
            <w:proofErr w:type="spellStart"/>
            <w:r w:rsidRPr="00C862ED">
              <w:rPr>
                <w:rFonts w:ascii="Arial" w:hAnsi="Arial" w:cs="Arial"/>
                <w:sz w:val="22"/>
                <w:szCs w:val="20"/>
              </w:rPr>
              <w:t>Hariharan</w:t>
            </w:r>
            <w:proofErr w:type="spellEnd"/>
            <w:r w:rsidRPr="00C862ED">
              <w:rPr>
                <w:rFonts w:ascii="Arial" w:hAnsi="Arial" w:cs="Arial"/>
                <w:sz w:val="22"/>
                <w:szCs w:val="20"/>
              </w:rPr>
              <w:t xml:space="preserve"> (2008)</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"&lt;sup&gt;21&lt;/sup&gt;", "plainTextFormattedCitation" : "21", "previouslyFormattedCitation" : "&lt;sup&gt;21&lt;/sup&gt;"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21</w:t>
            </w:r>
            <w:r w:rsidR="00F30667" w:rsidRPr="00DB152E">
              <w:rPr>
                <w:rFonts w:ascii="Arial" w:hAnsi="Arial" w:cs="Arial"/>
                <w:sz w:val="20"/>
                <w:szCs w:val="20"/>
              </w:rPr>
              <w:fldChar w:fldCharType="end"/>
            </w:r>
          </w:p>
        </w:tc>
        <w:tc>
          <w:tcPr>
            <w:tcW w:w="874" w:type="pct"/>
          </w:tcPr>
          <w:p w14:paraId="49D1F99C"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1761AB9E"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ICD-9</w:t>
            </w:r>
          </w:p>
        </w:tc>
        <w:tc>
          <w:tcPr>
            <w:tcW w:w="1281" w:type="pct"/>
          </w:tcPr>
          <w:p w14:paraId="19018CFD"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(self-taken, not inhaled or by contact).</w:t>
            </w:r>
          </w:p>
        </w:tc>
      </w:tr>
      <w:tr w:rsidR="00D510E4" w:rsidRPr="00C862ED" w14:paraId="676DE026" w14:textId="77777777" w:rsidTr="00137592">
        <w:trPr>
          <w:trHeight w:val="20"/>
        </w:trPr>
        <w:tc>
          <w:tcPr>
            <w:tcW w:w="1397" w:type="pct"/>
            <w:noWrap/>
          </w:tcPr>
          <w:p w14:paraId="3DACB69E" w14:textId="45AB4F2F" w:rsidR="009B7689" w:rsidRPr="00C862ED" w:rsidRDefault="00F30667" w:rsidP="00874EE3">
            <w:pPr>
              <w:spacing w:line="240" w:lineRule="auto"/>
              <w:rPr>
                <w:rFonts w:ascii="Arial" w:hAnsi="Arial" w:cs="Arial"/>
                <w:szCs w:val="20"/>
              </w:rPr>
            </w:pPr>
            <w:proofErr w:type="spellStart"/>
            <w:r w:rsidRPr="00C862ED">
              <w:rPr>
                <w:rFonts w:ascii="Arial" w:hAnsi="Arial" w:cs="Arial"/>
                <w:sz w:val="22"/>
                <w:szCs w:val="20"/>
              </w:rPr>
              <w:t>Hurtig</w:t>
            </w:r>
            <w:proofErr w:type="spellEnd"/>
            <w:r w:rsidRPr="00C862ED">
              <w:rPr>
                <w:rFonts w:ascii="Arial" w:hAnsi="Arial" w:cs="Arial"/>
                <w:sz w:val="22"/>
                <w:szCs w:val="20"/>
              </w:rPr>
              <w:t xml:space="preserve"> (2016)</w:t>
            </w:r>
            <w:r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"mendeley" : { "formattedCitation" : "&lt;sup&gt;24&lt;/sup&gt;", "plainTextFormattedCitation" : "24", "previouslyFormattedCitation" : "&lt;sup&gt;24&lt;/sup&gt;" }, "properties" : {  }, "schema" : "https://github.com/citation-style-language/schema/raw/master/csl-citation.json" }</w:instrText>
            </w:r>
            <w:r w:rsidRPr="00DB152E">
              <w:rPr>
                <w:rFonts w:ascii="Arial" w:hAnsi="Arial" w:cs="Arial"/>
                <w:sz w:val="20"/>
                <w:szCs w:val="20"/>
              </w:rPr>
              <w:fldChar w:fldCharType="separate"/>
            </w:r>
            <w:r w:rsidR="00874EE3" w:rsidRPr="00DB152E">
              <w:rPr>
                <w:rFonts w:ascii="Arial" w:hAnsi="Arial" w:cs="Arial"/>
                <w:noProof/>
                <w:sz w:val="20"/>
                <w:szCs w:val="20"/>
                <w:vertAlign w:val="superscript"/>
              </w:rPr>
              <w:t>24</w:t>
            </w:r>
            <w:r w:rsidRPr="00DB152E">
              <w:rPr>
                <w:rFonts w:ascii="Arial" w:hAnsi="Arial" w:cs="Arial"/>
                <w:sz w:val="20"/>
                <w:szCs w:val="20"/>
              </w:rPr>
              <w:fldChar w:fldCharType="end"/>
            </w:r>
          </w:p>
        </w:tc>
        <w:tc>
          <w:tcPr>
            <w:tcW w:w="874" w:type="pct"/>
          </w:tcPr>
          <w:p w14:paraId="25E68E76"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18F40E26"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ICD-8, ICD-9 and ICD-10</w:t>
            </w:r>
          </w:p>
        </w:tc>
        <w:tc>
          <w:tcPr>
            <w:tcW w:w="1281" w:type="pct"/>
          </w:tcPr>
          <w:p w14:paraId="65CF9401"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and non-medicinal</w:t>
            </w:r>
          </w:p>
        </w:tc>
      </w:tr>
      <w:tr w:rsidR="00D510E4" w:rsidRPr="00C862ED" w14:paraId="4668453F" w14:textId="77777777" w:rsidTr="00137592">
        <w:trPr>
          <w:trHeight w:val="20"/>
        </w:trPr>
        <w:tc>
          <w:tcPr>
            <w:tcW w:w="1397" w:type="pct"/>
            <w:noWrap/>
          </w:tcPr>
          <w:p w14:paraId="7D3D0052" w14:textId="2F526682" w:rsidR="009B7689" w:rsidRPr="00C862ED" w:rsidRDefault="009B7689" w:rsidP="00874EE3">
            <w:pPr>
              <w:spacing w:line="240" w:lineRule="auto"/>
              <w:rPr>
                <w:rFonts w:ascii="Arial" w:hAnsi="Arial" w:cs="Arial"/>
                <w:szCs w:val="20"/>
              </w:rPr>
            </w:pPr>
            <w:r w:rsidRPr="00C862ED">
              <w:rPr>
                <w:rFonts w:ascii="Arial" w:hAnsi="Arial" w:cs="Arial"/>
                <w:sz w:val="22"/>
                <w:szCs w:val="20"/>
              </w:rPr>
              <w:t>LHID: Tai (2013)</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"ITEM-1",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"mendeley" : { "formattedCitation" : "&lt;sup&gt;20&lt;/sup&gt;", "plainTextFormattedCitation" : "20", "previouslyFormattedCitation" : "&lt;sup&gt;20&lt;/sup&gt;"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20</w:t>
            </w:r>
            <w:r w:rsidR="00F30667" w:rsidRPr="00DB152E">
              <w:rPr>
                <w:rFonts w:ascii="Arial" w:hAnsi="Arial" w:cs="Arial"/>
                <w:sz w:val="20"/>
                <w:szCs w:val="20"/>
              </w:rPr>
              <w:fldChar w:fldCharType="end"/>
            </w:r>
          </w:p>
        </w:tc>
        <w:tc>
          <w:tcPr>
            <w:tcW w:w="874" w:type="pct"/>
          </w:tcPr>
          <w:p w14:paraId="284246EC"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11A78C40"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ICD-9: 960-989</w:t>
            </w:r>
          </w:p>
        </w:tc>
        <w:tc>
          <w:tcPr>
            <w:tcW w:w="1281" w:type="pct"/>
          </w:tcPr>
          <w:p w14:paraId="63BC35C9" w14:textId="07EC33F8" w:rsidR="009B7689" w:rsidRPr="00C862ED" w:rsidRDefault="009B7689" w:rsidP="00487110">
            <w:pPr>
              <w:spacing w:line="240" w:lineRule="auto"/>
              <w:rPr>
                <w:rFonts w:ascii="Arial" w:hAnsi="Arial" w:cs="Arial"/>
                <w:sz w:val="22"/>
                <w:szCs w:val="20"/>
              </w:rPr>
            </w:pPr>
            <w:r w:rsidRPr="00C862ED">
              <w:rPr>
                <w:rFonts w:ascii="Arial" w:hAnsi="Arial" w:cs="Arial"/>
                <w:sz w:val="22"/>
                <w:szCs w:val="20"/>
              </w:rPr>
              <w:t>Medicinal and non-medicinal</w:t>
            </w:r>
            <w:r w:rsidRPr="00DB152E">
              <w:rPr>
                <w:rFonts w:ascii="Arial" w:hAnsi="Arial" w:cs="Arial"/>
                <w:sz w:val="22"/>
                <w:szCs w:val="20"/>
              </w:rPr>
              <w:fldChar w:fldCharType="begin" w:fldLock="1"/>
            </w:r>
            <w:r w:rsidR="00487110" w:rsidRPr="00C862ED">
              <w:rPr>
                <w:rFonts w:ascii="Arial" w:hAnsi="Arial" w:cs="Arial"/>
                <w:sz w:val="22"/>
                <w:szCs w:val="20"/>
              </w:rPr>
              <w:instrText>ADDIN CSL_CITATION { "citationItems" : [ { "id" : "ITEM-1", "itemData" : { "ISSN" : "1098-4275", "PMID" : "14993544", "abstract" : "OBJECTIVE We describe the frequency and patterns of injury affecting 96 359 children between 0 and 10 years old and living in Alberta, Canada. DESIGN This population-based, longitudinal study involved children born in the 3 fiscal years of April 1, 1985 to March 31, 1988, recruited before age 1, and who remained in the study until at least age 5. We used the International Classification of Diseases, Ninth Revision, Clinical Modification chapter-17 diagnostic codes provided by physicians. Codes were grouped into 17 categories; injury episodes were calculated, and age- and gender-specific incidence rates for each category were calculated. The age, pattern, times of greatest risk, and the effect of gender on the type and incidence of injury were determined. SETTING Health care administrative data were obtained from all fee-for-service health care venues in Alberta between April 1, 1985 and March 31, 1998 providing services to children registered with the Alberta Health Care Insurance Plan and otherwise meeting entrance criteria. RESULTS Nearly 84% of children received care for an injury during the study period, and in any given year approximately 21% of the population studied had at least 1 injury. Repeat injury was common (73%), and boys were more likely than girls to be injured and to have repeat injury. The most common injuries were dislocations and sprains, open wounds, and superficial injuries and contusions. Burns, poisoning, intracranial injury, and foreign bodies were the next most common, and fractures were least common. Approximately 10% of injuries were multiple-category injuries. Rates varied greatly by injury category, age, and gender. Hospitalization rates varied in a similar manner and commonly accounted for approximately 10% of all services. Males were most likely to have an injury, and aboriginal children or children who had received welfare at some time were at greatest risk. CONCLUSIONS Administrative data can be used to estimate the incidence of injury in a pediatric population. Distinct patterns of injury occur at different ages. Recurrent injury is common. Almost identical proportions of injury (46%) are treated in emergency departments and physicians' offices.", "author" : [ { "dropping-particle" : "", "family" : "Spady", "given" : "Donald William", "non-dropping-particle" : "", "parse-names" : false, "suffix" : "" }, { "dropping-particle" : "", "family" : "Saunders", "given" : "Duncan Leslie", "non-dropping-particle" : "", "parse-names" : false, "suffix" : "" }, { "dropping-particle" : "", "family" : "Schopflocher", "given" : "Donald Peter", "non-dropping-particle" : "", "parse-names" : false, "suffix" : "" }, { "dropping-particle" : "", "family" : "Svenson", "given" : "Lawrence Walter", "non-dropping-particle" : "", "parse-names" : false, "suffix" : "" } ], "container-title" : "Pediatrics", "id" : "ITEM-1", "issue" : "3 Pt 1", "issued" : { "date-parts" : [ [ "2004", "3" ] ] }, "page" : "522-9", "title" : "Patterns of injury in children: a population-based approach.", "type" : "article-journal", "volume" : "113" }, "uris" : [ "http://www.mendeley.com/documents/?uuid=a06ac3cd-813e-403e-9063-33f915ad5610" ] } ], "mendeley" : { "formattedCitation" : "&lt;sup&gt;71&lt;/sup&gt;", "plainTextFormattedCitation" : "71", "previouslyFormattedCitation" : "&lt;sup&gt;71&lt;/sup&gt;" }, "properties" : {  }, "schema" : "https://github.com/citation-style-language/schema/raw/master/csl-citation.json" }</w:instrText>
            </w:r>
            <w:r w:rsidRPr="00DB152E">
              <w:rPr>
                <w:rFonts w:ascii="Arial" w:hAnsi="Arial" w:cs="Arial"/>
                <w:sz w:val="22"/>
                <w:szCs w:val="20"/>
              </w:rPr>
              <w:fldChar w:fldCharType="separate"/>
            </w:r>
            <w:r w:rsidR="00487110" w:rsidRPr="00DB152E">
              <w:rPr>
                <w:rFonts w:ascii="Arial" w:hAnsi="Arial" w:cs="Arial"/>
                <w:noProof/>
                <w:sz w:val="22"/>
                <w:szCs w:val="20"/>
                <w:vertAlign w:val="superscript"/>
              </w:rPr>
              <w:t>71</w:t>
            </w:r>
            <w:r w:rsidRPr="00DB152E">
              <w:rPr>
                <w:rFonts w:ascii="Arial" w:hAnsi="Arial" w:cs="Arial"/>
                <w:sz w:val="22"/>
                <w:szCs w:val="20"/>
              </w:rPr>
              <w:fldChar w:fldCharType="end"/>
            </w:r>
          </w:p>
        </w:tc>
      </w:tr>
      <w:tr w:rsidR="00D510E4" w:rsidRPr="00C862ED" w14:paraId="4296DAF5" w14:textId="77777777" w:rsidTr="00D510E4">
        <w:trPr>
          <w:trHeight w:val="20"/>
        </w:trPr>
        <w:tc>
          <w:tcPr>
            <w:tcW w:w="1397" w:type="pct"/>
            <w:noWrap/>
          </w:tcPr>
          <w:p w14:paraId="29356AF0" w14:textId="064185B8" w:rsidR="009B7689" w:rsidRPr="00C862ED" w:rsidRDefault="009B7689" w:rsidP="00874EE3">
            <w:pPr>
              <w:spacing w:line="240" w:lineRule="auto"/>
              <w:rPr>
                <w:rFonts w:ascii="Arial" w:hAnsi="Arial" w:cs="Arial"/>
                <w:sz w:val="22"/>
                <w:szCs w:val="20"/>
              </w:rPr>
            </w:pPr>
            <w:r w:rsidRPr="00C862ED">
              <w:rPr>
                <w:rFonts w:ascii="Arial" w:hAnsi="Arial" w:cs="Arial"/>
                <w:sz w:val="22"/>
                <w:szCs w:val="20"/>
              </w:rPr>
              <w:t>LHID: Chou (2014)</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25</w:t>
            </w:r>
            <w:r w:rsidR="00F30667" w:rsidRPr="00DB152E">
              <w:rPr>
                <w:rFonts w:ascii="Arial" w:hAnsi="Arial" w:cs="Arial"/>
                <w:sz w:val="20"/>
                <w:szCs w:val="20"/>
              </w:rPr>
              <w:fldChar w:fldCharType="end"/>
            </w:r>
          </w:p>
        </w:tc>
        <w:tc>
          <w:tcPr>
            <w:tcW w:w="874" w:type="pct"/>
          </w:tcPr>
          <w:p w14:paraId="015445FE"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190DDBB8"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 xml:space="preserve">ICD-9: 960-979 and E930-949 </w:t>
            </w:r>
          </w:p>
        </w:tc>
        <w:tc>
          <w:tcPr>
            <w:tcW w:w="1281" w:type="pct"/>
          </w:tcPr>
          <w:p w14:paraId="43B2EF65"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(deliberate)</w:t>
            </w:r>
          </w:p>
        </w:tc>
      </w:tr>
      <w:tr w:rsidR="00D510E4" w:rsidRPr="00C862ED" w14:paraId="7E0D3CD3" w14:textId="77777777" w:rsidTr="00137592">
        <w:trPr>
          <w:trHeight w:val="20"/>
        </w:trPr>
        <w:tc>
          <w:tcPr>
            <w:tcW w:w="1397" w:type="pct"/>
          </w:tcPr>
          <w:p w14:paraId="305AC265" w14:textId="32778F97" w:rsidR="009B7689" w:rsidRPr="00C862ED" w:rsidRDefault="009B7689" w:rsidP="00874EE3">
            <w:pPr>
              <w:spacing w:line="240" w:lineRule="auto"/>
              <w:rPr>
                <w:rFonts w:ascii="Arial" w:hAnsi="Arial" w:cs="Arial"/>
                <w:szCs w:val="20"/>
              </w:rPr>
            </w:pPr>
            <w:proofErr w:type="spellStart"/>
            <w:r w:rsidRPr="00C862ED">
              <w:rPr>
                <w:rFonts w:ascii="Arial" w:hAnsi="Arial" w:cs="Arial"/>
                <w:sz w:val="22"/>
                <w:szCs w:val="20"/>
              </w:rPr>
              <w:t>Lindemann</w:t>
            </w:r>
            <w:proofErr w:type="spellEnd"/>
            <w:r w:rsidRPr="00C862ED">
              <w:rPr>
                <w:rFonts w:ascii="Arial" w:hAnsi="Arial" w:cs="Arial"/>
                <w:sz w:val="22"/>
                <w:szCs w:val="20"/>
              </w:rPr>
              <w:t xml:space="preserve"> (2017)</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"10.3389/fped.2017.00220", "ISSN" : "2296-2360", "author" : [ { "dropping-particle" : "", "family" : "Lindemann", "given" : "Christina", "non-dropping-particle" : "", "parse-names" : false, "suffix" : "" }, { "dropping-particle" : "", "family" : "Langner", "given" : "Ingo", "non-dropping-particle" : "", "parse-names" : false, "suffix" : "" }, { "dropping-particle" : "", "family" : "Banaschewski", "given" : "Tobias", "non-dropping-particle" : "", "parse-names" : false, "suffix" : "" }, { "dropping-particle" : "", "family" : "Garbe", "given" : "Edeltraut", "non-dropping-particle" : "", "parse-names" : false, "suffix" : "" }, { "dropping-particle" : "", "family" : "Mikolajczyk", "given" : "Rafael T.", "non-dropping-particle" : "", "parse-names" : false, "suffix" : "" } ], "container-title" : "Frontiers in Pediatrics", "id" : "ITEM-1", "issued" : { "date-parts" : [ [ "2017", "10", "24" ] ] }, "title" : "The Risk of Hospitalizations with Injury Diagnoses in a Matched Cohort of Children and Adolescents with and without Attention Deficit/Hyperactivity Disorder in Germany: A Database Study", "type" : "article-journal", "volume" : "5" }, "uris" : [ "http://www.mendeley.com/documents/?uuid=7ef27e7e-cf89-4dd2-90aa-16375dced0e0" ] } ], "mendeley" : { "formattedCitation" : "&lt;sup&gt;26&lt;/sup&gt;", "plainTextFormattedCitation" : "26", "previouslyFormattedCitation" : "&lt;sup&gt;26&lt;/sup&gt;"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26</w:t>
            </w:r>
            <w:r w:rsidR="00F30667" w:rsidRPr="00DB152E">
              <w:rPr>
                <w:rFonts w:ascii="Arial" w:hAnsi="Arial" w:cs="Arial"/>
                <w:sz w:val="20"/>
                <w:szCs w:val="20"/>
              </w:rPr>
              <w:fldChar w:fldCharType="end"/>
            </w:r>
          </w:p>
        </w:tc>
        <w:tc>
          <w:tcPr>
            <w:tcW w:w="874" w:type="pct"/>
          </w:tcPr>
          <w:p w14:paraId="24E06AEB"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5072851F"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ICD-10 T36-75, T96-97</w:t>
            </w:r>
          </w:p>
        </w:tc>
        <w:tc>
          <w:tcPr>
            <w:tcW w:w="1281" w:type="pct"/>
          </w:tcPr>
          <w:p w14:paraId="5469E89A" w14:textId="06036B8C" w:rsidR="009B7689" w:rsidRPr="00C862ED" w:rsidRDefault="009B7689" w:rsidP="00487110">
            <w:pPr>
              <w:spacing w:line="240" w:lineRule="auto"/>
              <w:rPr>
                <w:rFonts w:ascii="Arial" w:hAnsi="Arial" w:cs="Arial"/>
                <w:sz w:val="22"/>
                <w:szCs w:val="20"/>
              </w:rPr>
            </w:pPr>
            <w:r w:rsidRPr="00C862ED">
              <w:rPr>
                <w:rFonts w:ascii="Arial" w:hAnsi="Arial" w:cs="Arial"/>
                <w:sz w:val="22"/>
                <w:szCs w:val="20"/>
              </w:rPr>
              <w:t>System wide injuries</w:t>
            </w:r>
            <w:r w:rsidRPr="00DB152E">
              <w:rPr>
                <w:rFonts w:ascii="Arial" w:hAnsi="Arial" w:cs="Arial"/>
                <w:sz w:val="22"/>
                <w:szCs w:val="20"/>
              </w:rPr>
              <w:fldChar w:fldCharType="begin" w:fldLock="1"/>
            </w:r>
            <w:r w:rsidR="00487110" w:rsidRPr="00C862ED">
              <w:rPr>
                <w:rFonts w:ascii="Arial" w:hAnsi="Arial" w:cs="Arial"/>
                <w:sz w:val="22"/>
                <w:szCs w:val="20"/>
              </w:rPr>
              <w:instrText>ADDIN CSL_CITATION { "citationItems" : [ { "id" : "ITEM-1", "itemData" : { "DOI" : "10.1136/ip.2005.009076", "ISSN" : "1353-8047", "PMID" : "16461416", "abstract" : "OBJECTIVE To standardize the presentation of the more than 1200 ICD-10 \"S\" and \"T\" codes from Chapter XIX by cross classifying the body region of injury by the nature of injury using the ICD-10 injury mortality diagnosis matrix. This paper explains the rationale for decisions made when developing the matrix and presents mortality data using the matrix. DESIGN ICD-10 codes are organized by diagnosis groups and body regions of injury for the purpose of standardizing presentation. The categories can be collapsed to facilitate analysis at varying levels of detail. Findings from the United States 2002 injury mortality data are used as an example. MAIN OUTCOME MEASURES All injury diagnoses mentioned in deaths with an underlying cause of injury. RESULTS There were a total of 247,195 injury diagnoses mentioned in the 161,269 deaths with an underlying cause of injury in 2002 in the United States. The matrix can be used to show that 30% of all injury diagnoses mentioned were to the head and neck region; 28% were system wide injuries, 17% were to the torso. Open wounds accounted for 17% of all injury diagnoses mentioned, and close to half of all open wounds were traumatic brain injuries. Twenty eight percent of injury diagnoses mentioned were unspecified as to their nature and 9.5% had no body region specified. CONCLUSIONS Multiple cause of death data are a rich but underused source of injury data often due to the complexity of the data and of the ICD classification system. Analytic techniques will need to be refined to accommodate deaths with multiple contributing injury diagnoses. The injury mortality diagnosis matrix will facilitate analysis as it is a useful tool for summarizing diagnosis data associated with injury deaths.", "author" : [ { "dropping-particle" : "", "family" : "Fingerhut", "given" : "L A", "non-dropping-particle" : "", "parse-names" : false, "suffix" : "" }, { "dropping-particle" : "", "family" : "Warner", "given" : "M", "non-dropping-particle" : "", "parse-names" : false, "suffix" : "" } ], "container-title" : "Injury prevention : journal of the International Society for Child and Adolescent Injury Prevention", "id" : "ITEM-1", "issue" : "1", "issued" : { "date-parts" : [ [ "2006", "2" ] ] }, "page" : "24-9", "title" : "The ICD-10 injury mortality diagnosis matrix.", "type" : "article-journal", "volume" : "12" }, "uris" : [ "http://www.mendeley.com/documents/?uuid=532cb46a-a204-4963-8664-9db5bccba823" ] } ], "mendeley" : { "formattedCitation" : "&lt;sup&gt;72&lt;/sup&gt;", "plainTextFormattedCitation" : "72", "previouslyFormattedCitation" : "&lt;sup&gt;72&lt;/sup&gt;" }, "properties" : {  }, "schema" : "https://github.com/citation-style-language/schema/raw/master/csl-citation.json" }</w:instrText>
            </w:r>
            <w:r w:rsidRPr="00DB152E">
              <w:rPr>
                <w:rFonts w:ascii="Arial" w:hAnsi="Arial" w:cs="Arial"/>
                <w:sz w:val="22"/>
                <w:szCs w:val="20"/>
              </w:rPr>
              <w:fldChar w:fldCharType="separate"/>
            </w:r>
            <w:r w:rsidR="00487110" w:rsidRPr="00DB152E">
              <w:rPr>
                <w:rFonts w:ascii="Arial" w:hAnsi="Arial" w:cs="Arial"/>
                <w:noProof/>
                <w:sz w:val="22"/>
                <w:szCs w:val="20"/>
                <w:vertAlign w:val="superscript"/>
              </w:rPr>
              <w:t>72</w:t>
            </w:r>
            <w:r w:rsidRPr="00DB152E">
              <w:rPr>
                <w:rFonts w:ascii="Arial" w:hAnsi="Arial" w:cs="Arial"/>
                <w:sz w:val="22"/>
                <w:szCs w:val="20"/>
              </w:rPr>
              <w:fldChar w:fldCharType="end"/>
            </w:r>
          </w:p>
        </w:tc>
      </w:tr>
      <w:tr w:rsidR="00D510E4" w:rsidRPr="00C862ED" w14:paraId="7040ED4A" w14:textId="77777777" w:rsidTr="00137592">
        <w:trPr>
          <w:trHeight w:val="20"/>
        </w:trPr>
        <w:tc>
          <w:tcPr>
            <w:tcW w:w="1397" w:type="pct"/>
          </w:tcPr>
          <w:p w14:paraId="5CE36589" w14:textId="0B17ECBA" w:rsidR="009B7689" w:rsidRPr="00C862ED" w:rsidRDefault="009B7689" w:rsidP="00874EE3">
            <w:pPr>
              <w:spacing w:line="240" w:lineRule="auto"/>
              <w:rPr>
                <w:rFonts w:ascii="Arial" w:hAnsi="Arial" w:cs="Arial"/>
                <w:szCs w:val="20"/>
              </w:rPr>
            </w:pPr>
            <w:r w:rsidRPr="00C862ED">
              <w:rPr>
                <w:rFonts w:ascii="Arial" w:hAnsi="Arial" w:cs="Arial"/>
                <w:sz w:val="22"/>
                <w:szCs w:val="20"/>
              </w:rPr>
              <w:t>Rowe (2004)</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"ITEM-1",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"mendeley" : { "formattedCitation" : "&lt;sup&gt;27&lt;/sup&gt;", "plainTextFormattedCitation" : "27", "previouslyFormattedCitation" : "&lt;sup&gt;27&lt;/sup&gt;"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27</w:t>
            </w:r>
            <w:r w:rsidR="00F30667" w:rsidRPr="00DB152E">
              <w:rPr>
                <w:rFonts w:ascii="Arial" w:hAnsi="Arial" w:cs="Arial"/>
                <w:sz w:val="20"/>
                <w:szCs w:val="20"/>
              </w:rPr>
              <w:fldChar w:fldCharType="end"/>
            </w:r>
          </w:p>
        </w:tc>
        <w:tc>
          <w:tcPr>
            <w:tcW w:w="874" w:type="pct"/>
          </w:tcPr>
          <w:p w14:paraId="1ABB0E6A"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Self-report</w:t>
            </w:r>
          </w:p>
        </w:tc>
        <w:tc>
          <w:tcPr>
            <w:tcW w:w="1448" w:type="pct"/>
          </w:tcPr>
          <w:p w14:paraId="1524C397"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NA</w:t>
            </w:r>
          </w:p>
        </w:tc>
        <w:tc>
          <w:tcPr>
            <w:tcW w:w="1281" w:type="pct"/>
          </w:tcPr>
          <w:p w14:paraId="3E702B7B"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and non-medicinal</w:t>
            </w:r>
          </w:p>
        </w:tc>
      </w:tr>
      <w:tr w:rsidR="00D510E4" w:rsidRPr="00C862ED" w14:paraId="209B240F" w14:textId="77777777" w:rsidTr="00137592">
        <w:trPr>
          <w:trHeight w:val="20"/>
        </w:trPr>
        <w:tc>
          <w:tcPr>
            <w:tcW w:w="1397" w:type="pct"/>
          </w:tcPr>
          <w:p w14:paraId="05DC2766" w14:textId="2EEF57A0" w:rsidR="009B7689" w:rsidRPr="00C862ED" w:rsidRDefault="009B7689" w:rsidP="00874EE3">
            <w:pPr>
              <w:spacing w:line="240" w:lineRule="auto"/>
              <w:rPr>
                <w:rFonts w:ascii="Arial" w:hAnsi="Arial" w:cs="Arial"/>
                <w:szCs w:val="20"/>
              </w:rPr>
            </w:pPr>
            <w:r w:rsidRPr="00C862ED">
              <w:rPr>
                <w:rFonts w:ascii="Arial" w:hAnsi="Arial" w:cs="Arial"/>
                <w:sz w:val="22"/>
                <w:szCs w:val="20"/>
              </w:rPr>
              <w:t>Silva (2014)</w:t>
            </w:r>
            <w:r w:rsidR="00F30667"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"ITEM-1",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"mendeley" : { "formattedCitation" : "&lt;sup&gt;28&lt;/sup&gt;", "plainTextFormattedCitation" : "28", "previouslyFormattedCitation" : "&lt;sup&gt;28&lt;/sup&gt;" }, "properties" : {  }, "schema" : "https://github.com/citation-style-language/schema/raw/master/csl-citation.json" }</w:instrText>
            </w:r>
            <w:r w:rsidR="00F30667" w:rsidRPr="00DB152E">
              <w:rPr>
                <w:rFonts w:ascii="Arial" w:hAnsi="Arial" w:cs="Arial"/>
                <w:sz w:val="20"/>
                <w:szCs w:val="20"/>
              </w:rPr>
              <w:fldChar w:fldCharType="separate"/>
            </w:r>
            <w:r w:rsidR="00874EE3" w:rsidRPr="00DB152E">
              <w:rPr>
                <w:rFonts w:ascii="Arial" w:hAnsi="Arial" w:cs="Arial"/>
                <w:noProof/>
                <w:sz w:val="20"/>
                <w:szCs w:val="20"/>
                <w:vertAlign w:val="superscript"/>
              </w:rPr>
              <w:t>28</w:t>
            </w:r>
            <w:r w:rsidR="00F30667" w:rsidRPr="00DB152E">
              <w:rPr>
                <w:rFonts w:ascii="Arial" w:hAnsi="Arial" w:cs="Arial"/>
                <w:sz w:val="20"/>
                <w:szCs w:val="20"/>
              </w:rPr>
              <w:fldChar w:fldCharType="end"/>
            </w:r>
          </w:p>
        </w:tc>
        <w:tc>
          <w:tcPr>
            <w:tcW w:w="874" w:type="pct"/>
          </w:tcPr>
          <w:p w14:paraId="69E01CBD"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55BB70B3"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ICD-9 and ICD-10: T36-T65</w:t>
            </w:r>
          </w:p>
        </w:tc>
        <w:tc>
          <w:tcPr>
            <w:tcW w:w="1281" w:type="pct"/>
          </w:tcPr>
          <w:p w14:paraId="12DF6E67"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and non-medicinal</w:t>
            </w:r>
          </w:p>
        </w:tc>
      </w:tr>
      <w:tr w:rsidR="00D510E4" w:rsidRPr="00C862ED" w14:paraId="27651E12" w14:textId="77777777" w:rsidTr="00137592">
        <w:trPr>
          <w:trHeight w:val="20"/>
        </w:trPr>
        <w:tc>
          <w:tcPr>
            <w:tcW w:w="1397" w:type="pct"/>
          </w:tcPr>
          <w:p w14:paraId="7AC32797" w14:textId="151554F4" w:rsidR="009B7689" w:rsidRPr="00C862ED" w:rsidRDefault="00F30667" w:rsidP="00874EE3">
            <w:pPr>
              <w:spacing w:line="240" w:lineRule="auto"/>
              <w:rPr>
                <w:rFonts w:ascii="Arial" w:hAnsi="Arial" w:cs="Arial"/>
                <w:szCs w:val="20"/>
              </w:rPr>
            </w:pPr>
            <w:proofErr w:type="spellStart"/>
            <w:r w:rsidRPr="00C862ED">
              <w:rPr>
                <w:rFonts w:ascii="Arial" w:hAnsi="Arial" w:cs="Arial"/>
                <w:sz w:val="22"/>
                <w:szCs w:val="20"/>
              </w:rPr>
              <w:t>Swensen</w:t>
            </w:r>
            <w:proofErr w:type="spellEnd"/>
            <w:r w:rsidRPr="00C862ED">
              <w:rPr>
                <w:rFonts w:ascii="Arial" w:hAnsi="Arial" w:cs="Arial"/>
                <w:sz w:val="22"/>
                <w:szCs w:val="20"/>
              </w:rPr>
              <w:t xml:space="preserve"> (2004)</w:t>
            </w:r>
            <w:r w:rsidRPr="00DB152E">
              <w:rPr>
                <w:rFonts w:ascii="Arial" w:hAnsi="Arial" w:cs="Arial"/>
                <w:sz w:val="20"/>
                <w:szCs w:val="20"/>
              </w:rPr>
              <w:fldChar w:fldCharType="begin" w:fldLock="1"/>
            </w:r>
            <w:r w:rsidR="00BE5E31" w:rsidRPr="00C862ED">
              <w:rPr>
                <w:rFonts w:ascii="Arial" w:hAnsi="Arial" w:cs="Arial"/>
                <w:sz w:val="20"/>
                <w:szCs w:val="20"/>
              </w:rPr>
              <w:instrText>ADDIN CSL_CITATION { "citationItems" : [ { "id" : "ITEM-1", "itemData" : { "DOI" : "10.1016/j.jadohealth.2003.12.003", "ISBN" : "1879-1972 (Electronic)\\r1054-139X (Linking)", "ISSN" : "1879-1972", "PMID" : "15830457", "abstract" : "PURPOSE The purpose is to analyze the incidence and costs of accidents among Attention-Deficit/Hyperactivity Disorder (ADHD) patients. METHODS The analysis relied on administrative medical, pharmaceutical, and disability claims for a national manufacturer's employees, spouses, dependents, and retirees (n &gt; 100,000). Accidental injuries were identified using ICD-9 codes for injuries or poisoning treatment. ADHD sample consists of individuals with at least one claim for ADHD during 1996-98 (NADHD = 1308), which was compared with a matched control sample. In addition to descriptive statistics, multivariate analysis involving logistic regression was used to model the probability of having an accident claim in 1998. This probability was estimated for the whole population, for adults alone, for children (under age 12 years), and for adolescents (age 12-18 years). We also estimated a generalized estimation equation (GEE) model to account for the possibility of multiple accident claims for a single patient. RESULTS ADHD patients had a greater probability of having at least one accident claim than their controls for children (28% vs. 18%), adolescents (32% vs. 23%), and adults (38% vs. 18%). Although ADHD patients' costs were greater than their controls for adults ($483 vs. $146), there was no difference for children or adolescents. However, among patients with accident claims, the average number of accident claims was similar for both groups (3.6 vs. 3.5) and costs were not statistically different. The multivariate analysis confirms this utilization pattern: the odds of having an accident for ADHD patients were 1.7 times greater than for controls. CONCLUSIONS ADHD was a significant predictor of having an accident claim. However, for people with an accident claim, ADHD patients and controls had a similar number of accident claims and costs.", "author" : [ { "dropping-particle" : "", "family" : "Swensen", "given" : "Andrine", "non-dropping-particle" : "", "parse-names" : false, "suffix" : "" }, { "dropping-particle" : "", "family" : "Birnbaum", "given" : "Howard G.", "non-dropping-particle" : "", "parse-names" : false, "suffix" : "" }, { "dropping-particle" : "", "family" : "Hamadi", "given" : "Rym", "non-dropping-particle" : "Ben", "parse-names" : false, "suffix" : "" }, { "dropping-particle" : "", "family" : "Greenberg", "given" : "Paul", "non-dropping-particle" : "", "parse-names" : false, "suffix" : "" }, { "dropping-particle" : "", "family" : "Cremieux", "given" : "Pierre-Yves", "non-dropping-particle" : "", "parse-names" : false, "suffix" : "" }, { "dropping-particle" : "", "family" : "Secnik", "given" : "Kristina", "non-dropping-particle" : "", "parse-names" : false, "suffix" : "" } ], "container-title" : "The Journal of adolescent health : official publication of the Society for Adolescent Medicine", "id" : "ITEM-1", "issue" : "4", "issued" : { "date-parts" : [ [ "2004", "10", "1" ] ] }, "language" : "eng", "note" : "Maite01.\n\nGonzalo01.\n\nFrom Duplicate 2 (Incidence and costs of accidents among attention-deficit/hyperactivity disorder patients. - Swensen, Andrine; Birnbaum, Howard G; Ben Hamadi, Rym; Greenberg, Paul; Cremieux, Pierre-Yves Y; Secnik, Kristina)\n\nFrom Duplicate 1 (Incidence and costs of accidents among attention-deficit/hyperactivity disorder patients - Swensen, Andrine; Birnbaum, Howard G; Ben Hamadi, Rym; Greenberg, Paul; Cremieux, Pierre-Yves Y; Secnik, Kristina)\n\n\n\nFrom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78\n\nFrom Duplicate 2 (Incidence and costs of accidents among attention-deficit/hyperactivity disorder patients. - Swensen, Andrine; Birnbaum, Howard G; Ben Hamadi, Rym; Greenberg, Paul; Cremieux, Pierre-Yves; Secnik, Kristina)\nAnd Duplicate 3 (Incidence and costs of accidents among attention-deficit/hyperactivity disorder patients. - Swensen, Andrine; Birnbaum, Howard G; Ben Hamadi, Rym; Greenberg, Paul; Cremieux, Pierre-Yves; Secnik, Kristina)\n\nBusqueda_pubmed.\n\nFrom Duplicate 4 (Incidence and costs of accidents among attention-deficit/hyperactivity disorder patients - Swensen, Andrine; Birnbaum, Howard G; Ben Hamadi, Rym; Greenberg, Paul; Cremieux, Pierre-Yves Y; Secnik, Kristina)\n\nGonzalo01.\n\nFrom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 "page" : "346.e1-9", "publisher" : "Elsevier Inc.", "publisher-place" : "United States", "title" : "Incidence and costs of accidents among attention-deficit/hyperactivity disorder patients.", "type" : "article-journal", "volume" : "35" }, "uris" : [ "http://www.mendeley.com/documents/?uuid=e22332c3-4de9-4376-9a2b-271494ff3f68" ] } ], "mendeley" : { "formattedCitation" : "&lt;sup&gt;29&lt;/sup&gt;", "plainTextFormattedCitation" : "29", "previouslyFormattedCitation" : "&lt;sup&gt;29&lt;/sup&gt;" }, "properties" : {  }, "schema" : "https://github.com/citation-style-language/schema/raw/master/csl-citation.json" }</w:instrText>
            </w:r>
            <w:r w:rsidRPr="00DB152E">
              <w:rPr>
                <w:rFonts w:ascii="Arial" w:hAnsi="Arial" w:cs="Arial"/>
                <w:sz w:val="20"/>
                <w:szCs w:val="20"/>
              </w:rPr>
              <w:fldChar w:fldCharType="separate"/>
            </w:r>
            <w:r w:rsidR="00874EE3" w:rsidRPr="00DB152E">
              <w:rPr>
                <w:rFonts w:ascii="Arial" w:hAnsi="Arial" w:cs="Arial"/>
                <w:noProof/>
                <w:sz w:val="20"/>
                <w:szCs w:val="20"/>
                <w:vertAlign w:val="superscript"/>
              </w:rPr>
              <w:t>29</w:t>
            </w:r>
            <w:r w:rsidRPr="00DB152E">
              <w:rPr>
                <w:rFonts w:ascii="Arial" w:hAnsi="Arial" w:cs="Arial"/>
                <w:sz w:val="20"/>
                <w:szCs w:val="20"/>
              </w:rPr>
              <w:fldChar w:fldCharType="end"/>
            </w:r>
          </w:p>
        </w:tc>
        <w:tc>
          <w:tcPr>
            <w:tcW w:w="874" w:type="pct"/>
          </w:tcPr>
          <w:p w14:paraId="2BD2CB63"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Registry</w:t>
            </w:r>
          </w:p>
        </w:tc>
        <w:tc>
          <w:tcPr>
            <w:tcW w:w="1448" w:type="pct"/>
          </w:tcPr>
          <w:p w14:paraId="50D14E49"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ICD-9: 960-989</w:t>
            </w:r>
          </w:p>
        </w:tc>
        <w:tc>
          <w:tcPr>
            <w:tcW w:w="1281" w:type="pct"/>
          </w:tcPr>
          <w:p w14:paraId="08B51EA4" w14:textId="77777777" w:rsidR="009B7689" w:rsidRPr="00C862ED" w:rsidRDefault="009B7689" w:rsidP="00BE5E31">
            <w:pPr>
              <w:spacing w:line="240" w:lineRule="auto"/>
              <w:rPr>
                <w:rFonts w:ascii="Arial" w:hAnsi="Arial" w:cs="Arial"/>
                <w:sz w:val="22"/>
                <w:szCs w:val="20"/>
              </w:rPr>
            </w:pPr>
            <w:r w:rsidRPr="00C862ED">
              <w:rPr>
                <w:rFonts w:ascii="Arial" w:hAnsi="Arial" w:cs="Arial"/>
                <w:sz w:val="22"/>
                <w:szCs w:val="20"/>
              </w:rPr>
              <w:t>Medicinal and non-medicinal</w:t>
            </w:r>
          </w:p>
        </w:tc>
      </w:tr>
    </w:tbl>
    <w:p w14:paraId="64B37AA6" w14:textId="343EA92C" w:rsidR="00D510E4" w:rsidRPr="00137592" w:rsidRDefault="00D510E4" w:rsidP="00137592">
      <w:pPr>
        <w:pStyle w:val="Sinespaciado"/>
        <w:rPr>
          <w:b/>
          <w:sz w:val="22"/>
          <w:szCs w:val="22"/>
        </w:rPr>
      </w:pPr>
      <w:r w:rsidRPr="00C862ED">
        <w:rPr>
          <w:b/>
          <w:sz w:val="22"/>
          <w:szCs w:val="22"/>
          <w:lang w:val="en-US"/>
        </w:rPr>
        <w:t>Table legend</w:t>
      </w:r>
    </w:p>
    <w:p w14:paraId="2B3E5A95" w14:textId="1107C307" w:rsidR="009B7689" w:rsidRPr="00137592" w:rsidRDefault="00D510E4" w:rsidP="00137592">
      <w:pPr>
        <w:pStyle w:val="Sinespaciado"/>
        <w:rPr>
          <w:sz w:val="22"/>
          <w:szCs w:val="22"/>
          <w:lang w:val="en-US"/>
        </w:rPr>
      </w:pPr>
      <w:r w:rsidRPr="00137592">
        <w:rPr>
          <w:sz w:val="22"/>
          <w:szCs w:val="22"/>
          <w:lang w:val="en-US"/>
        </w:rPr>
        <w:t xml:space="preserve">Registry indicates that a retrospective registry was used to identify poisoning cases. OPCS4: Office of Population Censuses and Surveys (OPCS-4) version 4. NA: not </w:t>
      </w:r>
      <w:r w:rsidR="00DB152E" w:rsidRPr="00C862ED">
        <w:rPr>
          <w:sz w:val="22"/>
          <w:szCs w:val="22"/>
          <w:lang w:val="en-US"/>
        </w:rPr>
        <w:t>applicable</w:t>
      </w:r>
    </w:p>
    <w:p w14:paraId="14BE2D87" w14:textId="6B6D9179" w:rsidR="00121A9E" w:rsidRPr="005744C0" w:rsidRDefault="00121A9E">
      <w:pPr>
        <w:spacing w:line="240" w:lineRule="auto"/>
        <w:rPr>
          <w:b/>
          <w:bCs/>
          <w:sz w:val="28"/>
          <w:szCs w:val="28"/>
        </w:rPr>
      </w:pPr>
      <w:r w:rsidRPr="00C862ED">
        <w:rPr>
          <w:b/>
          <w:sz w:val="22"/>
          <w:szCs w:val="22"/>
        </w:rPr>
        <w:br w:type="page"/>
      </w:r>
    </w:p>
    <w:p w14:paraId="730A92DF" w14:textId="77777777" w:rsidR="0003782C" w:rsidRPr="00137592" w:rsidRDefault="0003782C" w:rsidP="00137592">
      <w:pPr>
        <w:spacing w:after="160" w:line="360" w:lineRule="auto"/>
        <w:rPr>
          <w:rStyle w:val="Textoennegrita"/>
          <w:i/>
          <w:iCs/>
          <w:sz w:val="28"/>
          <w:szCs w:val="28"/>
        </w:rPr>
      </w:pPr>
    </w:p>
    <w:p w14:paraId="1F17B26B" w14:textId="7E013D55" w:rsidR="00616F04" w:rsidRPr="00137592" w:rsidRDefault="00E03B13" w:rsidP="00137592">
      <w:pPr>
        <w:spacing w:after="160" w:line="360" w:lineRule="auto"/>
        <w:rPr>
          <w:rStyle w:val="Textoennegrita"/>
          <w:sz w:val="28"/>
          <w:szCs w:val="28"/>
        </w:rPr>
      </w:pPr>
      <w:r w:rsidRPr="00137592">
        <w:rPr>
          <w:rStyle w:val="Textoennegrita"/>
          <w:sz w:val="28"/>
          <w:szCs w:val="28"/>
        </w:rPr>
        <w:t xml:space="preserve">Table </w:t>
      </w:r>
      <w:r w:rsidR="005744C0">
        <w:rPr>
          <w:rStyle w:val="Textoennegrita"/>
          <w:sz w:val="28"/>
          <w:szCs w:val="28"/>
        </w:rPr>
        <w:t>3</w:t>
      </w:r>
      <w:r w:rsidRPr="00137592">
        <w:rPr>
          <w:rStyle w:val="Textoennegrita"/>
          <w:sz w:val="28"/>
          <w:szCs w:val="28"/>
        </w:rPr>
        <w:t>: Outcome-level details of all the outcomes extracted from the studies included in the risk of poisoning analyses</w:t>
      </w:r>
    </w:p>
    <w:p w14:paraId="6B247C86" w14:textId="77777777" w:rsidR="00616F04" w:rsidRPr="006425CC" w:rsidRDefault="00616F04" w:rsidP="00137592">
      <w:pPr>
        <w:pStyle w:val="Sinespaciado"/>
        <w:rPr>
          <w:sz w:val="22"/>
          <w:szCs w:val="22"/>
        </w:rPr>
      </w:pPr>
    </w:p>
    <w:tbl>
      <w:tblPr>
        <w:tblStyle w:val="Tablaconcuadrcula"/>
        <w:tblW w:w="0" w:type="auto"/>
        <w:tblLook w:val="04A0" w:firstRow="1" w:lastRow="0" w:firstColumn="1" w:lastColumn="0" w:noHBand="0" w:noVBand="1"/>
      </w:tblPr>
      <w:tblGrid>
        <w:gridCol w:w="1271"/>
        <w:gridCol w:w="1081"/>
        <w:gridCol w:w="1389"/>
        <w:gridCol w:w="1046"/>
        <w:gridCol w:w="832"/>
        <w:gridCol w:w="1163"/>
        <w:gridCol w:w="1163"/>
        <w:gridCol w:w="1342"/>
        <w:gridCol w:w="1342"/>
        <w:gridCol w:w="1034"/>
        <w:gridCol w:w="714"/>
        <w:gridCol w:w="750"/>
        <w:gridCol w:w="1093"/>
      </w:tblGrid>
      <w:tr w:rsidR="007F36EA" w:rsidRPr="00C862ED" w14:paraId="73CE70A5" w14:textId="77777777" w:rsidTr="00137592">
        <w:trPr>
          <w:trHeight w:val="300"/>
        </w:trPr>
        <w:tc>
          <w:tcPr>
            <w:tcW w:w="1130" w:type="dxa"/>
            <w:vMerge w:val="restart"/>
            <w:noWrap/>
            <w:hideMark/>
          </w:tcPr>
          <w:p w14:paraId="71CA0FB9"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 xml:space="preserve">First author (year) </w:t>
            </w:r>
          </w:p>
        </w:tc>
        <w:tc>
          <w:tcPr>
            <w:tcW w:w="965" w:type="dxa"/>
            <w:vMerge w:val="restart"/>
            <w:hideMark/>
          </w:tcPr>
          <w:p w14:paraId="6FCA0D89"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Measure</w:t>
            </w:r>
          </w:p>
        </w:tc>
        <w:tc>
          <w:tcPr>
            <w:tcW w:w="1232" w:type="dxa"/>
            <w:vMerge w:val="restart"/>
            <w:hideMark/>
          </w:tcPr>
          <w:p w14:paraId="14626550"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Description of outcome</w:t>
            </w:r>
          </w:p>
        </w:tc>
        <w:tc>
          <w:tcPr>
            <w:tcW w:w="935" w:type="dxa"/>
            <w:vMerge w:val="restart"/>
            <w:noWrap/>
            <w:hideMark/>
          </w:tcPr>
          <w:p w14:paraId="1DD557E0"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N non-ADHD</w:t>
            </w:r>
          </w:p>
        </w:tc>
        <w:tc>
          <w:tcPr>
            <w:tcW w:w="750" w:type="dxa"/>
            <w:vMerge w:val="restart"/>
            <w:noWrap/>
            <w:hideMark/>
          </w:tcPr>
          <w:p w14:paraId="1C98ED7D"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N ADHD</w:t>
            </w:r>
          </w:p>
        </w:tc>
        <w:tc>
          <w:tcPr>
            <w:tcW w:w="1036" w:type="dxa"/>
            <w:vMerge w:val="restart"/>
            <w:noWrap/>
            <w:hideMark/>
          </w:tcPr>
          <w:p w14:paraId="31DBA855"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Number of non-ADHD poisoned</w:t>
            </w:r>
          </w:p>
        </w:tc>
        <w:tc>
          <w:tcPr>
            <w:tcW w:w="1036" w:type="dxa"/>
            <w:vMerge w:val="restart"/>
            <w:noWrap/>
            <w:hideMark/>
          </w:tcPr>
          <w:p w14:paraId="52D58923"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Number of ADHD poisoned</w:t>
            </w:r>
          </w:p>
        </w:tc>
        <w:tc>
          <w:tcPr>
            <w:tcW w:w="1191" w:type="dxa"/>
            <w:vMerge w:val="restart"/>
            <w:noWrap/>
            <w:hideMark/>
          </w:tcPr>
          <w:p w14:paraId="64FAEFC2"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Prevalence (per 1000) of poisoning in non-ADHD</w:t>
            </w:r>
          </w:p>
        </w:tc>
        <w:tc>
          <w:tcPr>
            <w:tcW w:w="1191" w:type="dxa"/>
            <w:vMerge w:val="restart"/>
            <w:noWrap/>
            <w:hideMark/>
          </w:tcPr>
          <w:p w14:paraId="09CCE2D6"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Prevalence (per 1000) of poisoning in ADHD</w:t>
            </w:r>
          </w:p>
        </w:tc>
        <w:tc>
          <w:tcPr>
            <w:tcW w:w="924" w:type="dxa"/>
            <w:vMerge w:val="restart"/>
            <w:noWrap/>
            <w:hideMark/>
          </w:tcPr>
          <w:p w14:paraId="1426DACD"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Relative Risk</w:t>
            </w:r>
          </w:p>
        </w:tc>
        <w:tc>
          <w:tcPr>
            <w:tcW w:w="647" w:type="dxa"/>
            <w:vMerge w:val="restart"/>
            <w:noWrap/>
            <w:hideMark/>
          </w:tcPr>
          <w:p w14:paraId="31A4A0A6"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LBCI</w:t>
            </w:r>
          </w:p>
        </w:tc>
        <w:tc>
          <w:tcPr>
            <w:tcW w:w="678" w:type="dxa"/>
            <w:vMerge w:val="restart"/>
            <w:noWrap/>
            <w:hideMark/>
          </w:tcPr>
          <w:p w14:paraId="13B3C04C"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UBCI</w:t>
            </w:r>
          </w:p>
        </w:tc>
        <w:tc>
          <w:tcPr>
            <w:tcW w:w="975" w:type="dxa"/>
            <w:vMerge w:val="restart"/>
            <w:noWrap/>
            <w:hideMark/>
          </w:tcPr>
          <w:p w14:paraId="71E4DBBA" w14:textId="77777777" w:rsidR="007F36EA" w:rsidRPr="00137592" w:rsidRDefault="007F36EA" w:rsidP="00E85F62">
            <w:pPr>
              <w:pStyle w:val="Sinespaciado"/>
              <w:rPr>
                <w:rFonts w:ascii="Arial" w:hAnsi="Arial" w:cs="Arial"/>
                <w:b/>
                <w:bCs/>
                <w:sz w:val="22"/>
                <w:szCs w:val="22"/>
                <w:lang w:val="en-US"/>
              </w:rPr>
            </w:pPr>
            <w:r w:rsidRPr="00137592">
              <w:rPr>
                <w:rFonts w:ascii="Arial" w:hAnsi="Arial" w:cs="Arial"/>
                <w:b/>
                <w:bCs/>
                <w:sz w:val="22"/>
                <w:szCs w:val="22"/>
                <w:lang w:val="en-US"/>
              </w:rPr>
              <w:t>Main Analysis</w:t>
            </w:r>
          </w:p>
        </w:tc>
      </w:tr>
      <w:tr w:rsidR="007F36EA" w:rsidRPr="00C862ED" w14:paraId="4F7A63AD" w14:textId="77777777" w:rsidTr="00137592">
        <w:trPr>
          <w:trHeight w:val="315"/>
        </w:trPr>
        <w:tc>
          <w:tcPr>
            <w:tcW w:w="1130" w:type="dxa"/>
            <w:vMerge/>
            <w:hideMark/>
          </w:tcPr>
          <w:p w14:paraId="51C4505E" w14:textId="77777777" w:rsidR="007F36EA" w:rsidRPr="00137592" w:rsidRDefault="007F36EA" w:rsidP="00E85F62">
            <w:pPr>
              <w:pStyle w:val="Sinespaciado"/>
              <w:rPr>
                <w:rFonts w:ascii="Arial" w:hAnsi="Arial" w:cs="Arial"/>
                <w:b/>
                <w:bCs/>
                <w:sz w:val="22"/>
                <w:szCs w:val="22"/>
                <w:lang w:val="en-US"/>
              </w:rPr>
            </w:pPr>
          </w:p>
        </w:tc>
        <w:tc>
          <w:tcPr>
            <w:tcW w:w="965" w:type="dxa"/>
            <w:vMerge/>
            <w:hideMark/>
          </w:tcPr>
          <w:p w14:paraId="734C0BAC" w14:textId="77777777" w:rsidR="007F36EA" w:rsidRPr="00137592" w:rsidRDefault="007F36EA" w:rsidP="00E85F62">
            <w:pPr>
              <w:pStyle w:val="Sinespaciado"/>
              <w:rPr>
                <w:rFonts w:ascii="Arial" w:hAnsi="Arial" w:cs="Arial"/>
                <w:b/>
                <w:bCs/>
                <w:sz w:val="22"/>
                <w:szCs w:val="22"/>
                <w:lang w:val="en-US"/>
              </w:rPr>
            </w:pPr>
          </w:p>
        </w:tc>
        <w:tc>
          <w:tcPr>
            <w:tcW w:w="1232" w:type="dxa"/>
            <w:vMerge/>
            <w:hideMark/>
          </w:tcPr>
          <w:p w14:paraId="1A29DA9D" w14:textId="77777777" w:rsidR="007F36EA" w:rsidRPr="00137592" w:rsidRDefault="007F36EA" w:rsidP="00E85F62">
            <w:pPr>
              <w:pStyle w:val="Sinespaciado"/>
              <w:rPr>
                <w:rFonts w:ascii="Arial" w:hAnsi="Arial" w:cs="Arial"/>
                <w:b/>
                <w:bCs/>
                <w:sz w:val="22"/>
                <w:szCs w:val="22"/>
                <w:lang w:val="en-US"/>
              </w:rPr>
            </w:pPr>
          </w:p>
        </w:tc>
        <w:tc>
          <w:tcPr>
            <w:tcW w:w="935" w:type="dxa"/>
            <w:vMerge/>
            <w:hideMark/>
          </w:tcPr>
          <w:p w14:paraId="52B482EA" w14:textId="77777777" w:rsidR="007F36EA" w:rsidRPr="00137592" w:rsidRDefault="007F36EA" w:rsidP="00E85F62">
            <w:pPr>
              <w:pStyle w:val="Sinespaciado"/>
              <w:rPr>
                <w:rFonts w:ascii="Arial" w:hAnsi="Arial" w:cs="Arial"/>
                <w:b/>
                <w:bCs/>
                <w:sz w:val="22"/>
                <w:szCs w:val="22"/>
                <w:lang w:val="en-US"/>
              </w:rPr>
            </w:pPr>
          </w:p>
        </w:tc>
        <w:tc>
          <w:tcPr>
            <w:tcW w:w="750" w:type="dxa"/>
            <w:vMerge/>
            <w:hideMark/>
          </w:tcPr>
          <w:p w14:paraId="720F2897" w14:textId="77777777" w:rsidR="007F36EA" w:rsidRPr="00137592" w:rsidRDefault="007F36EA" w:rsidP="00E85F62">
            <w:pPr>
              <w:pStyle w:val="Sinespaciado"/>
              <w:rPr>
                <w:rFonts w:ascii="Arial" w:hAnsi="Arial" w:cs="Arial"/>
                <w:b/>
                <w:bCs/>
                <w:sz w:val="22"/>
                <w:szCs w:val="22"/>
                <w:lang w:val="en-US"/>
              </w:rPr>
            </w:pPr>
          </w:p>
        </w:tc>
        <w:tc>
          <w:tcPr>
            <w:tcW w:w="1036" w:type="dxa"/>
            <w:vMerge/>
            <w:hideMark/>
          </w:tcPr>
          <w:p w14:paraId="4A95240A" w14:textId="77777777" w:rsidR="007F36EA" w:rsidRPr="00137592" w:rsidRDefault="007F36EA" w:rsidP="00E85F62">
            <w:pPr>
              <w:pStyle w:val="Sinespaciado"/>
              <w:rPr>
                <w:rFonts w:ascii="Arial" w:hAnsi="Arial" w:cs="Arial"/>
                <w:b/>
                <w:bCs/>
                <w:sz w:val="22"/>
                <w:szCs w:val="22"/>
                <w:lang w:val="en-US"/>
              </w:rPr>
            </w:pPr>
          </w:p>
        </w:tc>
        <w:tc>
          <w:tcPr>
            <w:tcW w:w="1036" w:type="dxa"/>
            <w:vMerge/>
            <w:hideMark/>
          </w:tcPr>
          <w:p w14:paraId="56945EC9" w14:textId="77777777" w:rsidR="007F36EA" w:rsidRPr="00137592" w:rsidRDefault="007F36EA" w:rsidP="00E85F62">
            <w:pPr>
              <w:pStyle w:val="Sinespaciado"/>
              <w:rPr>
                <w:rFonts w:ascii="Arial" w:hAnsi="Arial" w:cs="Arial"/>
                <w:b/>
                <w:bCs/>
                <w:sz w:val="22"/>
                <w:szCs w:val="22"/>
                <w:lang w:val="en-US"/>
              </w:rPr>
            </w:pPr>
          </w:p>
        </w:tc>
        <w:tc>
          <w:tcPr>
            <w:tcW w:w="1191" w:type="dxa"/>
            <w:vMerge/>
            <w:hideMark/>
          </w:tcPr>
          <w:p w14:paraId="150525FB" w14:textId="77777777" w:rsidR="007F36EA" w:rsidRPr="00137592" w:rsidRDefault="007F36EA" w:rsidP="00E85F62">
            <w:pPr>
              <w:pStyle w:val="Sinespaciado"/>
              <w:rPr>
                <w:rFonts w:ascii="Arial" w:hAnsi="Arial" w:cs="Arial"/>
                <w:b/>
                <w:bCs/>
                <w:sz w:val="22"/>
                <w:szCs w:val="22"/>
                <w:lang w:val="en-US"/>
              </w:rPr>
            </w:pPr>
          </w:p>
        </w:tc>
        <w:tc>
          <w:tcPr>
            <w:tcW w:w="1191" w:type="dxa"/>
            <w:vMerge/>
            <w:hideMark/>
          </w:tcPr>
          <w:p w14:paraId="018EC350" w14:textId="77777777" w:rsidR="007F36EA" w:rsidRPr="00137592" w:rsidRDefault="007F36EA" w:rsidP="00E85F62">
            <w:pPr>
              <w:pStyle w:val="Sinespaciado"/>
              <w:rPr>
                <w:rFonts w:ascii="Arial" w:hAnsi="Arial" w:cs="Arial"/>
                <w:b/>
                <w:bCs/>
                <w:sz w:val="22"/>
                <w:szCs w:val="22"/>
                <w:lang w:val="en-US"/>
              </w:rPr>
            </w:pPr>
          </w:p>
        </w:tc>
        <w:tc>
          <w:tcPr>
            <w:tcW w:w="924" w:type="dxa"/>
            <w:vMerge/>
            <w:hideMark/>
          </w:tcPr>
          <w:p w14:paraId="5CE77F38" w14:textId="77777777" w:rsidR="007F36EA" w:rsidRPr="00137592" w:rsidRDefault="007F36EA" w:rsidP="00E85F62">
            <w:pPr>
              <w:pStyle w:val="Sinespaciado"/>
              <w:rPr>
                <w:rFonts w:ascii="Arial" w:hAnsi="Arial" w:cs="Arial"/>
                <w:b/>
                <w:bCs/>
                <w:sz w:val="22"/>
                <w:szCs w:val="22"/>
                <w:lang w:val="en-US"/>
              </w:rPr>
            </w:pPr>
          </w:p>
        </w:tc>
        <w:tc>
          <w:tcPr>
            <w:tcW w:w="647" w:type="dxa"/>
            <w:vMerge/>
            <w:hideMark/>
          </w:tcPr>
          <w:p w14:paraId="38087929" w14:textId="77777777" w:rsidR="007F36EA" w:rsidRPr="00137592" w:rsidRDefault="007F36EA" w:rsidP="00E85F62">
            <w:pPr>
              <w:pStyle w:val="Sinespaciado"/>
              <w:rPr>
                <w:rFonts w:ascii="Arial" w:hAnsi="Arial" w:cs="Arial"/>
                <w:b/>
                <w:bCs/>
                <w:sz w:val="22"/>
                <w:szCs w:val="22"/>
                <w:lang w:val="en-US"/>
              </w:rPr>
            </w:pPr>
          </w:p>
        </w:tc>
        <w:tc>
          <w:tcPr>
            <w:tcW w:w="678" w:type="dxa"/>
            <w:vMerge/>
            <w:hideMark/>
          </w:tcPr>
          <w:p w14:paraId="381CFBD4" w14:textId="77777777" w:rsidR="007F36EA" w:rsidRPr="00137592" w:rsidRDefault="007F36EA" w:rsidP="00E85F62">
            <w:pPr>
              <w:pStyle w:val="Sinespaciado"/>
              <w:rPr>
                <w:rFonts w:ascii="Arial" w:hAnsi="Arial" w:cs="Arial"/>
                <w:b/>
                <w:bCs/>
                <w:sz w:val="22"/>
                <w:szCs w:val="22"/>
                <w:lang w:val="en-US"/>
              </w:rPr>
            </w:pPr>
          </w:p>
        </w:tc>
        <w:tc>
          <w:tcPr>
            <w:tcW w:w="975" w:type="dxa"/>
            <w:vMerge/>
            <w:hideMark/>
          </w:tcPr>
          <w:p w14:paraId="4AF5B700" w14:textId="77777777" w:rsidR="007F36EA" w:rsidRPr="00137592" w:rsidRDefault="007F36EA" w:rsidP="00E85F62">
            <w:pPr>
              <w:pStyle w:val="Sinespaciado"/>
              <w:rPr>
                <w:rFonts w:ascii="Arial" w:hAnsi="Arial" w:cs="Arial"/>
                <w:b/>
                <w:bCs/>
                <w:sz w:val="22"/>
                <w:szCs w:val="22"/>
                <w:lang w:val="en-US"/>
              </w:rPr>
            </w:pPr>
          </w:p>
        </w:tc>
      </w:tr>
      <w:tr w:rsidR="007F36EA" w:rsidRPr="00C862ED" w14:paraId="5EC5E179" w14:textId="77777777" w:rsidTr="00137592">
        <w:trPr>
          <w:trHeight w:val="525"/>
        </w:trPr>
        <w:tc>
          <w:tcPr>
            <w:tcW w:w="1130" w:type="dxa"/>
            <w:noWrap/>
            <w:hideMark/>
          </w:tcPr>
          <w:p w14:paraId="254EB42C" w14:textId="77202C6E"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t>Brehaut</w:t>
            </w:r>
            <w:proofErr w:type="spellEnd"/>
            <w:r w:rsidRPr="00137592">
              <w:rPr>
                <w:rFonts w:ascii="Arial" w:hAnsi="Arial" w:cs="Arial"/>
                <w:sz w:val="22"/>
                <w:szCs w:val="22"/>
                <w:lang w:val="en-US"/>
              </w:rPr>
              <w:t xml:space="preserve"> (2003)</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"10.1542/peds.111.2.262", "ISSN" : "1098-4275", "PMID" : "12563049", "abstract" : "CONTEXT While an association between pediatric behavioral disorders and injuries is generally acknowledged, no studies have measured the risk for injury in the context of a large, population-based study that is free of cohort biases. OBJECTIVES To examine the association between childhood behavior disorders ([CBDs] as indicated by prescription for methylphenidate [MPH]) and a variety of injury outcomes, and to evaluate the risk for injury among these children after controlling for known demographic correlates. DESIGN Population-based database analysis of all children in British Columbia (BC) under the age of 19 as of December 31, 1996; comparison of those who had been prescribed MPH and therefore placed in the CBD group (n = 16, 806) and those who were not (n = 1,010,067). Demographic information collected was as follows: age, sex, measures of socioeconomic status, and region of residence. OUTCOME MEASURES Common types of childhood injury in BC: International Classification of Diseases, Ninth Revision N-codes (fractures, open wounds, poisoning/toxic effect, concussion, intracranial, burns) and E-codes (falls, postoperative complications, motor vehicle accidents, struck by object, adverse effects of drugs, suffocation, drowning). DATA SOURCE BC Linked Health Data Set and the BC Triplicate Prescription Program. RESULTS After controlling for known demographic correlates, odds for injury was greater among those treated with MPH and presumed to have a behavioral disorder, when injury was characterized either by type (1.67; 99% confidence interval: 1.54-1.81) or cause (1.52; 99% confidence interval: 1.40-1.66) of injury. This increased risk extended to unexpected categories of injury such as postoperative complications and adverse effects of drugs. CONCLUSIONS Children with CBDs have &gt;1.5 times the odds of sustaining injuries of a variety of types from a variety of causes, even after controlling for known demographic correlates, than those without behavioral disorders. The risks for these children extend beyond those that might be directly associated with impulsivity and overactivity. Injury prevention strategies aimed at this group of children and youth would be beneficial. Policy-makers should account for increased risk of a wide variety of injuries in this group of children and youth.", "author" : [ { "dropping-particle" : "", "family" : "Brehaut", "given" : "Jamie C", "non-dropping-particle" : "", "parse-names" : false, "suffix" : "" }, { "dropping-particle" : "", "family" : "Miller", "given" : "Anton", "non-dropping-particle" : "", "parse-names" : false, "suffix" : "" }, { "dropping-particle" : "", "family" : "Raina", "given" : "Parminder", "non-dropping-particle" : "", "parse-names" : false, "suffix" : "" }, { "dropping-particle" : "", "family" : "McGrail", "given" : "Kimberlyn M", "non-dropping-particle" : "", "parse-names" : false, "suffix" : "" } ], "container-title" : "Pediatrics", "id" : "ITEM-1", "issue" : "2", "issued" : { "date-parts" : [ [ "2003", "2" ] ] }, "note" : "From Duplicate 1 (Childhood Behavior Disorders and Injuries Among Children and Youth: A Population-Based Study. - Brehaut, Jamie C Miller AntonRaina ParminderMcGrail Kimberlyn M)\n\nGonzalo02.\n\nMaite02. \nLa duda es porque con el abstract no puedo descartar que no entre.\n\ncited By 76\n\nFrom Duplicate 2 (Childhood Behavior Disorders and Injuries Among Children and Youth: A Population-Based Study. - Brehaut, Jamie C Miller AntonRaina ParminderMcGrail Kimberlyn M)\n\ncited By 76", "page" : "262-9", "title" : "Childhood behavior disorders and injuries among children and youth: a population-based study.", "type" : "article-journal", "volume" : "111" }, "uris" : [ "http://www.mendeley.com/documents/?uuid=c1da2a8d-a420-41d9-ad2a-11677b856287" ] } ], "mendeley" : { "formattedCitation" : "&lt;sup&gt;22&lt;/sup&gt;", "plainTextFormattedCitation" : "22", "previouslyFormattedCitation" : "&lt;sup&gt;22&lt;/sup&gt;"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22</w:t>
            </w:r>
            <w:r w:rsidRPr="00137592">
              <w:rPr>
                <w:rFonts w:ascii="Arial" w:hAnsi="Arial" w:cs="Arial"/>
                <w:sz w:val="20"/>
                <w:szCs w:val="20"/>
                <w:lang w:val="en-US"/>
              </w:rPr>
              <w:fldChar w:fldCharType="end"/>
            </w:r>
            <w:r w:rsidRPr="00137592" w:rsidDel="00224A0A">
              <w:rPr>
                <w:rFonts w:ascii="Arial" w:hAnsi="Arial" w:cs="Arial"/>
                <w:sz w:val="22"/>
                <w:szCs w:val="22"/>
                <w:lang w:val="en-US"/>
              </w:rPr>
              <w:t xml:space="preserve"> </w:t>
            </w:r>
          </w:p>
        </w:tc>
        <w:tc>
          <w:tcPr>
            <w:tcW w:w="965" w:type="dxa"/>
            <w:hideMark/>
          </w:tcPr>
          <w:p w14:paraId="5762CB0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0A1CA64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Adjusted</w:t>
            </w:r>
          </w:p>
        </w:tc>
        <w:tc>
          <w:tcPr>
            <w:tcW w:w="935" w:type="dxa"/>
            <w:noWrap/>
            <w:hideMark/>
          </w:tcPr>
          <w:p w14:paraId="0824238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1010067</w:t>
            </w:r>
          </w:p>
        </w:tc>
        <w:tc>
          <w:tcPr>
            <w:tcW w:w="750" w:type="dxa"/>
            <w:hideMark/>
          </w:tcPr>
          <w:p w14:paraId="6D739FD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16806</w:t>
            </w:r>
          </w:p>
        </w:tc>
        <w:tc>
          <w:tcPr>
            <w:tcW w:w="1036" w:type="dxa"/>
            <w:noWrap/>
            <w:hideMark/>
          </w:tcPr>
          <w:p w14:paraId="07C73AD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3882</w:t>
            </w:r>
          </w:p>
        </w:tc>
        <w:tc>
          <w:tcPr>
            <w:tcW w:w="1036" w:type="dxa"/>
            <w:noWrap/>
            <w:hideMark/>
          </w:tcPr>
          <w:p w14:paraId="012843C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184</w:t>
            </w:r>
          </w:p>
        </w:tc>
        <w:tc>
          <w:tcPr>
            <w:tcW w:w="1191" w:type="dxa"/>
            <w:noWrap/>
            <w:hideMark/>
          </w:tcPr>
          <w:p w14:paraId="00BC4F8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3.8</w:t>
            </w:r>
          </w:p>
        </w:tc>
        <w:tc>
          <w:tcPr>
            <w:tcW w:w="1191" w:type="dxa"/>
            <w:noWrap/>
            <w:hideMark/>
          </w:tcPr>
          <w:p w14:paraId="5343D70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10.9</w:t>
            </w:r>
          </w:p>
        </w:tc>
        <w:tc>
          <w:tcPr>
            <w:tcW w:w="924" w:type="dxa"/>
            <w:noWrap/>
            <w:hideMark/>
          </w:tcPr>
          <w:p w14:paraId="6C9CAC2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2.67</w:t>
            </w:r>
          </w:p>
        </w:tc>
        <w:tc>
          <w:tcPr>
            <w:tcW w:w="647" w:type="dxa"/>
            <w:noWrap/>
            <w:hideMark/>
          </w:tcPr>
          <w:p w14:paraId="51850A6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2.27</w:t>
            </w:r>
          </w:p>
        </w:tc>
        <w:tc>
          <w:tcPr>
            <w:tcW w:w="678" w:type="dxa"/>
            <w:noWrap/>
            <w:hideMark/>
          </w:tcPr>
          <w:p w14:paraId="77ED71D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3.14</w:t>
            </w:r>
          </w:p>
        </w:tc>
        <w:tc>
          <w:tcPr>
            <w:tcW w:w="975" w:type="dxa"/>
            <w:noWrap/>
            <w:hideMark/>
          </w:tcPr>
          <w:p w14:paraId="6B34AC6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745206C6" w14:textId="77777777" w:rsidTr="00137592">
        <w:trPr>
          <w:trHeight w:val="390"/>
        </w:trPr>
        <w:tc>
          <w:tcPr>
            <w:tcW w:w="1130" w:type="dxa"/>
            <w:noWrap/>
            <w:hideMark/>
          </w:tcPr>
          <w:p w14:paraId="6867CFDF" w14:textId="3E2FBA87"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CPRD-HES: Prasad (2016)</w:t>
            </w:r>
            <w:r w:rsidRPr="00137592">
              <w:rPr>
                <w:lang w:val="en-US"/>
              </w:rPr>
              <w:fldChar w:fldCharType="begin" w:fldLock="1"/>
            </w:r>
            <w:r w:rsidRPr="00137592">
              <w:rPr>
                <w:lang w:val="en-US"/>
              </w:rPr>
              <w:instrText>ADDIN CSL_CITATION { "citationItems" : [ { "id" : "ITEM-1",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"ITEM-1",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"mendeley" : { "formattedCitation" : "&lt;sup&gt;23&lt;/sup&gt;", "plainTextFormattedCitation" : "23", "previouslyFormattedCitation" : "&lt;sup&gt;23&lt;/sup&gt;" }, "properties" : {  }, "schema" : "https://github.com/citation-style-language/schema/raw/master/csl-citation.json" }</w:instrText>
            </w:r>
            <w:r w:rsidRPr="00137592">
              <w:rPr>
                <w:lang w:val="en-US"/>
              </w:rPr>
              <w:fldChar w:fldCharType="separate"/>
            </w:r>
            <w:r w:rsidRPr="00137592">
              <w:rPr>
                <w:noProof/>
                <w:vertAlign w:val="superscript"/>
                <w:lang w:val="en-US"/>
              </w:rPr>
              <w:t>23</w:t>
            </w:r>
            <w:r w:rsidRPr="00137592">
              <w:rPr>
                <w:lang w:val="en-US"/>
              </w:rPr>
              <w:fldChar w:fldCharType="end"/>
            </w:r>
            <w:r w:rsidRPr="00137592" w:rsidDel="00224A0A">
              <w:rPr>
                <w:rFonts w:ascii="Arial" w:hAnsi="Arial" w:cs="Arial"/>
                <w:sz w:val="22"/>
                <w:szCs w:val="22"/>
                <w:lang w:val="en-US"/>
              </w:rPr>
              <w:t xml:space="preserve"> </w:t>
            </w:r>
          </w:p>
        </w:tc>
        <w:tc>
          <w:tcPr>
            <w:tcW w:w="965" w:type="dxa"/>
            <w:hideMark/>
          </w:tcPr>
          <w:p w14:paraId="719E93F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4087B61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Adjusted</w:t>
            </w:r>
          </w:p>
        </w:tc>
        <w:tc>
          <w:tcPr>
            <w:tcW w:w="935" w:type="dxa"/>
            <w:noWrap/>
            <w:hideMark/>
          </w:tcPr>
          <w:p w14:paraId="31623ED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291909</w:t>
            </w:r>
          </w:p>
        </w:tc>
        <w:tc>
          <w:tcPr>
            <w:tcW w:w="750" w:type="dxa"/>
            <w:hideMark/>
          </w:tcPr>
          <w:p w14:paraId="2111A2D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15742</w:t>
            </w:r>
          </w:p>
        </w:tc>
        <w:tc>
          <w:tcPr>
            <w:tcW w:w="1036" w:type="dxa"/>
            <w:noWrap/>
            <w:hideMark/>
          </w:tcPr>
          <w:p w14:paraId="3C9FBDD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2033</w:t>
            </w:r>
          </w:p>
        </w:tc>
        <w:tc>
          <w:tcPr>
            <w:tcW w:w="1036" w:type="dxa"/>
            <w:noWrap/>
            <w:hideMark/>
          </w:tcPr>
          <w:p w14:paraId="57427E0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463</w:t>
            </w:r>
          </w:p>
        </w:tc>
        <w:tc>
          <w:tcPr>
            <w:tcW w:w="1191" w:type="dxa"/>
            <w:noWrap/>
            <w:hideMark/>
          </w:tcPr>
          <w:p w14:paraId="2CE9B0B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7.0</w:t>
            </w:r>
          </w:p>
        </w:tc>
        <w:tc>
          <w:tcPr>
            <w:tcW w:w="1191" w:type="dxa"/>
            <w:noWrap/>
            <w:hideMark/>
          </w:tcPr>
          <w:p w14:paraId="1C2DB5C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29.4</w:t>
            </w:r>
          </w:p>
        </w:tc>
        <w:tc>
          <w:tcPr>
            <w:tcW w:w="924" w:type="dxa"/>
            <w:noWrap/>
            <w:hideMark/>
          </w:tcPr>
          <w:p w14:paraId="20A33D7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3.99</w:t>
            </w:r>
          </w:p>
        </w:tc>
        <w:tc>
          <w:tcPr>
            <w:tcW w:w="647" w:type="dxa"/>
            <w:noWrap/>
            <w:hideMark/>
          </w:tcPr>
          <w:p w14:paraId="317A554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3.58</w:t>
            </w:r>
          </w:p>
        </w:tc>
        <w:tc>
          <w:tcPr>
            <w:tcW w:w="678" w:type="dxa"/>
            <w:noWrap/>
            <w:hideMark/>
          </w:tcPr>
          <w:p w14:paraId="3D26441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4.44</w:t>
            </w:r>
          </w:p>
        </w:tc>
        <w:tc>
          <w:tcPr>
            <w:tcW w:w="975" w:type="dxa"/>
            <w:noWrap/>
            <w:hideMark/>
          </w:tcPr>
          <w:p w14:paraId="000FAC4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788DDD98" w14:textId="77777777" w:rsidTr="00137592">
        <w:trPr>
          <w:trHeight w:val="1035"/>
        </w:trPr>
        <w:tc>
          <w:tcPr>
            <w:tcW w:w="1130" w:type="dxa"/>
            <w:noWrap/>
            <w:hideMark/>
          </w:tcPr>
          <w:p w14:paraId="09DABCFD" w14:textId="738E1E2E"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t>Hariharan</w:t>
            </w:r>
            <w:proofErr w:type="spellEnd"/>
            <w:r w:rsidRPr="00137592">
              <w:rPr>
                <w:rFonts w:ascii="Arial" w:hAnsi="Arial" w:cs="Arial"/>
                <w:sz w:val="22"/>
                <w:szCs w:val="22"/>
                <w:lang w:val="en-US"/>
              </w:rPr>
              <w:t xml:space="preserve"> (2008)</w:t>
            </w:r>
            <w:r w:rsidRPr="00137592">
              <w:rPr>
                <w:rFonts w:ascii="Arial" w:hAnsi="Arial" w:cs="Arial"/>
                <w:sz w:val="20"/>
                <w:szCs w:val="20"/>
                <w:lang w:val="en-US"/>
              </w:rPr>
              <w:t xml:space="preserve"> </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"&lt;sup&gt;21&lt;/sup&gt;", "plainTextFormattedCitation" : "21", "previouslyFormattedCitation" : "&lt;sup&gt;21&lt;/sup&gt;"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21</w:t>
            </w:r>
            <w:r w:rsidRPr="00137592">
              <w:rPr>
                <w:rFonts w:ascii="Arial" w:hAnsi="Arial" w:cs="Arial"/>
                <w:sz w:val="20"/>
                <w:szCs w:val="20"/>
                <w:lang w:val="en-US"/>
              </w:rPr>
              <w:fldChar w:fldCharType="end"/>
            </w:r>
            <w:r w:rsidRPr="00137592">
              <w:rPr>
                <w:rFonts w:ascii="Arial" w:hAnsi="Arial" w:cs="Arial"/>
                <w:sz w:val="22"/>
                <w:szCs w:val="22"/>
                <w:lang w:val="en-US"/>
              </w:rPr>
              <w:t xml:space="preserve"> </w:t>
            </w:r>
          </w:p>
        </w:tc>
        <w:tc>
          <w:tcPr>
            <w:tcW w:w="965" w:type="dxa"/>
            <w:hideMark/>
          </w:tcPr>
          <w:p w14:paraId="2790FC1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238A4B4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Unadjusted</w:t>
            </w:r>
          </w:p>
        </w:tc>
        <w:tc>
          <w:tcPr>
            <w:tcW w:w="935" w:type="dxa"/>
            <w:noWrap/>
            <w:hideMark/>
          </w:tcPr>
          <w:p w14:paraId="0B76753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87</w:t>
            </w:r>
          </w:p>
        </w:tc>
        <w:tc>
          <w:tcPr>
            <w:tcW w:w="750" w:type="dxa"/>
            <w:hideMark/>
          </w:tcPr>
          <w:p w14:paraId="5A7C0E2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16</w:t>
            </w:r>
          </w:p>
        </w:tc>
        <w:tc>
          <w:tcPr>
            <w:tcW w:w="1036" w:type="dxa"/>
            <w:noWrap/>
            <w:hideMark/>
          </w:tcPr>
          <w:p w14:paraId="6437F76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20</w:t>
            </w:r>
          </w:p>
        </w:tc>
        <w:tc>
          <w:tcPr>
            <w:tcW w:w="1036" w:type="dxa"/>
            <w:noWrap/>
            <w:hideMark/>
          </w:tcPr>
          <w:p w14:paraId="521C548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11</w:t>
            </w:r>
          </w:p>
        </w:tc>
        <w:tc>
          <w:tcPr>
            <w:tcW w:w="1191" w:type="dxa"/>
            <w:noWrap/>
            <w:hideMark/>
          </w:tcPr>
          <w:p w14:paraId="23E3E53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78DE03F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924" w:type="dxa"/>
            <w:noWrap/>
            <w:hideMark/>
          </w:tcPr>
          <w:p w14:paraId="784BEEE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7.98</w:t>
            </w:r>
          </w:p>
        </w:tc>
        <w:tc>
          <w:tcPr>
            <w:tcW w:w="647" w:type="dxa"/>
            <w:noWrap/>
            <w:hideMark/>
          </w:tcPr>
          <w:p w14:paraId="141906A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2.64</w:t>
            </w:r>
          </w:p>
        </w:tc>
        <w:tc>
          <w:tcPr>
            <w:tcW w:w="678" w:type="dxa"/>
            <w:noWrap/>
            <w:hideMark/>
          </w:tcPr>
          <w:p w14:paraId="1F20524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24.13</w:t>
            </w:r>
          </w:p>
        </w:tc>
        <w:tc>
          <w:tcPr>
            <w:tcW w:w="975" w:type="dxa"/>
            <w:noWrap/>
            <w:hideMark/>
          </w:tcPr>
          <w:p w14:paraId="3601A7C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2827BEA2" w14:textId="77777777" w:rsidTr="00137592">
        <w:trPr>
          <w:trHeight w:val="1843"/>
        </w:trPr>
        <w:tc>
          <w:tcPr>
            <w:tcW w:w="1130" w:type="dxa"/>
            <w:noWrap/>
            <w:hideMark/>
          </w:tcPr>
          <w:p w14:paraId="757B16C9" w14:textId="5C124A3C"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t>Hurtig</w:t>
            </w:r>
            <w:proofErr w:type="spellEnd"/>
            <w:r w:rsidRPr="00137592">
              <w:rPr>
                <w:rFonts w:ascii="Arial" w:hAnsi="Arial" w:cs="Arial"/>
                <w:sz w:val="22"/>
                <w:szCs w:val="22"/>
                <w:lang w:val="en-US"/>
              </w:rPr>
              <w:t xml:space="preserve"> (2016)</w:t>
            </w:r>
            <w:r w:rsidRPr="00137592">
              <w:rPr>
                <w:rFonts w:ascii="Arial" w:hAnsi="Arial" w:cs="Arial"/>
                <w:sz w:val="20"/>
                <w:szCs w:val="20"/>
                <w:lang w:val="en-US"/>
              </w:rPr>
              <w:t xml:space="preserve"> </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"mendeley" : { "formattedCitation" : "&lt;sup&gt;24&lt;/sup&gt;", "plainTextFormattedCitation" : "24", "previouslyFormattedCitation" : "&lt;sup&gt;24&lt;/sup&gt;"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24</w:t>
            </w:r>
            <w:r w:rsidRPr="00137592">
              <w:rPr>
                <w:rFonts w:ascii="Arial" w:hAnsi="Arial" w:cs="Arial"/>
                <w:sz w:val="20"/>
                <w:szCs w:val="20"/>
                <w:lang w:val="en-US"/>
              </w:rPr>
              <w:fldChar w:fldCharType="end"/>
            </w:r>
          </w:p>
        </w:tc>
        <w:tc>
          <w:tcPr>
            <w:tcW w:w="965" w:type="dxa"/>
            <w:hideMark/>
          </w:tcPr>
          <w:p w14:paraId="0E2625E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77C66ED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Rating scale, injury between 0 and 6 years.</w:t>
            </w:r>
          </w:p>
          <w:p w14:paraId="1296172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Adjusted.</w:t>
            </w:r>
          </w:p>
        </w:tc>
        <w:tc>
          <w:tcPr>
            <w:tcW w:w="935" w:type="dxa"/>
            <w:noWrap/>
            <w:hideMark/>
          </w:tcPr>
          <w:p w14:paraId="2302005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5236</w:t>
            </w:r>
          </w:p>
        </w:tc>
        <w:tc>
          <w:tcPr>
            <w:tcW w:w="750" w:type="dxa"/>
            <w:hideMark/>
          </w:tcPr>
          <w:p w14:paraId="1ED2E72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875</w:t>
            </w:r>
          </w:p>
        </w:tc>
        <w:tc>
          <w:tcPr>
            <w:tcW w:w="1036" w:type="dxa"/>
            <w:noWrap/>
            <w:hideMark/>
          </w:tcPr>
          <w:p w14:paraId="1BFAF18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44</w:t>
            </w:r>
          </w:p>
        </w:tc>
        <w:tc>
          <w:tcPr>
            <w:tcW w:w="1036" w:type="dxa"/>
            <w:noWrap/>
            <w:hideMark/>
          </w:tcPr>
          <w:p w14:paraId="0510958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14</w:t>
            </w:r>
          </w:p>
        </w:tc>
        <w:tc>
          <w:tcPr>
            <w:tcW w:w="1191" w:type="dxa"/>
            <w:noWrap/>
            <w:hideMark/>
          </w:tcPr>
          <w:p w14:paraId="6844E21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8.4</w:t>
            </w:r>
          </w:p>
        </w:tc>
        <w:tc>
          <w:tcPr>
            <w:tcW w:w="1191" w:type="dxa"/>
            <w:noWrap/>
            <w:hideMark/>
          </w:tcPr>
          <w:p w14:paraId="35A3415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16.0</w:t>
            </w:r>
          </w:p>
        </w:tc>
        <w:tc>
          <w:tcPr>
            <w:tcW w:w="924" w:type="dxa"/>
            <w:noWrap/>
            <w:hideMark/>
          </w:tcPr>
          <w:p w14:paraId="530F438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1.51</w:t>
            </w:r>
          </w:p>
        </w:tc>
        <w:tc>
          <w:tcPr>
            <w:tcW w:w="647" w:type="dxa"/>
            <w:noWrap/>
            <w:hideMark/>
          </w:tcPr>
          <w:p w14:paraId="0B9F965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0.76</w:t>
            </w:r>
          </w:p>
        </w:tc>
        <w:tc>
          <w:tcPr>
            <w:tcW w:w="678" w:type="dxa"/>
            <w:noWrap/>
            <w:hideMark/>
          </w:tcPr>
          <w:p w14:paraId="0456ABA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3.01</w:t>
            </w:r>
          </w:p>
        </w:tc>
        <w:tc>
          <w:tcPr>
            <w:tcW w:w="975" w:type="dxa"/>
            <w:noWrap/>
            <w:hideMark/>
          </w:tcPr>
          <w:p w14:paraId="0C049DD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2FE69E87" w14:textId="77777777" w:rsidTr="00137592">
        <w:trPr>
          <w:trHeight w:val="1215"/>
        </w:trPr>
        <w:tc>
          <w:tcPr>
            <w:tcW w:w="1130" w:type="dxa"/>
            <w:vMerge w:val="restart"/>
            <w:noWrap/>
            <w:hideMark/>
          </w:tcPr>
          <w:p w14:paraId="17C926EB" w14:textId="7523F731"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lastRenderedPageBreak/>
              <w:t>Hurtig</w:t>
            </w:r>
            <w:proofErr w:type="spellEnd"/>
            <w:r w:rsidRPr="00137592">
              <w:rPr>
                <w:rFonts w:ascii="Arial" w:hAnsi="Arial" w:cs="Arial"/>
                <w:sz w:val="22"/>
                <w:szCs w:val="22"/>
                <w:lang w:val="en-US"/>
              </w:rPr>
              <w:t xml:space="preserve"> (2016)</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"mendeley" : { "formattedCitation" : "&lt;sup&gt;24&lt;/sup&gt;", "plainTextFormattedCitation" : "24", "previouslyFormattedCitation" : "&lt;sup&gt;24&lt;/sup&gt;"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24</w:t>
            </w:r>
            <w:r w:rsidRPr="00137592">
              <w:rPr>
                <w:rFonts w:ascii="Arial" w:hAnsi="Arial" w:cs="Arial"/>
                <w:sz w:val="20"/>
                <w:szCs w:val="20"/>
                <w:lang w:val="en-US"/>
              </w:rPr>
              <w:fldChar w:fldCharType="end"/>
            </w:r>
            <w:r w:rsidRPr="00137592" w:rsidDel="00224A0A">
              <w:rPr>
                <w:rFonts w:ascii="Arial" w:hAnsi="Arial" w:cs="Arial"/>
                <w:sz w:val="22"/>
                <w:szCs w:val="22"/>
                <w:lang w:val="en-US"/>
              </w:rPr>
              <w:t xml:space="preserve"> </w:t>
            </w:r>
          </w:p>
        </w:tc>
        <w:tc>
          <w:tcPr>
            <w:tcW w:w="965" w:type="dxa"/>
            <w:vMerge w:val="restart"/>
            <w:hideMark/>
          </w:tcPr>
          <w:p w14:paraId="1AE6C59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vMerge w:val="restart"/>
            <w:hideMark/>
          </w:tcPr>
          <w:p w14:paraId="2D1D35A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Rating scale, injury between 7 and 15 years. Adjusted</w:t>
            </w:r>
          </w:p>
        </w:tc>
        <w:tc>
          <w:tcPr>
            <w:tcW w:w="935" w:type="dxa"/>
            <w:vMerge w:val="restart"/>
            <w:noWrap/>
            <w:hideMark/>
          </w:tcPr>
          <w:p w14:paraId="54A0A24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5639</w:t>
            </w:r>
          </w:p>
        </w:tc>
        <w:tc>
          <w:tcPr>
            <w:tcW w:w="750" w:type="dxa"/>
            <w:vMerge w:val="restart"/>
            <w:hideMark/>
          </w:tcPr>
          <w:p w14:paraId="317F8B9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472</w:t>
            </w:r>
          </w:p>
        </w:tc>
        <w:tc>
          <w:tcPr>
            <w:tcW w:w="1036" w:type="dxa"/>
            <w:vMerge w:val="restart"/>
            <w:noWrap/>
            <w:hideMark/>
          </w:tcPr>
          <w:p w14:paraId="051ADFF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27</w:t>
            </w:r>
          </w:p>
        </w:tc>
        <w:tc>
          <w:tcPr>
            <w:tcW w:w="1036" w:type="dxa"/>
            <w:vMerge w:val="restart"/>
            <w:noWrap/>
            <w:hideMark/>
          </w:tcPr>
          <w:p w14:paraId="730FFFB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9</w:t>
            </w:r>
          </w:p>
        </w:tc>
        <w:tc>
          <w:tcPr>
            <w:tcW w:w="1191" w:type="dxa"/>
            <w:vMerge w:val="restart"/>
            <w:noWrap/>
            <w:hideMark/>
          </w:tcPr>
          <w:p w14:paraId="47D1232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4.8</w:t>
            </w:r>
          </w:p>
        </w:tc>
        <w:tc>
          <w:tcPr>
            <w:tcW w:w="1191" w:type="dxa"/>
            <w:vMerge w:val="restart"/>
            <w:noWrap/>
            <w:hideMark/>
          </w:tcPr>
          <w:p w14:paraId="3D3DB6A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19.1</w:t>
            </w:r>
          </w:p>
        </w:tc>
        <w:tc>
          <w:tcPr>
            <w:tcW w:w="924" w:type="dxa"/>
            <w:vMerge w:val="restart"/>
            <w:noWrap/>
            <w:hideMark/>
          </w:tcPr>
          <w:p w14:paraId="0395F73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3.42</w:t>
            </w:r>
          </w:p>
        </w:tc>
        <w:tc>
          <w:tcPr>
            <w:tcW w:w="647" w:type="dxa"/>
            <w:vMerge w:val="restart"/>
            <w:noWrap/>
            <w:hideMark/>
          </w:tcPr>
          <w:p w14:paraId="2B3905A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1.46</w:t>
            </w:r>
          </w:p>
        </w:tc>
        <w:tc>
          <w:tcPr>
            <w:tcW w:w="678" w:type="dxa"/>
            <w:vMerge w:val="restart"/>
            <w:noWrap/>
            <w:hideMark/>
          </w:tcPr>
          <w:p w14:paraId="459B360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8.02</w:t>
            </w:r>
          </w:p>
        </w:tc>
        <w:tc>
          <w:tcPr>
            <w:tcW w:w="975" w:type="dxa"/>
            <w:vMerge w:val="restart"/>
            <w:noWrap/>
            <w:hideMark/>
          </w:tcPr>
          <w:p w14:paraId="6E75951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4CAE83AE" w14:textId="77777777" w:rsidTr="00137592">
        <w:trPr>
          <w:trHeight w:val="315"/>
        </w:trPr>
        <w:tc>
          <w:tcPr>
            <w:tcW w:w="1130" w:type="dxa"/>
            <w:vMerge/>
            <w:hideMark/>
          </w:tcPr>
          <w:p w14:paraId="3D5C79FC" w14:textId="77777777" w:rsidR="007F36EA" w:rsidRPr="00137592" w:rsidRDefault="007F36EA" w:rsidP="00E85F62">
            <w:pPr>
              <w:pStyle w:val="Sinespaciado"/>
              <w:rPr>
                <w:rFonts w:ascii="Arial" w:hAnsi="Arial" w:cs="Arial"/>
                <w:sz w:val="22"/>
                <w:szCs w:val="22"/>
                <w:lang w:val="en-US"/>
              </w:rPr>
            </w:pPr>
          </w:p>
        </w:tc>
        <w:tc>
          <w:tcPr>
            <w:tcW w:w="965" w:type="dxa"/>
            <w:vMerge/>
            <w:hideMark/>
          </w:tcPr>
          <w:p w14:paraId="1FC08354" w14:textId="77777777" w:rsidR="007F36EA" w:rsidRPr="00137592" w:rsidRDefault="007F36EA" w:rsidP="00E85F62">
            <w:pPr>
              <w:pStyle w:val="Sinespaciado"/>
              <w:rPr>
                <w:rFonts w:ascii="Arial" w:hAnsi="Arial" w:cs="Arial"/>
                <w:sz w:val="22"/>
                <w:szCs w:val="22"/>
                <w:lang w:val="en-US"/>
              </w:rPr>
            </w:pPr>
          </w:p>
        </w:tc>
        <w:tc>
          <w:tcPr>
            <w:tcW w:w="1232" w:type="dxa"/>
            <w:vMerge/>
            <w:hideMark/>
          </w:tcPr>
          <w:p w14:paraId="01AE6F96" w14:textId="77777777" w:rsidR="007F36EA" w:rsidRPr="00137592" w:rsidRDefault="007F36EA" w:rsidP="00E85F62">
            <w:pPr>
              <w:pStyle w:val="Sinespaciado"/>
              <w:rPr>
                <w:rFonts w:ascii="Arial" w:hAnsi="Arial" w:cs="Arial"/>
                <w:sz w:val="22"/>
                <w:szCs w:val="22"/>
                <w:lang w:val="en-US"/>
              </w:rPr>
            </w:pPr>
          </w:p>
        </w:tc>
        <w:tc>
          <w:tcPr>
            <w:tcW w:w="935" w:type="dxa"/>
            <w:vMerge/>
            <w:hideMark/>
          </w:tcPr>
          <w:p w14:paraId="1BFB76C8" w14:textId="77777777" w:rsidR="007F36EA" w:rsidRPr="00137592" w:rsidRDefault="007F36EA" w:rsidP="00E85F62">
            <w:pPr>
              <w:pStyle w:val="Sinespaciado"/>
              <w:rPr>
                <w:rFonts w:ascii="Arial" w:hAnsi="Arial" w:cs="Arial"/>
                <w:sz w:val="22"/>
                <w:szCs w:val="22"/>
                <w:lang w:val="en-US"/>
              </w:rPr>
            </w:pPr>
          </w:p>
        </w:tc>
        <w:tc>
          <w:tcPr>
            <w:tcW w:w="750" w:type="dxa"/>
            <w:vMerge/>
            <w:hideMark/>
          </w:tcPr>
          <w:p w14:paraId="19088D5C" w14:textId="77777777" w:rsidR="007F36EA" w:rsidRPr="00137592" w:rsidRDefault="007F36EA" w:rsidP="00E85F62">
            <w:pPr>
              <w:pStyle w:val="Sinespaciado"/>
              <w:rPr>
                <w:rFonts w:ascii="Arial" w:hAnsi="Arial" w:cs="Arial"/>
                <w:sz w:val="22"/>
                <w:szCs w:val="22"/>
                <w:lang w:val="en-US"/>
              </w:rPr>
            </w:pPr>
          </w:p>
        </w:tc>
        <w:tc>
          <w:tcPr>
            <w:tcW w:w="1036" w:type="dxa"/>
            <w:vMerge/>
            <w:hideMark/>
          </w:tcPr>
          <w:p w14:paraId="7823BD76" w14:textId="77777777" w:rsidR="007F36EA" w:rsidRPr="00137592" w:rsidRDefault="007F36EA" w:rsidP="00E85F62">
            <w:pPr>
              <w:pStyle w:val="Sinespaciado"/>
              <w:rPr>
                <w:rFonts w:ascii="Arial" w:hAnsi="Arial" w:cs="Arial"/>
                <w:sz w:val="22"/>
                <w:szCs w:val="22"/>
                <w:lang w:val="en-US"/>
              </w:rPr>
            </w:pPr>
          </w:p>
        </w:tc>
        <w:tc>
          <w:tcPr>
            <w:tcW w:w="1036" w:type="dxa"/>
            <w:vMerge/>
            <w:hideMark/>
          </w:tcPr>
          <w:p w14:paraId="0E285D2B" w14:textId="77777777" w:rsidR="007F36EA" w:rsidRPr="00137592" w:rsidRDefault="007F36EA" w:rsidP="00E85F62">
            <w:pPr>
              <w:pStyle w:val="Sinespaciado"/>
              <w:rPr>
                <w:rFonts w:ascii="Arial" w:hAnsi="Arial" w:cs="Arial"/>
                <w:sz w:val="22"/>
                <w:szCs w:val="22"/>
                <w:lang w:val="en-US"/>
              </w:rPr>
            </w:pPr>
          </w:p>
        </w:tc>
        <w:tc>
          <w:tcPr>
            <w:tcW w:w="1191" w:type="dxa"/>
            <w:vMerge/>
            <w:hideMark/>
          </w:tcPr>
          <w:p w14:paraId="3D8AF37E" w14:textId="77777777" w:rsidR="007F36EA" w:rsidRPr="00137592" w:rsidRDefault="007F36EA" w:rsidP="00E85F62">
            <w:pPr>
              <w:pStyle w:val="Sinespaciado"/>
              <w:rPr>
                <w:rFonts w:ascii="Arial" w:hAnsi="Arial" w:cs="Arial"/>
                <w:sz w:val="22"/>
                <w:szCs w:val="22"/>
                <w:lang w:val="en-US"/>
              </w:rPr>
            </w:pPr>
          </w:p>
        </w:tc>
        <w:tc>
          <w:tcPr>
            <w:tcW w:w="1191" w:type="dxa"/>
            <w:vMerge/>
            <w:hideMark/>
          </w:tcPr>
          <w:p w14:paraId="16ABFD72" w14:textId="77777777" w:rsidR="007F36EA" w:rsidRPr="00137592" w:rsidRDefault="007F36EA" w:rsidP="00E85F62">
            <w:pPr>
              <w:pStyle w:val="Sinespaciado"/>
              <w:rPr>
                <w:rFonts w:ascii="Arial" w:hAnsi="Arial" w:cs="Arial"/>
                <w:sz w:val="22"/>
                <w:szCs w:val="22"/>
                <w:lang w:val="en-US"/>
              </w:rPr>
            </w:pPr>
          </w:p>
        </w:tc>
        <w:tc>
          <w:tcPr>
            <w:tcW w:w="924" w:type="dxa"/>
            <w:vMerge/>
            <w:hideMark/>
          </w:tcPr>
          <w:p w14:paraId="5F26BBA1" w14:textId="77777777" w:rsidR="007F36EA" w:rsidRPr="00137592" w:rsidRDefault="007F36EA" w:rsidP="00E85F62">
            <w:pPr>
              <w:pStyle w:val="Sinespaciado"/>
              <w:rPr>
                <w:rFonts w:ascii="Arial" w:hAnsi="Arial" w:cs="Arial"/>
                <w:sz w:val="22"/>
                <w:szCs w:val="22"/>
                <w:lang w:val="en-US"/>
              </w:rPr>
            </w:pPr>
          </w:p>
        </w:tc>
        <w:tc>
          <w:tcPr>
            <w:tcW w:w="647" w:type="dxa"/>
            <w:vMerge/>
            <w:hideMark/>
          </w:tcPr>
          <w:p w14:paraId="6BF8F8AF" w14:textId="77777777" w:rsidR="007F36EA" w:rsidRPr="00137592" w:rsidRDefault="007F36EA" w:rsidP="00E85F62">
            <w:pPr>
              <w:pStyle w:val="Sinespaciado"/>
              <w:rPr>
                <w:rFonts w:ascii="Arial" w:hAnsi="Arial" w:cs="Arial"/>
                <w:sz w:val="22"/>
                <w:szCs w:val="22"/>
                <w:lang w:val="en-US"/>
              </w:rPr>
            </w:pPr>
          </w:p>
        </w:tc>
        <w:tc>
          <w:tcPr>
            <w:tcW w:w="678" w:type="dxa"/>
            <w:vMerge/>
            <w:hideMark/>
          </w:tcPr>
          <w:p w14:paraId="496952AD" w14:textId="77777777" w:rsidR="007F36EA" w:rsidRPr="00137592" w:rsidRDefault="007F36EA" w:rsidP="00E85F62">
            <w:pPr>
              <w:pStyle w:val="Sinespaciado"/>
              <w:rPr>
                <w:rFonts w:ascii="Arial" w:hAnsi="Arial" w:cs="Arial"/>
                <w:sz w:val="22"/>
                <w:szCs w:val="22"/>
                <w:lang w:val="en-US"/>
              </w:rPr>
            </w:pPr>
          </w:p>
        </w:tc>
        <w:tc>
          <w:tcPr>
            <w:tcW w:w="975" w:type="dxa"/>
            <w:vMerge/>
            <w:hideMark/>
          </w:tcPr>
          <w:p w14:paraId="68958F7C" w14:textId="77777777" w:rsidR="007F36EA" w:rsidRPr="00137592" w:rsidRDefault="007F36EA" w:rsidP="00E85F62">
            <w:pPr>
              <w:pStyle w:val="Sinespaciado"/>
              <w:rPr>
                <w:rFonts w:ascii="Arial" w:hAnsi="Arial" w:cs="Arial"/>
                <w:sz w:val="22"/>
                <w:szCs w:val="22"/>
                <w:lang w:val="en-US"/>
              </w:rPr>
            </w:pPr>
          </w:p>
        </w:tc>
      </w:tr>
      <w:tr w:rsidR="007F36EA" w:rsidRPr="00C862ED" w14:paraId="1D6AD14A" w14:textId="77777777" w:rsidTr="00137592">
        <w:trPr>
          <w:trHeight w:val="1800"/>
        </w:trPr>
        <w:tc>
          <w:tcPr>
            <w:tcW w:w="1130" w:type="dxa"/>
            <w:noWrap/>
            <w:hideMark/>
          </w:tcPr>
          <w:p w14:paraId="5DFE78CF" w14:textId="44B6BD88"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t>Hurtig</w:t>
            </w:r>
            <w:proofErr w:type="spellEnd"/>
            <w:r w:rsidRPr="00137592">
              <w:rPr>
                <w:rFonts w:ascii="Arial" w:hAnsi="Arial" w:cs="Arial"/>
                <w:sz w:val="22"/>
                <w:szCs w:val="22"/>
                <w:lang w:val="en-US"/>
              </w:rPr>
              <w:t xml:space="preserve"> (2016)</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"mendeley" : { "formattedCitation" : "&lt;sup&gt;24&lt;/sup&gt;", "plainTextFormattedCitation" : "24", "previouslyFormattedCitation" : "&lt;sup&gt;24&lt;/sup&gt;"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24</w:t>
            </w:r>
            <w:r w:rsidRPr="00137592">
              <w:rPr>
                <w:rFonts w:ascii="Arial" w:hAnsi="Arial" w:cs="Arial"/>
                <w:sz w:val="20"/>
                <w:szCs w:val="20"/>
                <w:lang w:val="en-US"/>
              </w:rPr>
              <w:fldChar w:fldCharType="end"/>
            </w:r>
          </w:p>
        </w:tc>
        <w:tc>
          <w:tcPr>
            <w:tcW w:w="965" w:type="dxa"/>
            <w:hideMark/>
          </w:tcPr>
          <w:p w14:paraId="066D8BC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074FF97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Clinical criteria, injury between 7 and 15 years. Adjusted</w:t>
            </w:r>
          </w:p>
        </w:tc>
        <w:tc>
          <w:tcPr>
            <w:tcW w:w="935" w:type="dxa"/>
            <w:noWrap/>
            <w:hideMark/>
          </w:tcPr>
          <w:p w14:paraId="222126F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352</w:t>
            </w:r>
          </w:p>
        </w:tc>
        <w:tc>
          <w:tcPr>
            <w:tcW w:w="750" w:type="dxa"/>
            <w:hideMark/>
          </w:tcPr>
          <w:p w14:paraId="6CE08D1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105</w:t>
            </w:r>
          </w:p>
        </w:tc>
        <w:tc>
          <w:tcPr>
            <w:tcW w:w="1036" w:type="dxa"/>
            <w:noWrap/>
            <w:hideMark/>
          </w:tcPr>
          <w:p w14:paraId="7D90E65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w:t>
            </w:r>
          </w:p>
        </w:tc>
        <w:tc>
          <w:tcPr>
            <w:tcW w:w="1036" w:type="dxa"/>
            <w:noWrap/>
            <w:hideMark/>
          </w:tcPr>
          <w:p w14:paraId="3AE1B31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w:t>
            </w:r>
          </w:p>
        </w:tc>
        <w:tc>
          <w:tcPr>
            <w:tcW w:w="1191" w:type="dxa"/>
            <w:noWrap/>
            <w:hideMark/>
          </w:tcPr>
          <w:p w14:paraId="7FA002D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8.5</w:t>
            </w:r>
          </w:p>
        </w:tc>
        <w:tc>
          <w:tcPr>
            <w:tcW w:w="1191" w:type="dxa"/>
            <w:noWrap/>
            <w:hideMark/>
          </w:tcPr>
          <w:p w14:paraId="389B017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19.0</w:t>
            </w:r>
          </w:p>
        </w:tc>
        <w:tc>
          <w:tcPr>
            <w:tcW w:w="924" w:type="dxa"/>
            <w:noWrap/>
            <w:hideMark/>
          </w:tcPr>
          <w:p w14:paraId="2D945E7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6.29</w:t>
            </w:r>
          </w:p>
        </w:tc>
        <w:tc>
          <w:tcPr>
            <w:tcW w:w="647" w:type="dxa"/>
            <w:noWrap/>
            <w:hideMark/>
          </w:tcPr>
          <w:p w14:paraId="2FF9D1F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0.8</w:t>
            </w:r>
          </w:p>
        </w:tc>
        <w:tc>
          <w:tcPr>
            <w:tcW w:w="678" w:type="dxa"/>
            <w:noWrap/>
            <w:hideMark/>
          </w:tcPr>
          <w:p w14:paraId="1DF850B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49.35</w:t>
            </w:r>
          </w:p>
        </w:tc>
        <w:tc>
          <w:tcPr>
            <w:tcW w:w="975" w:type="dxa"/>
            <w:noWrap/>
            <w:hideMark/>
          </w:tcPr>
          <w:p w14:paraId="5A3E26F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0728124E" w14:textId="77777777" w:rsidTr="00137592">
        <w:trPr>
          <w:trHeight w:val="315"/>
        </w:trPr>
        <w:tc>
          <w:tcPr>
            <w:tcW w:w="1130" w:type="dxa"/>
            <w:noWrap/>
            <w:hideMark/>
          </w:tcPr>
          <w:p w14:paraId="25EBD6C1" w14:textId="13BB80B7"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LHID: Tai (2013)</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"ITEM-1",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"mendeley" : { "formattedCitation" : "&lt;sup&gt;20&lt;/sup&gt;", "plainTextFormattedCitation" : "20", "previouslyFormattedCitation" : "&lt;sup&gt;20&lt;/sup&gt;"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20</w:t>
            </w:r>
            <w:r w:rsidRPr="00137592">
              <w:rPr>
                <w:rFonts w:ascii="Arial" w:hAnsi="Arial" w:cs="Arial"/>
                <w:sz w:val="20"/>
                <w:szCs w:val="20"/>
                <w:lang w:val="en-US"/>
              </w:rPr>
              <w:fldChar w:fldCharType="end"/>
            </w:r>
            <w:r w:rsidRPr="00137592" w:rsidDel="00224A0A">
              <w:rPr>
                <w:rFonts w:ascii="Arial" w:hAnsi="Arial" w:cs="Arial"/>
                <w:sz w:val="22"/>
                <w:szCs w:val="22"/>
                <w:lang w:val="en-US"/>
              </w:rPr>
              <w:t xml:space="preserve"> </w:t>
            </w:r>
          </w:p>
        </w:tc>
        <w:tc>
          <w:tcPr>
            <w:tcW w:w="965" w:type="dxa"/>
            <w:hideMark/>
          </w:tcPr>
          <w:p w14:paraId="639A7FE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11C2F55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Unadjusted</w:t>
            </w:r>
          </w:p>
        </w:tc>
        <w:tc>
          <w:tcPr>
            <w:tcW w:w="935" w:type="dxa"/>
            <w:noWrap/>
            <w:hideMark/>
          </w:tcPr>
          <w:p w14:paraId="7F4B846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7860</w:t>
            </w:r>
          </w:p>
        </w:tc>
        <w:tc>
          <w:tcPr>
            <w:tcW w:w="750" w:type="dxa"/>
            <w:hideMark/>
          </w:tcPr>
          <w:p w14:paraId="0F23C6F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1965</w:t>
            </w:r>
          </w:p>
        </w:tc>
        <w:tc>
          <w:tcPr>
            <w:tcW w:w="1036" w:type="dxa"/>
            <w:noWrap/>
            <w:hideMark/>
          </w:tcPr>
          <w:p w14:paraId="6A95310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98</w:t>
            </w:r>
          </w:p>
        </w:tc>
        <w:tc>
          <w:tcPr>
            <w:tcW w:w="1036" w:type="dxa"/>
            <w:noWrap/>
            <w:hideMark/>
          </w:tcPr>
          <w:p w14:paraId="7886829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30</w:t>
            </w:r>
          </w:p>
        </w:tc>
        <w:tc>
          <w:tcPr>
            <w:tcW w:w="1191" w:type="dxa"/>
            <w:noWrap/>
            <w:hideMark/>
          </w:tcPr>
          <w:p w14:paraId="5B4D3C7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12.5</w:t>
            </w:r>
          </w:p>
        </w:tc>
        <w:tc>
          <w:tcPr>
            <w:tcW w:w="1191" w:type="dxa"/>
            <w:noWrap/>
            <w:hideMark/>
          </w:tcPr>
          <w:p w14:paraId="3D15781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15.3</w:t>
            </w:r>
          </w:p>
        </w:tc>
        <w:tc>
          <w:tcPr>
            <w:tcW w:w="924" w:type="dxa"/>
            <w:noWrap/>
            <w:hideMark/>
          </w:tcPr>
          <w:p w14:paraId="7BAC386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1.23</w:t>
            </w:r>
          </w:p>
        </w:tc>
        <w:tc>
          <w:tcPr>
            <w:tcW w:w="647" w:type="dxa"/>
            <w:noWrap/>
            <w:hideMark/>
          </w:tcPr>
          <w:p w14:paraId="18FBEC6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0.81</w:t>
            </w:r>
          </w:p>
        </w:tc>
        <w:tc>
          <w:tcPr>
            <w:tcW w:w="678" w:type="dxa"/>
            <w:noWrap/>
            <w:hideMark/>
          </w:tcPr>
          <w:p w14:paraId="13A82AE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1.85</w:t>
            </w:r>
          </w:p>
        </w:tc>
        <w:tc>
          <w:tcPr>
            <w:tcW w:w="975" w:type="dxa"/>
            <w:noWrap/>
            <w:hideMark/>
          </w:tcPr>
          <w:p w14:paraId="35833F8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No</w:t>
            </w:r>
          </w:p>
        </w:tc>
      </w:tr>
      <w:tr w:rsidR="007F36EA" w:rsidRPr="00C862ED" w14:paraId="1CE7120F" w14:textId="77777777" w:rsidTr="00137592">
        <w:trPr>
          <w:trHeight w:val="315"/>
        </w:trPr>
        <w:tc>
          <w:tcPr>
            <w:tcW w:w="1130" w:type="dxa"/>
            <w:noWrap/>
            <w:hideMark/>
          </w:tcPr>
          <w:p w14:paraId="2752F708" w14:textId="5CE5FA6B"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LHID: Chou (2014)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25</w:t>
            </w:r>
            <w:r w:rsidRPr="00137592">
              <w:rPr>
                <w:rFonts w:ascii="Arial" w:hAnsi="Arial" w:cs="Arial"/>
                <w:sz w:val="20"/>
                <w:szCs w:val="20"/>
                <w:lang w:val="en-US"/>
              </w:rPr>
              <w:fldChar w:fldCharType="end"/>
            </w:r>
            <w:r w:rsidRPr="00137592" w:rsidDel="00224A0A">
              <w:rPr>
                <w:rFonts w:ascii="Arial" w:hAnsi="Arial" w:cs="Arial"/>
                <w:sz w:val="22"/>
                <w:szCs w:val="22"/>
                <w:lang w:val="en-US"/>
              </w:rPr>
              <w:t xml:space="preserve"> </w:t>
            </w:r>
          </w:p>
        </w:tc>
        <w:tc>
          <w:tcPr>
            <w:tcW w:w="965" w:type="dxa"/>
            <w:hideMark/>
          </w:tcPr>
          <w:p w14:paraId="34DBA65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3CB0E99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Unadjusted</w:t>
            </w:r>
          </w:p>
        </w:tc>
        <w:tc>
          <w:tcPr>
            <w:tcW w:w="935" w:type="dxa"/>
            <w:noWrap/>
            <w:hideMark/>
          </w:tcPr>
          <w:p w14:paraId="69FE9FE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36850</w:t>
            </w:r>
          </w:p>
        </w:tc>
        <w:tc>
          <w:tcPr>
            <w:tcW w:w="750" w:type="dxa"/>
            <w:hideMark/>
          </w:tcPr>
          <w:p w14:paraId="6849040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3685</w:t>
            </w:r>
          </w:p>
        </w:tc>
        <w:tc>
          <w:tcPr>
            <w:tcW w:w="1036" w:type="dxa"/>
            <w:noWrap/>
            <w:hideMark/>
          </w:tcPr>
          <w:p w14:paraId="542D948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w:t>
            </w:r>
          </w:p>
        </w:tc>
        <w:tc>
          <w:tcPr>
            <w:tcW w:w="1036" w:type="dxa"/>
            <w:noWrap/>
            <w:hideMark/>
          </w:tcPr>
          <w:p w14:paraId="73A8F50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w:t>
            </w:r>
          </w:p>
        </w:tc>
        <w:tc>
          <w:tcPr>
            <w:tcW w:w="1191" w:type="dxa"/>
            <w:noWrap/>
            <w:hideMark/>
          </w:tcPr>
          <w:p w14:paraId="33CC3D5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0.8</w:t>
            </w:r>
          </w:p>
        </w:tc>
        <w:tc>
          <w:tcPr>
            <w:tcW w:w="1191" w:type="dxa"/>
            <w:noWrap/>
            <w:hideMark/>
          </w:tcPr>
          <w:p w14:paraId="3D5B31D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3.5</w:t>
            </w:r>
          </w:p>
        </w:tc>
        <w:tc>
          <w:tcPr>
            <w:tcW w:w="924" w:type="dxa"/>
            <w:noWrap/>
            <w:hideMark/>
          </w:tcPr>
          <w:p w14:paraId="6E94C8A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4.51</w:t>
            </w:r>
          </w:p>
        </w:tc>
        <w:tc>
          <w:tcPr>
            <w:tcW w:w="647" w:type="dxa"/>
            <w:noWrap/>
            <w:hideMark/>
          </w:tcPr>
          <w:p w14:paraId="5CE2483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2.35</w:t>
            </w:r>
          </w:p>
        </w:tc>
        <w:tc>
          <w:tcPr>
            <w:tcW w:w="678" w:type="dxa"/>
            <w:noWrap/>
            <w:hideMark/>
          </w:tcPr>
          <w:p w14:paraId="6FF963E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8.68</w:t>
            </w:r>
          </w:p>
        </w:tc>
        <w:tc>
          <w:tcPr>
            <w:tcW w:w="975" w:type="dxa"/>
            <w:noWrap/>
            <w:hideMark/>
          </w:tcPr>
          <w:p w14:paraId="4D7BAEA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No</w:t>
            </w:r>
          </w:p>
        </w:tc>
      </w:tr>
      <w:tr w:rsidR="007F36EA" w:rsidRPr="00C862ED" w14:paraId="034BA3BF" w14:textId="77777777" w:rsidTr="00137592">
        <w:trPr>
          <w:trHeight w:val="315"/>
        </w:trPr>
        <w:tc>
          <w:tcPr>
            <w:tcW w:w="1130" w:type="dxa"/>
            <w:noWrap/>
            <w:hideMark/>
          </w:tcPr>
          <w:p w14:paraId="67AC8C6F" w14:textId="3191ED2A"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LHID: Chou (2014)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25</w:t>
            </w:r>
            <w:r w:rsidRPr="00137592">
              <w:rPr>
                <w:rFonts w:ascii="Arial" w:hAnsi="Arial" w:cs="Arial"/>
                <w:sz w:val="20"/>
                <w:szCs w:val="20"/>
                <w:lang w:val="en-US"/>
              </w:rPr>
              <w:fldChar w:fldCharType="end"/>
            </w:r>
          </w:p>
        </w:tc>
        <w:tc>
          <w:tcPr>
            <w:tcW w:w="965" w:type="dxa"/>
            <w:hideMark/>
          </w:tcPr>
          <w:p w14:paraId="619466F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5C30AE3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Adjusted.</w:t>
            </w:r>
          </w:p>
        </w:tc>
        <w:tc>
          <w:tcPr>
            <w:tcW w:w="935" w:type="dxa"/>
            <w:noWrap/>
            <w:hideMark/>
          </w:tcPr>
          <w:p w14:paraId="5297CC9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36850</w:t>
            </w:r>
          </w:p>
        </w:tc>
        <w:tc>
          <w:tcPr>
            <w:tcW w:w="750" w:type="dxa"/>
            <w:hideMark/>
          </w:tcPr>
          <w:p w14:paraId="248FC20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3685</w:t>
            </w:r>
          </w:p>
        </w:tc>
        <w:tc>
          <w:tcPr>
            <w:tcW w:w="1036" w:type="dxa"/>
            <w:noWrap/>
            <w:hideMark/>
          </w:tcPr>
          <w:p w14:paraId="3A142B5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w:t>
            </w:r>
          </w:p>
        </w:tc>
        <w:tc>
          <w:tcPr>
            <w:tcW w:w="1036" w:type="dxa"/>
            <w:noWrap/>
            <w:hideMark/>
          </w:tcPr>
          <w:p w14:paraId="32D062E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w:t>
            </w:r>
          </w:p>
        </w:tc>
        <w:tc>
          <w:tcPr>
            <w:tcW w:w="1191" w:type="dxa"/>
            <w:noWrap/>
            <w:hideMark/>
          </w:tcPr>
          <w:p w14:paraId="7F701D9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0.8</w:t>
            </w:r>
          </w:p>
        </w:tc>
        <w:tc>
          <w:tcPr>
            <w:tcW w:w="1191" w:type="dxa"/>
            <w:noWrap/>
            <w:hideMark/>
          </w:tcPr>
          <w:p w14:paraId="0B2D62D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3.5</w:t>
            </w:r>
          </w:p>
        </w:tc>
        <w:tc>
          <w:tcPr>
            <w:tcW w:w="924" w:type="dxa"/>
            <w:noWrap/>
            <w:hideMark/>
          </w:tcPr>
          <w:p w14:paraId="6734776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4.65</w:t>
            </w:r>
          </w:p>
        </w:tc>
        <w:tc>
          <w:tcPr>
            <w:tcW w:w="647" w:type="dxa"/>
            <w:noWrap/>
            <w:hideMark/>
          </w:tcPr>
          <w:p w14:paraId="62D5092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2.41</w:t>
            </w:r>
          </w:p>
        </w:tc>
        <w:tc>
          <w:tcPr>
            <w:tcW w:w="678" w:type="dxa"/>
            <w:noWrap/>
            <w:hideMark/>
          </w:tcPr>
          <w:p w14:paraId="21CCDE2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8.94</w:t>
            </w:r>
          </w:p>
        </w:tc>
        <w:tc>
          <w:tcPr>
            <w:tcW w:w="975" w:type="dxa"/>
            <w:noWrap/>
            <w:hideMark/>
          </w:tcPr>
          <w:p w14:paraId="4B72845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22D81596" w14:textId="77777777" w:rsidTr="00137592">
        <w:trPr>
          <w:trHeight w:val="315"/>
        </w:trPr>
        <w:tc>
          <w:tcPr>
            <w:tcW w:w="1130" w:type="dxa"/>
            <w:noWrap/>
            <w:hideMark/>
          </w:tcPr>
          <w:p w14:paraId="07D59B53" w14:textId="684DCC41"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LHID: Chou (2014)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25</w:t>
            </w:r>
            <w:r w:rsidRPr="00137592">
              <w:rPr>
                <w:rFonts w:ascii="Arial" w:hAnsi="Arial" w:cs="Arial"/>
                <w:sz w:val="20"/>
                <w:szCs w:val="20"/>
                <w:lang w:val="en-US"/>
              </w:rPr>
              <w:fldChar w:fldCharType="end"/>
            </w:r>
          </w:p>
        </w:tc>
        <w:tc>
          <w:tcPr>
            <w:tcW w:w="965" w:type="dxa"/>
            <w:hideMark/>
          </w:tcPr>
          <w:p w14:paraId="28B476D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521BB07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Unadjusted</w:t>
            </w:r>
          </w:p>
        </w:tc>
        <w:tc>
          <w:tcPr>
            <w:tcW w:w="935" w:type="dxa"/>
            <w:noWrap/>
            <w:hideMark/>
          </w:tcPr>
          <w:p w14:paraId="0B4E574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36850</w:t>
            </w:r>
          </w:p>
        </w:tc>
        <w:tc>
          <w:tcPr>
            <w:tcW w:w="750" w:type="dxa"/>
            <w:hideMark/>
          </w:tcPr>
          <w:p w14:paraId="5777393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3685</w:t>
            </w:r>
          </w:p>
        </w:tc>
        <w:tc>
          <w:tcPr>
            <w:tcW w:w="1036" w:type="dxa"/>
            <w:noWrap/>
            <w:hideMark/>
          </w:tcPr>
          <w:p w14:paraId="13DB384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w:t>
            </w:r>
          </w:p>
        </w:tc>
        <w:tc>
          <w:tcPr>
            <w:tcW w:w="1036" w:type="dxa"/>
            <w:noWrap/>
            <w:hideMark/>
          </w:tcPr>
          <w:p w14:paraId="5C0A6C8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w:t>
            </w:r>
          </w:p>
        </w:tc>
        <w:tc>
          <w:tcPr>
            <w:tcW w:w="1191" w:type="dxa"/>
            <w:noWrap/>
            <w:hideMark/>
          </w:tcPr>
          <w:p w14:paraId="16F18EF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0.8</w:t>
            </w:r>
          </w:p>
        </w:tc>
        <w:tc>
          <w:tcPr>
            <w:tcW w:w="1191" w:type="dxa"/>
            <w:noWrap/>
            <w:hideMark/>
          </w:tcPr>
          <w:p w14:paraId="4C068E7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3.5</w:t>
            </w:r>
          </w:p>
        </w:tc>
        <w:tc>
          <w:tcPr>
            <w:tcW w:w="924" w:type="dxa"/>
            <w:noWrap/>
            <w:hideMark/>
          </w:tcPr>
          <w:p w14:paraId="32946B4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4.50</w:t>
            </w:r>
          </w:p>
        </w:tc>
        <w:tc>
          <w:tcPr>
            <w:tcW w:w="647" w:type="dxa"/>
            <w:noWrap/>
            <w:hideMark/>
          </w:tcPr>
          <w:p w14:paraId="02E4934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2.33</w:t>
            </w:r>
          </w:p>
        </w:tc>
        <w:tc>
          <w:tcPr>
            <w:tcW w:w="678" w:type="dxa"/>
            <w:noWrap/>
            <w:hideMark/>
          </w:tcPr>
          <w:p w14:paraId="15F2063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8.65</w:t>
            </w:r>
          </w:p>
        </w:tc>
        <w:tc>
          <w:tcPr>
            <w:tcW w:w="975" w:type="dxa"/>
            <w:noWrap/>
            <w:hideMark/>
          </w:tcPr>
          <w:p w14:paraId="00E66C5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No</w:t>
            </w:r>
          </w:p>
        </w:tc>
      </w:tr>
      <w:tr w:rsidR="007F36EA" w:rsidRPr="00C862ED" w14:paraId="1C05990A" w14:textId="77777777" w:rsidTr="00137592">
        <w:trPr>
          <w:trHeight w:val="780"/>
        </w:trPr>
        <w:tc>
          <w:tcPr>
            <w:tcW w:w="1130" w:type="dxa"/>
            <w:noWrap/>
            <w:hideMark/>
          </w:tcPr>
          <w:p w14:paraId="56C0E140" w14:textId="7DF56D3B"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LHID: Chou (2014)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25</w:t>
            </w:r>
            <w:r w:rsidRPr="00137592">
              <w:rPr>
                <w:rFonts w:ascii="Arial" w:hAnsi="Arial" w:cs="Arial"/>
                <w:sz w:val="20"/>
                <w:szCs w:val="20"/>
                <w:lang w:val="en-US"/>
              </w:rPr>
              <w:fldChar w:fldCharType="end"/>
            </w:r>
          </w:p>
        </w:tc>
        <w:tc>
          <w:tcPr>
            <w:tcW w:w="965" w:type="dxa"/>
            <w:hideMark/>
          </w:tcPr>
          <w:p w14:paraId="408E3DB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23FE863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 to12 years. Adjusted.</w:t>
            </w:r>
          </w:p>
        </w:tc>
        <w:tc>
          <w:tcPr>
            <w:tcW w:w="935" w:type="dxa"/>
            <w:noWrap/>
            <w:hideMark/>
          </w:tcPr>
          <w:p w14:paraId="766F3761"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750" w:type="dxa"/>
            <w:hideMark/>
          </w:tcPr>
          <w:p w14:paraId="23AC70D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036" w:type="dxa"/>
            <w:noWrap/>
            <w:hideMark/>
          </w:tcPr>
          <w:p w14:paraId="297096A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w:t>
            </w:r>
          </w:p>
        </w:tc>
        <w:tc>
          <w:tcPr>
            <w:tcW w:w="1036" w:type="dxa"/>
            <w:noWrap/>
            <w:hideMark/>
          </w:tcPr>
          <w:p w14:paraId="5F51771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w:t>
            </w:r>
          </w:p>
        </w:tc>
        <w:tc>
          <w:tcPr>
            <w:tcW w:w="1191" w:type="dxa"/>
            <w:noWrap/>
            <w:hideMark/>
          </w:tcPr>
          <w:p w14:paraId="53536E9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42C5CB7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924" w:type="dxa"/>
            <w:noWrap/>
            <w:hideMark/>
          </w:tcPr>
          <w:p w14:paraId="391BEB8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2.42</w:t>
            </w:r>
          </w:p>
        </w:tc>
        <w:tc>
          <w:tcPr>
            <w:tcW w:w="647" w:type="dxa"/>
            <w:noWrap/>
            <w:hideMark/>
          </w:tcPr>
          <w:p w14:paraId="7F2661B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0.99</w:t>
            </w:r>
          </w:p>
        </w:tc>
        <w:tc>
          <w:tcPr>
            <w:tcW w:w="678" w:type="dxa"/>
            <w:noWrap/>
            <w:hideMark/>
          </w:tcPr>
          <w:p w14:paraId="7E7FAFF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5.89</w:t>
            </w:r>
          </w:p>
        </w:tc>
        <w:tc>
          <w:tcPr>
            <w:tcW w:w="975" w:type="dxa"/>
            <w:noWrap/>
            <w:hideMark/>
          </w:tcPr>
          <w:p w14:paraId="038EE57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No</w:t>
            </w:r>
          </w:p>
        </w:tc>
      </w:tr>
      <w:tr w:rsidR="007F36EA" w:rsidRPr="00C862ED" w14:paraId="6CB8B027" w14:textId="77777777" w:rsidTr="00137592">
        <w:trPr>
          <w:trHeight w:val="780"/>
        </w:trPr>
        <w:tc>
          <w:tcPr>
            <w:tcW w:w="1130" w:type="dxa"/>
            <w:noWrap/>
            <w:hideMark/>
          </w:tcPr>
          <w:p w14:paraId="1DCCDED0" w14:textId="70A89575"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LHID: Chou (2014)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"ITEM-1",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"&lt;sup&gt;25&lt;/sup&gt;", "plainTextFormattedCitation" : "25", "previouslyFormattedCitation" : "&lt;sup&gt;25&lt;/sup&gt;"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25</w:t>
            </w:r>
            <w:r w:rsidRPr="00137592">
              <w:rPr>
                <w:rFonts w:ascii="Arial" w:hAnsi="Arial" w:cs="Arial"/>
                <w:sz w:val="20"/>
                <w:szCs w:val="20"/>
                <w:lang w:val="en-US"/>
              </w:rPr>
              <w:fldChar w:fldCharType="end"/>
            </w:r>
          </w:p>
        </w:tc>
        <w:tc>
          <w:tcPr>
            <w:tcW w:w="965" w:type="dxa"/>
            <w:hideMark/>
          </w:tcPr>
          <w:p w14:paraId="578CA4A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0DE9F19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12 to 18 years. Adjusted.</w:t>
            </w:r>
          </w:p>
        </w:tc>
        <w:tc>
          <w:tcPr>
            <w:tcW w:w="935" w:type="dxa"/>
            <w:noWrap/>
            <w:hideMark/>
          </w:tcPr>
          <w:p w14:paraId="62E5DA5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750" w:type="dxa"/>
            <w:hideMark/>
          </w:tcPr>
          <w:p w14:paraId="26F6F79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036" w:type="dxa"/>
            <w:noWrap/>
            <w:hideMark/>
          </w:tcPr>
          <w:p w14:paraId="6B84C1C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29</w:t>
            </w:r>
          </w:p>
        </w:tc>
        <w:tc>
          <w:tcPr>
            <w:tcW w:w="1036" w:type="dxa"/>
            <w:noWrap/>
            <w:hideMark/>
          </w:tcPr>
          <w:p w14:paraId="5F0AE76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w:t>
            </w:r>
          </w:p>
        </w:tc>
        <w:tc>
          <w:tcPr>
            <w:tcW w:w="1191" w:type="dxa"/>
            <w:noWrap/>
            <w:hideMark/>
          </w:tcPr>
          <w:p w14:paraId="405C3AD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2D4A8E4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924" w:type="dxa"/>
            <w:noWrap/>
            <w:hideMark/>
          </w:tcPr>
          <w:p w14:paraId="2040B51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17.86</w:t>
            </w:r>
          </w:p>
        </w:tc>
        <w:tc>
          <w:tcPr>
            <w:tcW w:w="647" w:type="dxa"/>
            <w:noWrap/>
            <w:hideMark/>
          </w:tcPr>
          <w:p w14:paraId="6D6F62B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5.23</w:t>
            </w:r>
          </w:p>
        </w:tc>
        <w:tc>
          <w:tcPr>
            <w:tcW w:w="678" w:type="dxa"/>
            <w:noWrap/>
            <w:hideMark/>
          </w:tcPr>
          <w:p w14:paraId="652B8F0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61.02</w:t>
            </w:r>
          </w:p>
        </w:tc>
        <w:tc>
          <w:tcPr>
            <w:tcW w:w="975" w:type="dxa"/>
            <w:noWrap/>
            <w:hideMark/>
          </w:tcPr>
          <w:p w14:paraId="531BCDF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No</w:t>
            </w:r>
          </w:p>
        </w:tc>
      </w:tr>
      <w:tr w:rsidR="007F36EA" w:rsidRPr="00C862ED" w14:paraId="3F506791" w14:textId="77777777" w:rsidTr="00137592">
        <w:trPr>
          <w:trHeight w:val="525"/>
        </w:trPr>
        <w:tc>
          <w:tcPr>
            <w:tcW w:w="1130" w:type="dxa"/>
            <w:noWrap/>
            <w:hideMark/>
          </w:tcPr>
          <w:p w14:paraId="044AAFF3" w14:textId="4644272B"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t>Lindemann</w:t>
            </w:r>
            <w:proofErr w:type="spellEnd"/>
            <w:r w:rsidRPr="00137592">
              <w:rPr>
                <w:rFonts w:ascii="Arial" w:hAnsi="Arial" w:cs="Arial"/>
                <w:sz w:val="22"/>
                <w:szCs w:val="22"/>
                <w:lang w:val="en-US"/>
              </w:rPr>
              <w:t xml:space="preserve"> (2017)</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"10.3389/fped.2017.00220", "ISSN" : "2296-2360", "author" : [ { "dropping-particle" : "", "family" : "Lindemann", "given" : "Christina", "non-dropping-particle" : "", "parse-names" : false, "suffix" : "" }, { "dropping-particle" : "", "family" : "Langner", "given" : "Ingo", "non-dropping-particle" : "", "parse-names" : false, "suffix" : "" }, { "dropping-particle" : "", "family" : "Banaschewski", "given" : "Tobias", "non-dropping-particle" : "", "parse-names" : false, "suffix" : "" }, { "dropping-particle" : "", "family" : "Garbe", "given" : "Edeltraut", "non-dropping-particle" : "", "parse-names" : false, "suffix" : "" }, { "dropping-particle" : "", "family" : "Mikolajczyk", "given" : "Rafael T.", "non-dropping-particle" : "", "parse-names" : false, "suffix" : "" } ], "container-title" : "Frontiers in Pediatrics", "id" : "ITEM-1", "issued" : { "date-parts" : [ [ "2017", "10", "24" ] ] }, "title" : "The Risk of Hospitalizations with Injury Diagnoses in a Matched Cohort of Children and Adolescents with and without Attention Deficit/Hyperactivity Disorder in Germany: A Database Study", "type" : "article-journal", "volume" : "5" }, "uris" : [ "http://www.mendeley.com/documents/?uuid=7ef27e7e-cf89-4dd2-90aa-16375dced0e0" ] } ], "mendeley" : { "formattedCitation" : "&lt;sup&gt;26&lt;/sup&gt;", "plainTextFormattedCitation" : "26", "previouslyFormattedCitation" : "&lt;sup&gt;26&lt;/sup&gt;"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26</w:t>
            </w:r>
            <w:r w:rsidRPr="00137592">
              <w:rPr>
                <w:rFonts w:ascii="Arial" w:hAnsi="Arial" w:cs="Arial"/>
                <w:sz w:val="20"/>
                <w:szCs w:val="20"/>
                <w:lang w:val="en-US"/>
              </w:rPr>
              <w:fldChar w:fldCharType="end"/>
            </w:r>
          </w:p>
        </w:tc>
        <w:tc>
          <w:tcPr>
            <w:tcW w:w="965" w:type="dxa"/>
            <w:hideMark/>
          </w:tcPr>
          <w:p w14:paraId="404CA06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HR</w:t>
            </w:r>
          </w:p>
        </w:tc>
        <w:tc>
          <w:tcPr>
            <w:tcW w:w="1232" w:type="dxa"/>
            <w:hideMark/>
          </w:tcPr>
          <w:p w14:paraId="2D92A53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Adjusted</w:t>
            </w:r>
          </w:p>
        </w:tc>
        <w:tc>
          <w:tcPr>
            <w:tcW w:w="935" w:type="dxa"/>
            <w:noWrap/>
            <w:hideMark/>
          </w:tcPr>
          <w:p w14:paraId="6DDA2B2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37650</w:t>
            </w:r>
          </w:p>
        </w:tc>
        <w:tc>
          <w:tcPr>
            <w:tcW w:w="750" w:type="dxa"/>
            <w:hideMark/>
          </w:tcPr>
          <w:p w14:paraId="65B6DCD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37650</w:t>
            </w:r>
          </w:p>
        </w:tc>
        <w:tc>
          <w:tcPr>
            <w:tcW w:w="1036" w:type="dxa"/>
            <w:noWrap/>
            <w:hideMark/>
          </w:tcPr>
          <w:p w14:paraId="33425A27"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036" w:type="dxa"/>
            <w:noWrap/>
            <w:hideMark/>
          </w:tcPr>
          <w:p w14:paraId="1389594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173364E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29B2661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924" w:type="dxa"/>
            <w:noWrap/>
            <w:hideMark/>
          </w:tcPr>
          <w:p w14:paraId="3C02F2A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3.47</w:t>
            </w:r>
          </w:p>
        </w:tc>
        <w:tc>
          <w:tcPr>
            <w:tcW w:w="647" w:type="dxa"/>
            <w:noWrap/>
            <w:hideMark/>
          </w:tcPr>
          <w:p w14:paraId="5823749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2.14</w:t>
            </w:r>
          </w:p>
        </w:tc>
        <w:tc>
          <w:tcPr>
            <w:tcW w:w="678" w:type="dxa"/>
            <w:noWrap/>
            <w:hideMark/>
          </w:tcPr>
          <w:p w14:paraId="633BA33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5.64</w:t>
            </w:r>
          </w:p>
        </w:tc>
        <w:tc>
          <w:tcPr>
            <w:tcW w:w="975" w:type="dxa"/>
            <w:noWrap/>
            <w:hideMark/>
          </w:tcPr>
          <w:p w14:paraId="01F2165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34C4DD4E" w14:textId="77777777" w:rsidTr="00137592">
        <w:trPr>
          <w:trHeight w:val="780"/>
        </w:trPr>
        <w:tc>
          <w:tcPr>
            <w:tcW w:w="1130" w:type="dxa"/>
            <w:noWrap/>
            <w:hideMark/>
          </w:tcPr>
          <w:p w14:paraId="0AA1FC99" w14:textId="3F9F7E54"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lastRenderedPageBreak/>
              <w:t>Rowe (2004)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"ITEM-1",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"mendeley" : { "formattedCitation" : "&lt;sup&gt;27&lt;/sup&gt;", "plainTextFormattedCitation" : "27", "previouslyFormattedCitation" : "&lt;sup&gt;27&lt;/sup&gt;"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27</w:t>
            </w:r>
            <w:r w:rsidRPr="00137592">
              <w:rPr>
                <w:rFonts w:ascii="Arial" w:hAnsi="Arial" w:cs="Arial"/>
                <w:sz w:val="20"/>
                <w:szCs w:val="20"/>
                <w:lang w:val="en-US"/>
              </w:rPr>
              <w:fldChar w:fldCharType="end"/>
            </w:r>
          </w:p>
        </w:tc>
        <w:tc>
          <w:tcPr>
            <w:tcW w:w="965" w:type="dxa"/>
            <w:hideMark/>
          </w:tcPr>
          <w:p w14:paraId="036438A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22931DB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Psychiatric model. Adjusted</w:t>
            </w:r>
          </w:p>
        </w:tc>
        <w:tc>
          <w:tcPr>
            <w:tcW w:w="935" w:type="dxa"/>
            <w:noWrap/>
            <w:hideMark/>
          </w:tcPr>
          <w:p w14:paraId="00E7645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750" w:type="dxa"/>
            <w:hideMark/>
          </w:tcPr>
          <w:p w14:paraId="4800872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036" w:type="dxa"/>
            <w:noWrap/>
            <w:hideMark/>
          </w:tcPr>
          <w:p w14:paraId="574D3264"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036" w:type="dxa"/>
            <w:noWrap/>
            <w:hideMark/>
          </w:tcPr>
          <w:p w14:paraId="4793021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6DC4FFE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1191" w:type="dxa"/>
            <w:noWrap/>
            <w:hideMark/>
          </w:tcPr>
          <w:p w14:paraId="399B2EC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NR</w:t>
            </w:r>
          </w:p>
        </w:tc>
        <w:tc>
          <w:tcPr>
            <w:tcW w:w="924" w:type="dxa"/>
            <w:noWrap/>
            <w:hideMark/>
          </w:tcPr>
          <w:p w14:paraId="115EF9C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1.2</w:t>
            </w:r>
          </w:p>
        </w:tc>
        <w:tc>
          <w:tcPr>
            <w:tcW w:w="647" w:type="dxa"/>
            <w:noWrap/>
            <w:hideMark/>
          </w:tcPr>
          <w:p w14:paraId="03A17E4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0.5</w:t>
            </w:r>
          </w:p>
        </w:tc>
        <w:tc>
          <w:tcPr>
            <w:tcW w:w="678" w:type="dxa"/>
            <w:noWrap/>
            <w:hideMark/>
          </w:tcPr>
          <w:p w14:paraId="6575E64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2.6</w:t>
            </w:r>
          </w:p>
        </w:tc>
        <w:tc>
          <w:tcPr>
            <w:tcW w:w="975" w:type="dxa"/>
            <w:noWrap/>
            <w:hideMark/>
          </w:tcPr>
          <w:p w14:paraId="770FD0A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738008F4" w14:textId="77777777" w:rsidTr="00137592">
        <w:trPr>
          <w:trHeight w:val="315"/>
        </w:trPr>
        <w:tc>
          <w:tcPr>
            <w:tcW w:w="1130" w:type="dxa"/>
            <w:noWrap/>
            <w:hideMark/>
          </w:tcPr>
          <w:p w14:paraId="7F6AC130" w14:textId="60457C3E" w:rsidR="007F36EA" w:rsidRPr="00137592" w:rsidRDefault="007F36EA" w:rsidP="00874EE3">
            <w:pPr>
              <w:pStyle w:val="Sinespaciado"/>
              <w:rPr>
                <w:rFonts w:ascii="Arial" w:hAnsi="Arial" w:cs="Arial"/>
                <w:sz w:val="22"/>
                <w:szCs w:val="22"/>
                <w:lang w:val="en-US"/>
              </w:rPr>
            </w:pPr>
            <w:r w:rsidRPr="00137592">
              <w:rPr>
                <w:rFonts w:ascii="Arial" w:hAnsi="Arial" w:cs="Arial"/>
                <w:sz w:val="22"/>
                <w:szCs w:val="22"/>
                <w:lang w:val="en-US"/>
              </w:rPr>
              <w:t>Silva (2014)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"ITEM-1",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"mendeley" : { "formattedCitation" : "&lt;sup&gt;28&lt;/sup&gt;", "plainTextFormattedCitation" : "28", "previouslyFormattedCitation" : "&lt;sup&gt;28&lt;/sup&gt;"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28</w:t>
            </w:r>
            <w:r w:rsidRPr="00137592">
              <w:rPr>
                <w:rFonts w:ascii="Arial" w:hAnsi="Arial" w:cs="Arial"/>
                <w:sz w:val="20"/>
                <w:szCs w:val="20"/>
                <w:lang w:val="en-US"/>
              </w:rPr>
              <w:fldChar w:fldCharType="end"/>
            </w:r>
            <w:r w:rsidRPr="00137592" w:rsidDel="00224A0A">
              <w:rPr>
                <w:rFonts w:ascii="Arial" w:hAnsi="Arial" w:cs="Arial"/>
                <w:sz w:val="22"/>
                <w:szCs w:val="22"/>
                <w:lang w:val="en-US"/>
              </w:rPr>
              <w:t xml:space="preserve"> </w:t>
            </w:r>
          </w:p>
        </w:tc>
        <w:tc>
          <w:tcPr>
            <w:tcW w:w="965" w:type="dxa"/>
            <w:hideMark/>
          </w:tcPr>
          <w:p w14:paraId="3D82560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5AD0128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Adjusted</w:t>
            </w:r>
          </w:p>
        </w:tc>
        <w:tc>
          <w:tcPr>
            <w:tcW w:w="935" w:type="dxa"/>
            <w:noWrap/>
            <w:hideMark/>
          </w:tcPr>
          <w:p w14:paraId="7B64BCA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8896</w:t>
            </w:r>
          </w:p>
        </w:tc>
        <w:tc>
          <w:tcPr>
            <w:tcW w:w="750" w:type="dxa"/>
            <w:hideMark/>
          </w:tcPr>
          <w:p w14:paraId="62A6688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5363</w:t>
            </w:r>
          </w:p>
        </w:tc>
        <w:tc>
          <w:tcPr>
            <w:tcW w:w="1036" w:type="dxa"/>
            <w:noWrap/>
            <w:hideMark/>
          </w:tcPr>
          <w:p w14:paraId="2504C14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332</w:t>
            </w:r>
          </w:p>
        </w:tc>
        <w:tc>
          <w:tcPr>
            <w:tcW w:w="1036" w:type="dxa"/>
            <w:noWrap/>
            <w:hideMark/>
          </w:tcPr>
          <w:p w14:paraId="4278CB5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322</w:t>
            </w:r>
          </w:p>
        </w:tc>
        <w:tc>
          <w:tcPr>
            <w:tcW w:w="1191" w:type="dxa"/>
            <w:noWrap/>
            <w:hideMark/>
          </w:tcPr>
          <w:p w14:paraId="2F1E9C8E"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37.3</w:t>
            </w:r>
          </w:p>
        </w:tc>
        <w:tc>
          <w:tcPr>
            <w:tcW w:w="1191" w:type="dxa"/>
            <w:noWrap/>
            <w:hideMark/>
          </w:tcPr>
          <w:p w14:paraId="4468D16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60.0</w:t>
            </w:r>
          </w:p>
        </w:tc>
        <w:tc>
          <w:tcPr>
            <w:tcW w:w="924" w:type="dxa"/>
            <w:noWrap/>
            <w:hideMark/>
          </w:tcPr>
          <w:p w14:paraId="0435F96B"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2.24</w:t>
            </w:r>
          </w:p>
        </w:tc>
        <w:tc>
          <w:tcPr>
            <w:tcW w:w="647" w:type="dxa"/>
            <w:noWrap/>
            <w:hideMark/>
          </w:tcPr>
          <w:p w14:paraId="25AE3CA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1.91</w:t>
            </w:r>
          </w:p>
        </w:tc>
        <w:tc>
          <w:tcPr>
            <w:tcW w:w="678" w:type="dxa"/>
            <w:noWrap/>
            <w:hideMark/>
          </w:tcPr>
          <w:p w14:paraId="285A017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2.65</w:t>
            </w:r>
          </w:p>
        </w:tc>
        <w:tc>
          <w:tcPr>
            <w:tcW w:w="975" w:type="dxa"/>
            <w:noWrap/>
            <w:hideMark/>
          </w:tcPr>
          <w:p w14:paraId="1FF7763F"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r w:rsidR="007F36EA" w:rsidRPr="00C862ED" w14:paraId="26118175" w14:textId="77777777" w:rsidTr="00137592">
        <w:trPr>
          <w:trHeight w:val="315"/>
        </w:trPr>
        <w:tc>
          <w:tcPr>
            <w:tcW w:w="1130" w:type="dxa"/>
            <w:noWrap/>
            <w:hideMark/>
          </w:tcPr>
          <w:p w14:paraId="11E47014" w14:textId="694E2EA8" w:rsidR="007F36EA" w:rsidRPr="00137592" w:rsidRDefault="007F36EA" w:rsidP="00874EE3">
            <w:pPr>
              <w:pStyle w:val="Sinespaciado"/>
              <w:rPr>
                <w:rFonts w:ascii="Arial" w:hAnsi="Arial" w:cs="Arial"/>
                <w:sz w:val="22"/>
                <w:szCs w:val="22"/>
                <w:lang w:val="en-US"/>
              </w:rPr>
            </w:pPr>
            <w:proofErr w:type="spellStart"/>
            <w:r w:rsidRPr="00137592">
              <w:rPr>
                <w:rFonts w:ascii="Arial" w:hAnsi="Arial" w:cs="Arial"/>
                <w:sz w:val="22"/>
                <w:szCs w:val="22"/>
                <w:lang w:val="en-US"/>
              </w:rPr>
              <w:t>Swensen</w:t>
            </w:r>
            <w:proofErr w:type="spellEnd"/>
            <w:r w:rsidRPr="00137592">
              <w:rPr>
                <w:rFonts w:ascii="Arial" w:hAnsi="Arial" w:cs="Arial"/>
                <w:sz w:val="22"/>
                <w:szCs w:val="22"/>
                <w:lang w:val="en-US"/>
              </w:rPr>
              <w:t xml:space="preserve"> (2004)</w:t>
            </w:r>
            <w:r w:rsidRPr="00137592">
              <w:rPr>
                <w:rFonts w:ascii="Arial" w:hAnsi="Arial" w:cs="Arial"/>
                <w:sz w:val="20"/>
                <w:szCs w:val="20"/>
                <w:lang w:val="en-US"/>
              </w:rPr>
              <w:fldChar w:fldCharType="begin" w:fldLock="1"/>
            </w:r>
            <w:r w:rsidRPr="00137592">
              <w:rPr>
                <w:rFonts w:ascii="Arial" w:hAnsi="Arial" w:cs="Arial"/>
                <w:sz w:val="20"/>
                <w:szCs w:val="20"/>
                <w:lang w:val="en-US"/>
              </w:rPr>
              <w:instrText>ADDIN CSL_CITATION { "citationItems" : [ { "id" : "ITEM-1", "itemData" : { "DOI" : "10.1016/j.jadohealth.2003.12.003", "ISBN" : "1879-1972 (Electronic)\\r1054-139X (Linking)", "ISSN" : "1879-1972", "PMID" : "15830457", "abstract" : "PURPOSE The purpose is to analyze the incidence and costs of accidents among Attention-Deficit/Hyperactivity Disorder (ADHD) patients. METHODS The analysis relied on administrative medical, pharmaceutical, and disability claims for a national manufacturer's employees, spouses, dependents, and retirees (n &gt; 100,000). Accidental injuries were identified using ICD-9 codes for injuries or poisoning treatment. ADHD sample consists of individuals with at least one claim for ADHD during 1996-98 (NADHD = 1308), which was compared with a matched control sample. In addition to descriptive statistics, multivariate analysis involving logistic regression was used to model the probability of having an accident claim in 1998. This probability was estimated for the whole population, for adults alone, for children (under age 12 years), and for adolescents (age 12-18 years). We also estimated a generalized estimation equation (GEE) model to account for the possibility of multiple accident claims for a single patient. RESULTS ADHD patients had a greater probability of having at least one accident claim than their controls for children (28% vs. 18%), adolescents (32% vs. 23%), and adults (38% vs. 18%). Although ADHD patients' costs were greater than their controls for adults ($483 vs. $146), there was no difference for children or adolescents. However, among patients with accident claims, the average number of accident claims was similar for both groups (3.6 vs. 3.5) and costs were not statistically different. The multivariate analysis confirms this utilization pattern: the odds of having an accident for ADHD patients were 1.7 times greater than for controls. CONCLUSIONS ADHD was a significant predictor of having an accident claim. However, for people with an accident claim, ADHD patients and controls had a similar number of accident claims and costs.", "author" : [ { "dropping-particle" : "", "family" : "Swensen", "given" : "Andrine", "non-dropping-particle" : "", "parse-names" : false, "suffix" : "" }, { "dropping-particle" : "", "family" : "Birnbaum", "given" : "Howard G.", "non-dropping-particle" : "", "parse-names" : false, "suffix" : "" }, { "dropping-particle" : "", "family" : "Hamadi", "given" : "Rym", "non-dropping-particle" : "Ben", "parse-names" : false, "suffix" : "" }, { "dropping-particle" : "", "family" : "Greenberg", "given" : "Paul", "non-dropping-particle" : "", "parse-names" : false, "suffix" : "" }, { "dropping-particle" : "", "family" : "Cremieux", "given" : "Pierre-Yves", "non-dropping-particle" : "", "parse-names" : false, "suffix" : "" }, { "dropping-particle" : "", "family" : "Secnik", "given" : "Kristina", "non-dropping-particle" : "", "parse-names" : false, "suffix" : "" } ], "container-title" : "The Journal of adolescent health : official publication of the Society for Adolescent Medicine", "id" : "ITEM-1", "issue" : "4", "issued" : { "date-parts" : [ [ "2004", "10", "1" ] ] }, "language" : "eng", "note" : "Maite01.\n\nGonzalo01.\n\nFrom Duplicate 2 (Incidence and costs of accidents among attention-deficit/hyperactivity disorder patients. - Swensen, Andrine; Birnbaum, Howard G; Ben Hamadi, Rym; Greenberg, Paul; Cremieux, Pierre-Yves Y; Secnik, Kristina)\n\nFrom Duplicate 1 (Incidence and costs of accidents among attention-deficit/hyperactivity disorder patients - Swensen, Andrine; Birnbaum, Howard G; Ben Hamadi, Rym; Greenberg, Paul; Cremieux, Pierre-Yves Y; Secnik, Kristina)\n\n\n\nFrom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78\n\nFrom Duplicate 2 (Incidence and costs of accidents among attention-deficit/hyperactivity disorder patients. - Swensen, Andrine; Birnbaum, Howard G; Ben Hamadi, Rym; Greenberg, Paul; Cremieux, Pierre-Yves; Secnik, Kristina)\nAnd Duplicate 3 (Incidence and costs of accidents among attention-deficit/hyperactivity disorder patients. - Swensen, Andrine; Birnbaum, Howard G; Ben Hamadi, Rym; Greenberg, Paul; Cremieux, Pierre-Yves; Secnik, Kristina)\n\nBusqueda_pubmed.\n\nFrom Duplicate 4 (Incidence and costs of accidents among attention-deficit/hyperactivity disorder patients - Swensen, Andrine; Birnbaum, Howard G; Ben Hamadi, Rym; Greenberg, Paul; Cremieux, Pierre-Yves Y; Secnik, Kristina)\n\nGonzalo01.\n\nFrom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 "page" : "346.e1-9", "publisher" : "Elsevier Inc.", "publisher-place" : "United States", "title" : "Incidence and costs of accidents among attention-deficit/hyperactivity disorder patients.", "type" : "article-journal", "volume" : "35" }, "uris" : [ "http://www.mendeley.com/documents/?uuid=e22332c3-4de9-4376-9a2b-271494ff3f68" ] } ], "mendeley" : { "formattedCitation" : "&lt;sup&gt;29&lt;/sup&gt;", "plainTextFormattedCitation" : "29", "previouslyFormattedCitation" : "&lt;sup&gt;29&lt;/sup&gt;" }, "properties" : {  }, "schema" : "https://github.com/citation-style-language/schema/raw/master/csl-citation.json" }</w:instrText>
            </w:r>
            <w:r w:rsidRPr="00137592">
              <w:rPr>
                <w:rFonts w:ascii="Arial" w:hAnsi="Arial" w:cs="Arial"/>
                <w:sz w:val="20"/>
                <w:szCs w:val="20"/>
                <w:lang w:val="en-US"/>
              </w:rPr>
              <w:fldChar w:fldCharType="separate"/>
            </w:r>
            <w:r w:rsidRPr="00137592">
              <w:rPr>
                <w:rFonts w:ascii="Arial" w:hAnsi="Arial" w:cs="Arial"/>
                <w:noProof/>
                <w:sz w:val="20"/>
                <w:szCs w:val="20"/>
                <w:vertAlign w:val="superscript"/>
                <w:lang w:val="en-US"/>
              </w:rPr>
              <w:t>29</w:t>
            </w:r>
            <w:r w:rsidRPr="00137592">
              <w:rPr>
                <w:rFonts w:ascii="Arial" w:hAnsi="Arial" w:cs="Arial"/>
                <w:sz w:val="20"/>
                <w:szCs w:val="20"/>
                <w:lang w:val="en-US"/>
              </w:rPr>
              <w:fldChar w:fldCharType="end"/>
            </w:r>
            <w:r w:rsidRPr="00137592" w:rsidDel="00224A0A">
              <w:rPr>
                <w:rFonts w:ascii="Arial" w:hAnsi="Arial" w:cs="Arial"/>
                <w:sz w:val="22"/>
                <w:szCs w:val="22"/>
                <w:lang w:val="en-US"/>
              </w:rPr>
              <w:t xml:space="preserve"> </w:t>
            </w:r>
          </w:p>
        </w:tc>
        <w:tc>
          <w:tcPr>
            <w:tcW w:w="965" w:type="dxa"/>
            <w:hideMark/>
          </w:tcPr>
          <w:p w14:paraId="03AC776D"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OR</w:t>
            </w:r>
          </w:p>
        </w:tc>
        <w:tc>
          <w:tcPr>
            <w:tcW w:w="1232" w:type="dxa"/>
            <w:hideMark/>
          </w:tcPr>
          <w:p w14:paraId="42C083E0"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Unadjusted</w:t>
            </w:r>
          </w:p>
        </w:tc>
        <w:tc>
          <w:tcPr>
            <w:tcW w:w="935" w:type="dxa"/>
            <w:noWrap/>
            <w:hideMark/>
          </w:tcPr>
          <w:p w14:paraId="6E901146"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1308</w:t>
            </w:r>
          </w:p>
        </w:tc>
        <w:tc>
          <w:tcPr>
            <w:tcW w:w="750" w:type="dxa"/>
            <w:hideMark/>
          </w:tcPr>
          <w:p w14:paraId="27F38FA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1308</w:t>
            </w:r>
          </w:p>
        </w:tc>
        <w:tc>
          <w:tcPr>
            <w:tcW w:w="1036" w:type="dxa"/>
            <w:noWrap/>
            <w:hideMark/>
          </w:tcPr>
          <w:p w14:paraId="45DB092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5</w:t>
            </w:r>
          </w:p>
        </w:tc>
        <w:tc>
          <w:tcPr>
            <w:tcW w:w="1036" w:type="dxa"/>
            <w:noWrap/>
            <w:hideMark/>
          </w:tcPr>
          <w:p w14:paraId="7EFB174C"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22</w:t>
            </w:r>
          </w:p>
        </w:tc>
        <w:tc>
          <w:tcPr>
            <w:tcW w:w="1191" w:type="dxa"/>
            <w:noWrap/>
            <w:hideMark/>
          </w:tcPr>
          <w:p w14:paraId="01B9C1AA"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3.8</w:t>
            </w:r>
          </w:p>
        </w:tc>
        <w:tc>
          <w:tcPr>
            <w:tcW w:w="1191" w:type="dxa"/>
            <w:noWrap/>
            <w:hideMark/>
          </w:tcPr>
          <w:p w14:paraId="4E473E65"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16.8</w:t>
            </w:r>
          </w:p>
        </w:tc>
        <w:tc>
          <w:tcPr>
            <w:tcW w:w="924" w:type="dxa"/>
            <w:noWrap/>
            <w:hideMark/>
          </w:tcPr>
          <w:p w14:paraId="1E3185E8"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4.46</w:t>
            </w:r>
          </w:p>
        </w:tc>
        <w:tc>
          <w:tcPr>
            <w:tcW w:w="647" w:type="dxa"/>
            <w:noWrap/>
            <w:hideMark/>
          </w:tcPr>
          <w:p w14:paraId="6CEADE42"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1.68</w:t>
            </w:r>
          </w:p>
        </w:tc>
        <w:tc>
          <w:tcPr>
            <w:tcW w:w="678" w:type="dxa"/>
            <w:noWrap/>
            <w:hideMark/>
          </w:tcPr>
          <w:p w14:paraId="095D8709"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11.81</w:t>
            </w:r>
          </w:p>
        </w:tc>
        <w:tc>
          <w:tcPr>
            <w:tcW w:w="975" w:type="dxa"/>
            <w:noWrap/>
            <w:hideMark/>
          </w:tcPr>
          <w:p w14:paraId="64121DE3" w14:textId="77777777" w:rsidR="007F36EA" w:rsidRPr="00137592" w:rsidRDefault="007F36EA" w:rsidP="00E85F62">
            <w:pPr>
              <w:pStyle w:val="Sinespaciado"/>
              <w:rPr>
                <w:rFonts w:ascii="Arial" w:hAnsi="Arial" w:cs="Arial"/>
                <w:sz w:val="22"/>
                <w:szCs w:val="22"/>
                <w:lang w:val="en-US"/>
              </w:rPr>
            </w:pPr>
            <w:r w:rsidRPr="00137592">
              <w:rPr>
                <w:rFonts w:ascii="Arial" w:hAnsi="Arial" w:cs="Arial"/>
                <w:sz w:val="22"/>
                <w:szCs w:val="22"/>
                <w:lang w:val="en-US"/>
              </w:rPr>
              <w:t>Yes</w:t>
            </w:r>
          </w:p>
        </w:tc>
      </w:tr>
    </w:tbl>
    <w:p w14:paraId="798C86E3" w14:textId="663EB3C0" w:rsidR="00616F04" w:rsidRPr="00137592" w:rsidRDefault="00D510E4" w:rsidP="00B264C0">
      <w:pPr>
        <w:pStyle w:val="Sinespaciado"/>
        <w:rPr>
          <w:b/>
          <w:sz w:val="22"/>
          <w:szCs w:val="22"/>
        </w:rPr>
      </w:pPr>
      <w:r w:rsidRPr="00137592">
        <w:rPr>
          <w:b/>
          <w:sz w:val="22"/>
          <w:szCs w:val="22"/>
          <w:lang w:val="en-US"/>
        </w:rPr>
        <w:t>Table legend</w:t>
      </w:r>
    </w:p>
    <w:p w14:paraId="1F1FA329" w14:textId="75BEAAAE" w:rsidR="005744C0" w:rsidRDefault="00E03B13" w:rsidP="00B264C0">
      <w:pPr>
        <w:pStyle w:val="Sinespaciado"/>
        <w:rPr>
          <w:sz w:val="22"/>
          <w:szCs w:val="22"/>
          <w:lang w:val="en-US"/>
        </w:rPr>
      </w:pPr>
      <w:r w:rsidRPr="00B264C0">
        <w:rPr>
          <w:sz w:val="22"/>
          <w:szCs w:val="22"/>
          <w:lang w:val="en-US"/>
        </w:rPr>
        <w:t xml:space="preserve">N: number of individuals in each group; OR: odds ratio between </w:t>
      </w:r>
      <w:r w:rsidR="00480F79" w:rsidRPr="00137592">
        <w:rPr>
          <w:sz w:val="22"/>
          <w:szCs w:val="22"/>
          <w:lang w:val="en-US"/>
        </w:rPr>
        <w:t xml:space="preserve">children and adolescents with </w:t>
      </w:r>
      <w:r w:rsidRPr="00B264C0">
        <w:rPr>
          <w:sz w:val="22"/>
          <w:szCs w:val="22"/>
          <w:lang w:val="en-US"/>
        </w:rPr>
        <w:t xml:space="preserve">ADHD and </w:t>
      </w:r>
      <w:r w:rsidR="00480F79" w:rsidRPr="00137592">
        <w:rPr>
          <w:sz w:val="22"/>
          <w:szCs w:val="22"/>
          <w:lang w:val="en-US"/>
        </w:rPr>
        <w:t xml:space="preserve">without </w:t>
      </w:r>
      <w:r w:rsidRPr="00B264C0">
        <w:rPr>
          <w:sz w:val="22"/>
          <w:szCs w:val="22"/>
          <w:lang w:val="en-US"/>
        </w:rPr>
        <w:t xml:space="preserve">ADHD; HR: hazard ratio between </w:t>
      </w:r>
      <w:r w:rsidR="00480F79" w:rsidRPr="00137592">
        <w:rPr>
          <w:sz w:val="22"/>
          <w:szCs w:val="22"/>
          <w:lang w:val="en-US"/>
        </w:rPr>
        <w:t>children and adolescents with ADHD and without ADHD</w:t>
      </w:r>
      <w:r w:rsidRPr="00B264C0">
        <w:rPr>
          <w:sz w:val="22"/>
          <w:szCs w:val="22"/>
          <w:lang w:val="en-US"/>
        </w:rPr>
        <w:t>; LBCI: lower bound of the 95% confident interval; UB</w:t>
      </w:r>
      <w:r w:rsidR="00480F79" w:rsidRPr="00137592">
        <w:rPr>
          <w:sz w:val="22"/>
          <w:szCs w:val="22"/>
          <w:lang w:val="en-US"/>
        </w:rPr>
        <w:t>CI</w:t>
      </w:r>
      <w:r w:rsidRPr="00B264C0">
        <w:rPr>
          <w:sz w:val="22"/>
          <w:szCs w:val="22"/>
          <w:lang w:val="en-US"/>
        </w:rPr>
        <w:t>: upper bound of the 95% confid</w:t>
      </w:r>
      <w:r w:rsidR="00480F79" w:rsidRPr="00137592">
        <w:rPr>
          <w:sz w:val="22"/>
          <w:szCs w:val="22"/>
          <w:lang w:val="en-US"/>
        </w:rPr>
        <w:t>ent interval; Main analysis: it</w:t>
      </w:r>
      <w:r w:rsidRPr="00B264C0">
        <w:rPr>
          <w:sz w:val="22"/>
          <w:szCs w:val="22"/>
          <w:lang w:val="en-US"/>
        </w:rPr>
        <w:t xml:space="preserve"> indicates if the outcome has been included in the main analysis (most controlled and general outcome) and in the main sensitivity analyses. NR: not reported.</w:t>
      </w:r>
    </w:p>
    <w:p w14:paraId="2EA6D9FC" w14:textId="77777777" w:rsidR="005744C0" w:rsidRDefault="005744C0">
      <w:pPr>
        <w:spacing w:line="240" w:lineRule="auto"/>
        <w:rPr>
          <w:sz w:val="22"/>
          <w:szCs w:val="22"/>
        </w:rPr>
      </w:pPr>
      <w:r>
        <w:rPr>
          <w:sz w:val="22"/>
          <w:szCs w:val="22"/>
        </w:rPr>
        <w:br w:type="page"/>
      </w:r>
    </w:p>
    <w:p w14:paraId="3D29556A" w14:textId="77777777" w:rsidR="00616F04" w:rsidRDefault="00616F04" w:rsidP="00B264C0">
      <w:pPr>
        <w:pStyle w:val="Sinespaciado"/>
        <w:rPr>
          <w:sz w:val="22"/>
          <w:szCs w:val="22"/>
          <w:lang w:val="en-US"/>
        </w:rPr>
      </w:pPr>
    </w:p>
    <w:p w14:paraId="2AD300BD" w14:textId="77777777" w:rsidR="005744C0" w:rsidRPr="00137592" w:rsidRDefault="005744C0" w:rsidP="005744C0">
      <w:pPr>
        <w:spacing w:after="160" w:line="360" w:lineRule="auto"/>
        <w:rPr>
          <w:rStyle w:val="Textoennegrita"/>
          <w:sz w:val="28"/>
          <w:szCs w:val="28"/>
        </w:rPr>
      </w:pPr>
      <w:r>
        <w:rPr>
          <w:rStyle w:val="Textoennegrita"/>
          <w:sz w:val="28"/>
          <w:szCs w:val="28"/>
        </w:rPr>
        <w:t>Table 4:</w:t>
      </w:r>
      <w:r w:rsidRPr="00DB152E">
        <w:rPr>
          <w:rStyle w:val="Textoennegrita"/>
          <w:sz w:val="28"/>
          <w:szCs w:val="28"/>
        </w:rPr>
        <w:t xml:space="preserve"> Newcastle Ottawa Scale s</w:t>
      </w:r>
      <w:r w:rsidRPr="00137592">
        <w:rPr>
          <w:rStyle w:val="Textoennegrita"/>
          <w:sz w:val="28"/>
          <w:szCs w:val="28"/>
        </w:rPr>
        <w:t>core</w:t>
      </w:r>
      <w:r w:rsidRPr="00C862ED">
        <w:rPr>
          <w:rStyle w:val="Textoennegrita"/>
          <w:sz w:val="28"/>
          <w:szCs w:val="28"/>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030"/>
        <w:gridCol w:w="2085"/>
        <w:gridCol w:w="2025"/>
        <w:gridCol w:w="2073"/>
        <w:gridCol w:w="2631"/>
      </w:tblGrid>
      <w:tr w:rsidR="005744C0" w:rsidRPr="00C862ED" w14:paraId="28394388" w14:textId="77777777" w:rsidTr="00E13811">
        <w:trPr>
          <w:trHeight w:val="20"/>
        </w:trPr>
        <w:tc>
          <w:tcPr>
            <w:tcW w:w="835" w:type="pct"/>
          </w:tcPr>
          <w:p w14:paraId="7BD02A2C" w14:textId="77777777" w:rsidR="005744C0" w:rsidRPr="00137592" w:rsidRDefault="005744C0" w:rsidP="00E13811">
            <w:pPr>
              <w:spacing w:line="240" w:lineRule="auto"/>
              <w:rPr>
                <w:rFonts w:ascii="Arial" w:hAnsi="Arial" w:cs="Arial"/>
                <w:b/>
                <w:bCs/>
                <w:szCs w:val="20"/>
              </w:rPr>
            </w:pPr>
            <w:r w:rsidRPr="00137592">
              <w:rPr>
                <w:rFonts w:ascii="Arial" w:hAnsi="Arial" w:cs="Arial"/>
                <w:b/>
                <w:bCs/>
                <w:sz w:val="22"/>
                <w:szCs w:val="20"/>
              </w:rPr>
              <w:t>Name</w:t>
            </w:r>
          </w:p>
        </w:tc>
        <w:tc>
          <w:tcPr>
            <w:tcW w:w="1065" w:type="pct"/>
          </w:tcPr>
          <w:p w14:paraId="7BEEE02D" w14:textId="77777777" w:rsidR="005744C0" w:rsidRPr="00DB152E" w:rsidRDefault="005744C0" w:rsidP="00E13811">
            <w:pPr>
              <w:spacing w:line="240" w:lineRule="auto"/>
              <w:rPr>
                <w:rFonts w:ascii="Arial" w:hAnsi="Arial" w:cs="Arial"/>
                <w:b/>
                <w:bCs/>
              </w:rPr>
            </w:pPr>
            <w:r w:rsidRPr="00C862ED">
              <w:rPr>
                <w:rFonts w:ascii="Arial" w:hAnsi="Arial" w:cs="Arial"/>
                <w:b/>
                <w:bCs/>
                <w:sz w:val="22"/>
                <w:szCs w:val="22"/>
              </w:rPr>
              <w:t xml:space="preserve">NOS version </w:t>
            </w:r>
          </w:p>
        </w:tc>
        <w:tc>
          <w:tcPr>
            <w:tcW w:w="733" w:type="pct"/>
          </w:tcPr>
          <w:p w14:paraId="161B2AD7" w14:textId="77777777" w:rsidR="005744C0" w:rsidRPr="00C862ED" w:rsidRDefault="005744C0" w:rsidP="00E13811">
            <w:pPr>
              <w:spacing w:line="240" w:lineRule="auto"/>
              <w:rPr>
                <w:rFonts w:ascii="Arial" w:hAnsi="Arial" w:cs="Arial"/>
                <w:b/>
                <w:bCs/>
              </w:rPr>
            </w:pPr>
            <w:r w:rsidRPr="00C862ED">
              <w:rPr>
                <w:rFonts w:ascii="Arial" w:hAnsi="Arial" w:cs="Arial"/>
                <w:b/>
                <w:bCs/>
                <w:sz w:val="22"/>
                <w:szCs w:val="22"/>
              </w:rPr>
              <w:t>Selection (up to 3 stars)</w:t>
            </w:r>
            <w:r w:rsidRPr="00C862ED">
              <w:rPr>
                <w:rFonts w:ascii="Arial" w:hAnsi="Arial" w:cs="Arial"/>
                <w:b/>
                <w:bCs/>
                <w:sz w:val="22"/>
                <w:szCs w:val="22"/>
                <w:vertAlign w:val="superscript"/>
              </w:rPr>
              <w:t>a</w:t>
            </w:r>
          </w:p>
        </w:tc>
        <w:tc>
          <w:tcPr>
            <w:tcW w:w="712" w:type="pct"/>
          </w:tcPr>
          <w:p w14:paraId="2B4743C3" w14:textId="77777777" w:rsidR="005744C0" w:rsidRPr="00C862ED" w:rsidRDefault="005744C0" w:rsidP="00E13811">
            <w:pPr>
              <w:spacing w:line="240" w:lineRule="auto"/>
              <w:rPr>
                <w:rFonts w:ascii="Arial" w:hAnsi="Arial" w:cs="Arial"/>
                <w:b/>
                <w:bCs/>
              </w:rPr>
            </w:pPr>
            <w:r w:rsidRPr="00C862ED">
              <w:rPr>
                <w:rFonts w:ascii="Arial" w:hAnsi="Arial" w:cs="Arial"/>
                <w:b/>
                <w:bCs/>
                <w:sz w:val="22"/>
                <w:szCs w:val="22"/>
              </w:rPr>
              <w:t>Comparability(up to 2 stars)</w:t>
            </w:r>
          </w:p>
        </w:tc>
        <w:tc>
          <w:tcPr>
            <w:tcW w:w="729" w:type="pct"/>
            <w:noWrap/>
          </w:tcPr>
          <w:p w14:paraId="67FF5885" w14:textId="77777777" w:rsidR="005744C0" w:rsidRPr="00C862ED" w:rsidRDefault="005744C0" w:rsidP="00E13811">
            <w:pPr>
              <w:spacing w:line="240" w:lineRule="auto"/>
              <w:rPr>
                <w:rFonts w:ascii="Arial" w:hAnsi="Arial" w:cs="Arial"/>
                <w:b/>
                <w:bCs/>
              </w:rPr>
            </w:pPr>
            <w:r w:rsidRPr="00C862ED">
              <w:rPr>
                <w:rFonts w:ascii="Arial" w:hAnsi="Arial" w:cs="Arial"/>
                <w:b/>
                <w:bCs/>
                <w:sz w:val="22"/>
                <w:szCs w:val="22"/>
              </w:rPr>
              <w:t>Outcome /Exposure (up to 2 stars)</w:t>
            </w:r>
            <w:r w:rsidRPr="00C862ED">
              <w:rPr>
                <w:rFonts w:ascii="Arial" w:hAnsi="Arial" w:cs="Arial"/>
                <w:b/>
                <w:bCs/>
                <w:sz w:val="22"/>
                <w:szCs w:val="22"/>
                <w:vertAlign w:val="superscript"/>
              </w:rPr>
              <w:t>a</w:t>
            </w:r>
          </w:p>
        </w:tc>
        <w:tc>
          <w:tcPr>
            <w:tcW w:w="925" w:type="pct"/>
          </w:tcPr>
          <w:p w14:paraId="49F3C780" w14:textId="77777777" w:rsidR="005744C0" w:rsidRPr="00C862ED" w:rsidRDefault="005744C0" w:rsidP="00E13811">
            <w:pPr>
              <w:spacing w:line="240" w:lineRule="auto"/>
              <w:rPr>
                <w:rFonts w:ascii="Arial" w:hAnsi="Arial" w:cs="Arial"/>
                <w:b/>
                <w:bCs/>
              </w:rPr>
            </w:pPr>
            <w:r w:rsidRPr="00C862ED">
              <w:rPr>
                <w:rFonts w:ascii="Arial" w:hAnsi="Arial" w:cs="Arial"/>
                <w:b/>
                <w:bCs/>
                <w:sz w:val="22"/>
                <w:szCs w:val="22"/>
              </w:rPr>
              <w:t>NOS total (up to 7 stars)</w:t>
            </w:r>
          </w:p>
        </w:tc>
      </w:tr>
      <w:tr w:rsidR="005744C0" w:rsidRPr="00C862ED" w14:paraId="13F055C5" w14:textId="77777777" w:rsidTr="00E13811">
        <w:trPr>
          <w:trHeight w:val="20"/>
        </w:trPr>
        <w:tc>
          <w:tcPr>
            <w:tcW w:w="835" w:type="pct"/>
          </w:tcPr>
          <w:p w14:paraId="37E07D91" w14:textId="77777777" w:rsidR="005744C0" w:rsidRPr="00B264C0" w:rsidRDefault="005744C0" w:rsidP="00E13811">
            <w:pPr>
              <w:spacing w:line="240" w:lineRule="auto"/>
              <w:rPr>
                <w:rFonts w:ascii="Arial" w:hAnsi="Arial" w:cs="Arial"/>
                <w:bCs/>
                <w:szCs w:val="20"/>
              </w:rPr>
            </w:pPr>
            <w:proofErr w:type="spellStart"/>
            <w:r w:rsidRPr="00C862ED">
              <w:rPr>
                <w:rFonts w:ascii="Arial" w:hAnsi="Arial" w:cs="Arial"/>
                <w:szCs w:val="20"/>
              </w:rPr>
              <w:t>Brehaut</w:t>
            </w:r>
            <w:proofErr w:type="spellEnd"/>
            <w:r w:rsidRPr="00C862ED">
              <w:rPr>
                <w:rFonts w:ascii="Arial" w:hAnsi="Arial" w:cs="Arial"/>
                <w:szCs w:val="20"/>
              </w:rPr>
              <w:t xml:space="preserve"> (2003)</w:t>
            </w:r>
            <w:r w:rsidRPr="00DB152E">
              <w:rPr>
                <w:rFonts w:ascii="Arial" w:hAnsi="Arial" w:cs="Arial"/>
                <w:sz w:val="20"/>
                <w:szCs w:val="20"/>
              </w:rPr>
              <w:fldChar w:fldCharType="begin" w:fldLock="1"/>
            </w:r>
            <w:r w:rsidRPr="00C862ED">
              <w:rPr>
                <w:rFonts w:ascii="Arial" w:hAnsi="Arial" w:cs="Arial"/>
                <w:sz w:val="20"/>
                <w:szCs w:val="20"/>
              </w:rPr>
              <w:instrText>ADDIN CSL_CITATION { "citationItems" : [ { "id" : "ITEM-1", "itemData" : { "DOI" : "10.1542/peds.111.2.262", "ISSN" : "1098-4275", "PMID" : "12563049", "abstract" : "CONTEXT While an association between pediatric behavioral disorders and injuries is generally acknowledged, no studies have measured the risk for injury in the context of a large, population-based study that is free of cohort biases. OBJECTIVES To examine the association between childhood behavior disorders ([CBDs] as indicated by prescription for methylphenidate [MPH]) and a variety of injury outcomes, and to evaluate the risk for injury among these children after controlling for known demographic correlates. DESIGN Population-based database analysis of all children in British Columbia (BC) under the age of 19 as of December 31, 1996; comparison of those who had been prescribed MPH and therefore placed in the CBD group (n = 16, 806) and those who were not (n = 1,010,067). Demographic information collected was as follows: age, sex, measures of socioeconomic status, and region of residence. OUTCOME MEASURES Common types of childhood injury in BC: International Classification of Diseases, Ninth Revision N-codes (fractures, open wounds, poisoning/toxic effect, concussion, intracranial, burns) and E-codes (falls, postoperative complications, motor vehicle accidents, struck by object, adverse effects of drugs, suffocation, drowning). DATA SOURCE BC Linked Health Data Set and the BC Triplicate Prescription Program. RESULTS After controlling for known demographic correlates, odds for injury was greater among those treated with MPH and presumed to have a behavioral disorder, when injury was characterized either by type (1.67; 99% confidence interval: 1.54-1.81) or cause (1.52; 99% confidence interval: 1.40-1.66) of injury. This increased risk extended to unexpected categories of injury such as postoperative complications and adverse effects of drugs. CONCLUSIONS Children with CBDs have &gt;1.5 times the odds of sustaining injuries of a variety of types from a variety of causes, even after controlling for known demographic correlates, than those without behavioral disorders. The risks for these children extend beyond those that might be directly associated with impulsivity and overactivity. Injury prevention strategies aimed at this group of children and youth would be beneficial. Policy-makers should account for increased risk of a wide variety of injuries in this group of children and youth.", "author" : [ { "dropping-particle" : "", "family" : "Brehaut", "given" : "Jamie C", "non-dropping-particle" : "", "parse-names" : false, "suffix" : "" }, { "dropping-particle" : "", "family" : "Miller", "given" : "Anton", "non-dropping-particle" : "", "parse-names" : false, "suffix" : "" }, { "dropping-particle" : "", "family" : "Raina", "given" : "Parminder", "non-dropping-particle" : "", "parse-names" : false, "suffix" : "" }, { "dropping-particle" : "", "family" : "McGrail", "given" : "Kimberlyn M", "non-dropping-particle" : "", "parse-names" : false, "suffix" : "" } ], "container-title" : "Pediatrics", "id" : "ITEM-1", "issue" : "2", "issued" : { "date-parts" : [ [ "2003", "2" ] ] }, "note" : "From Duplicate 1 (Childhood Behavior Disorders and Injuries Among Children and Youth: A Population-Based Study. - Brehaut, Jamie C Miller AntonRaina ParminderMcGrail Kimberlyn M)\n\nGonzalo02.\n\nMaite02. \nLa duda es porque con el abstract no puedo descartar que no entre.\n\ncited By 76\n\nFrom Duplicate 2 (Childhood Behavior Disorders and Injuries Among Children and Youth: A Population-Based Study. - Brehaut, Jamie C Miller AntonRaina ParminderMcGrail Kimberlyn M)\n\ncited By 76", "page" : "262-9", "title" : "Childhood behavior disorders and injuries among children and youth: a population-based study.", "type" : "article-journal", "volume" : "111" }, "uris" : [ "http://www.mendeley.com/documents/?uuid=c1da2a8d-a420-41d9-ad2a-11677b856287" ] } ], "mendeley" : { "formattedCitation" : "&lt;sup&gt;22&lt;/sup&gt;", "plainTextFormattedCitation" : "22", "previouslyFormattedCitation" : "&lt;sup&gt;22&lt;/sup&gt;"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22</w:t>
            </w:r>
            <w:r w:rsidRPr="00DB152E">
              <w:rPr>
                <w:rFonts w:ascii="Arial" w:hAnsi="Arial" w:cs="Arial"/>
                <w:sz w:val="20"/>
                <w:szCs w:val="20"/>
              </w:rPr>
              <w:fldChar w:fldCharType="end"/>
            </w:r>
            <w:r w:rsidRPr="00C862ED">
              <w:rPr>
                <w:rFonts w:ascii="Arial" w:hAnsi="Arial" w:cs="Arial"/>
                <w:szCs w:val="20"/>
              </w:rPr>
              <w:t xml:space="preserve"> </w:t>
            </w:r>
          </w:p>
        </w:tc>
        <w:tc>
          <w:tcPr>
            <w:tcW w:w="1065" w:type="pct"/>
          </w:tcPr>
          <w:p w14:paraId="3A3DF041" w14:textId="77777777" w:rsidR="005744C0" w:rsidRPr="00C862ED" w:rsidRDefault="005744C0" w:rsidP="00E13811">
            <w:pPr>
              <w:spacing w:line="240" w:lineRule="auto"/>
              <w:rPr>
                <w:rFonts w:ascii="Arial" w:hAnsi="Arial" w:cs="Arial"/>
                <w:szCs w:val="20"/>
              </w:rPr>
            </w:pPr>
            <w:r w:rsidRPr="00137592">
              <w:rPr>
                <w:rFonts w:ascii="Arial" w:hAnsi="Arial" w:cs="Arial"/>
                <w:sz w:val="22"/>
                <w:szCs w:val="20"/>
              </w:rPr>
              <w:t>Cohort</w:t>
            </w:r>
          </w:p>
        </w:tc>
        <w:tc>
          <w:tcPr>
            <w:tcW w:w="733" w:type="pct"/>
          </w:tcPr>
          <w:p w14:paraId="7536B983" w14:textId="77777777" w:rsidR="005744C0" w:rsidRPr="00C862ED" w:rsidRDefault="005744C0" w:rsidP="00E13811">
            <w:pPr>
              <w:spacing w:line="240" w:lineRule="auto"/>
              <w:rPr>
                <w:rFonts w:ascii="Arial" w:hAnsi="Arial" w:cs="Arial"/>
                <w:bCs/>
                <w:szCs w:val="20"/>
              </w:rPr>
            </w:pPr>
            <w:r w:rsidRPr="00C862ED">
              <w:rPr>
                <w:rFonts w:ascii="Arial" w:hAnsi="Arial" w:cs="Arial"/>
                <w:bCs/>
                <w:szCs w:val="20"/>
              </w:rPr>
              <w:t>2</w:t>
            </w:r>
          </w:p>
        </w:tc>
        <w:tc>
          <w:tcPr>
            <w:tcW w:w="712" w:type="pct"/>
          </w:tcPr>
          <w:p w14:paraId="4F77D6DE" w14:textId="77777777" w:rsidR="005744C0" w:rsidRPr="00137592" w:rsidRDefault="005744C0" w:rsidP="00E13811">
            <w:pPr>
              <w:spacing w:line="240" w:lineRule="auto"/>
              <w:rPr>
                <w:rFonts w:ascii="Arial" w:hAnsi="Arial" w:cs="Arial"/>
                <w:bCs/>
                <w:szCs w:val="20"/>
              </w:rPr>
            </w:pPr>
            <w:r w:rsidRPr="00137592">
              <w:rPr>
                <w:rFonts w:ascii="Arial" w:hAnsi="Arial" w:cs="Arial"/>
                <w:bCs/>
                <w:szCs w:val="20"/>
              </w:rPr>
              <w:t>1</w:t>
            </w:r>
          </w:p>
        </w:tc>
        <w:tc>
          <w:tcPr>
            <w:tcW w:w="729" w:type="pct"/>
            <w:noWrap/>
          </w:tcPr>
          <w:p w14:paraId="437ADB4A" w14:textId="77777777" w:rsidR="005744C0" w:rsidRPr="00137592" w:rsidRDefault="005744C0" w:rsidP="00E13811">
            <w:pPr>
              <w:spacing w:line="240" w:lineRule="auto"/>
              <w:rPr>
                <w:rFonts w:ascii="Arial" w:hAnsi="Arial" w:cs="Arial"/>
                <w:bCs/>
                <w:szCs w:val="20"/>
              </w:rPr>
            </w:pPr>
            <w:r w:rsidRPr="00137592">
              <w:rPr>
                <w:rFonts w:ascii="Arial" w:hAnsi="Arial" w:cs="Arial"/>
                <w:bCs/>
                <w:szCs w:val="20"/>
              </w:rPr>
              <w:t>1</w:t>
            </w:r>
          </w:p>
        </w:tc>
        <w:tc>
          <w:tcPr>
            <w:tcW w:w="925" w:type="pct"/>
          </w:tcPr>
          <w:p w14:paraId="5B3B7B26" w14:textId="77777777" w:rsidR="005744C0" w:rsidRPr="00137592" w:rsidRDefault="005744C0" w:rsidP="00E13811">
            <w:pPr>
              <w:spacing w:line="240" w:lineRule="auto"/>
              <w:rPr>
                <w:rFonts w:ascii="Arial" w:hAnsi="Arial" w:cs="Arial"/>
                <w:bCs/>
                <w:szCs w:val="20"/>
              </w:rPr>
            </w:pPr>
            <w:r w:rsidRPr="00137592">
              <w:rPr>
                <w:rFonts w:ascii="Arial" w:hAnsi="Arial" w:cs="Arial"/>
                <w:bCs/>
                <w:szCs w:val="20"/>
              </w:rPr>
              <w:t>4</w:t>
            </w:r>
          </w:p>
        </w:tc>
      </w:tr>
      <w:tr w:rsidR="005744C0" w:rsidRPr="00C862ED" w14:paraId="02686E1C" w14:textId="77777777" w:rsidTr="00E13811">
        <w:trPr>
          <w:trHeight w:val="20"/>
        </w:trPr>
        <w:tc>
          <w:tcPr>
            <w:tcW w:w="835" w:type="pct"/>
            <w:noWrap/>
          </w:tcPr>
          <w:p w14:paraId="06172ECD"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CPRD-HES: Prasad (2016)</w:t>
            </w:r>
            <w:r w:rsidRPr="00DB152E">
              <w:fldChar w:fldCharType="begin" w:fldLock="1"/>
            </w:r>
            <w:r w:rsidRPr="00C862ED">
              <w:instrText>ADDIN CSL_CITATION { "citationItems" : [ { "id" : "ITEM-1", "itemData" : { "abstract" : "Background: Injuries are a leading cause of morbidity and mortality in children and young people (CYP) throughout the world and in the UK. Detailed estimates of the risk of specific injuries, namely fractures, thermal injuries and poisonings, are not available for CYP with specific medical conditions, such as epilepsy or attention deficit-hyperactivity disorder (ADHD) in the English primary care population. To date there has been no description of the recording of ADHD by general practitioners (GPs) in English primary care according to people\u2019s area-level social deprivation and strategic health authority (SHA) region. Objectives: 1. To define a cohort of CYP with epilepsy from the UK primary care population. 2. To estimate the risk of specific injuries, namely fractures, thermal injuries and poisonings in CYP with epilepsy compared to CYP without epilepsy. 3. To define and describe the cumulative administrative prevalence of ADHD in CYP in English primary care overall and by age, sex, SHA region, deprivation and calendar time. 4. To estimate the risk of specific injuries, namely fractures, thermal injuries and poisonings in CYP with ADHD compared to CYP without ADHD. Methods: This thesis describes work conducted using a large primary care dataset (the Clinical Practice Research Datalink (CPRD)) containing GP medical records and, for a proportion, linked hospital records from the hospital episodes statistics (HES) database. Firstly, the CPRD was used to define a cohort of CYP with epilepsy and CYP without epilepsy. The GP medical records for this cohort were used to estimate the risk of fractures, thermal injuries and poisonings, in CYP with epilepsy compared to CYP without epilepsy. The rates of injuries were estimated by age and sex. For a proportion of people in this study, the effect on estimates of using linked hospital medical records in addition to the GP medical records was evaluated. Secondly, the administrative prevalence of ADHD recorded by GPs was defined for CYP in England by identifying a cohort of CYP in the CPRD with GP medical records linked to hospital medical records. The cumulative administrative prevalence of ADHD was estimated overall and by age, sex, SHA region, deprivation and calendar time. Thirdly, the GP medical records and linked hospital medical records for the cohort of CYP with ADHD was used to estimate the risk of fractures, thermal injuries and poisonings, in CYP with ADHD compared to CYP without ADHD. The rates of injuri\u2026", "author" : [ { "dropping-particle" : "", "family" : "Prasad", "given" : "Vibhore", "non-dropping-particle" : "", "parse-names" : false, "suffix" : "" } ], "id" : "ITEM-1", "issued" : { "date-parts" : [ [ "2016" ] ] }, "note" : "Accession Number: edsble.689904; Publication Type: Dissertation; Language: English; Publication Date: 20160101; Imprint: University of Nottingham, 2016.\n\nDavid01.\nVictor01.\nAmastersheet.", "publisher" : "University of Nottingham", "title" : "The epidemiology of injuries in epilepsy and attention deficit-hyperactivity disorder (ADHD) in children and young people using the Clinical Practice Research Datalink (CPRD) and linked data", "type" : "thesis" }, "uris" : [ "http://www.mendeley.com/documents/?uuid=1ad49563-b8dd-4011-9bf7-6fc2ae2e1a4a" ] } ], "mendeley" : { "formattedCitation" : "&lt;sup&gt;23&lt;/sup&gt;", "plainTextFormattedCitation" : "23", "previouslyFormattedCitation" : "&lt;sup&gt;23&lt;/sup&gt;" }, "properties" : {  }, "schema" : "https://github.com/citation-style-language/schema/raw/master/csl-citation.json" }</w:instrText>
            </w:r>
            <w:r w:rsidRPr="00DB152E">
              <w:fldChar w:fldCharType="separate"/>
            </w:r>
            <w:r w:rsidRPr="00DB152E">
              <w:rPr>
                <w:noProof/>
                <w:vertAlign w:val="superscript"/>
              </w:rPr>
              <w:t>23</w:t>
            </w:r>
            <w:r w:rsidRPr="00DB152E">
              <w:fldChar w:fldCharType="end"/>
            </w:r>
          </w:p>
        </w:tc>
        <w:tc>
          <w:tcPr>
            <w:tcW w:w="1065" w:type="pct"/>
          </w:tcPr>
          <w:p w14:paraId="426B25D8"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tcPr>
          <w:p w14:paraId="2397B23A"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3</w:t>
            </w:r>
          </w:p>
        </w:tc>
        <w:tc>
          <w:tcPr>
            <w:tcW w:w="712" w:type="pct"/>
            <w:noWrap/>
          </w:tcPr>
          <w:p w14:paraId="0D9D1DFC"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29" w:type="pct"/>
            <w:noWrap/>
          </w:tcPr>
          <w:p w14:paraId="5F9407E3"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4CFF8A46"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5</w:t>
            </w:r>
          </w:p>
        </w:tc>
      </w:tr>
      <w:tr w:rsidR="005744C0" w:rsidRPr="00C862ED" w14:paraId="38DC84B7" w14:textId="77777777" w:rsidTr="00E13811">
        <w:trPr>
          <w:trHeight w:val="20"/>
        </w:trPr>
        <w:tc>
          <w:tcPr>
            <w:tcW w:w="835" w:type="pct"/>
            <w:noWrap/>
          </w:tcPr>
          <w:p w14:paraId="7B54D101" w14:textId="77777777" w:rsidR="005744C0" w:rsidRPr="00C862ED" w:rsidRDefault="005744C0" w:rsidP="00E13811">
            <w:pPr>
              <w:spacing w:line="240" w:lineRule="auto"/>
              <w:rPr>
                <w:rFonts w:ascii="Arial" w:hAnsi="Arial" w:cs="Arial"/>
                <w:szCs w:val="20"/>
              </w:rPr>
            </w:pPr>
            <w:proofErr w:type="spellStart"/>
            <w:r w:rsidRPr="00C862ED">
              <w:rPr>
                <w:rFonts w:ascii="Arial" w:hAnsi="Arial" w:cs="Arial"/>
                <w:sz w:val="22"/>
                <w:szCs w:val="20"/>
              </w:rPr>
              <w:t>Hariharan</w:t>
            </w:r>
            <w:proofErr w:type="spellEnd"/>
            <w:r w:rsidRPr="00C862ED">
              <w:rPr>
                <w:rFonts w:ascii="Arial" w:hAnsi="Arial" w:cs="Arial"/>
                <w:sz w:val="22"/>
                <w:szCs w:val="20"/>
              </w:rPr>
              <w:t xml:space="preserve"> (2008)</w:t>
            </w:r>
            <w:r w:rsidRPr="00DB152E">
              <w:rPr>
                <w:rFonts w:ascii="Arial" w:hAnsi="Arial" w:cs="Arial"/>
                <w:sz w:val="20"/>
                <w:szCs w:val="20"/>
              </w:rPr>
              <w:fldChar w:fldCharType="begin" w:fldLock="1"/>
            </w:r>
            <w:r w:rsidRPr="00C862ED">
              <w:rPr>
                <w:rFonts w:ascii="Arial" w:hAnsi="Arial" w:cs="Arial"/>
                <w:sz w:val="20"/>
                <w:szCs w:val="20"/>
              </w:rPr>
              <w:instrText>ADDIN CSL_CITATION { "citationItems" : [ { "id" : "ITEM-1", "itemData" : { "DOI" : "10.1177/0009922807304228", "ISSN" : "0009-9228", "PMID" : "17641117", "abstract" : "To determine if attention deficit hyperactivity disorder is a risk factor for pharmaceutical ingestions leading to hospital admission in children between ages 5 and 9, a retrospective, case-controlled chart review was conducted at a children's hospital. Cases were children aged 5 to 9 admitted for oral ingestion of pharmaceuticals. Controls were children admitted during the same time period with abdominal pain, appendicitis, or gastroenteritis. Controls were matched to cases 3:1 by age and gender. An odds ratio was calculated to determine if attention deficit hyperactivity disorder is a statistically significant risk factor for hospitalization after pharmaceutical ingestion. A total of 36% of 31 identified cases had attention deficit hyperactivity disorder compared with 7% of controls. The odds ratio for attention deficit hyperactivity disorder in children hospitalized after pharmaceutical ingestion was 7.97 (95% confidence interval, 2.35-28.01; P &lt; .01). Children hospitalized for pharmaceutical ingestion are nearly 8 times more likely to have attention deficit hyperactivity disorder than children hospitalized for an unrelated disorder.", "author" : [ { "dropping-particle" : "", "family" : "Hariharan", "given" : "Selena", "non-dropping-particle" : "", "parse-names" : false, "suffix" : "" }, { "dropping-particle" : "", "family" : "Pomerantz", "given" : "Wendy", "non-dropping-particle" : "", "parse-names" : false, "suffix" : "" } ], "container-title" : "Clinical pediatrics", "id" : "ITEM-1", "issue" : "1", "issued" : { "date-parts" : [ [ "2008", "1" ] ] }, "note" : "Gonzalo02.\nMaite02. No me acuerdo de si las intoxicaciones entraban o no en el protocolo.", "page" : "15-20", "title" : "Correlation between hospitalization for pharmaceutical ingestion and attention deficit disorder in children aged 5 to 9 years old.", "type" : "article-journal", "volume" : "47" }, "uris" : [ "http://www.mendeley.com/documents/?uuid=079683a2-daec-4083-9dad-26288c807b1c" ] } ], "mendeley" : { "formattedCitation" : "&lt;sup&gt;21&lt;/sup&gt;", "plainTextFormattedCitation" : "21", "previouslyFormattedCitation" : "&lt;sup&gt;21&lt;/sup&gt;"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21</w:t>
            </w:r>
            <w:r w:rsidRPr="00DB152E">
              <w:rPr>
                <w:rFonts w:ascii="Arial" w:hAnsi="Arial" w:cs="Arial"/>
                <w:sz w:val="20"/>
                <w:szCs w:val="20"/>
              </w:rPr>
              <w:fldChar w:fldCharType="end"/>
            </w:r>
          </w:p>
        </w:tc>
        <w:tc>
          <w:tcPr>
            <w:tcW w:w="1065" w:type="pct"/>
          </w:tcPr>
          <w:p w14:paraId="7FE31357" w14:textId="77777777" w:rsidR="005744C0" w:rsidRPr="00C862ED" w:rsidRDefault="005744C0" w:rsidP="00E13811">
            <w:pPr>
              <w:spacing w:line="240" w:lineRule="auto"/>
              <w:rPr>
                <w:rFonts w:ascii="Arial" w:hAnsi="Arial" w:cs="Arial"/>
                <w:szCs w:val="20"/>
              </w:rPr>
            </w:pPr>
            <w:r w:rsidRPr="00137592">
              <w:rPr>
                <w:rFonts w:ascii="Arial" w:hAnsi="Arial" w:cs="Arial"/>
                <w:sz w:val="22"/>
                <w:szCs w:val="20"/>
              </w:rPr>
              <w:t>Case-control</w:t>
            </w:r>
          </w:p>
        </w:tc>
        <w:tc>
          <w:tcPr>
            <w:tcW w:w="733" w:type="pct"/>
            <w:noWrap/>
          </w:tcPr>
          <w:p w14:paraId="4569EAAA"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12" w:type="pct"/>
            <w:noWrap/>
          </w:tcPr>
          <w:p w14:paraId="0B5C518E"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29" w:type="pct"/>
            <w:noWrap/>
          </w:tcPr>
          <w:p w14:paraId="6FB1673C"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03D260E9"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3</w:t>
            </w:r>
          </w:p>
        </w:tc>
      </w:tr>
      <w:tr w:rsidR="005744C0" w:rsidRPr="00C862ED" w14:paraId="69765F8C" w14:textId="77777777" w:rsidTr="00E13811">
        <w:trPr>
          <w:trHeight w:val="20"/>
        </w:trPr>
        <w:tc>
          <w:tcPr>
            <w:tcW w:w="835" w:type="pct"/>
            <w:noWrap/>
          </w:tcPr>
          <w:p w14:paraId="7EDC318D" w14:textId="77777777" w:rsidR="005744C0" w:rsidRPr="00C862ED" w:rsidRDefault="005744C0" w:rsidP="00E13811">
            <w:pPr>
              <w:spacing w:line="240" w:lineRule="auto"/>
              <w:rPr>
                <w:rFonts w:ascii="Arial" w:hAnsi="Arial" w:cs="Arial"/>
                <w:szCs w:val="20"/>
              </w:rPr>
            </w:pPr>
            <w:proofErr w:type="spellStart"/>
            <w:r w:rsidRPr="00C862ED">
              <w:rPr>
                <w:rFonts w:ascii="Arial" w:hAnsi="Arial" w:cs="Arial"/>
                <w:sz w:val="22"/>
                <w:szCs w:val="20"/>
              </w:rPr>
              <w:t>Hurtig</w:t>
            </w:r>
            <w:proofErr w:type="spellEnd"/>
            <w:r w:rsidRPr="00C862ED">
              <w:rPr>
                <w:rFonts w:ascii="Arial" w:hAnsi="Arial" w:cs="Arial"/>
                <w:sz w:val="22"/>
                <w:szCs w:val="20"/>
              </w:rPr>
              <w:t xml:space="preserve"> (2016)</w:t>
            </w:r>
            <w:r w:rsidRPr="00DB152E">
              <w:rPr>
                <w:rFonts w:ascii="Arial" w:hAnsi="Arial" w:cs="Arial"/>
                <w:sz w:val="20"/>
                <w:szCs w:val="20"/>
              </w:rPr>
              <w:fldChar w:fldCharType="begin" w:fldLock="1"/>
            </w:r>
            <w:r w:rsidRPr="00C862ED">
              <w:rPr>
                <w:rFonts w:ascii="Arial" w:hAnsi="Arial" w:cs="Arial"/>
                <w:sz w:val="20"/>
                <w:szCs w:val="20"/>
              </w:rPr>
              <w:instrText>ADDIN CSL_CITATION { "citationItems" : [ { "id" : "ITEM-1", "itemData" : { "DOI" : "10.1177/1087054713486699", "ISBN" : "1557-1246 (Electronic)\\r1087-0547 (Linking)", "ISSN" : "1557-1246 (Electronic)", "PMID" : "23665592", "abstract" : "OBJECTIVE: We examined the risk of hospital-treated injuries related to the symptoms/diagnosis of ADHD. METHOD: The study population (N = 6,111) was composed from the Northern Finland Birth Cohort 1986. At the age of 8, symptoms of hyperactivity and at the age of 15, symptoms of ADHD were assessed by the parents while the clinical diagnoses of ADHD were set in adolescence. Information on injuries was obtained from national register. RESULTS: The risk for hospital-treated injuries during ages 0 to 7 was 1.7-fold increased among those with symptoms of hyperactivity assessed at age 8. Also, injuries during ages 7 to 15 years were more common among those with symptoms of ADHD at age 15 with respect to any injury, fractures, and intracranial injuries, and among those with the diagnosis of ADHD with respect to any injury. CONCLUSION: The present study shows an association between hospital-treated injuries and symptoms of ADHD in a large epidemiological sample of 0- to 15-year-old children.", "author" : [ { "dropping-particle" : "", "family" : "Hurtig", "given" : "Tuula", "non-dropping-particle" : "", "parse-names" : false, "suffix" : "" }, { "dropping-particle" : "", "family" : "Ebeling", "given" : "Hanna", "non-dropping-particle" : "", "parse-names" : false, "suffix" : "" }, { "dropping-particle" : "", "family" : "Jokelainen", "given" : "Jari", "non-dropping-particle" : "", "parse-names" : false, "suffix" : "" }, { "dropping-particle" : "", "family" : "Koivumaa-Honkanen", "given" : "Heli", "non-dropping-particle" : "", "parse-names" : false, "suffix" : "" }, { "dropping-particle" : "", "family" : "Taanila", "given" : "Anja", "non-dropping-particle" : "", "parse-names" : false, "suffix" : "" } ], "container-title" : "Journal of attention disorders", "id" : "ITEM-1", "issue" : "1", "issued" : { "date-parts" : [ [ "2016", "1", "1" ] ] }, "language" : "eng", "note" : "Maite01.\nGonzalo01.\n\nFrom Duplicate 1 (The Association Between Hospital-Treated Injuries and ADHD Symptoms in Childhood and Adolescence: A Follow-Up Study in the Northern Finland Birth Cohort 1986. - Hurtig, Tuula; Ebeling, Hanna; Jokelainen, Jari; Koivumaa-Honkanen, Heli; Taanila, Anja)\n\nAccession Number: edselc.2-52.0-84950341728; (Journal of Attention Disorders, 1 January 2016, 20(1):3-10) Publication Type: Academic Journal; Rights: Copyright 2015 Elsevier B.V., All rights reserved.\n\nFrom Duplicate 2 (The Association Between Hospital-Treated Injuries and ADHD Symptoms in Childhood and Adolescence: A Follow-Up Study in the Northern Finland Birth Cohort 1986. - Hurtig, Tuula; Ebeling, Hanna; Jokelainen, Jari; Koivumaa-Honkanen, Heli; Taanila, Anja)\n\n\n\nFrom Duplicate 3 (The Association Between Hospital-Treated Injuries and ADHD Symptoms in Childhood and Adolescence: A Follow-Up Study in the Northern Finland Birth Cohort 1986. - Hurtig, Tuula; Ebeling, Hanna; Jokelainen, Jari; Koivumaa-Honkanen, Heli; Taanila, Anja)\nAnd Duplicate 4 (The Association Between Hospital-Treated Injuries and ADHD Symptoms in Childhood and Adolescence: A Follow-Up Study in the Northern Finland Birth Cohort 1986. - Hurtig, Tuula; Ebeling, Hanna; Jokelainen, Jari; Koivumaa-Honkanen, Heli; Taanila, Anja)\nAnd Duplicate 5 (The Association Between Hospital-Treated Injuries and ADHD Symptoms in Childhood and Adolescence: A Follow-Up Study in the Northern Finland Birth Cohort 1986. - Hurtig, Tuula; Ebeling, Hanna; Jokelainen, Jari; Koivumaa-Honkanen, Heli; Taanila, Anja)\n\nBusqueda_pubmed.", "page" : "3-10", "publisher" : "SAGE Publications Inc.", "publisher-place" : "(1)University of Oulu, United States", "title" : "The Association Between Hospital-Treated Injuries and ADHD Symptoms in Childhood  and Adolescence: A Follow-Up Study in the Northern Finland Birth Cohort 1986.", "type" : "article-journal", "volume" : "20" }, "uris" : [ "http://www.mendeley.com/documents/?uuid=a55a765d-cea1-44e8-aec9-107cf440374b" ] } ], "mendeley" : { "formattedCitation" : "&lt;sup&gt;24&lt;/sup&gt;", "plainTextFormattedCitation" : "24", "previouslyFormattedCitation" : "&lt;sup&gt;24&lt;/sup&gt;"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24</w:t>
            </w:r>
            <w:r w:rsidRPr="00DB152E">
              <w:rPr>
                <w:rFonts w:ascii="Arial" w:hAnsi="Arial" w:cs="Arial"/>
                <w:sz w:val="20"/>
                <w:szCs w:val="20"/>
              </w:rPr>
              <w:fldChar w:fldCharType="end"/>
            </w:r>
          </w:p>
        </w:tc>
        <w:tc>
          <w:tcPr>
            <w:tcW w:w="1065" w:type="pct"/>
          </w:tcPr>
          <w:p w14:paraId="6065DC97"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noWrap/>
          </w:tcPr>
          <w:p w14:paraId="3ECC7C20"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2.5*</w:t>
            </w:r>
          </w:p>
        </w:tc>
        <w:tc>
          <w:tcPr>
            <w:tcW w:w="712" w:type="pct"/>
            <w:noWrap/>
          </w:tcPr>
          <w:p w14:paraId="45C2A759"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29" w:type="pct"/>
            <w:noWrap/>
          </w:tcPr>
          <w:p w14:paraId="579AE55C"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6C5DE711"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4.5</w:t>
            </w:r>
          </w:p>
        </w:tc>
      </w:tr>
      <w:tr w:rsidR="005744C0" w:rsidRPr="00C862ED" w14:paraId="069AD9F9" w14:textId="77777777" w:rsidTr="00E13811">
        <w:trPr>
          <w:trHeight w:val="20"/>
        </w:trPr>
        <w:tc>
          <w:tcPr>
            <w:tcW w:w="835" w:type="pct"/>
            <w:noWrap/>
          </w:tcPr>
          <w:p w14:paraId="7D3C7F1B"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LHID</w:t>
            </w:r>
            <w:r w:rsidRPr="00DB152E">
              <w:rPr>
                <w:rFonts w:ascii="Arial" w:hAnsi="Arial" w:cs="Arial"/>
                <w:sz w:val="20"/>
                <w:szCs w:val="20"/>
              </w:rPr>
              <w:fldChar w:fldCharType="begin" w:fldLock="1"/>
            </w:r>
            <w:r w:rsidRPr="00C862ED">
              <w:rPr>
                <w:rFonts w:ascii="Arial" w:hAnsi="Arial" w:cs="Arial"/>
                <w:sz w:val="20"/>
                <w:szCs w:val="20"/>
              </w:rPr>
              <w:instrText>ADDIN CSL_CITATION { "citationItems" : [ { "id" : "ITEM-1", "itemData" : { "DOI" : "10.1016/j.ridd.2012.11.027", "ISBN" : "0891-4222", "ISSN" : "1873-3379", "PMID" : "23340027", "abstract" : "Limited literature documents injury-proneness of attention-deficit hyperactivity disorder in western population. However, only a few studies prospectively investigated the prediction of ADHD to injuries without considering other psychiatric and physical conditions and there is lack of such data in Asian population. To prospectively examine the prediction of ADHD to the risk of injury in a national sample of Taiwan, we conducted this study with samples including 1965 6-18-year-old youths with newly diagnosis of ADHD from 1999 to 2003, and 7860 sex-, age- and index day-matched non-ADHD controls from Taiwan's National Health Insurance Research Database (1997-2008). Relevant psychiatric and physical disorders, demographics, and medications were also included in the Cox proportional hazard models with injury as the outcome. Our results showed that ADHD cases had a roughly 2-fold and 5-fold higher risk of each injury, and overall injury than controls after considering all confounding factors, respectively. In addition to ADHD, use of anxiolytics, antidepressants, and antipsychotics, and comorbid physical illnesses also predicted the injury prospectively. Our findings strongly support that ADHD predicted injury risks and imply that physicians should take the risk of injury into consideration while prescribing medications other than stimulants to patients with ADHD, especially anxiolytics.", "author" : [ { "dropping-particle" : "", "family" : "Tai", "given" : "Yueh-Ming", "non-dropping-particle" : "", "parse-names" : false, "suffix" : "" }, { "dropping-particle" : "", "family" : "Gau", "given" : "Susan Shur-Fen", "non-dropping-particle" : "", "parse-names" : false, "suffix" : "" }, { "dropping-particle" : "", "family" : "Gau", "given" : "Churn-Shiouh", "non-dropping-particle" : "", "parse-names" : false, "suffix" : "" } ], "container-title" : "Research in developmental disabilities", "id" : "ITEM-1", "issue" : "3", "issued" : { "date-parts" : [ [ "2013", "3" ] ] }, "note" : "From Duplicate 2 (Injury-proneness of youth with attention-deficit hyperactivity disorder: a national clinical data analysis in Taiwan. - Tai, Yueh-Ming; Gau, Susan Shur-Fen; Gau, Churn-Shiouh)\n\nBusqueda_pubmed.\nGonzalo01.\nMaite01.\nFrom Duplicate 1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Churn-Shiouh)\nAnd Duplicate 2 (Injury-proneness of youth with attention-deficit hyperactivity disorder: A national clinical data analysis in Taiwan - Tai, Yueh-Ming; Gau, Susan Shur-Fen; Gau, Churn-Shiouh)\n\n\nFrom Duplicate 3 (Injury-proneness of youth with attention-deficit hyperactivity disorder: A national clinical data analysis in Taiwan - Tai, Yueh-Ming; Gau, Susan Shur-Fen; Gau, Churn-Shiouh)\n\nBusqueda_Scopus.cited By 7\n\nFrom Duplicate 4 (Injury-proneness of youth with attention-deficit hyperactivity disorder: A national clinical data analysis in Taiwan - Tai, Yueh-Ming; Gau, Susan Shur-Fen; Gau, Churn-Shiouh)\n\nFrom Duplicate 1 (Injury-proneness of youth with attention-deficit hyperactivity disorder: a national clinical data analysis in Taiwan. - Tai, Yueh-Ming; Gau, Susan Shur-Fen; Gau, Churn-Shiouh)\n\nBusqueda_pubmed.\nGonzalo01.\n\nFrom Duplicate 2 (Injury-proneness of youth with attention-deficit hyperactivity disorder: A national clinical data analysis in Taiwan - Tai, Yueh-Ming; Gau, Susan Shur-Fen; Gau, Churn-Shiouh)\n\nBusqueda_Scopus.cited By 7", "page" : "1100-8", "publisher" : "Elsevier Ltd", "title" : "Injury-proneness of youth with attention-deficit hyperactivity disorder: a national clinical data analysis in Taiwan.", "type" : "article-journal", "volume" : "34" }, "uris" : [ "http://www.mendeley.com/documents/?uuid=ffdc9217-b482-412f-b4fe-4e01903d5eeb" ] }, { "id" : "ITEM-2", "itemData" : { "DOI" : "10.1016/j.eurpsy.2014.05.006", "ISBN" : "0924-9338", "ISSN" : "1778-3585", "PMID" : "25172157", "abstract" : "Background: Children with attention-deficit hyperactivity disorder (ADHD) may suffer marked impairment in early adulthood, increasing their risk for serious self-harmful behaviors. Deliberate self-poisoning (DSP) is the most common form of deliberate self-harm. An association may exist between ADHD diagnosis and subsequent DSP events. The purpose of study was to determine whether children and adolescents with ADHD are at a greater risk for DSP than are age-matched controls. Methods: Claims data from the Taiwan National Health Insurance Database were used to conduct a retrospective cohort analysis of emergency department visits. The study cohort contained 3685 patients with ADHD (&lt; 8 years old). Each ADHD patient was frequency matched based on sex, age, urbanization, parental occupation, and index year to 10 control patients without ADHD. A Cox proportional-hazards regression model was used to estimate the risk of DSP in the ADHD and comparison cohorts. Results: The risk of developing DSP was significantly higher in the ADHD cohort than in the comparison cohort (P &lt; .0001 for log-rank test). After adjusting for potential confounders, the regression model showed that the ADHD patients were at a 4.65-fold greater risk of developing DSP than the control patients were (HR = 4.65, 95% CI: 2.41-8.94). Conclusion: Children with ADHD are at greater risk of developing DSP. Identifying risk factors of DSP is crucial efforts to implement prevention strategies. The identification of the underlying cause of increased DSP among ADHD patients warrants further investigation. (C) 2014 Elsevier Masson SAS. All rights reserved.", "author"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2 )", "given" : "I.-C. ( 1",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5 )", "given" : "C.-H. ( 4",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"dropping-particle" : "", "family" : "Chou)", "given" : "\u5468\u5b9c\u537f(I-Ching", "non-dropping-particle" : "", "parse-names" : false, "suffix" : "" }, { "dropping-particle" : "", "family" : "\u6797\u5247\u6210", "given" : "", "non-dropping-particle" : "", "parse-names" : false, "suffix" : "" }, { "dropping-particle" : "", "family" : "Sung)", "given" : "\u5b8b\u9d3b\u6a1f(Fung-Chang", "non-dropping-particle" : "", "parse-names" : false, "suffix" : "" }, { "dropping-particle" : "", "family" : "Kao)*", "given" : "\u9ad8\u5609\u9d3b(Chia-Hung", "non-dropping-particle" : "", "parse-names" : false, "suffix" : "" }, { "dropping-particle" : "", "family" : "Chou", "given" : "I-C C I.-C.", "non-dropping-particle" : "", "parse-names" : false, "suffix" : "" }, { "dropping-particle" : "", "family" : "Lin", "given" : "C.-C. ( 3 ) C-C C", "non-dropping-particle" : "", "parse-names" : false, "suffix" : "" }, { "dropping-particle" : "", "family" : "Sung", "given" : "F.-C. ( 3 ) F-C C F.-C.", "non-dropping-particle" : "", "parse-names" : false, "suffix" : "" }, { "dropping-particle" : "", "family" : "Kao", "given" : "C.-H. C-H H", "non-dropping-particle" : "", "parse-names" : false, "suffix" : "" } ], "container-title" : "European Psychiatry", "id" : "ITEM-2", "issue" : "8", "issued" : { "date-parts" : [ [ "2014", "10", "1" ] ] }, "language" : "eng", "note" : "From Duplicate 1 (Attention-deficit hyperactivity disorder increases the risk of deliberate self-poisoning: A population-based cohort. - Chou, I-C C; Lin, C-C C; Sung, F-C C; Kao, C-H H)\n\nMaite01\n\n\nGonzalo01.\nadhd aumenta riesgo de envenenamiento.\n\nFrom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C-H)\nAnd Duplicate 3 (Attention-deficit hyperactivity disorder increases the risk of deliberate self-poisoning: A population-based cohort. - Chou, I-C; Lin, C-C; Sung, F-C; Kao, C-H)\n\nMaite02.\nGonzalo02.\nadhd aumenta riesgo de envenenamiento.\n\nWebOfScience.\n\nFrom Duplicate 4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C-H)\n\nMaite02.\nGonzalo03.\nadhd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\u5468\u5b9c\u537f(I-Ching; \u6797\u5247\u6210; Sung), \u5b8b\u9d3b\u6a1f(Fung-Chang; Kao)*, \u9ad8\u5609\u9d3b(Chia-Hung)\n\nAccession Number: edsbas.ftchinamuniv.oai.localhost.310903500.53678; Contributors: \u91ab\u5b78\u9662\u91ab\u5b78\u7cfb\u5b78\u58eb\u73ed\u6838\u5b50\u91ab\u5b78\u79d1;\u4e2d\u570b\u9644\u91ab\u6838\u5b50\u91ab\u5b78\u79d1;; Publication Type: Article, Journal; Language: en_US; Publication Date: 20141001\n\nFrom Duplicate 3 (Original article: Attention-deficit hyperactivity disorder increases the risk of deliberate self-poisoning: A population-based cohort - Chou, I.-C.; Lin, C.-C.; Sung, F.-C.; Kao, C.-H.)\n\nAccession Number: S0924933814001114; Author: Chou, I.-C. (a, b); Author: Lin, C.-C. (c); Author: Sung, F.-C. (c); Author: Kao, C.-H. (d, e, \u204e); Affiliation: Department of Pediatrics, China Medical University Hospital, China Medical University, Taichung, Taiwan; Affiliation: Graduate Institute of Integrated Medicine, College of Chinese Medicine, China Medical University, Taichung, Taiwan; Affiliation: Management Office for Health Data, China Medical University Hospital, Taichung, Taiwan; Affiliation: Graduate Institute of Clinical Medical Science and School of Medicine, College of Medicine, China Medical University, Taichung, Taiwan; Affiliation: Department of Nuclear Medicine and PET Center, China Medical University Hospital, Taichung, Taiwan; Number of Pages: 5; Language: English;\n\nFrom Duplicate 4 (Attention-deficit hyperactivity disorder increases the risk of deliberate self-poisoning: A population-based cohort - Chou 2 ), I.-C. ( 1; Lin, C.-C. ( 3 ); Sung, F.-C. ( 3 ); Kao 5 ), C.-H. ( 4)\n\nAccession Number: edselc.2-52.0-84908146937; (European Psychiatry, 1 October 2014, 29(8):523-527) Publication Type: Academic Journal; Rights: Copyright 2015 Elsevier B.V., All rights reserved.\n\nFrom Duplicate 5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C-H)\n\nMaite02.\nGonzalo02.\nadhd aumenta riesgo de envenenamiento.\n\nWebOfScience.\n\nFrom Duplicate 2 (Attention-deficit hyperactivity disorder increases the risk of deliberate self-poisoning: A population-based cohort - Chou, I C; Lin, C C; Sung, F C; Kao, C H)\n\nBusquedaPubmed.\nGonzalo03.\n\nFrom Duplicate 2 (Attention-deficit hyperactivity disorder increases the risk of deliberate self-poisoning: A population-based cohort. - Chou, I-C; Lin, C-C; Sung, F-C; Kao, C-H)\n\nMaite02.\n\nadhd aumenta riesgo de envenenamiento.\n\nFrom Duplicate 3 (Attention-deficit hyperactivity disorder increases the risk of deliberate self-poisoning: A population-based cohort. - Chou, I-C C; Lin, C-C C; Sung, F-C C; Kao, C-H H)\n\nFrom Duplicate 1 (Attention-deficit hyperactivity disorder increases the risk of deliberate self-poisoning: A population-based cohort. - Chou, I-C; Lin, C-C; Sung, F-C; Kao, C-H)\n\nMaite02.\n\nadhd aumenta riesgo de envenenamiento.\n\nWeb_of_science.\n\nFrom Duplicate 2 (Attention-deficit hyperactivity disorder increases the risk of deliberate self-poisoning: A population-based cohort - Chou, I C; Lin, C C; Sung, F C; Kao, C H)\n\nBusqueda_pubmed.", "page" : "523-527", "publisher" : "Elsevier Masson SAS", "publisher-place" : "(1)Department of Pediatrics, China Medical University Hospital, China Medical University, France", "title" : "Attention-deficit hyperactivity disorder increases the risk of deliberate self-poisoning: A population-based cohort.", "type" : "article-journal", "volume" : "29" }, "uris" : [ "http://www.mendeley.com/documents/?uuid=b86c570d-441f-4935-973f-a15778462421" ] } ], "mendeley" : { "formattedCitation" : "&lt;sup&gt;20,25&lt;/sup&gt;", "plainTextFormattedCitation" : "20,25", "previouslyFormattedCitation" : "&lt;sup&gt;20,25&lt;/sup&gt;"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20,25</w:t>
            </w:r>
            <w:r w:rsidRPr="00DB152E">
              <w:rPr>
                <w:rFonts w:ascii="Arial" w:hAnsi="Arial" w:cs="Arial"/>
                <w:sz w:val="20"/>
                <w:szCs w:val="20"/>
              </w:rPr>
              <w:fldChar w:fldCharType="end"/>
            </w:r>
          </w:p>
        </w:tc>
        <w:tc>
          <w:tcPr>
            <w:tcW w:w="1065" w:type="pct"/>
          </w:tcPr>
          <w:p w14:paraId="14E53BAD"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tcPr>
          <w:p w14:paraId="392F21E8"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3</w:t>
            </w:r>
          </w:p>
        </w:tc>
        <w:tc>
          <w:tcPr>
            <w:tcW w:w="712" w:type="pct"/>
            <w:noWrap/>
          </w:tcPr>
          <w:p w14:paraId="603494C0"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29" w:type="pct"/>
            <w:noWrap/>
          </w:tcPr>
          <w:p w14:paraId="5C3B70ED"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6F681281" w14:textId="77777777" w:rsidR="005744C0" w:rsidRPr="00C862ED" w:rsidRDefault="005744C0" w:rsidP="00E13811">
            <w:pPr>
              <w:spacing w:line="240" w:lineRule="auto"/>
              <w:rPr>
                <w:rFonts w:ascii="Arial" w:hAnsi="Arial" w:cs="Arial"/>
                <w:szCs w:val="20"/>
                <w:vertAlign w:val="superscript"/>
              </w:rPr>
            </w:pPr>
            <w:r w:rsidRPr="00C862ED">
              <w:rPr>
                <w:rFonts w:ascii="Arial" w:hAnsi="Arial" w:cs="Arial"/>
                <w:sz w:val="22"/>
                <w:szCs w:val="20"/>
              </w:rPr>
              <w:t>5</w:t>
            </w:r>
          </w:p>
        </w:tc>
      </w:tr>
      <w:tr w:rsidR="005744C0" w:rsidRPr="00C862ED" w14:paraId="7BE58A2E" w14:textId="77777777" w:rsidTr="00E13811">
        <w:trPr>
          <w:trHeight w:val="20"/>
        </w:trPr>
        <w:tc>
          <w:tcPr>
            <w:tcW w:w="835" w:type="pct"/>
          </w:tcPr>
          <w:p w14:paraId="7DA8E9B7" w14:textId="77777777" w:rsidR="005744C0" w:rsidRPr="00C862ED" w:rsidRDefault="005744C0" w:rsidP="00E13811">
            <w:pPr>
              <w:spacing w:line="240" w:lineRule="auto"/>
              <w:rPr>
                <w:rFonts w:ascii="Arial" w:hAnsi="Arial" w:cs="Arial"/>
                <w:szCs w:val="20"/>
              </w:rPr>
            </w:pPr>
            <w:proofErr w:type="spellStart"/>
            <w:r w:rsidRPr="00C862ED">
              <w:rPr>
                <w:rFonts w:ascii="Arial" w:hAnsi="Arial" w:cs="Arial"/>
                <w:sz w:val="22"/>
                <w:szCs w:val="20"/>
              </w:rPr>
              <w:t>Lindemann</w:t>
            </w:r>
            <w:proofErr w:type="spellEnd"/>
            <w:r w:rsidRPr="00C862ED">
              <w:rPr>
                <w:rFonts w:ascii="Arial" w:hAnsi="Arial" w:cs="Arial"/>
                <w:sz w:val="22"/>
                <w:szCs w:val="20"/>
              </w:rPr>
              <w:t xml:space="preserve"> (2017)</w:t>
            </w:r>
            <w:r w:rsidRPr="00DB152E">
              <w:rPr>
                <w:rFonts w:ascii="Arial" w:hAnsi="Arial" w:cs="Arial"/>
                <w:sz w:val="20"/>
                <w:szCs w:val="20"/>
              </w:rPr>
              <w:fldChar w:fldCharType="begin" w:fldLock="1"/>
            </w:r>
            <w:r>
              <w:rPr>
                <w:rFonts w:ascii="Arial" w:hAnsi="Arial" w:cs="Arial"/>
                <w:sz w:val="20"/>
                <w:szCs w:val="20"/>
              </w:rPr>
              <w:instrText>ADDIN CSL_CITATION { "citationItems" : [ { "id" : "ITEM-1", "itemData" : { "DOI" : "10.3389/fped.2017.00220", "ISSN" : "2296-2360", "author" : [ { "dropping-particle" : "", "family" : "Lindemann", "given" : "Christina", "non-dropping-particle" : "", "parse-names" : false, "suffix" : "" }, { "dropping-particle" : "", "family" : "Langner", "given" : "Ingo", "non-dropping-particle" : "", "parse-names" : false, "suffix" : "" }, { "dropping-particle" : "", "family" : "Banaschewski", "given" : "Tobias", "non-dropping-particle" : "", "parse-names" : false, "suffix" : "" }, { "dropping-particle" : "", "family" : "Garbe", "given" : "Edeltraut", "non-dropping-particle" : "", "parse-names" : false, "suffix" : "" }, { "dropping-particle" : "", "family" : "Mikolajczyk", "given" : "Rafael T.", "non-dropping-particle" : "", "parse-names" : false, "suffix" : "" } ], "container-title" : "Frontiers in Pediatrics", "id" : "ITEM-1", "issued" : { "date-parts" : [ [ "2017", "10", "24" ] ] }, "title" : "The Risk of Hospitalizations with Injury Diagnoses in a Matched Cohort of Children and Adolescents with and without Attention Deficit/Hyperactivity Disorder in Germany: A Database Study", "type" : "article-journal", "volume" : "5" }, "uris" : [ "http://www.mendeley.com/documents/?uuid=7ef27e7e-cf89-4dd2-90aa-16375dced0e0" ] } ], "mendeley" : { "formattedCitation" : "&lt;sup&gt;26&lt;/sup&gt;", "plainTextFormattedCitation" : "26", "previouslyFormattedCitation" : "&lt;sup&gt;26&lt;/sup&gt;"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26</w:t>
            </w:r>
            <w:r w:rsidRPr="00DB152E">
              <w:rPr>
                <w:rFonts w:ascii="Arial" w:hAnsi="Arial" w:cs="Arial"/>
                <w:sz w:val="20"/>
                <w:szCs w:val="20"/>
              </w:rPr>
              <w:fldChar w:fldCharType="end"/>
            </w:r>
          </w:p>
        </w:tc>
        <w:tc>
          <w:tcPr>
            <w:tcW w:w="1065" w:type="pct"/>
          </w:tcPr>
          <w:p w14:paraId="541AFD87"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tcPr>
          <w:p w14:paraId="2A7CFB09"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3</w:t>
            </w:r>
          </w:p>
        </w:tc>
        <w:tc>
          <w:tcPr>
            <w:tcW w:w="712" w:type="pct"/>
          </w:tcPr>
          <w:p w14:paraId="17B75DB1"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29" w:type="pct"/>
            <w:noWrap/>
          </w:tcPr>
          <w:p w14:paraId="70920579"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2CE8D950" w14:textId="77777777" w:rsidR="005744C0" w:rsidRPr="00C862ED" w:rsidRDefault="005744C0" w:rsidP="00E13811">
            <w:pPr>
              <w:spacing w:line="240" w:lineRule="auto"/>
              <w:rPr>
                <w:rFonts w:ascii="Arial" w:hAnsi="Arial" w:cs="Arial"/>
                <w:szCs w:val="20"/>
                <w:highlight w:val="yellow"/>
              </w:rPr>
            </w:pPr>
            <w:r w:rsidRPr="00C862ED">
              <w:rPr>
                <w:rFonts w:ascii="Arial" w:hAnsi="Arial" w:cs="Arial"/>
                <w:sz w:val="22"/>
                <w:szCs w:val="20"/>
              </w:rPr>
              <w:t>5</w:t>
            </w:r>
          </w:p>
        </w:tc>
      </w:tr>
      <w:tr w:rsidR="005744C0" w:rsidRPr="00C862ED" w14:paraId="64C59908" w14:textId="77777777" w:rsidTr="00E13811">
        <w:trPr>
          <w:trHeight w:val="20"/>
        </w:trPr>
        <w:tc>
          <w:tcPr>
            <w:tcW w:w="835" w:type="pct"/>
          </w:tcPr>
          <w:p w14:paraId="2FF308CA"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Rowe (2004)</w:t>
            </w:r>
            <w:r w:rsidRPr="00DB152E">
              <w:rPr>
                <w:rFonts w:ascii="Arial" w:hAnsi="Arial" w:cs="Arial"/>
                <w:sz w:val="20"/>
                <w:szCs w:val="20"/>
              </w:rPr>
              <w:fldChar w:fldCharType="begin" w:fldLock="1"/>
            </w:r>
            <w:r>
              <w:rPr>
                <w:rFonts w:ascii="Arial" w:hAnsi="Arial" w:cs="Arial"/>
                <w:sz w:val="20"/>
                <w:szCs w:val="20"/>
              </w:rPr>
              <w:instrText>ADDIN CSL_CITATION { "citationItems" : [ { "id" : "ITEM-1", "itemData" : { "DOI" : "10.1093/jpepsy/jsh015", "ISBN" : "0146-8693 (Print)", "ISSN" : "01468693", "PMID" : "15096533", "abstract" : "OBJECTIVE: We set out to examine the relationship between unintentional injury and common child psychiatric disorders, including both internalizing and externalizing diagnoses.\\n\\nMETHODS: The 1999 British Child and Adolescent Mental Health Survey provided a nationally representative sample of over 10,000 children aged 5-15 years. Measures included assessment of diagnoses of psychiatric disorder from the Diagnostic and Statistical Manual of Mental Disorders, fourth edition, unintentional injury, and a range of potentially related psychosocial factors.\\n\\nRESULTS: Children with psychiatric disorders had higher rates of unintentional injury. After accounting for psychosocial risk factors and comorbid psychopathology, oppositional defiant disorder (ODD) was independently associated with burns and poisoning. Attention deficit hyperactivity disorder (ADHD) was related to fractures, and depression and anxiety also showed independent links to some injury types.\\n\\nCONCLUSIONS: ODD and ADHD, rather than conduct disorder, appear to be the externalizing disorders associated with unintentional injury. We discuss possible models of the relationships between internalizing disorders and unintentional injury.", "author" : [ { "dropping-particle" : "", "family" : "Rowe", "given" : "Richard", "non-dropping-particle" : "", "parse-names" : false, "suffix" : "" }, { "dropping-particle" : "", "family" : "Maughan", "given" : "Barbara", "non-dropping-particle" : "", "parse-names" : false, "suffix" : "" }, { "dropping-particle" : "", "family" : "Goodman", "given" : "Robert", "non-dropping-particle" : "", "parse-names" : false, "suffix" : "" } ], "container-title" : "Journal of Pediatric Psychology", "id" : "ITEM-1", "issue" : "2", "issued" : { "date-parts" : [ [ "2004", "3", "1" ] ] }, "note" : "Maite02.\nGonzalo02.\n\n\nFrom Duplicate 1 (Childhood Psychiatric Disorder and Unintentional Injury: Findings from a National Cohort Study - Rowe, R.)\n\nFrom Duplicate 1 (Childhood Psychiatric Disorder and Unintentional Injury: Findings from a National Cohort Study - Rowe, R.)\nAnd Duplicate 2 (Childhood Psychiatric Disorder and Unintentional Injury: Findings from a National Cohort Study - Rowe, R.)\nAnd Duplicate 3 (Childhood Psychiatric Disorder and Unintentional Injury: Findings from a National Cohort Study - Rowe, R.)\n\nFrom Duplicate 4 (Childhood Psychiatric Disorder and Unintentional Injury: Findings from a National Cohort Study - Rowe, R.)\n\nFrom Duplicate 1 (Childhood Psychiatric Disorder and Unintentional Injury: Findings from a National Cohort Study - Rowe, R.)\n\nBusqueda_Scopus.cited By 109\n\nFrom Duplicate 2 (Childhood Psychiatric Disorder and Unintentional Injury: Findings from a National Cohort Study - Rowe, R.)\n\nBusqueda_pubmed.\n\nFrom Duplicate 5 (Childhood Psychiatric Disorder and Unintentional Injury: Findings from a National Cohort Study - Rowe, R.)\n\n\nFrom Duplicate 1 (Childhood Psychiatric Disorder and Unintentional Injury: Findings from a National Cohort Study - Rowe, R.)\n\nWeb_of_science.\n\nFrom Duplicate 2 (Childhood Psychiatric Disorder and Unintentional Injury: Findings from a National Cohort Study - Rowe, R.)\n\nBusqueda_pubmed.\n\nFrom Duplicate 3 (Childhood Psychiatric Disorder and Unintentional Injury: Findings from a National Cohort Study - Rowe, R.)\n\nBusqueda_Scopus.cited By 109", "page" : "119-130", "title" : "Childhood Psychiatric Disorder and Unintentional Injury: Findings from a National Cohort Study", "type" : "article-journal", "volume" : "29" }, "uris" : [ "http://www.mendeley.com/documents/?uuid=19aaaab3-689a-4e78-8019-0ff84c08cbde" ] } ], "mendeley" : { "formattedCitation" : "&lt;sup&gt;27&lt;/sup&gt;", "plainTextFormattedCitation" : "27", "previouslyFormattedCitation" : "&lt;sup&gt;27&lt;/sup&gt;"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27</w:t>
            </w:r>
            <w:r w:rsidRPr="00DB152E">
              <w:rPr>
                <w:rFonts w:ascii="Arial" w:hAnsi="Arial" w:cs="Arial"/>
                <w:sz w:val="20"/>
                <w:szCs w:val="20"/>
              </w:rPr>
              <w:fldChar w:fldCharType="end"/>
            </w:r>
          </w:p>
        </w:tc>
        <w:tc>
          <w:tcPr>
            <w:tcW w:w="1065" w:type="pct"/>
          </w:tcPr>
          <w:p w14:paraId="19A4ED73"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tcPr>
          <w:p w14:paraId="673613DD"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3</w:t>
            </w:r>
          </w:p>
        </w:tc>
        <w:tc>
          <w:tcPr>
            <w:tcW w:w="712" w:type="pct"/>
          </w:tcPr>
          <w:p w14:paraId="20A5033E"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2</w:t>
            </w:r>
          </w:p>
        </w:tc>
        <w:tc>
          <w:tcPr>
            <w:tcW w:w="729" w:type="pct"/>
            <w:noWrap/>
          </w:tcPr>
          <w:p w14:paraId="757A21F5"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0</w:t>
            </w:r>
          </w:p>
        </w:tc>
        <w:tc>
          <w:tcPr>
            <w:tcW w:w="925" w:type="pct"/>
          </w:tcPr>
          <w:p w14:paraId="6975BC4C"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5</w:t>
            </w:r>
          </w:p>
        </w:tc>
      </w:tr>
      <w:tr w:rsidR="005744C0" w:rsidRPr="00C862ED" w14:paraId="2314BA9C" w14:textId="77777777" w:rsidTr="00E13811">
        <w:trPr>
          <w:trHeight w:val="20"/>
        </w:trPr>
        <w:tc>
          <w:tcPr>
            <w:tcW w:w="835" w:type="pct"/>
          </w:tcPr>
          <w:p w14:paraId="0B8CB78E"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Silva (2014)</w:t>
            </w:r>
            <w:r w:rsidRPr="00DB152E">
              <w:rPr>
                <w:rFonts w:ascii="Arial" w:hAnsi="Arial" w:cs="Arial"/>
                <w:sz w:val="20"/>
                <w:szCs w:val="20"/>
              </w:rPr>
              <w:fldChar w:fldCharType="begin" w:fldLock="1"/>
            </w:r>
            <w:r>
              <w:rPr>
                <w:rFonts w:ascii="Arial" w:hAnsi="Arial" w:cs="Arial"/>
                <w:sz w:val="20"/>
                <w:szCs w:val="20"/>
              </w:rPr>
              <w:instrText>ADDIN CSL_CITATION { "citationItems" : [ { "id" : "ITEM-1", "itemData" : { "DOI" : "10.1007/s00787-014-0545-8", "ISBN" : "1435-165X (Electronic) 1018-8827 (Linking)", "ISSN" : "1435-165X", "PMID" : "24770488", "abstract" : "Examine the hospital admission risk in young children who are subsequently diagnosed with attention deficit hyperactivity disorder (ADHD). We conducted a population-based, record linkage study. Records of all non-Aboriginal children under 18 years who met the DSMIV/ICD10 criteria for ADHD and prescribed stimulant medication in Western Australia between 2003 and 2007 (n = 11,902) were linked to two other health data systems-the hospital morbidity data system and the midwives notification system (MNS). The non-ADHD reference population (n = 27,304) was randomly selected from the MNS. Compared with controls, children under 4 years who subsequently were diagnosed and treated for ADHD were 70% [odds ratio (OR) 1.70; 95% confidence intervals (CI) 1.62-1.77] more likely to be admitted to hospital under 4 years of age. There was an increased risk for injury or poison (OR 1.73; 95% CI 1.59-1.88), respiratory disease (OR 1.49; 95% CI 1.40-1.59), ear disease (OR 2.03; 95% CI 1.86-2.21), infectious diseases (OR 1.68; 95% CI 1.53-1.85) and neurological conditions (OR 2.03; 95% CI 1.68-2.44). Admissions under 4 years of age for head injuries, burns, poisons, all other injuries, diseases of the tonsils and adenoids, asthma and early infections were all more common amongst children subsequently diagnosed with and treated for ADHD. There is significant early hospital morbidity for children subsequently diagnosed with ADHD. Multiple aetiologies and causal pathways need to be considered where some of these may include early infections, inflammatory conditions, epilepsy and injuries. Future studies should look at which of these conditions may be on the causal pathway or likely early markers for ADHD.", "author"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"dropping-particle" : "", "family" : "Silva 2,3 )", "given" : "D ( 1", "non-dropping-particle" : "", "parse-names" : false, "suffix" : "" }, { "dropping-particle" : "", "family" : "Colvin", "given" : "Lyn ( 1 )", "non-dropping-particle" : "", "parse-names" : false, "suffix" : "" }, { "dropping-particle" : "", "family" : "Stanley 2 )", "given" : "F ( 1", "non-dropping-particle" : "", "parse-names" : false, "suffix" : "" }, { "dropping-particle" : "", "family" : "Bower 2 )", "given" : "C ( 1", "non-dropping-particle" : "", "parse-names" : false, "suffix" : "" }, { "dropping-particle" : "", "family" : "Hagemann", "given" : "Erika ( 4 )", "non-dropping-particle" : "", "parse-names" : false, "suffix" : "" }, { "dropping-particle" : "", "family" : "Silva", "given" : "Desiree", "non-dropping-particle" : "", "parse-names" : false, "suffix" : "" }, { "dropping-particle" : "", "family" : "Colvin", "given" : "Lyn ( 1 )", "non-dropping-particle" : "", "parse-names" : false, "suffix" : "" }, { "dropping-particle" : "", "family" : "Hagemann", "given" : "Erika ( 4 )", "non-dropping-particle" : "", "parse-names" : false, "suffix" : "" }, { "dropping-particle" : "", "family" : "Stanley", "given" : "Fiona", "non-dropping-particle" : "", "parse-names" : false, "suffix" : "" }, { "dropping-particle" : "", "family" : "Bower", "given" : "Carol", "non-dropping-particle" : "", "parse-names" : false, "suffix" : "" } ], "container-title" : "European child &amp; adolescent psychiatry", "id" : "ITEM-1", "issue" : "11", "issued" : { "date-parts" : [ [ "2014", "11", "1" ] ] }, "language" : "eng", "note" : "\n\nMaite02.\n\nUn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2,3 ), D ( 1; Colvin, L ( 1 ); Stanley 2 ), F ( 1; Bower 2 ), C ( 1; Hagemann, E ( 4 ))\n\nAccession Number: edselc.2-52.0-84922328190; (European Child and Adolescent Psychiatry, 2014, 23(11):1043-1050) Publication Type: Academic Journal; Rights: Copyright 2015 Elsevier B.V., All rights reserved.\n\nFrom Duplicate 3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 Colvin, L; Hagemann, E; Stanley, F; Bower, C)\n\nFrom Duplicate 1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relevante.\n\nWebOfScience.\n\nFrom Duplicate 2 (Children diagnosed with attention deficit disorder and their hospitalisations: population data linkage study. - Silva LynHagemann, ErikaStanley, FionaBower, Carol, DesireeColvin)\n\nAccession Number: 99387253; Source Information: Nov2014, Vol. 23 Issue 11, p1043; Subject Term: ATTENTION-deficit hyperactivity disorder -- Diagnosis; Subject Term: CONFIDENCE intervals; Subject Term: HOSPITALS -- Admission &amp;amp; discharge; Subject Term: MENTAL illness -- Classification; Subject Term: PATIENTS; Subject Term: POPULATION research; Subject Term: LOGISTIC regression analysis; Subject Term: SOCIOECONOMIC factors; Subject Term: CASE-control method; Subject Term: DATA analysis -- Software; Subject Term: ODDS ratio; Subject Term: ; Number of Pages: 8p; ; Illustrations: 1 Diagram, 3 Charts; ; Document Type: Article;\n\nFrom Duplicate 2 (Children diagnosed with attention deficit disorder and their hospitalisations: population data linkage study. - Silva, Desiree; Colvin, Lyn; Hagemann, Erika; Stanley, Fiona; Bower, Carol)\nAnd Duplicate 3 (Children diagnosed with attention deficit disorder and their hospitalisations: population data linkage study. - Silva, Desiree; Colvin, Lyn; Hagemann, Erika; Stanley, Fiona; Bower, Carol)\nAnd Duplicate 4 (Children diagnosed with attention deficit disorder and their hospitalisations: population data linkage study. - Silva, Desiree; Colvin, Lyn; Hagemann, Erika; Stanley, Fiona; Bower, Carol)\n\nFrom Duplicate 1 (Children diagnosed with attention deficit disorder and their hospitalisations: population data linkage study. - Silva, Desiree; Colvin, Lyn; Hagemann, Erika; Stanley, Fiona; Bower, Carol)\n\nBusquedaPubmed.\n\nMaite02.\nUn poco global pero n muy grande, no se si tiene grupo control para valorar fracturas\n\nGonzalo01.\nProbablemente tenga informaci\u00f3n relevante.\n\nFrom Duplicate 2 (Children diagnosed with attention deficit disorder and their hospitalisations: population data linkage study. - Silva, Desiree; Colvin, Lyn; Hagemann, Erika; Stanley, Fiona; Bower, Carol)\n\nMaite02.\n\nUn poco global pero n muy grande, no se si tiene grupo control para valorar fracturas.\n\n\nWebOfScience.\n\nFrom Duplicate 3 (Children diagnosed with attention deficit disorder and their hospitalisations: population data linkage study - Silva, D; Colvin, L; Hagemann, E; Stanley, F; Bower, C)\n\nBusquedaScopus.\ncited By 2.\n\nFrom Duplicate 5 (Children diagnosed with attention deficit disorder and their hospitalisations: population data linkage study. - Silva, Desiree; Colvin, Lyn; Hagemann, Erika; Stanley, Fiona; Bower, Carol)\n\nMaite02.\n\nUn poco global pero n muy grande, no se si tiene grupo control para valorar fracturas.\n\nGonzalo00.\nProbablemente tenga informaci\u00f3n relevante.\n\nWebOfScience.", "page" : "1043-1050", "publisher" : "Dr. Dietrich Steinkopff Verlag GmbH and Co. KG", "publisher-place" : "(1)Telethon Kids Institute, University of Western Australia, Germany", "title" : "Children diagnosed with attention deficit disorder and their hospitalisations: population data linkage study", "type" : "article-journal", "volume" : "23" }, "uris" : [ "http://www.mendeley.com/documents/?uuid=29c77e3b-cc96-4a0a-b907-2ca2ac9446df" ] } ], "mendeley" : { "formattedCitation" : "&lt;sup&gt;28&lt;/sup&gt;", "plainTextFormattedCitation" : "28", "previouslyFormattedCitation" : "&lt;sup&gt;28&lt;/sup&gt;"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28</w:t>
            </w:r>
            <w:r w:rsidRPr="00DB152E">
              <w:rPr>
                <w:rFonts w:ascii="Arial" w:hAnsi="Arial" w:cs="Arial"/>
                <w:sz w:val="20"/>
                <w:szCs w:val="20"/>
              </w:rPr>
              <w:fldChar w:fldCharType="end"/>
            </w:r>
          </w:p>
        </w:tc>
        <w:tc>
          <w:tcPr>
            <w:tcW w:w="1065" w:type="pct"/>
          </w:tcPr>
          <w:p w14:paraId="306A686D"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tcPr>
          <w:p w14:paraId="7D34ED05"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3</w:t>
            </w:r>
          </w:p>
        </w:tc>
        <w:tc>
          <w:tcPr>
            <w:tcW w:w="712" w:type="pct"/>
          </w:tcPr>
          <w:p w14:paraId="7275C755"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729" w:type="pct"/>
            <w:noWrap/>
          </w:tcPr>
          <w:p w14:paraId="2B6D0516"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1068E48D"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5</w:t>
            </w:r>
          </w:p>
        </w:tc>
      </w:tr>
      <w:tr w:rsidR="005744C0" w:rsidRPr="00C862ED" w14:paraId="362001EA" w14:textId="77777777" w:rsidTr="00E13811">
        <w:trPr>
          <w:trHeight w:val="20"/>
        </w:trPr>
        <w:tc>
          <w:tcPr>
            <w:tcW w:w="835" w:type="pct"/>
          </w:tcPr>
          <w:p w14:paraId="6D47ADCA" w14:textId="77777777" w:rsidR="005744C0" w:rsidRPr="00C862ED" w:rsidRDefault="005744C0" w:rsidP="00E13811">
            <w:pPr>
              <w:spacing w:line="240" w:lineRule="auto"/>
              <w:rPr>
                <w:rFonts w:ascii="Arial" w:hAnsi="Arial" w:cs="Arial"/>
                <w:szCs w:val="20"/>
              </w:rPr>
            </w:pPr>
            <w:proofErr w:type="spellStart"/>
            <w:r w:rsidRPr="00C862ED">
              <w:rPr>
                <w:rFonts w:ascii="Arial" w:hAnsi="Arial" w:cs="Arial"/>
                <w:sz w:val="22"/>
                <w:szCs w:val="20"/>
              </w:rPr>
              <w:t>Swensen</w:t>
            </w:r>
            <w:proofErr w:type="spellEnd"/>
            <w:r w:rsidRPr="00C862ED">
              <w:rPr>
                <w:rFonts w:ascii="Arial" w:hAnsi="Arial" w:cs="Arial"/>
                <w:sz w:val="22"/>
                <w:szCs w:val="20"/>
              </w:rPr>
              <w:t xml:space="preserve"> (2004)</w:t>
            </w:r>
            <w:r w:rsidRPr="00DB152E">
              <w:rPr>
                <w:rFonts w:ascii="Arial" w:hAnsi="Arial" w:cs="Arial"/>
                <w:sz w:val="20"/>
                <w:szCs w:val="20"/>
              </w:rPr>
              <w:fldChar w:fldCharType="begin" w:fldLock="1"/>
            </w:r>
            <w:r>
              <w:rPr>
                <w:rFonts w:ascii="Arial" w:hAnsi="Arial" w:cs="Arial"/>
                <w:sz w:val="20"/>
                <w:szCs w:val="20"/>
              </w:rPr>
              <w:instrText>ADDIN CSL_CITATION { "citationItems" : [ { "id" : "ITEM-1", "itemData" : { "DOI" : "10.1016/j.jadohealth.2003.12.003", "ISBN" : "1879-1972 (Electronic)\\r1054-139X (Linking)", "ISSN" : "1879-1972", "PMID" : "15830457", "abstract" : "PURPOSE The purpose is to analyze the incidence and costs of accidents among Attention-Deficit/Hyperactivity Disorder (ADHD) patients. METHODS The analysis relied on administrative medical, pharmaceutical, and disability claims for a national manufacturer's employees, spouses, dependents, and retirees (n &gt; 100,000). Accidental injuries were identified using ICD-9 codes for injuries or poisoning treatment. ADHD sample consists of individuals with at least one claim for ADHD during 1996-98 (NADHD = 1308), which was compared with a matched control sample. In addition to descriptive statistics, multivariate analysis involving logistic regression was used to model the probability of having an accident claim in 1998. This probability was estimated for the whole population, for adults alone, for children (under age 12 years), and for adolescents (age 12-18 years). We also estimated a generalized estimation equation (GEE) model to account for the possibility of multiple accident claims for a single patient. RESULTS ADHD patients had a greater probability of having at least one accident claim than their controls for children (28% vs. 18%), adolescents (32% vs. 23%), and adults (38% vs. 18%). Although ADHD patients' costs were greater than their controls for adults ($483 vs. $146), there was no difference for children or adolescents. However, among patients with accident claims, the average number of accident claims was similar for both groups (3.6 vs. 3.5) and costs were not statistically different. The multivariate analysis confirms this utilization pattern: the odds of having an accident for ADHD patients were 1.7 times greater than for controls. CONCLUSIONS ADHD was a significant predictor of having an accident claim. However, for people with an accident claim, ADHD patients and controls had a similar number of accident claims and costs.", "author" : [ { "dropping-particle" : "", "family" : "Swensen", "given" : "Andrine", "non-dropping-particle" : "", "parse-names" : false, "suffix" : "" }, { "dropping-particle" : "", "family" : "Birnbaum", "given" : "Howard G.", "non-dropping-particle" : "", "parse-names" : false, "suffix" : "" }, { "dropping-particle" : "", "family" : "Hamadi", "given" : "Rym", "non-dropping-particle" : "Ben", "parse-names" : false, "suffix" : "" }, { "dropping-particle" : "", "family" : "Greenberg", "given" : "Paul", "non-dropping-particle" : "", "parse-names" : false, "suffix" : "" }, { "dropping-particle" : "", "family" : "Cremieux", "given" : "Pierre-Yves", "non-dropping-particle" : "", "parse-names" : false, "suffix" : "" }, { "dropping-particle" : "", "family" : "Secnik", "given" : "Kristina", "non-dropping-particle" : "", "parse-names" : false, "suffix" : "" } ], "container-title" : "The Journal of adolescent health : official publication of the Society for Adolescent Medicine", "id" : "ITEM-1", "issue" : "4", "issued" : { "date-parts" : [ [ "2004", "10", "1" ] ] }, "language" : "eng", "note" : "Maite01.\n\nGonzalo01.\n\nFrom Duplicate 2 (Incidence and costs of accidents among attention-deficit/hyperactivity disorder patients. - Swensen, Andrine; Birnbaum, Howard G; Ben Hamadi, Rym; Greenberg, Paul; Cremieux, Pierre-Yves Y; Secnik, Kristina)\n\nFrom Duplicate 1 (Incidence and costs of accidents among attention-deficit/hyperactivity disorder patients - Swensen, Andrine; Birnbaum, Howard G; Ben Hamadi, Rym; Greenberg, Paul; Cremieux, Pierre-Yves Y; Secnik, Kristina)\n\n\n\nFrom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78\n\nFrom Duplicate 2 (Incidence and costs of accidents among attention-deficit/hyperactivity disorder patients. - Swensen, Andrine; Birnbaum, Howard G; Ben Hamadi, Rym; Greenberg, Paul; Cremieux, Pierre-Yves; Secnik, Kristina)\nAnd Duplicate 3 (Incidence and costs of accidents among attention-deficit/hyperactivity disorder patients. - Swensen, Andrine; Birnbaum, Howard G; Ben Hamadi, Rym; Greenberg, Paul; Cremieux, Pierre-Yves; Secnik, Kristina)\n\nBusqueda_pubmed.\n\nFrom Duplicate 4 (Incidence and costs of accidents among attention-deficit/hyperactivity disorder patients - Swensen, Andrine; Birnbaum, Howard G; Ben Hamadi, Rym; Greenberg, Paul; Cremieux, Pierre-Yves Y; Secnik, Kristina)\n\nGonzalo01.\n\nFrom Duplicate 1 (Incidence and costs of accidents among attention-deficit/hyperactivity disorder patients. - Swensen, Andrine; Birnbaum, Howard G; Ben Hamadi, Rym; Greenberg, Paul; Cremieux, Pierre-Yves; Secnik, Kristina)\n\nBusqueda_pubmed.\n\nFrom Duplicate 2 (Incidence and costs of accidents among attention-deficit/hyperactivity disorder patients - Swensen, A; Birnbaum, H G; Ben Hamadi, R; Greenberg, P; Cremieux, P Y; Secnik, K)\n\nBusqueda_Scopus.cited By 78", "page" : "346.e1-9", "publisher" : "Elsevier Inc.", "publisher-place" : "United States", "title" : "Incidence and costs of accidents among attention-deficit/hyperactivity disorder patients.", "type" : "article-journal", "volume" : "35" }, "uris" : [ "http://www.mendeley.com/documents/?uuid=e22332c3-4de9-4376-9a2b-271494ff3f68" ] } ], "mendeley" : { "formattedCitation" : "&lt;sup&gt;29&lt;/sup&gt;", "plainTextFormattedCitation" : "29", "previouslyFormattedCitation" : "&lt;sup&gt;29&lt;/sup&gt;" }, "properties" : {  }, "schema" : "https://github.com/citation-style-language/schema/raw/master/csl-citation.json" }</w:instrText>
            </w:r>
            <w:r w:rsidRPr="00DB152E">
              <w:rPr>
                <w:rFonts w:ascii="Arial" w:hAnsi="Arial" w:cs="Arial"/>
                <w:sz w:val="20"/>
                <w:szCs w:val="20"/>
              </w:rPr>
              <w:fldChar w:fldCharType="separate"/>
            </w:r>
            <w:r w:rsidRPr="00DB152E">
              <w:rPr>
                <w:rFonts w:ascii="Arial" w:hAnsi="Arial" w:cs="Arial"/>
                <w:noProof/>
                <w:sz w:val="20"/>
                <w:szCs w:val="20"/>
                <w:vertAlign w:val="superscript"/>
              </w:rPr>
              <w:t>29</w:t>
            </w:r>
            <w:r w:rsidRPr="00DB152E">
              <w:rPr>
                <w:rFonts w:ascii="Arial" w:hAnsi="Arial" w:cs="Arial"/>
                <w:sz w:val="20"/>
                <w:szCs w:val="20"/>
              </w:rPr>
              <w:fldChar w:fldCharType="end"/>
            </w:r>
          </w:p>
        </w:tc>
        <w:tc>
          <w:tcPr>
            <w:tcW w:w="1065" w:type="pct"/>
          </w:tcPr>
          <w:p w14:paraId="71E30448"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Cohort</w:t>
            </w:r>
          </w:p>
        </w:tc>
        <w:tc>
          <w:tcPr>
            <w:tcW w:w="733" w:type="pct"/>
            <w:noWrap/>
          </w:tcPr>
          <w:p w14:paraId="2D283F8F"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3</w:t>
            </w:r>
          </w:p>
        </w:tc>
        <w:tc>
          <w:tcPr>
            <w:tcW w:w="712" w:type="pct"/>
            <w:noWrap/>
          </w:tcPr>
          <w:p w14:paraId="7C1B1F19"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2</w:t>
            </w:r>
          </w:p>
        </w:tc>
        <w:tc>
          <w:tcPr>
            <w:tcW w:w="729" w:type="pct"/>
            <w:noWrap/>
          </w:tcPr>
          <w:p w14:paraId="3784ED3B" w14:textId="77777777" w:rsidR="005744C0" w:rsidRPr="00C862ED" w:rsidRDefault="005744C0" w:rsidP="00E13811">
            <w:pPr>
              <w:spacing w:line="240" w:lineRule="auto"/>
              <w:rPr>
                <w:rFonts w:ascii="Arial" w:hAnsi="Arial" w:cs="Arial"/>
                <w:szCs w:val="20"/>
              </w:rPr>
            </w:pPr>
            <w:r w:rsidRPr="00C862ED">
              <w:rPr>
                <w:rFonts w:ascii="Arial" w:hAnsi="Arial" w:cs="Arial"/>
                <w:szCs w:val="20"/>
              </w:rPr>
              <w:t>1</w:t>
            </w:r>
          </w:p>
        </w:tc>
        <w:tc>
          <w:tcPr>
            <w:tcW w:w="925" w:type="pct"/>
          </w:tcPr>
          <w:p w14:paraId="018DC089" w14:textId="77777777" w:rsidR="005744C0" w:rsidRPr="00C862ED" w:rsidRDefault="005744C0" w:rsidP="00E13811">
            <w:pPr>
              <w:spacing w:line="240" w:lineRule="auto"/>
              <w:rPr>
                <w:rFonts w:ascii="Arial" w:hAnsi="Arial" w:cs="Arial"/>
                <w:szCs w:val="20"/>
              </w:rPr>
            </w:pPr>
            <w:r w:rsidRPr="00C862ED">
              <w:rPr>
                <w:rFonts w:ascii="Arial" w:hAnsi="Arial" w:cs="Arial"/>
                <w:sz w:val="22"/>
                <w:szCs w:val="20"/>
              </w:rPr>
              <w:t>6</w:t>
            </w:r>
          </w:p>
        </w:tc>
      </w:tr>
    </w:tbl>
    <w:p w14:paraId="04F6460E" w14:textId="77777777" w:rsidR="005744C0" w:rsidRPr="00137592" w:rsidRDefault="005744C0" w:rsidP="005744C0">
      <w:pPr>
        <w:pStyle w:val="Sinespaciado"/>
        <w:rPr>
          <w:b/>
          <w:sz w:val="22"/>
          <w:szCs w:val="22"/>
          <w:lang w:val="en-US"/>
        </w:rPr>
      </w:pPr>
      <w:r w:rsidRPr="00137592">
        <w:rPr>
          <w:b/>
          <w:sz w:val="22"/>
          <w:szCs w:val="22"/>
          <w:lang w:val="en-US"/>
        </w:rPr>
        <w:t>Table legend</w:t>
      </w:r>
    </w:p>
    <w:p w14:paraId="76EA3012" w14:textId="77777777" w:rsidR="005744C0" w:rsidRPr="00C862ED" w:rsidRDefault="005744C0" w:rsidP="005744C0">
      <w:pPr>
        <w:pStyle w:val="Sinespaciado"/>
        <w:rPr>
          <w:sz w:val="22"/>
          <w:szCs w:val="22"/>
        </w:rPr>
      </w:pPr>
      <w:proofErr w:type="gramStart"/>
      <w:r w:rsidRPr="00B264C0">
        <w:rPr>
          <w:sz w:val="22"/>
          <w:szCs w:val="22"/>
          <w:lang w:val="en-US"/>
        </w:rPr>
        <w:t>Number of stars</w:t>
      </w:r>
      <w:r w:rsidRPr="00C862ED">
        <w:rPr>
          <w:sz w:val="22"/>
          <w:szCs w:val="22"/>
          <w:lang w:val="en-US"/>
        </w:rPr>
        <w:t xml:space="preserve"> for each subsection of the Newcastle-Ottawa Scale (NOS) and the total score.</w:t>
      </w:r>
      <w:proofErr w:type="gramEnd"/>
    </w:p>
    <w:p w14:paraId="11430A18" w14:textId="77777777" w:rsidR="005744C0" w:rsidRPr="00137592" w:rsidRDefault="005744C0" w:rsidP="005744C0">
      <w:pPr>
        <w:pStyle w:val="Sinespaciado"/>
        <w:rPr>
          <w:sz w:val="22"/>
          <w:szCs w:val="22"/>
        </w:rPr>
      </w:pPr>
    </w:p>
    <w:p w14:paraId="53E6EF3E" w14:textId="77777777" w:rsidR="005744C0" w:rsidRPr="00DB152E" w:rsidRDefault="005744C0" w:rsidP="005744C0">
      <w:pPr>
        <w:spacing w:line="240" w:lineRule="auto"/>
      </w:pPr>
      <w:proofErr w:type="gramStart"/>
      <w:r w:rsidRPr="00C862ED">
        <w:rPr>
          <w:vertAlign w:val="superscript"/>
        </w:rPr>
        <w:t>a</w:t>
      </w:r>
      <w:proofErr w:type="gramEnd"/>
      <w:r w:rsidRPr="00DB152E">
        <w:rPr>
          <w:vertAlign w:val="superscript"/>
        </w:rPr>
        <w:t xml:space="preserve">, </w:t>
      </w:r>
      <w:r w:rsidRPr="00DB152E">
        <w:t>An item from the original scale was not relevant for our meta-analysis (see Supplementary Material</w:t>
      </w:r>
      <w:r w:rsidRPr="00C862ED">
        <w:t xml:space="preserve">, S3 Methods). </w:t>
      </w:r>
    </w:p>
    <w:p w14:paraId="5D750406" w14:textId="77777777" w:rsidR="005744C0" w:rsidRPr="00C862ED" w:rsidRDefault="005744C0" w:rsidP="005744C0">
      <w:pPr>
        <w:spacing w:line="240" w:lineRule="auto"/>
      </w:pPr>
      <w:r w:rsidRPr="00C862ED">
        <w:t>* Averaged between outcomes</w:t>
      </w:r>
    </w:p>
    <w:p w14:paraId="109AD3E0" w14:textId="77777777" w:rsidR="005744C0" w:rsidRDefault="005744C0" w:rsidP="00B264C0">
      <w:pPr>
        <w:pStyle w:val="Sinespaciado"/>
        <w:rPr>
          <w:sz w:val="22"/>
          <w:szCs w:val="22"/>
          <w:lang w:val="en-US"/>
        </w:rPr>
      </w:pPr>
    </w:p>
    <w:p w14:paraId="1EBF04BB" w14:textId="77777777" w:rsidR="005744C0" w:rsidRDefault="005744C0" w:rsidP="00B264C0">
      <w:pPr>
        <w:pStyle w:val="Sinespaciado"/>
        <w:rPr>
          <w:sz w:val="22"/>
          <w:szCs w:val="22"/>
          <w:lang w:val="en-US"/>
        </w:rPr>
      </w:pPr>
    </w:p>
    <w:p w14:paraId="212530EF" w14:textId="77777777" w:rsidR="005744C0" w:rsidRPr="00137592" w:rsidRDefault="005744C0" w:rsidP="00B264C0">
      <w:pPr>
        <w:pStyle w:val="Sinespaciado"/>
        <w:rPr>
          <w:sz w:val="22"/>
          <w:szCs w:val="22"/>
        </w:rPr>
      </w:pPr>
    </w:p>
    <w:p w14:paraId="1BC32DA5" w14:textId="77777777" w:rsidR="00480F79" w:rsidRPr="00C862ED" w:rsidRDefault="00480F79" w:rsidP="00033B37">
      <w:pPr>
        <w:spacing w:line="240" w:lineRule="auto"/>
        <w:rPr>
          <w:sz w:val="22"/>
          <w:szCs w:val="22"/>
        </w:rPr>
        <w:sectPr w:rsidR="00480F79" w:rsidRPr="00C862ED" w:rsidSect="00847F22">
          <w:pgSz w:w="16838" w:h="11906" w:orient="landscape"/>
          <w:pgMar w:top="1701" w:right="1417" w:bottom="1701" w:left="1417" w:header="708" w:footer="708" w:gutter="0"/>
          <w:cols w:space="708"/>
          <w:docGrid w:linePitch="360"/>
        </w:sectPr>
      </w:pPr>
    </w:p>
    <w:p w14:paraId="29BACCF0" w14:textId="77777777" w:rsidR="009D7E78" w:rsidRPr="00C862ED" w:rsidRDefault="009D7E78"/>
    <w:sectPr w:rsidR="009D7E78" w:rsidRPr="00C862ED" w:rsidSect="00033B37">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8F6A5" w15:done="0"/>
  <w15:commentEx w15:paraId="06210EE9" w15:done="0"/>
  <w15:commentEx w15:paraId="7501A349" w15:done="0"/>
  <w15:commentEx w15:paraId="5BA84D0F" w15:done="0"/>
  <w15:commentEx w15:paraId="7700092F" w15:done="0"/>
  <w15:commentEx w15:paraId="52E20EBB" w15:done="0"/>
  <w15:commentEx w15:paraId="715616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8F6A5" w16cid:durableId="1E63C5EE"/>
  <w16cid:commentId w16cid:paraId="06210EE9" w16cid:durableId="1E63C65B"/>
  <w16cid:commentId w16cid:paraId="7501A349" w16cid:durableId="1E640596"/>
  <w16cid:commentId w16cid:paraId="5BA84D0F" w16cid:durableId="1E640941"/>
  <w16cid:commentId w16cid:paraId="7700092F" w16cid:durableId="1E64098C"/>
  <w16cid:commentId w16cid:paraId="52E20EBB" w16cid:durableId="1E640A5F"/>
  <w16cid:commentId w16cid:paraId="7156168F" w16cid:durableId="1E63C5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EE5D0" w14:textId="77777777" w:rsidR="00EC6B5B" w:rsidRDefault="00EC6B5B" w:rsidP="00E32375">
      <w:pPr>
        <w:spacing w:line="240" w:lineRule="auto"/>
      </w:pPr>
      <w:r>
        <w:separator/>
      </w:r>
    </w:p>
  </w:endnote>
  <w:endnote w:type="continuationSeparator" w:id="0">
    <w:p w14:paraId="3C585017" w14:textId="77777777" w:rsidR="00EC6B5B" w:rsidRDefault="00EC6B5B" w:rsidP="00E3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68CC8" w14:textId="77777777" w:rsidR="00EC6B5B" w:rsidRDefault="00EC6B5B" w:rsidP="00E32375">
      <w:pPr>
        <w:spacing w:line="240" w:lineRule="auto"/>
      </w:pPr>
      <w:r>
        <w:separator/>
      </w:r>
    </w:p>
  </w:footnote>
  <w:footnote w:type="continuationSeparator" w:id="0">
    <w:p w14:paraId="60C40999" w14:textId="77777777" w:rsidR="00EC6B5B" w:rsidRDefault="00EC6B5B" w:rsidP="00E323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B5971"/>
    <w:multiLevelType w:val="hybridMultilevel"/>
    <w:tmpl w:val="07942FF8"/>
    <w:lvl w:ilvl="0" w:tplc="A6626A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4D77E1"/>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353C0A1B"/>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52930D20"/>
    <w:multiLevelType w:val="hybridMultilevel"/>
    <w:tmpl w:val="8BCC8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D4425B"/>
    <w:multiLevelType w:val="hybridMultilevel"/>
    <w:tmpl w:val="D12C2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E67B0E"/>
    <w:multiLevelType w:val="hybridMultilevel"/>
    <w:tmpl w:val="1BBC4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Gonzalo">
    <w15:presenceInfo w15:providerId="None" w15:userId="Gonzalo "/>
  </w15:person>
  <w15:person w15:author="Gonzalo ">
    <w15:presenceInfo w15:providerId="None" w15:userId="Gonzal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3B"/>
    <w:rsid w:val="00005ACC"/>
    <w:rsid w:val="0001413B"/>
    <w:rsid w:val="00016C61"/>
    <w:rsid w:val="00017BC7"/>
    <w:rsid w:val="00021F39"/>
    <w:rsid w:val="00022C13"/>
    <w:rsid w:val="00031323"/>
    <w:rsid w:val="000328B6"/>
    <w:rsid w:val="00033B37"/>
    <w:rsid w:val="00034832"/>
    <w:rsid w:val="0003782C"/>
    <w:rsid w:val="000436BE"/>
    <w:rsid w:val="0004457F"/>
    <w:rsid w:val="000539BB"/>
    <w:rsid w:val="00054BE1"/>
    <w:rsid w:val="00074E78"/>
    <w:rsid w:val="00081254"/>
    <w:rsid w:val="00083BBC"/>
    <w:rsid w:val="00095974"/>
    <w:rsid w:val="000A29FE"/>
    <w:rsid w:val="000A3734"/>
    <w:rsid w:val="000A3F25"/>
    <w:rsid w:val="000A707C"/>
    <w:rsid w:val="000B0B30"/>
    <w:rsid w:val="000C0F29"/>
    <w:rsid w:val="000C48AB"/>
    <w:rsid w:val="000C5D2C"/>
    <w:rsid w:val="000D3F08"/>
    <w:rsid w:val="000E50AA"/>
    <w:rsid w:val="000E6D8A"/>
    <w:rsid w:val="000E703E"/>
    <w:rsid w:val="000F06AC"/>
    <w:rsid w:val="000F4059"/>
    <w:rsid w:val="000F48C9"/>
    <w:rsid w:val="00101492"/>
    <w:rsid w:val="00114F16"/>
    <w:rsid w:val="00115ECF"/>
    <w:rsid w:val="00121A9E"/>
    <w:rsid w:val="00133A86"/>
    <w:rsid w:val="00137592"/>
    <w:rsid w:val="00137983"/>
    <w:rsid w:val="00140DF6"/>
    <w:rsid w:val="00142544"/>
    <w:rsid w:val="0015164E"/>
    <w:rsid w:val="0016129C"/>
    <w:rsid w:val="001708C2"/>
    <w:rsid w:val="001728D8"/>
    <w:rsid w:val="001835F0"/>
    <w:rsid w:val="00191A4D"/>
    <w:rsid w:val="00192EEC"/>
    <w:rsid w:val="00197515"/>
    <w:rsid w:val="001A3E69"/>
    <w:rsid w:val="001A65DB"/>
    <w:rsid w:val="001B0601"/>
    <w:rsid w:val="001B426B"/>
    <w:rsid w:val="001B71AC"/>
    <w:rsid w:val="001B7D38"/>
    <w:rsid w:val="001C299D"/>
    <w:rsid w:val="001C40AA"/>
    <w:rsid w:val="001D141F"/>
    <w:rsid w:val="001E3D8B"/>
    <w:rsid w:val="001F6259"/>
    <w:rsid w:val="002000E0"/>
    <w:rsid w:val="002149DC"/>
    <w:rsid w:val="00216886"/>
    <w:rsid w:val="00217574"/>
    <w:rsid w:val="00220AE1"/>
    <w:rsid w:val="00224A0A"/>
    <w:rsid w:val="00224AF4"/>
    <w:rsid w:val="002401D1"/>
    <w:rsid w:val="00243914"/>
    <w:rsid w:val="002474AB"/>
    <w:rsid w:val="0025596D"/>
    <w:rsid w:val="00264C31"/>
    <w:rsid w:val="00272989"/>
    <w:rsid w:val="00274AD2"/>
    <w:rsid w:val="00277EE9"/>
    <w:rsid w:val="002822FB"/>
    <w:rsid w:val="0028486F"/>
    <w:rsid w:val="002857C5"/>
    <w:rsid w:val="00290BAF"/>
    <w:rsid w:val="00294F17"/>
    <w:rsid w:val="002A3CFB"/>
    <w:rsid w:val="002A3D68"/>
    <w:rsid w:val="002A7FB9"/>
    <w:rsid w:val="002B16F0"/>
    <w:rsid w:val="002B17F2"/>
    <w:rsid w:val="002C207C"/>
    <w:rsid w:val="002C3CE3"/>
    <w:rsid w:val="002C5D72"/>
    <w:rsid w:val="002C7CCD"/>
    <w:rsid w:val="002D01CE"/>
    <w:rsid w:val="002D749E"/>
    <w:rsid w:val="002E5F04"/>
    <w:rsid w:val="002F125F"/>
    <w:rsid w:val="002F38BB"/>
    <w:rsid w:val="002F4A7E"/>
    <w:rsid w:val="00302681"/>
    <w:rsid w:val="00320F8D"/>
    <w:rsid w:val="00326A04"/>
    <w:rsid w:val="0033103C"/>
    <w:rsid w:val="003347C3"/>
    <w:rsid w:val="0033486E"/>
    <w:rsid w:val="0034134A"/>
    <w:rsid w:val="00341640"/>
    <w:rsid w:val="00341E37"/>
    <w:rsid w:val="00343693"/>
    <w:rsid w:val="003504F8"/>
    <w:rsid w:val="00351342"/>
    <w:rsid w:val="00351972"/>
    <w:rsid w:val="0035296D"/>
    <w:rsid w:val="00352D42"/>
    <w:rsid w:val="003751EA"/>
    <w:rsid w:val="00377E7B"/>
    <w:rsid w:val="00381BFD"/>
    <w:rsid w:val="00395DDD"/>
    <w:rsid w:val="003A04CA"/>
    <w:rsid w:val="003A1211"/>
    <w:rsid w:val="003A5E31"/>
    <w:rsid w:val="003C7AD9"/>
    <w:rsid w:val="003D1354"/>
    <w:rsid w:val="003D3641"/>
    <w:rsid w:val="003D4455"/>
    <w:rsid w:val="003D7EBC"/>
    <w:rsid w:val="003E1859"/>
    <w:rsid w:val="003E1D25"/>
    <w:rsid w:val="003E7CF0"/>
    <w:rsid w:val="003F70D9"/>
    <w:rsid w:val="003F79B0"/>
    <w:rsid w:val="00402E0B"/>
    <w:rsid w:val="00405C12"/>
    <w:rsid w:val="00410053"/>
    <w:rsid w:val="004102EB"/>
    <w:rsid w:val="0041100F"/>
    <w:rsid w:val="00411183"/>
    <w:rsid w:val="0041303E"/>
    <w:rsid w:val="00415607"/>
    <w:rsid w:val="00415DF8"/>
    <w:rsid w:val="00422C0D"/>
    <w:rsid w:val="00423DA4"/>
    <w:rsid w:val="004247EC"/>
    <w:rsid w:val="00430033"/>
    <w:rsid w:val="0043300B"/>
    <w:rsid w:val="004341A9"/>
    <w:rsid w:val="00434731"/>
    <w:rsid w:val="00434E70"/>
    <w:rsid w:val="004423F7"/>
    <w:rsid w:val="00442654"/>
    <w:rsid w:val="00446499"/>
    <w:rsid w:val="00446D22"/>
    <w:rsid w:val="004676D2"/>
    <w:rsid w:val="004804A2"/>
    <w:rsid w:val="00480F79"/>
    <w:rsid w:val="00487110"/>
    <w:rsid w:val="004877EF"/>
    <w:rsid w:val="004878B3"/>
    <w:rsid w:val="004902AE"/>
    <w:rsid w:val="00493DFC"/>
    <w:rsid w:val="004976EA"/>
    <w:rsid w:val="004A232B"/>
    <w:rsid w:val="004A2D0D"/>
    <w:rsid w:val="004B1CEF"/>
    <w:rsid w:val="004B4B80"/>
    <w:rsid w:val="004C4071"/>
    <w:rsid w:val="004C6904"/>
    <w:rsid w:val="004C6910"/>
    <w:rsid w:val="004D726E"/>
    <w:rsid w:val="004D7B07"/>
    <w:rsid w:val="004D7F69"/>
    <w:rsid w:val="004E078E"/>
    <w:rsid w:val="004F15D4"/>
    <w:rsid w:val="004F1D20"/>
    <w:rsid w:val="004F61FD"/>
    <w:rsid w:val="005001CA"/>
    <w:rsid w:val="00502216"/>
    <w:rsid w:val="00502FDB"/>
    <w:rsid w:val="00505682"/>
    <w:rsid w:val="005222C5"/>
    <w:rsid w:val="00522D25"/>
    <w:rsid w:val="0052481A"/>
    <w:rsid w:val="005260A7"/>
    <w:rsid w:val="0052619E"/>
    <w:rsid w:val="00527114"/>
    <w:rsid w:val="0053029E"/>
    <w:rsid w:val="005323AA"/>
    <w:rsid w:val="0053350A"/>
    <w:rsid w:val="00533D72"/>
    <w:rsid w:val="00534724"/>
    <w:rsid w:val="0054205C"/>
    <w:rsid w:val="0054320B"/>
    <w:rsid w:val="00550998"/>
    <w:rsid w:val="00552F2F"/>
    <w:rsid w:val="005624DB"/>
    <w:rsid w:val="00562D4C"/>
    <w:rsid w:val="005656FE"/>
    <w:rsid w:val="005744C0"/>
    <w:rsid w:val="00576F04"/>
    <w:rsid w:val="00577228"/>
    <w:rsid w:val="00580B82"/>
    <w:rsid w:val="005906B8"/>
    <w:rsid w:val="005A2610"/>
    <w:rsid w:val="005A298D"/>
    <w:rsid w:val="005B54CD"/>
    <w:rsid w:val="005B6027"/>
    <w:rsid w:val="005C1323"/>
    <w:rsid w:val="005C5EE3"/>
    <w:rsid w:val="005C700A"/>
    <w:rsid w:val="005C7EFF"/>
    <w:rsid w:val="005D601D"/>
    <w:rsid w:val="005D687F"/>
    <w:rsid w:val="005E59D9"/>
    <w:rsid w:val="005F054C"/>
    <w:rsid w:val="005F5950"/>
    <w:rsid w:val="006023C5"/>
    <w:rsid w:val="00602E21"/>
    <w:rsid w:val="00604ECA"/>
    <w:rsid w:val="006075E3"/>
    <w:rsid w:val="006102D8"/>
    <w:rsid w:val="0061459E"/>
    <w:rsid w:val="00614D47"/>
    <w:rsid w:val="00616F04"/>
    <w:rsid w:val="006278D0"/>
    <w:rsid w:val="00631F70"/>
    <w:rsid w:val="006425CC"/>
    <w:rsid w:val="00642C12"/>
    <w:rsid w:val="00657F7D"/>
    <w:rsid w:val="006603B3"/>
    <w:rsid w:val="00660B1A"/>
    <w:rsid w:val="00661DE9"/>
    <w:rsid w:val="006674B1"/>
    <w:rsid w:val="006676B5"/>
    <w:rsid w:val="0067515B"/>
    <w:rsid w:val="0068407D"/>
    <w:rsid w:val="00687191"/>
    <w:rsid w:val="006935E7"/>
    <w:rsid w:val="006A07E3"/>
    <w:rsid w:val="006A279A"/>
    <w:rsid w:val="006B11C4"/>
    <w:rsid w:val="006B3039"/>
    <w:rsid w:val="006B6841"/>
    <w:rsid w:val="006C296E"/>
    <w:rsid w:val="006C685A"/>
    <w:rsid w:val="006D3845"/>
    <w:rsid w:val="006D61EA"/>
    <w:rsid w:val="006D7CF0"/>
    <w:rsid w:val="006E22A8"/>
    <w:rsid w:val="006F4238"/>
    <w:rsid w:val="006F60F6"/>
    <w:rsid w:val="006F6BFC"/>
    <w:rsid w:val="00700505"/>
    <w:rsid w:val="00713787"/>
    <w:rsid w:val="00716BBA"/>
    <w:rsid w:val="007219F4"/>
    <w:rsid w:val="00721CE2"/>
    <w:rsid w:val="007238E0"/>
    <w:rsid w:val="007254A4"/>
    <w:rsid w:val="00747A3E"/>
    <w:rsid w:val="007523FC"/>
    <w:rsid w:val="007742C9"/>
    <w:rsid w:val="0079652E"/>
    <w:rsid w:val="007A076C"/>
    <w:rsid w:val="007A505C"/>
    <w:rsid w:val="007C28C1"/>
    <w:rsid w:val="007C4C20"/>
    <w:rsid w:val="007C6DAF"/>
    <w:rsid w:val="007D642B"/>
    <w:rsid w:val="007E1CE3"/>
    <w:rsid w:val="007E3464"/>
    <w:rsid w:val="007F146F"/>
    <w:rsid w:val="007F36EA"/>
    <w:rsid w:val="008121E5"/>
    <w:rsid w:val="008148F2"/>
    <w:rsid w:val="00821EF0"/>
    <w:rsid w:val="00824175"/>
    <w:rsid w:val="00830EFC"/>
    <w:rsid w:val="00831CE3"/>
    <w:rsid w:val="00832848"/>
    <w:rsid w:val="00840596"/>
    <w:rsid w:val="00840F79"/>
    <w:rsid w:val="00843754"/>
    <w:rsid w:val="00847F22"/>
    <w:rsid w:val="00851DBE"/>
    <w:rsid w:val="0085319B"/>
    <w:rsid w:val="008560C2"/>
    <w:rsid w:val="00857864"/>
    <w:rsid w:val="00861D68"/>
    <w:rsid w:val="00865B29"/>
    <w:rsid w:val="00873A28"/>
    <w:rsid w:val="00874024"/>
    <w:rsid w:val="008746C1"/>
    <w:rsid w:val="00874EE3"/>
    <w:rsid w:val="00875026"/>
    <w:rsid w:val="008770DC"/>
    <w:rsid w:val="008819EC"/>
    <w:rsid w:val="00896FF3"/>
    <w:rsid w:val="008B1578"/>
    <w:rsid w:val="008B3661"/>
    <w:rsid w:val="008B3F94"/>
    <w:rsid w:val="008B415A"/>
    <w:rsid w:val="008B56B5"/>
    <w:rsid w:val="008D2B83"/>
    <w:rsid w:val="008D316E"/>
    <w:rsid w:val="008D6083"/>
    <w:rsid w:val="008E004C"/>
    <w:rsid w:val="008E3DCF"/>
    <w:rsid w:val="008F4AC3"/>
    <w:rsid w:val="009070B1"/>
    <w:rsid w:val="0092061F"/>
    <w:rsid w:val="00920CA8"/>
    <w:rsid w:val="00927A5D"/>
    <w:rsid w:val="00937763"/>
    <w:rsid w:val="009458A9"/>
    <w:rsid w:val="00947309"/>
    <w:rsid w:val="00960CC3"/>
    <w:rsid w:val="00962865"/>
    <w:rsid w:val="00966A4A"/>
    <w:rsid w:val="00967903"/>
    <w:rsid w:val="00970463"/>
    <w:rsid w:val="00971089"/>
    <w:rsid w:val="009731EB"/>
    <w:rsid w:val="00980141"/>
    <w:rsid w:val="00987305"/>
    <w:rsid w:val="00994C9F"/>
    <w:rsid w:val="00995E5C"/>
    <w:rsid w:val="009A326D"/>
    <w:rsid w:val="009B23D7"/>
    <w:rsid w:val="009B536D"/>
    <w:rsid w:val="009B5B51"/>
    <w:rsid w:val="009B7689"/>
    <w:rsid w:val="009B7AD3"/>
    <w:rsid w:val="009C0204"/>
    <w:rsid w:val="009C180F"/>
    <w:rsid w:val="009C18CD"/>
    <w:rsid w:val="009C6AEB"/>
    <w:rsid w:val="009D1397"/>
    <w:rsid w:val="009D18FB"/>
    <w:rsid w:val="009D3A35"/>
    <w:rsid w:val="009D3BD8"/>
    <w:rsid w:val="009D79B4"/>
    <w:rsid w:val="009D7DA3"/>
    <w:rsid w:val="009D7E78"/>
    <w:rsid w:val="009E013F"/>
    <w:rsid w:val="009E095C"/>
    <w:rsid w:val="009E7166"/>
    <w:rsid w:val="00A02A99"/>
    <w:rsid w:val="00A04DEB"/>
    <w:rsid w:val="00A15C45"/>
    <w:rsid w:val="00A20B26"/>
    <w:rsid w:val="00A2168F"/>
    <w:rsid w:val="00A3196E"/>
    <w:rsid w:val="00A32869"/>
    <w:rsid w:val="00A33837"/>
    <w:rsid w:val="00A35F8C"/>
    <w:rsid w:val="00A41CB6"/>
    <w:rsid w:val="00A45987"/>
    <w:rsid w:val="00A47568"/>
    <w:rsid w:val="00A47BFC"/>
    <w:rsid w:val="00A64A4F"/>
    <w:rsid w:val="00A64CF7"/>
    <w:rsid w:val="00A6636D"/>
    <w:rsid w:val="00A72FB2"/>
    <w:rsid w:val="00A76C62"/>
    <w:rsid w:val="00A83DEA"/>
    <w:rsid w:val="00A86395"/>
    <w:rsid w:val="00A9052D"/>
    <w:rsid w:val="00A909C6"/>
    <w:rsid w:val="00A93D64"/>
    <w:rsid w:val="00A96EDA"/>
    <w:rsid w:val="00A97E43"/>
    <w:rsid w:val="00AA7FD9"/>
    <w:rsid w:val="00AB3A88"/>
    <w:rsid w:val="00AB3EDE"/>
    <w:rsid w:val="00AC333E"/>
    <w:rsid w:val="00AD0F4C"/>
    <w:rsid w:val="00AD181E"/>
    <w:rsid w:val="00AD7472"/>
    <w:rsid w:val="00AE401E"/>
    <w:rsid w:val="00AF2378"/>
    <w:rsid w:val="00AF6770"/>
    <w:rsid w:val="00B03B02"/>
    <w:rsid w:val="00B128F1"/>
    <w:rsid w:val="00B20A12"/>
    <w:rsid w:val="00B22574"/>
    <w:rsid w:val="00B23045"/>
    <w:rsid w:val="00B264C0"/>
    <w:rsid w:val="00B30DFC"/>
    <w:rsid w:val="00B35F15"/>
    <w:rsid w:val="00B36A9D"/>
    <w:rsid w:val="00B36D17"/>
    <w:rsid w:val="00B40CA6"/>
    <w:rsid w:val="00B42A8F"/>
    <w:rsid w:val="00B45F31"/>
    <w:rsid w:val="00B52E72"/>
    <w:rsid w:val="00B552B0"/>
    <w:rsid w:val="00B60C50"/>
    <w:rsid w:val="00B72495"/>
    <w:rsid w:val="00B73D64"/>
    <w:rsid w:val="00B7526F"/>
    <w:rsid w:val="00B758E8"/>
    <w:rsid w:val="00B75BB9"/>
    <w:rsid w:val="00B8304A"/>
    <w:rsid w:val="00B9629C"/>
    <w:rsid w:val="00B96B7D"/>
    <w:rsid w:val="00B971BF"/>
    <w:rsid w:val="00BC7D05"/>
    <w:rsid w:val="00BD1D60"/>
    <w:rsid w:val="00BD6413"/>
    <w:rsid w:val="00BD6F68"/>
    <w:rsid w:val="00BD7EBB"/>
    <w:rsid w:val="00BE5E31"/>
    <w:rsid w:val="00BE6513"/>
    <w:rsid w:val="00BF529A"/>
    <w:rsid w:val="00BF7F3E"/>
    <w:rsid w:val="00C07BFA"/>
    <w:rsid w:val="00C12F2B"/>
    <w:rsid w:val="00C14C69"/>
    <w:rsid w:val="00C25C76"/>
    <w:rsid w:val="00C318B7"/>
    <w:rsid w:val="00C61B4D"/>
    <w:rsid w:val="00C63CD3"/>
    <w:rsid w:val="00C66859"/>
    <w:rsid w:val="00C734FC"/>
    <w:rsid w:val="00C73DDF"/>
    <w:rsid w:val="00C76930"/>
    <w:rsid w:val="00C8108C"/>
    <w:rsid w:val="00C862ED"/>
    <w:rsid w:val="00CA41E8"/>
    <w:rsid w:val="00CA5784"/>
    <w:rsid w:val="00CB6117"/>
    <w:rsid w:val="00CB6376"/>
    <w:rsid w:val="00CC2748"/>
    <w:rsid w:val="00CC46C2"/>
    <w:rsid w:val="00CE7A2E"/>
    <w:rsid w:val="00CF126A"/>
    <w:rsid w:val="00D073C0"/>
    <w:rsid w:val="00D07B29"/>
    <w:rsid w:val="00D13E30"/>
    <w:rsid w:val="00D14EA4"/>
    <w:rsid w:val="00D31099"/>
    <w:rsid w:val="00D33F0A"/>
    <w:rsid w:val="00D510E4"/>
    <w:rsid w:val="00D527E1"/>
    <w:rsid w:val="00D52AA6"/>
    <w:rsid w:val="00D6276D"/>
    <w:rsid w:val="00D6292E"/>
    <w:rsid w:val="00D6778B"/>
    <w:rsid w:val="00D77E34"/>
    <w:rsid w:val="00D86E25"/>
    <w:rsid w:val="00D90D3F"/>
    <w:rsid w:val="00D91645"/>
    <w:rsid w:val="00D94AE7"/>
    <w:rsid w:val="00D952A1"/>
    <w:rsid w:val="00DA2264"/>
    <w:rsid w:val="00DA76C3"/>
    <w:rsid w:val="00DB152E"/>
    <w:rsid w:val="00DB1B04"/>
    <w:rsid w:val="00DB36AE"/>
    <w:rsid w:val="00DB389A"/>
    <w:rsid w:val="00DB4111"/>
    <w:rsid w:val="00DC67B5"/>
    <w:rsid w:val="00DD1491"/>
    <w:rsid w:val="00DD2AE8"/>
    <w:rsid w:val="00DE1586"/>
    <w:rsid w:val="00DE2819"/>
    <w:rsid w:val="00DE2FD6"/>
    <w:rsid w:val="00DE4DAC"/>
    <w:rsid w:val="00DE72B6"/>
    <w:rsid w:val="00DE796B"/>
    <w:rsid w:val="00DF3554"/>
    <w:rsid w:val="00E003AE"/>
    <w:rsid w:val="00E03B13"/>
    <w:rsid w:val="00E03CE3"/>
    <w:rsid w:val="00E06A56"/>
    <w:rsid w:val="00E15F2A"/>
    <w:rsid w:val="00E27A73"/>
    <w:rsid w:val="00E31716"/>
    <w:rsid w:val="00E32375"/>
    <w:rsid w:val="00E354E2"/>
    <w:rsid w:val="00E37FEA"/>
    <w:rsid w:val="00E618FF"/>
    <w:rsid w:val="00E658AA"/>
    <w:rsid w:val="00E658D7"/>
    <w:rsid w:val="00E70543"/>
    <w:rsid w:val="00E713AF"/>
    <w:rsid w:val="00E715A4"/>
    <w:rsid w:val="00E72D10"/>
    <w:rsid w:val="00E766AE"/>
    <w:rsid w:val="00E85F62"/>
    <w:rsid w:val="00E8755C"/>
    <w:rsid w:val="00E87640"/>
    <w:rsid w:val="00E9596C"/>
    <w:rsid w:val="00EA0001"/>
    <w:rsid w:val="00EB21B3"/>
    <w:rsid w:val="00EC09A5"/>
    <w:rsid w:val="00EC1049"/>
    <w:rsid w:val="00EC6B5B"/>
    <w:rsid w:val="00EC79F2"/>
    <w:rsid w:val="00EF4D05"/>
    <w:rsid w:val="00EF5E10"/>
    <w:rsid w:val="00F062E4"/>
    <w:rsid w:val="00F07AB8"/>
    <w:rsid w:val="00F11178"/>
    <w:rsid w:val="00F168BC"/>
    <w:rsid w:val="00F16AE9"/>
    <w:rsid w:val="00F17D93"/>
    <w:rsid w:val="00F20C2F"/>
    <w:rsid w:val="00F26738"/>
    <w:rsid w:val="00F30667"/>
    <w:rsid w:val="00F30CC6"/>
    <w:rsid w:val="00F31177"/>
    <w:rsid w:val="00F35634"/>
    <w:rsid w:val="00F453FF"/>
    <w:rsid w:val="00F5108B"/>
    <w:rsid w:val="00F53888"/>
    <w:rsid w:val="00F606F4"/>
    <w:rsid w:val="00F642A5"/>
    <w:rsid w:val="00F67667"/>
    <w:rsid w:val="00F83F60"/>
    <w:rsid w:val="00F926DF"/>
    <w:rsid w:val="00FA0265"/>
    <w:rsid w:val="00FA2376"/>
    <w:rsid w:val="00FA6977"/>
    <w:rsid w:val="00FB0293"/>
    <w:rsid w:val="00FB1469"/>
    <w:rsid w:val="00FB2CA9"/>
    <w:rsid w:val="00FB2FD8"/>
    <w:rsid w:val="00FB37EF"/>
    <w:rsid w:val="00FC0017"/>
    <w:rsid w:val="00FC3A3F"/>
    <w:rsid w:val="00FD3677"/>
    <w:rsid w:val="00FE1EF5"/>
    <w:rsid w:val="00FE3BB2"/>
    <w:rsid w:val="00FE4163"/>
    <w:rsid w:val="00FE6782"/>
    <w:rsid w:val="00FE7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BC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3B"/>
    <w:pPr>
      <w:spacing w:line="480" w:lineRule="auto"/>
    </w:pPr>
    <w:rPr>
      <w:rFonts w:ascii="Times New Roman" w:hAnsi="Times New Roman"/>
      <w:sz w:val="24"/>
      <w:szCs w:val="24"/>
      <w:lang w:val="en-US" w:eastAsia="en-US"/>
    </w:rPr>
  </w:style>
  <w:style w:type="paragraph" w:styleId="Ttulo1">
    <w:name w:val="heading 1"/>
    <w:basedOn w:val="Normal"/>
    <w:next w:val="Normal"/>
    <w:link w:val="Ttulo1Car"/>
    <w:uiPriority w:val="99"/>
    <w:qFormat/>
    <w:rsid w:val="003F79B0"/>
    <w:pPr>
      <w:keepNext/>
      <w:keepLines/>
      <w:spacing w:before="240"/>
      <w:outlineLvl w:val="0"/>
    </w:pPr>
    <w:rPr>
      <w:rFonts w:ascii="Calibri Light" w:eastAsia="Times New Roman" w:hAnsi="Calibri Light"/>
      <w:color w:val="2E74B5"/>
      <w:sz w:val="32"/>
      <w:szCs w:val="32"/>
    </w:rPr>
  </w:style>
  <w:style w:type="paragraph" w:styleId="Ttulo6">
    <w:name w:val="heading 6"/>
    <w:basedOn w:val="Normal"/>
    <w:next w:val="Normal"/>
    <w:link w:val="Ttulo6Car"/>
    <w:semiHidden/>
    <w:unhideWhenUsed/>
    <w:qFormat/>
    <w:locked/>
    <w:rsid w:val="00480F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F79B0"/>
    <w:rPr>
      <w:rFonts w:ascii="Calibri Light" w:hAnsi="Calibri Light" w:cs="Times New Roman"/>
      <w:color w:val="2E74B5"/>
      <w:sz w:val="32"/>
      <w:szCs w:val="32"/>
      <w:lang w:val="en-GB"/>
    </w:rPr>
  </w:style>
  <w:style w:type="character" w:styleId="Hipervnculo">
    <w:name w:val="Hyperlink"/>
    <w:basedOn w:val="Fuentedeprrafopredeter"/>
    <w:uiPriority w:val="99"/>
    <w:rsid w:val="0001413B"/>
    <w:rPr>
      <w:rFonts w:cs="Times New Roman"/>
      <w:color w:val="0000FF"/>
      <w:u w:val="single"/>
    </w:rPr>
  </w:style>
  <w:style w:type="character" w:styleId="Refdecomentario">
    <w:name w:val="annotation reference"/>
    <w:basedOn w:val="Fuentedeprrafopredeter"/>
    <w:uiPriority w:val="99"/>
    <w:semiHidden/>
    <w:rsid w:val="009C0204"/>
    <w:rPr>
      <w:rFonts w:cs="Times New Roman"/>
      <w:sz w:val="16"/>
      <w:szCs w:val="16"/>
    </w:rPr>
  </w:style>
  <w:style w:type="paragraph" w:styleId="Textocomentario">
    <w:name w:val="annotation text"/>
    <w:basedOn w:val="Normal"/>
    <w:link w:val="TextocomentarioCar"/>
    <w:uiPriority w:val="99"/>
    <w:rsid w:val="009C0204"/>
    <w:pPr>
      <w:spacing w:after="160" w:line="240" w:lineRule="auto"/>
    </w:pPr>
    <w:rPr>
      <w:rFonts w:ascii="Calibri" w:hAnsi="Calibri"/>
      <w:sz w:val="20"/>
      <w:szCs w:val="20"/>
      <w:lang w:val="es-ES"/>
    </w:rPr>
  </w:style>
  <w:style w:type="character" w:customStyle="1" w:styleId="TextocomentarioCar">
    <w:name w:val="Texto comentario Car"/>
    <w:basedOn w:val="Fuentedeprrafopredeter"/>
    <w:link w:val="Textocomentario"/>
    <w:uiPriority w:val="99"/>
    <w:locked/>
    <w:rsid w:val="009C0204"/>
    <w:rPr>
      <w:rFonts w:cs="Times New Roman"/>
      <w:sz w:val="20"/>
      <w:szCs w:val="20"/>
    </w:rPr>
  </w:style>
  <w:style w:type="paragraph" w:styleId="Textodeglobo">
    <w:name w:val="Balloon Text"/>
    <w:basedOn w:val="Normal"/>
    <w:link w:val="TextodegloboCar"/>
    <w:uiPriority w:val="99"/>
    <w:semiHidden/>
    <w:rsid w:val="009C020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9C0204"/>
    <w:rPr>
      <w:rFonts w:ascii="Segoe UI" w:eastAsia="Times New Roman" w:hAnsi="Segoe UI" w:cs="Segoe UI"/>
      <w:sz w:val="18"/>
      <w:szCs w:val="18"/>
      <w:lang w:val="en-GB"/>
    </w:rPr>
  </w:style>
  <w:style w:type="paragraph" w:styleId="Sinespaciado">
    <w:name w:val="No Spacing"/>
    <w:uiPriority w:val="99"/>
    <w:qFormat/>
    <w:rsid w:val="009C0204"/>
    <w:rPr>
      <w:rFonts w:ascii="Times New Roman" w:hAnsi="Times New Roman"/>
      <w:sz w:val="24"/>
      <w:szCs w:val="24"/>
      <w:lang w:val="en-GB" w:eastAsia="en-US"/>
    </w:rPr>
  </w:style>
  <w:style w:type="character" w:styleId="Textoennegrita">
    <w:name w:val="Strong"/>
    <w:basedOn w:val="Fuentedeprrafopredeter"/>
    <w:uiPriority w:val="99"/>
    <w:qFormat/>
    <w:rsid w:val="009C0204"/>
    <w:rPr>
      <w:rFonts w:cs="Times New Roman"/>
      <w:b/>
      <w:bCs/>
    </w:rPr>
  </w:style>
  <w:style w:type="character" w:styleId="nfasis">
    <w:name w:val="Emphasis"/>
    <w:basedOn w:val="Fuentedeprrafopredeter"/>
    <w:uiPriority w:val="99"/>
    <w:qFormat/>
    <w:rsid w:val="002E5F04"/>
    <w:rPr>
      <w:rFonts w:cs="Times New Roman"/>
      <w:i/>
      <w:iCs/>
    </w:rPr>
  </w:style>
  <w:style w:type="paragraph" w:styleId="Asuntodelcomentario">
    <w:name w:val="annotation subject"/>
    <w:basedOn w:val="Textocomentario"/>
    <w:next w:val="Textocomentario"/>
    <w:link w:val="AsuntodelcomentarioCar"/>
    <w:uiPriority w:val="99"/>
    <w:semiHidden/>
    <w:rsid w:val="00580B82"/>
    <w:pPr>
      <w:spacing w:after="0"/>
    </w:pPr>
    <w:rPr>
      <w:rFonts w:ascii="Times New Roman" w:hAnsi="Times New Roman"/>
      <w:b/>
      <w:bCs/>
      <w:lang w:val="en-GB"/>
    </w:rPr>
  </w:style>
  <w:style w:type="character" w:customStyle="1" w:styleId="AsuntodelcomentarioCar">
    <w:name w:val="Asunto del comentario Car"/>
    <w:basedOn w:val="TextocomentarioCar"/>
    <w:link w:val="Asuntodelcomentario"/>
    <w:uiPriority w:val="99"/>
    <w:semiHidden/>
    <w:locked/>
    <w:rsid w:val="00580B82"/>
    <w:rPr>
      <w:rFonts w:ascii="Times New Roman" w:eastAsia="Times New Roman" w:hAnsi="Times New Roman" w:cs="Times New Roman"/>
      <w:b/>
      <w:bCs/>
      <w:sz w:val="20"/>
      <w:szCs w:val="20"/>
      <w:lang w:val="en-GB"/>
    </w:rPr>
  </w:style>
  <w:style w:type="character" w:customStyle="1" w:styleId="highlight">
    <w:name w:val="highlight"/>
    <w:basedOn w:val="Fuentedeprrafopredeter"/>
    <w:uiPriority w:val="99"/>
    <w:rsid w:val="004B1CEF"/>
    <w:rPr>
      <w:rFonts w:cs="Times New Roman"/>
    </w:rPr>
  </w:style>
  <w:style w:type="table" w:styleId="Tablaconcuadrcula">
    <w:name w:val="Table Grid"/>
    <w:basedOn w:val="Tablanormal"/>
    <w:uiPriority w:val="99"/>
    <w:rsid w:val="00847F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E32375"/>
    <w:pPr>
      <w:spacing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E32375"/>
    <w:rPr>
      <w:rFonts w:ascii="Times New Roman" w:eastAsia="Times New Roman" w:hAnsi="Times New Roman" w:cs="Times New Roman"/>
      <w:sz w:val="20"/>
      <w:szCs w:val="20"/>
      <w:lang w:val="en-GB"/>
    </w:rPr>
  </w:style>
  <w:style w:type="character" w:styleId="Refdenotaalfinal">
    <w:name w:val="endnote reference"/>
    <w:basedOn w:val="Fuentedeprrafopredeter"/>
    <w:uiPriority w:val="99"/>
    <w:semiHidden/>
    <w:rsid w:val="00E32375"/>
    <w:rPr>
      <w:rFonts w:cs="Times New Roman"/>
      <w:vertAlign w:val="superscript"/>
    </w:rPr>
  </w:style>
  <w:style w:type="paragraph" w:styleId="Revisin">
    <w:name w:val="Revision"/>
    <w:hidden/>
    <w:uiPriority w:val="99"/>
    <w:semiHidden/>
    <w:rsid w:val="007C4C20"/>
    <w:rPr>
      <w:rFonts w:ascii="Times New Roman" w:hAnsi="Times New Roman"/>
      <w:sz w:val="24"/>
      <w:szCs w:val="24"/>
      <w:lang w:val="en-GB" w:eastAsia="en-US"/>
    </w:rPr>
  </w:style>
  <w:style w:type="character" w:customStyle="1" w:styleId="st">
    <w:name w:val="st"/>
    <w:basedOn w:val="Fuentedeprrafopredeter"/>
    <w:rsid w:val="00873A28"/>
  </w:style>
  <w:style w:type="character" w:customStyle="1" w:styleId="Ttulo6Car">
    <w:name w:val="Título 6 Car"/>
    <w:basedOn w:val="Fuentedeprrafopredeter"/>
    <w:link w:val="Ttulo6"/>
    <w:semiHidden/>
    <w:rsid w:val="00480F79"/>
    <w:rPr>
      <w:rFonts w:asciiTheme="majorHAnsi" w:eastAsiaTheme="majorEastAsia" w:hAnsiTheme="majorHAnsi" w:cstheme="majorBidi"/>
      <w:i/>
      <w:iCs/>
      <w:color w:val="243F60" w:themeColor="accent1" w:themeShade="7F"/>
      <w:sz w:val="24"/>
      <w:szCs w:val="24"/>
      <w:lang w:val="en-GB" w:eastAsia="en-US"/>
    </w:rPr>
  </w:style>
  <w:style w:type="paragraph" w:styleId="Prrafodelista">
    <w:name w:val="List Paragraph"/>
    <w:basedOn w:val="Normal"/>
    <w:uiPriority w:val="34"/>
    <w:qFormat/>
    <w:rsid w:val="005B5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3B"/>
    <w:pPr>
      <w:spacing w:line="480" w:lineRule="auto"/>
    </w:pPr>
    <w:rPr>
      <w:rFonts w:ascii="Times New Roman" w:hAnsi="Times New Roman"/>
      <w:sz w:val="24"/>
      <w:szCs w:val="24"/>
      <w:lang w:val="en-US" w:eastAsia="en-US"/>
    </w:rPr>
  </w:style>
  <w:style w:type="paragraph" w:styleId="Ttulo1">
    <w:name w:val="heading 1"/>
    <w:basedOn w:val="Normal"/>
    <w:next w:val="Normal"/>
    <w:link w:val="Ttulo1Car"/>
    <w:uiPriority w:val="99"/>
    <w:qFormat/>
    <w:rsid w:val="003F79B0"/>
    <w:pPr>
      <w:keepNext/>
      <w:keepLines/>
      <w:spacing w:before="240"/>
      <w:outlineLvl w:val="0"/>
    </w:pPr>
    <w:rPr>
      <w:rFonts w:ascii="Calibri Light" w:eastAsia="Times New Roman" w:hAnsi="Calibri Light"/>
      <w:color w:val="2E74B5"/>
      <w:sz w:val="32"/>
      <w:szCs w:val="32"/>
    </w:rPr>
  </w:style>
  <w:style w:type="paragraph" w:styleId="Ttulo6">
    <w:name w:val="heading 6"/>
    <w:basedOn w:val="Normal"/>
    <w:next w:val="Normal"/>
    <w:link w:val="Ttulo6Car"/>
    <w:semiHidden/>
    <w:unhideWhenUsed/>
    <w:qFormat/>
    <w:locked/>
    <w:rsid w:val="00480F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F79B0"/>
    <w:rPr>
      <w:rFonts w:ascii="Calibri Light" w:hAnsi="Calibri Light" w:cs="Times New Roman"/>
      <w:color w:val="2E74B5"/>
      <w:sz w:val="32"/>
      <w:szCs w:val="32"/>
      <w:lang w:val="en-GB"/>
    </w:rPr>
  </w:style>
  <w:style w:type="character" w:styleId="Hipervnculo">
    <w:name w:val="Hyperlink"/>
    <w:basedOn w:val="Fuentedeprrafopredeter"/>
    <w:uiPriority w:val="99"/>
    <w:rsid w:val="0001413B"/>
    <w:rPr>
      <w:rFonts w:cs="Times New Roman"/>
      <w:color w:val="0000FF"/>
      <w:u w:val="single"/>
    </w:rPr>
  </w:style>
  <w:style w:type="character" w:styleId="Refdecomentario">
    <w:name w:val="annotation reference"/>
    <w:basedOn w:val="Fuentedeprrafopredeter"/>
    <w:uiPriority w:val="99"/>
    <w:semiHidden/>
    <w:rsid w:val="009C0204"/>
    <w:rPr>
      <w:rFonts w:cs="Times New Roman"/>
      <w:sz w:val="16"/>
      <w:szCs w:val="16"/>
    </w:rPr>
  </w:style>
  <w:style w:type="paragraph" w:styleId="Textocomentario">
    <w:name w:val="annotation text"/>
    <w:basedOn w:val="Normal"/>
    <w:link w:val="TextocomentarioCar"/>
    <w:uiPriority w:val="99"/>
    <w:rsid w:val="009C0204"/>
    <w:pPr>
      <w:spacing w:after="160" w:line="240" w:lineRule="auto"/>
    </w:pPr>
    <w:rPr>
      <w:rFonts w:ascii="Calibri" w:hAnsi="Calibri"/>
      <w:sz w:val="20"/>
      <w:szCs w:val="20"/>
      <w:lang w:val="es-ES"/>
    </w:rPr>
  </w:style>
  <w:style w:type="character" w:customStyle="1" w:styleId="TextocomentarioCar">
    <w:name w:val="Texto comentario Car"/>
    <w:basedOn w:val="Fuentedeprrafopredeter"/>
    <w:link w:val="Textocomentario"/>
    <w:uiPriority w:val="99"/>
    <w:locked/>
    <w:rsid w:val="009C0204"/>
    <w:rPr>
      <w:rFonts w:cs="Times New Roman"/>
      <w:sz w:val="20"/>
      <w:szCs w:val="20"/>
    </w:rPr>
  </w:style>
  <w:style w:type="paragraph" w:styleId="Textodeglobo">
    <w:name w:val="Balloon Text"/>
    <w:basedOn w:val="Normal"/>
    <w:link w:val="TextodegloboCar"/>
    <w:uiPriority w:val="99"/>
    <w:semiHidden/>
    <w:rsid w:val="009C020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9C0204"/>
    <w:rPr>
      <w:rFonts w:ascii="Segoe UI" w:eastAsia="Times New Roman" w:hAnsi="Segoe UI" w:cs="Segoe UI"/>
      <w:sz w:val="18"/>
      <w:szCs w:val="18"/>
      <w:lang w:val="en-GB"/>
    </w:rPr>
  </w:style>
  <w:style w:type="paragraph" w:styleId="Sinespaciado">
    <w:name w:val="No Spacing"/>
    <w:uiPriority w:val="99"/>
    <w:qFormat/>
    <w:rsid w:val="009C0204"/>
    <w:rPr>
      <w:rFonts w:ascii="Times New Roman" w:hAnsi="Times New Roman"/>
      <w:sz w:val="24"/>
      <w:szCs w:val="24"/>
      <w:lang w:val="en-GB" w:eastAsia="en-US"/>
    </w:rPr>
  </w:style>
  <w:style w:type="character" w:styleId="Textoennegrita">
    <w:name w:val="Strong"/>
    <w:basedOn w:val="Fuentedeprrafopredeter"/>
    <w:uiPriority w:val="99"/>
    <w:qFormat/>
    <w:rsid w:val="009C0204"/>
    <w:rPr>
      <w:rFonts w:cs="Times New Roman"/>
      <w:b/>
      <w:bCs/>
    </w:rPr>
  </w:style>
  <w:style w:type="character" w:styleId="nfasis">
    <w:name w:val="Emphasis"/>
    <w:basedOn w:val="Fuentedeprrafopredeter"/>
    <w:uiPriority w:val="99"/>
    <w:qFormat/>
    <w:rsid w:val="002E5F04"/>
    <w:rPr>
      <w:rFonts w:cs="Times New Roman"/>
      <w:i/>
      <w:iCs/>
    </w:rPr>
  </w:style>
  <w:style w:type="paragraph" w:styleId="Asuntodelcomentario">
    <w:name w:val="annotation subject"/>
    <w:basedOn w:val="Textocomentario"/>
    <w:next w:val="Textocomentario"/>
    <w:link w:val="AsuntodelcomentarioCar"/>
    <w:uiPriority w:val="99"/>
    <w:semiHidden/>
    <w:rsid w:val="00580B82"/>
    <w:pPr>
      <w:spacing w:after="0"/>
    </w:pPr>
    <w:rPr>
      <w:rFonts w:ascii="Times New Roman" w:hAnsi="Times New Roman"/>
      <w:b/>
      <w:bCs/>
      <w:lang w:val="en-GB"/>
    </w:rPr>
  </w:style>
  <w:style w:type="character" w:customStyle="1" w:styleId="AsuntodelcomentarioCar">
    <w:name w:val="Asunto del comentario Car"/>
    <w:basedOn w:val="TextocomentarioCar"/>
    <w:link w:val="Asuntodelcomentario"/>
    <w:uiPriority w:val="99"/>
    <w:semiHidden/>
    <w:locked/>
    <w:rsid w:val="00580B82"/>
    <w:rPr>
      <w:rFonts w:ascii="Times New Roman" w:eastAsia="Times New Roman" w:hAnsi="Times New Roman" w:cs="Times New Roman"/>
      <w:b/>
      <w:bCs/>
      <w:sz w:val="20"/>
      <w:szCs w:val="20"/>
      <w:lang w:val="en-GB"/>
    </w:rPr>
  </w:style>
  <w:style w:type="character" w:customStyle="1" w:styleId="highlight">
    <w:name w:val="highlight"/>
    <w:basedOn w:val="Fuentedeprrafopredeter"/>
    <w:uiPriority w:val="99"/>
    <w:rsid w:val="004B1CEF"/>
    <w:rPr>
      <w:rFonts w:cs="Times New Roman"/>
    </w:rPr>
  </w:style>
  <w:style w:type="table" w:styleId="Tablaconcuadrcula">
    <w:name w:val="Table Grid"/>
    <w:basedOn w:val="Tablanormal"/>
    <w:uiPriority w:val="99"/>
    <w:rsid w:val="00847F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E32375"/>
    <w:pPr>
      <w:spacing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E32375"/>
    <w:rPr>
      <w:rFonts w:ascii="Times New Roman" w:eastAsia="Times New Roman" w:hAnsi="Times New Roman" w:cs="Times New Roman"/>
      <w:sz w:val="20"/>
      <w:szCs w:val="20"/>
      <w:lang w:val="en-GB"/>
    </w:rPr>
  </w:style>
  <w:style w:type="character" w:styleId="Refdenotaalfinal">
    <w:name w:val="endnote reference"/>
    <w:basedOn w:val="Fuentedeprrafopredeter"/>
    <w:uiPriority w:val="99"/>
    <w:semiHidden/>
    <w:rsid w:val="00E32375"/>
    <w:rPr>
      <w:rFonts w:cs="Times New Roman"/>
      <w:vertAlign w:val="superscript"/>
    </w:rPr>
  </w:style>
  <w:style w:type="paragraph" w:styleId="Revisin">
    <w:name w:val="Revision"/>
    <w:hidden/>
    <w:uiPriority w:val="99"/>
    <w:semiHidden/>
    <w:rsid w:val="007C4C20"/>
    <w:rPr>
      <w:rFonts w:ascii="Times New Roman" w:hAnsi="Times New Roman"/>
      <w:sz w:val="24"/>
      <w:szCs w:val="24"/>
      <w:lang w:val="en-GB" w:eastAsia="en-US"/>
    </w:rPr>
  </w:style>
  <w:style w:type="character" w:customStyle="1" w:styleId="st">
    <w:name w:val="st"/>
    <w:basedOn w:val="Fuentedeprrafopredeter"/>
    <w:rsid w:val="00873A28"/>
  </w:style>
  <w:style w:type="character" w:customStyle="1" w:styleId="Ttulo6Car">
    <w:name w:val="Título 6 Car"/>
    <w:basedOn w:val="Fuentedeprrafopredeter"/>
    <w:link w:val="Ttulo6"/>
    <w:semiHidden/>
    <w:rsid w:val="00480F79"/>
    <w:rPr>
      <w:rFonts w:asciiTheme="majorHAnsi" w:eastAsiaTheme="majorEastAsia" w:hAnsiTheme="majorHAnsi" w:cstheme="majorBidi"/>
      <w:i/>
      <w:iCs/>
      <w:color w:val="243F60" w:themeColor="accent1" w:themeShade="7F"/>
      <w:sz w:val="24"/>
      <w:szCs w:val="24"/>
      <w:lang w:val="en-GB" w:eastAsia="en-US"/>
    </w:rPr>
  </w:style>
  <w:style w:type="paragraph" w:styleId="Prrafodelista">
    <w:name w:val="List Paragraph"/>
    <w:basedOn w:val="Normal"/>
    <w:uiPriority w:val="34"/>
    <w:qFormat/>
    <w:rsid w:val="005B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94521">
      <w:marLeft w:val="0"/>
      <w:marRight w:val="0"/>
      <w:marTop w:val="0"/>
      <w:marBottom w:val="0"/>
      <w:divBdr>
        <w:top w:val="none" w:sz="0" w:space="0" w:color="auto"/>
        <w:left w:val="none" w:sz="0" w:space="0" w:color="auto"/>
        <w:bottom w:val="none" w:sz="0" w:space="0" w:color="auto"/>
        <w:right w:val="none" w:sz="0" w:space="0" w:color="auto"/>
      </w:divBdr>
    </w:div>
    <w:div w:id="738794525">
      <w:marLeft w:val="0"/>
      <w:marRight w:val="0"/>
      <w:marTop w:val="0"/>
      <w:marBottom w:val="0"/>
      <w:divBdr>
        <w:top w:val="none" w:sz="0" w:space="0" w:color="auto"/>
        <w:left w:val="none" w:sz="0" w:space="0" w:color="auto"/>
        <w:bottom w:val="none" w:sz="0" w:space="0" w:color="auto"/>
        <w:right w:val="none" w:sz="0" w:space="0" w:color="auto"/>
      </w:divBdr>
    </w:div>
    <w:div w:id="738794527">
      <w:marLeft w:val="0"/>
      <w:marRight w:val="0"/>
      <w:marTop w:val="0"/>
      <w:marBottom w:val="0"/>
      <w:divBdr>
        <w:top w:val="none" w:sz="0" w:space="0" w:color="auto"/>
        <w:left w:val="none" w:sz="0" w:space="0" w:color="auto"/>
        <w:bottom w:val="none" w:sz="0" w:space="0" w:color="auto"/>
        <w:right w:val="none" w:sz="0" w:space="0" w:color="auto"/>
      </w:divBdr>
    </w:div>
    <w:div w:id="738794531">
      <w:marLeft w:val="0"/>
      <w:marRight w:val="0"/>
      <w:marTop w:val="0"/>
      <w:marBottom w:val="0"/>
      <w:divBdr>
        <w:top w:val="none" w:sz="0" w:space="0" w:color="auto"/>
        <w:left w:val="none" w:sz="0" w:space="0" w:color="auto"/>
        <w:bottom w:val="none" w:sz="0" w:space="0" w:color="auto"/>
        <w:right w:val="none" w:sz="0" w:space="0" w:color="auto"/>
      </w:divBdr>
      <w:divsChild>
        <w:div w:id="738794522">
          <w:marLeft w:val="0"/>
          <w:marRight w:val="0"/>
          <w:marTop w:val="0"/>
          <w:marBottom w:val="0"/>
          <w:divBdr>
            <w:top w:val="none" w:sz="0" w:space="0" w:color="auto"/>
            <w:left w:val="none" w:sz="0" w:space="0" w:color="auto"/>
            <w:bottom w:val="none" w:sz="0" w:space="0" w:color="auto"/>
            <w:right w:val="none" w:sz="0" w:space="0" w:color="auto"/>
          </w:divBdr>
        </w:div>
        <w:div w:id="738794523">
          <w:marLeft w:val="0"/>
          <w:marRight w:val="0"/>
          <w:marTop w:val="0"/>
          <w:marBottom w:val="0"/>
          <w:divBdr>
            <w:top w:val="none" w:sz="0" w:space="0" w:color="auto"/>
            <w:left w:val="none" w:sz="0" w:space="0" w:color="auto"/>
            <w:bottom w:val="none" w:sz="0" w:space="0" w:color="auto"/>
            <w:right w:val="none" w:sz="0" w:space="0" w:color="auto"/>
          </w:divBdr>
        </w:div>
        <w:div w:id="738794524">
          <w:marLeft w:val="0"/>
          <w:marRight w:val="0"/>
          <w:marTop w:val="0"/>
          <w:marBottom w:val="0"/>
          <w:divBdr>
            <w:top w:val="none" w:sz="0" w:space="0" w:color="auto"/>
            <w:left w:val="none" w:sz="0" w:space="0" w:color="auto"/>
            <w:bottom w:val="none" w:sz="0" w:space="0" w:color="auto"/>
            <w:right w:val="none" w:sz="0" w:space="0" w:color="auto"/>
          </w:divBdr>
        </w:div>
        <w:div w:id="738794526">
          <w:marLeft w:val="0"/>
          <w:marRight w:val="0"/>
          <w:marTop w:val="0"/>
          <w:marBottom w:val="0"/>
          <w:divBdr>
            <w:top w:val="none" w:sz="0" w:space="0" w:color="auto"/>
            <w:left w:val="none" w:sz="0" w:space="0" w:color="auto"/>
            <w:bottom w:val="none" w:sz="0" w:space="0" w:color="auto"/>
            <w:right w:val="none" w:sz="0" w:space="0" w:color="auto"/>
          </w:divBdr>
        </w:div>
        <w:div w:id="738794528">
          <w:marLeft w:val="0"/>
          <w:marRight w:val="0"/>
          <w:marTop w:val="0"/>
          <w:marBottom w:val="0"/>
          <w:divBdr>
            <w:top w:val="none" w:sz="0" w:space="0" w:color="auto"/>
            <w:left w:val="none" w:sz="0" w:space="0" w:color="auto"/>
            <w:bottom w:val="none" w:sz="0" w:space="0" w:color="auto"/>
            <w:right w:val="none" w:sz="0" w:space="0" w:color="auto"/>
          </w:divBdr>
        </w:div>
        <w:div w:id="738794529">
          <w:marLeft w:val="0"/>
          <w:marRight w:val="0"/>
          <w:marTop w:val="0"/>
          <w:marBottom w:val="0"/>
          <w:divBdr>
            <w:top w:val="none" w:sz="0" w:space="0" w:color="auto"/>
            <w:left w:val="none" w:sz="0" w:space="0" w:color="auto"/>
            <w:bottom w:val="none" w:sz="0" w:space="0" w:color="auto"/>
            <w:right w:val="none" w:sz="0" w:space="0" w:color="auto"/>
          </w:divBdr>
        </w:div>
        <w:div w:id="738794530">
          <w:marLeft w:val="0"/>
          <w:marRight w:val="0"/>
          <w:marTop w:val="0"/>
          <w:marBottom w:val="0"/>
          <w:divBdr>
            <w:top w:val="none" w:sz="0" w:space="0" w:color="auto"/>
            <w:left w:val="none" w:sz="0" w:space="0" w:color="auto"/>
            <w:bottom w:val="none" w:sz="0" w:space="0" w:color="auto"/>
            <w:right w:val="none" w:sz="0" w:space="0" w:color="auto"/>
          </w:divBdr>
        </w:div>
        <w:div w:id="738794533">
          <w:marLeft w:val="0"/>
          <w:marRight w:val="0"/>
          <w:marTop w:val="0"/>
          <w:marBottom w:val="0"/>
          <w:divBdr>
            <w:top w:val="none" w:sz="0" w:space="0" w:color="auto"/>
            <w:left w:val="none" w:sz="0" w:space="0" w:color="auto"/>
            <w:bottom w:val="none" w:sz="0" w:space="0" w:color="auto"/>
            <w:right w:val="none" w:sz="0" w:space="0" w:color="auto"/>
          </w:divBdr>
        </w:div>
        <w:div w:id="738794534">
          <w:marLeft w:val="0"/>
          <w:marRight w:val="0"/>
          <w:marTop w:val="0"/>
          <w:marBottom w:val="0"/>
          <w:divBdr>
            <w:top w:val="none" w:sz="0" w:space="0" w:color="auto"/>
            <w:left w:val="none" w:sz="0" w:space="0" w:color="auto"/>
            <w:bottom w:val="none" w:sz="0" w:space="0" w:color="auto"/>
            <w:right w:val="none" w:sz="0" w:space="0" w:color="auto"/>
          </w:divBdr>
        </w:div>
        <w:div w:id="738794535">
          <w:marLeft w:val="0"/>
          <w:marRight w:val="0"/>
          <w:marTop w:val="0"/>
          <w:marBottom w:val="0"/>
          <w:divBdr>
            <w:top w:val="none" w:sz="0" w:space="0" w:color="auto"/>
            <w:left w:val="none" w:sz="0" w:space="0" w:color="auto"/>
            <w:bottom w:val="none" w:sz="0" w:space="0" w:color="auto"/>
            <w:right w:val="none" w:sz="0" w:space="0" w:color="auto"/>
          </w:divBdr>
        </w:div>
      </w:divsChild>
    </w:div>
    <w:div w:id="738794532">
      <w:marLeft w:val="0"/>
      <w:marRight w:val="0"/>
      <w:marTop w:val="0"/>
      <w:marBottom w:val="0"/>
      <w:divBdr>
        <w:top w:val="none" w:sz="0" w:space="0" w:color="auto"/>
        <w:left w:val="none" w:sz="0" w:space="0" w:color="auto"/>
        <w:bottom w:val="none" w:sz="0" w:space="0" w:color="auto"/>
        <w:right w:val="none" w:sz="0" w:space="0" w:color="auto"/>
      </w:divBdr>
    </w:div>
    <w:div w:id="738794536">
      <w:marLeft w:val="0"/>
      <w:marRight w:val="0"/>
      <w:marTop w:val="0"/>
      <w:marBottom w:val="0"/>
      <w:divBdr>
        <w:top w:val="none" w:sz="0" w:space="0" w:color="auto"/>
        <w:left w:val="none" w:sz="0" w:space="0" w:color="auto"/>
        <w:bottom w:val="none" w:sz="0" w:space="0" w:color="auto"/>
        <w:right w:val="none" w:sz="0" w:space="0" w:color="auto"/>
      </w:divBdr>
    </w:div>
    <w:div w:id="994261691">
      <w:bodyDiv w:val="1"/>
      <w:marLeft w:val="0"/>
      <w:marRight w:val="0"/>
      <w:marTop w:val="0"/>
      <w:marBottom w:val="0"/>
      <w:divBdr>
        <w:top w:val="none" w:sz="0" w:space="0" w:color="auto"/>
        <w:left w:val="none" w:sz="0" w:space="0" w:color="auto"/>
        <w:bottom w:val="none" w:sz="0" w:space="0" w:color="auto"/>
        <w:right w:val="none" w:sz="0" w:space="0" w:color="auto"/>
      </w:divBdr>
    </w:div>
    <w:div w:id="1121680067">
      <w:bodyDiv w:val="1"/>
      <w:marLeft w:val="0"/>
      <w:marRight w:val="0"/>
      <w:marTop w:val="0"/>
      <w:marBottom w:val="0"/>
      <w:divBdr>
        <w:top w:val="none" w:sz="0" w:space="0" w:color="auto"/>
        <w:left w:val="none" w:sz="0" w:space="0" w:color="auto"/>
        <w:bottom w:val="none" w:sz="0" w:space="0" w:color="auto"/>
        <w:right w:val="none" w:sz="0" w:space="0" w:color="auto"/>
      </w:divBdr>
    </w:div>
    <w:div w:id="1220020555">
      <w:bodyDiv w:val="1"/>
      <w:marLeft w:val="0"/>
      <w:marRight w:val="0"/>
      <w:marTop w:val="0"/>
      <w:marBottom w:val="0"/>
      <w:divBdr>
        <w:top w:val="none" w:sz="0" w:space="0" w:color="auto"/>
        <w:left w:val="none" w:sz="0" w:space="0" w:color="auto"/>
        <w:bottom w:val="none" w:sz="0" w:space="0" w:color="auto"/>
        <w:right w:val="none" w:sz="0" w:space="0" w:color="auto"/>
      </w:divBdr>
    </w:div>
    <w:div w:id="1238630470">
      <w:bodyDiv w:val="1"/>
      <w:marLeft w:val="0"/>
      <w:marRight w:val="0"/>
      <w:marTop w:val="0"/>
      <w:marBottom w:val="0"/>
      <w:divBdr>
        <w:top w:val="none" w:sz="0" w:space="0" w:color="auto"/>
        <w:left w:val="none" w:sz="0" w:space="0" w:color="auto"/>
        <w:bottom w:val="none" w:sz="0" w:space="0" w:color="auto"/>
        <w:right w:val="none" w:sz="0" w:space="0" w:color="auto"/>
      </w:divBdr>
    </w:div>
    <w:div w:id="1678387877">
      <w:bodyDiv w:val="1"/>
      <w:marLeft w:val="0"/>
      <w:marRight w:val="0"/>
      <w:marTop w:val="0"/>
      <w:marBottom w:val="0"/>
      <w:divBdr>
        <w:top w:val="none" w:sz="0" w:space="0" w:color="auto"/>
        <w:left w:val="none" w:sz="0" w:space="0" w:color="auto"/>
        <w:bottom w:val="none" w:sz="0" w:space="0" w:color="auto"/>
        <w:right w:val="none" w:sz="0" w:space="0" w:color="auto"/>
      </w:divBdr>
    </w:div>
    <w:div w:id="1745102285">
      <w:bodyDiv w:val="1"/>
      <w:marLeft w:val="0"/>
      <w:marRight w:val="0"/>
      <w:marTop w:val="0"/>
      <w:marBottom w:val="0"/>
      <w:divBdr>
        <w:top w:val="none" w:sz="0" w:space="0" w:color="auto"/>
        <w:left w:val="none" w:sz="0" w:space="0" w:color="auto"/>
        <w:bottom w:val="none" w:sz="0" w:space="0" w:color="auto"/>
        <w:right w:val="none" w:sz="0" w:space="0" w:color="auto"/>
      </w:divBdr>
    </w:div>
    <w:div w:id="1778334787">
      <w:bodyDiv w:val="1"/>
      <w:marLeft w:val="0"/>
      <w:marRight w:val="0"/>
      <w:marTop w:val="0"/>
      <w:marBottom w:val="0"/>
      <w:divBdr>
        <w:top w:val="none" w:sz="0" w:space="0" w:color="auto"/>
        <w:left w:val="none" w:sz="0" w:space="0" w:color="auto"/>
        <w:bottom w:val="none" w:sz="0" w:space="0" w:color="auto"/>
        <w:right w:val="none" w:sz="0" w:space="0" w:color="auto"/>
      </w:divBdr>
      <w:divsChild>
        <w:div w:id="1761563884">
          <w:marLeft w:val="0"/>
          <w:marRight w:val="0"/>
          <w:marTop w:val="0"/>
          <w:marBottom w:val="0"/>
          <w:divBdr>
            <w:top w:val="none" w:sz="0" w:space="0" w:color="auto"/>
            <w:left w:val="none" w:sz="0" w:space="0" w:color="auto"/>
            <w:bottom w:val="none" w:sz="0" w:space="0" w:color="auto"/>
            <w:right w:val="none" w:sz="0" w:space="0" w:color="auto"/>
          </w:divBdr>
        </w:div>
        <w:div w:id="1951014384">
          <w:marLeft w:val="0"/>
          <w:marRight w:val="0"/>
          <w:marTop w:val="0"/>
          <w:marBottom w:val="0"/>
          <w:divBdr>
            <w:top w:val="none" w:sz="0" w:space="0" w:color="auto"/>
            <w:left w:val="none" w:sz="0" w:space="0" w:color="auto"/>
            <w:bottom w:val="none" w:sz="0" w:space="0" w:color="auto"/>
            <w:right w:val="none" w:sz="0" w:space="0" w:color="auto"/>
          </w:divBdr>
        </w:div>
        <w:div w:id="79303731">
          <w:marLeft w:val="0"/>
          <w:marRight w:val="0"/>
          <w:marTop w:val="0"/>
          <w:marBottom w:val="0"/>
          <w:divBdr>
            <w:top w:val="none" w:sz="0" w:space="0" w:color="auto"/>
            <w:left w:val="none" w:sz="0" w:space="0" w:color="auto"/>
            <w:bottom w:val="none" w:sz="0" w:space="0" w:color="auto"/>
            <w:right w:val="none" w:sz="0" w:space="0" w:color="auto"/>
          </w:divBdr>
        </w:div>
      </w:divsChild>
    </w:div>
    <w:div w:id="19833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ealza@gmail.com" TargetMode="External"/><Relationship Id="rId18" Type="http://schemas.openxmlformats.org/officeDocument/2006/relationships/hyperlink" Target="http://www.unav.edu/en/web/bibliote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magallon@unav.es" TargetMode="External"/><Relationship Id="rId17" Type="http://schemas.openxmlformats.org/officeDocument/2006/relationships/hyperlink" Target="mailto:garrondo@yahoo.es"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garrondo@yahoo.es" TargetMode="External"/><Relationship Id="rId20" Type="http://schemas.openxmlformats.org/officeDocument/2006/relationships/hyperlink" Target="https://www.evidencepartners.com/resources/forest-plot-genera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sanado@unav.e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pcastro@unav.es" TargetMode="External"/><Relationship Id="rId23" Type="http://schemas.microsoft.com/office/2016/09/relationships/commentsIds" Target="commentsIds.xml"/><Relationship Id="rId10" Type="http://schemas.openxmlformats.org/officeDocument/2006/relationships/hyperlink" Target="mailto:samuele.cortese@gmail.com" TargetMode="External"/><Relationship Id="rId19" Type="http://schemas.openxmlformats.org/officeDocument/2006/relationships/hyperlink" Target="http://support.ebsco.com/help/index.php?lang=en&amp;int=eds" TargetMode="External"/><Relationship Id="rId4" Type="http://schemas.microsoft.com/office/2007/relationships/stylesWithEffects" Target="stylesWithEffects.xml"/><Relationship Id="rId9" Type="http://schemas.openxmlformats.org/officeDocument/2006/relationships/hyperlink" Target="mailto:mruizgoikoetxea@yahoo.es" TargetMode="External"/><Relationship Id="rId14" Type="http://schemas.openxmlformats.org/officeDocument/2006/relationships/hyperlink" Target="mailto:eluis.1@alumni.unav.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5F40-46D9-4574-ADBD-1D33C876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121155</Words>
  <Characters>690585</Characters>
  <Application>Microsoft Office Word</Application>
  <DocSecurity>0</DocSecurity>
  <Lines>5754</Lines>
  <Paragraphs>1620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Pending</vt:lpstr>
      <vt:lpstr>Pending</vt:lpstr>
    </vt:vector>
  </TitlesOfParts>
  <Company>Pamplona</Company>
  <LinksUpToDate>false</LinksUpToDate>
  <CharactersWithSpaces>810120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Pending</dc:title>
  <dc:creator>Gonzalo</dc:creator>
  <cp:lastModifiedBy>sysadmin</cp:lastModifiedBy>
  <cp:revision>3</cp:revision>
  <cp:lastPrinted>2018-03-27T12:42:00Z</cp:lastPrinted>
  <dcterms:created xsi:type="dcterms:W3CDTF">2018-04-09T13:38:00Z</dcterms:created>
  <dcterms:modified xsi:type="dcterms:W3CDTF">2018-04-09T13:40:00Z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http://csl.mendeley.com/styles/452010771/testGon-3</vt:lpwstr>
  </property>
  <property fmtid="{D5CDD505-2E9C-101B-9397-08002B2CF9AE}" pid="5" name="Mendeley Recent Style Name 1_1">
    <vt:lpwstr>American Medical Association - Gonzalo  Arrondo</vt:lpwstr>
  </property>
  <property fmtid="{D5CDD505-2E9C-101B-9397-08002B2CF9AE}" pid="6" name="Mendeley Recent Style Id 2_1">
    <vt:lpwstr>http://csl.mendeley.com/styles/452010771/american-medical-association-testGon</vt:lpwstr>
  </property>
  <property fmtid="{D5CDD505-2E9C-101B-9397-08002B2CF9AE}" pid="7" name="Mendeley Recent Style Name 2_1">
    <vt:lpwstr>American Medical Association - Gonzalo  Arrondo</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http://www.zotero.org/styles/apa</vt:lpwstr>
  </property>
  <property fmtid="{D5CDD505-2E9C-101B-9397-08002B2CF9AE}" pid="11" name="Mendeley Recent Style Name 4_1">
    <vt:lpwstr>American Psychological Association 6th edition</vt:lpwstr>
  </property>
  <property fmtid="{D5CDD505-2E9C-101B-9397-08002B2CF9AE}" pid="12" name="Mendeley Recent Style Id 5_1">
    <vt:lpwstr>http://www.zotero.org/styles/anales-de-pediatria</vt:lpwstr>
  </property>
  <property fmtid="{D5CDD505-2E9C-101B-9397-08002B2CF9AE}" pid="13" name="Mendeley Recent Style Name 5_1">
    <vt:lpwstr>Anales de Pediatría (Spanish)</vt:lpwstr>
  </property>
  <property fmtid="{D5CDD505-2E9C-101B-9397-08002B2CF9AE}" pid="14" name="Mendeley Recent Style Id 6_1">
    <vt:lpwstr>http://www.zotero.org/styles/bmj-open</vt:lpwstr>
  </property>
  <property fmtid="{D5CDD505-2E9C-101B-9397-08002B2CF9AE}" pid="15" name="Mendeley Recent Style Name 6_1">
    <vt:lpwstr>BMJ Open</vt:lpwstr>
  </property>
  <property fmtid="{D5CDD505-2E9C-101B-9397-08002B2CF9AE}" pid="16" name="Mendeley Recent Style Id 7_1">
    <vt:lpwstr>http://www.zotero.org/styles/frontiers</vt:lpwstr>
  </property>
  <property fmtid="{D5CDD505-2E9C-101B-9397-08002B2CF9AE}" pid="17" name="Mendeley Recent Style Name 7_1">
    <vt:lpwstr>Frontiers journals</vt:lpwstr>
  </property>
  <property fmtid="{D5CDD505-2E9C-101B-9397-08002B2CF9AE}" pid="18" name="Mendeley Recent Style Id 8_1">
    <vt:lpwstr>http://www.zotero.org/styles/scientific-reports</vt:lpwstr>
  </property>
  <property fmtid="{D5CDD505-2E9C-101B-9397-08002B2CF9AE}" pid="19" name="Mendeley Recent Style Name 8_1">
    <vt:lpwstr>Scientific Reports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a44f671f-79f8-3a98-bbc6-31561fb9de62</vt:lpwstr>
  </property>
  <property fmtid="{D5CDD505-2E9C-101B-9397-08002B2CF9AE}" pid="24" name="Mendeley Citation Style_1">
    <vt:lpwstr>http://www.zotero.org/styles/scientific-reports</vt:lpwstr>
  </property>
</Properties>
</file>