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DA94B" w14:textId="77777777" w:rsidR="00DE6561" w:rsidRDefault="00DE6561" w:rsidP="00DE6561">
      <w:pPr>
        <w:spacing w:after="0" w:line="360" w:lineRule="auto"/>
        <w:jc w:val="center"/>
        <w:rPr>
          <w:rFonts w:cs="Arial"/>
          <w:b/>
          <w:sz w:val="32"/>
          <w:szCs w:val="32"/>
          <w:lang w:eastAsia="en-GB"/>
        </w:rPr>
      </w:pPr>
      <w:r w:rsidRPr="00DE6561">
        <w:rPr>
          <w:rFonts w:cs="Arial"/>
          <w:b/>
          <w:sz w:val="32"/>
          <w:szCs w:val="32"/>
          <w:lang w:eastAsia="en-GB"/>
        </w:rPr>
        <w:t>Bone densitometry worldwide: a global survey by the ISCD and IOF</w:t>
      </w:r>
    </w:p>
    <w:p w14:paraId="43445C8A" w14:textId="18DC7D73" w:rsidR="00DE6561" w:rsidRDefault="00DE6561" w:rsidP="00DE6561">
      <w:pPr>
        <w:spacing w:after="0" w:line="360" w:lineRule="auto"/>
        <w:jc w:val="center"/>
        <w:rPr>
          <w:rFonts w:cstheme="minorHAnsi"/>
        </w:rPr>
      </w:pPr>
      <w:r>
        <w:t>*</w:t>
      </w:r>
      <w:r w:rsidR="002A7F81">
        <w:t>Michael A Clynes</w:t>
      </w:r>
      <w:r w:rsidRPr="00264911">
        <w:rPr>
          <w:vertAlign w:val="superscript"/>
        </w:rPr>
        <w:t>1</w:t>
      </w:r>
      <w:r w:rsidRPr="00264911">
        <w:t xml:space="preserve">, </w:t>
      </w:r>
      <w:r>
        <w:t>*</w:t>
      </w:r>
      <w:r w:rsidR="002A7F81">
        <w:t>Leo D Westbury</w:t>
      </w:r>
      <w:r w:rsidRPr="00264911">
        <w:rPr>
          <w:vertAlign w:val="superscript"/>
        </w:rPr>
        <w:t>1</w:t>
      </w:r>
      <w:r>
        <w:t xml:space="preserve">, </w:t>
      </w:r>
      <w:r w:rsidR="002A7F81">
        <w:t>Elaine M Dennison</w:t>
      </w:r>
      <w:r w:rsidRPr="00264911">
        <w:rPr>
          <w:vertAlign w:val="superscript"/>
        </w:rPr>
        <w:t>1</w:t>
      </w:r>
      <w:r>
        <w:rPr>
          <w:vertAlign w:val="superscript"/>
        </w:rPr>
        <w:t>,2</w:t>
      </w:r>
      <w:r>
        <w:t xml:space="preserve">, </w:t>
      </w:r>
      <w:r w:rsidR="002A7F81">
        <w:t>John A Kanis</w:t>
      </w:r>
      <w:r>
        <w:rPr>
          <w:vertAlign w:val="superscript"/>
        </w:rPr>
        <w:t>3,4</w:t>
      </w:r>
      <w:r w:rsidR="002878A2">
        <w:t xml:space="preserve">, </w:t>
      </w:r>
      <w:r w:rsidR="002A7F81">
        <w:t xml:space="preserve">Muhammad K </w:t>
      </w:r>
      <w:r w:rsidR="002878A2" w:rsidRPr="002878A2">
        <w:t>Javaid</w:t>
      </w:r>
      <w:r w:rsidR="00291357" w:rsidRPr="00291357">
        <w:rPr>
          <w:vertAlign w:val="superscript"/>
        </w:rPr>
        <w:t>5</w:t>
      </w:r>
      <w:r w:rsidR="002878A2">
        <w:t xml:space="preserve">, </w:t>
      </w:r>
      <w:r w:rsidR="002A7F81">
        <w:t xml:space="preserve">Nicholas C </w:t>
      </w:r>
      <w:r w:rsidR="002878A2" w:rsidRPr="002878A2">
        <w:t>Harvey</w:t>
      </w:r>
      <w:r w:rsidR="00291357" w:rsidRPr="00291357">
        <w:rPr>
          <w:vertAlign w:val="superscript"/>
        </w:rPr>
        <w:t>1</w:t>
      </w:r>
      <w:r w:rsidR="00291357">
        <w:rPr>
          <w:vertAlign w:val="superscript"/>
        </w:rPr>
        <w:t>,</w:t>
      </w:r>
      <w:r w:rsidR="00291357" w:rsidRPr="00291357">
        <w:rPr>
          <w:vertAlign w:val="superscript"/>
        </w:rPr>
        <w:t>6</w:t>
      </w:r>
      <w:r w:rsidR="002878A2">
        <w:t xml:space="preserve">, </w:t>
      </w:r>
      <w:r w:rsidR="002A7F81" w:rsidRPr="002A7F81">
        <w:t>Masaki Fujita</w:t>
      </w:r>
      <w:r w:rsidR="00291357" w:rsidRPr="00291357">
        <w:rPr>
          <w:vertAlign w:val="superscript"/>
        </w:rPr>
        <w:t>7</w:t>
      </w:r>
      <w:r w:rsidR="002878A2">
        <w:t xml:space="preserve">, </w:t>
      </w:r>
      <w:r w:rsidR="002A7F81">
        <w:t>Cyrus Cooper</w:t>
      </w:r>
      <w:r w:rsidRPr="00264911">
        <w:rPr>
          <w:vertAlign w:val="superscript"/>
        </w:rPr>
        <w:t>1,</w:t>
      </w:r>
      <w:r w:rsidR="00C169E0">
        <w:rPr>
          <w:vertAlign w:val="superscript"/>
        </w:rPr>
        <w:t>6</w:t>
      </w:r>
      <w:r>
        <w:rPr>
          <w:vertAlign w:val="superscript"/>
        </w:rPr>
        <w:t>,</w:t>
      </w:r>
      <w:r w:rsidR="00C169E0">
        <w:rPr>
          <w:vertAlign w:val="superscript"/>
        </w:rPr>
        <w:t>8</w:t>
      </w:r>
      <w:r w:rsidR="002A7F81">
        <w:t>,</w:t>
      </w:r>
      <w:r w:rsidRPr="00264911">
        <w:t xml:space="preserve"> </w:t>
      </w:r>
      <w:r w:rsidR="002A7F81">
        <w:t>William D Leslie</w:t>
      </w:r>
      <w:r w:rsidR="00C169E0">
        <w:rPr>
          <w:vertAlign w:val="superscript"/>
        </w:rPr>
        <w:t>9</w:t>
      </w:r>
      <w:r>
        <w:t xml:space="preserve">,  </w:t>
      </w:r>
      <w:r w:rsidR="002A7F81">
        <w:t>Christopher R Shuhart</w:t>
      </w:r>
      <w:r w:rsidR="001E2A30">
        <w:rPr>
          <w:vertAlign w:val="superscript"/>
        </w:rPr>
        <w:t xml:space="preserve">10 </w:t>
      </w:r>
      <w:r>
        <w:rPr>
          <w:rFonts w:cstheme="minorHAnsi"/>
        </w:rPr>
        <w:t>on behalf of t</w:t>
      </w:r>
      <w:r w:rsidRPr="000C181E">
        <w:rPr>
          <w:rFonts w:cstheme="minorHAnsi"/>
        </w:rPr>
        <w:t xml:space="preserve">he </w:t>
      </w:r>
      <w:bookmarkStart w:id="0" w:name="_GoBack"/>
      <w:r w:rsidRPr="000C181E">
        <w:rPr>
          <w:rFonts w:cstheme="minorHAnsi"/>
        </w:rPr>
        <w:t>International Society for Clinical Densitometry (ISCD) and the International Osteoporosis Foundation (IOF)</w:t>
      </w:r>
      <w:bookmarkEnd w:id="0"/>
    </w:p>
    <w:p w14:paraId="309F001D" w14:textId="77777777" w:rsidR="00DE6561" w:rsidRPr="00264911" w:rsidRDefault="00DE6561" w:rsidP="00DE6561">
      <w:pPr>
        <w:spacing w:after="0" w:line="360" w:lineRule="auto"/>
        <w:jc w:val="center"/>
      </w:pPr>
    </w:p>
    <w:p w14:paraId="0916F2AB" w14:textId="7D2B832C" w:rsidR="00DE6561" w:rsidRPr="007408D7" w:rsidRDefault="00DE6561" w:rsidP="007E1E0F">
      <w:pPr>
        <w:spacing w:after="0" w:line="360" w:lineRule="auto"/>
        <w:rPr>
          <w:rFonts w:eastAsia="Times New Roman"/>
          <w:i/>
          <w:sz w:val="18"/>
          <w:szCs w:val="18"/>
          <w:lang w:val="en-US"/>
        </w:rPr>
      </w:pPr>
      <w:r w:rsidRPr="007408D7">
        <w:rPr>
          <w:rFonts w:eastAsia="Times New Roman"/>
          <w:bCs/>
          <w:i/>
          <w:sz w:val="18"/>
          <w:szCs w:val="18"/>
          <w:vertAlign w:val="superscript"/>
          <w:lang w:val="en-US"/>
        </w:rPr>
        <w:t>1</w:t>
      </w:r>
      <w:r w:rsidRPr="007408D7">
        <w:rPr>
          <w:rFonts w:eastAsia="Times New Roman"/>
          <w:i/>
          <w:sz w:val="18"/>
          <w:szCs w:val="18"/>
          <w:lang w:val="en-US"/>
        </w:rPr>
        <w:t>MRC Lifecourse Epidemiology Unit, University of Southampton, Southampton, UK</w:t>
      </w:r>
    </w:p>
    <w:p w14:paraId="50684850" w14:textId="77777777" w:rsidR="00DE6561" w:rsidRPr="007408D7" w:rsidRDefault="00DE6561" w:rsidP="007E1E0F">
      <w:pPr>
        <w:spacing w:after="0" w:line="360" w:lineRule="auto"/>
        <w:rPr>
          <w:i/>
          <w:sz w:val="18"/>
          <w:szCs w:val="18"/>
        </w:rPr>
      </w:pPr>
      <w:r w:rsidRPr="007408D7">
        <w:rPr>
          <w:i/>
          <w:sz w:val="18"/>
          <w:szCs w:val="18"/>
          <w:vertAlign w:val="superscript"/>
        </w:rPr>
        <w:t>2</w:t>
      </w:r>
      <w:r w:rsidRPr="007408D7">
        <w:rPr>
          <w:i/>
          <w:sz w:val="18"/>
          <w:szCs w:val="18"/>
        </w:rPr>
        <w:t>Victoria University of Wellington, Wellington, New Zealand</w:t>
      </w:r>
    </w:p>
    <w:p w14:paraId="4BAAF5C3" w14:textId="77777777" w:rsidR="00DE6561" w:rsidRPr="007408D7" w:rsidRDefault="00DE6561" w:rsidP="007E1E0F">
      <w:pPr>
        <w:spacing w:after="0" w:line="360" w:lineRule="auto"/>
        <w:rPr>
          <w:rFonts w:eastAsia="Times New Roman"/>
          <w:i/>
          <w:sz w:val="18"/>
          <w:szCs w:val="18"/>
          <w:lang w:val="en-US"/>
        </w:rPr>
      </w:pPr>
      <w:r w:rsidRPr="007408D7">
        <w:rPr>
          <w:rFonts w:eastAsia="Times New Roman"/>
          <w:i/>
          <w:sz w:val="18"/>
          <w:szCs w:val="18"/>
          <w:vertAlign w:val="superscript"/>
          <w:lang w:val="en-US"/>
        </w:rPr>
        <w:t>3</w:t>
      </w:r>
      <w:r w:rsidRPr="007408D7">
        <w:rPr>
          <w:rFonts w:eastAsia="Times New Roman"/>
          <w:i/>
          <w:sz w:val="18"/>
          <w:szCs w:val="18"/>
          <w:lang w:val="en-US"/>
        </w:rPr>
        <w:t>Mary McKillop Health Institute, Australian Catholic University, Melbourne, Australia</w:t>
      </w:r>
    </w:p>
    <w:p w14:paraId="78A3055D" w14:textId="77777777" w:rsidR="00DE6561" w:rsidRPr="007408D7" w:rsidRDefault="00DE6561" w:rsidP="007E1E0F">
      <w:pPr>
        <w:spacing w:after="0" w:line="360" w:lineRule="auto"/>
        <w:rPr>
          <w:rFonts w:eastAsia="Times New Roman"/>
          <w:i/>
          <w:sz w:val="18"/>
          <w:szCs w:val="18"/>
          <w:lang w:val="en-US"/>
        </w:rPr>
      </w:pPr>
      <w:r w:rsidRPr="007408D7">
        <w:rPr>
          <w:rFonts w:eastAsia="Times New Roman"/>
          <w:i/>
          <w:sz w:val="18"/>
          <w:szCs w:val="18"/>
          <w:vertAlign w:val="superscript"/>
          <w:lang w:val="en-US"/>
        </w:rPr>
        <w:t>4</w:t>
      </w:r>
      <w:r w:rsidRPr="007408D7">
        <w:rPr>
          <w:rFonts w:eastAsia="Times New Roman"/>
          <w:i/>
          <w:sz w:val="18"/>
          <w:szCs w:val="18"/>
          <w:lang w:val="en-US"/>
        </w:rPr>
        <w:t>Centre of Metabolic Bone Diseases, University of Sheffield Medical School, Sheffield, UK</w:t>
      </w:r>
    </w:p>
    <w:p w14:paraId="31B111D8" w14:textId="3E44E0E3" w:rsidR="00291357" w:rsidRPr="007408D7" w:rsidRDefault="00291357" w:rsidP="007E1E0F">
      <w:pPr>
        <w:spacing w:after="0" w:line="360" w:lineRule="auto"/>
        <w:rPr>
          <w:rFonts w:eastAsia="Times New Roman"/>
          <w:i/>
          <w:sz w:val="18"/>
          <w:szCs w:val="18"/>
          <w:lang w:val="en-US"/>
        </w:rPr>
      </w:pPr>
      <w:r w:rsidRPr="007408D7">
        <w:rPr>
          <w:rFonts w:eastAsia="Times New Roman"/>
          <w:i/>
          <w:sz w:val="18"/>
          <w:szCs w:val="18"/>
          <w:vertAlign w:val="superscript"/>
          <w:lang w:val="en-US"/>
        </w:rPr>
        <w:t>5</w:t>
      </w:r>
      <w:r w:rsidRPr="007408D7">
        <w:rPr>
          <w:rFonts w:eastAsia="Times New Roman"/>
          <w:i/>
          <w:sz w:val="18"/>
          <w:szCs w:val="18"/>
          <w:lang w:val="en-US"/>
        </w:rPr>
        <w:t xml:space="preserve">Nuffield Department of </w:t>
      </w:r>
      <w:proofErr w:type="spellStart"/>
      <w:r w:rsidRPr="007408D7">
        <w:rPr>
          <w:rFonts w:eastAsia="Times New Roman"/>
          <w:i/>
          <w:sz w:val="18"/>
          <w:szCs w:val="18"/>
          <w:lang w:val="en-US"/>
        </w:rPr>
        <w:t>Orthopaedics</w:t>
      </w:r>
      <w:proofErr w:type="spellEnd"/>
      <w:r w:rsidRPr="007408D7">
        <w:rPr>
          <w:rFonts w:eastAsia="Times New Roman"/>
          <w:i/>
          <w:sz w:val="18"/>
          <w:szCs w:val="18"/>
          <w:lang w:val="en-US"/>
        </w:rPr>
        <w:t>, Rheumatology and Musculoskeletal Sciences, University of Oxford, Oxford, UK</w:t>
      </w:r>
    </w:p>
    <w:p w14:paraId="2111C496" w14:textId="58C8BECC" w:rsidR="00DE6561" w:rsidRPr="007408D7" w:rsidRDefault="00291357" w:rsidP="007E1E0F">
      <w:pPr>
        <w:spacing w:after="0" w:line="360" w:lineRule="auto"/>
        <w:rPr>
          <w:i/>
          <w:sz w:val="18"/>
          <w:szCs w:val="18"/>
        </w:rPr>
      </w:pPr>
      <w:r w:rsidRPr="007408D7">
        <w:rPr>
          <w:i/>
          <w:sz w:val="18"/>
          <w:szCs w:val="18"/>
          <w:vertAlign w:val="superscript"/>
          <w:lang w:val="en-US"/>
        </w:rPr>
        <w:t>6</w:t>
      </w:r>
      <w:r w:rsidR="00DE6561" w:rsidRPr="007408D7">
        <w:rPr>
          <w:i/>
          <w:sz w:val="18"/>
          <w:szCs w:val="18"/>
        </w:rPr>
        <w:t>NIHR Southampton Biomedical Research Centre, University of Southampton and University</w:t>
      </w:r>
    </w:p>
    <w:p w14:paraId="03399725" w14:textId="7BE2AA5B" w:rsidR="00DE6561" w:rsidRPr="007408D7" w:rsidRDefault="00DE6561" w:rsidP="007E1E0F">
      <w:pPr>
        <w:spacing w:after="0" w:line="360" w:lineRule="auto"/>
        <w:rPr>
          <w:i/>
          <w:sz w:val="18"/>
          <w:szCs w:val="18"/>
        </w:rPr>
      </w:pPr>
      <w:r w:rsidRPr="007408D7">
        <w:rPr>
          <w:i/>
          <w:sz w:val="18"/>
          <w:szCs w:val="18"/>
        </w:rPr>
        <w:t>Hospital Southampton NHS Fo</w:t>
      </w:r>
      <w:r w:rsidR="007E1E0F" w:rsidRPr="007408D7">
        <w:rPr>
          <w:i/>
          <w:sz w:val="18"/>
          <w:szCs w:val="18"/>
        </w:rPr>
        <w:t>undation Trust, Southampton, UK</w:t>
      </w:r>
    </w:p>
    <w:p w14:paraId="284C7A91" w14:textId="41AE627D" w:rsidR="00291357" w:rsidRPr="007408D7" w:rsidRDefault="00291357" w:rsidP="007E1E0F">
      <w:pPr>
        <w:spacing w:after="0" w:line="360" w:lineRule="auto"/>
        <w:rPr>
          <w:i/>
          <w:sz w:val="18"/>
          <w:szCs w:val="18"/>
        </w:rPr>
      </w:pPr>
      <w:r w:rsidRPr="007408D7">
        <w:rPr>
          <w:i/>
          <w:sz w:val="18"/>
          <w:szCs w:val="18"/>
          <w:vertAlign w:val="superscript"/>
        </w:rPr>
        <w:t>7</w:t>
      </w:r>
      <w:r w:rsidRPr="007408D7">
        <w:rPr>
          <w:i/>
          <w:sz w:val="18"/>
          <w:szCs w:val="18"/>
        </w:rPr>
        <w:t xml:space="preserve">International Osteoporosis Foundation, </w:t>
      </w:r>
      <w:proofErr w:type="spellStart"/>
      <w:r w:rsidRPr="007408D7">
        <w:rPr>
          <w:i/>
          <w:sz w:val="18"/>
          <w:szCs w:val="18"/>
        </w:rPr>
        <w:t>Nyon</w:t>
      </w:r>
      <w:proofErr w:type="spellEnd"/>
      <w:r w:rsidRPr="007408D7">
        <w:rPr>
          <w:i/>
          <w:sz w:val="18"/>
          <w:szCs w:val="18"/>
        </w:rPr>
        <w:t>, Switzerland</w:t>
      </w:r>
    </w:p>
    <w:p w14:paraId="53681C2A" w14:textId="3FE798FB" w:rsidR="00DE6561" w:rsidRPr="007408D7" w:rsidRDefault="002D1984" w:rsidP="007E1E0F">
      <w:pPr>
        <w:spacing w:after="0" w:line="360" w:lineRule="auto"/>
        <w:rPr>
          <w:i/>
          <w:sz w:val="18"/>
          <w:szCs w:val="18"/>
        </w:rPr>
      </w:pPr>
      <w:r w:rsidRPr="007408D7">
        <w:rPr>
          <w:rFonts w:eastAsia="Times New Roman"/>
          <w:i/>
          <w:sz w:val="18"/>
          <w:szCs w:val="18"/>
          <w:vertAlign w:val="superscript"/>
          <w:lang w:val="en-US"/>
        </w:rPr>
        <w:t>8</w:t>
      </w:r>
      <w:r w:rsidR="00DE6561" w:rsidRPr="007408D7">
        <w:rPr>
          <w:i/>
          <w:sz w:val="18"/>
          <w:szCs w:val="18"/>
        </w:rPr>
        <w:t>NIHR Oxford Biomedical Research Centre, University of Oxford, Oxford, UK</w:t>
      </w:r>
    </w:p>
    <w:p w14:paraId="64E0DFDB" w14:textId="454431B8" w:rsidR="00291357" w:rsidRPr="007408D7" w:rsidRDefault="002D1984" w:rsidP="007E1E0F">
      <w:pPr>
        <w:spacing w:after="0" w:line="360" w:lineRule="auto"/>
        <w:rPr>
          <w:i/>
        </w:rPr>
      </w:pPr>
      <w:r w:rsidRPr="007408D7">
        <w:rPr>
          <w:rFonts w:eastAsia="Times New Roman"/>
          <w:i/>
          <w:sz w:val="18"/>
          <w:szCs w:val="18"/>
          <w:vertAlign w:val="superscript"/>
          <w:lang w:val="en-US"/>
        </w:rPr>
        <w:t>9</w:t>
      </w:r>
      <w:r w:rsidR="00E702B6" w:rsidRPr="007408D7">
        <w:rPr>
          <w:rFonts w:eastAsia="Times New Roman"/>
          <w:i/>
          <w:sz w:val="18"/>
          <w:szCs w:val="18"/>
          <w:lang w:val="en-US"/>
        </w:rPr>
        <w:t>Department of Internal Medicine, Rady Faculty of Health Sciences, University of Manitoba, Winnipeg, Manitoba, Canada</w:t>
      </w:r>
    </w:p>
    <w:p w14:paraId="77051511" w14:textId="4BB58315" w:rsidR="007E1E0F" w:rsidRPr="007408D7" w:rsidRDefault="001E2A30" w:rsidP="007E1E0F">
      <w:pPr>
        <w:spacing w:after="0" w:line="360" w:lineRule="auto"/>
        <w:rPr>
          <w:rFonts w:eastAsia="Times New Roman"/>
          <w:i/>
          <w:sz w:val="18"/>
          <w:szCs w:val="18"/>
          <w:lang w:val="en-US"/>
        </w:rPr>
      </w:pPr>
      <w:r w:rsidRPr="007408D7">
        <w:rPr>
          <w:rFonts w:eastAsia="Times New Roman"/>
          <w:i/>
          <w:sz w:val="18"/>
          <w:szCs w:val="18"/>
          <w:vertAlign w:val="superscript"/>
          <w:lang w:val="en-US"/>
        </w:rPr>
        <w:t>10</w:t>
      </w:r>
      <w:r w:rsidR="00F80364" w:rsidRPr="007408D7">
        <w:rPr>
          <w:rFonts w:eastAsia="Times New Roman"/>
          <w:i/>
          <w:sz w:val="18"/>
          <w:szCs w:val="18"/>
          <w:lang w:val="en-US"/>
        </w:rPr>
        <w:t>Swedish Medical Group, Swedish Bone Health and Osteoporosis Center, Seattle, WA, USA</w:t>
      </w:r>
    </w:p>
    <w:p w14:paraId="08D93B70" w14:textId="77777777" w:rsidR="007E1E0F" w:rsidRPr="007E1E0F" w:rsidRDefault="007E1E0F" w:rsidP="007E1E0F">
      <w:pPr>
        <w:spacing w:after="0" w:line="360" w:lineRule="auto"/>
        <w:rPr>
          <w:rFonts w:eastAsia="Times New Roman"/>
          <w:i/>
          <w:sz w:val="18"/>
          <w:szCs w:val="18"/>
          <w:lang w:val="en-US"/>
        </w:rPr>
      </w:pPr>
    </w:p>
    <w:p w14:paraId="5AE93E0E" w14:textId="77777777" w:rsidR="00DE6561" w:rsidRDefault="00DE6561" w:rsidP="007E1E0F">
      <w:pPr>
        <w:spacing w:after="0" w:line="360" w:lineRule="auto"/>
      </w:pPr>
      <w:r>
        <w:t>Correspondence and reprint requests to:</w:t>
      </w:r>
    </w:p>
    <w:p w14:paraId="40FE8D02" w14:textId="77777777" w:rsidR="00DE6561" w:rsidRDefault="00DE6561" w:rsidP="007E1E0F">
      <w:pPr>
        <w:spacing w:after="0" w:line="360" w:lineRule="auto"/>
      </w:pPr>
      <w:r>
        <w:t>Prof Cyrus Cooper</w:t>
      </w:r>
    </w:p>
    <w:p w14:paraId="00744B1D" w14:textId="77777777" w:rsidR="00DE6561" w:rsidRDefault="00DE6561" w:rsidP="007E1E0F">
      <w:pPr>
        <w:spacing w:after="0" w:line="360" w:lineRule="auto"/>
      </w:pPr>
      <w:r>
        <w:t>MRC Lifecourse Epidemiology Unit</w:t>
      </w:r>
    </w:p>
    <w:p w14:paraId="087252A8" w14:textId="77777777" w:rsidR="00DE6561" w:rsidRDefault="00DE6561" w:rsidP="007E1E0F">
      <w:pPr>
        <w:spacing w:after="0" w:line="360" w:lineRule="auto"/>
      </w:pPr>
      <w:r>
        <w:t>University of Southampton</w:t>
      </w:r>
    </w:p>
    <w:p w14:paraId="24D9B693" w14:textId="77777777" w:rsidR="00DE6561" w:rsidRDefault="00DE6561" w:rsidP="007E1E0F">
      <w:pPr>
        <w:spacing w:after="0" w:line="360" w:lineRule="auto"/>
      </w:pPr>
      <w:r>
        <w:t>Southampton General Hospital</w:t>
      </w:r>
    </w:p>
    <w:p w14:paraId="4F3DE594" w14:textId="77777777" w:rsidR="00DE6561" w:rsidRDefault="00DE6561" w:rsidP="007E1E0F">
      <w:pPr>
        <w:spacing w:after="0" w:line="360" w:lineRule="auto"/>
      </w:pPr>
      <w:r>
        <w:t>Southampton SO16 6YD, UK</w:t>
      </w:r>
    </w:p>
    <w:p w14:paraId="149D3B7E" w14:textId="3D2EF144" w:rsidR="00DE6561" w:rsidRDefault="00DE6561" w:rsidP="007E1E0F">
      <w:pPr>
        <w:spacing w:after="0" w:line="360" w:lineRule="auto"/>
      </w:pPr>
      <w:r>
        <w:t xml:space="preserve">Tel: +44 (023) 8076 4032; Fax: +44 (023) 8070 4021; Email: </w:t>
      </w:r>
      <w:r w:rsidRPr="00A217FF">
        <w:rPr>
          <w:rStyle w:val="Hyperlink"/>
        </w:rPr>
        <w:t>cc@mrc.soton.ac.uk</w:t>
      </w:r>
      <w:r>
        <w:t xml:space="preserve"> </w:t>
      </w:r>
    </w:p>
    <w:p w14:paraId="6F000EF6" w14:textId="77777777" w:rsidR="00DE6561" w:rsidRDefault="00DE6561" w:rsidP="00DE6561">
      <w:pPr>
        <w:spacing w:line="360" w:lineRule="auto"/>
      </w:pPr>
    </w:p>
    <w:p w14:paraId="704AEA6D" w14:textId="77777777" w:rsidR="002B2682" w:rsidRDefault="00DE6561" w:rsidP="00BE42C1">
      <w:pPr>
        <w:spacing w:line="360" w:lineRule="auto"/>
      </w:pPr>
      <w:r>
        <w:t>*These two authors contributed equally to the manuscript</w:t>
      </w:r>
    </w:p>
    <w:p w14:paraId="3E1A606F" w14:textId="77777777" w:rsidR="007E1E0F" w:rsidRDefault="007E1E0F" w:rsidP="007E1E0F">
      <w:pPr>
        <w:spacing w:line="360" w:lineRule="auto"/>
        <w:jc w:val="both"/>
        <w:rPr>
          <w:rFonts w:cs="Arial"/>
          <w:b/>
        </w:rPr>
      </w:pPr>
    </w:p>
    <w:p w14:paraId="7EDA475D" w14:textId="06AC051B" w:rsidR="007E1E0F" w:rsidRDefault="007E1E0F" w:rsidP="007E1E0F">
      <w:pPr>
        <w:spacing w:line="360" w:lineRule="auto"/>
        <w:jc w:val="both"/>
        <w:rPr>
          <w:rFonts w:cs="Arial"/>
          <w:b/>
        </w:rPr>
      </w:pPr>
      <w:r>
        <w:rPr>
          <w:rFonts w:cs="Arial"/>
          <w:b/>
        </w:rPr>
        <w:t>Acknowledgments</w:t>
      </w:r>
    </w:p>
    <w:p w14:paraId="16F0C76E" w14:textId="13A5FFE4" w:rsidR="007E1E0F" w:rsidRDefault="007E1E0F" w:rsidP="007E1E0F">
      <w:pPr>
        <w:spacing w:line="360" w:lineRule="auto"/>
        <w:jc w:val="both"/>
        <w:rPr>
          <w:rFonts w:cs="Arial"/>
        </w:rPr>
      </w:pPr>
      <w:r>
        <w:rPr>
          <w:rFonts w:cs="Arial"/>
        </w:rPr>
        <w:t xml:space="preserve">This study was </w:t>
      </w:r>
      <w:r w:rsidR="00185A34">
        <w:rPr>
          <w:rFonts w:cs="Arial"/>
        </w:rPr>
        <w:t>funded</w:t>
      </w:r>
      <w:r>
        <w:rPr>
          <w:rFonts w:cs="Arial"/>
        </w:rPr>
        <w:t xml:space="preserve"> by the following organisations: </w:t>
      </w:r>
      <w:r w:rsidR="00DF30AB">
        <w:rPr>
          <w:rFonts w:cs="Arial"/>
        </w:rPr>
        <w:t xml:space="preserve">International Society for Clinical Densitometry; International Osteoporosis Foundation; </w:t>
      </w:r>
      <w:r>
        <w:rPr>
          <w:rFonts w:cs="Arial"/>
        </w:rPr>
        <w:t>UK Medical Research Council;</w:t>
      </w:r>
      <w:r w:rsidR="00CF0943">
        <w:rPr>
          <w:rFonts w:cs="Arial"/>
        </w:rPr>
        <w:t xml:space="preserve"> University</w:t>
      </w:r>
      <w:r>
        <w:rPr>
          <w:rFonts w:cs="Arial"/>
        </w:rPr>
        <w:t xml:space="preserve"> of Southampton</w:t>
      </w:r>
      <w:r w:rsidR="00DF30AB">
        <w:rPr>
          <w:rFonts w:cs="Arial"/>
        </w:rPr>
        <w:t>.</w:t>
      </w:r>
    </w:p>
    <w:p w14:paraId="5DC55FAB" w14:textId="77777777" w:rsidR="002A7F81" w:rsidRDefault="002A7F81" w:rsidP="00BE42C1">
      <w:pPr>
        <w:spacing w:line="360" w:lineRule="auto"/>
      </w:pPr>
    </w:p>
    <w:p w14:paraId="0B2F1E7B" w14:textId="77777777" w:rsidR="003149BB" w:rsidRPr="003B36E2" w:rsidRDefault="003149BB" w:rsidP="00C8570F">
      <w:pPr>
        <w:spacing w:line="360" w:lineRule="auto"/>
      </w:pPr>
      <w:r w:rsidRPr="003B36E2">
        <w:rPr>
          <w:rFonts w:cs="Arial"/>
          <w:b/>
          <w:lang w:eastAsia="en-GB"/>
        </w:rPr>
        <w:lastRenderedPageBreak/>
        <w:t>Abstract</w:t>
      </w:r>
    </w:p>
    <w:p w14:paraId="5664BDFB" w14:textId="38524FC3" w:rsidR="003B36E2" w:rsidRPr="003B36E2" w:rsidRDefault="00347675" w:rsidP="00C8570F">
      <w:pPr>
        <w:spacing w:after="0" w:line="360" w:lineRule="auto"/>
        <w:rPr>
          <w:rFonts w:eastAsia="Times New Roman" w:cs="Arial"/>
          <w:color w:val="000000"/>
          <w:lang w:eastAsia="en-GB"/>
        </w:rPr>
      </w:pPr>
      <w:r>
        <w:rPr>
          <w:rFonts w:eastAsia="Times New Roman" w:cs="Arial"/>
          <w:color w:val="000000"/>
          <w:lang w:eastAsia="en-GB"/>
        </w:rPr>
        <w:t>Purpose</w:t>
      </w:r>
    </w:p>
    <w:p w14:paraId="71D91FF2" w14:textId="05C24D68" w:rsidR="003B36E2" w:rsidRPr="003B36E2" w:rsidRDefault="003B36E2" w:rsidP="00C8570F">
      <w:pPr>
        <w:spacing w:after="0" w:line="360" w:lineRule="auto"/>
        <w:rPr>
          <w:rFonts w:eastAsia="Times New Roman" w:cs="Arial"/>
          <w:color w:val="000000"/>
          <w:lang w:eastAsia="en-GB"/>
        </w:rPr>
      </w:pPr>
      <w:r w:rsidRPr="003B36E2">
        <w:rPr>
          <w:rFonts w:eastAsia="Times New Roman" w:cs="Arial"/>
          <w:color w:val="000000"/>
          <w:lang w:eastAsia="en-GB"/>
        </w:rPr>
        <w:t xml:space="preserve">Whilst the use of dual-energy x-ray absorptiometry (DXA) has been widely adopted worldwide for the assessment of bone mineral density, the quality of DXA facilities is unknown. </w:t>
      </w:r>
      <w:r w:rsidR="000024BB">
        <w:rPr>
          <w:rFonts w:eastAsia="Times New Roman" w:cs="Arial"/>
          <w:color w:val="000000"/>
          <w:lang w:eastAsia="en-GB"/>
        </w:rPr>
        <w:t xml:space="preserve">To address this, </w:t>
      </w:r>
      <w:r w:rsidRPr="003B36E2">
        <w:rPr>
          <w:rFonts w:eastAsia="Times New Roman" w:cs="Arial"/>
          <w:color w:val="000000"/>
          <w:lang w:eastAsia="en-GB"/>
        </w:rPr>
        <w:t xml:space="preserve">a </w:t>
      </w:r>
      <w:r w:rsidR="000024BB">
        <w:rPr>
          <w:rFonts w:eastAsia="Times New Roman" w:cs="Arial"/>
          <w:color w:val="000000"/>
          <w:lang w:eastAsia="en-GB"/>
        </w:rPr>
        <w:t xml:space="preserve">global </w:t>
      </w:r>
      <w:r w:rsidRPr="003B36E2">
        <w:rPr>
          <w:rFonts w:eastAsia="Times New Roman" w:cs="Arial"/>
          <w:color w:val="000000"/>
          <w:lang w:eastAsia="en-GB"/>
        </w:rPr>
        <w:t>survey of Fracture Liaison Services (FLS)</w:t>
      </w:r>
      <w:r w:rsidR="000024BB">
        <w:rPr>
          <w:rFonts w:eastAsia="Times New Roman" w:cs="Arial"/>
          <w:color w:val="000000"/>
          <w:lang w:eastAsia="en-GB"/>
        </w:rPr>
        <w:t xml:space="preserve"> was</w:t>
      </w:r>
      <w:r w:rsidRPr="003B36E2">
        <w:rPr>
          <w:rFonts w:eastAsia="Times New Roman" w:cs="Arial"/>
          <w:color w:val="000000"/>
          <w:lang w:eastAsia="en-GB"/>
        </w:rPr>
        <w:t xml:space="preserve"> conducted by the </w:t>
      </w:r>
      <w:r w:rsidRPr="003B36E2">
        <w:rPr>
          <w:rFonts w:cs="Arial"/>
        </w:rPr>
        <w:t>International Society for Clinical Densitometry (ISCD)</w:t>
      </w:r>
      <w:r w:rsidRPr="003B36E2">
        <w:rPr>
          <w:rFonts w:eastAsia="Times New Roman" w:cs="Arial"/>
          <w:color w:val="000000"/>
          <w:lang w:eastAsia="en-GB"/>
        </w:rPr>
        <w:t xml:space="preserve"> and the International Osteoporosis Foundation (IOF)</w:t>
      </w:r>
      <w:r w:rsidR="000024BB">
        <w:rPr>
          <w:rFonts w:eastAsia="Times New Roman" w:cs="Arial"/>
          <w:color w:val="000000"/>
          <w:lang w:eastAsia="en-GB"/>
        </w:rPr>
        <w:t xml:space="preserve"> to</w:t>
      </w:r>
      <w:r w:rsidRPr="003B36E2">
        <w:rPr>
          <w:rFonts w:eastAsia="Times New Roman" w:cs="Arial"/>
          <w:color w:val="000000"/>
          <w:lang w:eastAsia="en-GB"/>
        </w:rPr>
        <w:t xml:space="preserve"> </w:t>
      </w:r>
      <w:r w:rsidR="000024BB">
        <w:rPr>
          <w:rFonts w:eastAsia="Times New Roman" w:cs="Arial"/>
          <w:color w:val="000000"/>
          <w:lang w:eastAsia="en-GB"/>
        </w:rPr>
        <w:t>assess</w:t>
      </w:r>
      <w:r w:rsidR="000024BB" w:rsidRPr="003B36E2">
        <w:rPr>
          <w:rFonts w:eastAsia="Times New Roman" w:cs="Arial"/>
          <w:color w:val="000000"/>
          <w:lang w:eastAsia="en-GB"/>
        </w:rPr>
        <w:t xml:space="preserve"> </w:t>
      </w:r>
      <w:r w:rsidRPr="003B36E2">
        <w:rPr>
          <w:rFonts w:eastAsia="Times New Roman" w:cs="Arial"/>
          <w:color w:val="000000"/>
          <w:lang w:eastAsia="en-GB"/>
        </w:rPr>
        <w:t>the quality of their DXA facilities.</w:t>
      </w:r>
    </w:p>
    <w:p w14:paraId="31AB77FB" w14:textId="77777777" w:rsidR="003B36E2" w:rsidRPr="003B36E2" w:rsidRDefault="003B36E2" w:rsidP="00C8570F">
      <w:pPr>
        <w:spacing w:after="0" w:line="360" w:lineRule="auto"/>
        <w:rPr>
          <w:rFonts w:eastAsia="Times New Roman" w:cs="Arial"/>
          <w:color w:val="000000"/>
          <w:lang w:eastAsia="en-GB"/>
        </w:rPr>
      </w:pPr>
    </w:p>
    <w:p w14:paraId="1A26B5C6" w14:textId="0A2043FC" w:rsidR="003B36E2" w:rsidRPr="003B36E2" w:rsidRDefault="003B36E2" w:rsidP="00C8570F">
      <w:pPr>
        <w:spacing w:after="0" w:line="360" w:lineRule="auto"/>
        <w:rPr>
          <w:rFonts w:eastAsia="Times New Roman" w:cs="Arial"/>
          <w:color w:val="000000"/>
          <w:lang w:eastAsia="en-GB"/>
        </w:rPr>
      </w:pPr>
      <w:r w:rsidRPr="003B36E2">
        <w:rPr>
          <w:rFonts w:eastAsia="Times New Roman" w:cs="Arial"/>
          <w:color w:val="000000"/>
          <w:lang w:eastAsia="en-GB"/>
        </w:rPr>
        <w:t>Methods</w:t>
      </w:r>
    </w:p>
    <w:p w14:paraId="5A181B62" w14:textId="3CD34B8E" w:rsidR="003B36E2" w:rsidRPr="003B36E2" w:rsidRDefault="003B36E2" w:rsidP="00C8570F">
      <w:pPr>
        <w:spacing w:after="0" w:line="360" w:lineRule="auto"/>
        <w:rPr>
          <w:rFonts w:eastAsia="Times New Roman" w:cs="Arial"/>
          <w:color w:val="000000"/>
          <w:lang w:eastAsia="en-GB"/>
        </w:rPr>
      </w:pPr>
      <w:r w:rsidRPr="003B36E2">
        <w:rPr>
          <w:rFonts w:eastAsia="Times New Roman" w:cs="Arial"/>
          <w:color w:val="000000"/>
          <w:lang w:eastAsia="en-GB"/>
        </w:rPr>
        <w:t xml:space="preserve">A questionnaire for the accessibility and quality of DXA services was co-created by representatives of the ISCD and the IOF and made available to institutions who participated in </w:t>
      </w:r>
      <w:r w:rsidR="000024BB">
        <w:rPr>
          <w:rFonts w:eastAsia="Times New Roman" w:cs="Arial"/>
          <w:color w:val="000000"/>
          <w:lang w:eastAsia="en-GB"/>
        </w:rPr>
        <w:t xml:space="preserve">the </w:t>
      </w:r>
      <w:r w:rsidRPr="003B36E2">
        <w:rPr>
          <w:rFonts w:eastAsia="Times New Roman" w:cs="Arial"/>
          <w:color w:val="000000"/>
          <w:lang w:eastAsia="en-GB"/>
        </w:rPr>
        <w:t>Capture the Fracture Best Practice Framework. From a list of 331 contacted invitees, 124 FLS centres responded; analyses were based on 121 centres with suitable data.</w:t>
      </w:r>
    </w:p>
    <w:p w14:paraId="69DF701E" w14:textId="77777777" w:rsidR="003B36E2" w:rsidRPr="003B36E2" w:rsidRDefault="003B36E2" w:rsidP="00C8570F">
      <w:pPr>
        <w:spacing w:after="0" w:line="360" w:lineRule="auto"/>
        <w:rPr>
          <w:rFonts w:eastAsia="Times New Roman" w:cs="Arial"/>
          <w:color w:val="000000"/>
          <w:lang w:eastAsia="en-GB"/>
        </w:rPr>
      </w:pPr>
    </w:p>
    <w:p w14:paraId="3BDD0FDB" w14:textId="77777777" w:rsidR="003B36E2" w:rsidRPr="003B36E2" w:rsidRDefault="003B36E2" w:rsidP="00C8570F">
      <w:pPr>
        <w:spacing w:after="0" w:line="360" w:lineRule="auto"/>
        <w:rPr>
          <w:rFonts w:eastAsia="Times New Roman" w:cs="Arial"/>
          <w:color w:val="000000"/>
          <w:lang w:eastAsia="en-GB"/>
        </w:rPr>
      </w:pPr>
      <w:r w:rsidRPr="003B36E2">
        <w:rPr>
          <w:rFonts w:eastAsia="Times New Roman" w:cs="Arial"/>
          <w:color w:val="000000"/>
          <w:lang w:eastAsia="en-GB"/>
        </w:rPr>
        <w:t>Results</w:t>
      </w:r>
    </w:p>
    <w:p w14:paraId="2AB6200C" w14:textId="77777777" w:rsidR="003B36E2" w:rsidRPr="003B36E2" w:rsidRDefault="003B36E2" w:rsidP="00C8570F">
      <w:pPr>
        <w:spacing w:after="0" w:line="360" w:lineRule="auto"/>
        <w:rPr>
          <w:rFonts w:eastAsia="Times New Roman" w:cs="Arial"/>
          <w:color w:val="000000"/>
          <w:lang w:eastAsia="en-GB"/>
        </w:rPr>
      </w:pPr>
      <w:r w:rsidRPr="003B36E2">
        <w:rPr>
          <w:rFonts w:eastAsia="Times New Roman" w:cs="Arial"/>
          <w:color w:val="000000"/>
          <w:lang w:eastAsia="en-GB"/>
        </w:rPr>
        <w:t>Over 70% of institutions reported that, for over 90% of the time, DXA access met service needs and the scanning/reporting quality was perceived as excellent. However, 25% of DXA facilities reported not being accredited by a professional/governmental organisation and adherence to some basic DXA quality assurance and reporting procedures was confirmed by &lt;50% of services. Importantly, in excess of 50% of institutions stated that they desired ongoing education in osteoporosis and DXA for operators and interpreters.</w:t>
      </w:r>
    </w:p>
    <w:p w14:paraId="27F83DE2" w14:textId="77777777" w:rsidR="003B36E2" w:rsidRPr="003B36E2" w:rsidRDefault="003B36E2" w:rsidP="00C8570F">
      <w:pPr>
        <w:spacing w:after="0" w:line="360" w:lineRule="auto"/>
        <w:rPr>
          <w:rFonts w:eastAsia="Times New Roman" w:cs="Arial"/>
          <w:color w:val="000000"/>
          <w:lang w:eastAsia="en-GB"/>
        </w:rPr>
      </w:pPr>
    </w:p>
    <w:p w14:paraId="796AD28D" w14:textId="11064E12" w:rsidR="003B36E2" w:rsidRPr="003B36E2" w:rsidRDefault="003B36E2" w:rsidP="00C8570F">
      <w:pPr>
        <w:spacing w:after="0" w:line="360" w:lineRule="auto"/>
        <w:rPr>
          <w:rFonts w:eastAsia="Times New Roman" w:cs="Arial"/>
          <w:color w:val="000000"/>
          <w:lang w:eastAsia="en-GB"/>
        </w:rPr>
      </w:pPr>
      <w:r w:rsidRPr="003B36E2">
        <w:rPr>
          <w:rFonts w:eastAsia="Times New Roman" w:cs="Arial"/>
          <w:color w:val="000000"/>
          <w:lang w:eastAsia="en-GB"/>
        </w:rPr>
        <w:t>Conclusion</w:t>
      </w:r>
    </w:p>
    <w:p w14:paraId="121C680E" w14:textId="77777777" w:rsidR="003B36E2" w:rsidRPr="003B36E2" w:rsidRDefault="003B36E2" w:rsidP="00C8570F">
      <w:pPr>
        <w:spacing w:after="0" w:line="360" w:lineRule="auto"/>
        <w:rPr>
          <w:rFonts w:eastAsia="Times New Roman" w:cs="Arial"/>
          <w:color w:val="000000"/>
          <w:lang w:eastAsia="en-GB"/>
        </w:rPr>
      </w:pPr>
      <w:r w:rsidRPr="003B36E2">
        <w:rPr>
          <w:rFonts w:eastAsia="Times New Roman" w:cs="Arial"/>
          <w:color w:val="000000"/>
          <w:lang w:eastAsia="en-GB"/>
        </w:rPr>
        <w:t xml:space="preserve">There is significant variability in the access to and quality of DXA services for established FLS worldwide. Despite two decades of training initiatives in osteoporosis densitometry, many centres are falling short of the standards of the IOF-ISCD </w:t>
      </w:r>
      <w:r w:rsidRPr="003B36E2">
        <w:rPr>
          <w:rFonts w:eastAsia="Times New Roman" w:cs="Arial"/>
          <w:i/>
          <w:color w:val="000000"/>
          <w:lang w:eastAsia="en-GB"/>
        </w:rPr>
        <w:t>Osteoporosis Essentials</w:t>
      </w:r>
      <w:r w:rsidRPr="003B36E2">
        <w:rPr>
          <w:rFonts w:eastAsia="Times New Roman" w:cs="Arial"/>
          <w:color w:val="000000"/>
          <w:lang w:eastAsia="en-GB"/>
        </w:rPr>
        <w:t xml:space="preserve"> criteria.</w:t>
      </w:r>
    </w:p>
    <w:p w14:paraId="3168B1C4" w14:textId="77777777" w:rsidR="00371881" w:rsidRDefault="00371881" w:rsidP="00C8570F">
      <w:pPr>
        <w:rPr>
          <w:rFonts w:cs="Arial"/>
        </w:rPr>
      </w:pPr>
    </w:p>
    <w:p w14:paraId="7699DEE8" w14:textId="73B2EDC3" w:rsidR="009B12E0" w:rsidRDefault="00371881" w:rsidP="00C8570F">
      <w:pPr>
        <w:spacing w:line="276" w:lineRule="auto"/>
        <w:rPr>
          <w:rFonts w:cs="Arial"/>
        </w:rPr>
      </w:pPr>
      <w:r w:rsidRPr="00181029">
        <w:rPr>
          <w:rFonts w:cs="Arial"/>
          <w:b/>
        </w:rPr>
        <w:t>Keywords</w:t>
      </w:r>
      <w:r>
        <w:rPr>
          <w:rFonts w:cs="Arial"/>
        </w:rPr>
        <w:t xml:space="preserve">: </w:t>
      </w:r>
      <w:r w:rsidR="00347675">
        <w:rPr>
          <w:rFonts w:cs="Arial"/>
        </w:rPr>
        <w:t>o</w:t>
      </w:r>
      <w:r>
        <w:rPr>
          <w:rFonts w:cs="Arial"/>
        </w:rPr>
        <w:t xml:space="preserve">steoporosis; </w:t>
      </w:r>
      <w:r w:rsidR="001405C0">
        <w:rPr>
          <w:rFonts w:cs="Arial"/>
        </w:rPr>
        <w:t xml:space="preserve">epidemiology; bone densitometry; </w:t>
      </w:r>
      <w:r w:rsidR="00347675">
        <w:rPr>
          <w:rFonts w:cs="Arial"/>
        </w:rPr>
        <w:t>dual energy x</w:t>
      </w:r>
      <w:r w:rsidRPr="00371881">
        <w:rPr>
          <w:rFonts w:cs="Arial"/>
        </w:rPr>
        <w:t>-ray absorptiometry</w:t>
      </w:r>
      <w:r>
        <w:rPr>
          <w:rFonts w:cs="Arial"/>
        </w:rPr>
        <w:t xml:space="preserve">; </w:t>
      </w:r>
      <w:r w:rsidR="00347675">
        <w:rPr>
          <w:rFonts w:cs="Arial"/>
        </w:rPr>
        <w:t>fracture liaison s</w:t>
      </w:r>
      <w:r w:rsidRPr="00371881">
        <w:rPr>
          <w:rFonts w:cs="Arial"/>
        </w:rPr>
        <w:t>ervices</w:t>
      </w:r>
      <w:r w:rsidR="003D36D0">
        <w:rPr>
          <w:rFonts w:cs="Arial"/>
        </w:rPr>
        <w:t>; quality</w:t>
      </w:r>
      <w:r w:rsidR="001405C0">
        <w:rPr>
          <w:rFonts w:cs="Arial"/>
        </w:rPr>
        <w:t xml:space="preserve"> standards</w:t>
      </w:r>
      <w:r w:rsidRPr="00371881">
        <w:rPr>
          <w:rFonts w:cs="Arial"/>
        </w:rPr>
        <w:t xml:space="preserve"> </w:t>
      </w:r>
    </w:p>
    <w:p w14:paraId="6633213B" w14:textId="77777777" w:rsidR="00F92A68" w:rsidRPr="00F92A68" w:rsidRDefault="00F92A68" w:rsidP="00C8570F">
      <w:pPr>
        <w:spacing w:line="276" w:lineRule="auto"/>
        <w:rPr>
          <w:rFonts w:cs="Arial"/>
        </w:rPr>
      </w:pPr>
    </w:p>
    <w:p w14:paraId="41D24889" w14:textId="77777777" w:rsidR="00D371E0" w:rsidRPr="009B12E0" w:rsidRDefault="00D371E0" w:rsidP="00C8570F">
      <w:pPr>
        <w:spacing w:line="276" w:lineRule="auto"/>
        <w:rPr>
          <w:rFonts w:cs="Arial"/>
        </w:rPr>
      </w:pPr>
      <w:r w:rsidRPr="009B12E0">
        <w:rPr>
          <w:rFonts w:cs="Arial"/>
          <w:b/>
        </w:rPr>
        <w:t>Mini-abstract</w:t>
      </w:r>
    </w:p>
    <w:p w14:paraId="3C4E1DB5" w14:textId="010246ED" w:rsidR="00181029" w:rsidRDefault="0030700F" w:rsidP="00C8570F">
      <w:pPr>
        <w:spacing w:after="240" w:line="360" w:lineRule="auto"/>
        <w:rPr>
          <w:rFonts w:cs="Arial"/>
          <w:b/>
          <w:lang w:eastAsia="en-GB"/>
        </w:rPr>
      </w:pPr>
      <w:r w:rsidRPr="0030700F">
        <w:rPr>
          <w:rFonts w:cs="Arial"/>
        </w:rPr>
        <w:t xml:space="preserve">In a global survey of fracture liaison services, most reported that DXA access met needs. However, adherence to basic DXA quality and reporting procedures was confirmed by only around 50% of institutions and many required </w:t>
      </w:r>
      <w:proofErr w:type="gramStart"/>
      <w:r w:rsidRPr="0030700F">
        <w:rPr>
          <w:rFonts w:cs="Arial"/>
        </w:rPr>
        <w:t>education</w:t>
      </w:r>
      <w:proofErr w:type="gramEnd"/>
      <w:r w:rsidRPr="0030700F">
        <w:rPr>
          <w:rFonts w:cs="Arial"/>
        </w:rPr>
        <w:t xml:space="preserve"> for operators/interpreters. Overall, there is significant variability in the access to, and quality of, DXA services worldwide.</w:t>
      </w:r>
    </w:p>
    <w:p w14:paraId="216C71EF" w14:textId="55E76D72" w:rsidR="005D4CC4" w:rsidRPr="00F92A68" w:rsidRDefault="005D4CC4" w:rsidP="00C8570F">
      <w:pPr>
        <w:spacing w:after="240" w:line="360" w:lineRule="auto"/>
        <w:rPr>
          <w:rFonts w:cs="Arial"/>
        </w:rPr>
      </w:pPr>
      <w:r w:rsidRPr="00C54518">
        <w:rPr>
          <w:rFonts w:cs="Arial"/>
          <w:b/>
          <w:lang w:eastAsia="en-GB"/>
        </w:rPr>
        <w:lastRenderedPageBreak/>
        <w:t>Introduction</w:t>
      </w:r>
    </w:p>
    <w:p w14:paraId="585B9605" w14:textId="00C70A28" w:rsidR="00853F47" w:rsidRPr="00C54518" w:rsidRDefault="00C17BE1" w:rsidP="00C8570F">
      <w:pPr>
        <w:spacing w:after="240" w:line="360" w:lineRule="auto"/>
        <w:rPr>
          <w:rFonts w:cs="Arial"/>
        </w:rPr>
      </w:pPr>
      <w:r w:rsidRPr="00C54518">
        <w:rPr>
          <w:rFonts w:cs="Arial"/>
        </w:rPr>
        <w:t>Osteoporosis is a major public health problem world</w:t>
      </w:r>
      <w:r w:rsidR="007F6501" w:rsidRPr="00C54518">
        <w:rPr>
          <w:rFonts w:cs="Arial"/>
        </w:rPr>
        <w:t>wide with approximately 8.9 million osteoporotic fractures occurring annually</w:t>
      </w:r>
      <w:r w:rsidR="00673D9D">
        <w:rPr>
          <w:rFonts w:cs="Arial"/>
        </w:rPr>
        <w:t xml:space="preserve"> </w:t>
      </w:r>
      <w:r w:rsidR="00673D9D">
        <w:rPr>
          <w:rFonts w:cs="Arial"/>
        </w:rPr>
        <w:fldChar w:fldCharType="begin"/>
      </w:r>
      <w:r w:rsidR="00673D9D">
        <w:rPr>
          <w:rFonts w:cs="Arial"/>
        </w:rPr>
        <w:instrText xml:space="preserve"> ADDIN EN.CITE &lt;EndNote&gt;&lt;Cite&gt;&lt;Author&gt;Johnell&lt;/Author&gt;&lt;Year&gt;2006&lt;/Year&gt;&lt;RecNum&gt;251&lt;/RecNum&gt;&lt;DisplayText&gt;[1]&lt;/DisplayText&gt;&lt;record&gt;&lt;rec-number&gt;251&lt;/rec-number&gt;&lt;foreign-keys&gt;&lt;key app="EN" db-id="xp2sx5aahpsveaea2zq5s2xsef9d0fsxsxex" timestamp="1564069424"&gt;251&lt;/key&gt;&lt;/foreign-keys&gt;&lt;ref-type name="Journal Article"&gt;17&lt;/ref-type&gt;&lt;contributors&gt;&lt;authors&gt;&lt;author&gt;Johnell, Olof&lt;/author&gt;&lt;author&gt;Kanis, JA&lt;/author&gt;&lt;/authors&gt;&lt;/contributors&gt;&lt;titles&gt;&lt;title&gt;An estimate of the worldwide prevalence and disability associated with osteoporotic fractures&lt;/title&gt;&lt;secondary-title&gt;Osteoporos Int.&lt;/secondary-title&gt;&lt;/titles&gt;&lt;periodical&gt;&lt;full-title&gt;Osteoporos Int.&lt;/full-title&gt;&lt;/periodical&gt;&lt;pages&gt;1726-1733&lt;/pages&gt;&lt;volume&gt;17&lt;/volume&gt;&lt;number&gt;12&lt;/number&gt;&lt;dates&gt;&lt;year&gt;2006&lt;/year&gt;&lt;/dates&gt;&lt;isbn&gt;0937-941X&lt;/isbn&gt;&lt;urls&gt;&lt;/urls&gt;&lt;/record&gt;&lt;/Cite&gt;&lt;/EndNote&gt;</w:instrText>
      </w:r>
      <w:r w:rsidR="00673D9D">
        <w:rPr>
          <w:rFonts w:cs="Arial"/>
        </w:rPr>
        <w:fldChar w:fldCharType="separate"/>
      </w:r>
      <w:r w:rsidR="00673D9D">
        <w:rPr>
          <w:rFonts w:cs="Arial"/>
          <w:noProof/>
        </w:rPr>
        <w:t>[1]</w:t>
      </w:r>
      <w:r w:rsidR="00673D9D">
        <w:rPr>
          <w:rFonts w:cs="Arial"/>
        </w:rPr>
        <w:fldChar w:fldCharType="end"/>
      </w:r>
      <w:r w:rsidR="007F6501" w:rsidRPr="00C54518">
        <w:rPr>
          <w:rFonts w:cs="Arial"/>
        </w:rPr>
        <w:t>. Osteoporotic fractures are associated with morbidity, mortality and significant economic costs; the economic burden associated with osteoporotic fractures was estimated at €37.4 billion in the European Union in 2010</w:t>
      </w:r>
      <w:r w:rsidR="00673D9D">
        <w:rPr>
          <w:rFonts w:cs="Arial"/>
        </w:rPr>
        <w:t xml:space="preserve"> </w:t>
      </w:r>
      <w:r w:rsidR="00673D9D">
        <w:rPr>
          <w:rFonts w:cs="Arial"/>
        </w:rPr>
        <w:fldChar w:fldCharType="begin"/>
      </w:r>
      <w:r w:rsidR="00673D9D">
        <w:rPr>
          <w:rFonts w:cs="Arial"/>
        </w:rPr>
        <w:instrText xml:space="preserve"> ADDIN EN.CITE &lt;EndNote&gt;&lt;Cite&gt;&lt;Author&gt;Hernlund&lt;/Author&gt;&lt;Year&gt;2013&lt;/Year&gt;&lt;RecNum&gt;209&lt;/RecNum&gt;&lt;DisplayText&gt;[2]&lt;/DisplayText&gt;&lt;record&gt;&lt;rec-number&gt;209&lt;/rec-number&gt;&lt;foreign-keys&gt;&lt;key app="EN" db-id="xp2sx5aahpsveaea2zq5s2xsef9d0fsxsxex" timestamp="1537866268"&gt;209&lt;/key&gt;&lt;/foreign-keys&gt;&lt;ref-type name="Journal Article"&gt;17&lt;/ref-type&gt;&lt;contributors&gt;&lt;authors&gt;&lt;author&gt;Hernlund, E&lt;/author&gt;&lt;author&gt;Svedbom, A&lt;/author&gt;&lt;author&gt;Ivergård, M&lt;/author&gt;&lt;author&gt;Compston, J&lt;/author&gt;&lt;author&gt;Cooper, Cyrus&lt;/author&gt;&lt;author&gt;Stenmark, J&lt;/author&gt;&lt;author&gt;McCloskey, Eugene V&lt;/author&gt;&lt;author&gt;Jönsson, Bengt&lt;/author&gt;&lt;author&gt;Kanis, John A&lt;/author&gt;&lt;/authors&gt;&lt;/contributors&gt;&lt;titles&gt;&lt;title&gt;Osteoporosis in the European Union: medical management, epidemiology and economic burden&lt;/title&gt;&lt;secondary-title&gt;Arch Osteoporos.&lt;/secondary-title&gt;&lt;/titles&gt;&lt;periodical&gt;&lt;full-title&gt;Arch Osteoporos.&lt;/full-title&gt;&lt;/periodical&gt;&lt;pages&gt;136&lt;/pages&gt;&lt;volume&gt;8&lt;/volume&gt;&lt;number&gt;1-2&lt;/number&gt;&lt;dates&gt;&lt;year&gt;2013&lt;/year&gt;&lt;/dates&gt;&lt;isbn&gt;1862-3522&lt;/isbn&gt;&lt;urls&gt;&lt;/urls&gt;&lt;/record&gt;&lt;/Cite&gt;&lt;/EndNote&gt;</w:instrText>
      </w:r>
      <w:r w:rsidR="00673D9D">
        <w:rPr>
          <w:rFonts w:cs="Arial"/>
        </w:rPr>
        <w:fldChar w:fldCharType="separate"/>
      </w:r>
      <w:r w:rsidR="00673D9D">
        <w:rPr>
          <w:rFonts w:cs="Arial"/>
          <w:noProof/>
        </w:rPr>
        <w:t>[2]</w:t>
      </w:r>
      <w:r w:rsidR="00673D9D">
        <w:rPr>
          <w:rFonts w:cs="Arial"/>
        </w:rPr>
        <w:fldChar w:fldCharType="end"/>
      </w:r>
      <w:r w:rsidR="00F2500A" w:rsidRPr="00C54518">
        <w:rPr>
          <w:rFonts w:cs="Arial"/>
        </w:rPr>
        <w:t>.</w:t>
      </w:r>
    </w:p>
    <w:p w14:paraId="4C97207F" w14:textId="1FF3F3DE" w:rsidR="00853F47" w:rsidRDefault="008E2878" w:rsidP="00C8570F">
      <w:pPr>
        <w:spacing w:after="240" w:line="360" w:lineRule="auto"/>
        <w:rPr>
          <w:rStyle w:val="articletitle"/>
          <w:rFonts w:cs="Arial"/>
          <w:iCs/>
        </w:rPr>
      </w:pPr>
      <w:r w:rsidRPr="008842C3">
        <w:rPr>
          <w:rFonts w:cs="Arial"/>
        </w:rPr>
        <w:t xml:space="preserve">Dual-energy x-ray absorptiometry (DXA) has been a widely adopted </w:t>
      </w:r>
      <w:r w:rsidR="005D4CC4" w:rsidRPr="008842C3">
        <w:rPr>
          <w:rFonts w:cs="Arial"/>
        </w:rPr>
        <w:t>technology since 1987</w:t>
      </w:r>
      <w:r w:rsidRPr="008842C3">
        <w:rPr>
          <w:rFonts w:cs="Arial"/>
          <w:lang w:eastAsia="en-GB"/>
        </w:rPr>
        <w:t xml:space="preserve"> for the assessment of bone mineral density (BMD</w:t>
      </w:r>
      <w:r w:rsidR="008842C3" w:rsidRPr="008842C3">
        <w:rPr>
          <w:rFonts w:cs="Arial"/>
          <w:lang w:eastAsia="en-GB"/>
        </w:rPr>
        <w:t>)</w:t>
      </w:r>
      <w:r w:rsidR="008842C3">
        <w:rPr>
          <w:rFonts w:cs="Arial"/>
          <w:lang w:eastAsia="en-GB"/>
        </w:rPr>
        <w:t>.</w:t>
      </w:r>
      <w:r w:rsidR="008842C3" w:rsidRPr="008842C3">
        <w:rPr>
          <w:rFonts w:cs="Arial"/>
        </w:rPr>
        <w:t xml:space="preserve"> The</w:t>
      </w:r>
      <w:r w:rsidR="002B2682">
        <w:rPr>
          <w:rFonts w:cs="Arial"/>
        </w:rPr>
        <w:t xml:space="preserve"> World Health Organisation (WHO)</w:t>
      </w:r>
      <w:r w:rsidR="008842C3" w:rsidRPr="008842C3">
        <w:rPr>
          <w:rFonts w:cs="Arial"/>
        </w:rPr>
        <w:t xml:space="preserve"> operational definition of osteoporosis is based on a DXA </w:t>
      </w:r>
      <w:r w:rsidR="008842C3">
        <w:rPr>
          <w:rFonts w:cs="Arial"/>
        </w:rPr>
        <w:t>measurement of BMD</w:t>
      </w:r>
      <w:r w:rsidR="006F7528">
        <w:rPr>
          <w:rFonts w:cs="Arial"/>
        </w:rPr>
        <w:t xml:space="preserve"> at least 2.5 standard deviations below the mean of a young adult reference population (</w:t>
      </w:r>
      <w:r w:rsidR="006F7528" w:rsidRPr="006F7528">
        <w:rPr>
          <w:rFonts w:cs="Arial"/>
        </w:rPr>
        <w:t>T</w:t>
      </w:r>
      <w:r w:rsidR="006F7528">
        <w:rPr>
          <w:rFonts w:ascii="Cambria Math" w:hAnsi="Cambria Math" w:cs="Cambria Math"/>
        </w:rPr>
        <w:t>-</w:t>
      </w:r>
      <w:r w:rsidR="006F7528" w:rsidRPr="006F7528">
        <w:rPr>
          <w:rFonts w:cs="Arial"/>
        </w:rPr>
        <w:t xml:space="preserve">score </w:t>
      </w:r>
      <w:r w:rsidR="006F7528">
        <w:rPr>
          <w:rFonts w:cs="Arial"/>
        </w:rPr>
        <w:t>≤ -</w:t>
      </w:r>
      <w:r w:rsidR="006F7528" w:rsidRPr="006F7528">
        <w:rPr>
          <w:rFonts w:cs="Arial"/>
        </w:rPr>
        <w:t>2</w:t>
      </w:r>
      <w:r w:rsidR="006F7528">
        <w:rPr>
          <w:rFonts w:cs="Arial"/>
        </w:rPr>
        <w:t xml:space="preserve">.5). </w:t>
      </w:r>
      <w:r w:rsidR="00BF160E">
        <w:rPr>
          <w:rFonts w:cs="Arial"/>
        </w:rPr>
        <w:t>F</w:t>
      </w:r>
      <w:r w:rsidR="008842C3" w:rsidRPr="008842C3">
        <w:rPr>
          <w:rFonts w:cs="Arial"/>
        </w:rPr>
        <w:t>racture risk</w:t>
      </w:r>
      <w:r w:rsidR="008842C3">
        <w:rPr>
          <w:rFonts w:cs="Arial"/>
        </w:rPr>
        <w:t xml:space="preserve"> is estimated to approximately double</w:t>
      </w:r>
      <w:r w:rsidR="008842C3" w:rsidRPr="008842C3">
        <w:rPr>
          <w:rFonts w:cs="Arial"/>
        </w:rPr>
        <w:t xml:space="preserve"> for every standard deviation decrease in BMD</w:t>
      </w:r>
      <w:r w:rsidR="00673D9D">
        <w:rPr>
          <w:rFonts w:cs="Arial"/>
        </w:rPr>
        <w:t xml:space="preserve"> </w:t>
      </w:r>
      <w:r w:rsidR="00673D9D">
        <w:rPr>
          <w:rFonts w:cs="Arial"/>
        </w:rPr>
        <w:fldChar w:fldCharType="begin"/>
      </w:r>
      <w:r w:rsidR="00673D9D">
        <w:rPr>
          <w:rFonts w:cs="Arial"/>
        </w:rPr>
        <w:instrText xml:space="preserve"> ADDIN EN.CITE &lt;EndNote&gt;&lt;Cite&gt;&lt;Author&gt;Marshall&lt;/Author&gt;&lt;Year&gt;1996&lt;/Year&gt;&lt;RecNum&gt;226&lt;/RecNum&gt;&lt;DisplayText&gt;[3]&lt;/DisplayText&gt;&lt;record&gt;&lt;rec-number&gt;226&lt;/rec-number&gt;&lt;foreign-keys&gt;&lt;key app="EN" db-id="xp2sx5aahpsveaea2zq5s2xsef9d0fsxsxex" timestamp="1556866694"&gt;226&lt;/key&gt;&lt;/foreign-keys&gt;&lt;ref-type name="Journal Article"&gt;17&lt;/ref-type&gt;&lt;contributors&gt;&lt;authors&gt;&lt;author&gt;Marshall,D.&lt;/author&gt;&lt;author&gt;Johnell,O.&lt;/author&gt;&lt;author&gt;Wedel,H.&lt;/author&gt;&lt;/authors&gt;&lt;/contributors&gt;&lt;auth-address&gt;Swedish Council on Technology Assessment in Health Care, Stockholm, Sweden&lt;/auth-address&gt;&lt;titles&gt;&lt;title&gt;Meta-analysis of how well measures of bone mineral density predict occurrence of osteoporotic fractures&lt;/title&gt;&lt;secondary-title&gt;BMJ.&lt;/secondary-title&gt;&lt;/titles&gt;&lt;periodical&gt;&lt;full-title&gt;BMJ.&lt;/full-title&gt;&lt;/periodical&gt;&lt;pages&gt;1254-1259&lt;/pages&gt;&lt;volume&gt;312&lt;/volume&gt;&lt;number&gt;7041&lt;/number&gt;&lt;reprint-edition&gt;Not in File&lt;/reprint-edition&gt;&lt;keywords&gt;&lt;keyword&gt;Aged&lt;/keyword&gt;&lt;keyword&gt;Bone Density&lt;/keyword&gt;&lt;keyword&gt;Cohort Studies&lt;/keyword&gt;&lt;keyword&gt;complications&lt;/keyword&gt;&lt;keyword&gt;etiology&lt;/keyword&gt;&lt;keyword&gt;Female&lt;/keyword&gt;&lt;keyword&gt;Follow-Up Studies&lt;/keyword&gt;&lt;keyword&gt;Forecasting&lt;/keyword&gt;&lt;keyword&gt;Fractures,Bone&lt;/keyword&gt;&lt;keyword&gt;Hip Fractures&lt;/keyword&gt;&lt;keyword&gt;Humans&lt;/keyword&gt;&lt;keyword&gt;Osteoporosis&lt;/keyword&gt;&lt;keyword&gt;Osteoporosis,Postmenopausal&lt;/keyword&gt;&lt;keyword&gt;physiopathology&lt;/keyword&gt;&lt;keyword&gt;Predictive Value of Tests&lt;/keyword&gt;&lt;keyword&gt;Prospective Studies&lt;/keyword&gt;&lt;keyword&gt;Risk Factors&lt;/keyword&gt;&lt;keyword&gt;Sensitivity and Specificity&lt;/keyword&gt;&lt;keyword&gt;Spine&lt;/keyword&gt;&lt;/keywords&gt;&lt;dates&gt;&lt;year&gt;1996&lt;/year&gt;&lt;pub-dates&gt;&lt;date&gt;5/18/1996&lt;/date&gt;&lt;/pub-dates&gt;&lt;/dates&gt;&lt;label&gt;23&lt;/label&gt;&lt;urls&gt;&lt;related-urls&gt;&lt;url&gt;http://www.ncbi.nlm.nih.gov/pubmed/8634613&lt;/url&gt;&lt;/related-urls&gt;&lt;/urls&gt;&lt;/record&gt;&lt;/Cite&gt;&lt;/EndNote&gt;</w:instrText>
      </w:r>
      <w:r w:rsidR="00673D9D">
        <w:rPr>
          <w:rFonts w:cs="Arial"/>
        </w:rPr>
        <w:fldChar w:fldCharType="separate"/>
      </w:r>
      <w:r w:rsidR="00673D9D">
        <w:rPr>
          <w:rFonts w:cs="Arial"/>
          <w:noProof/>
        </w:rPr>
        <w:t>[3]</w:t>
      </w:r>
      <w:r w:rsidR="00673D9D">
        <w:rPr>
          <w:rFonts w:cs="Arial"/>
        </w:rPr>
        <w:fldChar w:fldCharType="end"/>
      </w:r>
      <w:r w:rsidR="008842C3">
        <w:rPr>
          <w:rFonts w:cs="Arial"/>
        </w:rPr>
        <w:t>.</w:t>
      </w:r>
      <w:r w:rsidR="00853F47" w:rsidRPr="008842C3">
        <w:rPr>
          <w:rFonts w:cs="Arial"/>
          <w:lang w:eastAsia="en-GB"/>
        </w:rPr>
        <w:t xml:space="preserve"> </w:t>
      </w:r>
      <w:r w:rsidR="00857202">
        <w:rPr>
          <w:rFonts w:cs="Arial"/>
          <w:lang w:eastAsia="en-GB"/>
        </w:rPr>
        <w:t xml:space="preserve">However, a higher </w:t>
      </w:r>
      <w:r w:rsidR="00803918">
        <w:rPr>
          <w:rFonts w:cs="Arial"/>
          <w:lang w:eastAsia="en-GB"/>
        </w:rPr>
        <w:t>total number</w:t>
      </w:r>
      <w:r w:rsidR="00857202">
        <w:rPr>
          <w:rFonts w:cs="Arial"/>
          <w:lang w:eastAsia="en-GB"/>
        </w:rPr>
        <w:t xml:space="preserve"> of fragility fractures</w:t>
      </w:r>
      <w:r w:rsidR="00857202" w:rsidRPr="00857202">
        <w:rPr>
          <w:rFonts w:cs="Arial"/>
          <w:lang w:eastAsia="en-GB"/>
        </w:rPr>
        <w:t xml:space="preserve"> occur in individuals with BMD values above </w:t>
      </w:r>
      <w:r w:rsidR="00857202">
        <w:rPr>
          <w:rFonts w:cs="Arial"/>
          <w:lang w:eastAsia="en-GB"/>
        </w:rPr>
        <w:t xml:space="preserve">the </w:t>
      </w:r>
      <w:r w:rsidR="00857202" w:rsidRPr="00857202">
        <w:rPr>
          <w:rFonts w:cs="Arial"/>
          <w:lang w:eastAsia="en-GB"/>
        </w:rPr>
        <w:t>threshold for osteoporosis diagnosis</w:t>
      </w:r>
      <w:r w:rsidR="00857202">
        <w:rPr>
          <w:rFonts w:cs="Arial"/>
          <w:lang w:eastAsia="en-GB"/>
        </w:rPr>
        <w:t xml:space="preserve">, resulting in under-treatment if BMD alone was used to determine treatment thresholds. Therefore, a clinical diagnosis of osteoporosis based on the occurrence of low trauma fractures and the use of clinical risk factors to enhance fracture risk prediction </w:t>
      </w:r>
      <w:r w:rsidR="00974A61">
        <w:rPr>
          <w:rFonts w:cs="Arial"/>
          <w:lang w:eastAsia="en-GB"/>
        </w:rPr>
        <w:fldChar w:fldCharType="begin">
          <w:fldData xml:space="preserve">PEVuZE5vdGU+PENpdGU+PEF1dGhvcj5LYW5pczwvQXV0aG9yPjxZZWFyPjIwMDc8L1llYXI+PFJl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</w:fldData>
        </w:fldChar>
      </w:r>
      <w:r w:rsidR="00974A61">
        <w:rPr>
          <w:rFonts w:cs="Arial"/>
          <w:lang w:eastAsia="en-GB"/>
        </w:rPr>
        <w:instrText xml:space="preserve"> ADDIN EN.CITE </w:instrText>
      </w:r>
      <w:r w:rsidR="00974A61">
        <w:rPr>
          <w:rFonts w:cs="Arial"/>
          <w:lang w:eastAsia="en-GB"/>
        </w:rPr>
        <w:fldChar w:fldCharType="begin">
          <w:fldData xml:space="preserve">PEVuZE5vdGU+PENpdGU+PEF1dGhvcj5LYW5pczwvQXV0aG9yPjxZZWFyPjIwMDc8L1llYXI+PFJl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</w:fldData>
        </w:fldChar>
      </w:r>
      <w:r w:rsidR="00974A61">
        <w:rPr>
          <w:rFonts w:cs="Arial"/>
          <w:lang w:eastAsia="en-GB"/>
        </w:rPr>
        <w:instrText xml:space="preserve"> ADDIN EN.CITE.DATA </w:instrText>
      </w:r>
      <w:r w:rsidR="00974A61">
        <w:rPr>
          <w:rFonts w:cs="Arial"/>
          <w:lang w:eastAsia="en-GB"/>
        </w:rPr>
      </w:r>
      <w:r w:rsidR="00974A61">
        <w:rPr>
          <w:rFonts w:cs="Arial"/>
          <w:lang w:eastAsia="en-GB"/>
        </w:rPr>
        <w:fldChar w:fldCharType="end"/>
      </w:r>
      <w:r w:rsidR="00974A61">
        <w:rPr>
          <w:rFonts w:cs="Arial"/>
          <w:lang w:eastAsia="en-GB"/>
        </w:rPr>
      </w:r>
      <w:r w:rsidR="00974A61">
        <w:rPr>
          <w:rFonts w:cs="Arial"/>
          <w:lang w:eastAsia="en-GB"/>
        </w:rPr>
        <w:fldChar w:fldCharType="separate"/>
      </w:r>
      <w:r w:rsidR="00974A61">
        <w:rPr>
          <w:rFonts w:cs="Arial"/>
          <w:noProof/>
          <w:lang w:eastAsia="en-GB"/>
        </w:rPr>
        <w:t>[4, 5]</w:t>
      </w:r>
      <w:r w:rsidR="00974A61">
        <w:rPr>
          <w:rFonts w:cs="Arial"/>
          <w:lang w:eastAsia="en-GB"/>
        </w:rPr>
        <w:fldChar w:fldCharType="end"/>
      </w:r>
      <w:r w:rsidR="00974A61">
        <w:rPr>
          <w:rFonts w:cs="Arial"/>
          <w:lang w:eastAsia="en-GB"/>
        </w:rPr>
        <w:t xml:space="preserve"> </w:t>
      </w:r>
      <w:r w:rsidR="00857202">
        <w:rPr>
          <w:rFonts w:cs="Arial"/>
          <w:lang w:eastAsia="en-GB"/>
        </w:rPr>
        <w:t>has developed in recent years</w:t>
      </w:r>
      <w:r w:rsidR="00853F47" w:rsidRPr="00C54518">
        <w:rPr>
          <w:rStyle w:val="articletitle"/>
          <w:rFonts w:cs="Arial"/>
          <w:iCs/>
        </w:rPr>
        <w:t xml:space="preserve">. </w:t>
      </w:r>
    </w:p>
    <w:p w14:paraId="5CC68A71" w14:textId="0BE4C36B" w:rsidR="008E6588" w:rsidRPr="00AD6BCF" w:rsidRDefault="0007723B" w:rsidP="00C8570F">
      <w:pPr>
        <w:spacing w:after="240" w:line="360" w:lineRule="auto"/>
        <w:rPr>
          <w:rStyle w:val="articletitle"/>
          <w:rFonts w:cs="Arial"/>
        </w:rPr>
      </w:pPr>
      <w:r>
        <w:rPr>
          <w:rStyle w:val="articletitle"/>
          <w:rFonts w:cs="Arial"/>
          <w:iCs/>
        </w:rPr>
        <w:t xml:space="preserve">Osteoporosis has been referred to as the silent epidemic </w:t>
      </w:r>
      <w:r w:rsidR="00974A61">
        <w:rPr>
          <w:rStyle w:val="articletitle"/>
          <w:rFonts w:cs="Arial"/>
          <w:iCs/>
        </w:rPr>
        <w:fldChar w:fldCharType="begin"/>
      </w:r>
      <w:r w:rsidR="00974A61">
        <w:rPr>
          <w:rStyle w:val="articletitle"/>
          <w:rFonts w:cs="Arial"/>
          <w:iCs/>
        </w:rPr>
        <w:instrText xml:space="preserve"> ADDIN EN.CITE &lt;EndNote&gt;&lt;Cite&gt;&lt;Author&gt;Kanis&lt;/Author&gt;&lt;Year&gt;1989&lt;/Year&gt;&lt;RecNum&gt;265&lt;/RecNum&gt;&lt;DisplayText&gt;[6]&lt;/DisplayText&gt;&lt;record&gt;&lt;rec-number&gt;265&lt;/rec-number&gt;&lt;foreign-keys&gt;&lt;key app="EN" db-id="xp2sx5aahpsveaea2zq5s2xsef9d0fsxsxex" timestamp="1586945897"&gt;265&lt;/key&gt;&lt;/foreign-keys&gt;&lt;ref-type name="Journal Article"&gt;17&lt;/ref-type&gt;&lt;contributors&gt;&lt;authors&gt;&lt;author&gt;Kanis, J&lt;/author&gt;&lt;/authors&gt;&lt;/contributors&gt;&lt;titles&gt;&lt;title&gt;Osteoporosis--the silent epidemic&lt;/title&gt;&lt;secondary-title&gt;Health Visit.&lt;/secondary-title&gt;&lt;/titles&gt;&lt;periodical&gt;&lt;full-title&gt;Health Visitor&lt;/full-title&gt;&lt;abbr-1&gt;Health Visit.&lt;/abbr-1&gt;&lt;abbr-2&gt;Health Visit&lt;/abbr-2&gt;&lt;/periodical&gt;&lt;pages&gt;14-15&lt;/pages&gt;&lt;volume&gt;62&lt;/volume&gt;&lt;number&gt;1&lt;/number&gt;&lt;dates&gt;&lt;year&gt;1989&lt;/year&gt;&lt;/dates&gt;&lt;isbn&gt;0017-9140&lt;/isbn&gt;&lt;urls&gt;&lt;/urls&gt;&lt;/record&gt;&lt;/Cite&gt;&lt;/EndNote&gt;</w:instrText>
      </w:r>
      <w:r w:rsidR="00974A61">
        <w:rPr>
          <w:rStyle w:val="articletitle"/>
          <w:rFonts w:cs="Arial"/>
          <w:iCs/>
        </w:rPr>
        <w:fldChar w:fldCharType="separate"/>
      </w:r>
      <w:r w:rsidR="00974A61">
        <w:rPr>
          <w:rStyle w:val="articletitle"/>
          <w:rFonts w:cs="Arial"/>
          <w:iCs/>
          <w:noProof/>
        </w:rPr>
        <w:t>[6]</w:t>
      </w:r>
      <w:r w:rsidR="00974A61">
        <w:rPr>
          <w:rStyle w:val="articletitle"/>
          <w:rFonts w:cs="Arial"/>
          <w:iCs/>
        </w:rPr>
        <w:fldChar w:fldCharType="end"/>
      </w:r>
      <w:r w:rsidR="00974A61">
        <w:rPr>
          <w:rStyle w:val="articletitle"/>
          <w:rFonts w:cs="Arial"/>
          <w:iCs/>
        </w:rPr>
        <w:t xml:space="preserve"> </w:t>
      </w:r>
      <w:r w:rsidR="00FD76BB">
        <w:rPr>
          <w:rStyle w:val="articletitle"/>
          <w:rFonts w:cs="Arial"/>
          <w:iCs/>
        </w:rPr>
        <w:t>- s</w:t>
      </w:r>
      <w:r w:rsidRPr="0007723B">
        <w:rPr>
          <w:rStyle w:val="articletitle"/>
          <w:rFonts w:cs="Arial"/>
          <w:iCs/>
        </w:rPr>
        <w:t>ilent because osteoporosis and bone fragility is asymptomatic</w:t>
      </w:r>
      <w:r w:rsidR="00ED2D9F">
        <w:rPr>
          <w:rStyle w:val="articletitle"/>
          <w:rFonts w:cs="Arial"/>
          <w:iCs/>
        </w:rPr>
        <w:t xml:space="preserve"> prior to a fracture</w:t>
      </w:r>
      <w:r w:rsidRPr="0007723B">
        <w:rPr>
          <w:rStyle w:val="articletitle"/>
          <w:rFonts w:cs="Arial"/>
          <w:iCs/>
        </w:rPr>
        <w:t xml:space="preserve">. </w:t>
      </w:r>
      <w:r w:rsidR="00FD76BB">
        <w:rPr>
          <w:rStyle w:val="articletitle"/>
          <w:rFonts w:cs="Arial"/>
          <w:iCs/>
        </w:rPr>
        <w:t>As a consequence</w:t>
      </w:r>
      <w:r w:rsidR="002B2682">
        <w:rPr>
          <w:rStyle w:val="articletitle"/>
          <w:rFonts w:cs="Arial"/>
          <w:iCs/>
        </w:rPr>
        <w:t>,</w:t>
      </w:r>
      <w:r w:rsidR="00FD76BB">
        <w:rPr>
          <w:rStyle w:val="articletitle"/>
          <w:rFonts w:cs="Arial"/>
          <w:iCs/>
        </w:rPr>
        <w:t xml:space="preserve"> osteoporosis often receives less attention from governments and healthcare providers when compared to other chronic non-communicable diseases </w:t>
      </w:r>
      <w:r w:rsidR="009147CD">
        <w:rPr>
          <w:rStyle w:val="articletitle"/>
          <w:rFonts w:cs="Arial"/>
          <w:iCs/>
        </w:rPr>
        <w:t>worldwide</w:t>
      </w:r>
      <w:r w:rsidR="00974A61">
        <w:rPr>
          <w:rStyle w:val="articletitle"/>
          <w:rFonts w:cs="Arial"/>
          <w:iCs/>
        </w:rPr>
        <w:t xml:space="preserve"> </w:t>
      </w:r>
      <w:r w:rsidR="00974A61">
        <w:rPr>
          <w:rStyle w:val="articletitle"/>
          <w:rFonts w:cs="Arial"/>
          <w:iCs/>
        </w:rPr>
        <w:fldChar w:fldCharType="begin"/>
      </w:r>
      <w:r w:rsidR="00974A61">
        <w:rPr>
          <w:rStyle w:val="articletitle"/>
          <w:rFonts w:cs="Arial"/>
          <w:iCs/>
        </w:rPr>
        <w:instrText xml:space="preserve"> ADDIN EN.CITE &lt;EndNote&gt;&lt;Cite&gt;&lt;Author&gt;Curtis&lt;/Author&gt;&lt;Year&gt;2017&lt;/Year&gt;&lt;RecNum&gt;267&lt;/RecNum&gt;&lt;DisplayText&gt;[7]&lt;/DisplayText&gt;&lt;record&gt;&lt;rec-number&gt;267&lt;/rec-number&gt;&lt;foreign-keys&gt;&lt;key app="EN" db-id="xp2sx5aahpsveaea2zq5s2xsef9d0fsxsxex" timestamp="1586946192"&gt;267&lt;/key&gt;&lt;/foreign-keys&gt;&lt;ref-type name="Journal Article"&gt;17&lt;/ref-type&gt;&lt;contributors&gt;&lt;authors&gt;&lt;author&gt;Curtis, Elizabeth M&lt;/author&gt;&lt;author&gt;Moon, Rebecca J&lt;/author&gt;&lt;author&gt;Harvey, Nicholas C&lt;/author&gt;&lt;author&gt;Cooper, Cyrus&lt;/author&gt;&lt;/authors&gt;&lt;/contributors&gt;&lt;titles&gt;&lt;title&gt;The impact of fragility fracture and approaches to osteoporosis risk assessment worldwide.&lt;/title&gt;&lt;secondary-title&gt;Bone.&lt;/secondary-title&gt;&lt;/titles&gt;&lt;periodical&gt;&lt;full-title&gt;Bone.&lt;/full-title&gt;&lt;/periodical&gt;&lt;pages&gt;29-38&lt;/pages&gt;&lt;volume&gt;104&lt;/volume&gt;&lt;dates&gt;&lt;year&gt;2017&lt;/year&gt;&lt;/dates&gt;&lt;urls&gt;&lt;/urls&gt;&lt;/record&gt;&lt;/Cite&gt;&lt;/EndNote&gt;</w:instrText>
      </w:r>
      <w:r w:rsidR="00974A61">
        <w:rPr>
          <w:rStyle w:val="articletitle"/>
          <w:rFonts w:cs="Arial"/>
          <w:iCs/>
        </w:rPr>
        <w:fldChar w:fldCharType="separate"/>
      </w:r>
      <w:r w:rsidR="00974A61">
        <w:rPr>
          <w:rStyle w:val="articletitle"/>
          <w:rFonts w:cs="Arial"/>
          <w:iCs/>
          <w:noProof/>
        </w:rPr>
        <w:t>[7]</w:t>
      </w:r>
      <w:r w:rsidR="00974A61">
        <w:rPr>
          <w:rStyle w:val="articletitle"/>
          <w:rFonts w:cs="Arial"/>
          <w:iCs/>
        </w:rPr>
        <w:fldChar w:fldCharType="end"/>
      </w:r>
      <w:r w:rsidR="00FD76BB">
        <w:rPr>
          <w:rStyle w:val="articletitle"/>
          <w:rFonts w:cs="Arial"/>
          <w:iCs/>
        </w:rPr>
        <w:t>.</w:t>
      </w:r>
      <w:r w:rsidRPr="0007723B">
        <w:rPr>
          <w:rStyle w:val="articletitle"/>
          <w:rFonts w:cs="Arial"/>
          <w:iCs/>
        </w:rPr>
        <w:t xml:space="preserve"> </w:t>
      </w:r>
      <w:r w:rsidR="005B140C">
        <w:rPr>
          <w:rStyle w:val="articletitle"/>
          <w:rFonts w:cs="Arial"/>
          <w:iCs/>
        </w:rPr>
        <w:t>The effectiveness of an individual nation at assessing and treating osteoporosis is greatly influenced by their</w:t>
      </w:r>
      <w:r w:rsidRPr="0007723B">
        <w:rPr>
          <w:rStyle w:val="articletitle"/>
          <w:rFonts w:cs="Arial"/>
          <w:iCs/>
        </w:rPr>
        <w:t xml:space="preserve"> policy on access to</w:t>
      </w:r>
      <w:r w:rsidR="00851479">
        <w:rPr>
          <w:rStyle w:val="articletitle"/>
          <w:rFonts w:cs="Arial"/>
          <w:iCs/>
        </w:rPr>
        <w:t>,</w:t>
      </w:r>
      <w:r w:rsidRPr="0007723B">
        <w:rPr>
          <w:rStyle w:val="articletitle"/>
          <w:rFonts w:cs="Arial"/>
          <w:iCs/>
        </w:rPr>
        <w:t xml:space="preserve"> </w:t>
      </w:r>
      <w:r w:rsidR="00416D24">
        <w:rPr>
          <w:rStyle w:val="articletitle"/>
          <w:rFonts w:cs="Arial"/>
          <w:iCs/>
        </w:rPr>
        <w:t>and quality of</w:t>
      </w:r>
      <w:r w:rsidR="00851479">
        <w:rPr>
          <w:rStyle w:val="articletitle"/>
          <w:rFonts w:cs="Arial"/>
          <w:iCs/>
        </w:rPr>
        <w:t>,</w:t>
      </w:r>
      <w:r w:rsidR="00416D24">
        <w:rPr>
          <w:rStyle w:val="articletitle"/>
          <w:rFonts w:cs="Arial"/>
          <w:iCs/>
        </w:rPr>
        <w:t xml:space="preserve"> their DXA services</w:t>
      </w:r>
      <w:r w:rsidR="00C3018D">
        <w:rPr>
          <w:rStyle w:val="articletitle"/>
          <w:rFonts w:cs="Arial"/>
          <w:iCs/>
        </w:rPr>
        <w:t xml:space="preserve">. For example, an audit conducted by the </w:t>
      </w:r>
      <w:r w:rsidR="00C3018D" w:rsidRPr="00C3018D">
        <w:rPr>
          <w:rStyle w:val="articletitle"/>
          <w:rFonts w:cs="Arial"/>
          <w:iCs/>
        </w:rPr>
        <w:t>International Osteoporosis Foundation</w:t>
      </w:r>
      <w:r w:rsidR="00C3018D">
        <w:rPr>
          <w:rStyle w:val="articletitle"/>
          <w:rFonts w:cs="Arial"/>
          <w:iCs/>
        </w:rPr>
        <w:t xml:space="preserve"> (IOF)</w:t>
      </w:r>
      <w:r w:rsidR="00851479">
        <w:rPr>
          <w:rStyle w:val="articletitle"/>
          <w:rFonts w:cs="Arial"/>
          <w:iCs/>
        </w:rPr>
        <w:t>,</w:t>
      </w:r>
      <w:r w:rsidR="00C3018D">
        <w:rPr>
          <w:rStyle w:val="articletitle"/>
          <w:rFonts w:cs="Arial"/>
          <w:iCs/>
        </w:rPr>
        <w:t xml:space="preserve"> looking at access and reimbursement </w:t>
      </w:r>
      <w:r w:rsidR="00C3018D" w:rsidRPr="00C3018D">
        <w:rPr>
          <w:rStyle w:val="articletitle"/>
          <w:rFonts w:cs="Arial"/>
          <w:iCs/>
        </w:rPr>
        <w:t>for osteoporosis assessment and treatment</w:t>
      </w:r>
      <w:r w:rsidR="00C3018D">
        <w:rPr>
          <w:rStyle w:val="articletitle"/>
          <w:rFonts w:cs="Arial"/>
          <w:iCs/>
        </w:rPr>
        <w:t xml:space="preserve"> in Asia Pacific</w:t>
      </w:r>
      <w:r w:rsidR="00851479">
        <w:rPr>
          <w:rStyle w:val="articletitle"/>
          <w:rFonts w:cs="Arial"/>
          <w:iCs/>
        </w:rPr>
        <w:t>,</w:t>
      </w:r>
      <w:r w:rsidR="00C3018D">
        <w:rPr>
          <w:rStyle w:val="articletitle"/>
          <w:rFonts w:cs="Arial"/>
          <w:iCs/>
        </w:rPr>
        <w:t xml:space="preserve"> found that </w:t>
      </w:r>
      <w:r w:rsidRPr="0007723B">
        <w:rPr>
          <w:rStyle w:val="articletitle"/>
          <w:rFonts w:cs="Arial"/>
          <w:iCs/>
        </w:rPr>
        <w:t xml:space="preserve">whilst Australia, Hong Kong, Japan, New Zealand, Republic of Korea and Singapore </w:t>
      </w:r>
      <w:r w:rsidR="00370F75">
        <w:rPr>
          <w:rStyle w:val="articletitle"/>
          <w:rFonts w:cs="Arial"/>
          <w:iCs/>
        </w:rPr>
        <w:t xml:space="preserve">were well resourced with </w:t>
      </w:r>
      <w:r w:rsidRPr="0007723B">
        <w:rPr>
          <w:rStyle w:val="articletitle"/>
          <w:rFonts w:cs="Arial"/>
          <w:iCs/>
        </w:rPr>
        <w:t xml:space="preserve">12-24 DXA machines per million of population, China, India, Indonesia, Pakistan, </w:t>
      </w:r>
      <w:r w:rsidR="00E41D52" w:rsidRPr="0007723B">
        <w:rPr>
          <w:rStyle w:val="articletitle"/>
          <w:rFonts w:cs="Arial"/>
          <w:iCs/>
        </w:rPr>
        <w:t>Philippines</w:t>
      </w:r>
      <w:r w:rsidRPr="0007723B">
        <w:rPr>
          <w:rStyle w:val="articletitle"/>
          <w:rFonts w:cs="Arial"/>
          <w:iCs/>
        </w:rPr>
        <w:t xml:space="preserve">, Sri Lanka and Vietnam </w:t>
      </w:r>
      <w:r w:rsidR="00370F75">
        <w:rPr>
          <w:rStyle w:val="articletitle"/>
          <w:rFonts w:cs="Arial"/>
          <w:iCs/>
        </w:rPr>
        <w:t>had</w:t>
      </w:r>
      <w:r w:rsidR="009147CD">
        <w:rPr>
          <w:rStyle w:val="articletitle"/>
          <w:rFonts w:cs="Arial"/>
          <w:iCs/>
        </w:rPr>
        <w:t xml:space="preserve"> </w:t>
      </w:r>
      <w:r w:rsidRPr="0007723B">
        <w:rPr>
          <w:rStyle w:val="articletitle"/>
          <w:rFonts w:cs="Arial"/>
          <w:iCs/>
        </w:rPr>
        <w:t>less than 1 DXA machine per million</w:t>
      </w:r>
      <w:r w:rsidR="00114F6E">
        <w:rPr>
          <w:rStyle w:val="articletitle"/>
          <w:rFonts w:cs="Arial"/>
          <w:iCs/>
        </w:rPr>
        <w:t xml:space="preserve"> </w:t>
      </w:r>
      <w:r w:rsidR="00114F6E">
        <w:rPr>
          <w:rStyle w:val="articletitle"/>
          <w:rFonts w:cs="Arial"/>
          <w:iCs/>
        </w:rPr>
        <w:fldChar w:fldCharType="begin"/>
      </w:r>
      <w:r w:rsidR="00244505">
        <w:rPr>
          <w:rStyle w:val="articletitle"/>
          <w:rFonts w:cs="Arial"/>
          <w:iCs/>
        </w:rPr>
        <w:instrText xml:space="preserve"> ADDIN EN.CITE &lt;EndNote&gt;&lt;Cite&gt;&lt;Author&gt;Mithal&lt;/Author&gt;&lt;Year&gt;2014&lt;/Year&gt;&lt;RecNum&gt;268&lt;/RecNum&gt;&lt;DisplayText&gt;[8]&lt;/DisplayText&gt;&lt;record&gt;&lt;rec-number&gt;268&lt;/rec-number&gt;&lt;foreign-keys&gt;&lt;key app="EN" db-id="xp2sx5aahpsveaea2zq5s2xsef9d0fsxsxex" timestamp="1586946360"&gt;268&lt;/key&gt;&lt;/foreign-keys&gt;&lt;ref-type name="Journal Article"&gt;17&lt;/ref-type&gt;&lt;contributors&gt;&lt;authors&gt;&lt;author&gt;Mithal, Ambrish&lt;/author&gt;&lt;author&gt;Bansal, Beena&lt;/author&gt;&lt;author&gt;Kyer, Carey S&lt;/author&gt;&lt;author&gt;Ebeling, Peter&lt;/author&gt;&lt;/authors&gt;&lt;/contributors&gt;&lt;titles&gt;&lt;title&gt;The Asia-Pacific Regional Audit-Epidemiology, Costs, and Burden of Osteoporosis in India 2013: A report of International Osteoporosis Foundation.&lt;/title&gt;&lt;secondary-title&gt;Indian J Endocrinol Metab.&lt;/secondary-title&gt;&lt;/titles&gt;&lt;periodical&gt;&lt;full-title&gt;Indian J Endocrinol Metab.&lt;/full-title&gt;&lt;/periodical&gt;&lt;pages&gt;449-454&lt;/pages&gt;&lt;volume&gt;18&lt;/volume&gt;&lt;number&gt;4&lt;/number&gt;&lt;dates&gt;&lt;year&gt;2014&lt;/year&gt;&lt;/dates&gt;&lt;urls&gt;&lt;/urls&gt;&lt;/record&gt;&lt;/Cite&gt;&lt;/EndNote&gt;</w:instrText>
      </w:r>
      <w:r w:rsidR="00114F6E">
        <w:rPr>
          <w:rStyle w:val="articletitle"/>
          <w:rFonts w:cs="Arial"/>
          <w:iCs/>
        </w:rPr>
        <w:fldChar w:fldCharType="separate"/>
      </w:r>
      <w:r w:rsidR="00114F6E">
        <w:rPr>
          <w:rStyle w:val="articletitle"/>
          <w:rFonts w:cs="Arial"/>
          <w:iCs/>
          <w:noProof/>
        </w:rPr>
        <w:t>[8]</w:t>
      </w:r>
      <w:r w:rsidR="00114F6E">
        <w:rPr>
          <w:rStyle w:val="articletitle"/>
          <w:rFonts w:cs="Arial"/>
          <w:iCs/>
        </w:rPr>
        <w:fldChar w:fldCharType="end"/>
      </w:r>
      <w:r w:rsidRPr="0007723B">
        <w:rPr>
          <w:rStyle w:val="articletitle"/>
          <w:rFonts w:cs="Arial"/>
          <w:iCs/>
        </w:rPr>
        <w:t xml:space="preserve">. </w:t>
      </w:r>
      <w:r w:rsidR="00851479">
        <w:rPr>
          <w:rStyle w:val="articletitle"/>
          <w:rFonts w:cs="Arial"/>
          <w:iCs/>
        </w:rPr>
        <w:t>A</w:t>
      </w:r>
      <w:r w:rsidR="00370F75">
        <w:rPr>
          <w:rStyle w:val="articletitle"/>
          <w:rFonts w:cs="Arial"/>
          <w:iCs/>
        </w:rPr>
        <w:t>n audit conducted by the IOF in conjunction with</w:t>
      </w:r>
      <w:r w:rsidR="00370F75" w:rsidRPr="00370F75">
        <w:rPr>
          <w:rStyle w:val="articletitle"/>
          <w:rFonts w:cs="Arial"/>
          <w:iCs/>
        </w:rPr>
        <w:t xml:space="preserve"> the European Federation of Pharmaceutical Industry Associations (EFPIA)</w:t>
      </w:r>
      <w:r w:rsidR="00851479">
        <w:rPr>
          <w:rStyle w:val="articletitle"/>
          <w:rFonts w:cs="Arial"/>
          <w:iCs/>
        </w:rPr>
        <w:t>,</w:t>
      </w:r>
      <w:r w:rsidR="00370F75" w:rsidRPr="00370F75">
        <w:rPr>
          <w:rStyle w:val="articletitle"/>
          <w:rFonts w:cs="Arial"/>
          <w:iCs/>
        </w:rPr>
        <w:t xml:space="preserve"> </w:t>
      </w:r>
      <w:r w:rsidR="00370F75">
        <w:rPr>
          <w:rStyle w:val="articletitle"/>
          <w:rFonts w:cs="Arial"/>
          <w:iCs/>
        </w:rPr>
        <w:t>looking at DXA provision in the European Union</w:t>
      </w:r>
      <w:r w:rsidR="00851479">
        <w:rPr>
          <w:rStyle w:val="articletitle"/>
          <w:rFonts w:cs="Arial"/>
          <w:iCs/>
        </w:rPr>
        <w:t>,</w:t>
      </w:r>
      <w:r w:rsidR="009147CD">
        <w:rPr>
          <w:rStyle w:val="articletitle"/>
          <w:rFonts w:cs="Arial"/>
          <w:iCs/>
        </w:rPr>
        <w:t xml:space="preserve"> found that </w:t>
      </w:r>
      <w:r w:rsidR="009147CD">
        <w:t>Austria, Belgium, Cyprus, Denmark, Finland, France, Germany, Greece, Italy, Portugal and Slovenia had at least 11 DXA machines per million (</w:t>
      </w:r>
      <w:r w:rsidR="009147CD" w:rsidRPr="009147CD">
        <w:t>previous</w:t>
      </w:r>
      <w:r w:rsidR="0066500D">
        <w:t>ly</w:t>
      </w:r>
      <w:r w:rsidR="009147CD" w:rsidRPr="009147CD">
        <w:t xml:space="preserve"> estimate</w:t>
      </w:r>
      <w:r w:rsidR="009147CD">
        <w:t xml:space="preserve">d to be the minimum number required for adequate </w:t>
      </w:r>
      <w:r w:rsidR="00C1104D">
        <w:t xml:space="preserve">osteoporosis </w:t>
      </w:r>
      <w:r w:rsidR="009147CD">
        <w:t>care</w:t>
      </w:r>
      <w:r w:rsidR="00114F6E">
        <w:t xml:space="preserve"> </w:t>
      </w:r>
      <w:r w:rsidR="00114F6E">
        <w:fldChar w:fldCharType="begin"/>
      </w:r>
      <w:r w:rsidR="00114F6E">
        <w:instrText xml:space="preserve"> ADDIN EN.CITE &lt;EndNote&gt;&lt;Cite&gt;&lt;Author&gt;Kanis&lt;/Author&gt;&lt;Year&gt;2005&lt;/Year&gt;&lt;RecNum&gt;269&lt;/RecNum&gt;&lt;DisplayText&gt;[9]&lt;/DisplayText&gt;&lt;record&gt;&lt;rec-number&gt;269&lt;/rec-number&gt;&lt;foreign-keys&gt;&lt;key app="EN" db-id="xp2sx5aahpsveaea2zq5s2xsef9d0fsxsxex" timestamp="1586946497"&gt;269&lt;/key&gt;&lt;/foreign-keys&gt;&lt;ref-type name="Journal Article"&gt;17&lt;/ref-type&gt;&lt;contributors&gt;&lt;authors&gt;&lt;author&gt;Kanis, JA&lt;/author&gt;&lt;author&gt;Johnell, Olof&lt;/author&gt;&lt;/authors&gt;&lt;/contributors&gt;&lt;titles&gt;&lt;title&gt;Requirements for DXA for the management of osteoporosis in Europe&lt;/title&gt;&lt;secondary-title&gt;Osteoporos Int.&lt;/secondary-title&gt;&lt;/titles&gt;&lt;periodical&gt;&lt;full-title&gt;Osteoporos Int.&lt;/full-title&gt;&lt;/periodical&gt;&lt;pages&gt;229-238&lt;/pages&gt;&lt;volume&gt;16&lt;/volume&gt;&lt;number&gt;3&lt;/number&gt;&lt;dates&gt;&lt;year&gt;2005&lt;/year&gt;&lt;/dates&gt;&lt;isbn&gt;0937-941X&lt;/isbn&gt;&lt;urls&gt;&lt;/urls&gt;&lt;/record&gt;&lt;/Cite&gt;&lt;/EndNote&gt;</w:instrText>
      </w:r>
      <w:r w:rsidR="00114F6E">
        <w:fldChar w:fldCharType="separate"/>
      </w:r>
      <w:r w:rsidR="00114F6E">
        <w:rPr>
          <w:noProof/>
        </w:rPr>
        <w:t>[9]</w:t>
      </w:r>
      <w:r w:rsidR="00114F6E">
        <w:fldChar w:fldCharType="end"/>
      </w:r>
      <w:r w:rsidR="00C1104D">
        <w:t>)</w:t>
      </w:r>
      <w:r w:rsidR="00851479">
        <w:t xml:space="preserve">; however, </w:t>
      </w:r>
      <w:r w:rsidR="009147CD">
        <w:t xml:space="preserve">9 countries </w:t>
      </w:r>
      <w:r w:rsidR="0066500D">
        <w:t>were found to have very</w:t>
      </w:r>
      <w:r w:rsidR="009147CD">
        <w:t xml:space="preserve"> inadequate provision (Bulgaria, Czech Republic, Hungary, Latvia, Lithuania, Luxembourg, Poland, Romania and the UK)</w:t>
      </w:r>
      <w:r w:rsidR="00114F6E">
        <w:t xml:space="preserve"> </w:t>
      </w:r>
      <w:r w:rsidR="00114F6E">
        <w:fldChar w:fldCharType="begin"/>
      </w:r>
      <w:r w:rsidR="00114F6E">
        <w:instrText xml:space="preserve"> ADDIN EN.CITE &lt;EndNote&gt;&lt;Cite&gt;&lt;Author&gt;Hernlund&lt;/Author&gt;&lt;Year&gt;2013&lt;/Year&gt;&lt;RecNum&gt;209&lt;/RecNum&gt;&lt;DisplayText&gt;[2]&lt;/DisplayText&gt;&lt;record&gt;&lt;rec-number&gt;209&lt;/rec-number&gt;&lt;foreign-keys&gt;&lt;key app="EN" db-id="xp2sx5aahpsveaea2zq5s2xsef9d0fsxsxex" timestamp="1537866268"&gt;209&lt;/key&gt;&lt;/foreign-keys&gt;&lt;ref-type name="Journal Article"&gt;17&lt;/ref-type&gt;&lt;contributors&gt;&lt;authors&gt;&lt;author&gt;Hernlund, E&lt;/author&gt;&lt;author&gt;Svedbom, A&lt;/author&gt;&lt;author&gt;Ivergård, M&lt;/author&gt;&lt;author&gt;Compston, J&lt;/author&gt;&lt;author&gt;Cooper, Cyrus&lt;/author&gt;&lt;author&gt;Stenmark, J&lt;/author&gt;&lt;author&gt;McCloskey, Eugene V&lt;/author&gt;&lt;author&gt;Jönsson, Bengt&lt;/author&gt;&lt;author&gt;Kanis, John A&lt;/author&gt;&lt;/authors&gt;&lt;/contributors&gt;&lt;titles&gt;&lt;title&gt;Osteoporosis in the European Union: medical management, epidemiology and economic burden&lt;/title&gt;&lt;secondary-title&gt;Arch Osteoporos.&lt;/secondary-title&gt;&lt;/titles&gt;&lt;periodical&gt;&lt;full-title&gt;Arch Osteoporos.&lt;/full-title&gt;&lt;/periodical&gt;&lt;pages&gt;136&lt;/pages&gt;&lt;volume&gt;8&lt;/volume&gt;&lt;number&gt;1-2&lt;/number&gt;&lt;dates&gt;&lt;year&gt;2013&lt;/year&gt;&lt;/dates&gt;&lt;isbn&gt;1862-3522&lt;/isbn&gt;&lt;urls&gt;&lt;/urls&gt;&lt;/record&gt;&lt;/Cite&gt;&lt;/EndNote&gt;</w:instrText>
      </w:r>
      <w:r w:rsidR="00114F6E">
        <w:fldChar w:fldCharType="separate"/>
      </w:r>
      <w:r w:rsidR="00114F6E">
        <w:rPr>
          <w:noProof/>
        </w:rPr>
        <w:t>[2]</w:t>
      </w:r>
      <w:r w:rsidR="00114F6E">
        <w:fldChar w:fldCharType="end"/>
      </w:r>
      <w:r w:rsidR="009147CD">
        <w:t>.</w:t>
      </w:r>
      <w:r w:rsidR="00851479">
        <w:rPr>
          <w:rStyle w:val="articletitle"/>
          <w:rFonts w:cs="Arial"/>
          <w:iCs/>
        </w:rPr>
        <w:t xml:space="preserve"> </w:t>
      </w:r>
      <w:r w:rsidR="001343C2">
        <w:rPr>
          <w:rStyle w:val="articletitle"/>
          <w:rFonts w:cs="Arial"/>
          <w:iCs/>
        </w:rPr>
        <w:t xml:space="preserve">The </w:t>
      </w:r>
      <w:r w:rsidR="001343C2">
        <w:t>Latin America Regional Audit</w:t>
      </w:r>
      <w:r w:rsidR="00851479">
        <w:t>,</w:t>
      </w:r>
      <w:r w:rsidR="001343C2">
        <w:t xml:space="preserve"> published by the IOF in 2012</w:t>
      </w:r>
      <w:r w:rsidR="00851479">
        <w:t>,</w:t>
      </w:r>
      <w:r w:rsidR="001343C2">
        <w:t xml:space="preserve"> </w:t>
      </w:r>
      <w:r w:rsidR="001343C2" w:rsidRPr="00DE4DEE">
        <w:rPr>
          <w:rFonts w:cs="Arial"/>
        </w:rPr>
        <w:t>found</w:t>
      </w:r>
      <w:r w:rsidR="00EB7D27">
        <w:rPr>
          <w:rFonts w:cs="Arial"/>
        </w:rPr>
        <w:t xml:space="preserve"> the Latin American countries with</w:t>
      </w:r>
      <w:r w:rsidR="001343C2" w:rsidRPr="00DE4DEE">
        <w:rPr>
          <w:rFonts w:cs="Arial"/>
        </w:rPr>
        <w:t xml:space="preserve"> the best access to DXA were Brazil and Chile with 10 DXA machines per million, while other countries ranged from 0.9 to 6.7 per million</w:t>
      </w:r>
      <w:r w:rsidR="00011966">
        <w:rPr>
          <w:rFonts w:cs="Arial"/>
        </w:rPr>
        <w:t xml:space="preserve"> </w:t>
      </w:r>
      <w:r w:rsidR="00011966">
        <w:rPr>
          <w:rFonts w:cs="Arial"/>
        </w:rPr>
        <w:fldChar w:fldCharType="begin"/>
      </w:r>
      <w:r w:rsidR="00011966">
        <w:rPr>
          <w:rFonts w:cs="Arial"/>
        </w:rPr>
        <w:instrText xml:space="preserve"> ADDIN EN.CITE &lt;EndNote&gt;&lt;Cite&gt;&lt;Author&gt;Harvey&lt;/Author&gt;&lt;Year&gt;2017&lt;/Year&gt;&lt;RecNum&gt;270&lt;/RecNum&gt;&lt;DisplayText&gt;[10]&lt;/DisplayText&gt;&lt;record&gt;&lt;rec-number&gt;270&lt;/rec-number&gt;&lt;foreign-keys&gt;&lt;key app="EN" db-id="xp2sx5aahpsveaea2zq5s2xsef9d0fsxsxex" timestamp="1586947082"&gt;270&lt;/key&gt;&lt;/foreign-keys&gt;&lt;ref-type name="Journal Article"&gt;17&lt;/ref-type&gt;&lt;contributors&gt;&lt;authors&gt;&lt;author&gt;Harvey, Nicholas CW&lt;/author&gt;&lt;author&gt;McCloskey, Eugene V&lt;/author&gt;&lt;author&gt;Mitchell, Paul J&lt;/author&gt;&lt;author&gt;Dawson-Hughes, Bess&lt;/author&gt;&lt;author&gt;Pierroz, Dominique D&lt;/author&gt;&lt;author&gt;Reginster, J-Y&lt;/author&gt;&lt;author&gt;Rizzoli, René&lt;/author&gt;&lt;author&gt;Cooper, Cyrus&lt;/author&gt;&lt;author&gt;Kanis, John A&lt;/author&gt;&lt;/authors&gt;&lt;/contributors&gt;&lt;titles&gt;&lt;title&gt;Mind the (treatment) gap: a global perspective on current and future strategies for prevention of fragility fractures&lt;/title&gt;&lt;secondary-title&gt;Osteoporos Int.&lt;/secondary-title&gt;&lt;/titles&gt;&lt;periodical&gt;&lt;full-title&gt;Osteoporos Int.&lt;/full-title&gt;&lt;/periodical&gt;&lt;pages&gt;1507-1529&lt;/pages&gt;&lt;volume&gt;28&lt;/volume&gt;&lt;number&gt;5&lt;/number&gt;&lt;dates&gt;&lt;year&gt;2017&lt;/year&gt;&lt;/dates&gt;&lt;isbn&gt;0937-941X&lt;/isbn&gt;&lt;urls&gt;&lt;/urls&gt;&lt;/record&gt;&lt;/Cite&gt;&lt;/EndNote&gt;</w:instrText>
      </w:r>
      <w:r w:rsidR="00011966">
        <w:rPr>
          <w:rFonts w:cs="Arial"/>
        </w:rPr>
        <w:fldChar w:fldCharType="separate"/>
      </w:r>
      <w:r w:rsidR="00011966">
        <w:rPr>
          <w:rFonts w:cs="Arial"/>
          <w:noProof/>
        </w:rPr>
        <w:t>[10]</w:t>
      </w:r>
      <w:r w:rsidR="00011966">
        <w:rPr>
          <w:rFonts w:cs="Arial"/>
        </w:rPr>
        <w:fldChar w:fldCharType="end"/>
      </w:r>
      <w:r w:rsidR="001343C2" w:rsidRPr="00DE4DEE">
        <w:rPr>
          <w:rFonts w:cs="Arial"/>
        </w:rPr>
        <w:t xml:space="preserve">. </w:t>
      </w:r>
      <w:r w:rsidR="00ED2D9F">
        <w:rPr>
          <w:rFonts w:cs="Arial"/>
        </w:rPr>
        <w:t xml:space="preserve">In </w:t>
      </w:r>
      <w:r w:rsidR="00DE4DEE" w:rsidRPr="00DE4DEE">
        <w:rPr>
          <w:rFonts w:cs="Arial"/>
        </w:rPr>
        <w:lastRenderedPageBreak/>
        <w:t>North America</w:t>
      </w:r>
      <w:r w:rsidR="00851479">
        <w:rPr>
          <w:rFonts w:cs="Arial"/>
        </w:rPr>
        <w:t>,</w:t>
      </w:r>
      <w:r w:rsidR="00ED2D9F">
        <w:rPr>
          <w:rFonts w:cs="Arial"/>
        </w:rPr>
        <w:t xml:space="preserve"> </w:t>
      </w:r>
      <w:r w:rsidR="00DA1A57">
        <w:rPr>
          <w:rFonts w:cs="Arial"/>
        </w:rPr>
        <w:t xml:space="preserve">it has been estimated that </w:t>
      </w:r>
      <w:r w:rsidR="00DE4DEE" w:rsidRPr="00DE4DEE">
        <w:rPr>
          <w:rFonts w:cs="Arial"/>
        </w:rPr>
        <w:t xml:space="preserve">a </w:t>
      </w:r>
      <w:r w:rsidR="00DA1A57">
        <w:rPr>
          <w:rFonts w:cs="Arial"/>
        </w:rPr>
        <w:t>reduction in the</w:t>
      </w:r>
      <w:r w:rsidR="00DE4DEE" w:rsidRPr="00DE4DEE">
        <w:rPr>
          <w:rFonts w:cs="Arial"/>
        </w:rPr>
        <w:t xml:space="preserve"> </w:t>
      </w:r>
      <w:r w:rsidR="00DA1A57">
        <w:rPr>
          <w:rFonts w:cs="Arial"/>
        </w:rPr>
        <w:t xml:space="preserve">number </w:t>
      </w:r>
      <w:r w:rsidR="0009442E">
        <w:rPr>
          <w:rFonts w:cs="Arial"/>
        </w:rPr>
        <w:t xml:space="preserve">of </w:t>
      </w:r>
      <w:r w:rsidR="00DE4DEE" w:rsidRPr="00DE4DEE">
        <w:rPr>
          <w:rFonts w:cs="Arial"/>
        </w:rPr>
        <w:t xml:space="preserve">DXA scans </w:t>
      </w:r>
      <w:r w:rsidR="00DA1A57">
        <w:rPr>
          <w:rFonts w:cs="Arial"/>
        </w:rPr>
        <w:t xml:space="preserve">available </w:t>
      </w:r>
      <w:r w:rsidR="00DE4DEE" w:rsidRPr="00DE4DEE">
        <w:rPr>
          <w:rFonts w:cs="Arial"/>
        </w:rPr>
        <w:t xml:space="preserve">in the </w:t>
      </w:r>
      <w:r w:rsidR="00EB7D27">
        <w:rPr>
          <w:rFonts w:cs="Arial"/>
        </w:rPr>
        <w:t>office</w:t>
      </w:r>
      <w:r w:rsidR="00DE4DEE" w:rsidRPr="00DE4DEE">
        <w:rPr>
          <w:rFonts w:cs="Arial"/>
        </w:rPr>
        <w:t xml:space="preserve"> setting has </w:t>
      </w:r>
      <w:r w:rsidR="00DA1A57">
        <w:rPr>
          <w:rFonts w:cs="Arial"/>
        </w:rPr>
        <w:t>resulted in a fall in the</w:t>
      </w:r>
      <w:r w:rsidR="00DE4DEE" w:rsidRPr="00DE4DEE">
        <w:rPr>
          <w:rFonts w:cs="Arial"/>
        </w:rPr>
        <w:t xml:space="preserve"> number of DXA providers and more than 1 million fewer DXA scans performed per annum</w:t>
      </w:r>
      <w:r w:rsidR="00011966">
        <w:rPr>
          <w:rFonts w:cs="Arial"/>
        </w:rPr>
        <w:t xml:space="preserve"> </w:t>
      </w:r>
      <w:r w:rsidR="00011966">
        <w:rPr>
          <w:rFonts w:cs="Arial"/>
        </w:rPr>
        <w:fldChar w:fldCharType="begin"/>
      </w:r>
      <w:r w:rsidR="00011966">
        <w:rPr>
          <w:rFonts w:cs="Arial"/>
        </w:rPr>
        <w:instrText xml:space="preserve"> ADDIN EN.CITE &lt;EndNote&gt;&lt;Cite&gt;&lt;Author&gt;Overman&lt;/Author&gt;&lt;Year&gt;2015&lt;/Year&gt;&lt;RecNum&gt;271&lt;/RecNum&gt;&lt;DisplayText&gt;[11]&lt;/DisplayText&gt;&lt;record&gt;&lt;rec-number&gt;271&lt;/rec-number&gt;&lt;foreign-keys&gt;&lt;key app="EN" db-id="xp2sx5aahpsveaea2zq5s2xsef9d0fsxsxex" timestamp="1586947180"&gt;271&lt;/key&gt;&lt;/foreign-keys&gt;&lt;ref-type name="Journal Article"&gt;17&lt;/ref-type&gt;&lt;contributors&gt;&lt;authors&gt;&lt;author&gt;Overman, Robert A&lt;/author&gt;&lt;author&gt;Farley, Joel F&lt;/author&gt;&lt;author&gt;Curtis, Jeffrey R&lt;/author&gt;&lt;author&gt;Zhang, Jie&lt;/author&gt;&lt;author&gt;Gourlay, Margaret L&lt;/author&gt;&lt;author&gt;Deal, Chad L&lt;/author&gt;&lt;/authors&gt;&lt;/contributors&gt;&lt;titles&gt;&lt;title&gt;DXA utilization between 2006 and 2012 in commercially insured younger postmenopausal women&lt;/title&gt;&lt;secondary-title&gt;J Clin Densitom.&lt;/secondary-title&gt;&lt;/titles&gt;&lt;periodical&gt;&lt;full-title&gt;J Clin Densitom.&lt;/full-title&gt;&lt;/periodical&gt;&lt;pages&gt;145-149&lt;/pages&gt;&lt;volume&gt;18&lt;/volume&gt;&lt;number&gt;2&lt;/number&gt;&lt;dates&gt;&lt;year&gt;2015&lt;/year&gt;&lt;/dates&gt;&lt;isbn&gt;1094-6950&lt;/isbn&gt;&lt;urls&gt;&lt;/urls&gt;&lt;/record&gt;&lt;/Cite&gt;&lt;/EndNote&gt;</w:instrText>
      </w:r>
      <w:r w:rsidR="00011966">
        <w:rPr>
          <w:rFonts w:cs="Arial"/>
        </w:rPr>
        <w:fldChar w:fldCharType="separate"/>
      </w:r>
      <w:r w:rsidR="00011966">
        <w:rPr>
          <w:rFonts w:cs="Arial"/>
          <w:noProof/>
        </w:rPr>
        <w:t>[11]</w:t>
      </w:r>
      <w:r w:rsidR="00011966">
        <w:rPr>
          <w:rFonts w:cs="Arial"/>
        </w:rPr>
        <w:fldChar w:fldCharType="end"/>
      </w:r>
      <w:r w:rsidR="00AD6BCF">
        <w:rPr>
          <w:rFonts w:cs="Arial"/>
        </w:rPr>
        <w:t>.</w:t>
      </w:r>
    </w:p>
    <w:p w14:paraId="47B9F6E1" w14:textId="00634A6D" w:rsidR="008F14B8" w:rsidRPr="00C54518" w:rsidRDefault="0046586D" w:rsidP="00C8570F">
      <w:pPr>
        <w:spacing w:after="240" w:line="360" w:lineRule="auto"/>
        <w:rPr>
          <w:rFonts w:cs="Arial"/>
          <w:iCs/>
        </w:rPr>
      </w:pPr>
      <w:r w:rsidRPr="00DE4DEE">
        <w:rPr>
          <w:rStyle w:val="articletitle"/>
          <w:rFonts w:cs="Arial"/>
          <w:iCs/>
        </w:rPr>
        <w:t>Although</w:t>
      </w:r>
      <w:r w:rsidR="00853F47" w:rsidRPr="00DE4DEE">
        <w:rPr>
          <w:rStyle w:val="articletitle"/>
          <w:rFonts w:cs="Arial"/>
          <w:iCs/>
        </w:rPr>
        <w:t xml:space="preserve"> </w:t>
      </w:r>
      <w:r w:rsidR="005B6C60">
        <w:rPr>
          <w:rStyle w:val="articletitle"/>
          <w:rFonts w:cs="Arial"/>
          <w:iCs/>
        </w:rPr>
        <w:t>variation in the access to DXA services worldwide has been reported</w:t>
      </w:r>
      <w:r w:rsidR="00853F47" w:rsidRPr="00DE4DEE">
        <w:rPr>
          <w:rStyle w:val="articletitle"/>
          <w:rFonts w:cs="Arial"/>
          <w:iCs/>
        </w:rPr>
        <w:t xml:space="preserve">, </w:t>
      </w:r>
      <w:r w:rsidR="00E70670">
        <w:rPr>
          <w:rStyle w:val="articletitle"/>
          <w:rFonts w:cs="Arial"/>
          <w:iCs/>
        </w:rPr>
        <w:t>aspects of DXA quality at</w:t>
      </w:r>
      <w:r w:rsidR="00853F47" w:rsidRPr="00C54518">
        <w:rPr>
          <w:rStyle w:val="articletitle"/>
          <w:rFonts w:cs="Arial"/>
          <w:iCs/>
        </w:rPr>
        <w:t xml:space="preserve"> facilities </w:t>
      </w:r>
      <w:r w:rsidR="005276FC">
        <w:rPr>
          <w:rStyle w:val="articletitle"/>
          <w:rFonts w:cs="Arial"/>
          <w:iCs/>
        </w:rPr>
        <w:t>are largely</w:t>
      </w:r>
      <w:r w:rsidR="005276FC" w:rsidRPr="00C54518">
        <w:rPr>
          <w:rStyle w:val="articletitle"/>
          <w:rFonts w:cs="Arial"/>
          <w:iCs/>
        </w:rPr>
        <w:t xml:space="preserve"> </w:t>
      </w:r>
      <w:r w:rsidR="00853F47" w:rsidRPr="00C54518">
        <w:rPr>
          <w:rStyle w:val="articletitle"/>
          <w:rFonts w:cs="Arial"/>
          <w:iCs/>
        </w:rPr>
        <w:t>unknown.</w:t>
      </w:r>
      <w:r w:rsidR="00E70670">
        <w:rPr>
          <w:rStyle w:val="articletitle"/>
          <w:rFonts w:cs="Arial"/>
          <w:iCs/>
        </w:rPr>
        <w:t xml:space="preserve"> There is also reason to believe that suboptimal DXA testing and reporting is common and </w:t>
      </w:r>
      <w:r w:rsidR="005276FC">
        <w:rPr>
          <w:rStyle w:val="articletitle"/>
          <w:rFonts w:cs="Arial"/>
          <w:iCs/>
        </w:rPr>
        <w:t xml:space="preserve">may adversely affect </w:t>
      </w:r>
      <w:r w:rsidR="00E70670">
        <w:rPr>
          <w:rStyle w:val="articletitle"/>
          <w:rFonts w:cs="Arial"/>
          <w:iCs/>
        </w:rPr>
        <w:t>patient care</w:t>
      </w:r>
      <w:r w:rsidR="00333666">
        <w:rPr>
          <w:rStyle w:val="articletitle"/>
          <w:rFonts w:cs="Arial"/>
          <w:iCs/>
        </w:rPr>
        <w:t xml:space="preserve"> </w:t>
      </w:r>
      <w:r w:rsidR="00011966">
        <w:rPr>
          <w:rStyle w:val="articletitle"/>
          <w:rFonts w:cs="Arial"/>
          <w:iCs/>
        </w:rPr>
        <w:fldChar w:fldCharType="begin">
          <w:fldData xml:space="preserve">PEVuZE5vdGU+PENpdGU+PEF1dGhvcj5MZXdpZWNraTwvQXV0aG9yPjxZZWFyPjIwMTY8L1llYXI+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==
</w:fldData>
        </w:fldChar>
      </w:r>
      <w:r w:rsidR="005E3E67">
        <w:rPr>
          <w:rStyle w:val="articletitle"/>
          <w:rFonts w:cs="Arial"/>
          <w:iCs/>
        </w:rPr>
        <w:instrText xml:space="preserve"> ADDIN EN.CITE </w:instrText>
      </w:r>
      <w:r w:rsidR="005E3E67">
        <w:rPr>
          <w:rStyle w:val="articletitle"/>
          <w:rFonts w:cs="Arial"/>
          <w:iCs/>
        </w:rPr>
        <w:fldChar w:fldCharType="begin">
          <w:fldData xml:space="preserve">PEVuZE5vdGU+PENpdGU+PEF1dGhvcj5MZXdpZWNraTwvQXV0aG9yPjxZZWFyPjIwMTY8L1llYXI+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==
</w:fldData>
        </w:fldChar>
      </w:r>
      <w:r w:rsidR="005E3E67">
        <w:rPr>
          <w:rStyle w:val="articletitle"/>
          <w:rFonts w:cs="Arial"/>
          <w:iCs/>
        </w:rPr>
        <w:instrText xml:space="preserve"> ADDIN EN.CITE.DATA </w:instrText>
      </w:r>
      <w:r w:rsidR="005E3E67">
        <w:rPr>
          <w:rStyle w:val="articletitle"/>
          <w:rFonts w:cs="Arial"/>
          <w:iCs/>
        </w:rPr>
      </w:r>
      <w:r w:rsidR="005E3E67">
        <w:rPr>
          <w:rStyle w:val="articletitle"/>
          <w:rFonts w:cs="Arial"/>
          <w:iCs/>
        </w:rPr>
        <w:fldChar w:fldCharType="end"/>
      </w:r>
      <w:r w:rsidR="00011966">
        <w:rPr>
          <w:rStyle w:val="articletitle"/>
          <w:rFonts w:cs="Arial"/>
          <w:iCs/>
        </w:rPr>
      </w:r>
      <w:r w:rsidR="00011966">
        <w:rPr>
          <w:rStyle w:val="articletitle"/>
          <w:rFonts w:cs="Arial"/>
          <w:iCs/>
        </w:rPr>
        <w:fldChar w:fldCharType="separate"/>
      </w:r>
      <w:r w:rsidR="005E3E67">
        <w:rPr>
          <w:rStyle w:val="articletitle"/>
          <w:rFonts w:cs="Arial"/>
          <w:iCs/>
          <w:noProof/>
        </w:rPr>
        <w:t>[12-15]</w:t>
      </w:r>
      <w:r w:rsidR="00011966">
        <w:rPr>
          <w:rStyle w:val="articletitle"/>
          <w:rFonts w:cs="Arial"/>
          <w:iCs/>
        </w:rPr>
        <w:fldChar w:fldCharType="end"/>
      </w:r>
      <w:r w:rsidR="00E70670">
        <w:rPr>
          <w:rStyle w:val="articletitle"/>
          <w:rFonts w:cs="Arial"/>
          <w:iCs/>
        </w:rPr>
        <w:t xml:space="preserve">. </w:t>
      </w:r>
      <w:r w:rsidR="00853F47" w:rsidRPr="00C54518">
        <w:rPr>
          <w:rStyle w:val="articletitle"/>
          <w:rFonts w:cs="Arial"/>
          <w:iCs/>
        </w:rPr>
        <w:t xml:space="preserve">To address this, </w:t>
      </w:r>
      <w:r w:rsidR="00353F06">
        <w:rPr>
          <w:rStyle w:val="articletitle"/>
          <w:rFonts w:cs="Arial"/>
          <w:iCs/>
        </w:rPr>
        <w:t xml:space="preserve">in collaboration with the </w:t>
      </w:r>
      <w:r w:rsidR="00353F06" w:rsidRPr="00353F06">
        <w:rPr>
          <w:rStyle w:val="articletitle"/>
          <w:rFonts w:cs="Arial"/>
          <w:iCs/>
        </w:rPr>
        <w:t>International Society for Clinical Densitometry (ISCD)</w:t>
      </w:r>
      <w:r w:rsidR="00353F06">
        <w:rPr>
          <w:rStyle w:val="articletitle"/>
          <w:rFonts w:cs="Arial"/>
          <w:iCs/>
        </w:rPr>
        <w:t xml:space="preserve">, </w:t>
      </w:r>
      <w:r w:rsidR="00853F47" w:rsidRPr="00C54518">
        <w:rPr>
          <w:rStyle w:val="articletitle"/>
          <w:rFonts w:cs="Arial"/>
          <w:iCs/>
        </w:rPr>
        <w:t>the Internationa</w:t>
      </w:r>
      <w:r w:rsidR="000D01EF" w:rsidRPr="00C54518">
        <w:rPr>
          <w:rStyle w:val="articletitle"/>
          <w:rFonts w:cs="Arial"/>
          <w:iCs/>
        </w:rPr>
        <w:t xml:space="preserve">l </w:t>
      </w:r>
      <w:r w:rsidR="00FE4C58">
        <w:rPr>
          <w:rStyle w:val="articletitle"/>
          <w:rFonts w:cs="Arial"/>
          <w:iCs/>
        </w:rPr>
        <w:t>Osteoporosis</w:t>
      </w:r>
      <w:r w:rsidR="000D01EF" w:rsidRPr="00C54518">
        <w:rPr>
          <w:rStyle w:val="articletitle"/>
          <w:rFonts w:cs="Arial"/>
          <w:iCs/>
        </w:rPr>
        <w:t xml:space="preserve"> Foundation </w:t>
      </w:r>
      <w:r w:rsidR="004B7E1C" w:rsidRPr="00C54518">
        <w:rPr>
          <w:rStyle w:val="articletitle"/>
          <w:rFonts w:cs="Arial"/>
          <w:iCs/>
        </w:rPr>
        <w:t xml:space="preserve">(IOF) </w:t>
      </w:r>
      <w:r w:rsidR="00437FE4" w:rsidRPr="00C54518">
        <w:rPr>
          <w:rStyle w:val="articletitle"/>
          <w:rFonts w:cs="Arial"/>
          <w:iCs/>
        </w:rPr>
        <w:t>invited Fracture Liaison Services</w:t>
      </w:r>
      <w:r w:rsidR="004B7E1C" w:rsidRPr="00C54518">
        <w:rPr>
          <w:rStyle w:val="articletitle"/>
          <w:rFonts w:cs="Arial"/>
          <w:iCs/>
        </w:rPr>
        <w:t xml:space="preserve"> (FLS)</w:t>
      </w:r>
      <w:r w:rsidR="00437FE4" w:rsidRPr="00C54518">
        <w:rPr>
          <w:rStyle w:val="articletitle"/>
          <w:rFonts w:cs="Arial"/>
          <w:iCs/>
        </w:rPr>
        <w:t xml:space="preserve"> to participate in a </w:t>
      </w:r>
      <w:r w:rsidR="004B7E1C" w:rsidRPr="00C54518">
        <w:rPr>
          <w:rStyle w:val="articletitle"/>
          <w:rFonts w:cs="Arial"/>
          <w:iCs/>
        </w:rPr>
        <w:t xml:space="preserve">survey assessing the </w:t>
      </w:r>
      <w:r w:rsidR="00E70670">
        <w:rPr>
          <w:rStyle w:val="articletitle"/>
          <w:rFonts w:cs="Arial"/>
          <w:iCs/>
        </w:rPr>
        <w:t>access to</w:t>
      </w:r>
      <w:r w:rsidR="00851479">
        <w:rPr>
          <w:rStyle w:val="articletitle"/>
          <w:rFonts w:cs="Arial"/>
          <w:iCs/>
        </w:rPr>
        <w:t>,</w:t>
      </w:r>
      <w:r w:rsidR="00E70670">
        <w:rPr>
          <w:rStyle w:val="articletitle"/>
          <w:rFonts w:cs="Arial"/>
          <w:iCs/>
        </w:rPr>
        <w:t xml:space="preserve"> and </w:t>
      </w:r>
      <w:r w:rsidR="004B7E1C" w:rsidRPr="00C54518">
        <w:rPr>
          <w:rStyle w:val="articletitle"/>
          <w:rFonts w:cs="Arial"/>
          <w:iCs/>
        </w:rPr>
        <w:t>quality of</w:t>
      </w:r>
      <w:r w:rsidR="00851479">
        <w:rPr>
          <w:rStyle w:val="articletitle"/>
          <w:rFonts w:cs="Arial"/>
          <w:iCs/>
        </w:rPr>
        <w:t>,</w:t>
      </w:r>
      <w:r w:rsidR="004B7E1C" w:rsidRPr="00C54518">
        <w:rPr>
          <w:rStyle w:val="articletitle"/>
          <w:rFonts w:cs="Arial"/>
          <w:iCs/>
        </w:rPr>
        <w:t xml:space="preserve"> their DXA facilities</w:t>
      </w:r>
      <w:r w:rsidR="00E70670">
        <w:rPr>
          <w:rStyle w:val="articletitle"/>
          <w:rFonts w:cs="Arial"/>
          <w:iCs/>
        </w:rPr>
        <w:t xml:space="preserve"> and DXA reporting</w:t>
      </w:r>
      <w:r w:rsidR="00437FE4" w:rsidRPr="00C54518">
        <w:rPr>
          <w:rStyle w:val="articletitle"/>
          <w:rFonts w:cs="Arial"/>
          <w:iCs/>
        </w:rPr>
        <w:t>.</w:t>
      </w:r>
      <w:r w:rsidR="004B7E1C" w:rsidRPr="00C54518">
        <w:rPr>
          <w:rStyle w:val="articletitle"/>
          <w:rFonts w:cs="Arial"/>
          <w:iCs/>
        </w:rPr>
        <w:t xml:space="preserve"> </w:t>
      </w:r>
      <w:r w:rsidR="000D01EF" w:rsidRPr="00C54518">
        <w:rPr>
          <w:rStyle w:val="articletitle"/>
          <w:rFonts w:cs="Arial"/>
          <w:iCs/>
        </w:rPr>
        <w:t>This report outlines the findings of this survey.</w:t>
      </w:r>
    </w:p>
    <w:p w14:paraId="4440E9CF" w14:textId="77777777" w:rsidR="005D4CC4" w:rsidRPr="00C54518" w:rsidRDefault="005D4CC4" w:rsidP="00C8570F">
      <w:pPr>
        <w:spacing w:after="240" w:line="360" w:lineRule="auto"/>
        <w:rPr>
          <w:rFonts w:cs="Arial"/>
          <w:lang w:eastAsia="en-GB"/>
        </w:rPr>
      </w:pPr>
    </w:p>
    <w:p w14:paraId="09567C66" w14:textId="77777777" w:rsidR="005D4CC4" w:rsidRPr="00C54518" w:rsidRDefault="005D4CC4" w:rsidP="00C8570F">
      <w:pPr>
        <w:spacing w:after="240" w:line="360" w:lineRule="auto"/>
        <w:rPr>
          <w:rFonts w:cs="Arial"/>
          <w:b/>
          <w:lang w:eastAsia="en-GB"/>
        </w:rPr>
      </w:pPr>
      <w:r w:rsidRPr="00C54518">
        <w:rPr>
          <w:rFonts w:cs="Arial"/>
          <w:b/>
          <w:lang w:eastAsia="en-GB"/>
        </w:rPr>
        <w:t>Methods</w:t>
      </w:r>
    </w:p>
    <w:p w14:paraId="55EF127F" w14:textId="1F67EC3B" w:rsidR="0046586D" w:rsidRPr="00C54518" w:rsidRDefault="00E83A9F" w:rsidP="00C8570F">
      <w:pPr>
        <w:spacing w:after="240" w:line="360" w:lineRule="auto"/>
        <w:rPr>
          <w:rFonts w:cs="Arial"/>
          <w:lang w:eastAsia="en-GB"/>
        </w:rPr>
      </w:pPr>
      <w:r>
        <w:rPr>
          <w:rFonts w:cs="Arial"/>
          <w:lang w:eastAsia="en-GB"/>
        </w:rPr>
        <w:t>Representatives</w:t>
      </w:r>
      <w:r w:rsidR="00BD459A">
        <w:rPr>
          <w:rFonts w:cs="Arial"/>
          <w:lang w:eastAsia="en-GB"/>
        </w:rPr>
        <w:t xml:space="preserve"> of the ISCD and IOF developed and refined the DXA access and quality survey </w:t>
      </w:r>
      <w:r w:rsidR="00C04EBA">
        <w:rPr>
          <w:rFonts w:cs="Arial"/>
          <w:lang w:eastAsia="en-GB"/>
        </w:rPr>
        <w:t>using</w:t>
      </w:r>
      <w:r w:rsidR="00851479">
        <w:rPr>
          <w:rFonts w:cs="Arial"/>
          <w:lang w:eastAsia="en-GB"/>
        </w:rPr>
        <w:t>:</w:t>
      </w:r>
      <w:r w:rsidR="00C04EBA">
        <w:rPr>
          <w:rFonts w:cs="Arial"/>
          <w:lang w:eastAsia="en-GB"/>
        </w:rPr>
        <w:t xml:space="preserve"> educational content from the IOF / ISCD </w:t>
      </w:r>
      <w:r w:rsidR="00B75013">
        <w:rPr>
          <w:rFonts w:cs="Arial"/>
          <w:lang w:eastAsia="en-GB"/>
        </w:rPr>
        <w:t xml:space="preserve">joint </w:t>
      </w:r>
      <w:r w:rsidR="00C04EBA">
        <w:rPr>
          <w:rFonts w:cs="Arial"/>
          <w:lang w:eastAsia="en-GB"/>
        </w:rPr>
        <w:t xml:space="preserve">international course </w:t>
      </w:r>
      <w:r w:rsidR="00C04EBA" w:rsidRPr="007C33F9">
        <w:rPr>
          <w:rFonts w:cs="Arial"/>
          <w:i/>
          <w:lang w:eastAsia="en-GB"/>
        </w:rPr>
        <w:t>Osteoporosis</w:t>
      </w:r>
      <w:r w:rsidR="00C04EBA">
        <w:rPr>
          <w:rFonts w:cs="Arial"/>
          <w:lang w:eastAsia="en-GB"/>
        </w:rPr>
        <w:t xml:space="preserve"> </w:t>
      </w:r>
      <w:r w:rsidR="00C04EBA" w:rsidRPr="005975E0">
        <w:rPr>
          <w:rFonts w:cs="Arial"/>
          <w:i/>
          <w:lang w:eastAsia="en-GB"/>
        </w:rPr>
        <w:t>Essentials</w:t>
      </w:r>
      <w:r w:rsidR="00C04EBA">
        <w:rPr>
          <w:rFonts w:cs="Arial"/>
          <w:lang w:eastAsia="en-GB"/>
        </w:rPr>
        <w:t xml:space="preserve"> (</w:t>
      </w:r>
      <w:r w:rsidR="00C04EBA" w:rsidRPr="00A217FF">
        <w:rPr>
          <w:rStyle w:val="Hyperlink"/>
        </w:rPr>
        <w:t>https://www.osteoporosis-essentials.org</w:t>
      </w:r>
      <w:r w:rsidR="00C04EBA">
        <w:rPr>
          <w:rFonts w:cs="Arial"/>
          <w:lang w:eastAsia="en-GB"/>
        </w:rPr>
        <w:t>)</w:t>
      </w:r>
      <w:r w:rsidR="00851479">
        <w:rPr>
          <w:rFonts w:cs="Arial"/>
          <w:lang w:eastAsia="en-GB"/>
        </w:rPr>
        <w:t>;</w:t>
      </w:r>
      <w:r w:rsidR="00C04EBA">
        <w:rPr>
          <w:rFonts w:cs="Arial"/>
          <w:lang w:eastAsia="en-GB"/>
        </w:rPr>
        <w:t xml:space="preserve"> </w:t>
      </w:r>
      <w:r w:rsidR="00BD459A">
        <w:rPr>
          <w:rFonts w:cs="Arial"/>
          <w:lang w:eastAsia="en-GB"/>
        </w:rPr>
        <w:t>ISCD-established Official Positions and Best Practices</w:t>
      </w:r>
      <w:r w:rsidR="00851479">
        <w:rPr>
          <w:rFonts w:cs="Arial"/>
          <w:lang w:eastAsia="en-GB"/>
        </w:rPr>
        <w:t>;</w:t>
      </w:r>
      <w:r w:rsidR="00BD459A">
        <w:rPr>
          <w:rFonts w:cs="Arial"/>
          <w:lang w:eastAsia="en-GB"/>
        </w:rPr>
        <w:t xml:space="preserve"> </w:t>
      </w:r>
      <w:r w:rsidR="00C04EBA">
        <w:rPr>
          <w:rFonts w:cs="Arial"/>
          <w:lang w:eastAsia="en-GB"/>
        </w:rPr>
        <w:t xml:space="preserve">and </w:t>
      </w:r>
      <w:r w:rsidR="00BD459A">
        <w:rPr>
          <w:rFonts w:cs="Arial"/>
          <w:lang w:eastAsia="en-GB"/>
        </w:rPr>
        <w:t>experience with ISCD’s Facility Accreditation Program</w:t>
      </w:r>
      <w:r w:rsidR="005E3E67">
        <w:rPr>
          <w:rFonts w:cs="Arial"/>
          <w:lang w:eastAsia="en-GB"/>
        </w:rPr>
        <w:t xml:space="preserve"> </w:t>
      </w:r>
      <w:r w:rsidR="005E3E67">
        <w:rPr>
          <w:rFonts w:cs="Arial"/>
          <w:lang w:eastAsia="en-GB"/>
        </w:rPr>
        <w:fldChar w:fldCharType="begin"/>
      </w:r>
      <w:r w:rsidR="005E3E67">
        <w:rPr>
          <w:rFonts w:cs="Arial"/>
          <w:lang w:eastAsia="en-GB"/>
        </w:rPr>
        <w:instrText xml:space="preserve"> ADDIN EN.CITE &lt;EndNote&gt;&lt;Cite&gt;&lt;Author&gt;Lewiecki&lt;/Author&gt;&lt;Year&gt;2016&lt;/Year&gt;&lt;RecNum&gt;272&lt;/RecNum&gt;&lt;DisplayText&gt;[12]&lt;/DisplayText&gt;&lt;record&gt;&lt;rec-number&gt;272&lt;/rec-number&gt;&lt;foreign-keys&gt;&lt;key app="EN" db-id="xp2sx5aahpsveaea2zq5s2xsef9d0fsxsxex" timestamp="1586947304"&gt;272&lt;/key&gt;&lt;/foreign-keys&gt;&lt;ref-type name="Journal Article"&gt;17&lt;/ref-type&gt;&lt;contributors&gt;&lt;authors&gt;&lt;author&gt;Lewiecki, E Michael&lt;/author&gt;&lt;author&gt;Binkley, Neil&lt;/author&gt;&lt;author&gt;Morgan, Sarah L&lt;/author&gt;&lt;author&gt;Shuhart, Christopher R&lt;/author&gt;&lt;author&gt;Camargos, Bruno Muzzi&lt;/author&gt;&lt;author&gt;Carey, John J&lt;/author&gt;&lt;author&gt;Gordon, Catherine M&lt;/author&gt;&lt;author&gt;Jankowski, Lawrence G&lt;/author&gt;&lt;author&gt;Lee, Joon-Kiong&lt;/author&gt;&lt;author&gt;Leslie, William D&lt;/author&gt;&lt;/authors&gt;&lt;/contributors&gt;&lt;titles&gt;&lt;title&gt;Best practices for dual-energy X-ray absorptiometry measurement and reporting: International Society for Clinical Densitometry Guidance&lt;/title&gt;&lt;secondary-title&gt;J Clin Densitom.&lt;/secondary-title&gt;&lt;/titles&gt;&lt;periodical&gt;&lt;full-title&gt;J Clin Densitom.&lt;/full-title&gt;&lt;/periodical&gt;&lt;pages&gt;127-140&lt;/pages&gt;&lt;volume&gt;19&lt;/volume&gt;&lt;number&gt;2&lt;/number&gt;&lt;dates&gt;&lt;year&gt;2016&lt;/year&gt;&lt;/dates&gt;&lt;isbn&gt;1094-6950&lt;/isbn&gt;&lt;urls&gt;&lt;/urls&gt;&lt;/record&gt;&lt;/Cite&gt;&lt;/EndNote&gt;</w:instrText>
      </w:r>
      <w:r w:rsidR="005E3E67">
        <w:rPr>
          <w:rFonts w:cs="Arial"/>
          <w:lang w:eastAsia="en-GB"/>
        </w:rPr>
        <w:fldChar w:fldCharType="separate"/>
      </w:r>
      <w:r w:rsidR="005E3E67">
        <w:rPr>
          <w:rFonts w:cs="Arial"/>
          <w:noProof/>
          <w:lang w:eastAsia="en-GB"/>
        </w:rPr>
        <w:t>[12]</w:t>
      </w:r>
      <w:r w:rsidR="005E3E67">
        <w:rPr>
          <w:rFonts w:cs="Arial"/>
          <w:lang w:eastAsia="en-GB"/>
        </w:rPr>
        <w:fldChar w:fldCharType="end"/>
      </w:r>
      <w:r w:rsidR="00E70670">
        <w:rPr>
          <w:rFonts w:cs="Arial"/>
          <w:lang w:eastAsia="en-GB"/>
        </w:rPr>
        <w:t>. Formatting for the survey followed a rubric familiar to FLS sites.</w:t>
      </w:r>
      <w:r w:rsidR="00BD459A">
        <w:rPr>
          <w:rFonts w:cs="Arial"/>
          <w:lang w:eastAsia="en-GB"/>
        </w:rPr>
        <w:t xml:space="preserve"> </w:t>
      </w:r>
      <w:r w:rsidR="0046586D" w:rsidRPr="00C54518">
        <w:rPr>
          <w:rFonts w:cs="Arial"/>
          <w:lang w:eastAsia="en-GB"/>
        </w:rPr>
        <w:t xml:space="preserve">The </w:t>
      </w:r>
      <w:r w:rsidR="005D4CC4" w:rsidRPr="00C54518">
        <w:rPr>
          <w:rFonts w:cs="Arial"/>
          <w:lang w:eastAsia="en-GB"/>
        </w:rPr>
        <w:t xml:space="preserve">IOF contacted </w:t>
      </w:r>
      <w:r w:rsidR="004B7E1C" w:rsidRPr="00C54518">
        <w:rPr>
          <w:rFonts w:cs="Arial"/>
          <w:lang w:eastAsia="en-GB"/>
        </w:rPr>
        <w:t xml:space="preserve">FLS </w:t>
      </w:r>
      <w:r w:rsidR="00B618A5">
        <w:rPr>
          <w:rFonts w:cs="Arial"/>
          <w:lang w:eastAsia="en-GB"/>
        </w:rPr>
        <w:t xml:space="preserve">sites </w:t>
      </w:r>
      <w:r w:rsidR="005D4CC4" w:rsidRPr="00C54518">
        <w:rPr>
          <w:rFonts w:cs="Arial"/>
          <w:lang w:eastAsia="en-GB"/>
        </w:rPr>
        <w:t>participat</w:t>
      </w:r>
      <w:r w:rsidR="00B618A5">
        <w:rPr>
          <w:rFonts w:cs="Arial"/>
          <w:lang w:eastAsia="en-GB"/>
        </w:rPr>
        <w:t>ing</w:t>
      </w:r>
      <w:r w:rsidR="005D4CC4" w:rsidRPr="00C54518">
        <w:rPr>
          <w:rFonts w:cs="Arial"/>
          <w:lang w:eastAsia="en-GB"/>
        </w:rPr>
        <w:t xml:space="preserve"> in </w:t>
      </w:r>
      <w:r w:rsidR="00E42BC7" w:rsidRPr="00C54518">
        <w:rPr>
          <w:rFonts w:cs="Arial"/>
          <w:lang w:eastAsia="en-GB"/>
        </w:rPr>
        <w:t>Capture the Fracture®</w:t>
      </w:r>
      <w:r w:rsidR="009B71F0">
        <w:rPr>
          <w:rFonts w:cs="Arial"/>
          <w:lang w:eastAsia="en-GB"/>
        </w:rPr>
        <w:t xml:space="preserve"> (</w:t>
      </w:r>
      <w:r w:rsidR="00E42BC7" w:rsidRPr="00C54518">
        <w:rPr>
          <w:rFonts w:cs="Arial"/>
          <w:lang w:eastAsia="en-GB"/>
        </w:rPr>
        <w:t>a global campaign to facilitate the implementation of coordinated, multi-disciplinary models of care for secondary fracture prevention</w:t>
      </w:r>
      <w:r w:rsidR="009B71F0">
        <w:rPr>
          <w:rFonts w:cs="Arial"/>
          <w:lang w:eastAsia="en-GB"/>
        </w:rPr>
        <w:t xml:space="preserve">) </w:t>
      </w:r>
      <w:r w:rsidR="00BD459A">
        <w:rPr>
          <w:rFonts w:cs="Arial"/>
          <w:lang w:eastAsia="en-GB"/>
        </w:rPr>
        <w:t xml:space="preserve">regarding completion of the </w:t>
      </w:r>
      <w:r w:rsidR="00B618A5">
        <w:rPr>
          <w:rFonts w:cs="Arial"/>
          <w:lang w:eastAsia="en-GB"/>
        </w:rPr>
        <w:t xml:space="preserve">online </w:t>
      </w:r>
      <w:r w:rsidR="00BD459A">
        <w:rPr>
          <w:rFonts w:cs="Arial"/>
          <w:lang w:eastAsia="en-GB"/>
        </w:rPr>
        <w:t>survey</w:t>
      </w:r>
      <w:r w:rsidR="00B618A5">
        <w:rPr>
          <w:rFonts w:cs="Arial"/>
          <w:lang w:eastAsia="en-GB"/>
        </w:rPr>
        <w:t xml:space="preserve"> formatted and distributed using SurveyMonkey)</w:t>
      </w:r>
      <w:r w:rsidR="00BD459A">
        <w:rPr>
          <w:rFonts w:cs="Arial"/>
          <w:lang w:eastAsia="en-GB"/>
        </w:rPr>
        <w:t>.</w:t>
      </w:r>
      <w:r w:rsidR="006B2E45">
        <w:rPr>
          <w:rFonts w:cs="Arial"/>
          <w:lang w:eastAsia="en-GB"/>
        </w:rPr>
        <w:t xml:space="preserve"> </w:t>
      </w:r>
      <w:r w:rsidR="00612D88">
        <w:rPr>
          <w:rFonts w:cs="Arial"/>
          <w:lang w:eastAsia="en-GB"/>
        </w:rPr>
        <w:t xml:space="preserve">FLS centres were contacted in November 2018 with a reminder message circulated in December 2018. </w:t>
      </w:r>
      <w:r w:rsidR="006B2E45">
        <w:rPr>
          <w:rFonts w:cs="Arial"/>
          <w:lang w:eastAsia="en-GB"/>
        </w:rPr>
        <w:t xml:space="preserve">From a list of 331 contacted invitees, </w:t>
      </w:r>
      <w:r w:rsidR="00CF7D55" w:rsidRPr="00C54518">
        <w:rPr>
          <w:rFonts w:cs="Arial"/>
          <w:lang w:eastAsia="en-GB"/>
        </w:rPr>
        <w:t xml:space="preserve">124 </w:t>
      </w:r>
      <w:r w:rsidR="006B2E45">
        <w:rPr>
          <w:rFonts w:cs="Arial"/>
          <w:lang w:eastAsia="en-GB"/>
        </w:rPr>
        <w:t xml:space="preserve">FLS centres </w:t>
      </w:r>
      <w:r w:rsidR="00CF7D55" w:rsidRPr="00C54518">
        <w:rPr>
          <w:rFonts w:cs="Arial"/>
          <w:lang w:eastAsia="en-GB"/>
        </w:rPr>
        <w:t xml:space="preserve">responded. </w:t>
      </w:r>
      <w:r w:rsidR="00BD459A">
        <w:rPr>
          <w:rFonts w:cs="Arial"/>
          <w:lang w:eastAsia="en-GB"/>
        </w:rPr>
        <w:t>Three centres answered only one question and provided no other details, and their data were excluded</w:t>
      </w:r>
      <w:r w:rsidR="006B2E45">
        <w:rPr>
          <w:rFonts w:cs="Arial"/>
          <w:lang w:eastAsia="en-GB"/>
        </w:rPr>
        <w:t xml:space="preserve">. </w:t>
      </w:r>
      <w:r w:rsidR="000D0225">
        <w:rPr>
          <w:rFonts w:cs="Arial"/>
          <w:lang w:eastAsia="en-GB"/>
        </w:rPr>
        <w:t>Therefore, the responses from</w:t>
      </w:r>
      <w:r w:rsidR="00CF7D55" w:rsidRPr="00C54518">
        <w:rPr>
          <w:rFonts w:cs="Arial"/>
          <w:lang w:eastAsia="en-GB"/>
        </w:rPr>
        <w:t xml:space="preserve"> 121 centres </w:t>
      </w:r>
      <w:r w:rsidR="000D0225">
        <w:rPr>
          <w:rFonts w:cs="Arial"/>
          <w:lang w:eastAsia="en-GB"/>
        </w:rPr>
        <w:t>were used for analysis in this report.</w:t>
      </w:r>
    </w:p>
    <w:p w14:paraId="4FA569E1" w14:textId="470513A4" w:rsidR="00FE4C58" w:rsidRDefault="0046586D" w:rsidP="00C8570F">
      <w:pPr>
        <w:spacing w:after="240" w:line="360" w:lineRule="auto"/>
      </w:pPr>
      <w:r w:rsidRPr="00C54518">
        <w:rPr>
          <w:rFonts w:cs="Arial"/>
          <w:lang w:eastAsia="en-GB"/>
        </w:rPr>
        <w:t xml:space="preserve">The questions asked and additional </w:t>
      </w:r>
      <w:r w:rsidR="00FE4C58">
        <w:rPr>
          <w:rFonts w:cs="Arial"/>
          <w:lang w:eastAsia="en-GB"/>
        </w:rPr>
        <w:t>variables derived</w:t>
      </w:r>
      <w:r w:rsidRPr="00C54518">
        <w:rPr>
          <w:rFonts w:cs="Arial"/>
          <w:lang w:eastAsia="en-GB"/>
        </w:rPr>
        <w:t xml:space="preserve"> are inclu</w:t>
      </w:r>
      <w:r w:rsidRPr="000D0225">
        <w:rPr>
          <w:rFonts w:cs="Arial"/>
          <w:lang w:eastAsia="en-GB"/>
        </w:rPr>
        <w:t xml:space="preserve">ded </w:t>
      </w:r>
      <w:r w:rsidRPr="00361995">
        <w:rPr>
          <w:rFonts w:cs="Arial"/>
          <w:lang w:eastAsia="en-GB"/>
        </w:rPr>
        <w:t>in</w:t>
      </w:r>
      <w:r w:rsidR="000D0225" w:rsidRPr="00361995">
        <w:rPr>
          <w:rFonts w:cs="Arial"/>
          <w:lang w:eastAsia="en-GB"/>
        </w:rPr>
        <w:t xml:space="preserve"> </w:t>
      </w:r>
      <w:r w:rsidR="00BE42C1">
        <w:rPr>
          <w:rFonts w:cs="Arial"/>
          <w:lang w:eastAsia="en-GB"/>
        </w:rPr>
        <w:t>Appendix 1</w:t>
      </w:r>
      <w:r w:rsidR="00406071">
        <w:rPr>
          <w:rFonts w:cs="Arial"/>
          <w:lang w:eastAsia="en-GB"/>
        </w:rPr>
        <w:t xml:space="preserve"> (Online Resource)</w:t>
      </w:r>
      <w:r w:rsidR="00C643DD">
        <w:rPr>
          <w:rFonts w:cs="Arial"/>
          <w:lang w:eastAsia="en-GB"/>
        </w:rPr>
        <w:t xml:space="preserve">, separated into two parts (Part I: </w:t>
      </w:r>
      <w:r w:rsidR="00C643DD" w:rsidRPr="00C643DD">
        <w:rPr>
          <w:rFonts w:cs="Arial"/>
          <w:lang w:eastAsia="en-GB"/>
        </w:rPr>
        <w:t>FLS Service</w:t>
      </w:r>
      <w:r w:rsidR="00C643DD">
        <w:rPr>
          <w:rFonts w:cs="Arial"/>
          <w:lang w:eastAsia="en-GB"/>
        </w:rPr>
        <w:t>, Part II:</w:t>
      </w:r>
      <w:r w:rsidR="00C643DD" w:rsidRPr="00C643DD">
        <w:t xml:space="preserve"> </w:t>
      </w:r>
      <w:r w:rsidR="00C643DD" w:rsidRPr="00C643DD">
        <w:rPr>
          <w:rFonts w:cs="Arial"/>
          <w:lang w:eastAsia="en-GB"/>
        </w:rPr>
        <w:t>DXA Service Provider</w:t>
      </w:r>
      <w:r w:rsidR="00C643DD">
        <w:rPr>
          <w:rFonts w:cs="Arial"/>
          <w:lang w:eastAsia="en-GB"/>
        </w:rPr>
        <w:t>)</w:t>
      </w:r>
      <w:r w:rsidR="00BE42C1">
        <w:rPr>
          <w:rFonts w:cs="Arial"/>
          <w:lang w:eastAsia="en-GB"/>
        </w:rPr>
        <w:t xml:space="preserve">. </w:t>
      </w:r>
      <w:r w:rsidRPr="00C54518">
        <w:rPr>
          <w:rFonts w:cs="Arial"/>
          <w:lang w:eastAsia="en-GB"/>
        </w:rPr>
        <w:t>Responses to multiple choice questions from FLS were described using frequencies and percentages</w:t>
      </w:r>
      <w:r w:rsidR="00F21B8D" w:rsidRPr="00C54518">
        <w:rPr>
          <w:rFonts w:cs="Arial"/>
          <w:lang w:eastAsia="en-GB"/>
        </w:rPr>
        <w:t xml:space="preserve"> and </w:t>
      </w:r>
      <w:r w:rsidR="00F21B8D" w:rsidRPr="000D0225">
        <w:rPr>
          <w:rFonts w:cs="Arial"/>
          <w:lang w:eastAsia="en-GB"/>
        </w:rPr>
        <w:t>presented in</w:t>
      </w:r>
      <w:r w:rsidR="009F51CD">
        <w:rPr>
          <w:rFonts w:cs="Arial"/>
          <w:lang w:eastAsia="en-GB"/>
        </w:rPr>
        <w:t xml:space="preserve"> Appendix 2</w:t>
      </w:r>
      <w:r w:rsidR="00406071">
        <w:rPr>
          <w:rFonts w:cs="Arial"/>
          <w:lang w:eastAsia="en-GB"/>
        </w:rPr>
        <w:t xml:space="preserve"> (Online Resource)</w:t>
      </w:r>
      <w:r w:rsidRPr="000D0225">
        <w:rPr>
          <w:rFonts w:cs="Arial"/>
          <w:lang w:eastAsia="en-GB"/>
        </w:rPr>
        <w:t>. Missing</w:t>
      </w:r>
      <w:r w:rsidRPr="00C54518">
        <w:rPr>
          <w:rFonts w:cs="Arial"/>
          <w:lang w:eastAsia="en-GB"/>
        </w:rPr>
        <w:t xml:space="preserve"> responses were not used in the calculation of percentages. </w:t>
      </w:r>
      <w:r w:rsidR="000D0225">
        <w:rPr>
          <w:rFonts w:cs="Arial"/>
          <w:lang w:eastAsia="en-GB"/>
        </w:rPr>
        <w:t>The n</w:t>
      </w:r>
      <w:r w:rsidR="00595757" w:rsidRPr="00C54518">
        <w:rPr>
          <w:rFonts w:cs="Arial"/>
          <w:lang w:eastAsia="en-GB"/>
        </w:rPr>
        <w:t xml:space="preserve">umber of missing </w:t>
      </w:r>
      <w:r w:rsidRPr="00C54518">
        <w:rPr>
          <w:rFonts w:cs="Arial"/>
          <w:lang w:eastAsia="en-GB"/>
        </w:rPr>
        <w:t>responses</w:t>
      </w:r>
      <w:r w:rsidR="00595757" w:rsidRPr="00C54518">
        <w:rPr>
          <w:rFonts w:cs="Arial"/>
          <w:lang w:eastAsia="en-GB"/>
        </w:rPr>
        <w:t xml:space="preserve"> for each </w:t>
      </w:r>
      <w:r w:rsidRPr="00C54518">
        <w:rPr>
          <w:rFonts w:cs="Arial"/>
          <w:lang w:eastAsia="en-GB"/>
        </w:rPr>
        <w:t>question</w:t>
      </w:r>
      <w:r w:rsidR="00595757" w:rsidRPr="00C54518">
        <w:rPr>
          <w:rFonts w:cs="Arial"/>
          <w:lang w:eastAsia="en-GB"/>
        </w:rPr>
        <w:t xml:space="preserve"> is shown in</w:t>
      </w:r>
      <w:r w:rsidR="000D0225">
        <w:rPr>
          <w:rFonts w:cs="Arial"/>
          <w:lang w:eastAsia="en-GB"/>
        </w:rPr>
        <w:t xml:space="preserve"> </w:t>
      </w:r>
      <w:r w:rsidR="009F51CD">
        <w:rPr>
          <w:rFonts w:cs="Arial"/>
          <w:lang w:eastAsia="en-GB"/>
        </w:rPr>
        <w:t>Appendix 3</w:t>
      </w:r>
      <w:r w:rsidR="00406071">
        <w:rPr>
          <w:rFonts w:cs="Arial"/>
          <w:lang w:eastAsia="en-GB"/>
        </w:rPr>
        <w:t xml:space="preserve"> (Online Resource)</w:t>
      </w:r>
      <w:r w:rsidRPr="00C54518">
        <w:rPr>
          <w:rFonts w:cs="Arial"/>
          <w:lang w:eastAsia="en-GB"/>
        </w:rPr>
        <w:t>.</w:t>
      </w:r>
      <w:r w:rsidR="00F26664" w:rsidRPr="00C54518">
        <w:rPr>
          <w:rFonts w:cs="Arial"/>
          <w:lang w:eastAsia="en-GB"/>
        </w:rPr>
        <w:t xml:space="preserve"> Key </w:t>
      </w:r>
      <w:r w:rsidRPr="00C54518">
        <w:rPr>
          <w:rFonts w:cs="Arial"/>
          <w:lang w:eastAsia="en-GB"/>
        </w:rPr>
        <w:t>results</w:t>
      </w:r>
      <w:r w:rsidR="00F26664" w:rsidRPr="00C54518">
        <w:rPr>
          <w:rFonts w:cs="Arial"/>
          <w:lang w:eastAsia="en-GB"/>
        </w:rPr>
        <w:t xml:space="preserve"> are p</w:t>
      </w:r>
      <w:r w:rsidR="00DF798F">
        <w:rPr>
          <w:rFonts w:cs="Arial"/>
          <w:lang w:eastAsia="en-GB"/>
        </w:rPr>
        <w:t xml:space="preserve">resented graphically in figures with the corresponding </w:t>
      </w:r>
      <w:r w:rsidR="00FE4C58">
        <w:rPr>
          <w:rFonts w:cs="Arial"/>
          <w:lang w:eastAsia="en-GB"/>
        </w:rPr>
        <w:t xml:space="preserve">question number indicated in </w:t>
      </w:r>
      <w:r w:rsidR="000D0225">
        <w:rPr>
          <w:rFonts w:cs="Arial"/>
          <w:lang w:eastAsia="en-GB"/>
        </w:rPr>
        <w:t>brackets in the title of the figure.</w:t>
      </w:r>
    </w:p>
    <w:p w14:paraId="17DBAB1E" w14:textId="77777777" w:rsidR="005B6C60" w:rsidRPr="005B6C60" w:rsidRDefault="005B6C60" w:rsidP="00C8570F">
      <w:pPr>
        <w:spacing w:after="240" w:line="360" w:lineRule="auto"/>
      </w:pPr>
    </w:p>
    <w:p w14:paraId="61405139" w14:textId="77777777" w:rsidR="00FB4FB4" w:rsidRPr="00C54518" w:rsidRDefault="005D4CC4" w:rsidP="00C8570F">
      <w:pPr>
        <w:spacing w:after="240" w:line="360" w:lineRule="auto"/>
        <w:rPr>
          <w:rFonts w:cs="Arial"/>
          <w:b/>
          <w:lang w:eastAsia="en-GB"/>
        </w:rPr>
      </w:pPr>
      <w:r w:rsidRPr="00C54518">
        <w:rPr>
          <w:rFonts w:cs="Arial"/>
          <w:b/>
          <w:lang w:eastAsia="en-GB"/>
        </w:rPr>
        <w:lastRenderedPageBreak/>
        <w:t>Results</w:t>
      </w:r>
    </w:p>
    <w:p w14:paraId="3CFC245E" w14:textId="7D2F8ABF" w:rsidR="00010D1B" w:rsidRDefault="009409F1" w:rsidP="00C8570F">
      <w:pPr>
        <w:spacing w:after="240" w:line="360" w:lineRule="auto"/>
        <w:rPr>
          <w:rFonts w:cs="Arial"/>
          <w:lang w:eastAsia="en-GB"/>
        </w:rPr>
      </w:pPr>
      <w:r w:rsidRPr="00C54518">
        <w:rPr>
          <w:rFonts w:cs="Arial"/>
          <w:lang w:eastAsia="en-GB"/>
        </w:rPr>
        <w:t>FLS from 31</w:t>
      </w:r>
      <w:r w:rsidR="00FB4FB4" w:rsidRPr="00C54518">
        <w:rPr>
          <w:rFonts w:cs="Arial"/>
          <w:lang w:eastAsia="en-GB"/>
        </w:rPr>
        <w:t xml:space="preserve"> countries and all </w:t>
      </w:r>
      <w:r w:rsidR="00353F06">
        <w:rPr>
          <w:rFonts w:cs="Arial"/>
          <w:lang w:eastAsia="en-GB"/>
        </w:rPr>
        <w:t xml:space="preserve">inhabited </w:t>
      </w:r>
      <w:r w:rsidR="00FB4FB4" w:rsidRPr="00C54518">
        <w:rPr>
          <w:rFonts w:cs="Arial"/>
          <w:lang w:eastAsia="en-GB"/>
        </w:rPr>
        <w:t xml:space="preserve">continents were </w:t>
      </w:r>
      <w:r w:rsidR="00B7581B">
        <w:rPr>
          <w:rFonts w:cs="Arial"/>
          <w:lang w:eastAsia="en-GB"/>
        </w:rPr>
        <w:t xml:space="preserve">included in the analysis </w:t>
      </w:r>
      <w:r w:rsidR="00B7581B" w:rsidRPr="00B7581B">
        <w:rPr>
          <w:rFonts w:cs="Arial"/>
          <w:lang w:eastAsia="en-GB"/>
        </w:rPr>
        <w:t>sample</w:t>
      </w:r>
      <w:r w:rsidR="00BF64E1" w:rsidRPr="00B7581B">
        <w:rPr>
          <w:rFonts w:cs="Arial"/>
          <w:lang w:eastAsia="en-GB"/>
        </w:rPr>
        <w:t xml:space="preserve"> </w:t>
      </w:r>
      <w:r w:rsidR="00BF64E1" w:rsidRPr="00D359A2">
        <w:rPr>
          <w:rFonts w:cs="Arial"/>
          <w:lang w:eastAsia="en-GB"/>
        </w:rPr>
        <w:t>(</w:t>
      </w:r>
      <w:r w:rsidR="00D359A2" w:rsidRPr="00D359A2">
        <w:t xml:space="preserve">Fig. </w:t>
      </w:r>
      <w:r w:rsidR="00D359A2" w:rsidRPr="00D359A2">
        <w:rPr>
          <w:iCs/>
          <w:noProof/>
        </w:rPr>
        <w:t>1</w:t>
      </w:r>
      <w:r w:rsidR="00BF64E1" w:rsidRPr="00D359A2">
        <w:rPr>
          <w:rFonts w:cs="Arial"/>
          <w:lang w:eastAsia="en-GB"/>
        </w:rPr>
        <w:t>)</w:t>
      </w:r>
      <w:r w:rsidR="00FB4FB4" w:rsidRPr="00D359A2">
        <w:rPr>
          <w:rFonts w:cs="Arial"/>
          <w:lang w:eastAsia="en-GB"/>
        </w:rPr>
        <w:t>.</w:t>
      </w:r>
      <w:r w:rsidR="00FB4FB4" w:rsidRPr="00B7581B">
        <w:rPr>
          <w:rFonts w:cs="Arial"/>
          <w:lang w:eastAsia="en-GB"/>
        </w:rPr>
        <w:t xml:space="preserve"> The c</w:t>
      </w:r>
      <w:r w:rsidRPr="00B7581B">
        <w:rPr>
          <w:rFonts w:cs="Arial"/>
          <w:lang w:eastAsia="en-GB"/>
        </w:rPr>
        <w:t xml:space="preserve">ountry and continent with the highest number of FLS represented </w:t>
      </w:r>
      <w:r w:rsidR="00FB4FB4" w:rsidRPr="00B7581B">
        <w:rPr>
          <w:rFonts w:cs="Arial"/>
          <w:lang w:eastAsia="en-GB"/>
        </w:rPr>
        <w:t>were</w:t>
      </w:r>
      <w:r w:rsidR="00FB4FB4" w:rsidRPr="00C54518">
        <w:rPr>
          <w:rFonts w:cs="Arial"/>
          <w:lang w:eastAsia="en-GB"/>
        </w:rPr>
        <w:t xml:space="preserve"> Spain (n=25) and Europe (n=58</w:t>
      </w:r>
      <w:r w:rsidR="00C54518" w:rsidRPr="00C54518">
        <w:rPr>
          <w:rFonts w:cs="Arial"/>
          <w:lang w:eastAsia="en-GB"/>
        </w:rPr>
        <w:t>), respectively.</w:t>
      </w:r>
    </w:p>
    <w:p w14:paraId="5E33691C" w14:textId="4C96160F" w:rsidR="00F21B8D" w:rsidRDefault="00C54518" w:rsidP="00C8570F">
      <w:pPr>
        <w:spacing w:after="240" w:line="360" w:lineRule="auto"/>
        <w:rPr>
          <w:rFonts w:cs="Arial"/>
          <w:lang w:eastAsia="en-GB"/>
        </w:rPr>
      </w:pPr>
      <w:r w:rsidRPr="00C54518">
        <w:rPr>
          <w:rFonts w:cs="Arial"/>
          <w:lang w:eastAsia="en-GB"/>
        </w:rPr>
        <w:t>In total, 80% of FLS had access to DXA within the institution</w:t>
      </w:r>
      <w:r w:rsidR="005C5ABF">
        <w:rPr>
          <w:rFonts w:cs="Arial"/>
          <w:lang w:eastAsia="en-GB"/>
        </w:rPr>
        <w:t xml:space="preserve"> with the remainder having access to DXA outside the institution</w:t>
      </w:r>
      <w:r w:rsidRPr="00C54518">
        <w:rPr>
          <w:rFonts w:cs="Arial"/>
          <w:lang w:eastAsia="en-GB"/>
        </w:rPr>
        <w:t xml:space="preserve">. </w:t>
      </w:r>
      <w:r w:rsidR="0008565D" w:rsidRPr="0008565D">
        <w:rPr>
          <w:rFonts w:cs="Arial"/>
          <w:lang w:eastAsia="en-GB"/>
        </w:rPr>
        <w:t>Overall, 50% of FLS stated that they requested DXA for new patients regularly (over 90% of the time); the proportion of FLS regularly requesting DXA to monitor therapy in treated patients &lt;75 years and ≥75 years was 52% and 44% respectively.</w:t>
      </w:r>
      <w:r w:rsidR="007E0B0A" w:rsidRPr="00C54518">
        <w:rPr>
          <w:rFonts w:cs="Arial"/>
          <w:lang w:eastAsia="en-GB"/>
        </w:rPr>
        <w:t xml:space="preserve"> </w:t>
      </w:r>
      <w:r w:rsidR="00DF798F" w:rsidRPr="00C54518">
        <w:rPr>
          <w:rFonts w:cs="Arial"/>
          <w:lang w:eastAsia="en-GB"/>
        </w:rPr>
        <w:t>Although</w:t>
      </w:r>
      <w:r w:rsidR="007E0B0A" w:rsidRPr="00C54518">
        <w:rPr>
          <w:rFonts w:cs="Arial"/>
          <w:lang w:eastAsia="en-GB"/>
        </w:rPr>
        <w:t>, 83</w:t>
      </w:r>
      <w:r w:rsidR="00524099" w:rsidRPr="00C54518">
        <w:rPr>
          <w:rFonts w:cs="Arial"/>
          <w:lang w:eastAsia="en-GB"/>
        </w:rPr>
        <w:t xml:space="preserve">% </w:t>
      </w:r>
      <w:r w:rsidR="00782CA6">
        <w:rPr>
          <w:rFonts w:cs="Arial"/>
          <w:lang w:eastAsia="en-GB"/>
        </w:rPr>
        <w:t xml:space="preserve">said they </w:t>
      </w:r>
      <w:r w:rsidR="00524099" w:rsidRPr="00C54518">
        <w:rPr>
          <w:rFonts w:cs="Arial"/>
          <w:lang w:eastAsia="en-GB"/>
        </w:rPr>
        <w:t>performed DXA at specific intervals for patients initiating treatme</w:t>
      </w:r>
      <w:r w:rsidR="007E0B0A" w:rsidRPr="00C54518">
        <w:rPr>
          <w:rFonts w:cs="Arial"/>
          <w:lang w:eastAsia="en-GB"/>
        </w:rPr>
        <w:t>nt</w:t>
      </w:r>
      <w:r w:rsidR="00CE4EC6" w:rsidRPr="00C54518">
        <w:rPr>
          <w:rFonts w:cs="Arial"/>
          <w:lang w:eastAsia="en-GB"/>
        </w:rPr>
        <w:t>, the length of the DXA testing intervals vari</w:t>
      </w:r>
      <w:r w:rsidR="007E0B0A" w:rsidRPr="00C54518">
        <w:rPr>
          <w:rFonts w:cs="Arial"/>
          <w:lang w:eastAsia="en-GB"/>
        </w:rPr>
        <w:t>ed substantially between FLS</w:t>
      </w:r>
      <w:r w:rsidR="00CE4EC6" w:rsidRPr="00C54518">
        <w:rPr>
          <w:rFonts w:cs="Arial"/>
          <w:lang w:eastAsia="en-GB"/>
        </w:rPr>
        <w:t xml:space="preserve">. </w:t>
      </w:r>
    </w:p>
    <w:p w14:paraId="3AEBC61F" w14:textId="7FFA90A2" w:rsidR="00EB265B" w:rsidRPr="00D359A2" w:rsidRDefault="00CE4EC6" w:rsidP="00C8570F">
      <w:pPr>
        <w:spacing w:after="240" w:line="360" w:lineRule="auto"/>
      </w:pPr>
      <w:r w:rsidRPr="00C54518">
        <w:rPr>
          <w:rFonts w:cs="Arial"/>
          <w:lang w:eastAsia="en-GB"/>
        </w:rPr>
        <w:t xml:space="preserve">DXA </w:t>
      </w:r>
      <w:r w:rsidR="00DF798F" w:rsidRPr="00C54518">
        <w:rPr>
          <w:rFonts w:cs="Arial"/>
          <w:lang w:eastAsia="en-GB"/>
        </w:rPr>
        <w:t>access</w:t>
      </w:r>
      <w:r w:rsidRPr="00C54518">
        <w:rPr>
          <w:rFonts w:cs="Arial"/>
          <w:lang w:eastAsia="en-GB"/>
        </w:rPr>
        <w:t xml:space="preserve"> met service needs ove</w:t>
      </w:r>
      <w:r w:rsidR="007E0B0A" w:rsidRPr="00C54518">
        <w:rPr>
          <w:rFonts w:cs="Arial"/>
          <w:lang w:eastAsia="en-GB"/>
        </w:rPr>
        <w:t>r 90% of the time for 71</w:t>
      </w:r>
      <w:r w:rsidRPr="00C54518">
        <w:rPr>
          <w:rFonts w:cs="Arial"/>
          <w:lang w:eastAsia="en-GB"/>
        </w:rPr>
        <w:t>% of FLS</w:t>
      </w:r>
      <w:r w:rsidR="00C54518" w:rsidRPr="00C54518">
        <w:rPr>
          <w:rFonts w:cs="Arial"/>
          <w:lang w:eastAsia="en-GB"/>
        </w:rPr>
        <w:t>, and</w:t>
      </w:r>
      <w:r w:rsidRPr="00C54518">
        <w:rPr>
          <w:rFonts w:cs="Arial"/>
          <w:lang w:eastAsia="en-GB"/>
        </w:rPr>
        <w:t xml:space="preserve"> DXA services </w:t>
      </w:r>
      <w:r w:rsidR="0089283E" w:rsidRPr="000D3232">
        <w:rPr>
          <w:rFonts w:cs="Arial"/>
          <w:lang w:eastAsia="en-GB"/>
        </w:rPr>
        <w:t xml:space="preserve">(scanning and reporting) </w:t>
      </w:r>
      <w:r w:rsidRPr="000D3232">
        <w:rPr>
          <w:rFonts w:cs="Arial"/>
          <w:lang w:eastAsia="en-GB"/>
        </w:rPr>
        <w:t>were reported as excellent over 90%</w:t>
      </w:r>
      <w:r w:rsidR="007E0B0A" w:rsidRPr="000D3232">
        <w:rPr>
          <w:rFonts w:cs="Arial"/>
          <w:lang w:eastAsia="en-GB"/>
        </w:rPr>
        <w:t xml:space="preserve"> of the time for 74</w:t>
      </w:r>
      <w:r w:rsidR="00B74810" w:rsidRPr="000D3232">
        <w:rPr>
          <w:rFonts w:cs="Arial"/>
          <w:lang w:eastAsia="en-GB"/>
        </w:rPr>
        <w:t xml:space="preserve">% </w:t>
      </w:r>
      <w:r w:rsidR="00B74810" w:rsidRPr="00D359A2">
        <w:rPr>
          <w:rFonts w:cs="Arial"/>
          <w:lang w:eastAsia="en-GB"/>
        </w:rPr>
        <w:t>of FLS</w:t>
      </w:r>
      <w:r w:rsidR="0028288D" w:rsidRPr="00D359A2">
        <w:rPr>
          <w:rFonts w:cs="Arial"/>
          <w:lang w:eastAsia="en-GB"/>
        </w:rPr>
        <w:t xml:space="preserve"> (</w:t>
      </w:r>
      <w:r w:rsidR="00D359A2" w:rsidRPr="00D359A2">
        <w:t>Fig</w:t>
      </w:r>
      <w:r w:rsidR="00D359A2" w:rsidRPr="00D359A2">
        <w:rPr>
          <w:iCs/>
        </w:rPr>
        <w:t xml:space="preserve">. </w:t>
      </w:r>
      <w:r w:rsidR="00D359A2" w:rsidRPr="00D359A2">
        <w:rPr>
          <w:iCs/>
          <w:noProof/>
        </w:rPr>
        <w:t>2</w:t>
      </w:r>
      <w:r w:rsidR="0028288D" w:rsidRPr="00D359A2">
        <w:rPr>
          <w:rFonts w:cs="Arial"/>
          <w:lang w:eastAsia="en-GB"/>
        </w:rPr>
        <w:t>)</w:t>
      </w:r>
      <w:r w:rsidR="00782CA6" w:rsidRPr="00D359A2">
        <w:rPr>
          <w:rFonts w:cs="Arial"/>
          <w:lang w:eastAsia="en-GB"/>
        </w:rPr>
        <w:t>.</w:t>
      </w:r>
      <w:r w:rsidR="00B74810" w:rsidRPr="00D359A2">
        <w:rPr>
          <w:rFonts w:cs="Arial"/>
          <w:lang w:eastAsia="en-GB"/>
        </w:rPr>
        <w:t xml:space="preserve"> </w:t>
      </w:r>
      <w:r w:rsidR="00782CA6">
        <w:rPr>
          <w:rFonts w:cs="Arial"/>
          <w:lang w:eastAsia="en-GB"/>
        </w:rPr>
        <w:t>T</w:t>
      </w:r>
      <w:r w:rsidR="00B74810" w:rsidRPr="000D3232">
        <w:rPr>
          <w:rFonts w:cs="Arial"/>
          <w:lang w:eastAsia="en-GB"/>
        </w:rPr>
        <w:t>he</w:t>
      </w:r>
      <w:r w:rsidR="00B74810" w:rsidRPr="00C54518">
        <w:rPr>
          <w:rFonts w:cs="Arial"/>
          <w:lang w:eastAsia="en-GB"/>
        </w:rPr>
        <w:t xml:space="preserve"> quality of a DXA report was only questioned weekly </w:t>
      </w:r>
      <w:r w:rsidR="009E7D16" w:rsidRPr="00C54518">
        <w:rPr>
          <w:rFonts w:cs="Arial"/>
          <w:lang w:eastAsia="en-GB"/>
        </w:rPr>
        <w:t xml:space="preserve">or daily among </w:t>
      </w:r>
      <w:r w:rsidR="007E0B0A" w:rsidRPr="00C54518">
        <w:rPr>
          <w:rFonts w:cs="Arial"/>
          <w:lang w:eastAsia="en-GB"/>
        </w:rPr>
        <w:t>12%</w:t>
      </w:r>
      <w:r w:rsidR="0089283E">
        <w:rPr>
          <w:rFonts w:cs="Arial"/>
          <w:lang w:eastAsia="en-GB"/>
        </w:rPr>
        <w:t xml:space="preserve"> of FLS</w:t>
      </w:r>
      <w:r w:rsidR="00782CA6">
        <w:rPr>
          <w:rFonts w:cs="Arial"/>
          <w:lang w:eastAsia="en-GB"/>
        </w:rPr>
        <w:t>.</w:t>
      </w:r>
      <w:r w:rsidR="000F2625">
        <w:rPr>
          <w:rFonts w:cs="Arial"/>
          <w:lang w:eastAsia="en-GB"/>
        </w:rPr>
        <w:t xml:space="preserve"> </w:t>
      </w:r>
      <w:r w:rsidR="00782CA6">
        <w:rPr>
          <w:rFonts w:cs="Arial"/>
          <w:lang w:eastAsia="en-GB"/>
        </w:rPr>
        <w:t>O</w:t>
      </w:r>
      <w:r w:rsidR="0038254D" w:rsidRPr="00C54518">
        <w:rPr>
          <w:rFonts w:cs="Arial"/>
          <w:lang w:eastAsia="en-GB"/>
        </w:rPr>
        <w:t>nly 45</w:t>
      </w:r>
      <w:r w:rsidR="009E7D16" w:rsidRPr="00C54518">
        <w:rPr>
          <w:rFonts w:cs="Arial"/>
          <w:lang w:eastAsia="en-GB"/>
        </w:rPr>
        <w:t xml:space="preserve">% </w:t>
      </w:r>
      <w:r w:rsidR="0038254D" w:rsidRPr="00C54518">
        <w:rPr>
          <w:rFonts w:cs="Arial"/>
          <w:lang w:eastAsia="en-GB"/>
        </w:rPr>
        <w:t>said their facilities</w:t>
      </w:r>
      <w:r w:rsidR="009E7D16" w:rsidRPr="00C54518">
        <w:rPr>
          <w:rFonts w:cs="Arial"/>
          <w:lang w:eastAsia="en-GB"/>
        </w:rPr>
        <w:t xml:space="preserve"> had been </w:t>
      </w:r>
      <w:r w:rsidR="00DF798F" w:rsidRPr="00C54518">
        <w:rPr>
          <w:rFonts w:cs="Arial"/>
          <w:lang w:eastAsia="en-GB"/>
        </w:rPr>
        <w:t>accredited</w:t>
      </w:r>
      <w:r w:rsidR="009E7D16" w:rsidRPr="00C54518">
        <w:rPr>
          <w:rFonts w:cs="Arial"/>
          <w:lang w:eastAsia="en-GB"/>
        </w:rPr>
        <w:t xml:space="preserve"> by a </w:t>
      </w:r>
      <w:r w:rsidR="00952B75" w:rsidRPr="00C54518">
        <w:rPr>
          <w:rFonts w:cs="Arial"/>
          <w:lang w:eastAsia="en-GB"/>
        </w:rPr>
        <w:t xml:space="preserve">professional or governmental organisation, with </w:t>
      </w:r>
      <w:r w:rsidR="0038254D" w:rsidRPr="00C54518">
        <w:rPr>
          <w:rFonts w:cs="Arial"/>
          <w:lang w:eastAsia="en-GB"/>
        </w:rPr>
        <w:t>30</w:t>
      </w:r>
      <w:r w:rsidR="00952B75" w:rsidRPr="00C54518">
        <w:rPr>
          <w:rFonts w:cs="Arial"/>
          <w:lang w:eastAsia="en-GB"/>
        </w:rPr>
        <w:t xml:space="preserve">% not </w:t>
      </w:r>
      <w:r w:rsidR="00DF798F" w:rsidRPr="00C54518">
        <w:rPr>
          <w:rFonts w:cs="Arial"/>
          <w:lang w:eastAsia="en-GB"/>
        </w:rPr>
        <w:t>knowing</w:t>
      </w:r>
      <w:r w:rsidR="00952B75" w:rsidRPr="00C54518">
        <w:rPr>
          <w:rFonts w:cs="Arial"/>
          <w:lang w:eastAsia="en-GB"/>
        </w:rPr>
        <w:t>.</w:t>
      </w:r>
    </w:p>
    <w:p w14:paraId="33FD1CE7" w14:textId="39A41075" w:rsidR="00573D6D" w:rsidRDefault="00796796" w:rsidP="00C8570F">
      <w:pPr>
        <w:spacing w:after="240" w:line="360" w:lineRule="auto"/>
        <w:rPr>
          <w:rFonts w:cs="Arial"/>
          <w:lang w:eastAsia="en-GB"/>
        </w:rPr>
      </w:pPr>
      <w:r w:rsidRPr="00C54518">
        <w:rPr>
          <w:rFonts w:cs="Arial"/>
          <w:lang w:eastAsia="en-GB"/>
        </w:rPr>
        <w:t xml:space="preserve">In total, 72% </w:t>
      </w:r>
      <w:r w:rsidR="001F7E84">
        <w:rPr>
          <w:rFonts w:cs="Arial"/>
          <w:lang w:eastAsia="en-GB"/>
        </w:rPr>
        <w:t xml:space="preserve">stated that they </w:t>
      </w:r>
      <w:r w:rsidRPr="00C54518">
        <w:rPr>
          <w:rFonts w:cs="Arial"/>
          <w:lang w:eastAsia="en-GB"/>
        </w:rPr>
        <w:t>designated operators as supervisors of DXA activities; 59%</w:t>
      </w:r>
      <w:r w:rsidR="001F7E84">
        <w:rPr>
          <w:rFonts w:cs="Arial"/>
          <w:lang w:eastAsia="en-GB"/>
        </w:rPr>
        <w:t xml:space="preserve"> confirmed that they</w:t>
      </w:r>
      <w:r w:rsidRPr="00C54518">
        <w:rPr>
          <w:rFonts w:cs="Arial"/>
          <w:lang w:eastAsia="en-GB"/>
        </w:rPr>
        <w:t xml:space="preserve"> required ongoing education in osteoporosis or DXA for operators</w:t>
      </w:r>
      <w:r w:rsidR="00C54518" w:rsidRPr="00C54518">
        <w:rPr>
          <w:rFonts w:cs="Arial"/>
          <w:lang w:eastAsia="en-GB"/>
        </w:rPr>
        <w:t>;</w:t>
      </w:r>
      <w:r w:rsidRPr="00C54518">
        <w:rPr>
          <w:rFonts w:cs="Arial"/>
          <w:lang w:eastAsia="en-GB"/>
        </w:rPr>
        <w:t xml:space="preserve"> and 61% </w:t>
      </w:r>
      <w:r w:rsidR="001F7E84">
        <w:rPr>
          <w:rFonts w:cs="Arial"/>
          <w:lang w:eastAsia="en-GB"/>
        </w:rPr>
        <w:t>confirmed this requirement</w:t>
      </w:r>
      <w:r w:rsidR="00BF23A0">
        <w:rPr>
          <w:rFonts w:cs="Arial"/>
          <w:lang w:eastAsia="en-GB"/>
        </w:rPr>
        <w:t xml:space="preserve"> </w:t>
      </w:r>
      <w:r w:rsidRPr="00C54518">
        <w:rPr>
          <w:rFonts w:cs="Arial"/>
          <w:lang w:eastAsia="en-GB"/>
        </w:rPr>
        <w:t>for interpreters. A facility-specific standard operating procedures manual was used in 69% of FLS</w:t>
      </w:r>
      <w:r w:rsidR="001F7E84">
        <w:rPr>
          <w:rFonts w:cs="Arial"/>
          <w:lang w:eastAsia="en-GB"/>
        </w:rPr>
        <w:t xml:space="preserve"> (22% not knowing)</w:t>
      </w:r>
      <w:r w:rsidRPr="00C54518">
        <w:rPr>
          <w:rFonts w:cs="Arial"/>
          <w:lang w:eastAsia="en-GB"/>
        </w:rPr>
        <w:t xml:space="preserve"> with </w:t>
      </w:r>
      <w:r w:rsidR="00FC1810" w:rsidRPr="00C54518">
        <w:rPr>
          <w:rFonts w:cs="Arial"/>
          <w:lang w:eastAsia="en-GB"/>
        </w:rPr>
        <w:t xml:space="preserve">72% of services </w:t>
      </w:r>
      <w:r w:rsidR="001F7E84">
        <w:rPr>
          <w:rFonts w:cs="Arial"/>
          <w:lang w:eastAsia="en-GB"/>
        </w:rPr>
        <w:t>stating that</w:t>
      </w:r>
      <w:r w:rsidR="001F7E84" w:rsidRPr="00C54518">
        <w:rPr>
          <w:rFonts w:cs="Arial"/>
          <w:lang w:eastAsia="en-GB"/>
        </w:rPr>
        <w:t xml:space="preserve"> </w:t>
      </w:r>
      <w:r w:rsidR="00FC1810" w:rsidRPr="00C54518">
        <w:rPr>
          <w:rFonts w:cs="Arial"/>
          <w:lang w:eastAsia="en-GB"/>
        </w:rPr>
        <w:t xml:space="preserve">the manufacturer’s operations manual </w:t>
      </w:r>
      <w:r w:rsidR="001F7E84">
        <w:rPr>
          <w:rFonts w:cs="Arial"/>
          <w:lang w:eastAsia="en-GB"/>
        </w:rPr>
        <w:t xml:space="preserve">was immediately available </w:t>
      </w:r>
      <w:r w:rsidR="00FC1810" w:rsidRPr="00C54518">
        <w:rPr>
          <w:rFonts w:cs="Arial"/>
          <w:lang w:eastAsia="en-GB"/>
        </w:rPr>
        <w:t>in the DXA suite.</w:t>
      </w:r>
      <w:r w:rsidR="00201BBE" w:rsidRPr="00C54518">
        <w:rPr>
          <w:rFonts w:cs="Arial"/>
          <w:lang w:eastAsia="en-GB"/>
        </w:rPr>
        <w:t xml:space="preserve"> </w:t>
      </w:r>
      <w:r w:rsidR="009B71F0">
        <w:rPr>
          <w:rFonts w:cs="Arial"/>
          <w:lang w:eastAsia="en-GB"/>
        </w:rPr>
        <w:t>A</w:t>
      </w:r>
      <w:r w:rsidR="00201BBE" w:rsidRPr="00C54518">
        <w:rPr>
          <w:rFonts w:cs="Arial"/>
          <w:lang w:eastAsia="en-GB"/>
        </w:rPr>
        <w:t xml:space="preserve"> high proportion of FLS were unaware how often machine calibration was assessed with a phantom </w:t>
      </w:r>
      <w:r w:rsidR="00B45FB4">
        <w:rPr>
          <w:rFonts w:cs="Arial"/>
          <w:lang w:eastAsia="en-GB"/>
        </w:rPr>
        <w:t>or</w:t>
      </w:r>
      <w:r w:rsidR="00201BBE" w:rsidRPr="00C54518">
        <w:rPr>
          <w:rFonts w:cs="Arial"/>
          <w:lang w:eastAsia="en-GB"/>
        </w:rPr>
        <w:t xml:space="preserve"> how often phantom values were plotted an</w:t>
      </w:r>
      <w:r w:rsidR="00321F5C">
        <w:rPr>
          <w:rFonts w:cs="Arial"/>
          <w:lang w:eastAsia="en-GB"/>
        </w:rPr>
        <w:t>d reviewed for shifts</w:t>
      </w:r>
      <w:r w:rsidR="003B3C93">
        <w:rPr>
          <w:rFonts w:cs="Arial"/>
          <w:lang w:eastAsia="en-GB"/>
        </w:rPr>
        <w:t xml:space="preserve"> (sudden decline in </w:t>
      </w:r>
      <w:r w:rsidR="00F14232">
        <w:rPr>
          <w:rFonts w:cs="Arial"/>
          <w:lang w:eastAsia="en-GB"/>
        </w:rPr>
        <w:t>machine</w:t>
      </w:r>
      <w:r w:rsidR="003B3C93">
        <w:rPr>
          <w:rFonts w:cs="Arial"/>
          <w:lang w:eastAsia="en-GB"/>
        </w:rPr>
        <w:t xml:space="preserve"> accuracy/precision)</w:t>
      </w:r>
      <w:r w:rsidR="00321F5C">
        <w:rPr>
          <w:rFonts w:cs="Arial"/>
          <w:lang w:eastAsia="en-GB"/>
        </w:rPr>
        <w:t xml:space="preserve"> and drift</w:t>
      </w:r>
      <w:r w:rsidR="00C8570F">
        <w:rPr>
          <w:rFonts w:cs="Arial"/>
          <w:lang w:eastAsia="en-GB"/>
        </w:rPr>
        <w:t xml:space="preserve"> (gradual decline in </w:t>
      </w:r>
      <w:r w:rsidR="003B3C93">
        <w:rPr>
          <w:rFonts w:cs="Arial"/>
          <w:lang w:eastAsia="en-GB"/>
        </w:rPr>
        <w:t>machine accuracy/precision</w:t>
      </w:r>
      <w:r w:rsidR="00C8570F">
        <w:rPr>
          <w:rFonts w:cs="Arial"/>
          <w:lang w:eastAsia="en-GB"/>
        </w:rPr>
        <w:t>)</w:t>
      </w:r>
      <w:r w:rsidR="009B71F0">
        <w:rPr>
          <w:rFonts w:cs="Arial"/>
          <w:lang w:eastAsia="en-GB"/>
        </w:rPr>
        <w:t xml:space="preserve">. However, </w:t>
      </w:r>
      <w:r w:rsidR="00201BBE" w:rsidRPr="00C54518">
        <w:rPr>
          <w:rFonts w:cs="Arial"/>
          <w:lang w:eastAsia="en-GB"/>
        </w:rPr>
        <w:t xml:space="preserve">most that were aware reported a regular occurrence of </w:t>
      </w:r>
      <w:r w:rsidR="009B71F0">
        <w:rPr>
          <w:rFonts w:cs="Arial"/>
          <w:lang w:eastAsia="en-GB"/>
        </w:rPr>
        <w:t>these activities</w:t>
      </w:r>
      <w:r w:rsidR="00201BBE" w:rsidRPr="00D359A2">
        <w:rPr>
          <w:rFonts w:cs="Arial"/>
          <w:lang w:eastAsia="en-GB"/>
        </w:rPr>
        <w:t xml:space="preserve"> (</w:t>
      </w:r>
      <w:r w:rsidR="00D359A2" w:rsidRPr="00D359A2">
        <w:t>Fig.</w:t>
      </w:r>
      <w:r w:rsidR="0079749C">
        <w:t xml:space="preserve"> </w:t>
      </w:r>
      <w:r w:rsidR="00D359A2" w:rsidRPr="00D359A2">
        <w:rPr>
          <w:noProof/>
        </w:rPr>
        <w:t>3</w:t>
      </w:r>
      <w:r w:rsidR="00201BBE" w:rsidRPr="00D359A2">
        <w:rPr>
          <w:rFonts w:cs="Arial"/>
          <w:lang w:eastAsia="en-GB"/>
        </w:rPr>
        <w:t>).</w:t>
      </w:r>
      <w:r w:rsidR="00201BBE" w:rsidRPr="00C54518">
        <w:rPr>
          <w:rFonts w:cs="Arial"/>
          <w:lang w:eastAsia="en-GB"/>
        </w:rPr>
        <w:t xml:space="preserve"> Overall</w:t>
      </w:r>
      <w:r w:rsidR="000D3232">
        <w:rPr>
          <w:rFonts w:cs="Arial"/>
          <w:lang w:eastAsia="en-GB"/>
        </w:rPr>
        <w:t>,</w:t>
      </w:r>
      <w:r w:rsidR="00201BBE" w:rsidRPr="00C54518">
        <w:rPr>
          <w:rFonts w:cs="Arial"/>
          <w:lang w:eastAsia="en-GB"/>
        </w:rPr>
        <w:t xml:space="preserve"> 58% of FLS </w:t>
      </w:r>
      <w:r w:rsidR="000D3232">
        <w:rPr>
          <w:rFonts w:cs="Arial"/>
          <w:lang w:eastAsia="en-GB"/>
        </w:rPr>
        <w:t>had</w:t>
      </w:r>
      <w:r w:rsidR="00201BBE" w:rsidRPr="00C54518">
        <w:rPr>
          <w:rFonts w:cs="Arial"/>
          <w:lang w:eastAsia="en-GB"/>
        </w:rPr>
        <w:t xml:space="preserve"> numerical quality assurance r</w:t>
      </w:r>
      <w:r w:rsidR="005A480F" w:rsidRPr="00C54518">
        <w:rPr>
          <w:rFonts w:cs="Arial"/>
          <w:lang w:eastAsia="en-GB"/>
        </w:rPr>
        <w:t>ules</w:t>
      </w:r>
      <w:r w:rsidR="00201BBE" w:rsidRPr="00C54518">
        <w:rPr>
          <w:rFonts w:cs="Arial"/>
          <w:lang w:eastAsia="en-GB"/>
        </w:rPr>
        <w:t xml:space="preserve"> for acceptable DXA machine</w:t>
      </w:r>
      <w:r w:rsidR="005A480F" w:rsidRPr="00C54518">
        <w:rPr>
          <w:rFonts w:cs="Arial"/>
          <w:lang w:eastAsia="en-GB"/>
        </w:rPr>
        <w:t xml:space="preserve"> performance</w:t>
      </w:r>
      <w:r w:rsidR="00201BBE" w:rsidRPr="00C54518">
        <w:rPr>
          <w:rFonts w:cs="Arial"/>
          <w:lang w:eastAsia="en-GB"/>
        </w:rPr>
        <w:t xml:space="preserve"> with 35% not knowing.</w:t>
      </w:r>
    </w:p>
    <w:p w14:paraId="622082FF" w14:textId="52508559" w:rsidR="0044107D" w:rsidRDefault="0044107D" w:rsidP="00C8570F">
      <w:pPr>
        <w:spacing w:after="240" w:line="360" w:lineRule="auto"/>
      </w:pPr>
      <w:r w:rsidRPr="00C54518">
        <w:rPr>
          <w:rFonts w:cs="Arial"/>
          <w:lang w:eastAsia="en-GB"/>
        </w:rPr>
        <w:t>The use of questionnaire</w:t>
      </w:r>
      <w:r w:rsidR="00C54518" w:rsidRPr="00C54518">
        <w:rPr>
          <w:rFonts w:cs="Arial"/>
          <w:lang w:eastAsia="en-GB"/>
        </w:rPr>
        <w:t>s</w:t>
      </w:r>
      <w:r w:rsidRPr="00C54518">
        <w:rPr>
          <w:rFonts w:cs="Arial"/>
          <w:lang w:eastAsia="en-GB"/>
        </w:rPr>
        <w:t xml:space="preserve"> to gather patient information was common. </w:t>
      </w:r>
      <w:r w:rsidRPr="00C54518">
        <w:t xml:space="preserve">For example, </w:t>
      </w:r>
      <w:r w:rsidR="00A04BB5" w:rsidRPr="00C54518">
        <w:t>82% of F</w:t>
      </w:r>
      <w:r w:rsidR="00BF23A0">
        <w:t xml:space="preserve">LS used questionnaires; </w:t>
      </w:r>
      <w:r w:rsidRPr="00C54518">
        <w:t>59% used a standard</w:t>
      </w:r>
      <w:r w:rsidR="00BF23A0">
        <w:t>ised</w:t>
      </w:r>
      <w:r w:rsidRPr="00C54518">
        <w:t xml:space="preserve"> questionnaire to gather clinical patient information over 90% of the </w:t>
      </w:r>
      <w:r w:rsidRPr="00AA48FC">
        <w:t>time (</w:t>
      </w:r>
      <w:r w:rsidR="00D359A2" w:rsidRPr="00010D1B">
        <w:t>Fig</w:t>
      </w:r>
      <w:r w:rsidR="00D359A2" w:rsidRPr="00AA48FC">
        <w:t>.</w:t>
      </w:r>
      <w:r w:rsidR="00D359A2" w:rsidRPr="00AA48FC">
        <w:rPr>
          <w:iCs/>
        </w:rPr>
        <w:t xml:space="preserve"> </w:t>
      </w:r>
      <w:r w:rsidR="00D359A2" w:rsidRPr="00AA48FC">
        <w:rPr>
          <w:iCs/>
          <w:noProof/>
        </w:rPr>
        <w:t>4</w:t>
      </w:r>
      <w:r w:rsidRPr="00AA48FC">
        <w:t xml:space="preserve">). </w:t>
      </w:r>
      <w:r w:rsidR="0009442E">
        <w:t>Of those using questionnaires</w:t>
      </w:r>
      <w:r w:rsidR="00D86241" w:rsidRPr="00C54518">
        <w:t xml:space="preserve">, the majority of FLS included questions </w:t>
      </w:r>
      <w:r w:rsidR="008C5A28">
        <w:t>about</w:t>
      </w:r>
      <w:r w:rsidR="00D86241" w:rsidRPr="00C54518">
        <w:t xml:space="preserve"> the following: indications for DXA scans (76%); clinical risk factors for fracture risk </w:t>
      </w:r>
      <w:r w:rsidR="008C5A28">
        <w:t>calculations (89%); use of bone-</w:t>
      </w:r>
      <w:r w:rsidR="00D86241" w:rsidRPr="00C54518">
        <w:t>detrimental medications (83%); fracture history (94%)</w:t>
      </w:r>
      <w:r w:rsidR="00C54518" w:rsidRPr="00C54518">
        <w:t>;</w:t>
      </w:r>
      <w:r w:rsidR="00D86241" w:rsidRPr="00C54518">
        <w:t xml:space="preserve"> and treatment with osteoporotic medications (90%). The most common primary source for collecting the DXA questionnaire responses was</w:t>
      </w:r>
      <w:r w:rsidR="00B83857" w:rsidRPr="00C54518">
        <w:t xml:space="preserve"> the technologist who </w:t>
      </w:r>
      <w:r w:rsidR="00B83857" w:rsidRPr="00C54518">
        <w:lastRenderedPageBreak/>
        <w:t>collected the information at the ti</w:t>
      </w:r>
      <w:r w:rsidR="00426E00">
        <w:t>me of scan or validated patient-</w:t>
      </w:r>
      <w:r w:rsidR="00B83857" w:rsidRPr="00C54518">
        <w:t>supplied data (31%), followed by the patient (26%) and then the referring physician (20</w:t>
      </w:r>
      <w:r w:rsidR="001F7E84" w:rsidRPr="00C54518">
        <w:t>%)</w:t>
      </w:r>
      <w:r w:rsidR="001F7E84">
        <w:t>; only 5% did not know.</w:t>
      </w:r>
    </w:p>
    <w:p w14:paraId="2141E959" w14:textId="50B7650B" w:rsidR="003926D7" w:rsidRPr="00AA48FC" w:rsidRDefault="003926D7" w:rsidP="00C8570F">
      <w:pPr>
        <w:spacing w:after="240" w:line="360" w:lineRule="auto"/>
      </w:pPr>
      <w:r w:rsidRPr="00C54518">
        <w:t xml:space="preserve">For the assessment of significant BMD changes over time, the most common method </w:t>
      </w:r>
      <w:proofErr w:type="gramStart"/>
      <w:r w:rsidRPr="00C54518">
        <w:t>was  least</w:t>
      </w:r>
      <w:proofErr w:type="gramEnd"/>
      <w:r w:rsidRPr="00C54518">
        <w:t xml:space="preserve"> significant change at the 95% significance level (95% LSC), </w:t>
      </w:r>
      <w:r w:rsidR="001F7E84">
        <w:t>reported</w:t>
      </w:r>
      <w:r w:rsidR="001F7E84" w:rsidRPr="00C54518">
        <w:t xml:space="preserve"> </w:t>
      </w:r>
      <w:r w:rsidRPr="00C54518">
        <w:t>among 44% of FLS</w:t>
      </w:r>
      <w:r w:rsidR="007F63E8" w:rsidRPr="00C54518">
        <w:t xml:space="preserve"> </w:t>
      </w:r>
      <w:r w:rsidR="007F63E8" w:rsidRPr="00AA48FC">
        <w:t>(</w:t>
      </w:r>
      <w:r w:rsidR="00D359A2" w:rsidRPr="00AA48FC">
        <w:t xml:space="preserve">Fig. </w:t>
      </w:r>
      <w:r w:rsidR="00D359A2" w:rsidRPr="00AA48FC">
        <w:rPr>
          <w:iCs/>
          <w:noProof/>
        </w:rPr>
        <w:t>5</w:t>
      </w:r>
      <w:r w:rsidR="007F63E8" w:rsidRPr="00AA48FC">
        <w:t>)</w:t>
      </w:r>
      <w:r w:rsidRPr="00AA48FC">
        <w:t>.</w:t>
      </w:r>
      <w:r w:rsidRPr="00C54518">
        <w:t xml:space="preserve"> However, some followed manufa</w:t>
      </w:r>
      <w:r w:rsidR="00571DAB" w:rsidRPr="00C54518">
        <w:t xml:space="preserve">cturer recommendations (15%) and others relied on the DXA interpreters to determine significant BMD changes (18%); </w:t>
      </w:r>
      <w:r w:rsidR="00CE06B6" w:rsidRPr="00C54518">
        <w:t xml:space="preserve">only </w:t>
      </w:r>
      <w:r w:rsidR="00571DAB" w:rsidRPr="00C54518">
        <w:t xml:space="preserve">6% of FLS did not report significant changes in BMD. </w:t>
      </w:r>
      <w:r w:rsidR="00426E00">
        <w:t xml:space="preserve">The units for reporting the </w:t>
      </w:r>
      <w:r w:rsidR="00571DAB" w:rsidRPr="00C54518">
        <w:t xml:space="preserve">95% LSC for the </w:t>
      </w:r>
      <w:r w:rsidR="005B5051">
        <w:t xml:space="preserve">L1-L4 </w:t>
      </w:r>
      <w:r w:rsidR="00571DAB" w:rsidRPr="00C54518">
        <w:t>lumbar spine and total proximal femur</w:t>
      </w:r>
      <w:r w:rsidR="00426E00">
        <w:t xml:space="preserve"> included</w:t>
      </w:r>
      <w:r w:rsidR="00571DAB" w:rsidRPr="00C54518">
        <w:t xml:space="preserve"> g/cm</w:t>
      </w:r>
      <w:r w:rsidR="00571DAB" w:rsidRPr="00C54518">
        <w:rPr>
          <w:vertAlign w:val="superscript"/>
        </w:rPr>
        <w:t>2</w:t>
      </w:r>
      <w:r w:rsidR="00426E00">
        <w:t xml:space="preserve">, percentages </w:t>
      </w:r>
      <w:proofErr w:type="gramStart"/>
      <w:r w:rsidR="00426E00">
        <w:t>and also</w:t>
      </w:r>
      <w:proofErr w:type="gramEnd"/>
      <w:r w:rsidR="00426E00">
        <w:t xml:space="preserve"> a combination of </w:t>
      </w:r>
      <w:r w:rsidR="00571DAB" w:rsidRPr="00C54518">
        <w:t xml:space="preserve">these </w:t>
      </w:r>
      <w:r w:rsidR="00571DAB" w:rsidRPr="00AA48FC">
        <w:t>units</w:t>
      </w:r>
      <w:r w:rsidR="007F63E8" w:rsidRPr="00AA48FC">
        <w:t xml:space="preserve"> (</w:t>
      </w:r>
      <w:r w:rsidR="00D359A2" w:rsidRPr="00010D1B">
        <w:t>Fig</w:t>
      </w:r>
      <w:r w:rsidR="00D359A2" w:rsidRPr="00AA48FC">
        <w:t>.</w:t>
      </w:r>
      <w:r w:rsidR="00D359A2" w:rsidRPr="00AA48FC">
        <w:rPr>
          <w:iCs/>
        </w:rPr>
        <w:t xml:space="preserve"> </w:t>
      </w:r>
      <w:r w:rsidR="00D359A2" w:rsidRPr="00AA48FC">
        <w:rPr>
          <w:iCs/>
          <w:noProof/>
        </w:rPr>
        <w:t>6</w:t>
      </w:r>
      <w:r w:rsidR="007F63E8" w:rsidRPr="00AA48FC">
        <w:t>)</w:t>
      </w:r>
      <w:r w:rsidR="00571DAB" w:rsidRPr="00AA48FC">
        <w:t>.</w:t>
      </w:r>
      <w:r w:rsidR="002542D5" w:rsidRPr="00AA48FC">
        <w:t xml:space="preserve"> </w:t>
      </w:r>
      <w:r w:rsidR="00CE06B6" w:rsidRPr="00AA48FC">
        <w:t>Although</w:t>
      </w:r>
      <w:r w:rsidR="00CE06B6" w:rsidRPr="00C54518">
        <w:t xml:space="preserve"> m</w:t>
      </w:r>
      <w:r w:rsidR="002542D5" w:rsidRPr="00C54518">
        <w:t xml:space="preserve">ost FLS </w:t>
      </w:r>
      <w:r w:rsidR="007911B2" w:rsidRPr="00C54518">
        <w:t>report</w:t>
      </w:r>
      <w:r w:rsidR="005B5051">
        <w:t>ed</w:t>
      </w:r>
      <w:r w:rsidR="007911B2" w:rsidRPr="00C54518">
        <w:t xml:space="preserve"> </w:t>
      </w:r>
      <w:r w:rsidR="002542D5" w:rsidRPr="00C54518">
        <w:rPr>
          <w:rFonts w:cs="Arial"/>
        </w:rPr>
        <w:t>one skeletal diagnostic category</w:t>
      </w:r>
      <w:r w:rsidR="007911B2" w:rsidRPr="00C54518">
        <w:rPr>
          <w:rFonts w:cs="Arial"/>
        </w:rPr>
        <w:t xml:space="preserve"> per measurement site (</w:t>
      </w:r>
      <w:r w:rsidR="00CE06B6" w:rsidRPr="00C54518">
        <w:rPr>
          <w:rFonts w:cs="Arial"/>
        </w:rPr>
        <w:t>56%), some report</w:t>
      </w:r>
      <w:r w:rsidR="005B5051">
        <w:rPr>
          <w:rFonts w:cs="Arial"/>
        </w:rPr>
        <w:t>ed</w:t>
      </w:r>
      <w:r w:rsidR="00CE06B6" w:rsidRPr="00C54518">
        <w:rPr>
          <w:rFonts w:cs="Arial"/>
        </w:rPr>
        <w:t xml:space="preserve"> this per patient (35%) and a small minority did not know (9%).</w:t>
      </w:r>
    </w:p>
    <w:p w14:paraId="567C2EE3" w14:textId="66182202" w:rsidR="002542D5" w:rsidRDefault="007F63E8" w:rsidP="00C8570F">
      <w:pPr>
        <w:spacing w:after="240" w:line="360" w:lineRule="auto"/>
      </w:pPr>
      <w:r w:rsidRPr="00C54518">
        <w:t xml:space="preserve">The majority of FLS (79%) used </w:t>
      </w:r>
      <w:r w:rsidR="00B91FF1">
        <w:t xml:space="preserve">validated </w:t>
      </w:r>
      <w:r w:rsidRPr="00C54518">
        <w:t xml:space="preserve">quantitative fracture risk instruments to report DXA results with 91% of those using </w:t>
      </w:r>
      <w:r w:rsidR="00B91FF1">
        <w:t>such instruments</w:t>
      </w:r>
      <w:r w:rsidRPr="00C54518">
        <w:t xml:space="preserve"> reporting </w:t>
      </w:r>
      <w:r w:rsidR="00B91FF1">
        <w:t xml:space="preserve">the use of </w:t>
      </w:r>
      <w:r w:rsidR="009E7BF5">
        <w:t>FRAX®</w:t>
      </w:r>
      <w:r w:rsidRPr="00C54518">
        <w:t>. Overall</w:t>
      </w:r>
      <w:r w:rsidR="00E20E9B">
        <w:t>,</w:t>
      </w:r>
      <w:r w:rsidRPr="00C54518">
        <w:t xml:space="preserve"> 42% </w:t>
      </w:r>
      <w:r w:rsidR="001F7E84">
        <w:t xml:space="preserve">stated that they </w:t>
      </w:r>
      <w:r w:rsidRPr="00C54518">
        <w:t xml:space="preserve">reported </w:t>
      </w:r>
      <w:r w:rsidR="00E20E9B">
        <w:t xml:space="preserve">quantitative </w:t>
      </w:r>
      <w:r w:rsidRPr="00C54518">
        <w:t>fracture risk over 90% of the time. Regarding the content of DXA reports, 84% of FLS</w:t>
      </w:r>
      <w:r w:rsidR="00AC6CDE" w:rsidRPr="00C54518">
        <w:t xml:space="preserve"> </w:t>
      </w:r>
      <w:r w:rsidR="001F7E84">
        <w:t xml:space="preserve">confirmed that they </w:t>
      </w:r>
      <w:r w:rsidR="00AC6CDE" w:rsidRPr="00C54518">
        <w:t>identified body site, region of interest and body side for each valid BMD reported over 90% of the time</w:t>
      </w:r>
      <w:r w:rsidR="009B71F0">
        <w:t xml:space="preserve">; </w:t>
      </w:r>
      <w:r w:rsidR="00AC6CDE" w:rsidRPr="00C54518">
        <w:t xml:space="preserve">78% of FLS </w:t>
      </w:r>
      <w:r w:rsidR="001F7E84">
        <w:t xml:space="preserve">said they </w:t>
      </w:r>
      <w:r w:rsidR="00AC6CDE" w:rsidRPr="00C54518">
        <w:t>had DXA reports containing information about the scanner manufacturer and model. There was more variability between FLS regarding the frequency of the following occurrences: DXA report states technical adequacy or limitations of the DXA study; DXA interpreters comment on differences in standard acquisitioning and analysis parameters; and DXA facility report recommends repeat scan intervals.</w:t>
      </w:r>
    </w:p>
    <w:p w14:paraId="59974E57" w14:textId="77777777" w:rsidR="00AC6CDE" w:rsidRPr="00C54518" w:rsidRDefault="00AC6CDE" w:rsidP="00C8570F">
      <w:pPr>
        <w:spacing w:after="240" w:line="360" w:lineRule="auto"/>
      </w:pPr>
    </w:p>
    <w:p w14:paraId="0B82461B" w14:textId="77777777" w:rsidR="000F2625" w:rsidRPr="00C54518" w:rsidRDefault="000F2625" w:rsidP="00C8570F">
      <w:pPr>
        <w:spacing w:after="240" w:line="360" w:lineRule="auto"/>
        <w:rPr>
          <w:rFonts w:cs="Arial"/>
          <w:lang w:eastAsia="en-GB"/>
        </w:rPr>
      </w:pPr>
      <w:r>
        <w:rPr>
          <w:rFonts w:cs="Arial"/>
          <w:b/>
          <w:lang w:eastAsia="en-GB"/>
        </w:rPr>
        <w:t>Discussion</w:t>
      </w:r>
    </w:p>
    <w:p w14:paraId="1FC822CC" w14:textId="0B86AB1F" w:rsidR="000F2625" w:rsidRDefault="000C066B" w:rsidP="00C8570F">
      <w:pPr>
        <w:spacing w:after="240" w:line="360" w:lineRule="auto"/>
        <w:rPr>
          <w:rFonts w:cs="Arial"/>
        </w:rPr>
      </w:pPr>
      <w:r w:rsidRPr="00C54518">
        <w:rPr>
          <w:rFonts w:cs="Arial"/>
        </w:rPr>
        <w:t xml:space="preserve">This report provides </w:t>
      </w:r>
      <w:r w:rsidR="000F2625">
        <w:rPr>
          <w:rFonts w:cs="Arial"/>
        </w:rPr>
        <w:t>the first worldwide sample</w:t>
      </w:r>
      <w:r w:rsidRPr="00C54518">
        <w:rPr>
          <w:rFonts w:cs="Arial"/>
        </w:rPr>
        <w:t xml:space="preserve"> </w:t>
      </w:r>
      <w:r w:rsidR="000F2625">
        <w:rPr>
          <w:rFonts w:cs="Arial"/>
        </w:rPr>
        <w:t>of DXA access and quality</w:t>
      </w:r>
      <w:r w:rsidR="00ED2D9F">
        <w:rPr>
          <w:rFonts w:cs="Arial"/>
        </w:rPr>
        <w:t xml:space="preserve"> in the FLS setting</w:t>
      </w:r>
      <w:r w:rsidR="000F2625">
        <w:rPr>
          <w:rFonts w:cs="Arial"/>
        </w:rPr>
        <w:t xml:space="preserve">.  </w:t>
      </w:r>
      <w:r w:rsidR="00573D6D" w:rsidRPr="00573D6D">
        <w:rPr>
          <w:rFonts w:cs="Arial"/>
        </w:rPr>
        <w:t xml:space="preserve">Over 70% of institutions reported that, for over 90% of the time, DXA access met service needs and the scanning/reporting quality was </w:t>
      </w:r>
      <w:r w:rsidR="000F2625">
        <w:rPr>
          <w:rFonts w:cs="Arial"/>
        </w:rPr>
        <w:t xml:space="preserve">perceived as </w:t>
      </w:r>
      <w:r w:rsidR="00573D6D" w:rsidRPr="00573D6D">
        <w:rPr>
          <w:rFonts w:cs="Arial"/>
        </w:rPr>
        <w:t>excellent</w:t>
      </w:r>
      <w:r w:rsidR="000F2625">
        <w:rPr>
          <w:rFonts w:cs="Arial"/>
        </w:rPr>
        <w:t xml:space="preserve">. </w:t>
      </w:r>
      <w:r w:rsidR="002B46DE">
        <w:t>A high proportion of centres used questionnaires to gather clinical patient information</w:t>
      </w:r>
      <w:r w:rsidR="002B46DE" w:rsidRPr="00E80B12" w:rsidDel="002B46DE">
        <w:rPr>
          <w:rFonts w:cs="Arial"/>
        </w:rPr>
        <w:t xml:space="preserve"> </w:t>
      </w:r>
      <w:r w:rsidR="0082013A" w:rsidRPr="00E80B12">
        <w:rPr>
          <w:rFonts w:cs="Arial"/>
        </w:rPr>
        <w:t>and FRAX® was the most commonly used tool for reporting quantitative fracture risk.</w:t>
      </w:r>
      <w:r w:rsidR="0082013A">
        <w:rPr>
          <w:rFonts w:cs="Arial"/>
        </w:rPr>
        <w:t xml:space="preserve"> </w:t>
      </w:r>
      <w:r w:rsidR="00E2730C">
        <w:rPr>
          <w:rFonts w:cs="Arial"/>
        </w:rPr>
        <w:t xml:space="preserve">Routine use of DXA for new patients and monitoring was very common as well. </w:t>
      </w:r>
      <w:r w:rsidR="00B75013">
        <w:rPr>
          <w:rFonts w:cs="Arial"/>
        </w:rPr>
        <w:t>Conversely</w:t>
      </w:r>
      <w:r w:rsidR="009B71F0">
        <w:rPr>
          <w:rFonts w:cs="Arial"/>
        </w:rPr>
        <w:t>,</w:t>
      </w:r>
      <w:r w:rsidR="00C86186" w:rsidRPr="00C86186">
        <w:t xml:space="preserve"> </w:t>
      </w:r>
      <w:r w:rsidR="00C86186" w:rsidRPr="00C86186">
        <w:rPr>
          <w:rFonts w:cs="Arial"/>
        </w:rPr>
        <w:t>adherence to some basic DXA quality assurance and reporting procedures</w:t>
      </w:r>
      <w:r w:rsidR="009B71F0">
        <w:rPr>
          <w:rFonts w:cs="Arial"/>
        </w:rPr>
        <w:t>,</w:t>
      </w:r>
      <w:r w:rsidR="00B75013">
        <w:rPr>
          <w:rFonts w:cs="Arial"/>
        </w:rPr>
        <w:t xml:space="preserve"> as taught in the IOF / ISCD joint </w:t>
      </w:r>
      <w:r w:rsidR="00B75013">
        <w:rPr>
          <w:rFonts w:cs="Arial"/>
          <w:lang w:eastAsia="en-GB"/>
        </w:rPr>
        <w:t xml:space="preserve">international course </w:t>
      </w:r>
      <w:r w:rsidR="00B75013" w:rsidRPr="00C27223">
        <w:rPr>
          <w:rFonts w:cs="Arial"/>
          <w:i/>
          <w:lang w:eastAsia="en-GB"/>
        </w:rPr>
        <w:t>Osteoporosis</w:t>
      </w:r>
      <w:r w:rsidR="00B75013">
        <w:rPr>
          <w:rFonts w:cs="Arial"/>
          <w:lang w:eastAsia="en-GB"/>
        </w:rPr>
        <w:t xml:space="preserve"> </w:t>
      </w:r>
      <w:r w:rsidR="00B75013" w:rsidRPr="00C04EBA">
        <w:rPr>
          <w:rFonts w:cs="Arial"/>
          <w:i/>
          <w:lang w:eastAsia="en-GB"/>
        </w:rPr>
        <w:t>Essentials</w:t>
      </w:r>
      <w:r w:rsidR="00B75013">
        <w:rPr>
          <w:rFonts w:cs="Arial"/>
        </w:rPr>
        <w:t xml:space="preserve"> </w:t>
      </w:r>
      <w:r w:rsidR="00BD4320">
        <w:rPr>
          <w:rFonts w:cs="Arial"/>
        </w:rPr>
        <w:t xml:space="preserve">and </w:t>
      </w:r>
      <w:r w:rsidR="00B75013">
        <w:rPr>
          <w:rFonts w:cs="Arial"/>
        </w:rPr>
        <w:t>reflected in an ISCD Best Practices white paper</w:t>
      </w:r>
      <w:r w:rsidR="005E3E67">
        <w:rPr>
          <w:rFonts w:cs="Arial"/>
        </w:rPr>
        <w:t xml:space="preserve"> </w:t>
      </w:r>
      <w:r w:rsidR="005E3E67">
        <w:rPr>
          <w:rFonts w:cs="Arial"/>
        </w:rPr>
        <w:fldChar w:fldCharType="begin"/>
      </w:r>
      <w:r w:rsidR="005E3E67">
        <w:rPr>
          <w:rFonts w:cs="Arial"/>
        </w:rPr>
        <w:instrText xml:space="preserve"> ADDIN EN.CITE &lt;EndNote&gt;&lt;Cite&gt;&lt;Author&gt;Lewiecki&lt;/Author&gt;&lt;Year&gt;2016&lt;/Year&gt;&lt;RecNum&gt;272&lt;/RecNum&gt;&lt;DisplayText&gt;[12]&lt;/DisplayText&gt;&lt;record&gt;&lt;rec-number&gt;272&lt;/rec-number&gt;&lt;foreign-keys&gt;&lt;key app="EN" db-id="xp2sx5aahpsveaea2zq5s2xsef9d0fsxsxex" timestamp="1586947304"&gt;272&lt;/key&gt;&lt;/foreign-keys&gt;&lt;ref-type name="Journal Article"&gt;17&lt;/ref-type&gt;&lt;contributors&gt;&lt;authors&gt;&lt;author&gt;Lewiecki, E Michael&lt;/author&gt;&lt;author&gt;Binkley, Neil&lt;/author&gt;&lt;author&gt;Morgan, Sarah L&lt;/author&gt;&lt;author&gt;Shuhart, Christopher R&lt;/author&gt;&lt;author&gt;Camargos, Bruno Muzzi&lt;/author&gt;&lt;author&gt;Carey, John J&lt;/author&gt;&lt;author&gt;Gordon, Catherine M&lt;/author&gt;&lt;author&gt;Jankowski, Lawrence G&lt;/author&gt;&lt;author&gt;Lee, Joon-Kiong&lt;/author&gt;&lt;author&gt;Leslie, William D&lt;/author&gt;&lt;/authors&gt;&lt;/contributors&gt;&lt;titles&gt;&lt;title&gt;Best practices for dual-energy X-ray absorptiometry measurement and reporting: International Society for Clinical Densitometry Guidance&lt;/title&gt;&lt;secondary-title&gt;J Clin Densitom.&lt;/secondary-title&gt;&lt;/titles&gt;&lt;periodical&gt;&lt;full-title&gt;J Clin Densitom.&lt;/full-title&gt;&lt;/periodical&gt;&lt;pages&gt;127-140&lt;/pages&gt;&lt;volume&gt;19&lt;/volume&gt;&lt;number&gt;2&lt;/number&gt;&lt;dates&gt;&lt;year&gt;2016&lt;/year&gt;&lt;/dates&gt;&lt;isbn&gt;1094-6950&lt;/isbn&gt;&lt;urls&gt;&lt;/urls&gt;&lt;/record&gt;&lt;/Cite&gt;&lt;/EndNote&gt;</w:instrText>
      </w:r>
      <w:r w:rsidR="005E3E67">
        <w:rPr>
          <w:rFonts w:cs="Arial"/>
        </w:rPr>
        <w:fldChar w:fldCharType="separate"/>
      </w:r>
      <w:r w:rsidR="005E3E67">
        <w:rPr>
          <w:rFonts w:cs="Arial"/>
          <w:noProof/>
        </w:rPr>
        <w:t>[12]</w:t>
      </w:r>
      <w:r w:rsidR="005E3E67">
        <w:rPr>
          <w:rFonts w:cs="Arial"/>
        </w:rPr>
        <w:fldChar w:fldCharType="end"/>
      </w:r>
      <w:r w:rsidR="00C86186">
        <w:rPr>
          <w:rFonts w:cs="Arial"/>
        </w:rPr>
        <w:t>,</w:t>
      </w:r>
      <w:r w:rsidR="00C86186" w:rsidRPr="00C86186">
        <w:rPr>
          <w:rFonts w:cs="Arial"/>
        </w:rPr>
        <w:t xml:space="preserve"> was confirmed by &lt;50% of services</w:t>
      </w:r>
      <w:r w:rsidR="0082013A">
        <w:rPr>
          <w:rFonts w:cs="Arial"/>
        </w:rPr>
        <w:t>.</w:t>
      </w:r>
      <w:r w:rsidR="00BD4320">
        <w:rPr>
          <w:rFonts w:cs="Arial"/>
        </w:rPr>
        <w:t xml:space="preserve">  </w:t>
      </w:r>
    </w:p>
    <w:p w14:paraId="208A788E" w14:textId="485F6A1A" w:rsidR="00334D7E" w:rsidRDefault="00D805EF" w:rsidP="00C8570F">
      <w:pPr>
        <w:spacing w:after="240" w:line="360" w:lineRule="auto"/>
        <w:rPr>
          <w:rFonts w:cs="Arial"/>
        </w:rPr>
      </w:pPr>
      <w:r w:rsidRPr="00D805EF">
        <w:rPr>
          <w:rFonts w:cs="Arial"/>
        </w:rPr>
        <w:lastRenderedPageBreak/>
        <w:t xml:space="preserve">Adhering to these reported DXA quality assurance and reporting procedures are important for ensuring high quality care. For example, ongoing education for operators/interpreters ensures their skills are maintained as the scientific field evolves. Identifying the skeletal site, region of interest and body side for BMD measurements enables the same region to be scanned for follow-up measurements. Established facility-specific standard operating procedures ensures the processes for enabling high quality scanning such as machine calibration, testing and reporting are implemented </w:t>
      </w:r>
      <w:r w:rsidR="00803918">
        <w:rPr>
          <w:rFonts w:cs="Arial"/>
        </w:rPr>
        <w:t>systematically</w:t>
      </w:r>
      <w:r w:rsidRPr="00D805EF">
        <w:rPr>
          <w:rFonts w:cs="Arial"/>
        </w:rPr>
        <w:t>. Frequent phantom scanning verifies the accuracy of the BMD values reported. The use of LSC values for assessing BMD change allows clinicians to determine whether follow-up measurements reflect genuine changes in BMD.</w:t>
      </w:r>
      <w:r w:rsidR="00194749">
        <w:rPr>
          <w:rFonts w:cs="Arial"/>
        </w:rPr>
        <w:t xml:space="preserve"> Further details on the rationale for specific DXA measurement and r</w:t>
      </w:r>
      <w:r w:rsidR="00194749" w:rsidRPr="00194749">
        <w:rPr>
          <w:rFonts w:cs="Arial"/>
        </w:rPr>
        <w:t xml:space="preserve">eporting </w:t>
      </w:r>
      <w:r w:rsidR="00194749">
        <w:rPr>
          <w:rFonts w:cs="Arial"/>
        </w:rPr>
        <w:t>guidelines are outlined in the ISCD Best Practices paper</w:t>
      </w:r>
      <w:r w:rsidR="005E3E67">
        <w:rPr>
          <w:rFonts w:cs="Arial"/>
        </w:rPr>
        <w:t xml:space="preserve"> </w:t>
      </w:r>
      <w:r w:rsidR="005E3E67">
        <w:rPr>
          <w:rFonts w:cs="Arial"/>
        </w:rPr>
        <w:fldChar w:fldCharType="begin"/>
      </w:r>
      <w:r w:rsidR="005E3E67">
        <w:rPr>
          <w:rFonts w:cs="Arial"/>
        </w:rPr>
        <w:instrText xml:space="preserve"> ADDIN EN.CITE &lt;EndNote&gt;&lt;Cite&gt;&lt;Author&gt;Lewiecki&lt;/Author&gt;&lt;Year&gt;2016&lt;/Year&gt;&lt;RecNum&gt;272&lt;/RecNum&gt;&lt;DisplayText&gt;[12]&lt;/DisplayText&gt;&lt;record&gt;&lt;rec-number&gt;272&lt;/rec-number&gt;&lt;foreign-keys&gt;&lt;key app="EN" db-id="xp2sx5aahpsveaea2zq5s2xsef9d0fsxsxex" timestamp="1586947304"&gt;272&lt;/key&gt;&lt;/foreign-keys&gt;&lt;ref-type name="Journal Article"&gt;17&lt;/ref-type&gt;&lt;contributors&gt;&lt;authors&gt;&lt;author&gt;Lewiecki, E Michael&lt;/author&gt;&lt;author&gt;Binkley, Neil&lt;/author&gt;&lt;author&gt;Morgan, Sarah L&lt;/author&gt;&lt;author&gt;Shuhart, Christopher R&lt;/author&gt;&lt;author&gt;Camargos, Bruno Muzzi&lt;/author&gt;&lt;author&gt;Carey, John J&lt;/author&gt;&lt;author&gt;Gordon, Catherine M&lt;/author&gt;&lt;author&gt;Jankowski, Lawrence G&lt;/author&gt;&lt;author&gt;Lee, Joon-Kiong&lt;/author&gt;&lt;author&gt;Leslie, William D&lt;/author&gt;&lt;/authors&gt;&lt;/contributors&gt;&lt;titles&gt;&lt;title&gt;Best practices for dual-energy X-ray absorptiometry measurement and reporting: International Society for Clinical Densitometry Guidance&lt;/title&gt;&lt;secondary-title&gt;J Clin Densitom.&lt;/secondary-title&gt;&lt;/titles&gt;&lt;periodical&gt;&lt;full-title&gt;J Clin Densitom.&lt;/full-title&gt;&lt;/periodical&gt;&lt;pages&gt;127-140&lt;/pages&gt;&lt;volume&gt;19&lt;/volume&gt;&lt;number&gt;2&lt;/number&gt;&lt;dates&gt;&lt;year&gt;2016&lt;/year&gt;&lt;/dates&gt;&lt;isbn&gt;1094-6950&lt;/isbn&gt;&lt;urls&gt;&lt;/urls&gt;&lt;/record&gt;&lt;/Cite&gt;&lt;/EndNote&gt;</w:instrText>
      </w:r>
      <w:r w:rsidR="005E3E67">
        <w:rPr>
          <w:rFonts w:cs="Arial"/>
        </w:rPr>
        <w:fldChar w:fldCharType="separate"/>
      </w:r>
      <w:r w:rsidR="005E3E67">
        <w:rPr>
          <w:rFonts w:cs="Arial"/>
          <w:noProof/>
        </w:rPr>
        <w:t>[12]</w:t>
      </w:r>
      <w:r w:rsidR="005E3E67">
        <w:rPr>
          <w:rFonts w:cs="Arial"/>
        </w:rPr>
        <w:fldChar w:fldCharType="end"/>
      </w:r>
      <w:r w:rsidR="00194749">
        <w:rPr>
          <w:rFonts w:cs="Arial"/>
        </w:rPr>
        <w:t xml:space="preserve">. </w:t>
      </w:r>
    </w:p>
    <w:p w14:paraId="49DA6B99" w14:textId="761895D9" w:rsidR="0095723F" w:rsidRDefault="005C18E5" w:rsidP="00C8570F">
      <w:pPr>
        <w:spacing w:after="240" w:line="360" w:lineRule="auto"/>
        <w:rPr>
          <w:rFonts w:cs="Arial"/>
        </w:rPr>
      </w:pPr>
      <w:r>
        <w:rPr>
          <w:rFonts w:cs="Arial"/>
        </w:rPr>
        <w:t>Overall,</w:t>
      </w:r>
      <w:r w:rsidR="000F2625">
        <w:rPr>
          <w:rFonts w:cs="Arial"/>
        </w:rPr>
        <w:t xml:space="preserve"> 55</w:t>
      </w:r>
      <w:r w:rsidR="00765F71" w:rsidRPr="00765F71">
        <w:rPr>
          <w:rFonts w:cs="Arial"/>
        </w:rPr>
        <w:t xml:space="preserve">% </w:t>
      </w:r>
      <w:r w:rsidR="000F2625">
        <w:rPr>
          <w:rFonts w:cs="Arial"/>
        </w:rPr>
        <w:t xml:space="preserve">of facilities </w:t>
      </w:r>
      <w:r w:rsidR="00765F71" w:rsidRPr="00765F71">
        <w:rPr>
          <w:rFonts w:cs="Arial"/>
        </w:rPr>
        <w:t xml:space="preserve">were </w:t>
      </w:r>
      <w:r w:rsidR="009B71F0">
        <w:rPr>
          <w:rFonts w:cs="Arial"/>
        </w:rPr>
        <w:t xml:space="preserve">either </w:t>
      </w:r>
      <w:r w:rsidR="00765F71" w:rsidRPr="00765F71">
        <w:rPr>
          <w:rFonts w:cs="Arial"/>
        </w:rPr>
        <w:t xml:space="preserve">not accredited by a professional/governmental organisation </w:t>
      </w:r>
      <w:r w:rsidR="000F2625">
        <w:rPr>
          <w:rFonts w:cs="Arial"/>
        </w:rPr>
        <w:t>or the acc</w:t>
      </w:r>
      <w:r w:rsidR="00C27223">
        <w:rPr>
          <w:rFonts w:cs="Arial"/>
        </w:rPr>
        <w:t>reditation status was unknown.</w:t>
      </w:r>
      <w:r>
        <w:rPr>
          <w:rFonts w:cs="Arial"/>
        </w:rPr>
        <w:t xml:space="preserve"> However, information was not available on whether DXA facility accreditation was possible or required at the FLS location.</w:t>
      </w:r>
      <w:r w:rsidR="00C27223">
        <w:rPr>
          <w:rFonts w:cs="Arial"/>
        </w:rPr>
        <w:t xml:space="preserve"> </w:t>
      </w:r>
      <w:r w:rsidR="0082013A">
        <w:rPr>
          <w:rFonts w:cs="Arial"/>
        </w:rPr>
        <w:t>O</w:t>
      </w:r>
      <w:r w:rsidR="00765F71" w:rsidRPr="00765F71">
        <w:rPr>
          <w:rFonts w:cs="Arial"/>
        </w:rPr>
        <w:t xml:space="preserve">ver half </w:t>
      </w:r>
      <w:r w:rsidR="000F2625">
        <w:rPr>
          <w:rFonts w:cs="Arial"/>
        </w:rPr>
        <w:t xml:space="preserve">of FLS programs </w:t>
      </w:r>
      <w:r w:rsidR="001F7E84">
        <w:rPr>
          <w:rFonts w:cs="Arial"/>
        </w:rPr>
        <w:t xml:space="preserve">stated that they </w:t>
      </w:r>
      <w:r w:rsidR="00765F71" w:rsidRPr="00765F71">
        <w:rPr>
          <w:rFonts w:cs="Arial"/>
        </w:rPr>
        <w:t>required ongoing education in osteoporosis and DXA for operators and interpreters. Many were not aware how often machine calibration was assessed</w:t>
      </w:r>
      <w:r w:rsidR="0082013A">
        <w:rPr>
          <w:rFonts w:cs="Arial"/>
        </w:rPr>
        <w:t xml:space="preserve">, although </w:t>
      </w:r>
      <w:r w:rsidR="00765F71" w:rsidRPr="00765F71">
        <w:rPr>
          <w:rFonts w:cs="Arial"/>
        </w:rPr>
        <w:t xml:space="preserve">this </w:t>
      </w:r>
      <w:r w:rsidR="00765F71" w:rsidRPr="00E80B12">
        <w:rPr>
          <w:rFonts w:cs="Arial"/>
        </w:rPr>
        <w:t>was generally reported as regular among those that were aware.</w:t>
      </w:r>
      <w:r w:rsidR="0095723F">
        <w:t xml:space="preserve"> This suggests a </w:t>
      </w:r>
      <w:r w:rsidR="0095723F" w:rsidRPr="0095723F">
        <w:rPr>
          <w:rFonts w:cs="Arial"/>
        </w:rPr>
        <w:t>widespread need for education</w:t>
      </w:r>
      <w:r w:rsidR="0009442E">
        <w:rPr>
          <w:rFonts w:cs="Arial"/>
        </w:rPr>
        <w:t>al</w:t>
      </w:r>
      <w:r w:rsidR="0095723F" w:rsidRPr="0095723F">
        <w:rPr>
          <w:rFonts w:cs="Arial"/>
        </w:rPr>
        <w:t xml:space="preserve"> initiatives targeting DXA measurement technology and reporting. Perhaps adaptation of the joint IOF ISCD </w:t>
      </w:r>
      <w:r w:rsidR="00214F99" w:rsidRPr="00C27223">
        <w:rPr>
          <w:rFonts w:cs="Arial"/>
          <w:i/>
        </w:rPr>
        <w:t>O</w:t>
      </w:r>
      <w:r w:rsidR="0095723F" w:rsidRPr="00C27223">
        <w:rPr>
          <w:rFonts w:cs="Arial"/>
          <w:i/>
        </w:rPr>
        <w:t>steoporosis</w:t>
      </w:r>
      <w:r w:rsidR="0095723F" w:rsidRPr="0095723F">
        <w:rPr>
          <w:rFonts w:cs="Arial"/>
        </w:rPr>
        <w:t xml:space="preserve"> </w:t>
      </w:r>
      <w:r w:rsidR="00214F99" w:rsidRPr="005975E0">
        <w:rPr>
          <w:rFonts w:cs="Arial"/>
          <w:i/>
        </w:rPr>
        <w:t>E</w:t>
      </w:r>
      <w:r w:rsidR="0095723F" w:rsidRPr="005975E0">
        <w:rPr>
          <w:rFonts w:cs="Arial"/>
          <w:i/>
        </w:rPr>
        <w:t>ssentials</w:t>
      </w:r>
      <w:r w:rsidR="0095723F" w:rsidRPr="0095723F">
        <w:rPr>
          <w:rFonts w:cs="Arial"/>
        </w:rPr>
        <w:t xml:space="preserve"> course may contribute to such an educational initiative</w:t>
      </w:r>
      <w:r w:rsidR="00683173">
        <w:rPr>
          <w:rFonts w:cs="Arial"/>
        </w:rPr>
        <w:t>.</w:t>
      </w:r>
      <w:r w:rsidR="0082013A">
        <w:rPr>
          <w:rFonts w:cs="Arial"/>
        </w:rPr>
        <w:t xml:space="preserve"> </w:t>
      </w:r>
    </w:p>
    <w:p w14:paraId="5BEBAD4C" w14:textId="0F9CB76F" w:rsidR="00E80B12" w:rsidRDefault="00862171" w:rsidP="00C8570F">
      <w:pPr>
        <w:spacing w:after="240" w:line="360" w:lineRule="auto"/>
        <w:rPr>
          <w:rFonts w:cs="Arial"/>
        </w:rPr>
      </w:pPr>
      <w:r w:rsidRPr="00862171">
        <w:rPr>
          <w:rFonts w:cs="Arial"/>
        </w:rPr>
        <w:t xml:space="preserve">There was considerable variation in the method for assessing significant BMD change over time. </w:t>
      </w:r>
      <w:r w:rsidR="00305F3D">
        <w:rPr>
          <w:rFonts w:cs="Arial"/>
        </w:rPr>
        <w:t xml:space="preserve">Less than 50% of DXA facilities confirmed the use of </w:t>
      </w:r>
      <w:r w:rsidR="0082013A">
        <w:rPr>
          <w:rFonts w:cs="Arial"/>
        </w:rPr>
        <w:t>Least Significant Change (LSC) values</w:t>
      </w:r>
      <w:r w:rsidR="001F7E84">
        <w:rPr>
          <w:rFonts w:cs="Arial"/>
        </w:rPr>
        <w:t xml:space="preserve"> for assessing significant change in BMD over time</w:t>
      </w:r>
      <w:r w:rsidR="0082013A">
        <w:rPr>
          <w:rFonts w:cs="Arial"/>
        </w:rPr>
        <w:t xml:space="preserve"> – a cornerstone of critically assessing </w:t>
      </w:r>
      <w:r w:rsidR="001F7E84">
        <w:rPr>
          <w:rFonts w:cs="Arial"/>
        </w:rPr>
        <w:t xml:space="preserve">these </w:t>
      </w:r>
      <w:r w:rsidR="0082013A">
        <w:rPr>
          <w:rFonts w:cs="Arial"/>
        </w:rPr>
        <w:t>changes</w:t>
      </w:r>
      <w:r w:rsidR="00486F3E">
        <w:rPr>
          <w:rFonts w:cs="Arial"/>
        </w:rPr>
        <w:t>.</w:t>
      </w:r>
      <w:r w:rsidR="0082013A">
        <w:rPr>
          <w:rFonts w:cs="Arial"/>
        </w:rPr>
        <w:t xml:space="preserve"> </w:t>
      </w:r>
      <w:r>
        <w:rPr>
          <w:rFonts w:cs="Arial"/>
        </w:rPr>
        <w:t>Furthermore, o</w:t>
      </w:r>
      <w:r w:rsidRPr="00862171">
        <w:rPr>
          <w:rFonts w:cs="Arial"/>
        </w:rPr>
        <w:t>f the participating centres reporting 95% LSC for the L1-L4 lumbar spine and total proximal femur, a substantial proportion did not use g/cm</w:t>
      </w:r>
      <w:r w:rsidRPr="00C27223">
        <w:rPr>
          <w:rFonts w:cs="Arial"/>
          <w:vertAlign w:val="superscript"/>
        </w:rPr>
        <w:t>2</w:t>
      </w:r>
      <w:r w:rsidRPr="00862171">
        <w:rPr>
          <w:rFonts w:cs="Arial"/>
        </w:rPr>
        <w:t>, contravening current ISCD guidelines.</w:t>
      </w:r>
      <w:r>
        <w:rPr>
          <w:rFonts w:cs="Arial"/>
        </w:rPr>
        <w:t xml:space="preserve"> </w:t>
      </w:r>
      <w:r w:rsidR="00E2730C">
        <w:rPr>
          <w:rFonts w:cs="Arial"/>
        </w:rPr>
        <w:t xml:space="preserve">Finally, the recommended practice of a solitary skeletal classification based on T-score results occurred only </w:t>
      </w:r>
      <w:r w:rsidR="00046279">
        <w:rPr>
          <w:rFonts w:cs="Arial"/>
        </w:rPr>
        <w:t>35</w:t>
      </w:r>
      <w:r w:rsidR="00E2730C">
        <w:rPr>
          <w:rFonts w:cs="Arial"/>
        </w:rPr>
        <w:t>% of the time</w:t>
      </w:r>
      <w:r w:rsidR="00106B1F">
        <w:rPr>
          <w:rFonts w:cs="Arial"/>
        </w:rPr>
        <w:t xml:space="preserve"> with 9% not knowing</w:t>
      </w:r>
      <w:r w:rsidR="00E2730C">
        <w:rPr>
          <w:rFonts w:cs="Arial"/>
        </w:rPr>
        <w:t>. These findings point to unmet needs</w:t>
      </w:r>
      <w:r w:rsidR="00246C25">
        <w:rPr>
          <w:rFonts w:cs="Arial"/>
        </w:rPr>
        <w:t xml:space="preserve"> in osteoporosis assessment and </w:t>
      </w:r>
      <w:r w:rsidR="001D4053">
        <w:rPr>
          <w:rFonts w:cs="Arial"/>
        </w:rPr>
        <w:t xml:space="preserve">monitoring </w:t>
      </w:r>
      <w:r w:rsidR="00246C25">
        <w:rPr>
          <w:rFonts w:cs="Arial"/>
        </w:rPr>
        <w:t>worldwide</w:t>
      </w:r>
      <w:r w:rsidR="00683173">
        <w:rPr>
          <w:rFonts w:cs="Arial"/>
        </w:rPr>
        <w:t>.</w:t>
      </w:r>
    </w:p>
    <w:p w14:paraId="739C8821" w14:textId="43B4E686" w:rsidR="00486F3E" w:rsidRPr="00486F3E" w:rsidRDefault="00486F3E" w:rsidP="00C8570F">
      <w:pPr>
        <w:spacing w:after="240" w:line="360" w:lineRule="auto"/>
        <w:rPr>
          <w:rFonts w:cs="Arial"/>
          <w:lang w:eastAsia="en-GB"/>
        </w:rPr>
      </w:pPr>
      <w:r w:rsidRPr="00486F3E">
        <w:rPr>
          <w:rFonts w:cs="Arial"/>
          <w:lang w:eastAsia="en-GB"/>
        </w:rPr>
        <w:t xml:space="preserve">A few </w:t>
      </w:r>
      <w:r w:rsidR="00862171">
        <w:rPr>
          <w:rFonts w:cs="Arial"/>
          <w:lang w:eastAsia="en-GB"/>
        </w:rPr>
        <w:t xml:space="preserve">other </w:t>
      </w:r>
      <w:r w:rsidRPr="00486F3E">
        <w:rPr>
          <w:rFonts w:cs="Arial"/>
          <w:lang w:eastAsia="en-GB"/>
        </w:rPr>
        <w:t xml:space="preserve">themes </w:t>
      </w:r>
      <w:r w:rsidR="00862171">
        <w:rPr>
          <w:rFonts w:cs="Arial"/>
          <w:lang w:eastAsia="en-GB"/>
        </w:rPr>
        <w:t xml:space="preserve">also </w:t>
      </w:r>
      <w:r w:rsidRPr="00486F3E">
        <w:rPr>
          <w:rFonts w:cs="Arial"/>
          <w:lang w:eastAsia="en-GB"/>
        </w:rPr>
        <w:t xml:space="preserve">emerged; monitoring was less routine in over 75s; there was inconsistency of the DXA testing interval in patients initiating treatment; perception of excellent scanning and reporting quality could be contrasted with poor performance for some technical quality factors such as phantom scanning; the high frequency of DXA errors reported elsewhere contrasted with 73% of facilities in this study </w:t>
      </w:r>
      <w:r w:rsidR="002E1944">
        <w:rPr>
          <w:rFonts w:cs="Arial"/>
          <w:lang w:eastAsia="en-GB"/>
        </w:rPr>
        <w:t>questioning reports less than monthly or never.</w:t>
      </w:r>
    </w:p>
    <w:p w14:paraId="2B5C4CFC" w14:textId="43BC1770" w:rsidR="00486F3E" w:rsidRPr="00486F3E" w:rsidRDefault="00486F3E" w:rsidP="00C8570F">
      <w:pPr>
        <w:spacing w:after="240" w:line="360" w:lineRule="auto"/>
        <w:rPr>
          <w:rFonts w:cs="Arial"/>
          <w:lang w:eastAsia="en-GB"/>
        </w:rPr>
      </w:pPr>
      <w:r w:rsidRPr="00486F3E">
        <w:rPr>
          <w:rFonts w:cs="Arial"/>
          <w:lang w:eastAsia="en-GB"/>
        </w:rPr>
        <w:lastRenderedPageBreak/>
        <w:t>Responses also pointed at a need for instrument calibration; around 40% of facilities failed to state frequency of phantom calibration and only 35% reported this being undertaken 4-5 times per week. Finally, there appears to be a need for standardisation on reporting of clinical patient information; 35% of centres did not state regular use</w:t>
      </w:r>
      <w:r w:rsidR="00210C6E">
        <w:rPr>
          <w:rFonts w:cs="Arial"/>
          <w:lang w:eastAsia="en-GB"/>
        </w:rPr>
        <w:t xml:space="preserve"> (&gt;50% of the time)</w:t>
      </w:r>
      <w:r w:rsidRPr="00486F3E">
        <w:rPr>
          <w:rFonts w:cs="Arial"/>
          <w:lang w:eastAsia="en-GB"/>
        </w:rPr>
        <w:t xml:space="preserve"> of a </w:t>
      </w:r>
      <w:r w:rsidRPr="00486F3E">
        <w:rPr>
          <w:rFonts w:cs="Arial"/>
          <w:iCs/>
          <w:lang w:eastAsia="en-GB"/>
        </w:rPr>
        <w:t>pro forma questionnaire for this information</w:t>
      </w:r>
      <w:r w:rsidRPr="00486F3E">
        <w:rPr>
          <w:rFonts w:cs="Arial"/>
          <w:lang w:eastAsia="en-GB"/>
        </w:rPr>
        <w:t xml:space="preserve"> but 72% stated use of </w:t>
      </w:r>
      <w:r w:rsidR="006F0CC5" w:rsidRPr="006F0CC5">
        <w:rPr>
          <w:rFonts w:cs="Arial"/>
          <w:lang w:eastAsia="en-GB"/>
        </w:rPr>
        <w:t>FRAX®</w:t>
      </w:r>
      <w:r w:rsidRPr="00486F3E">
        <w:rPr>
          <w:rFonts w:cs="Arial"/>
          <w:lang w:eastAsia="en-GB"/>
        </w:rPr>
        <w:t xml:space="preserve"> to estimate fracture risk. Clearly, the clinical risk factors included within </w:t>
      </w:r>
      <w:r w:rsidR="006F0CC5" w:rsidRPr="006F0CC5">
        <w:rPr>
          <w:rFonts w:cs="Arial"/>
          <w:lang w:eastAsia="en-GB"/>
        </w:rPr>
        <w:t>FRAX®</w:t>
      </w:r>
      <w:r w:rsidRPr="00486F3E">
        <w:rPr>
          <w:rFonts w:cs="Arial"/>
          <w:lang w:eastAsia="en-GB"/>
        </w:rPr>
        <w:t xml:space="preserve"> are being recorded; standardisation of these within a more extensive risk factor questionnaire may be given consideration.</w:t>
      </w:r>
      <w:r w:rsidR="006F0CC5">
        <w:rPr>
          <w:rFonts w:cs="Arial"/>
          <w:lang w:eastAsia="en-GB"/>
        </w:rPr>
        <w:t xml:space="preserve"> </w:t>
      </w:r>
    </w:p>
    <w:p w14:paraId="7B64177E" w14:textId="3D6FA570" w:rsidR="001D4053" w:rsidRDefault="00E80B12" w:rsidP="00C8570F">
      <w:pPr>
        <w:spacing w:after="240" w:line="360" w:lineRule="auto"/>
        <w:rPr>
          <w:rFonts w:cs="Arial"/>
        </w:rPr>
      </w:pPr>
      <w:r>
        <w:rPr>
          <w:rFonts w:cs="Arial"/>
        </w:rPr>
        <w:t xml:space="preserve">It is well established that </w:t>
      </w:r>
      <w:r w:rsidR="002D6DD5">
        <w:rPr>
          <w:rFonts w:cs="Arial"/>
        </w:rPr>
        <w:t xml:space="preserve">FLS models are beneficial for reducing the osteoporosis care gap </w:t>
      </w:r>
      <w:r w:rsidR="00376EEF">
        <w:rPr>
          <w:rFonts w:cs="Arial"/>
        </w:rPr>
        <w:t xml:space="preserve">as demonstrated in </w:t>
      </w:r>
      <w:r w:rsidR="002D6DD5">
        <w:rPr>
          <w:rFonts w:cs="Arial"/>
        </w:rPr>
        <w:t>systematic reviews</w:t>
      </w:r>
      <w:r w:rsidR="00EE3105">
        <w:rPr>
          <w:rFonts w:cs="Arial"/>
        </w:rPr>
        <w:t xml:space="preserve"> </w:t>
      </w:r>
      <w:r w:rsidR="005E3E67">
        <w:rPr>
          <w:rFonts w:cs="Arial"/>
        </w:rPr>
        <w:fldChar w:fldCharType="begin"/>
      </w:r>
      <w:r w:rsidR="005E3E67">
        <w:rPr>
          <w:rFonts w:cs="Arial"/>
        </w:rPr>
        <w:instrText xml:space="preserve"> ADDIN EN.CITE &lt;EndNote&gt;&lt;Cite&gt;&lt;Author&gt;Ganda&lt;/Author&gt;&lt;Year&gt;2013&lt;/Year&gt;&lt;RecNum&gt;276&lt;/RecNum&gt;&lt;DisplayText&gt;[16, 17]&lt;/DisplayText&gt;&lt;record&gt;&lt;rec-number&gt;276&lt;/rec-number&gt;&lt;foreign-keys&gt;&lt;key app="EN" db-id="xp2sx5aahpsveaea2zq5s2xsef9d0fsxsxex" timestamp="1586947996"&gt;276&lt;/key&gt;&lt;/foreign-keys&gt;&lt;ref-type name="Journal Article"&gt;17&lt;/ref-type&gt;&lt;contributors&gt;&lt;authors&gt;&lt;author&gt;Ganda, K&lt;/author&gt;&lt;author&gt;Puech, M&lt;/author&gt;&lt;author&gt;Chen, JS&lt;/author&gt;&lt;author&gt;Speerin, R&lt;/author&gt;&lt;author&gt;Bleasel, J&lt;/author&gt;&lt;author&gt;Center, JR&lt;/author&gt;&lt;author&gt;Eisman, JA&lt;/author&gt;&lt;author&gt;March, L&lt;/author&gt;&lt;author&gt;Seibel, MJ&lt;/author&gt;&lt;/authors&gt;&lt;/contributors&gt;&lt;titles&gt;&lt;title&gt;Models of care for the secondary prevention of osteoporotic fractures: a systematic review and meta-analysis&lt;/title&gt;&lt;secondary-title&gt;Osteoporos Int.&lt;/secondary-title&gt;&lt;/titles&gt;&lt;periodical&gt;&lt;full-title&gt;Osteoporos Int.&lt;/full-title&gt;&lt;/periodical&gt;&lt;pages&gt;393-406&lt;/pages&gt;&lt;volume&gt;24&lt;/volume&gt;&lt;number&gt;2&lt;/number&gt;&lt;dates&gt;&lt;year&gt;2013&lt;/year&gt;&lt;/dates&gt;&lt;isbn&gt;0937-941X&lt;/isbn&gt;&lt;urls&gt;&lt;/urls&gt;&lt;/record&gt;&lt;/Cite&gt;&lt;Cite&gt;&lt;Author&gt;Sale&lt;/Author&gt;&lt;Year&gt;2011&lt;/Year&gt;&lt;RecNum&gt;277&lt;/RecNum&gt;&lt;record&gt;&lt;rec-number&gt;277&lt;/rec-number&gt;&lt;foreign-keys&gt;&lt;key app="EN" db-id="xp2sx5aahpsveaea2zq5s2xsef9d0fsxsxex" timestamp="1586948064"&gt;277&lt;/key&gt;&lt;/foreign-keys&gt;&lt;ref-type name="Journal Article"&gt;17&lt;/ref-type&gt;&lt;contributors&gt;&lt;authors&gt;&lt;author&gt;Sale, JEM&lt;/author&gt;&lt;author&gt;Beaton, D&lt;/author&gt;&lt;author&gt;Posen, J&lt;/author&gt;&lt;author&gt;Elliot-Gibson, V&lt;/author&gt;&lt;author&gt;Bogoch, E&lt;/author&gt;&lt;/authors&gt;&lt;/contributors&gt;&lt;titles&gt;&lt;title&gt;Systematic review on interventions to improve osteoporosis investigation and treatment in fragility fracture patients&lt;/title&gt;&lt;secondary-title&gt;Osteoporos Int.&lt;/secondary-title&gt;&lt;/titles&gt;&lt;periodical&gt;&lt;full-title&gt;Osteoporos Int.&lt;/full-title&gt;&lt;/periodical&gt;&lt;pages&gt;2067-2082&lt;/pages&gt;&lt;volume&gt;22&lt;/volume&gt;&lt;number&gt;7&lt;/number&gt;&lt;dates&gt;&lt;year&gt;2011&lt;/year&gt;&lt;/dates&gt;&lt;isbn&gt;0937-941X&lt;/isbn&gt;&lt;urls&gt;&lt;/urls&gt;&lt;/record&gt;&lt;/Cite&gt;&lt;/EndNote&gt;</w:instrText>
      </w:r>
      <w:r w:rsidR="005E3E67">
        <w:rPr>
          <w:rFonts w:cs="Arial"/>
        </w:rPr>
        <w:fldChar w:fldCharType="separate"/>
      </w:r>
      <w:r w:rsidR="005E3E67">
        <w:rPr>
          <w:rFonts w:cs="Arial"/>
          <w:noProof/>
        </w:rPr>
        <w:t>[16, 17]</w:t>
      </w:r>
      <w:r w:rsidR="005E3E67">
        <w:rPr>
          <w:rFonts w:cs="Arial"/>
        </w:rPr>
        <w:fldChar w:fldCharType="end"/>
      </w:r>
      <w:r w:rsidR="00683173">
        <w:rPr>
          <w:rFonts w:cs="Arial"/>
        </w:rPr>
        <w:t>.</w:t>
      </w:r>
      <w:r w:rsidR="007A1C76">
        <w:rPr>
          <w:rFonts w:cs="Arial"/>
        </w:rPr>
        <w:t xml:space="preserve"> </w:t>
      </w:r>
      <w:r w:rsidR="00683173">
        <w:rPr>
          <w:rFonts w:cs="Arial"/>
        </w:rPr>
        <w:t>N</w:t>
      </w:r>
      <w:r w:rsidR="007A1C76">
        <w:rPr>
          <w:rFonts w:cs="Arial"/>
        </w:rPr>
        <w:t>ational and</w:t>
      </w:r>
      <w:r w:rsidR="002D6DD5">
        <w:rPr>
          <w:rFonts w:cs="Arial"/>
        </w:rPr>
        <w:t xml:space="preserve"> international</w:t>
      </w:r>
      <w:r w:rsidR="007A1C76">
        <w:rPr>
          <w:rFonts w:cs="Arial"/>
        </w:rPr>
        <w:t xml:space="preserve"> guidelines</w:t>
      </w:r>
      <w:r w:rsidR="002D6DD5" w:rsidRPr="002D6DD5">
        <w:rPr>
          <w:rFonts w:cs="Arial"/>
        </w:rPr>
        <w:t xml:space="preserve"> </w:t>
      </w:r>
      <w:r w:rsidR="005E3E67">
        <w:rPr>
          <w:rFonts w:cs="Arial"/>
        </w:rPr>
        <w:fldChar w:fldCharType="begin">
          <w:fldData xml:space="preserve">PEVuZE5vdGU+PENpdGU+PEF1dGhvcj5NYXJzaDwvQXV0aG9yPjxZZWFyPjIwMTE8L1llYXI+PFJl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</w:fldData>
        </w:fldChar>
      </w:r>
      <w:r w:rsidR="00B56C5C">
        <w:rPr>
          <w:rFonts w:cs="Arial"/>
        </w:rPr>
        <w:instrText xml:space="preserve"> ADDIN EN.CITE </w:instrText>
      </w:r>
      <w:r w:rsidR="00B56C5C">
        <w:rPr>
          <w:rFonts w:cs="Arial"/>
        </w:rPr>
        <w:fldChar w:fldCharType="begin">
          <w:fldData xml:space="preserve">PEVuZE5vdGU+PENpdGU+PEF1dGhvcj5NYXJzaDwvQXV0aG9yPjxZZWFyPjIwMTE8L1llYXI+PFJl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</w:fldData>
        </w:fldChar>
      </w:r>
      <w:r w:rsidR="00B56C5C">
        <w:rPr>
          <w:rFonts w:cs="Arial"/>
        </w:rPr>
        <w:instrText xml:space="preserve"> ADDIN EN.CITE.DATA </w:instrText>
      </w:r>
      <w:r w:rsidR="00B56C5C">
        <w:rPr>
          <w:rFonts w:cs="Arial"/>
        </w:rPr>
      </w:r>
      <w:r w:rsidR="00B56C5C">
        <w:rPr>
          <w:rFonts w:cs="Arial"/>
        </w:rPr>
        <w:fldChar w:fldCharType="end"/>
      </w:r>
      <w:r w:rsidR="005E3E67">
        <w:rPr>
          <w:rFonts w:cs="Arial"/>
        </w:rPr>
      </w:r>
      <w:r w:rsidR="005E3E67">
        <w:rPr>
          <w:rFonts w:cs="Arial"/>
        </w:rPr>
        <w:fldChar w:fldCharType="separate"/>
      </w:r>
      <w:r w:rsidR="00472892">
        <w:rPr>
          <w:rFonts w:cs="Arial"/>
          <w:noProof/>
        </w:rPr>
        <w:t>[18-20]</w:t>
      </w:r>
      <w:r w:rsidR="005E3E67">
        <w:rPr>
          <w:rFonts w:cs="Arial"/>
        </w:rPr>
        <w:fldChar w:fldCharType="end"/>
      </w:r>
      <w:r w:rsidR="00472892">
        <w:rPr>
          <w:rFonts w:cs="Arial"/>
        </w:rPr>
        <w:t xml:space="preserve"> </w:t>
      </w:r>
      <w:r w:rsidR="00683173">
        <w:rPr>
          <w:rFonts w:cs="Arial"/>
        </w:rPr>
        <w:t xml:space="preserve">also recommend </w:t>
      </w:r>
      <w:r w:rsidR="002D6DD5">
        <w:rPr>
          <w:rFonts w:cs="Arial"/>
        </w:rPr>
        <w:t xml:space="preserve">the </w:t>
      </w:r>
      <w:r w:rsidR="002D6DD5" w:rsidRPr="002D6DD5">
        <w:rPr>
          <w:rFonts w:cs="Arial"/>
        </w:rPr>
        <w:t>FLS mode</w:t>
      </w:r>
      <w:r w:rsidR="002D6DD5">
        <w:rPr>
          <w:rFonts w:cs="Arial"/>
        </w:rPr>
        <w:t>l to improve osteoporosis assessment and management</w:t>
      </w:r>
      <w:r w:rsidR="007A1C76">
        <w:rPr>
          <w:rFonts w:cs="Arial"/>
        </w:rPr>
        <w:t>.</w:t>
      </w:r>
      <w:r w:rsidR="002D6DD5">
        <w:rPr>
          <w:rFonts w:cs="Arial"/>
        </w:rPr>
        <w:t xml:space="preserve"> </w:t>
      </w:r>
      <w:r w:rsidR="00246C25">
        <w:rPr>
          <w:rFonts w:cs="Arial"/>
        </w:rPr>
        <w:t>Our findings</w:t>
      </w:r>
      <w:r w:rsidR="007A1C76">
        <w:rPr>
          <w:rFonts w:cs="Arial"/>
        </w:rPr>
        <w:t xml:space="preserve"> provide evidence</w:t>
      </w:r>
      <w:r w:rsidR="00C3227E">
        <w:rPr>
          <w:rFonts w:cs="Arial"/>
        </w:rPr>
        <w:t>, however,</w:t>
      </w:r>
      <w:r w:rsidR="007A1C76">
        <w:rPr>
          <w:rFonts w:cs="Arial"/>
        </w:rPr>
        <w:t xml:space="preserve"> that</w:t>
      </w:r>
      <w:r w:rsidR="00456E20">
        <w:rPr>
          <w:rFonts w:cs="Arial"/>
        </w:rPr>
        <w:t xml:space="preserve"> </w:t>
      </w:r>
      <w:r w:rsidR="00246C25">
        <w:rPr>
          <w:rFonts w:cs="Arial"/>
        </w:rPr>
        <w:t xml:space="preserve">even </w:t>
      </w:r>
      <w:r w:rsidR="00456E20">
        <w:rPr>
          <w:rFonts w:cs="Arial"/>
        </w:rPr>
        <w:t>where FLS models are in place</w:t>
      </w:r>
      <w:r w:rsidR="00106B1F">
        <w:rPr>
          <w:rFonts w:cs="Arial"/>
        </w:rPr>
        <w:t>,</w:t>
      </w:r>
      <w:r w:rsidR="00C3227E">
        <w:rPr>
          <w:rFonts w:cs="Arial"/>
        </w:rPr>
        <w:t xml:space="preserve"> </w:t>
      </w:r>
      <w:r w:rsidR="00456E20">
        <w:rPr>
          <w:rFonts w:cs="Arial"/>
        </w:rPr>
        <w:t>there is</w:t>
      </w:r>
      <w:r w:rsidR="00246C25">
        <w:rPr>
          <w:rFonts w:cs="Arial"/>
        </w:rPr>
        <w:t xml:space="preserve"> still</w:t>
      </w:r>
      <w:r w:rsidRPr="00E80B12">
        <w:rPr>
          <w:rFonts w:cs="Arial"/>
        </w:rPr>
        <w:t xml:space="preserve"> significant variability in </w:t>
      </w:r>
      <w:r w:rsidR="00C3227E">
        <w:rPr>
          <w:rFonts w:cs="Arial"/>
        </w:rPr>
        <w:t>the</w:t>
      </w:r>
      <w:r w:rsidR="007A1C76">
        <w:rPr>
          <w:rFonts w:cs="Arial"/>
        </w:rPr>
        <w:t xml:space="preserve"> quality of</w:t>
      </w:r>
      <w:r w:rsidR="00C3227E">
        <w:rPr>
          <w:rFonts w:cs="Arial"/>
        </w:rPr>
        <w:t xml:space="preserve"> </w:t>
      </w:r>
      <w:r w:rsidR="007A1C76">
        <w:rPr>
          <w:rFonts w:cs="Arial"/>
        </w:rPr>
        <w:t>DXA services.</w:t>
      </w:r>
      <w:r w:rsidR="00C3227E">
        <w:rPr>
          <w:rFonts w:cs="Arial"/>
        </w:rPr>
        <w:t xml:space="preserve"> This is consistent with previous studies which have shown that </w:t>
      </w:r>
      <w:r w:rsidR="00FD2B77">
        <w:rPr>
          <w:rFonts w:cs="Arial"/>
        </w:rPr>
        <w:t>there is currently</w:t>
      </w:r>
      <w:r w:rsidR="00C3227E" w:rsidRPr="00E80B12">
        <w:rPr>
          <w:rFonts w:cs="Arial"/>
        </w:rPr>
        <w:t xml:space="preserve"> huge variation, </w:t>
      </w:r>
      <w:r w:rsidR="00FD2B77">
        <w:rPr>
          <w:rFonts w:cs="Arial"/>
        </w:rPr>
        <w:t xml:space="preserve">both within and between countries, in the availability, quality and scope of </w:t>
      </w:r>
      <w:r w:rsidR="00C3227E" w:rsidRPr="00E80B12">
        <w:rPr>
          <w:rFonts w:cs="Arial"/>
        </w:rPr>
        <w:t>secondary prevention facilities. For example,</w:t>
      </w:r>
      <w:r w:rsidR="00FD2B77">
        <w:rPr>
          <w:rFonts w:cs="Arial"/>
        </w:rPr>
        <w:t xml:space="preserve"> in</w:t>
      </w:r>
      <w:r w:rsidR="00C3227E" w:rsidRPr="00E80B12">
        <w:rPr>
          <w:rFonts w:cs="Arial"/>
        </w:rPr>
        <w:t xml:space="preserve"> a prospective observational study </w:t>
      </w:r>
      <w:r w:rsidR="00FD2B77">
        <w:rPr>
          <w:rFonts w:cs="Arial"/>
        </w:rPr>
        <w:t xml:space="preserve">comprising </w:t>
      </w:r>
      <w:r w:rsidR="00C3227E" w:rsidRPr="00E80B12">
        <w:rPr>
          <w:rFonts w:cs="Arial"/>
        </w:rPr>
        <w:t xml:space="preserve">over 60,000 older women recruited </w:t>
      </w:r>
      <w:r w:rsidR="00FD2B77">
        <w:rPr>
          <w:rFonts w:cs="Arial"/>
        </w:rPr>
        <w:t xml:space="preserve">in 10 countries </w:t>
      </w:r>
      <w:r w:rsidR="00C3227E" w:rsidRPr="00E80B12">
        <w:rPr>
          <w:rFonts w:cs="Arial"/>
        </w:rPr>
        <w:t>from primary care practices</w:t>
      </w:r>
      <w:r w:rsidR="007B2C90">
        <w:rPr>
          <w:rFonts w:cs="Arial"/>
        </w:rPr>
        <w:t>,</w:t>
      </w:r>
      <w:r w:rsidR="00C3227E" w:rsidRPr="00E80B12">
        <w:rPr>
          <w:rFonts w:cs="Arial"/>
        </w:rPr>
        <w:t xml:space="preserve"> </w:t>
      </w:r>
      <w:r w:rsidR="00FD2B77">
        <w:rPr>
          <w:rFonts w:cs="Arial"/>
        </w:rPr>
        <w:t>it was shown that in excess of</w:t>
      </w:r>
      <w:r w:rsidR="00C3227E" w:rsidRPr="00E80B12">
        <w:rPr>
          <w:rFonts w:cs="Arial"/>
        </w:rPr>
        <w:t xml:space="preserve"> 80% did not receive osteoporosis treatment</w:t>
      </w:r>
      <w:r w:rsidR="004E1F87">
        <w:rPr>
          <w:rFonts w:cs="Arial"/>
        </w:rPr>
        <w:t xml:space="preserve"> following a fragility fracture</w:t>
      </w:r>
      <w:r w:rsidR="00472892">
        <w:rPr>
          <w:rFonts w:cs="Arial"/>
        </w:rPr>
        <w:t xml:space="preserve"> </w:t>
      </w:r>
      <w:r w:rsidR="00472892">
        <w:rPr>
          <w:rFonts w:cs="Arial"/>
        </w:rPr>
        <w:fldChar w:fldCharType="begin"/>
      </w:r>
      <w:r w:rsidR="006A444E">
        <w:rPr>
          <w:rFonts w:cs="Arial"/>
        </w:rPr>
        <w:instrText xml:space="preserve"> ADDIN EN.CITE &lt;EndNote&gt;&lt;Cite&gt;&lt;Author&gt;Greenspan&lt;/Author&gt;&lt;Year&gt;2012&lt;/Year&gt;&lt;RecNum&gt;281&lt;/RecNum&gt;&lt;DisplayText&gt;[21]&lt;/DisplayText&gt;&lt;record&gt;&lt;rec-number&gt;281&lt;/rec-number&gt;&lt;foreign-keys&gt;&lt;key app="EN" db-id="xp2sx5aahpsveaea2zq5s2xsef9d0fsxsxex" timestamp="1586948516"&gt;281&lt;/key&gt;&lt;/foreign-keys&gt;&lt;ref-type name="Journal Article"&gt;17&lt;/ref-type&gt;&lt;contributors&gt;&lt;authors&gt;&lt;author&gt;Greenspan, Susan L&lt;/author&gt;&lt;author&gt;Wyman, Allison&lt;/author&gt;&lt;author&gt;Hooven, Frederick H&lt;/author&gt;&lt;author&gt;Adami, Silvano&lt;/author&gt;&lt;author&gt;Gehlbach, Stephen&lt;/author&gt;&lt;author&gt;Anderson Jr, Frederick A&lt;/author&gt;&lt;author&gt;Boone, Steven&lt;/author&gt;&lt;author&gt;Lacroix, Andrea Z&lt;/author&gt;&lt;author&gt;Lindsay, Robert&lt;/author&gt;&lt;author&gt;Netelenbos, JC &lt;/author&gt;&lt;author&gt;Pfeilschifter, J&lt;/author&gt;&lt;author&gt;Silverman, S&lt;/author&gt;&lt;author&gt;Siris, ES&lt;/author&gt;&lt;author&gt;Watts, NB&lt;/author&gt;&lt;/authors&gt;&lt;/contributors&gt;&lt;titles&gt;&lt;title&gt;Predictors of treatment with osteoporosis medications after recent fragility fractures in a multinational cohort of postmenopausal women&lt;/title&gt;&lt;secondary-title&gt;J Am Geriatr Soc.&lt;/secondary-title&gt;&lt;/titles&gt;&lt;periodical&gt;&lt;full-title&gt;J Am Geriatr Soc.&lt;/full-title&gt;&lt;/periodical&gt;&lt;pages&gt;455-461&lt;/pages&gt;&lt;volume&gt;60&lt;/volume&gt;&lt;number&gt;3&lt;/number&gt;&lt;dates&gt;&lt;year&gt;2012&lt;/year&gt;&lt;/dates&gt;&lt;isbn&gt;0002-8614&lt;/isbn&gt;&lt;urls&gt;&lt;/urls&gt;&lt;/record&gt;&lt;/Cite&gt;&lt;/EndNote&gt;</w:instrText>
      </w:r>
      <w:r w:rsidR="00472892">
        <w:rPr>
          <w:rFonts w:cs="Arial"/>
        </w:rPr>
        <w:fldChar w:fldCharType="separate"/>
      </w:r>
      <w:r w:rsidR="00472892">
        <w:rPr>
          <w:rFonts w:cs="Arial"/>
          <w:noProof/>
        </w:rPr>
        <w:t>[21]</w:t>
      </w:r>
      <w:r w:rsidR="00472892">
        <w:rPr>
          <w:rFonts w:cs="Arial"/>
        </w:rPr>
        <w:fldChar w:fldCharType="end"/>
      </w:r>
      <w:r w:rsidR="00FD2B77">
        <w:rPr>
          <w:rFonts w:cs="Arial"/>
        </w:rPr>
        <w:t>.</w:t>
      </w:r>
      <w:r w:rsidR="00456E20">
        <w:rPr>
          <w:rFonts w:cs="Arial"/>
        </w:rPr>
        <w:t xml:space="preserve"> </w:t>
      </w:r>
      <w:r w:rsidR="00683173">
        <w:rPr>
          <w:rFonts w:cs="Arial"/>
        </w:rPr>
        <w:t>Therefore, there is</w:t>
      </w:r>
      <w:r w:rsidR="00456E20">
        <w:rPr>
          <w:rFonts w:cs="Arial"/>
        </w:rPr>
        <w:t xml:space="preserve"> a clear need for strategies that set and measure</w:t>
      </w:r>
      <w:r w:rsidR="00456E20" w:rsidRPr="00456E20">
        <w:rPr>
          <w:rFonts w:cs="Arial"/>
        </w:rPr>
        <w:t xml:space="preserve"> standards of care within </w:t>
      </w:r>
      <w:r w:rsidR="00456E20">
        <w:rPr>
          <w:rFonts w:cs="Arial"/>
        </w:rPr>
        <w:t>individual FLS services to reduce variability</w:t>
      </w:r>
      <w:r w:rsidR="00DC7A55">
        <w:rPr>
          <w:rFonts w:cs="Arial"/>
        </w:rPr>
        <w:t xml:space="preserve"> and improve osteoporosis care;</w:t>
      </w:r>
      <w:r w:rsidR="00456E20">
        <w:rPr>
          <w:rFonts w:cs="Arial"/>
        </w:rPr>
        <w:t xml:space="preserve"> </w:t>
      </w:r>
      <w:r w:rsidR="007B2C90">
        <w:rPr>
          <w:rFonts w:cs="Arial"/>
        </w:rPr>
        <w:t>clinical or quality s</w:t>
      </w:r>
      <w:r w:rsidR="005A0A8E" w:rsidRPr="005A0A8E">
        <w:rPr>
          <w:rFonts w:cs="Arial"/>
        </w:rPr>
        <w:t>tandards for FLS have</w:t>
      </w:r>
      <w:r w:rsidR="005A0A8E">
        <w:rPr>
          <w:rFonts w:cs="Arial"/>
        </w:rPr>
        <w:t xml:space="preserve"> already been developed in Canada </w:t>
      </w:r>
      <w:r w:rsidR="00181062">
        <w:rPr>
          <w:rFonts w:cs="Arial"/>
        </w:rPr>
        <w:fldChar w:fldCharType="begin"/>
      </w:r>
      <w:r w:rsidR="00181062">
        <w:rPr>
          <w:rFonts w:cs="Arial"/>
        </w:rPr>
        <w:instrText xml:space="preserve"> ADDIN EN.CITE &lt;EndNote&gt;&lt;Cite&gt;&lt;Author&gt;Osteoporosis Canada&lt;/Author&gt;&lt;Year&gt;2014&lt;/Year&gt;&lt;RecNum&gt;282&lt;/RecNum&gt;&lt;DisplayText&gt;[22]&lt;/DisplayText&gt;&lt;record&gt;&lt;rec-number&gt;282&lt;/rec-number&gt;&lt;foreign-keys&gt;&lt;key app="EN" db-id="xp2sx5aahpsveaea2zq5s2xsef9d0fsxsxex" timestamp="1586949153"&gt;282&lt;/key&gt;&lt;/foreign-keys&gt;&lt;ref-type name="Report"&gt;27&lt;/ref-type&gt;&lt;contributors&gt;&lt;authors&gt;&lt;author&gt;Osteoporosis Canada,&lt;/author&gt;&lt;/authors&gt;&lt;/contributors&gt;&lt;titles&gt;&lt;title&gt;Quality Standards for Fracture Liaison Services in Canada. https://www.osteoporosis.ca/wp-content/uploads/OC-Quality-Standards-ENG-Nov-2014.pdf Accessed 15 April 2020&lt;/title&gt;&lt;/titles&gt;&lt;dates&gt;&lt;year&gt;2014&lt;/year&gt;&lt;/dates&gt;&lt;urls&gt;&lt;/urls&gt;&lt;/record&gt;&lt;/Cite&gt;&lt;/EndNote&gt;</w:instrText>
      </w:r>
      <w:r w:rsidR="00181062">
        <w:rPr>
          <w:rFonts w:cs="Arial"/>
        </w:rPr>
        <w:fldChar w:fldCharType="separate"/>
      </w:r>
      <w:r w:rsidR="00181062">
        <w:rPr>
          <w:rFonts w:cs="Arial"/>
          <w:noProof/>
        </w:rPr>
        <w:t>[22]</w:t>
      </w:r>
      <w:r w:rsidR="00181062">
        <w:rPr>
          <w:rFonts w:cs="Arial"/>
        </w:rPr>
        <w:fldChar w:fldCharType="end"/>
      </w:r>
      <w:r w:rsidR="001931A3" w:rsidRPr="001931A3">
        <w:rPr>
          <w:rFonts w:cs="Arial"/>
        </w:rPr>
        <w:t xml:space="preserve">, New Zealand </w:t>
      </w:r>
      <w:r w:rsidR="00181062">
        <w:rPr>
          <w:rFonts w:cs="Arial"/>
        </w:rPr>
        <w:fldChar w:fldCharType="begin"/>
      </w:r>
      <w:r w:rsidR="00181062">
        <w:rPr>
          <w:rFonts w:cs="Arial"/>
        </w:rPr>
        <w:instrText xml:space="preserve"> ADDIN EN.CITE &lt;EndNote&gt;&lt;Cite&gt;&lt;Author&gt;Osteoporosis New Zealand&lt;/Author&gt;&lt;Year&gt;2016&lt;/Year&gt;&lt;RecNum&gt;283&lt;/RecNum&gt;&lt;DisplayText&gt;[23]&lt;/DisplayText&gt;&lt;record&gt;&lt;rec-number&gt;283&lt;/rec-number&gt;&lt;foreign-keys&gt;&lt;key app="EN" db-id="xp2sx5aahpsveaea2zq5s2xsef9d0fsxsxex" timestamp="1586949501"&gt;283&lt;/key&gt;&lt;/foreign-keys&gt;&lt;ref-type name="Report"&gt;27&lt;/ref-type&gt;&lt;contributors&gt;&lt;authors&gt;&lt;author&gt;Osteoporosis New Zealand,&lt;/author&gt;&lt;/authors&gt;&lt;/contributors&gt;&lt;titles&gt;&lt;title&gt;Clinical Standards for Fracture Liaison Services in New Zealand. https://osteoporosis.org.nz/wp-content/uploads/ONZ-FLS-Clinical-Standards-WEB.pdf Accessed 15 April 2020&lt;/title&gt;&lt;/titles&gt;&lt;dates&gt;&lt;year&gt;2016&lt;/year&gt;&lt;/dates&gt;&lt;urls&gt;&lt;/urls&gt;&lt;/record&gt;&lt;/Cite&gt;&lt;/EndNote&gt;</w:instrText>
      </w:r>
      <w:r w:rsidR="00181062">
        <w:rPr>
          <w:rFonts w:cs="Arial"/>
        </w:rPr>
        <w:fldChar w:fldCharType="separate"/>
      </w:r>
      <w:r w:rsidR="00181062">
        <w:rPr>
          <w:rFonts w:cs="Arial"/>
          <w:noProof/>
        </w:rPr>
        <w:t>[23]</w:t>
      </w:r>
      <w:r w:rsidR="00181062">
        <w:rPr>
          <w:rFonts w:cs="Arial"/>
        </w:rPr>
        <w:fldChar w:fldCharType="end"/>
      </w:r>
      <w:r w:rsidR="001931A3" w:rsidRPr="001931A3">
        <w:rPr>
          <w:rFonts w:cs="Arial"/>
        </w:rPr>
        <w:t xml:space="preserve"> and the UK</w:t>
      </w:r>
      <w:r w:rsidR="00983336">
        <w:rPr>
          <w:rFonts w:cs="Arial"/>
        </w:rPr>
        <w:t xml:space="preserve"> </w:t>
      </w:r>
      <w:r w:rsidR="00983336">
        <w:rPr>
          <w:rFonts w:cs="Arial"/>
        </w:rPr>
        <w:fldChar w:fldCharType="begin"/>
      </w:r>
      <w:r w:rsidR="00983336">
        <w:rPr>
          <w:rFonts w:cs="Arial"/>
        </w:rPr>
        <w:instrText xml:space="preserve"> ADDIN EN.CITE &lt;EndNote&gt;&lt;Cite&gt;&lt;Author&gt;Royal Osteoporosis Society&lt;/Author&gt;&lt;Year&gt;2019&lt;/Year&gt;&lt;RecNum&gt;284&lt;/RecNum&gt;&lt;DisplayText&gt;[24]&lt;/DisplayText&gt;&lt;record&gt;&lt;rec-number&gt;284&lt;/rec-number&gt;&lt;foreign-keys&gt;&lt;key app="EN" db-id="xp2sx5aahpsveaea2zq5s2xsef9d0fsxsxex" timestamp="1586950240"&gt;284&lt;/key&gt;&lt;/foreign-keys&gt;&lt;ref-type name="Report"&gt;27&lt;/ref-type&gt;&lt;contributors&gt;&lt;authors&gt;&lt;author&gt;Royal Osteoporosis Society,&lt;/author&gt;&lt;/authors&gt;&lt;/contributors&gt;&lt;titles&gt;&lt;title&gt;Effective Secondary Prevention of Fragility Fractures: Clinical Standards for Fracture Liaison Services. https://theros.org.uk/media/1eubz33w/ros-clinical-standards-for-fracture-liaison-services-august-2019.pdf Accessed 15 April 2020&lt;/title&gt;&lt;/titles&gt;&lt;dates&gt;&lt;year&gt;2019&lt;/year&gt;&lt;/dates&gt;&lt;urls&gt;&lt;/urls&gt;&lt;/record&gt;&lt;/Cite&gt;&lt;/EndNote&gt;</w:instrText>
      </w:r>
      <w:r w:rsidR="00983336">
        <w:rPr>
          <w:rFonts w:cs="Arial"/>
        </w:rPr>
        <w:fldChar w:fldCharType="separate"/>
      </w:r>
      <w:r w:rsidR="00983336">
        <w:rPr>
          <w:rFonts w:cs="Arial"/>
          <w:noProof/>
        </w:rPr>
        <w:t>[24]</w:t>
      </w:r>
      <w:r w:rsidR="00983336">
        <w:rPr>
          <w:rFonts w:cs="Arial"/>
        </w:rPr>
        <w:fldChar w:fldCharType="end"/>
      </w:r>
      <w:r w:rsidR="00683173">
        <w:rPr>
          <w:rFonts w:cs="Arial"/>
        </w:rPr>
        <w:t>.</w:t>
      </w:r>
      <w:r w:rsidR="007D7265">
        <w:rPr>
          <w:rFonts w:cs="Arial"/>
        </w:rPr>
        <w:t xml:space="preserve"> However,</w:t>
      </w:r>
      <w:r w:rsidR="00487B4E">
        <w:rPr>
          <w:rFonts w:cs="Arial"/>
        </w:rPr>
        <w:t xml:space="preserve"> </w:t>
      </w:r>
      <w:r w:rsidR="007D7265">
        <w:rPr>
          <w:rFonts w:cs="Arial"/>
        </w:rPr>
        <w:t>apart</w:t>
      </w:r>
      <w:r w:rsidR="00487B4E">
        <w:rPr>
          <w:rFonts w:cs="Arial"/>
        </w:rPr>
        <w:t xml:space="preserve"> from the Royal Osteoporosis Society (ROS) in the UK</w:t>
      </w:r>
      <w:r w:rsidR="00210C6E">
        <w:rPr>
          <w:rFonts w:cs="Arial"/>
        </w:rPr>
        <w:t>,</w:t>
      </w:r>
      <w:r w:rsidR="00487B4E">
        <w:rPr>
          <w:rFonts w:cs="Arial"/>
        </w:rPr>
        <w:t xml:space="preserve"> suggesting </w:t>
      </w:r>
      <w:proofErr w:type="gramStart"/>
      <w:r w:rsidR="00487B4E">
        <w:t>sufficient</w:t>
      </w:r>
      <w:proofErr w:type="gramEnd"/>
      <w:r w:rsidR="00487B4E">
        <w:t xml:space="preserve"> quality assured DXA scanning and reporting in a timely manner</w:t>
      </w:r>
      <w:r w:rsidR="00210C6E">
        <w:t>,</w:t>
      </w:r>
      <w:r w:rsidR="00487B4E">
        <w:rPr>
          <w:rFonts w:cs="Arial"/>
        </w:rPr>
        <w:t xml:space="preserve"> these do not include specific standards for DXA.</w:t>
      </w:r>
      <w:r w:rsidR="00C3227E" w:rsidRPr="001931A3">
        <w:rPr>
          <w:rFonts w:cs="Arial"/>
        </w:rPr>
        <w:t xml:space="preserve"> </w:t>
      </w:r>
    </w:p>
    <w:p w14:paraId="49E649A3" w14:textId="0D54EC2F" w:rsidR="00E80B12" w:rsidRDefault="00C3227E" w:rsidP="00C8570F">
      <w:pPr>
        <w:spacing w:after="240" w:line="360" w:lineRule="auto"/>
        <w:rPr>
          <w:rFonts w:cs="Arial"/>
        </w:rPr>
      </w:pPr>
      <w:r w:rsidRPr="001931A3">
        <w:rPr>
          <w:rFonts w:cs="Arial"/>
        </w:rPr>
        <w:t>Recently</w:t>
      </w:r>
      <w:r w:rsidR="007B2C90">
        <w:rPr>
          <w:rFonts w:cs="Arial"/>
        </w:rPr>
        <w:t xml:space="preserve">, </w:t>
      </w:r>
      <w:r w:rsidRPr="001931A3">
        <w:rPr>
          <w:rFonts w:cs="Arial"/>
        </w:rPr>
        <w:t xml:space="preserve">the IOF </w:t>
      </w:r>
      <w:r w:rsidR="00416D24">
        <w:rPr>
          <w:rFonts w:cs="Arial"/>
        </w:rPr>
        <w:t>has</w:t>
      </w:r>
      <w:r w:rsidR="001931A3" w:rsidRPr="001931A3">
        <w:rPr>
          <w:rFonts w:cs="Arial"/>
        </w:rPr>
        <w:t xml:space="preserve"> </w:t>
      </w:r>
      <w:r w:rsidR="005A0A8E" w:rsidRPr="001931A3">
        <w:rPr>
          <w:rFonts w:cs="Arial"/>
        </w:rPr>
        <w:t>developed internationally endorsed standards for FLS in the f</w:t>
      </w:r>
      <w:r w:rsidR="0029030C">
        <w:rPr>
          <w:rFonts w:cs="Arial"/>
        </w:rPr>
        <w:t>orm of the Capture the Fracture</w:t>
      </w:r>
      <w:r w:rsidR="005A0A8E" w:rsidRPr="001931A3">
        <w:rPr>
          <w:rFonts w:cs="Arial"/>
        </w:rPr>
        <w:t xml:space="preserve"> </w:t>
      </w:r>
      <w:r w:rsidR="00CD4FA6">
        <w:rPr>
          <w:rFonts w:cs="Arial"/>
        </w:rPr>
        <w:t xml:space="preserve">(CTF) </w:t>
      </w:r>
      <w:r w:rsidR="005A0A8E" w:rsidRPr="001931A3">
        <w:rPr>
          <w:rFonts w:cs="Arial"/>
        </w:rPr>
        <w:t xml:space="preserve">Best Practice Framework (BPF) </w:t>
      </w:r>
      <w:r w:rsidR="001931A3" w:rsidRPr="001931A3">
        <w:rPr>
          <w:rFonts w:cs="Arial"/>
        </w:rPr>
        <w:t>(</w:t>
      </w:r>
      <w:r w:rsidR="001931A3" w:rsidRPr="00E97669">
        <w:rPr>
          <w:rStyle w:val="Hyperlink"/>
          <w:rFonts w:cs="Arial"/>
        </w:rPr>
        <w:t>http://www.capturethefracture.org/</w:t>
      </w:r>
      <w:r w:rsidR="001931A3" w:rsidRPr="001931A3">
        <w:rPr>
          <w:rFonts w:cs="Arial"/>
        </w:rPr>
        <w:t>).</w:t>
      </w:r>
      <w:r w:rsidR="001931A3">
        <w:rPr>
          <w:rFonts w:cs="Arial"/>
        </w:rPr>
        <w:t xml:space="preserve"> The </w:t>
      </w:r>
      <w:r w:rsidR="00E80B12" w:rsidRPr="00E80B12">
        <w:rPr>
          <w:rFonts w:cs="Arial"/>
        </w:rPr>
        <w:t xml:space="preserve">initiative </w:t>
      </w:r>
      <w:r w:rsidR="00D1301C">
        <w:rPr>
          <w:rFonts w:cs="Arial"/>
        </w:rPr>
        <w:t>comprises</w:t>
      </w:r>
      <w:r w:rsidR="00E80B12" w:rsidRPr="00E80B12">
        <w:rPr>
          <w:rFonts w:cs="Arial"/>
        </w:rPr>
        <w:t xml:space="preserve"> </w:t>
      </w:r>
      <w:r w:rsidR="00D1301C">
        <w:rPr>
          <w:rFonts w:cs="Arial"/>
        </w:rPr>
        <w:t xml:space="preserve">a comprehensive suite of 13 standards for: Patient Identification; </w:t>
      </w:r>
      <w:r w:rsidR="00D1301C" w:rsidRPr="00D1301C">
        <w:rPr>
          <w:rFonts w:cs="Arial"/>
        </w:rPr>
        <w:t>Patient Evaluati</w:t>
      </w:r>
      <w:r w:rsidR="00D1301C">
        <w:rPr>
          <w:rFonts w:cs="Arial"/>
        </w:rPr>
        <w:t xml:space="preserve">on; Post-fracture Assessment Timing; Vertebral Fracture; Assessment Guidelines; </w:t>
      </w:r>
      <w:r w:rsidR="00D1301C" w:rsidRPr="00D1301C">
        <w:rPr>
          <w:rFonts w:cs="Arial"/>
        </w:rPr>
        <w:t>S</w:t>
      </w:r>
      <w:r w:rsidR="00D1301C">
        <w:rPr>
          <w:rFonts w:cs="Arial"/>
        </w:rPr>
        <w:t xml:space="preserve">econdary Causes of Osteoporosis; Falls Prevention Services; </w:t>
      </w:r>
      <w:r w:rsidR="00D1301C" w:rsidRPr="00D1301C">
        <w:rPr>
          <w:rFonts w:cs="Arial"/>
        </w:rPr>
        <w:t>Multifaceted Health and L</w:t>
      </w:r>
      <w:r w:rsidR="00D1301C">
        <w:rPr>
          <w:rFonts w:cs="Arial"/>
        </w:rPr>
        <w:t xml:space="preserve">ifestyle Risk-factor Assessment; Medication Initiation; Medication Review; </w:t>
      </w:r>
      <w:r w:rsidR="000B7972">
        <w:rPr>
          <w:rFonts w:cs="Arial"/>
        </w:rPr>
        <w:t>Communication Strategy;</w:t>
      </w:r>
      <w:r w:rsidR="00D1301C">
        <w:rPr>
          <w:rFonts w:cs="Arial"/>
        </w:rPr>
        <w:t xml:space="preserve"> Long-term Management</w:t>
      </w:r>
      <w:r w:rsidR="000B7972">
        <w:rPr>
          <w:rFonts w:cs="Arial"/>
        </w:rPr>
        <w:t xml:space="preserve"> and </w:t>
      </w:r>
      <w:r w:rsidR="00D1301C" w:rsidRPr="00D1301C">
        <w:rPr>
          <w:rFonts w:cs="Arial"/>
        </w:rPr>
        <w:t>Database Standard</w:t>
      </w:r>
      <w:r w:rsidR="00E66FEC">
        <w:rPr>
          <w:rFonts w:cs="Arial"/>
        </w:rPr>
        <w:t xml:space="preserve">. </w:t>
      </w:r>
      <w:r w:rsidR="00CD4FA6">
        <w:rPr>
          <w:rFonts w:cs="Arial"/>
        </w:rPr>
        <w:t>CTF also includes</w:t>
      </w:r>
      <w:r w:rsidR="00E80B12" w:rsidRPr="00E80B12">
        <w:rPr>
          <w:rFonts w:cs="Arial"/>
        </w:rPr>
        <w:t xml:space="preserve"> a global map</w:t>
      </w:r>
      <w:r w:rsidR="007D7265">
        <w:rPr>
          <w:rFonts w:cs="Arial"/>
        </w:rPr>
        <w:t xml:space="preserve"> </w:t>
      </w:r>
      <w:r w:rsidR="00E80B12" w:rsidRPr="00E80B12">
        <w:rPr>
          <w:rFonts w:cs="Arial"/>
        </w:rPr>
        <w:t>with a quality grading scheme</w:t>
      </w:r>
      <w:r w:rsidR="007D7265">
        <w:rPr>
          <w:rFonts w:cs="Arial"/>
        </w:rPr>
        <w:t xml:space="preserve"> </w:t>
      </w:r>
      <w:r w:rsidR="00E80B12" w:rsidRPr="00E80B12">
        <w:rPr>
          <w:rFonts w:cs="Arial"/>
        </w:rPr>
        <w:t>on which, subject to application, secondary fracture prevention services can be documented</w:t>
      </w:r>
      <w:r w:rsidR="00983336">
        <w:rPr>
          <w:rFonts w:cs="Arial"/>
        </w:rPr>
        <w:t xml:space="preserve"> </w:t>
      </w:r>
      <w:r w:rsidR="00983336">
        <w:rPr>
          <w:rFonts w:cs="Arial"/>
        </w:rPr>
        <w:fldChar w:fldCharType="begin"/>
      </w:r>
      <w:r w:rsidR="006A444E">
        <w:rPr>
          <w:rFonts w:cs="Arial"/>
        </w:rPr>
        <w:instrText xml:space="preserve"> ADDIN EN.CITE &lt;EndNote&gt;&lt;Cite&gt;&lt;Author&gt;Åkesson&lt;/Author&gt;&lt;Year&gt;2013&lt;/Year&gt;&lt;RecNum&gt;285&lt;/RecNum&gt;&lt;DisplayText&gt;[25]&lt;/DisplayText&gt;&lt;record&gt;&lt;rec-number&gt;285&lt;/rec-number&gt;&lt;foreign-keys&gt;&lt;key app="EN" db-id="xp2sx5aahpsveaea2zq5s2xsef9d0fsxsxex" timestamp="1586950319"&gt;285&lt;/key&gt;&lt;/foreign-keys&gt;&lt;ref-type name="Journal Article"&gt;17&lt;/ref-type&gt;&lt;contributors&gt;&lt;authors&gt;&lt;author&gt;Åkesson, Kristina&lt;/author&gt;&lt;author&gt;Marsh, David&lt;/author&gt;&lt;author&gt;Mitchell, Paul J&lt;/author&gt;&lt;author&gt;McLellan, AR&lt;/author&gt;&lt;author&gt;Stenmark, Johan&lt;/author&gt;&lt;author&gt;Pierroz, DD&lt;/author&gt;&lt;author&gt;Kyer, C&lt;/author&gt;&lt;author&gt;Cooper, C&lt;/author&gt;&lt;/authors&gt;&lt;/contributors&gt;&lt;titles&gt;&lt;title&gt;Capture the Fracture: a Best Practice Framework and global campaign to break the fragility fracture cycle.&lt;/title&gt;&lt;secondary-title&gt;Osteoporos Int.&lt;/secondary-title&gt;&lt;/titles&gt;&lt;periodical&gt;&lt;full-title&gt;Osteoporos Int.&lt;/full-title&gt;&lt;/periodical&gt;&lt;pages&gt;2135-2152&lt;/pages&gt;&lt;volume&gt;24&lt;/volume&gt;&lt;number&gt;8&lt;/number&gt;&lt;dates&gt;&lt;year&gt;2013&lt;/year&gt;&lt;/dates&gt;&lt;isbn&gt;0937-941X&lt;/isbn&gt;&lt;urls&gt;&lt;/urls&gt;&lt;/record&gt;&lt;/Cite&gt;&lt;/EndNote&gt;</w:instrText>
      </w:r>
      <w:r w:rsidR="00983336">
        <w:rPr>
          <w:rFonts w:cs="Arial"/>
        </w:rPr>
        <w:fldChar w:fldCharType="separate"/>
      </w:r>
      <w:r w:rsidR="00983336">
        <w:rPr>
          <w:rFonts w:cs="Arial"/>
          <w:noProof/>
        </w:rPr>
        <w:t>[25]</w:t>
      </w:r>
      <w:r w:rsidR="00983336">
        <w:rPr>
          <w:rFonts w:cs="Arial"/>
        </w:rPr>
        <w:fldChar w:fldCharType="end"/>
      </w:r>
      <w:r w:rsidR="00E80B12" w:rsidRPr="00E80B12">
        <w:rPr>
          <w:rFonts w:cs="Arial"/>
        </w:rPr>
        <w:t xml:space="preserve">. </w:t>
      </w:r>
      <w:r w:rsidR="00DD4A5E">
        <w:rPr>
          <w:rFonts w:cs="Arial"/>
        </w:rPr>
        <w:t>Using this tool</w:t>
      </w:r>
      <w:r w:rsidR="007B2C90">
        <w:rPr>
          <w:rFonts w:cs="Arial"/>
        </w:rPr>
        <w:t>,</w:t>
      </w:r>
      <w:r w:rsidR="00DD4A5E">
        <w:rPr>
          <w:rFonts w:cs="Arial"/>
        </w:rPr>
        <w:t xml:space="preserve"> t</w:t>
      </w:r>
      <w:r w:rsidR="00E80B12" w:rsidRPr="00E80B12">
        <w:rPr>
          <w:rFonts w:cs="Arial"/>
        </w:rPr>
        <w:t xml:space="preserve">he </w:t>
      </w:r>
      <w:r w:rsidR="00CD4FA6">
        <w:rPr>
          <w:rFonts w:cs="Arial"/>
        </w:rPr>
        <w:t>CTF</w:t>
      </w:r>
      <w:r w:rsidR="00E80B12" w:rsidRPr="00E80B12">
        <w:rPr>
          <w:rFonts w:cs="Arial"/>
        </w:rPr>
        <w:t xml:space="preserve"> initiative, aimed at raising the quality and coverage of fracture liaison services providing secondary prevention for osteoporosis, </w:t>
      </w:r>
      <w:r w:rsidR="00DD4A5E">
        <w:rPr>
          <w:rFonts w:cs="Arial"/>
        </w:rPr>
        <w:t>has already been shown to be effective</w:t>
      </w:r>
      <w:r w:rsidR="00E80B12" w:rsidRPr="00E80B12">
        <w:rPr>
          <w:rFonts w:cs="Arial"/>
        </w:rPr>
        <w:t>.</w:t>
      </w:r>
      <w:r w:rsidR="00DD4A5E">
        <w:rPr>
          <w:rFonts w:cs="Arial"/>
        </w:rPr>
        <w:t xml:space="preserve"> </w:t>
      </w:r>
      <w:r w:rsidR="00DD4A5E">
        <w:rPr>
          <w:color w:val="000000"/>
          <w:shd w:val="clear" w:color="auto" w:fill="FFFFFF"/>
        </w:rPr>
        <w:t xml:space="preserve">In 2015, a report was published which analysed the first 60 FLS to apply for </w:t>
      </w:r>
      <w:r w:rsidR="00DD4A5E">
        <w:rPr>
          <w:color w:val="000000"/>
          <w:shd w:val="clear" w:color="auto" w:fill="FFFFFF"/>
        </w:rPr>
        <w:lastRenderedPageBreak/>
        <w:t>Best Practice Recognition</w:t>
      </w:r>
      <w:r w:rsidR="00416D24">
        <w:rPr>
          <w:color w:val="000000"/>
          <w:shd w:val="clear" w:color="auto" w:fill="FFFFFF"/>
        </w:rPr>
        <w:t xml:space="preserve"> and</w:t>
      </w:r>
      <w:r w:rsidR="00DD4A5E">
        <w:rPr>
          <w:color w:val="000000"/>
          <w:shd w:val="clear" w:color="auto" w:fill="FFFFFF"/>
        </w:rPr>
        <w:t xml:space="preserve"> showed </w:t>
      </w:r>
      <w:r w:rsidR="00DD4A5E" w:rsidRPr="00DD4A5E">
        <w:rPr>
          <w:color w:val="000000"/>
          <w:shd w:val="clear" w:color="auto" w:fill="FFFFFF"/>
        </w:rPr>
        <w:t>significant het</w:t>
      </w:r>
      <w:r w:rsidR="00416D24">
        <w:rPr>
          <w:color w:val="000000"/>
          <w:shd w:val="clear" w:color="auto" w:fill="FFFFFF"/>
        </w:rPr>
        <w:t>erogeneity in service provision</w:t>
      </w:r>
      <w:r w:rsidR="007D7265">
        <w:rPr>
          <w:color w:val="000000"/>
          <w:shd w:val="clear" w:color="auto" w:fill="FFFFFF"/>
        </w:rPr>
        <w:t>.</w:t>
      </w:r>
      <w:r w:rsidR="00416D24">
        <w:rPr>
          <w:color w:val="000000"/>
          <w:shd w:val="clear" w:color="auto" w:fill="FFFFFF"/>
        </w:rPr>
        <w:t xml:space="preserve"> </w:t>
      </w:r>
      <w:r w:rsidR="007D7265">
        <w:rPr>
          <w:color w:val="000000"/>
          <w:shd w:val="clear" w:color="auto" w:fill="FFFFFF"/>
        </w:rPr>
        <w:t xml:space="preserve">This suggests </w:t>
      </w:r>
      <w:r w:rsidR="00DD4A5E">
        <w:rPr>
          <w:color w:val="000000"/>
          <w:shd w:val="clear" w:color="auto" w:fill="FFFFFF"/>
        </w:rPr>
        <w:t>that a single framework with set criteria was able to benchmark services across healthcare systems worldwide</w:t>
      </w:r>
      <w:r w:rsidR="00983336">
        <w:rPr>
          <w:color w:val="000000"/>
          <w:shd w:val="clear" w:color="auto" w:fill="FFFFFF"/>
        </w:rPr>
        <w:t xml:space="preserve"> </w:t>
      </w:r>
      <w:r w:rsidR="00983336">
        <w:rPr>
          <w:color w:val="000000"/>
          <w:shd w:val="clear" w:color="auto" w:fill="FFFFFF"/>
        </w:rPr>
        <w:fldChar w:fldCharType="begin"/>
      </w:r>
      <w:r w:rsidR="00983336">
        <w:rPr>
          <w:color w:val="000000"/>
          <w:shd w:val="clear" w:color="auto" w:fill="FFFFFF"/>
        </w:rPr>
        <w:instrText xml:space="preserve"> ADDIN EN.CITE &lt;EndNote&gt;&lt;Cite&gt;&lt;Author&gt;Javaid&lt;/Author&gt;&lt;Year&gt;2015&lt;/Year&gt;&lt;RecNum&gt;286&lt;/RecNum&gt;&lt;DisplayText&gt;[26]&lt;/DisplayText&gt;&lt;record&gt;&lt;rec-number&gt;286&lt;/rec-number&gt;&lt;foreign-keys&gt;&lt;key app="EN" db-id="xp2sx5aahpsveaea2zq5s2xsef9d0fsxsxex" timestamp="1586950408"&gt;286&lt;/key&gt;&lt;/foreign-keys&gt;&lt;ref-type name="Journal Article"&gt;17&lt;/ref-type&gt;&lt;contributors&gt;&lt;authors&gt;&lt;author&gt;Javaid, MK&lt;/author&gt;&lt;author&gt;Kyer, C&lt;/author&gt;&lt;author&gt;Mitchell, PJ&lt;/author&gt;&lt;author&gt;Chana, J&lt;/author&gt;&lt;author&gt;Moss, C&lt;/author&gt;&lt;author&gt;Edwards, MH&lt;/author&gt;&lt;author&gt;McLellan, AR&lt;/author&gt;&lt;author&gt;Stenmark, J&lt;/author&gt;&lt;author&gt;Pierroz, DD&lt;/author&gt;&lt;author&gt;Schneider, MC&lt;/author&gt;&lt;author&gt;Kanis, JA&lt;/author&gt;&lt;author&gt;Akesson, K&lt;/author&gt;&lt;author&gt;Cooper, C&lt;/author&gt;&lt;/authors&gt;&lt;/contributors&gt;&lt;titles&gt;&lt;title&gt;Effective secondary fracture prevention: implementation of a global benchmarking of clinical quality using the IOF Capture the Fracture® Best Practice Framework tool&lt;/title&gt;&lt;secondary-title&gt;Osteoporos Int.&lt;/secondary-title&gt;&lt;/titles&gt;&lt;periodical&gt;&lt;full-title&gt;Osteoporos Int.&lt;/full-title&gt;&lt;/periodical&gt;&lt;pages&gt;2573-2578&lt;/pages&gt;&lt;volume&gt;26&lt;/volume&gt;&lt;number&gt;11&lt;/number&gt;&lt;dates&gt;&lt;year&gt;2015&lt;/year&gt;&lt;/dates&gt;&lt;isbn&gt;0937-941X&lt;/isbn&gt;&lt;urls&gt;&lt;/urls&gt;&lt;/record&gt;&lt;/Cite&gt;&lt;/EndNote&gt;</w:instrText>
      </w:r>
      <w:r w:rsidR="00983336">
        <w:rPr>
          <w:color w:val="000000"/>
          <w:shd w:val="clear" w:color="auto" w:fill="FFFFFF"/>
        </w:rPr>
        <w:fldChar w:fldCharType="separate"/>
      </w:r>
      <w:r w:rsidR="00983336">
        <w:rPr>
          <w:noProof/>
          <w:color w:val="000000"/>
          <w:shd w:val="clear" w:color="auto" w:fill="FFFFFF"/>
        </w:rPr>
        <w:t>[26]</w:t>
      </w:r>
      <w:r w:rsidR="00983336">
        <w:rPr>
          <w:color w:val="000000"/>
          <w:shd w:val="clear" w:color="auto" w:fill="FFFFFF"/>
        </w:rPr>
        <w:fldChar w:fldCharType="end"/>
      </w:r>
      <w:r w:rsidR="00040919">
        <w:rPr>
          <w:color w:val="000000"/>
          <w:shd w:val="clear" w:color="auto" w:fill="FFFFFF"/>
        </w:rPr>
        <w:t>.</w:t>
      </w:r>
      <w:r w:rsidR="001D4053">
        <w:rPr>
          <w:color w:val="000000"/>
          <w:shd w:val="clear" w:color="auto" w:fill="FFFFFF"/>
        </w:rPr>
        <w:t xml:space="preserve"> </w:t>
      </w:r>
      <w:r w:rsidR="00106B1F" w:rsidRPr="00106B1F">
        <w:rPr>
          <w:color w:val="000000"/>
          <w:shd w:val="clear" w:color="auto" w:fill="FFFFFF"/>
        </w:rPr>
        <w:t xml:space="preserve">The findings of the current study </w:t>
      </w:r>
      <w:r w:rsidR="00106B1F">
        <w:rPr>
          <w:color w:val="000000"/>
          <w:shd w:val="clear" w:color="auto" w:fill="FFFFFF"/>
        </w:rPr>
        <w:t>suggest</w:t>
      </w:r>
      <w:r w:rsidR="00106B1F" w:rsidRPr="00106B1F">
        <w:rPr>
          <w:color w:val="000000"/>
          <w:shd w:val="clear" w:color="auto" w:fill="FFFFFF"/>
        </w:rPr>
        <w:t xml:space="preserve"> </w:t>
      </w:r>
      <w:r w:rsidR="00DC680E" w:rsidRPr="00106B1F">
        <w:rPr>
          <w:color w:val="000000"/>
          <w:shd w:val="clear" w:color="auto" w:fill="FFFFFF"/>
        </w:rPr>
        <w:t>heterogeneity in</w:t>
      </w:r>
      <w:r w:rsidR="00106B1F" w:rsidRPr="00106B1F">
        <w:rPr>
          <w:color w:val="000000"/>
          <w:shd w:val="clear" w:color="auto" w:fill="FFFFFF"/>
        </w:rPr>
        <w:t xml:space="preserve"> the quality of DXA services provided within the FLS global network, an area not specifically addressed within the CTF </w:t>
      </w:r>
      <w:r w:rsidR="00106B1F">
        <w:rPr>
          <w:color w:val="000000"/>
          <w:shd w:val="clear" w:color="auto" w:fill="FFFFFF"/>
        </w:rPr>
        <w:t>BPF</w:t>
      </w:r>
      <w:r w:rsidR="00106B1F" w:rsidRPr="00106B1F">
        <w:rPr>
          <w:color w:val="000000"/>
          <w:shd w:val="clear" w:color="auto" w:fill="FFFFFF"/>
        </w:rPr>
        <w:t xml:space="preserve">. This may benefit from establishing DXA quality indicators to further support the successes achieved through the CTF </w:t>
      </w:r>
      <w:r w:rsidR="00106B1F">
        <w:rPr>
          <w:color w:val="000000"/>
          <w:shd w:val="clear" w:color="auto" w:fill="FFFFFF"/>
        </w:rPr>
        <w:t>B</w:t>
      </w:r>
      <w:r w:rsidR="00802463">
        <w:rPr>
          <w:color w:val="000000"/>
          <w:shd w:val="clear" w:color="auto" w:fill="FFFFFF"/>
        </w:rPr>
        <w:t>PF</w:t>
      </w:r>
      <w:r w:rsidR="00106B1F" w:rsidRPr="00106B1F">
        <w:rPr>
          <w:color w:val="000000"/>
          <w:shd w:val="clear" w:color="auto" w:fill="FFFFFF"/>
        </w:rPr>
        <w:t>.</w:t>
      </w:r>
    </w:p>
    <w:p w14:paraId="22A3DEA3" w14:textId="35DDE179" w:rsidR="00765F71" w:rsidRPr="00C54518" w:rsidRDefault="00765F71" w:rsidP="00C8570F">
      <w:pPr>
        <w:spacing w:after="240" w:line="360" w:lineRule="auto"/>
        <w:rPr>
          <w:rFonts w:cs="Arial"/>
        </w:rPr>
      </w:pPr>
      <w:r>
        <w:rPr>
          <w:rFonts w:cs="Arial"/>
        </w:rPr>
        <w:t xml:space="preserve">This study has some limitations. </w:t>
      </w:r>
      <w:r w:rsidR="00DB38E3">
        <w:rPr>
          <w:rFonts w:cs="Arial"/>
        </w:rPr>
        <w:t xml:space="preserve">First, </w:t>
      </w:r>
      <w:r w:rsidR="00893486">
        <w:rPr>
          <w:rFonts w:cs="Arial"/>
        </w:rPr>
        <w:t>fewer</w:t>
      </w:r>
      <w:r>
        <w:rPr>
          <w:rFonts w:cs="Arial"/>
        </w:rPr>
        <w:t xml:space="preserve"> countries in parts of Africa and Asia were represented </w:t>
      </w:r>
      <w:r w:rsidR="000540A1">
        <w:rPr>
          <w:rFonts w:cs="Arial"/>
        </w:rPr>
        <w:t>in this survey</w:t>
      </w:r>
      <w:r w:rsidR="009B498C">
        <w:rPr>
          <w:rFonts w:cs="Arial"/>
        </w:rPr>
        <w:t xml:space="preserve"> and</w:t>
      </w:r>
      <w:r>
        <w:rPr>
          <w:rFonts w:cs="Arial"/>
        </w:rPr>
        <w:t xml:space="preserve"> 21% of FLS were from a single country (Spain). </w:t>
      </w:r>
      <w:r w:rsidR="005A0760" w:rsidRPr="005A0760">
        <w:rPr>
          <w:rFonts w:cs="Arial"/>
        </w:rPr>
        <w:t>Although the opportunity to explore variation within countries was limited, those for which more than 6 centres were available (Spain, Taiwan, UK and Japan) did reveal heterogeneity in response</w:t>
      </w:r>
      <w:r w:rsidR="00D32FEA">
        <w:rPr>
          <w:rFonts w:cs="Arial"/>
        </w:rPr>
        <w:t>s</w:t>
      </w:r>
      <w:r w:rsidR="005A0760" w:rsidRPr="005A0760">
        <w:rPr>
          <w:rFonts w:cs="Arial"/>
        </w:rPr>
        <w:t>, particularly in DXA request frequency and testing interval.</w:t>
      </w:r>
      <w:r w:rsidR="005A0760">
        <w:rPr>
          <w:rFonts w:cs="Arial"/>
        </w:rPr>
        <w:t xml:space="preserve"> </w:t>
      </w:r>
      <w:r w:rsidR="00DB38E3" w:rsidRPr="00DB38E3">
        <w:rPr>
          <w:rFonts w:cs="Arial"/>
        </w:rPr>
        <w:t>Second, we were unable to externally verify the details of an institution’s submission and</w:t>
      </w:r>
      <w:r w:rsidR="007B2C90">
        <w:rPr>
          <w:rFonts w:cs="Arial"/>
        </w:rPr>
        <w:t>,</w:t>
      </w:r>
      <w:r w:rsidR="00DB38E3">
        <w:rPr>
          <w:rFonts w:cs="Arial"/>
        </w:rPr>
        <w:t xml:space="preserve"> therefore</w:t>
      </w:r>
      <w:r w:rsidR="007B2C90">
        <w:rPr>
          <w:rFonts w:cs="Arial"/>
        </w:rPr>
        <w:t>,</w:t>
      </w:r>
      <w:r w:rsidR="00DB38E3" w:rsidRPr="00DB38E3">
        <w:rPr>
          <w:rFonts w:cs="Arial"/>
        </w:rPr>
        <w:t xml:space="preserve"> relied on the individual institutions to properly complete the questionnaire. </w:t>
      </w:r>
      <w:r>
        <w:rPr>
          <w:rFonts w:cs="Arial"/>
        </w:rPr>
        <w:t xml:space="preserve">However, a key strength of this global study is that </w:t>
      </w:r>
      <w:r w:rsidR="000540A1">
        <w:rPr>
          <w:rFonts w:cs="Arial"/>
        </w:rPr>
        <w:t xml:space="preserve">FLS from 31 countries and all </w:t>
      </w:r>
      <w:r w:rsidR="005A0760">
        <w:rPr>
          <w:rFonts w:cs="Arial"/>
        </w:rPr>
        <w:t xml:space="preserve">inhabited </w:t>
      </w:r>
      <w:r w:rsidR="000540A1">
        <w:rPr>
          <w:rFonts w:cs="Arial"/>
        </w:rPr>
        <w:t>continents were included</w:t>
      </w:r>
      <w:r>
        <w:rPr>
          <w:rFonts w:cs="Arial"/>
        </w:rPr>
        <w:t>.</w:t>
      </w:r>
      <w:r w:rsidR="006F0CC5">
        <w:rPr>
          <w:rFonts w:cs="Arial"/>
        </w:rPr>
        <w:t xml:space="preserve"> Third, for the question on how often the quality of a DXA report is questioned, </w:t>
      </w:r>
      <w:r w:rsidR="006F0CC5" w:rsidRPr="006F0CC5">
        <w:rPr>
          <w:rFonts w:cs="Arial"/>
        </w:rPr>
        <w:t xml:space="preserve">it was not possible to know who </w:t>
      </w:r>
      <w:r w:rsidR="006F0CC5">
        <w:rPr>
          <w:rFonts w:cs="Arial"/>
        </w:rPr>
        <w:t>questioned</w:t>
      </w:r>
      <w:r w:rsidR="006F0CC5" w:rsidRPr="006F0CC5">
        <w:rPr>
          <w:rFonts w:cs="Arial"/>
        </w:rPr>
        <w:t xml:space="preserve"> the report </w:t>
      </w:r>
      <w:r w:rsidR="006F0CC5">
        <w:rPr>
          <w:rFonts w:cs="Arial"/>
        </w:rPr>
        <w:t>and any impact of this on clinical care</w:t>
      </w:r>
      <w:r w:rsidR="006F0CC5" w:rsidRPr="006F0CC5">
        <w:rPr>
          <w:rFonts w:cs="Arial"/>
        </w:rPr>
        <w:t>.</w:t>
      </w:r>
      <w:r w:rsidR="006F0CC5">
        <w:rPr>
          <w:rFonts w:cs="Arial"/>
        </w:rPr>
        <w:t xml:space="preserve"> Fourth, t</w:t>
      </w:r>
      <w:r w:rsidR="006F0CC5" w:rsidRPr="006F0CC5">
        <w:rPr>
          <w:rFonts w:cs="Arial"/>
        </w:rPr>
        <w:t xml:space="preserve">rabecular bone score was unfortunately not able to be included in the initial questionnaire and its use in the </w:t>
      </w:r>
      <w:r w:rsidR="006F0CC5" w:rsidRPr="00E80B12">
        <w:rPr>
          <w:rFonts w:cs="Arial"/>
        </w:rPr>
        <w:t>FRAX®</w:t>
      </w:r>
      <w:r w:rsidR="006F0CC5" w:rsidRPr="006F0CC5">
        <w:rPr>
          <w:rFonts w:cs="Arial"/>
        </w:rPr>
        <w:t xml:space="preserve"> risk calculator therefore remains unknown</w:t>
      </w:r>
      <w:r w:rsidR="006F0CC5" w:rsidRPr="00D32FEA">
        <w:rPr>
          <w:rFonts w:cs="Arial"/>
        </w:rPr>
        <w:t>.</w:t>
      </w:r>
      <w:r w:rsidR="00015271" w:rsidRPr="00D32FEA">
        <w:rPr>
          <w:rFonts w:cs="Arial"/>
        </w:rPr>
        <w:t xml:space="preserve"> </w:t>
      </w:r>
      <w:r w:rsidR="00015271" w:rsidRPr="00D32FEA">
        <w:rPr>
          <w:rFonts w:cstheme="minorHAnsi"/>
        </w:rPr>
        <w:t>Fifth, for questions about the DXA service provider, it was not possible to know whether staff at the FLS facility or DXA facility provided responses.</w:t>
      </w:r>
      <w:r w:rsidR="00015271" w:rsidRPr="00D32FEA">
        <w:rPr>
          <w:rFonts w:cs="Arial"/>
        </w:rPr>
        <w:t xml:space="preserve"> </w:t>
      </w:r>
      <w:r w:rsidR="00015271">
        <w:rPr>
          <w:rFonts w:cs="Arial"/>
        </w:rPr>
        <w:t>Finally</w:t>
      </w:r>
      <w:r w:rsidR="008E27A9">
        <w:rPr>
          <w:rFonts w:cs="Arial"/>
        </w:rPr>
        <w:t>, bias may have been introduced due to</w:t>
      </w:r>
      <w:r w:rsidR="007C173F">
        <w:rPr>
          <w:rFonts w:cs="Arial"/>
        </w:rPr>
        <w:t xml:space="preserve"> the level of non-response to questionnaires from FLS centres, potentially resulting in an overrepresentation of higher performance facilities which may limit the generalisability of findings. </w:t>
      </w:r>
      <w:r w:rsidR="00300C42" w:rsidRPr="00300C42">
        <w:rPr>
          <w:rFonts w:cs="Arial"/>
        </w:rPr>
        <w:t xml:space="preserve">However, this would suggest that our </w:t>
      </w:r>
      <w:r w:rsidR="001E070C">
        <w:rPr>
          <w:rFonts w:cs="Arial"/>
        </w:rPr>
        <w:t xml:space="preserve">key </w:t>
      </w:r>
      <w:r w:rsidR="00300C42" w:rsidRPr="00300C42">
        <w:rPr>
          <w:rFonts w:cs="Arial"/>
        </w:rPr>
        <w:t xml:space="preserve">findings of significant variability in access to, and quality of, DXA services and the high number of centres falling short of quality standards </w:t>
      </w:r>
      <w:r w:rsidR="001E070C">
        <w:rPr>
          <w:rFonts w:cs="Arial"/>
        </w:rPr>
        <w:t>are even greater than reported.</w:t>
      </w:r>
      <w:r w:rsidR="00904F07">
        <w:rPr>
          <w:rFonts w:cs="Arial"/>
        </w:rPr>
        <w:t xml:space="preserve"> </w:t>
      </w:r>
      <w:r>
        <w:rPr>
          <w:rFonts w:cs="Arial"/>
        </w:rPr>
        <w:t xml:space="preserve">Although some </w:t>
      </w:r>
      <w:r w:rsidR="007D56FB">
        <w:rPr>
          <w:rFonts w:cs="Arial"/>
        </w:rPr>
        <w:t>questions</w:t>
      </w:r>
      <w:r>
        <w:rPr>
          <w:rFonts w:cs="Arial"/>
        </w:rPr>
        <w:t xml:space="preserve"> </w:t>
      </w:r>
      <w:r w:rsidR="007D56FB">
        <w:rPr>
          <w:rFonts w:cs="Arial"/>
        </w:rPr>
        <w:t>had</w:t>
      </w:r>
      <w:r>
        <w:rPr>
          <w:rFonts w:cs="Arial"/>
        </w:rPr>
        <w:t xml:space="preserve"> a high number of non-responses</w:t>
      </w:r>
      <w:r w:rsidR="00904F07" w:rsidRPr="00904F07">
        <w:t xml:space="preserve"> </w:t>
      </w:r>
      <w:r w:rsidR="00904F07">
        <w:rPr>
          <w:rFonts w:cs="Arial"/>
        </w:rPr>
        <w:t>a</w:t>
      </w:r>
      <w:r w:rsidR="00904F07" w:rsidRPr="00904F07">
        <w:rPr>
          <w:rFonts w:cs="Arial"/>
        </w:rPr>
        <w:t>mong the FLS centres that were included in the analysis</w:t>
      </w:r>
      <w:r>
        <w:rPr>
          <w:rFonts w:cs="Arial"/>
        </w:rPr>
        <w:t xml:space="preserve">, </w:t>
      </w:r>
      <w:proofErr w:type="gramStart"/>
      <w:r w:rsidR="000540A1">
        <w:rPr>
          <w:rFonts w:cs="Arial"/>
        </w:rPr>
        <w:t>the majority of</w:t>
      </w:r>
      <w:proofErr w:type="gramEnd"/>
      <w:r w:rsidR="000540A1">
        <w:rPr>
          <w:rFonts w:cs="Arial"/>
        </w:rPr>
        <w:t xml:space="preserve"> questions had a low non-response rate.</w:t>
      </w:r>
    </w:p>
    <w:p w14:paraId="03A0E6B0" w14:textId="52D19049" w:rsidR="009F4B9C" w:rsidRDefault="009F4B9C" w:rsidP="00C8570F">
      <w:pPr>
        <w:spacing w:after="240" w:line="360" w:lineRule="auto"/>
        <w:rPr>
          <w:rFonts w:cs="Arial"/>
        </w:rPr>
      </w:pPr>
      <w:r>
        <w:rPr>
          <w:rFonts w:cs="Arial"/>
        </w:rPr>
        <w:t>In conclusion</w:t>
      </w:r>
      <w:r w:rsidR="007B2C90">
        <w:rPr>
          <w:rFonts w:cs="Arial"/>
        </w:rPr>
        <w:t>,</w:t>
      </w:r>
      <w:r>
        <w:rPr>
          <w:rFonts w:cs="Arial"/>
        </w:rPr>
        <w:t xml:space="preserve"> our report confirms that there </w:t>
      </w:r>
      <w:r w:rsidR="007B2C90">
        <w:rPr>
          <w:rFonts w:cs="Arial"/>
        </w:rPr>
        <w:t>is</w:t>
      </w:r>
      <w:r w:rsidRPr="00B075FD">
        <w:rPr>
          <w:rFonts w:cs="Arial"/>
        </w:rPr>
        <w:t xml:space="preserve"> significant variability in the access to</w:t>
      </w:r>
      <w:r w:rsidR="007D7265">
        <w:rPr>
          <w:rFonts w:cs="Arial"/>
        </w:rPr>
        <w:t>,</w:t>
      </w:r>
      <w:r w:rsidRPr="00B075FD">
        <w:rPr>
          <w:rFonts w:cs="Arial"/>
        </w:rPr>
        <w:t xml:space="preserve"> and quality of</w:t>
      </w:r>
      <w:r w:rsidR="007D7265">
        <w:rPr>
          <w:rFonts w:cs="Arial"/>
        </w:rPr>
        <w:t>,</w:t>
      </w:r>
      <w:r w:rsidRPr="00B075FD">
        <w:rPr>
          <w:rFonts w:cs="Arial"/>
        </w:rPr>
        <w:t xml:space="preserve"> DXA services worldwide</w:t>
      </w:r>
      <w:r>
        <w:rPr>
          <w:rFonts w:cs="Arial"/>
        </w:rPr>
        <w:t>.</w:t>
      </w:r>
      <w:r w:rsidR="00106B1F" w:rsidRPr="00106B1F">
        <w:t xml:space="preserve"> </w:t>
      </w:r>
      <w:r w:rsidR="00106B1F" w:rsidRPr="00106B1F">
        <w:rPr>
          <w:rFonts w:cs="Arial"/>
        </w:rPr>
        <w:t>To improve osteoporosis care, strategies are required to reduce this variability</w:t>
      </w:r>
      <w:r w:rsidR="00210C6E" w:rsidRPr="00106B1F">
        <w:rPr>
          <w:rFonts w:cs="Arial"/>
        </w:rPr>
        <w:t>.</w:t>
      </w:r>
      <w:r w:rsidR="00210C6E">
        <w:rPr>
          <w:rFonts w:cs="Arial"/>
        </w:rPr>
        <w:t xml:space="preserve"> </w:t>
      </w:r>
      <w:r w:rsidR="00106B1F" w:rsidRPr="00106B1F">
        <w:rPr>
          <w:rFonts w:cs="Arial"/>
        </w:rPr>
        <w:t>This could be</w:t>
      </w:r>
      <w:r w:rsidR="007D0357">
        <w:rPr>
          <w:rFonts w:cs="Arial"/>
        </w:rPr>
        <w:t xml:space="preserve"> achieved through defining CTF </w:t>
      </w:r>
      <w:r w:rsidR="00106B1F" w:rsidRPr="00106B1F">
        <w:rPr>
          <w:rFonts w:cs="Arial"/>
        </w:rPr>
        <w:t>BPF standards for DXA quality with ongoing training and assessment, building on the educational collaboration between the IOF and ISCD</w:t>
      </w:r>
      <w:r w:rsidR="00210C6E" w:rsidRPr="00106B1F">
        <w:rPr>
          <w:rFonts w:cs="Arial"/>
        </w:rPr>
        <w:t>.</w:t>
      </w:r>
      <w:r w:rsidR="00210C6E">
        <w:rPr>
          <w:rFonts w:cs="Arial"/>
        </w:rPr>
        <w:t xml:space="preserve"> </w:t>
      </w:r>
      <w:r w:rsidR="00106B1F" w:rsidRPr="00106B1F">
        <w:rPr>
          <w:rFonts w:cs="Arial"/>
        </w:rPr>
        <w:t xml:space="preserve">Such improvements are anticipated to create an even more robust and effective CTF network </w:t>
      </w:r>
      <w:proofErr w:type="gramStart"/>
      <w:r w:rsidR="00106B1F" w:rsidRPr="00106B1F">
        <w:rPr>
          <w:rFonts w:cs="Arial"/>
        </w:rPr>
        <w:t>worldwide, and</w:t>
      </w:r>
      <w:proofErr w:type="gramEnd"/>
      <w:r w:rsidR="00106B1F" w:rsidRPr="00106B1F">
        <w:rPr>
          <w:rFonts w:cs="Arial"/>
        </w:rPr>
        <w:t xml:space="preserve"> strengthen the mission of improving skeletal health around the globe.</w:t>
      </w:r>
    </w:p>
    <w:p w14:paraId="7D3D8DA2" w14:textId="77777777" w:rsidR="00CD6CFA" w:rsidRDefault="00CD6CFA" w:rsidP="00C8570F">
      <w:pPr>
        <w:spacing w:after="240" w:line="360" w:lineRule="auto"/>
        <w:rPr>
          <w:rFonts w:cs="Arial"/>
          <w:b/>
        </w:rPr>
      </w:pPr>
    </w:p>
    <w:p w14:paraId="6D5B641C" w14:textId="661C85B3" w:rsidR="00181029" w:rsidRDefault="00185A34" w:rsidP="00C8570F">
      <w:pPr>
        <w:spacing w:after="240" w:line="360" w:lineRule="auto"/>
        <w:rPr>
          <w:rFonts w:cs="Arial"/>
          <w:b/>
        </w:rPr>
      </w:pPr>
      <w:r>
        <w:rPr>
          <w:rFonts w:cs="Arial"/>
          <w:b/>
        </w:rPr>
        <w:lastRenderedPageBreak/>
        <w:t>Acknowledgments</w:t>
      </w:r>
    </w:p>
    <w:p w14:paraId="660D7DEA" w14:textId="74E8F2B2" w:rsidR="000D3DA3" w:rsidRDefault="000D3DA3" w:rsidP="00C8570F">
      <w:pPr>
        <w:spacing w:after="240" w:line="360" w:lineRule="auto"/>
        <w:rPr>
          <w:rFonts w:cs="Arial"/>
          <w:b/>
        </w:rPr>
      </w:pPr>
      <w:r>
        <w:rPr>
          <w:rFonts w:cs="Arial"/>
          <w:b/>
        </w:rPr>
        <w:t>Funding information</w:t>
      </w:r>
    </w:p>
    <w:p w14:paraId="27B38110" w14:textId="4D6B4F9A" w:rsidR="000D3DA3" w:rsidRDefault="00CF0943" w:rsidP="00C8570F">
      <w:pPr>
        <w:spacing w:after="240" w:line="360" w:lineRule="auto"/>
        <w:rPr>
          <w:rFonts w:cs="Arial"/>
          <w:b/>
        </w:rPr>
      </w:pPr>
      <w:r w:rsidRPr="00CF0943">
        <w:rPr>
          <w:rFonts w:cs="Arial"/>
        </w:rPr>
        <w:t>This study was funded by the following organisations: International Society for Clinical Densitometry; International Osteoporosis Foundation; UK Medical Research Council; University of Southampton.</w:t>
      </w:r>
    </w:p>
    <w:p w14:paraId="2C6B19F5" w14:textId="77777777" w:rsidR="000D3DA3" w:rsidRDefault="000D3DA3" w:rsidP="00C8570F">
      <w:pPr>
        <w:spacing w:after="240" w:line="360" w:lineRule="auto"/>
        <w:rPr>
          <w:rFonts w:cs="Arial"/>
          <w:b/>
        </w:rPr>
      </w:pPr>
    </w:p>
    <w:p w14:paraId="67E12B5D" w14:textId="0D60B197" w:rsidR="00AA3350" w:rsidRDefault="00F92A68" w:rsidP="00C8570F">
      <w:pPr>
        <w:spacing w:after="240" w:line="360" w:lineRule="auto"/>
        <w:rPr>
          <w:rFonts w:cs="Arial"/>
          <w:b/>
        </w:rPr>
      </w:pPr>
      <w:r>
        <w:rPr>
          <w:rFonts w:cs="Arial"/>
          <w:b/>
        </w:rPr>
        <w:t xml:space="preserve">Compliance with </w:t>
      </w:r>
      <w:r w:rsidR="000D3DA3">
        <w:rPr>
          <w:rFonts w:cs="Arial"/>
          <w:b/>
        </w:rPr>
        <w:t>Ethical S</w:t>
      </w:r>
      <w:r w:rsidRPr="00026FE2">
        <w:rPr>
          <w:rFonts w:cs="Arial"/>
          <w:b/>
        </w:rPr>
        <w:t>tandards</w:t>
      </w:r>
    </w:p>
    <w:p w14:paraId="5189A17B" w14:textId="77777777" w:rsidR="006C183C" w:rsidRPr="006C183C" w:rsidRDefault="006C183C" w:rsidP="00C8570F">
      <w:pPr>
        <w:spacing w:after="240" w:line="360" w:lineRule="auto"/>
        <w:rPr>
          <w:rFonts w:cs="Arial"/>
          <w:b/>
        </w:rPr>
      </w:pPr>
    </w:p>
    <w:p w14:paraId="2CEAC23C" w14:textId="49A9C239" w:rsidR="00AA3350" w:rsidRPr="00AA3350" w:rsidRDefault="00AA3350" w:rsidP="00C8570F">
      <w:pPr>
        <w:spacing w:after="240" w:line="360" w:lineRule="auto"/>
        <w:rPr>
          <w:rFonts w:cs="Arial"/>
          <w:b/>
        </w:rPr>
      </w:pPr>
      <w:r>
        <w:rPr>
          <w:rFonts w:cs="Arial"/>
          <w:b/>
        </w:rPr>
        <w:t>Human and Animal Rights</w:t>
      </w:r>
    </w:p>
    <w:p w14:paraId="38F6714F" w14:textId="7592A674" w:rsidR="00AA3350" w:rsidRDefault="00AA3350" w:rsidP="00C8570F">
      <w:pPr>
        <w:spacing w:after="240" w:line="360" w:lineRule="auto"/>
        <w:rPr>
          <w:sz w:val="21"/>
          <w:szCs w:val="21"/>
        </w:rPr>
      </w:pPr>
      <w:r w:rsidRPr="00AA3350">
        <w:rPr>
          <w:sz w:val="21"/>
          <w:szCs w:val="21"/>
        </w:rPr>
        <w:t>This article does not contain any studies with human participants or animals performed by any of the authors</w:t>
      </w:r>
      <w:r>
        <w:rPr>
          <w:sz w:val="21"/>
          <w:szCs w:val="21"/>
        </w:rPr>
        <w:t>.</w:t>
      </w:r>
    </w:p>
    <w:p w14:paraId="1608AB7A" w14:textId="77777777" w:rsidR="00E3022A" w:rsidRPr="00E3022A" w:rsidRDefault="00E3022A" w:rsidP="00C8570F">
      <w:pPr>
        <w:spacing w:after="240" w:line="360" w:lineRule="auto"/>
        <w:rPr>
          <w:sz w:val="21"/>
          <w:szCs w:val="21"/>
        </w:rPr>
      </w:pPr>
    </w:p>
    <w:p w14:paraId="2180930E" w14:textId="4311D5E9" w:rsidR="00AA3350" w:rsidRPr="00F92A68" w:rsidRDefault="00F92A68" w:rsidP="00C8570F">
      <w:pPr>
        <w:spacing w:after="240" w:line="360" w:lineRule="auto"/>
        <w:rPr>
          <w:rFonts w:cs="Arial"/>
          <w:b/>
        </w:rPr>
      </w:pPr>
      <w:r w:rsidRPr="00026FE2">
        <w:rPr>
          <w:rFonts w:cs="Arial"/>
          <w:b/>
        </w:rPr>
        <w:t xml:space="preserve">Conflicts of </w:t>
      </w:r>
      <w:r>
        <w:rPr>
          <w:rFonts w:cs="Arial"/>
          <w:b/>
        </w:rPr>
        <w:t>I</w:t>
      </w:r>
      <w:r w:rsidRPr="00026FE2">
        <w:rPr>
          <w:rFonts w:cs="Arial"/>
          <w:b/>
        </w:rPr>
        <w:t>nterest</w:t>
      </w:r>
    </w:p>
    <w:p w14:paraId="529AF4F9" w14:textId="462D9E65" w:rsidR="00181029" w:rsidRDefault="00F92A68" w:rsidP="00C8570F">
      <w:pPr>
        <w:spacing w:after="240" w:line="360" w:lineRule="auto"/>
        <w:rPr>
          <w:sz w:val="21"/>
          <w:szCs w:val="21"/>
        </w:rPr>
      </w:pPr>
      <w:r w:rsidRPr="00E3022A">
        <w:rPr>
          <w:sz w:val="21"/>
          <w:szCs w:val="21"/>
        </w:rPr>
        <w:t xml:space="preserve">MAC reports personal fees </w:t>
      </w:r>
      <w:r w:rsidR="00396497" w:rsidRPr="00E3022A">
        <w:rPr>
          <w:sz w:val="21"/>
          <w:szCs w:val="21"/>
        </w:rPr>
        <w:t xml:space="preserve">(outside the submitted work) </w:t>
      </w:r>
      <w:r w:rsidRPr="00E3022A">
        <w:rPr>
          <w:sz w:val="21"/>
          <w:szCs w:val="21"/>
        </w:rPr>
        <w:t xml:space="preserve">from UCB, Pfizer, and Eli Lilly for conference attendance; CC reports personal fees (outside the submitted work) from </w:t>
      </w:r>
      <w:r w:rsidR="003733F5" w:rsidRPr="00E3022A">
        <w:rPr>
          <w:sz w:val="21"/>
          <w:szCs w:val="21"/>
        </w:rPr>
        <w:t>Amgen, Danone, Eli Lilly, GSK, Kyowa Kirin, Medtronic, Merck, Nestle, Novartis, Pfizer</w:t>
      </w:r>
      <w:r w:rsidR="0009442E">
        <w:rPr>
          <w:sz w:val="21"/>
          <w:szCs w:val="21"/>
        </w:rPr>
        <w:t xml:space="preserve">, Roche, </w:t>
      </w:r>
      <w:proofErr w:type="spellStart"/>
      <w:r w:rsidR="0009442E">
        <w:rPr>
          <w:sz w:val="21"/>
          <w:szCs w:val="21"/>
        </w:rPr>
        <w:t>Servier</w:t>
      </w:r>
      <w:proofErr w:type="spellEnd"/>
      <w:r w:rsidR="0009442E">
        <w:rPr>
          <w:sz w:val="21"/>
          <w:szCs w:val="21"/>
        </w:rPr>
        <w:t>, Shire, Takeda and</w:t>
      </w:r>
      <w:r w:rsidR="003733F5" w:rsidRPr="00E3022A">
        <w:rPr>
          <w:sz w:val="21"/>
          <w:szCs w:val="21"/>
        </w:rPr>
        <w:t xml:space="preserve"> UCB. </w:t>
      </w:r>
      <w:r w:rsidRPr="00E3022A">
        <w:rPr>
          <w:sz w:val="21"/>
          <w:szCs w:val="21"/>
        </w:rPr>
        <w:t>EMD reports personal fees (outside the submitted work) from Pfizer Healthcare and from the UCB Discussion panel.</w:t>
      </w:r>
      <w:r w:rsidRPr="00E3022A">
        <w:t xml:space="preserve"> </w:t>
      </w:r>
      <w:r w:rsidRPr="00E3022A">
        <w:rPr>
          <w:sz w:val="21"/>
          <w:szCs w:val="21"/>
        </w:rPr>
        <w:t xml:space="preserve">NCH reports consultancy, lecture fees and honoraria </w:t>
      </w:r>
      <w:r w:rsidR="003733F5" w:rsidRPr="00E3022A">
        <w:rPr>
          <w:sz w:val="21"/>
          <w:szCs w:val="21"/>
        </w:rPr>
        <w:t xml:space="preserve">(outside the submitted work) </w:t>
      </w:r>
      <w:r w:rsidRPr="00E3022A">
        <w:rPr>
          <w:sz w:val="21"/>
          <w:szCs w:val="21"/>
        </w:rPr>
        <w:t xml:space="preserve">from Alliance for Better Bone Health, AMGEN, MSD, Eli Lilly, </w:t>
      </w:r>
      <w:proofErr w:type="spellStart"/>
      <w:r w:rsidRPr="00E3022A">
        <w:rPr>
          <w:sz w:val="21"/>
          <w:szCs w:val="21"/>
        </w:rPr>
        <w:t>Servier</w:t>
      </w:r>
      <w:proofErr w:type="spellEnd"/>
      <w:r w:rsidRPr="00E3022A">
        <w:rPr>
          <w:sz w:val="21"/>
          <w:szCs w:val="21"/>
        </w:rPr>
        <w:t xml:space="preserve">, Shire, UCB, Kyowa Kirin, </w:t>
      </w:r>
      <w:proofErr w:type="spellStart"/>
      <w:r w:rsidRPr="00E3022A">
        <w:rPr>
          <w:sz w:val="21"/>
          <w:szCs w:val="21"/>
        </w:rPr>
        <w:t>Consilient</w:t>
      </w:r>
      <w:proofErr w:type="spellEnd"/>
      <w:r w:rsidRPr="00E3022A">
        <w:rPr>
          <w:sz w:val="21"/>
          <w:szCs w:val="21"/>
        </w:rPr>
        <w:t xml:space="preserve"> Healthcare, Radius Health and </w:t>
      </w:r>
      <w:proofErr w:type="spellStart"/>
      <w:r w:rsidRPr="00E3022A">
        <w:rPr>
          <w:sz w:val="21"/>
          <w:szCs w:val="21"/>
        </w:rPr>
        <w:t>Internis</w:t>
      </w:r>
      <w:proofErr w:type="spellEnd"/>
      <w:r w:rsidRPr="00E3022A">
        <w:rPr>
          <w:sz w:val="21"/>
          <w:szCs w:val="21"/>
        </w:rPr>
        <w:t xml:space="preserve"> Pharma.</w:t>
      </w:r>
      <w:r w:rsidRPr="00E3022A">
        <w:t xml:space="preserve"> </w:t>
      </w:r>
      <w:r w:rsidRPr="00E3022A">
        <w:rPr>
          <w:sz w:val="21"/>
          <w:szCs w:val="21"/>
        </w:rPr>
        <w:t xml:space="preserve">JAK reports grants </w:t>
      </w:r>
      <w:r w:rsidR="000C56AB" w:rsidRPr="00E3022A">
        <w:rPr>
          <w:sz w:val="21"/>
          <w:szCs w:val="21"/>
        </w:rPr>
        <w:t xml:space="preserve">(outside the submitted work) </w:t>
      </w:r>
      <w:r w:rsidRPr="00E3022A">
        <w:rPr>
          <w:sz w:val="21"/>
          <w:szCs w:val="21"/>
        </w:rPr>
        <w:t>from Radius Health, Amgen</w:t>
      </w:r>
      <w:r w:rsidR="000C56AB" w:rsidRPr="00E3022A">
        <w:rPr>
          <w:sz w:val="21"/>
          <w:szCs w:val="21"/>
        </w:rPr>
        <w:t xml:space="preserve"> and UCB</w:t>
      </w:r>
      <w:r w:rsidRPr="00E3022A">
        <w:rPr>
          <w:sz w:val="21"/>
          <w:szCs w:val="21"/>
        </w:rPr>
        <w:t>.</w:t>
      </w:r>
      <w:r w:rsidR="005E2C07" w:rsidRPr="00E3022A">
        <w:rPr>
          <w:sz w:val="21"/>
          <w:szCs w:val="21"/>
        </w:rPr>
        <w:t xml:space="preserve"> </w:t>
      </w:r>
      <w:r w:rsidR="00622037" w:rsidRPr="00E3022A">
        <w:rPr>
          <w:sz w:val="21"/>
          <w:szCs w:val="21"/>
        </w:rPr>
        <w:t>CRS</w:t>
      </w:r>
      <w:r w:rsidR="005E2C07" w:rsidRPr="00E3022A">
        <w:rPr>
          <w:sz w:val="21"/>
          <w:szCs w:val="21"/>
        </w:rPr>
        <w:t xml:space="preserve"> </w:t>
      </w:r>
      <w:r w:rsidR="00E3022A" w:rsidRPr="00E3022A">
        <w:rPr>
          <w:sz w:val="21"/>
          <w:szCs w:val="21"/>
        </w:rPr>
        <w:t>reports</w:t>
      </w:r>
      <w:r w:rsidRPr="00E3022A">
        <w:rPr>
          <w:sz w:val="21"/>
          <w:szCs w:val="21"/>
        </w:rPr>
        <w:t xml:space="preserve"> </w:t>
      </w:r>
      <w:r w:rsidR="005E2C07" w:rsidRPr="00E3022A">
        <w:rPr>
          <w:sz w:val="21"/>
          <w:szCs w:val="21"/>
        </w:rPr>
        <w:t xml:space="preserve">Consultant for Amgen and President of the International Society for Clinical Densitometry (2019-2020). </w:t>
      </w:r>
      <w:r w:rsidRPr="00E3022A">
        <w:rPr>
          <w:sz w:val="21"/>
          <w:szCs w:val="21"/>
        </w:rPr>
        <w:t xml:space="preserve">All other authors </w:t>
      </w:r>
      <w:r w:rsidR="00E3022A" w:rsidRPr="00E3022A">
        <w:rPr>
          <w:sz w:val="21"/>
          <w:szCs w:val="21"/>
        </w:rPr>
        <w:t>declare that they have no conflicts of interest.</w:t>
      </w:r>
    </w:p>
    <w:p w14:paraId="40DD9124" w14:textId="77777777" w:rsidR="00E3022A" w:rsidRDefault="00E3022A" w:rsidP="00181029">
      <w:pPr>
        <w:spacing w:after="240" w:line="360" w:lineRule="auto"/>
        <w:jc w:val="both"/>
        <w:rPr>
          <w:rFonts w:cs="Arial"/>
          <w:b/>
        </w:rPr>
      </w:pPr>
    </w:p>
    <w:p w14:paraId="45835178" w14:textId="77777777" w:rsidR="00E6755E" w:rsidRDefault="00E6755E" w:rsidP="00181029">
      <w:pPr>
        <w:spacing w:after="240" w:line="360" w:lineRule="auto"/>
        <w:jc w:val="both"/>
        <w:rPr>
          <w:rFonts w:cs="Arial"/>
          <w:b/>
        </w:rPr>
      </w:pPr>
    </w:p>
    <w:p w14:paraId="59D94E32" w14:textId="77777777" w:rsidR="00E6755E" w:rsidRDefault="00E6755E" w:rsidP="00181029">
      <w:pPr>
        <w:spacing w:after="240" w:line="360" w:lineRule="auto"/>
        <w:jc w:val="both"/>
        <w:rPr>
          <w:rFonts w:cs="Arial"/>
          <w:b/>
        </w:rPr>
      </w:pPr>
    </w:p>
    <w:p w14:paraId="0099B9B2" w14:textId="77777777" w:rsidR="00E6755E" w:rsidRDefault="00E6755E" w:rsidP="00181029">
      <w:pPr>
        <w:spacing w:after="240" w:line="360" w:lineRule="auto"/>
        <w:jc w:val="both"/>
        <w:rPr>
          <w:rFonts w:cs="Arial"/>
          <w:b/>
        </w:rPr>
      </w:pPr>
    </w:p>
    <w:p w14:paraId="247599DD" w14:textId="77777777" w:rsidR="00E6755E" w:rsidRDefault="00E6755E" w:rsidP="00181029">
      <w:pPr>
        <w:spacing w:after="240" w:line="360" w:lineRule="auto"/>
        <w:jc w:val="both"/>
        <w:rPr>
          <w:rFonts w:cs="Arial"/>
          <w:b/>
        </w:rPr>
      </w:pPr>
    </w:p>
    <w:p w14:paraId="0442DA2A" w14:textId="1DB4DD95" w:rsidR="00F2500A" w:rsidRPr="00181029" w:rsidRDefault="0037424B" w:rsidP="00181029">
      <w:pPr>
        <w:spacing w:after="240" w:line="360" w:lineRule="auto"/>
        <w:jc w:val="both"/>
        <w:rPr>
          <w:sz w:val="21"/>
          <w:szCs w:val="21"/>
        </w:rPr>
      </w:pPr>
      <w:r w:rsidRPr="00C747A6">
        <w:rPr>
          <w:rFonts w:cs="Arial"/>
          <w:b/>
        </w:rPr>
        <w:lastRenderedPageBreak/>
        <w:t>References</w:t>
      </w:r>
    </w:p>
    <w:p w14:paraId="562555E6" w14:textId="77777777" w:rsidR="00D62EE4" w:rsidRPr="00D62EE4" w:rsidRDefault="008A12EB" w:rsidP="00D62EE4">
      <w:pPr>
        <w:pStyle w:val="EndNoteBibliography"/>
        <w:spacing w:after="0"/>
      </w:pPr>
      <w:r w:rsidRPr="00C747A6">
        <w:rPr>
          <w:rFonts w:ascii="Arial" w:hAnsi="Arial" w:cs="Arial"/>
          <w:noProof w:val="0"/>
          <w:lang w:val="en-GB"/>
        </w:rPr>
        <w:fldChar w:fldCharType="begin"/>
      </w:r>
      <w:r w:rsidR="00F2500A" w:rsidRPr="00C747A6">
        <w:rPr>
          <w:rFonts w:ascii="Arial" w:hAnsi="Arial" w:cs="Arial"/>
          <w:noProof w:val="0"/>
          <w:lang w:val="en-GB"/>
        </w:rPr>
        <w:instrText xml:space="preserve"> ADDIN EN.REFLIST </w:instrText>
      </w:r>
      <w:r w:rsidRPr="00C747A6">
        <w:rPr>
          <w:rFonts w:ascii="Arial" w:hAnsi="Arial" w:cs="Arial"/>
          <w:noProof w:val="0"/>
          <w:lang w:val="en-GB"/>
        </w:rPr>
        <w:fldChar w:fldCharType="separate"/>
      </w:r>
      <w:r w:rsidR="00D62EE4" w:rsidRPr="00D62EE4">
        <w:t>1.</w:t>
      </w:r>
      <w:r w:rsidR="00D62EE4" w:rsidRPr="00D62EE4">
        <w:tab/>
        <w:t>Johnell O, Kanis J (2006) An estimate of the worldwide prevalence and disability associated with osteoporotic fractures. Osteoporos Int 17:1726-1733</w:t>
      </w:r>
    </w:p>
    <w:p w14:paraId="22ABF9C5" w14:textId="77777777" w:rsidR="00D62EE4" w:rsidRPr="00D62EE4" w:rsidRDefault="00D62EE4" w:rsidP="00D62EE4">
      <w:pPr>
        <w:pStyle w:val="EndNoteBibliography"/>
        <w:spacing w:after="0"/>
      </w:pPr>
      <w:r w:rsidRPr="00D62EE4">
        <w:t>2.</w:t>
      </w:r>
      <w:r w:rsidRPr="00D62EE4">
        <w:tab/>
        <w:t>Hernlund E, Svedbom A, Ivergård M, Compston J, Cooper C, Stenmark J, McCloskey EV, Jönsson B, Kanis JA (2013) Osteoporosis in the European Union: medical management, epidemiology and economic burden. Arch Osteoporos 8:136</w:t>
      </w:r>
    </w:p>
    <w:p w14:paraId="3F6CD150" w14:textId="77777777" w:rsidR="00D62EE4" w:rsidRPr="00D62EE4" w:rsidRDefault="00D62EE4" w:rsidP="00D62EE4">
      <w:pPr>
        <w:pStyle w:val="EndNoteBibliography"/>
        <w:spacing w:after="0"/>
      </w:pPr>
      <w:r w:rsidRPr="00D62EE4">
        <w:t>3.</w:t>
      </w:r>
      <w:r w:rsidRPr="00D62EE4">
        <w:tab/>
        <w:t>Marshall D, Johnell O, Wedel H (1996) Meta-analysis of how well measures of bone mineral density predict occurrence of osteoporotic fractures. BMJ 312:1254-1259</w:t>
      </w:r>
    </w:p>
    <w:p w14:paraId="46394CCA" w14:textId="77777777" w:rsidR="00D62EE4" w:rsidRPr="00D62EE4" w:rsidRDefault="00D62EE4" w:rsidP="00D62EE4">
      <w:pPr>
        <w:pStyle w:val="EndNoteBibliography"/>
        <w:spacing w:after="0"/>
      </w:pPr>
      <w:r w:rsidRPr="00D62EE4">
        <w:t>4.</w:t>
      </w:r>
      <w:r w:rsidRPr="00D62EE4">
        <w:tab/>
        <w:t>Kanis J, Odén A, Johnell O, Johansson H, De Laet C, Brown J, Burckhardt P, Cooper C, Christiansen C, Cummings S, Eisman J, Fujiwara S, Glüer C, Goltzman D, Hans D, Krieg M, La Croix A, McCloskey E, Mellstrom D, Melton L, Pols H, Reeve J, Sanders K, Schott A, Silman A, Torgerson D, van Staa T, Watts N, Yoshimura N (2007) The use of clinical risk factors enhances the performance of BMD in the prediction of hip and osteoporotic fractures in men and women. Osteoporos Int 18:1033-1046</w:t>
      </w:r>
    </w:p>
    <w:p w14:paraId="04CE473F" w14:textId="77777777" w:rsidR="00D62EE4" w:rsidRPr="00D62EE4" w:rsidRDefault="00D62EE4" w:rsidP="00D62EE4">
      <w:pPr>
        <w:pStyle w:val="EndNoteBibliography"/>
        <w:spacing w:after="0"/>
      </w:pPr>
      <w:r w:rsidRPr="00D62EE4">
        <w:t>5.</w:t>
      </w:r>
      <w:r w:rsidRPr="00D62EE4">
        <w:tab/>
        <w:t>Kanis J, Johnell O, Odén A, Johansson H, McCloskey E (2008) FRAX™ and the assessment of fracture probability in men and women from the UK. Osteoporos Int 19:385-397</w:t>
      </w:r>
    </w:p>
    <w:p w14:paraId="42497234" w14:textId="77777777" w:rsidR="00D62EE4" w:rsidRPr="00D62EE4" w:rsidRDefault="00D62EE4" w:rsidP="00D62EE4">
      <w:pPr>
        <w:pStyle w:val="EndNoteBibliography"/>
        <w:spacing w:after="0"/>
      </w:pPr>
      <w:r w:rsidRPr="00D62EE4">
        <w:t>6.</w:t>
      </w:r>
      <w:r w:rsidRPr="00D62EE4">
        <w:tab/>
        <w:t>Kanis J (1989) Osteoporosis--the silent epidemic. Health Visit 62:14-15</w:t>
      </w:r>
    </w:p>
    <w:p w14:paraId="54C3A5C1" w14:textId="77777777" w:rsidR="00D62EE4" w:rsidRPr="00D62EE4" w:rsidRDefault="00D62EE4" w:rsidP="00D62EE4">
      <w:pPr>
        <w:pStyle w:val="EndNoteBibliography"/>
        <w:spacing w:after="0"/>
      </w:pPr>
      <w:r w:rsidRPr="00D62EE4">
        <w:t>7.</w:t>
      </w:r>
      <w:r w:rsidRPr="00D62EE4">
        <w:tab/>
        <w:t>Curtis EM, Moon RJ, Harvey NC, Cooper C (2017) The impact of fragility fracture and approaches to osteoporosis risk assessment worldwide. Bone 104:29-38</w:t>
      </w:r>
    </w:p>
    <w:p w14:paraId="4C0726CC" w14:textId="77777777" w:rsidR="00D62EE4" w:rsidRPr="00D62EE4" w:rsidRDefault="00D62EE4" w:rsidP="00D62EE4">
      <w:pPr>
        <w:pStyle w:val="EndNoteBibliography"/>
        <w:spacing w:after="0"/>
      </w:pPr>
      <w:r w:rsidRPr="00D62EE4">
        <w:t>8.</w:t>
      </w:r>
      <w:r w:rsidRPr="00D62EE4">
        <w:tab/>
        <w:t>Mithal A, Bansal B, Kyer CS, Ebeling P (2014) The Asia-Pacific Regional Audit-Epidemiology, Costs, and Burden of Osteoporosis in India 2013: A report of International Osteoporosis Foundation. Indian J Endocrinol Metab 18:449-454</w:t>
      </w:r>
    </w:p>
    <w:p w14:paraId="3D1121A2" w14:textId="77777777" w:rsidR="00D62EE4" w:rsidRPr="00D62EE4" w:rsidRDefault="00D62EE4" w:rsidP="00D62EE4">
      <w:pPr>
        <w:pStyle w:val="EndNoteBibliography"/>
        <w:spacing w:after="0"/>
      </w:pPr>
      <w:r w:rsidRPr="00D62EE4">
        <w:t>9.</w:t>
      </w:r>
      <w:r w:rsidRPr="00D62EE4">
        <w:tab/>
        <w:t>Kanis J, Johnell O (2005) Requirements for DXA for the management of osteoporosis in Europe. Osteoporos Int 16:229-238</w:t>
      </w:r>
    </w:p>
    <w:p w14:paraId="780A5809" w14:textId="77777777" w:rsidR="00D62EE4" w:rsidRPr="00D62EE4" w:rsidRDefault="00D62EE4" w:rsidP="00D62EE4">
      <w:pPr>
        <w:pStyle w:val="EndNoteBibliography"/>
        <w:spacing w:after="0"/>
      </w:pPr>
      <w:r w:rsidRPr="00D62EE4">
        <w:t>10.</w:t>
      </w:r>
      <w:r w:rsidRPr="00D62EE4">
        <w:tab/>
        <w:t>Harvey NC, McCloskey EV, Mitchell PJ, Dawson-Hughes B, Pierroz DD, Reginster J-Y, Rizzoli R, Cooper C, Kanis JA (2017) Mind the (treatment) gap: a global perspective on current and future strategies for prevention of fragility fractures. Osteoporos Int 28:1507-1529</w:t>
      </w:r>
    </w:p>
    <w:p w14:paraId="1AF8C843" w14:textId="77777777" w:rsidR="00D62EE4" w:rsidRPr="00D62EE4" w:rsidRDefault="00D62EE4" w:rsidP="00D62EE4">
      <w:pPr>
        <w:pStyle w:val="EndNoteBibliography"/>
        <w:spacing w:after="0"/>
      </w:pPr>
      <w:r w:rsidRPr="00D62EE4">
        <w:t>11.</w:t>
      </w:r>
      <w:r w:rsidRPr="00D62EE4">
        <w:tab/>
        <w:t>Overman RA, Farley JF, Curtis JR, Zhang J, Gourlay ML, Deal CL (2015) DXA utilization between 2006 and 2012 in commercially insured younger postmenopausal women. J Clin Densitom 18:145-149</w:t>
      </w:r>
    </w:p>
    <w:p w14:paraId="43CCDEB6" w14:textId="77777777" w:rsidR="00D62EE4" w:rsidRPr="00D62EE4" w:rsidRDefault="00D62EE4" w:rsidP="00D62EE4">
      <w:pPr>
        <w:pStyle w:val="EndNoteBibliography"/>
        <w:spacing w:after="0"/>
      </w:pPr>
      <w:r w:rsidRPr="00D62EE4">
        <w:t>12.</w:t>
      </w:r>
      <w:r w:rsidRPr="00D62EE4">
        <w:tab/>
        <w:t>Lewiecki EM, Binkley N, Morgan SL, Shuhart CR, Camargos BM, Carey JJ, Gordon CM, Jankowski LG, Lee J-K, Leslie WD (2016) Best practices for dual-energy X-ray absorptiometry measurement and reporting: International Society for Clinical Densitometry Guidance. J Clin Densitom 19:127-140</w:t>
      </w:r>
    </w:p>
    <w:p w14:paraId="215E58DF" w14:textId="77777777" w:rsidR="00D62EE4" w:rsidRPr="00D62EE4" w:rsidRDefault="00D62EE4" w:rsidP="00D62EE4">
      <w:pPr>
        <w:pStyle w:val="EndNoteBibliography"/>
        <w:spacing w:after="0"/>
      </w:pPr>
      <w:r w:rsidRPr="00D62EE4">
        <w:t>13.</w:t>
      </w:r>
      <w:r w:rsidRPr="00D62EE4">
        <w:tab/>
        <w:t>Messina C, Bandirali M, Sconfienza LM, D’Alonzo NK, Di Leo G, Papini GDE, Ulivieri FM, Sardanelli F (2015) Prevalence and type of errors in dual-energy x-ray absorptiometry. Eur Radiol 25:1504-1511</w:t>
      </w:r>
    </w:p>
    <w:p w14:paraId="50EC871F" w14:textId="77777777" w:rsidR="00D62EE4" w:rsidRPr="00D62EE4" w:rsidRDefault="00D62EE4" w:rsidP="00D62EE4">
      <w:pPr>
        <w:pStyle w:val="EndNoteBibliography"/>
        <w:spacing w:after="0"/>
      </w:pPr>
      <w:r w:rsidRPr="00D62EE4">
        <w:t>14.</w:t>
      </w:r>
      <w:r w:rsidRPr="00D62EE4">
        <w:tab/>
        <w:t>Promma S, Sritara C, Wipuchwongsakorn S, Chuamsaamarkkee K, Utamakul C, Chamroonrat W, Kositwattanarerk A, Anongpornjossakul Y, Thamnirat K, Ongphiphadhanakul B (2018) Errors in patient positioning for bone mineral density assessment by dual X-ray absorptiometry: effect of technologist retraining. J Clin Densitom 21:252-259</w:t>
      </w:r>
    </w:p>
    <w:p w14:paraId="6A39C98A" w14:textId="77777777" w:rsidR="00D62EE4" w:rsidRPr="00D62EE4" w:rsidRDefault="00D62EE4" w:rsidP="00D62EE4">
      <w:pPr>
        <w:pStyle w:val="EndNoteBibliography"/>
        <w:spacing w:after="0"/>
      </w:pPr>
      <w:r w:rsidRPr="00D62EE4">
        <w:t>15.</w:t>
      </w:r>
      <w:r w:rsidRPr="00D62EE4">
        <w:tab/>
        <w:t>Krueger D, Shives E, Siglinsky E, Libber J, Buehring B, Hansen K, Binkley N (2019) DXA errors are common and reduced by use of a reporting template. J Clin Densitom 22:115-124</w:t>
      </w:r>
    </w:p>
    <w:p w14:paraId="3A52AC10" w14:textId="77777777" w:rsidR="00D62EE4" w:rsidRPr="00D62EE4" w:rsidRDefault="00D62EE4" w:rsidP="00D62EE4">
      <w:pPr>
        <w:pStyle w:val="EndNoteBibliography"/>
        <w:spacing w:after="0"/>
      </w:pPr>
      <w:r w:rsidRPr="00D62EE4">
        <w:t>16.</w:t>
      </w:r>
      <w:r w:rsidRPr="00D62EE4">
        <w:tab/>
        <w:t>Ganda K, Puech M, Chen J, Speerin R, Bleasel J, Center J, Eisman J, March L, Seibel M (2013) Models of care for the secondary prevention of osteoporotic fractures: a systematic review and meta-analysis. Osteoporos Int 24:393-406</w:t>
      </w:r>
    </w:p>
    <w:p w14:paraId="587ABE4E" w14:textId="77777777" w:rsidR="00D62EE4" w:rsidRPr="00D62EE4" w:rsidRDefault="00D62EE4" w:rsidP="00D62EE4">
      <w:pPr>
        <w:pStyle w:val="EndNoteBibliography"/>
        <w:spacing w:after="0"/>
      </w:pPr>
      <w:r w:rsidRPr="00D62EE4">
        <w:t>17.</w:t>
      </w:r>
      <w:r w:rsidRPr="00D62EE4">
        <w:tab/>
        <w:t>Sale J, Beaton D, Posen J, Elliot-Gibson V, Bogoch E (2011) Systematic review on interventions to improve osteoporosis investigation and treatment in fragility fracture patients. Osteoporos Int 22:2067-2082</w:t>
      </w:r>
    </w:p>
    <w:p w14:paraId="033175CD" w14:textId="77777777" w:rsidR="00D62EE4" w:rsidRPr="00D62EE4" w:rsidRDefault="00D62EE4" w:rsidP="00D62EE4">
      <w:pPr>
        <w:pStyle w:val="EndNoteBibliography"/>
        <w:spacing w:after="0"/>
      </w:pPr>
      <w:r w:rsidRPr="00D62EE4">
        <w:lastRenderedPageBreak/>
        <w:t>18.</w:t>
      </w:r>
      <w:r w:rsidRPr="00D62EE4">
        <w:tab/>
        <w:t>Marsh D, Åkesson K, Beaton D, Bogoch E, Boonen S, Brandi M-L, McLellan A, Mitchell P, Sale J, Wahl D (2011) Coordinator-based systems for secondary prevention in fragility fracture patients. Osteoporos Int 22:2051-2065</w:t>
      </w:r>
    </w:p>
    <w:p w14:paraId="54E248EA" w14:textId="77777777" w:rsidR="00D62EE4" w:rsidRPr="00D62EE4" w:rsidRDefault="00D62EE4" w:rsidP="00D62EE4">
      <w:pPr>
        <w:pStyle w:val="EndNoteBibliography"/>
        <w:spacing w:after="0"/>
      </w:pPr>
      <w:r w:rsidRPr="00D62EE4">
        <w:t>19.</w:t>
      </w:r>
      <w:r w:rsidRPr="00D62EE4">
        <w:tab/>
        <w:t>Eisman JA, Bogoch ER, Dell R, Harrington JT, McKinney Jr RE, McLellan A, Mitchell PJ, Silverman S, Singleton R, Siris E (2012) Making the first fracture the last fracture: ASBMR task force report on secondary fracture prevention. J Bone Miner Res 27:2039-2046</w:t>
      </w:r>
    </w:p>
    <w:p w14:paraId="7019F4AF" w14:textId="77777777" w:rsidR="00D62EE4" w:rsidRPr="00D62EE4" w:rsidRDefault="00D62EE4" w:rsidP="00D62EE4">
      <w:pPr>
        <w:pStyle w:val="EndNoteBibliography"/>
        <w:spacing w:after="0"/>
      </w:pPr>
      <w:r w:rsidRPr="00D62EE4">
        <w:t>20.</w:t>
      </w:r>
      <w:r w:rsidRPr="00D62EE4">
        <w:tab/>
        <w:t>Kanis J, Cooper C, Rizzoli R, Reginster J (2019) European guidance for the diagnosis and management of osteoporosis in postmenopausal women. Osteoporos Int 30:3-44</w:t>
      </w:r>
    </w:p>
    <w:p w14:paraId="298C4440" w14:textId="77777777" w:rsidR="00D62EE4" w:rsidRPr="00D62EE4" w:rsidRDefault="00D62EE4" w:rsidP="00D62EE4">
      <w:pPr>
        <w:pStyle w:val="EndNoteBibliography"/>
        <w:spacing w:after="0"/>
      </w:pPr>
      <w:r w:rsidRPr="00D62EE4">
        <w:t>21.</w:t>
      </w:r>
      <w:r w:rsidRPr="00D62EE4">
        <w:tab/>
        <w:t>Greenspan SL, Wyman A, Hooven FH, Adami S, Gehlbach S, Anderson Jr FA, Boone S, Lacroix AZ, Lindsay R, Netelenbos J, Pfeilschifter J, Silverman S, Siris E, Watts N (2012) Predictors of treatment with osteoporosis medications after recent fragility fractures in a multinational cohort of postmenopausal women. J Am Geriatr Soc 60:455-461</w:t>
      </w:r>
    </w:p>
    <w:p w14:paraId="38D575BC" w14:textId="65ACFC8F" w:rsidR="00D62EE4" w:rsidRPr="00D62EE4" w:rsidRDefault="00D62EE4" w:rsidP="00D62EE4">
      <w:pPr>
        <w:pStyle w:val="EndNoteBibliography"/>
        <w:spacing w:after="0"/>
      </w:pPr>
      <w:r w:rsidRPr="00D62EE4">
        <w:t>22.</w:t>
      </w:r>
      <w:r w:rsidRPr="00D62EE4">
        <w:tab/>
        <w:t xml:space="preserve">Osteoporosis Canada (2014) Quality Standards for Fracture Liaison Services in Canada. </w:t>
      </w:r>
      <w:hyperlink r:id="rId8" w:history="1">
        <w:r w:rsidRPr="00D62EE4">
          <w:rPr>
            <w:rStyle w:val="Hyperlink"/>
          </w:rPr>
          <w:t>https://www.osteoporosis.ca/wp-content/uploads/OC-Quality-Standards-ENG-Nov-2014.pdf</w:t>
        </w:r>
      </w:hyperlink>
      <w:r w:rsidRPr="00D62EE4">
        <w:t xml:space="preserve"> Accessed 15 April 2020. </w:t>
      </w:r>
    </w:p>
    <w:p w14:paraId="0E63331F" w14:textId="6171DD8F" w:rsidR="00D62EE4" w:rsidRPr="00D62EE4" w:rsidRDefault="00D62EE4" w:rsidP="00D62EE4">
      <w:pPr>
        <w:pStyle w:val="EndNoteBibliography"/>
        <w:spacing w:after="0"/>
      </w:pPr>
      <w:r w:rsidRPr="00D62EE4">
        <w:t>23.</w:t>
      </w:r>
      <w:r w:rsidRPr="00D62EE4">
        <w:tab/>
        <w:t xml:space="preserve">Osteoporosis New Zealand (2016) Clinical Standards for Fracture Liaison Services in New Zealand. </w:t>
      </w:r>
      <w:hyperlink r:id="rId9" w:history="1">
        <w:r w:rsidRPr="00D62EE4">
          <w:rPr>
            <w:rStyle w:val="Hyperlink"/>
          </w:rPr>
          <w:t>https://osteoporosis.org.nz/wp-content/uploads/ONZ-FLS-Clinical-Standards-WEB.pdf</w:t>
        </w:r>
      </w:hyperlink>
      <w:r w:rsidRPr="00D62EE4">
        <w:t xml:space="preserve"> Accessed 15 April 2020. </w:t>
      </w:r>
    </w:p>
    <w:p w14:paraId="7C64FAFD" w14:textId="46CDD0BF" w:rsidR="00D62EE4" w:rsidRPr="00D62EE4" w:rsidRDefault="00D62EE4" w:rsidP="00D62EE4">
      <w:pPr>
        <w:pStyle w:val="EndNoteBibliography"/>
        <w:spacing w:after="0"/>
      </w:pPr>
      <w:r w:rsidRPr="00D62EE4">
        <w:t>24.</w:t>
      </w:r>
      <w:r w:rsidRPr="00D62EE4">
        <w:tab/>
        <w:t xml:space="preserve">Royal Osteoporosis Society (2019) Effective Secondary Prevention of Fragility Fractures: Clinical Standards for Fracture Liaison Services. </w:t>
      </w:r>
      <w:hyperlink r:id="rId10" w:history="1">
        <w:r w:rsidRPr="00D62EE4">
          <w:rPr>
            <w:rStyle w:val="Hyperlink"/>
          </w:rPr>
          <w:t>https://theros.org.uk/media/1eubz33w/ros-clinical-standards-for-fracture-liaison-services-august-2019.pdf</w:t>
        </w:r>
      </w:hyperlink>
      <w:r w:rsidRPr="00D62EE4">
        <w:t xml:space="preserve"> Accessed 15 April 2020. </w:t>
      </w:r>
    </w:p>
    <w:p w14:paraId="48CA7A6C" w14:textId="77777777" w:rsidR="00D62EE4" w:rsidRPr="00D62EE4" w:rsidRDefault="00D62EE4" w:rsidP="00D62EE4">
      <w:pPr>
        <w:pStyle w:val="EndNoteBibliography"/>
        <w:spacing w:after="0"/>
      </w:pPr>
      <w:r w:rsidRPr="00D62EE4">
        <w:t>25.</w:t>
      </w:r>
      <w:r w:rsidRPr="00D62EE4">
        <w:tab/>
        <w:t>Åkesson K, Marsh D, Mitchell PJ, McLellan A, Stenmark J, Pierroz D, Kyer C, Cooper C (2013) Capture the Fracture: a Best Practice Framework and global campaign to break the fragility fracture cycle. Osteoporos Int 24:2135-2152</w:t>
      </w:r>
    </w:p>
    <w:p w14:paraId="78F6E236" w14:textId="77777777" w:rsidR="00D62EE4" w:rsidRPr="00D62EE4" w:rsidRDefault="00D62EE4" w:rsidP="00D62EE4">
      <w:pPr>
        <w:pStyle w:val="EndNoteBibliography"/>
      </w:pPr>
      <w:r w:rsidRPr="00D62EE4">
        <w:t>26.</w:t>
      </w:r>
      <w:r w:rsidRPr="00D62EE4">
        <w:tab/>
        <w:t>Javaid M, Kyer C, Mitchell P, Chana J, Moss C, Edwards M, McLellan A, Stenmark J, Pierroz D, Schneider M, Kanis J, Akesson K, Cooper C (2015) Effective secondary fracture prevention: implementation of a global benchmarking of clinical quality using the IOF Capture the Fracture® Best Practice Framework tool. Osteoporos Int 26:2573-2578</w:t>
      </w:r>
    </w:p>
    <w:p w14:paraId="5FE187C8" w14:textId="477BF1C5" w:rsidR="00786A9E" w:rsidRPr="00C747A6" w:rsidRDefault="008A12EB" w:rsidP="00066E04">
      <w:pPr>
        <w:rPr>
          <w:rFonts w:cs="Arial"/>
          <w:b/>
        </w:rPr>
      </w:pPr>
      <w:r w:rsidRPr="00C747A6">
        <w:rPr>
          <w:rFonts w:cs="Arial"/>
        </w:rPr>
        <w:fldChar w:fldCharType="end"/>
      </w:r>
      <w:bookmarkStart w:id="1" w:name="_Ref15456236"/>
    </w:p>
    <w:p w14:paraId="705882A8" w14:textId="77777777" w:rsidR="00E90D3D" w:rsidRDefault="00E90D3D" w:rsidP="00010D1B">
      <w:pPr>
        <w:spacing w:after="200" w:line="240" w:lineRule="auto"/>
        <w:jc w:val="both"/>
        <w:rPr>
          <w:b/>
          <w:iCs/>
          <w:sz w:val="20"/>
          <w:szCs w:val="20"/>
        </w:rPr>
      </w:pPr>
      <w:bookmarkStart w:id="2" w:name="_Ref15640445"/>
      <w:bookmarkStart w:id="3" w:name="_Ref15649579"/>
    </w:p>
    <w:p w14:paraId="4E9C6F9A" w14:textId="77777777" w:rsidR="00E6755E" w:rsidRDefault="00E6755E" w:rsidP="00010D1B">
      <w:pPr>
        <w:spacing w:after="200" w:line="240" w:lineRule="auto"/>
        <w:jc w:val="both"/>
        <w:rPr>
          <w:b/>
          <w:iCs/>
          <w:sz w:val="20"/>
          <w:szCs w:val="20"/>
        </w:rPr>
      </w:pPr>
    </w:p>
    <w:p w14:paraId="627254C0" w14:textId="77777777" w:rsidR="00E6755E" w:rsidRDefault="00E6755E" w:rsidP="00010D1B">
      <w:pPr>
        <w:spacing w:after="200" w:line="240" w:lineRule="auto"/>
        <w:jc w:val="both"/>
        <w:rPr>
          <w:b/>
          <w:iCs/>
          <w:sz w:val="20"/>
          <w:szCs w:val="20"/>
        </w:rPr>
      </w:pPr>
    </w:p>
    <w:p w14:paraId="572A3E30" w14:textId="77777777" w:rsidR="00E6755E" w:rsidRDefault="00E6755E" w:rsidP="00010D1B">
      <w:pPr>
        <w:spacing w:after="200" w:line="240" w:lineRule="auto"/>
        <w:jc w:val="both"/>
        <w:rPr>
          <w:b/>
          <w:iCs/>
          <w:sz w:val="20"/>
          <w:szCs w:val="20"/>
        </w:rPr>
      </w:pPr>
    </w:p>
    <w:p w14:paraId="0AA09B9F" w14:textId="77777777" w:rsidR="00E6755E" w:rsidRDefault="00E6755E" w:rsidP="00010D1B">
      <w:pPr>
        <w:spacing w:after="200" w:line="240" w:lineRule="auto"/>
        <w:jc w:val="both"/>
        <w:rPr>
          <w:b/>
          <w:iCs/>
          <w:sz w:val="20"/>
          <w:szCs w:val="20"/>
        </w:rPr>
      </w:pPr>
    </w:p>
    <w:p w14:paraId="4E7ED09E" w14:textId="77777777" w:rsidR="00E6755E" w:rsidRDefault="00E6755E" w:rsidP="00010D1B">
      <w:pPr>
        <w:spacing w:after="200" w:line="240" w:lineRule="auto"/>
        <w:jc w:val="both"/>
        <w:rPr>
          <w:b/>
          <w:iCs/>
          <w:sz w:val="20"/>
          <w:szCs w:val="20"/>
        </w:rPr>
      </w:pPr>
    </w:p>
    <w:p w14:paraId="72161D87" w14:textId="77777777" w:rsidR="00E6755E" w:rsidRDefault="00E6755E" w:rsidP="00010D1B">
      <w:pPr>
        <w:spacing w:after="200" w:line="240" w:lineRule="auto"/>
        <w:jc w:val="both"/>
        <w:rPr>
          <w:b/>
          <w:iCs/>
          <w:sz w:val="20"/>
          <w:szCs w:val="20"/>
        </w:rPr>
      </w:pPr>
    </w:p>
    <w:p w14:paraId="5577C5F8" w14:textId="77777777" w:rsidR="00E6755E" w:rsidRDefault="00E6755E" w:rsidP="00010D1B">
      <w:pPr>
        <w:spacing w:after="200" w:line="240" w:lineRule="auto"/>
        <w:jc w:val="both"/>
        <w:rPr>
          <w:b/>
          <w:iCs/>
          <w:sz w:val="20"/>
          <w:szCs w:val="20"/>
        </w:rPr>
      </w:pPr>
    </w:p>
    <w:p w14:paraId="6EF293BB" w14:textId="77777777" w:rsidR="00E6755E" w:rsidRDefault="00E6755E" w:rsidP="00010D1B">
      <w:pPr>
        <w:spacing w:after="200" w:line="240" w:lineRule="auto"/>
        <w:jc w:val="both"/>
        <w:rPr>
          <w:b/>
          <w:iCs/>
          <w:sz w:val="20"/>
          <w:szCs w:val="20"/>
        </w:rPr>
      </w:pPr>
    </w:p>
    <w:p w14:paraId="6B1A6890" w14:textId="77777777" w:rsidR="00E6755E" w:rsidRDefault="00E6755E" w:rsidP="00010D1B">
      <w:pPr>
        <w:spacing w:after="200" w:line="240" w:lineRule="auto"/>
        <w:jc w:val="both"/>
        <w:rPr>
          <w:b/>
          <w:iCs/>
          <w:sz w:val="20"/>
          <w:szCs w:val="20"/>
        </w:rPr>
      </w:pPr>
    </w:p>
    <w:p w14:paraId="6F2A516C" w14:textId="77777777" w:rsidR="00E6755E" w:rsidRDefault="00E6755E" w:rsidP="00010D1B">
      <w:pPr>
        <w:spacing w:after="200" w:line="240" w:lineRule="auto"/>
        <w:jc w:val="both"/>
        <w:rPr>
          <w:b/>
          <w:iCs/>
          <w:sz w:val="20"/>
          <w:szCs w:val="20"/>
        </w:rPr>
      </w:pPr>
    </w:p>
    <w:p w14:paraId="458298D7" w14:textId="77777777" w:rsidR="00E6755E" w:rsidRDefault="00E6755E" w:rsidP="00010D1B">
      <w:pPr>
        <w:spacing w:after="200" w:line="240" w:lineRule="auto"/>
        <w:jc w:val="both"/>
        <w:rPr>
          <w:b/>
          <w:iCs/>
          <w:sz w:val="20"/>
          <w:szCs w:val="20"/>
        </w:rPr>
      </w:pPr>
    </w:p>
    <w:p w14:paraId="3E2E4CA4" w14:textId="77777777" w:rsidR="00E6755E" w:rsidRDefault="00E6755E" w:rsidP="00010D1B">
      <w:pPr>
        <w:spacing w:after="200" w:line="240" w:lineRule="auto"/>
        <w:jc w:val="both"/>
        <w:rPr>
          <w:b/>
          <w:iCs/>
          <w:sz w:val="20"/>
          <w:szCs w:val="20"/>
        </w:rPr>
      </w:pPr>
    </w:p>
    <w:p w14:paraId="113F15EF" w14:textId="77777777" w:rsidR="00E6755E" w:rsidRDefault="00E6755E" w:rsidP="00010D1B">
      <w:pPr>
        <w:spacing w:after="200" w:line="240" w:lineRule="auto"/>
        <w:jc w:val="both"/>
        <w:rPr>
          <w:b/>
          <w:iCs/>
          <w:sz w:val="20"/>
          <w:szCs w:val="20"/>
        </w:rPr>
      </w:pPr>
    </w:p>
    <w:p w14:paraId="51F9EBD6" w14:textId="30B97A42" w:rsidR="00D34E8E" w:rsidRDefault="00554A54" w:rsidP="00D34E8E">
      <w:pPr>
        <w:spacing w:after="200" w:line="240" w:lineRule="auto"/>
        <w:jc w:val="both"/>
        <w:rPr>
          <w:noProof/>
          <w:lang w:eastAsia="en-GB"/>
        </w:rPr>
      </w:pPr>
      <w:r>
        <w:rPr>
          <w:noProof/>
          <w:lang w:eastAsia="en-GB"/>
        </w:rPr>
        <w:lastRenderedPageBreak/>
        <w:drawing>
          <wp:anchor distT="0" distB="0" distL="114300" distR="114300" simplePos="0" relativeHeight="251658240" behindDoc="0" locked="0" layoutInCell="1" allowOverlap="1" wp14:anchorId="77A08965" wp14:editId="6A60A859">
            <wp:simplePos x="0" y="0"/>
            <wp:positionH relativeFrom="margin">
              <wp:posOffset>-81242</wp:posOffset>
            </wp:positionH>
            <wp:positionV relativeFrom="paragraph">
              <wp:posOffset>535305</wp:posOffset>
            </wp:positionV>
            <wp:extent cx="5437542" cy="7765132"/>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7542" cy="7765132"/>
                    </a:xfrm>
                    <a:prstGeom prst="rect">
                      <a:avLst/>
                    </a:prstGeom>
                    <a:noFill/>
                  </pic:spPr>
                </pic:pic>
              </a:graphicData>
            </a:graphic>
            <wp14:sizeRelH relativeFrom="page">
              <wp14:pctWidth>0</wp14:pctWidth>
            </wp14:sizeRelH>
            <wp14:sizeRelV relativeFrom="page">
              <wp14:pctHeight>0</wp14:pctHeight>
            </wp14:sizeRelV>
          </wp:anchor>
        </w:drawing>
      </w:r>
      <w:r w:rsidR="00D359A2">
        <w:rPr>
          <w:b/>
          <w:iCs/>
          <w:sz w:val="20"/>
          <w:szCs w:val="20"/>
        </w:rPr>
        <w:t xml:space="preserve">Fig. </w:t>
      </w:r>
      <w:r w:rsidR="00D359A2">
        <w:rPr>
          <w:b/>
          <w:iCs/>
          <w:noProof/>
          <w:sz w:val="20"/>
          <w:szCs w:val="20"/>
        </w:rPr>
        <w:t>1</w:t>
      </w:r>
      <w:bookmarkEnd w:id="2"/>
      <w:r w:rsidR="00D359A2">
        <w:rPr>
          <w:b/>
          <w:iCs/>
          <w:sz w:val="20"/>
          <w:szCs w:val="20"/>
        </w:rPr>
        <w:tab/>
      </w:r>
      <w:r w:rsidR="00010D1B" w:rsidRPr="00010D1B">
        <w:rPr>
          <w:b/>
          <w:iCs/>
          <w:sz w:val="20"/>
          <w:szCs w:val="20"/>
        </w:rPr>
        <w:t>Countries where fracture liaison services in the analysis sample were located (1)</w:t>
      </w:r>
      <w:bookmarkStart w:id="4" w:name="_Ref15567696"/>
    </w:p>
    <w:p w14:paraId="58CE00C8" w14:textId="77777777" w:rsidR="00D34E8E" w:rsidRPr="00D34E8E" w:rsidRDefault="00D34E8E" w:rsidP="00D34E8E">
      <w:pPr>
        <w:spacing w:after="200" w:line="240" w:lineRule="auto"/>
        <w:jc w:val="both"/>
        <w:rPr>
          <w:noProof/>
          <w:lang w:eastAsia="en-GB"/>
        </w:rPr>
      </w:pPr>
    </w:p>
    <w:p w14:paraId="1ABB9AB4" w14:textId="77777777" w:rsidR="00D34E8E" w:rsidRDefault="00D34E8E" w:rsidP="00010D1B">
      <w:pPr>
        <w:keepNext/>
        <w:spacing w:after="200" w:line="240" w:lineRule="auto"/>
        <w:jc w:val="both"/>
        <w:rPr>
          <w:b/>
          <w:iCs/>
          <w:sz w:val="20"/>
          <w:szCs w:val="20"/>
        </w:rPr>
      </w:pPr>
    </w:p>
    <w:p w14:paraId="2A2AB336" w14:textId="77777777" w:rsidR="00D34E8E" w:rsidRDefault="00D34E8E" w:rsidP="00010D1B">
      <w:pPr>
        <w:keepNext/>
        <w:spacing w:after="200" w:line="240" w:lineRule="auto"/>
        <w:jc w:val="both"/>
        <w:rPr>
          <w:b/>
          <w:iCs/>
          <w:sz w:val="20"/>
          <w:szCs w:val="20"/>
        </w:rPr>
      </w:pPr>
    </w:p>
    <w:p w14:paraId="4329E935" w14:textId="77777777" w:rsidR="00D34E8E" w:rsidRDefault="00D34E8E" w:rsidP="00010D1B">
      <w:pPr>
        <w:keepNext/>
        <w:spacing w:after="200" w:line="240" w:lineRule="auto"/>
        <w:jc w:val="both"/>
        <w:rPr>
          <w:b/>
          <w:iCs/>
          <w:sz w:val="20"/>
          <w:szCs w:val="20"/>
        </w:rPr>
      </w:pPr>
    </w:p>
    <w:p w14:paraId="39E47C7F" w14:textId="77777777" w:rsidR="00D34E8E" w:rsidRDefault="00D34E8E" w:rsidP="00010D1B">
      <w:pPr>
        <w:keepNext/>
        <w:spacing w:after="200" w:line="240" w:lineRule="auto"/>
        <w:jc w:val="both"/>
        <w:rPr>
          <w:b/>
          <w:iCs/>
          <w:sz w:val="20"/>
          <w:szCs w:val="20"/>
        </w:rPr>
      </w:pPr>
    </w:p>
    <w:p w14:paraId="0D88D507" w14:textId="77777777" w:rsidR="00D34E8E" w:rsidRDefault="00D34E8E" w:rsidP="00010D1B">
      <w:pPr>
        <w:keepNext/>
        <w:spacing w:after="200" w:line="240" w:lineRule="auto"/>
        <w:jc w:val="both"/>
        <w:rPr>
          <w:b/>
          <w:iCs/>
          <w:sz w:val="20"/>
          <w:szCs w:val="20"/>
        </w:rPr>
      </w:pPr>
    </w:p>
    <w:p w14:paraId="55612C8F" w14:textId="77777777" w:rsidR="00D34E8E" w:rsidRDefault="00D34E8E" w:rsidP="00010D1B">
      <w:pPr>
        <w:keepNext/>
        <w:spacing w:after="200" w:line="240" w:lineRule="auto"/>
        <w:jc w:val="both"/>
        <w:rPr>
          <w:b/>
          <w:iCs/>
          <w:sz w:val="20"/>
          <w:szCs w:val="20"/>
        </w:rPr>
      </w:pPr>
    </w:p>
    <w:p w14:paraId="0BF73A93" w14:textId="77777777" w:rsidR="00D34E8E" w:rsidRDefault="00D34E8E" w:rsidP="00010D1B">
      <w:pPr>
        <w:keepNext/>
        <w:spacing w:after="200" w:line="240" w:lineRule="auto"/>
        <w:jc w:val="both"/>
        <w:rPr>
          <w:b/>
          <w:iCs/>
          <w:sz w:val="20"/>
          <w:szCs w:val="20"/>
        </w:rPr>
      </w:pPr>
    </w:p>
    <w:p w14:paraId="268EDDF7" w14:textId="77777777" w:rsidR="00D34E8E" w:rsidRDefault="00D34E8E" w:rsidP="00010D1B">
      <w:pPr>
        <w:keepNext/>
        <w:spacing w:after="200" w:line="240" w:lineRule="auto"/>
        <w:jc w:val="both"/>
        <w:rPr>
          <w:b/>
          <w:iCs/>
          <w:sz w:val="20"/>
          <w:szCs w:val="20"/>
        </w:rPr>
      </w:pPr>
    </w:p>
    <w:p w14:paraId="51E607EC" w14:textId="77777777" w:rsidR="00D34E8E" w:rsidRDefault="00D34E8E" w:rsidP="00010D1B">
      <w:pPr>
        <w:keepNext/>
        <w:spacing w:after="200" w:line="240" w:lineRule="auto"/>
        <w:jc w:val="both"/>
        <w:rPr>
          <w:b/>
          <w:iCs/>
          <w:sz w:val="20"/>
          <w:szCs w:val="20"/>
        </w:rPr>
      </w:pPr>
    </w:p>
    <w:p w14:paraId="00CAD59C" w14:textId="77777777" w:rsidR="00D34E8E" w:rsidRDefault="00D34E8E" w:rsidP="00010D1B">
      <w:pPr>
        <w:keepNext/>
        <w:spacing w:after="200" w:line="240" w:lineRule="auto"/>
        <w:jc w:val="both"/>
        <w:rPr>
          <w:b/>
          <w:iCs/>
          <w:sz w:val="20"/>
          <w:szCs w:val="20"/>
        </w:rPr>
      </w:pPr>
    </w:p>
    <w:p w14:paraId="0071723B" w14:textId="77777777" w:rsidR="00D34E8E" w:rsidRDefault="00D34E8E" w:rsidP="00010D1B">
      <w:pPr>
        <w:keepNext/>
        <w:spacing w:after="200" w:line="240" w:lineRule="auto"/>
        <w:jc w:val="both"/>
        <w:rPr>
          <w:b/>
          <w:iCs/>
          <w:sz w:val="20"/>
          <w:szCs w:val="20"/>
        </w:rPr>
      </w:pPr>
    </w:p>
    <w:p w14:paraId="1B37E986" w14:textId="77777777" w:rsidR="00D34E8E" w:rsidRDefault="00D34E8E" w:rsidP="00010D1B">
      <w:pPr>
        <w:keepNext/>
        <w:spacing w:after="200" w:line="240" w:lineRule="auto"/>
        <w:jc w:val="both"/>
        <w:rPr>
          <w:b/>
          <w:iCs/>
          <w:sz w:val="20"/>
          <w:szCs w:val="20"/>
        </w:rPr>
      </w:pPr>
    </w:p>
    <w:p w14:paraId="4B067F79" w14:textId="77777777" w:rsidR="00D34E8E" w:rsidRDefault="00D34E8E" w:rsidP="00010D1B">
      <w:pPr>
        <w:keepNext/>
        <w:spacing w:after="200" w:line="240" w:lineRule="auto"/>
        <w:jc w:val="both"/>
        <w:rPr>
          <w:b/>
          <w:iCs/>
          <w:sz w:val="20"/>
          <w:szCs w:val="20"/>
        </w:rPr>
      </w:pPr>
    </w:p>
    <w:p w14:paraId="53552294" w14:textId="77777777" w:rsidR="00D34E8E" w:rsidRDefault="00D34E8E" w:rsidP="00010D1B">
      <w:pPr>
        <w:keepNext/>
        <w:spacing w:after="200" w:line="240" w:lineRule="auto"/>
        <w:jc w:val="both"/>
        <w:rPr>
          <w:b/>
          <w:iCs/>
          <w:sz w:val="20"/>
          <w:szCs w:val="20"/>
        </w:rPr>
      </w:pPr>
    </w:p>
    <w:p w14:paraId="041C7337" w14:textId="77777777" w:rsidR="00D34E8E" w:rsidRDefault="00D34E8E" w:rsidP="00010D1B">
      <w:pPr>
        <w:keepNext/>
        <w:spacing w:after="200" w:line="240" w:lineRule="auto"/>
        <w:jc w:val="both"/>
        <w:rPr>
          <w:b/>
          <w:iCs/>
          <w:sz w:val="20"/>
          <w:szCs w:val="20"/>
        </w:rPr>
      </w:pPr>
    </w:p>
    <w:p w14:paraId="527CCA97" w14:textId="77777777" w:rsidR="00D34E8E" w:rsidRDefault="00D34E8E" w:rsidP="00010D1B">
      <w:pPr>
        <w:keepNext/>
        <w:spacing w:after="200" w:line="240" w:lineRule="auto"/>
        <w:jc w:val="both"/>
        <w:rPr>
          <w:b/>
          <w:iCs/>
          <w:sz w:val="20"/>
          <w:szCs w:val="20"/>
        </w:rPr>
      </w:pPr>
    </w:p>
    <w:p w14:paraId="1874D2E2" w14:textId="77777777" w:rsidR="00D34E8E" w:rsidRDefault="00D34E8E" w:rsidP="00010D1B">
      <w:pPr>
        <w:keepNext/>
        <w:spacing w:after="200" w:line="240" w:lineRule="auto"/>
        <w:jc w:val="both"/>
        <w:rPr>
          <w:b/>
          <w:iCs/>
          <w:sz w:val="20"/>
          <w:szCs w:val="20"/>
        </w:rPr>
      </w:pPr>
    </w:p>
    <w:p w14:paraId="54CADB47" w14:textId="77777777" w:rsidR="00D34E8E" w:rsidRDefault="00D34E8E" w:rsidP="00010D1B">
      <w:pPr>
        <w:keepNext/>
        <w:spacing w:after="200" w:line="240" w:lineRule="auto"/>
        <w:jc w:val="both"/>
        <w:rPr>
          <w:b/>
          <w:iCs/>
          <w:sz w:val="20"/>
          <w:szCs w:val="20"/>
        </w:rPr>
      </w:pPr>
    </w:p>
    <w:p w14:paraId="054B0EF5" w14:textId="77777777" w:rsidR="00D34E8E" w:rsidRDefault="00D34E8E" w:rsidP="00010D1B">
      <w:pPr>
        <w:keepNext/>
        <w:spacing w:after="200" w:line="240" w:lineRule="auto"/>
        <w:jc w:val="both"/>
        <w:rPr>
          <w:b/>
          <w:iCs/>
          <w:sz w:val="20"/>
          <w:szCs w:val="20"/>
        </w:rPr>
      </w:pPr>
    </w:p>
    <w:p w14:paraId="2B899084" w14:textId="77777777" w:rsidR="00D34E8E" w:rsidRDefault="00D34E8E" w:rsidP="00010D1B">
      <w:pPr>
        <w:keepNext/>
        <w:spacing w:after="200" w:line="240" w:lineRule="auto"/>
        <w:jc w:val="both"/>
        <w:rPr>
          <w:b/>
          <w:iCs/>
          <w:sz w:val="20"/>
          <w:szCs w:val="20"/>
        </w:rPr>
      </w:pPr>
    </w:p>
    <w:p w14:paraId="5779E4AE" w14:textId="77777777" w:rsidR="00D34E8E" w:rsidRDefault="00D34E8E" w:rsidP="00010D1B">
      <w:pPr>
        <w:keepNext/>
        <w:spacing w:after="200" w:line="240" w:lineRule="auto"/>
        <w:jc w:val="both"/>
        <w:rPr>
          <w:b/>
          <w:iCs/>
          <w:sz w:val="20"/>
          <w:szCs w:val="20"/>
        </w:rPr>
      </w:pPr>
    </w:p>
    <w:p w14:paraId="7A46C10C" w14:textId="77777777" w:rsidR="00D34E8E" w:rsidRDefault="00D34E8E" w:rsidP="00010D1B">
      <w:pPr>
        <w:keepNext/>
        <w:spacing w:after="200" w:line="240" w:lineRule="auto"/>
        <w:jc w:val="both"/>
        <w:rPr>
          <w:b/>
          <w:iCs/>
          <w:sz w:val="20"/>
          <w:szCs w:val="20"/>
        </w:rPr>
      </w:pPr>
    </w:p>
    <w:p w14:paraId="0768E166" w14:textId="77777777" w:rsidR="00D34E8E" w:rsidRDefault="00D34E8E" w:rsidP="00010D1B">
      <w:pPr>
        <w:keepNext/>
        <w:spacing w:after="200" w:line="240" w:lineRule="auto"/>
        <w:jc w:val="both"/>
        <w:rPr>
          <w:b/>
          <w:iCs/>
          <w:sz w:val="20"/>
          <w:szCs w:val="20"/>
        </w:rPr>
      </w:pPr>
    </w:p>
    <w:p w14:paraId="5D9BB93B" w14:textId="77777777" w:rsidR="00D34E8E" w:rsidRDefault="00D34E8E" w:rsidP="00010D1B">
      <w:pPr>
        <w:keepNext/>
        <w:spacing w:after="200" w:line="240" w:lineRule="auto"/>
        <w:jc w:val="both"/>
        <w:rPr>
          <w:b/>
          <w:iCs/>
          <w:sz w:val="20"/>
          <w:szCs w:val="20"/>
        </w:rPr>
      </w:pPr>
    </w:p>
    <w:p w14:paraId="3A1DE899" w14:textId="77777777" w:rsidR="00D34E8E" w:rsidRDefault="00D34E8E" w:rsidP="00010D1B">
      <w:pPr>
        <w:keepNext/>
        <w:spacing w:after="200" w:line="240" w:lineRule="auto"/>
        <w:jc w:val="both"/>
        <w:rPr>
          <w:b/>
          <w:iCs/>
          <w:sz w:val="20"/>
          <w:szCs w:val="20"/>
        </w:rPr>
      </w:pPr>
    </w:p>
    <w:p w14:paraId="34663650" w14:textId="77777777" w:rsidR="00D34E8E" w:rsidRDefault="00D34E8E" w:rsidP="00010D1B">
      <w:pPr>
        <w:keepNext/>
        <w:spacing w:after="200" w:line="240" w:lineRule="auto"/>
        <w:jc w:val="both"/>
        <w:rPr>
          <w:b/>
          <w:iCs/>
          <w:sz w:val="20"/>
          <w:szCs w:val="20"/>
        </w:rPr>
      </w:pPr>
    </w:p>
    <w:p w14:paraId="7CAB6F1D" w14:textId="77777777" w:rsidR="00D34E8E" w:rsidRDefault="00D34E8E" w:rsidP="00010D1B">
      <w:pPr>
        <w:keepNext/>
        <w:spacing w:after="200" w:line="240" w:lineRule="auto"/>
        <w:jc w:val="both"/>
        <w:rPr>
          <w:b/>
          <w:iCs/>
          <w:sz w:val="20"/>
          <w:szCs w:val="20"/>
        </w:rPr>
      </w:pPr>
    </w:p>
    <w:p w14:paraId="57D2AA76" w14:textId="77777777" w:rsidR="00D34E8E" w:rsidRDefault="00D34E8E" w:rsidP="00010D1B">
      <w:pPr>
        <w:keepNext/>
        <w:spacing w:after="200" w:line="240" w:lineRule="auto"/>
        <w:jc w:val="both"/>
        <w:rPr>
          <w:b/>
          <w:iCs/>
          <w:sz w:val="20"/>
          <w:szCs w:val="20"/>
        </w:rPr>
      </w:pPr>
    </w:p>
    <w:p w14:paraId="47E265AE" w14:textId="77777777" w:rsidR="00D34E8E" w:rsidRDefault="00D34E8E" w:rsidP="00010D1B">
      <w:pPr>
        <w:keepNext/>
        <w:spacing w:after="200" w:line="240" w:lineRule="auto"/>
        <w:jc w:val="both"/>
        <w:rPr>
          <w:b/>
          <w:iCs/>
          <w:sz w:val="20"/>
          <w:szCs w:val="20"/>
        </w:rPr>
      </w:pPr>
    </w:p>
    <w:p w14:paraId="5363A4DE" w14:textId="77777777" w:rsidR="00D34E8E" w:rsidRDefault="00D34E8E" w:rsidP="00010D1B">
      <w:pPr>
        <w:keepNext/>
        <w:spacing w:after="200" w:line="240" w:lineRule="auto"/>
        <w:jc w:val="both"/>
        <w:rPr>
          <w:b/>
          <w:iCs/>
          <w:sz w:val="20"/>
          <w:szCs w:val="20"/>
        </w:rPr>
      </w:pPr>
    </w:p>
    <w:p w14:paraId="30B8BEA1" w14:textId="77777777" w:rsidR="00D34E8E" w:rsidRDefault="00D34E8E" w:rsidP="00010D1B">
      <w:pPr>
        <w:keepNext/>
        <w:spacing w:after="200" w:line="240" w:lineRule="auto"/>
        <w:jc w:val="both"/>
        <w:rPr>
          <w:b/>
          <w:iCs/>
          <w:sz w:val="20"/>
          <w:szCs w:val="20"/>
        </w:rPr>
      </w:pPr>
    </w:p>
    <w:p w14:paraId="3A75E222" w14:textId="77777777" w:rsidR="00D34E8E" w:rsidRDefault="00D34E8E" w:rsidP="00010D1B">
      <w:pPr>
        <w:keepNext/>
        <w:spacing w:after="200" w:line="240" w:lineRule="auto"/>
        <w:jc w:val="both"/>
        <w:rPr>
          <w:b/>
          <w:iCs/>
          <w:sz w:val="20"/>
          <w:szCs w:val="20"/>
        </w:rPr>
      </w:pPr>
    </w:p>
    <w:p w14:paraId="4B7BC419" w14:textId="77777777" w:rsidR="00010D1B" w:rsidRPr="00010D1B" w:rsidRDefault="00D359A2" w:rsidP="00010D1B">
      <w:pPr>
        <w:keepNext/>
        <w:spacing w:after="200" w:line="240" w:lineRule="auto"/>
        <w:jc w:val="both"/>
        <w:rPr>
          <w:b/>
          <w:iCs/>
          <w:sz w:val="20"/>
          <w:szCs w:val="20"/>
        </w:rPr>
      </w:pPr>
      <w:r>
        <w:rPr>
          <w:b/>
          <w:iCs/>
          <w:sz w:val="20"/>
          <w:szCs w:val="20"/>
        </w:rPr>
        <w:lastRenderedPageBreak/>
        <w:t xml:space="preserve">Fig. </w:t>
      </w:r>
      <w:r>
        <w:rPr>
          <w:b/>
          <w:iCs/>
          <w:noProof/>
          <w:sz w:val="20"/>
          <w:szCs w:val="20"/>
        </w:rPr>
        <w:t>2</w:t>
      </w:r>
      <w:bookmarkEnd w:id="4"/>
      <w:r>
        <w:rPr>
          <w:b/>
          <w:iCs/>
          <w:sz w:val="20"/>
          <w:szCs w:val="20"/>
        </w:rPr>
        <w:tab/>
      </w:r>
      <w:r w:rsidR="00010D1B" w:rsidRPr="00010D1B">
        <w:rPr>
          <w:b/>
          <w:iCs/>
          <w:sz w:val="20"/>
          <w:szCs w:val="20"/>
        </w:rPr>
        <w:t>Proportion of time DXA access met service needs (9) and scanning/reporting quality was described as excellent (10)</w:t>
      </w:r>
    </w:p>
    <w:p w14:paraId="661EDFA7" w14:textId="095F726F" w:rsidR="00010D1B" w:rsidRPr="00010D1B" w:rsidRDefault="00554A54" w:rsidP="00010D1B">
      <w:pPr>
        <w:rPr>
          <w:rFonts w:asciiTheme="minorHAnsi" w:hAnsiTheme="minorHAnsi"/>
        </w:rPr>
      </w:pPr>
      <w:r w:rsidRPr="000D3232">
        <w:rPr>
          <w:noProof/>
          <w:lang w:eastAsia="en-GB"/>
        </w:rPr>
        <w:drawing>
          <wp:inline distT="0" distB="0" distL="0" distR="0" wp14:anchorId="2DB5D169" wp14:editId="6AB33104">
            <wp:extent cx="4725909" cy="343919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9756" cy="3441996"/>
                    </a:xfrm>
                    <a:prstGeom prst="rect">
                      <a:avLst/>
                    </a:prstGeom>
                    <a:noFill/>
                    <a:ln>
                      <a:noFill/>
                    </a:ln>
                  </pic:spPr>
                </pic:pic>
              </a:graphicData>
            </a:graphic>
          </wp:inline>
        </w:drawing>
      </w:r>
    </w:p>
    <w:p w14:paraId="4976EB13" w14:textId="77777777" w:rsidR="00010D1B" w:rsidRPr="00010D1B" w:rsidRDefault="00010D1B" w:rsidP="00010D1B">
      <w:pPr>
        <w:rPr>
          <w:rFonts w:asciiTheme="minorHAnsi" w:hAnsiTheme="minorHAnsi"/>
        </w:rPr>
      </w:pPr>
    </w:p>
    <w:p w14:paraId="722516D5" w14:textId="70A3E81A" w:rsidR="00010D1B" w:rsidRPr="00010D1B" w:rsidRDefault="00D359A2" w:rsidP="00010D1B">
      <w:pPr>
        <w:jc w:val="both"/>
        <w:rPr>
          <w:b/>
          <w:sz w:val="20"/>
          <w:szCs w:val="20"/>
        </w:rPr>
      </w:pPr>
      <w:bookmarkStart w:id="5" w:name="_Ref15567839"/>
      <w:r>
        <w:rPr>
          <w:b/>
          <w:sz w:val="20"/>
          <w:szCs w:val="20"/>
        </w:rPr>
        <w:t xml:space="preserve">Fig. </w:t>
      </w:r>
      <w:r>
        <w:rPr>
          <w:b/>
          <w:noProof/>
          <w:sz w:val="20"/>
          <w:szCs w:val="20"/>
        </w:rPr>
        <w:t>3</w:t>
      </w:r>
      <w:bookmarkEnd w:id="5"/>
      <w:r>
        <w:rPr>
          <w:b/>
          <w:sz w:val="20"/>
          <w:szCs w:val="20"/>
        </w:rPr>
        <w:tab/>
      </w:r>
      <w:r w:rsidR="00010D1B" w:rsidRPr="00010D1B">
        <w:rPr>
          <w:b/>
          <w:sz w:val="20"/>
          <w:szCs w:val="20"/>
        </w:rPr>
        <w:t>Frequency machine calibration was assessed with a phantom (17) and frequency phantom values were plotted and reviewed for shifts and drift (18)</w:t>
      </w:r>
    </w:p>
    <w:p w14:paraId="1AE5C741" w14:textId="2BAE98EE" w:rsidR="00554A54" w:rsidRDefault="00554A54" w:rsidP="00010D1B">
      <w:pPr>
        <w:jc w:val="both"/>
        <w:rPr>
          <w:sz w:val="18"/>
          <w:szCs w:val="18"/>
        </w:rPr>
      </w:pPr>
      <w:r w:rsidRPr="00D638AB">
        <w:rPr>
          <w:b/>
          <w:noProof/>
          <w:sz w:val="18"/>
          <w:szCs w:val="18"/>
          <w:lang w:eastAsia="en-GB"/>
        </w:rPr>
        <w:drawing>
          <wp:inline distT="0" distB="0" distL="0" distR="0" wp14:anchorId="642DA6CC" wp14:editId="0B67674B">
            <wp:extent cx="4765373" cy="346747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7362" cy="3476201"/>
                    </a:xfrm>
                    <a:prstGeom prst="rect">
                      <a:avLst/>
                    </a:prstGeom>
                    <a:noFill/>
                    <a:ln>
                      <a:noFill/>
                    </a:ln>
                  </pic:spPr>
                </pic:pic>
              </a:graphicData>
            </a:graphic>
          </wp:inline>
        </w:drawing>
      </w:r>
    </w:p>
    <w:p w14:paraId="7C19B8B7" w14:textId="77777777" w:rsidR="00554A54" w:rsidRDefault="00554A54" w:rsidP="00010D1B">
      <w:pPr>
        <w:jc w:val="both"/>
        <w:rPr>
          <w:sz w:val="18"/>
          <w:szCs w:val="18"/>
        </w:rPr>
      </w:pPr>
    </w:p>
    <w:p w14:paraId="13E9EEE7" w14:textId="77777777" w:rsidR="00010D1B" w:rsidRPr="00010D1B" w:rsidRDefault="00010D1B" w:rsidP="00010D1B">
      <w:pPr>
        <w:jc w:val="both"/>
        <w:rPr>
          <w:sz w:val="18"/>
          <w:szCs w:val="18"/>
        </w:rPr>
      </w:pPr>
      <w:r w:rsidRPr="00010D1B">
        <w:rPr>
          <w:sz w:val="18"/>
          <w:szCs w:val="18"/>
        </w:rPr>
        <w:t xml:space="preserve">PC: Phantom calibration; </w:t>
      </w:r>
      <w:proofErr w:type="spellStart"/>
      <w:r w:rsidRPr="00010D1B">
        <w:rPr>
          <w:sz w:val="18"/>
          <w:szCs w:val="18"/>
        </w:rPr>
        <w:t>wk</w:t>
      </w:r>
      <w:proofErr w:type="spellEnd"/>
      <w:r w:rsidRPr="00010D1B">
        <w:rPr>
          <w:sz w:val="18"/>
          <w:szCs w:val="18"/>
        </w:rPr>
        <w:t>: week</w:t>
      </w:r>
    </w:p>
    <w:p w14:paraId="40C145B0" w14:textId="6D544050" w:rsidR="00010D1B" w:rsidRPr="00010D1B" w:rsidRDefault="00010D1B" w:rsidP="00010D1B">
      <w:pPr>
        <w:keepNext/>
        <w:spacing w:after="200" w:line="240" w:lineRule="auto"/>
        <w:jc w:val="both"/>
        <w:rPr>
          <w:b/>
          <w:iCs/>
          <w:sz w:val="20"/>
          <w:szCs w:val="20"/>
        </w:rPr>
      </w:pPr>
      <w:bookmarkStart w:id="6" w:name="_Ref15480125"/>
      <w:r w:rsidRPr="00010D1B">
        <w:rPr>
          <w:b/>
          <w:iCs/>
          <w:sz w:val="20"/>
          <w:szCs w:val="20"/>
        </w:rPr>
        <w:lastRenderedPageBreak/>
        <w:t>Fig</w:t>
      </w:r>
      <w:r w:rsidR="00D359A2">
        <w:rPr>
          <w:b/>
          <w:iCs/>
          <w:sz w:val="20"/>
          <w:szCs w:val="20"/>
        </w:rPr>
        <w:t xml:space="preserve">. </w:t>
      </w:r>
      <w:r w:rsidR="00D359A2">
        <w:rPr>
          <w:b/>
          <w:iCs/>
          <w:noProof/>
          <w:sz w:val="20"/>
          <w:szCs w:val="20"/>
        </w:rPr>
        <w:t>4</w:t>
      </w:r>
      <w:bookmarkEnd w:id="6"/>
      <w:r w:rsidR="00D359A2">
        <w:rPr>
          <w:b/>
          <w:iCs/>
          <w:sz w:val="20"/>
          <w:szCs w:val="20"/>
        </w:rPr>
        <w:tab/>
      </w:r>
      <w:r w:rsidRPr="00010D1B">
        <w:rPr>
          <w:b/>
          <w:iCs/>
          <w:sz w:val="20"/>
          <w:szCs w:val="20"/>
        </w:rPr>
        <w:t>Proportion of time a standardised questionnaire was used to gather clinical patient information (21)</w:t>
      </w:r>
    </w:p>
    <w:p w14:paraId="519B5005" w14:textId="1C0E0D2C" w:rsidR="00010D1B" w:rsidRPr="00010D1B" w:rsidRDefault="00554A54" w:rsidP="00010D1B">
      <w:pPr>
        <w:rPr>
          <w:rFonts w:asciiTheme="minorHAnsi" w:hAnsiTheme="minorHAnsi"/>
        </w:rPr>
      </w:pPr>
      <w:r>
        <w:rPr>
          <w:rFonts w:asciiTheme="minorHAnsi" w:hAnsiTheme="minorHAnsi"/>
          <w:noProof/>
          <w:lang w:eastAsia="en-GB"/>
        </w:rPr>
        <w:drawing>
          <wp:inline distT="0" distB="0" distL="0" distR="0" wp14:anchorId="20C0FD02" wp14:editId="5C43472A">
            <wp:extent cx="5029835"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835" cy="3657600"/>
                    </a:xfrm>
                    <a:prstGeom prst="rect">
                      <a:avLst/>
                    </a:prstGeom>
                    <a:noFill/>
                  </pic:spPr>
                </pic:pic>
              </a:graphicData>
            </a:graphic>
          </wp:inline>
        </w:drawing>
      </w:r>
    </w:p>
    <w:p w14:paraId="4E59BCE9" w14:textId="77777777" w:rsidR="00010D1B" w:rsidRPr="00010D1B" w:rsidRDefault="00010D1B" w:rsidP="00010D1B">
      <w:pPr>
        <w:rPr>
          <w:rFonts w:asciiTheme="minorHAnsi" w:hAnsiTheme="minorHAnsi"/>
        </w:rPr>
      </w:pPr>
    </w:p>
    <w:p w14:paraId="63B12277" w14:textId="1B9783EE" w:rsidR="00010D1B" w:rsidRPr="00010D1B" w:rsidRDefault="00D359A2" w:rsidP="00010D1B">
      <w:pPr>
        <w:keepNext/>
        <w:spacing w:after="200" w:line="240" w:lineRule="auto"/>
        <w:jc w:val="both"/>
        <w:rPr>
          <w:b/>
          <w:iCs/>
          <w:sz w:val="20"/>
          <w:szCs w:val="20"/>
        </w:rPr>
      </w:pPr>
      <w:bookmarkStart w:id="7" w:name="_Ref15544837"/>
      <w:r>
        <w:rPr>
          <w:b/>
          <w:iCs/>
          <w:sz w:val="20"/>
          <w:szCs w:val="20"/>
        </w:rPr>
        <w:t xml:space="preserve">Fig. </w:t>
      </w:r>
      <w:r>
        <w:rPr>
          <w:b/>
          <w:iCs/>
          <w:noProof/>
          <w:sz w:val="20"/>
          <w:szCs w:val="20"/>
        </w:rPr>
        <w:t>5</w:t>
      </w:r>
      <w:bookmarkEnd w:id="7"/>
      <w:r>
        <w:rPr>
          <w:b/>
          <w:iCs/>
          <w:sz w:val="20"/>
          <w:szCs w:val="20"/>
        </w:rPr>
        <w:tab/>
      </w:r>
      <w:r w:rsidR="00010D1B" w:rsidRPr="00010D1B">
        <w:rPr>
          <w:b/>
          <w:iCs/>
          <w:sz w:val="20"/>
          <w:szCs w:val="20"/>
        </w:rPr>
        <w:t>Method for assessing significant BMD change over time (29)</w:t>
      </w:r>
    </w:p>
    <w:p w14:paraId="285A250A" w14:textId="286D863C" w:rsidR="00554A54" w:rsidRDefault="00554A54" w:rsidP="00010D1B">
      <w:pPr>
        <w:jc w:val="both"/>
        <w:rPr>
          <w:sz w:val="18"/>
          <w:szCs w:val="18"/>
        </w:rPr>
      </w:pPr>
      <w:r>
        <w:rPr>
          <w:noProof/>
          <w:sz w:val="18"/>
          <w:szCs w:val="18"/>
          <w:lang w:eastAsia="en-GB"/>
        </w:rPr>
        <w:drawing>
          <wp:inline distT="0" distB="0" distL="0" distR="0" wp14:anchorId="76AB9338" wp14:editId="19DB22E6">
            <wp:extent cx="4773295" cy="347472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3295" cy="3474720"/>
                    </a:xfrm>
                    <a:prstGeom prst="rect">
                      <a:avLst/>
                    </a:prstGeom>
                    <a:noFill/>
                  </pic:spPr>
                </pic:pic>
              </a:graphicData>
            </a:graphic>
          </wp:inline>
        </w:drawing>
      </w:r>
    </w:p>
    <w:p w14:paraId="254BBDD0" w14:textId="77777777" w:rsidR="00554A54" w:rsidRDefault="00554A54" w:rsidP="00010D1B">
      <w:pPr>
        <w:jc w:val="both"/>
        <w:rPr>
          <w:sz w:val="18"/>
          <w:szCs w:val="18"/>
        </w:rPr>
      </w:pPr>
    </w:p>
    <w:p w14:paraId="3DC9AA68" w14:textId="77777777" w:rsidR="00D34E8E" w:rsidRDefault="00010D1B" w:rsidP="00D34E8E">
      <w:pPr>
        <w:jc w:val="both"/>
        <w:rPr>
          <w:sz w:val="18"/>
          <w:szCs w:val="18"/>
        </w:rPr>
      </w:pPr>
      <w:r w:rsidRPr="00010D1B">
        <w:rPr>
          <w:sz w:val="18"/>
          <w:szCs w:val="18"/>
        </w:rPr>
        <w:t>95% LSC: Least significant change at the 95% significance level</w:t>
      </w:r>
      <w:bookmarkStart w:id="8" w:name="_Ref15568646"/>
    </w:p>
    <w:p w14:paraId="171B2065" w14:textId="7C9B3D9B" w:rsidR="00AA3350" w:rsidRPr="00D34E8E" w:rsidRDefault="00010D1B" w:rsidP="00D34E8E">
      <w:pPr>
        <w:jc w:val="both"/>
        <w:rPr>
          <w:sz w:val="18"/>
          <w:szCs w:val="18"/>
        </w:rPr>
      </w:pPr>
      <w:r w:rsidRPr="00010D1B">
        <w:rPr>
          <w:b/>
          <w:iCs/>
          <w:sz w:val="20"/>
          <w:szCs w:val="20"/>
        </w:rPr>
        <w:lastRenderedPageBreak/>
        <w:t>Fig</w:t>
      </w:r>
      <w:r w:rsidR="00D359A2">
        <w:rPr>
          <w:b/>
          <w:iCs/>
          <w:sz w:val="20"/>
          <w:szCs w:val="20"/>
        </w:rPr>
        <w:t xml:space="preserve">. </w:t>
      </w:r>
      <w:r w:rsidR="00D359A2">
        <w:rPr>
          <w:b/>
          <w:iCs/>
          <w:noProof/>
          <w:sz w:val="20"/>
          <w:szCs w:val="20"/>
        </w:rPr>
        <w:t>6</w:t>
      </w:r>
      <w:bookmarkEnd w:id="8"/>
      <w:r w:rsidR="00D359A2">
        <w:rPr>
          <w:b/>
          <w:iCs/>
          <w:sz w:val="20"/>
          <w:szCs w:val="20"/>
        </w:rPr>
        <w:tab/>
      </w:r>
      <w:r w:rsidRPr="00010D1B">
        <w:rPr>
          <w:b/>
          <w:iCs/>
          <w:sz w:val="20"/>
          <w:szCs w:val="20"/>
        </w:rPr>
        <w:t>Units for reporting 95% least significant change for the L1-L4 lumbar spine (30) and total proximal femur (31)</w:t>
      </w:r>
      <w:bookmarkEnd w:id="1"/>
      <w:bookmarkEnd w:id="3"/>
    </w:p>
    <w:p w14:paraId="35631D38" w14:textId="3664C0AA" w:rsidR="00554A54" w:rsidRDefault="00554A54" w:rsidP="00E90D3D">
      <w:r w:rsidRPr="00426E00">
        <w:rPr>
          <w:noProof/>
          <w:lang w:eastAsia="en-GB"/>
        </w:rPr>
        <w:drawing>
          <wp:inline distT="0" distB="0" distL="0" distR="0" wp14:anchorId="524012FF" wp14:editId="7F25A749">
            <wp:extent cx="5029200" cy="3657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54F7390" w14:textId="77777777" w:rsidR="00D34E8E" w:rsidRDefault="00D34E8E" w:rsidP="00D34E8E">
      <w:pPr>
        <w:pStyle w:val="Caption"/>
        <w:keepNext/>
        <w:jc w:val="both"/>
        <w:rPr>
          <w:b w:val="0"/>
          <w:iCs w:val="0"/>
          <w:szCs w:val="22"/>
        </w:rPr>
      </w:pPr>
      <w:r w:rsidRPr="000F36F0">
        <w:rPr>
          <w:b w:val="0"/>
          <w:iCs w:val="0"/>
          <w:sz w:val="18"/>
        </w:rPr>
        <w:t>LSC: Least significant change</w:t>
      </w:r>
    </w:p>
    <w:p w14:paraId="243DEA81" w14:textId="77777777" w:rsidR="00554A54" w:rsidRDefault="00554A54" w:rsidP="00E90D3D"/>
    <w:p w14:paraId="6089EE72" w14:textId="77777777" w:rsidR="00554A54" w:rsidRDefault="00554A54" w:rsidP="00E90D3D"/>
    <w:p w14:paraId="268D8553" w14:textId="77777777" w:rsidR="00554A54" w:rsidRDefault="00554A54" w:rsidP="00E90D3D"/>
    <w:p w14:paraId="1E4088F0" w14:textId="77777777" w:rsidR="00554A54" w:rsidRDefault="00554A54" w:rsidP="00E90D3D"/>
    <w:p w14:paraId="2CD2131D" w14:textId="77777777" w:rsidR="00554A54" w:rsidRDefault="00554A54" w:rsidP="00E90D3D"/>
    <w:p w14:paraId="123414A8" w14:textId="77777777" w:rsidR="00554A54" w:rsidRDefault="00554A54" w:rsidP="00E90D3D"/>
    <w:p w14:paraId="730931B1" w14:textId="77777777" w:rsidR="00554A54" w:rsidRDefault="00554A54" w:rsidP="00E90D3D"/>
    <w:p w14:paraId="42C44A23" w14:textId="77777777" w:rsidR="00554A54" w:rsidRDefault="00554A54" w:rsidP="00E90D3D"/>
    <w:p w14:paraId="7F5CFDD9" w14:textId="77777777" w:rsidR="00554A54" w:rsidRDefault="00554A54" w:rsidP="00E90D3D"/>
    <w:p w14:paraId="2D836592" w14:textId="77777777" w:rsidR="00554A54" w:rsidRDefault="00554A54" w:rsidP="00E90D3D"/>
    <w:p w14:paraId="24DC4FB5" w14:textId="77777777" w:rsidR="00554A54" w:rsidRDefault="00554A54" w:rsidP="00E90D3D"/>
    <w:p w14:paraId="32EA990A" w14:textId="77777777" w:rsidR="00554A54" w:rsidRDefault="00554A54" w:rsidP="00E90D3D"/>
    <w:p w14:paraId="6CFDD6A4" w14:textId="77777777" w:rsidR="00554A54" w:rsidRDefault="00554A54" w:rsidP="00E90D3D"/>
    <w:p w14:paraId="612052C1" w14:textId="77777777" w:rsidR="00554A54" w:rsidRDefault="00554A54" w:rsidP="00E90D3D"/>
    <w:p w14:paraId="301395A6" w14:textId="77777777" w:rsidR="00554A54" w:rsidRDefault="00554A54" w:rsidP="00E90D3D"/>
    <w:p w14:paraId="257AE5EB" w14:textId="77777777" w:rsidR="006B605C" w:rsidRDefault="006B605C" w:rsidP="00E90D3D"/>
    <w:p w14:paraId="35D781E1" w14:textId="77777777" w:rsidR="006B605C" w:rsidRPr="006B605C" w:rsidRDefault="006B605C" w:rsidP="006B605C">
      <w:pPr>
        <w:keepNext/>
        <w:spacing w:after="200" w:line="240" w:lineRule="auto"/>
        <w:jc w:val="both"/>
        <w:rPr>
          <w:b/>
          <w:iCs/>
          <w:sz w:val="20"/>
          <w:szCs w:val="20"/>
        </w:rPr>
      </w:pPr>
      <w:r w:rsidRPr="006B605C">
        <w:rPr>
          <w:b/>
          <w:iCs/>
          <w:sz w:val="20"/>
          <w:szCs w:val="20"/>
        </w:rPr>
        <w:lastRenderedPageBreak/>
        <w:t xml:space="preserve">Appendix </w:t>
      </w:r>
      <w:r w:rsidRPr="006B605C">
        <w:rPr>
          <w:b/>
          <w:iCs/>
          <w:noProof/>
          <w:sz w:val="20"/>
          <w:szCs w:val="20"/>
        </w:rPr>
        <w:t>1</w:t>
      </w:r>
      <w:r w:rsidRPr="006B605C">
        <w:rPr>
          <w:b/>
          <w:iCs/>
          <w:sz w:val="20"/>
          <w:szCs w:val="20"/>
        </w:rPr>
        <w:t xml:space="preserve">: Questions </w:t>
      </w:r>
      <w:proofErr w:type="gramStart"/>
      <w:r w:rsidRPr="006B605C">
        <w:rPr>
          <w:b/>
          <w:iCs/>
          <w:sz w:val="20"/>
          <w:szCs w:val="20"/>
        </w:rPr>
        <w:t>asked</w:t>
      </w:r>
      <w:proofErr w:type="gramEnd"/>
      <w:r w:rsidRPr="006B605C">
        <w:rPr>
          <w:b/>
          <w:iCs/>
          <w:sz w:val="20"/>
          <w:szCs w:val="20"/>
        </w:rPr>
        <w:t xml:space="preserve"> and variables derived (numbers correspond to variables used in figures and tables)</w:t>
      </w:r>
    </w:p>
    <w:p w14:paraId="279E52C8" w14:textId="77777777" w:rsidR="006B605C" w:rsidRPr="006B605C" w:rsidRDefault="006B605C" w:rsidP="006B605C">
      <w:pPr>
        <w:rPr>
          <w:b/>
          <w:sz w:val="20"/>
          <w:szCs w:val="20"/>
        </w:rPr>
      </w:pPr>
    </w:p>
    <w:p w14:paraId="7FDA856A" w14:textId="77777777" w:rsidR="006B605C" w:rsidRPr="006B605C" w:rsidRDefault="006B605C" w:rsidP="006B605C">
      <w:pPr>
        <w:rPr>
          <w:b/>
          <w:sz w:val="20"/>
          <w:szCs w:val="20"/>
        </w:rPr>
      </w:pPr>
      <w:r w:rsidRPr="006B605C">
        <w:rPr>
          <w:b/>
          <w:sz w:val="20"/>
          <w:szCs w:val="20"/>
        </w:rPr>
        <w:t xml:space="preserve">Part I – Capture </w:t>
      </w:r>
      <w:proofErr w:type="gramStart"/>
      <w:r w:rsidRPr="006B605C">
        <w:rPr>
          <w:b/>
          <w:sz w:val="20"/>
          <w:szCs w:val="20"/>
        </w:rPr>
        <w:t>The</w:t>
      </w:r>
      <w:proofErr w:type="gramEnd"/>
      <w:r w:rsidRPr="006B605C">
        <w:rPr>
          <w:b/>
          <w:sz w:val="20"/>
          <w:szCs w:val="20"/>
        </w:rPr>
        <w:t xml:space="preserve"> Fracture (CTF):  FLS Service Responses</w:t>
      </w:r>
    </w:p>
    <w:p w14:paraId="7D3D2DA3" w14:textId="77777777" w:rsidR="006B605C" w:rsidRPr="006B605C" w:rsidRDefault="006B605C" w:rsidP="006B605C">
      <w:pPr>
        <w:rPr>
          <w:i/>
          <w:sz w:val="20"/>
          <w:szCs w:val="20"/>
        </w:rPr>
      </w:pPr>
      <w:r w:rsidRPr="006B605C">
        <w:rPr>
          <w:i/>
          <w:sz w:val="20"/>
          <w:szCs w:val="20"/>
        </w:rPr>
        <w:t xml:space="preserve">To be completed by the FLS Contact.  </w:t>
      </w:r>
    </w:p>
    <w:p w14:paraId="2F0CC96A"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1. In what country is your FLS located?</w:t>
      </w:r>
    </w:p>
    <w:p w14:paraId="1897C373"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2. Continent in which FLS is located (derived variable and not asked as a question)</w:t>
      </w:r>
    </w:p>
    <w:p w14:paraId="1131C163"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3. What is your access to DXA?</w:t>
      </w:r>
    </w:p>
    <w:p w14:paraId="3CD4A5B1"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4. How often would you request DXA in a new patient?</w:t>
      </w:r>
    </w:p>
    <w:p w14:paraId="44E55004"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5. How often would you request DXA to monitor therapy in a treated patient &lt;75 years old?</w:t>
      </w:r>
    </w:p>
    <w:p w14:paraId="2C3B85B1"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6. How often would you request DXA to monitor therapy in a treated patient ≥75 years old?</w:t>
      </w:r>
    </w:p>
    <w:p w14:paraId="0284A1C9"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7. What is your usual DXA testing interval in a patient initiating treatment?</w:t>
      </w:r>
    </w:p>
    <w:p w14:paraId="353F3E43"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8. Median DXA testing interval (years) for a patient initiating treatment (derived variable)</w:t>
      </w:r>
    </w:p>
    <w:p w14:paraId="56446A8E"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9. How well does your FLS access to DXA meet the needs of the service?</w:t>
      </w:r>
    </w:p>
    <w:p w14:paraId="19B8AEBE"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10. How often would you consider the quality of your DXA services (scanning and reporting) as "excellent"?</w:t>
      </w:r>
    </w:p>
    <w:p w14:paraId="5D146ABD"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11. How often do you question the quality of a DXA report?</w:t>
      </w:r>
    </w:p>
    <w:p w14:paraId="734FCBF1" w14:textId="77777777" w:rsidR="006B605C" w:rsidRPr="006B605C" w:rsidRDefault="006B605C" w:rsidP="006B605C">
      <w:pPr>
        <w:widowControl w:val="0"/>
        <w:spacing w:after="120" w:line="276" w:lineRule="auto"/>
        <w:jc w:val="both"/>
        <w:rPr>
          <w:rFonts w:cs="Arial"/>
          <w:b/>
          <w:sz w:val="20"/>
          <w:szCs w:val="20"/>
        </w:rPr>
      </w:pPr>
    </w:p>
    <w:p w14:paraId="574FE358" w14:textId="77777777" w:rsidR="006B605C" w:rsidRPr="006B605C" w:rsidRDefault="006B605C" w:rsidP="006B605C">
      <w:pPr>
        <w:widowControl w:val="0"/>
        <w:spacing w:after="120" w:line="276" w:lineRule="auto"/>
        <w:jc w:val="both"/>
        <w:rPr>
          <w:rFonts w:cs="Arial"/>
          <w:b/>
          <w:sz w:val="20"/>
          <w:szCs w:val="20"/>
        </w:rPr>
      </w:pPr>
      <w:r w:rsidRPr="006B605C">
        <w:rPr>
          <w:rFonts w:cs="Arial"/>
          <w:b/>
          <w:sz w:val="20"/>
          <w:szCs w:val="20"/>
        </w:rPr>
        <w:t xml:space="preserve">Part II – Capture </w:t>
      </w:r>
      <w:proofErr w:type="gramStart"/>
      <w:r w:rsidRPr="006B605C">
        <w:rPr>
          <w:rFonts w:cs="Arial"/>
          <w:b/>
          <w:sz w:val="20"/>
          <w:szCs w:val="20"/>
        </w:rPr>
        <w:t>The</w:t>
      </w:r>
      <w:proofErr w:type="gramEnd"/>
      <w:r w:rsidRPr="006B605C">
        <w:rPr>
          <w:rFonts w:cs="Arial"/>
          <w:b/>
          <w:sz w:val="20"/>
          <w:szCs w:val="20"/>
        </w:rPr>
        <w:t xml:space="preserve"> Fracture (CTF):  DXA Service Provider Responses</w:t>
      </w:r>
    </w:p>
    <w:p w14:paraId="2ED19E7B" w14:textId="77777777" w:rsidR="006B605C" w:rsidRPr="006B605C" w:rsidRDefault="006B605C" w:rsidP="006B605C">
      <w:pPr>
        <w:widowControl w:val="0"/>
        <w:spacing w:after="120" w:line="276" w:lineRule="auto"/>
        <w:jc w:val="both"/>
        <w:rPr>
          <w:rFonts w:cs="Arial"/>
          <w:i/>
          <w:sz w:val="20"/>
          <w:szCs w:val="20"/>
        </w:rPr>
      </w:pPr>
      <w:r w:rsidRPr="006B605C">
        <w:rPr>
          <w:rFonts w:cs="Arial"/>
          <w:i/>
          <w:sz w:val="20"/>
          <w:szCs w:val="20"/>
        </w:rPr>
        <w:t>May require the input of staff at your DXA provider.</w:t>
      </w:r>
    </w:p>
    <w:p w14:paraId="3AB9A3A9"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12. Has your DXA facility been accredited by a professional or governmental organisation?</w:t>
      </w:r>
    </w:p>
    <w:p w14:paraId="7EC84F1A"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13. Does your DXA facility designate one or more operator(s) as supervisor(s) of DXA activities?</w:t>
      </w:r>
    </w:p>
    <w:p w14:paraId="658F87F0"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14. Does your DXA facility require ongoing continuing education in osteoporosis or DXA for operators?</w:t>
      </w:r>
    </w:p>
    <w:p w14:paraId="4E5EE6D1"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15. Does your DXA facility require ongoing continuing education in osteoporosis or DXA for interpreters?</w:t>
      </w:r>
    </w:p>
    <w:p w14:paraId="29C9B798"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16. Does your DXA facility use a facility-specific Standard Operating Procedures (SOPs) manual?</w:t>
      </w:r>
    </w:p>
    <w:p w14:paraId="3A9509A0"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17. How often does your DXA facility assess machine calibration with a phantom?</w:t>
      </w:r>
    </w:p>
    <w:p w14:paraId="029F1CF0"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18. How often do you plot phantom values and review for shifts and drift?</w:t>
      </w:r>
    </w:p>
    <w:p w14:paraId="2D25E68D"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19. Do you have numerical quality assurance rules to determine acceptable DXA machine performance?</w:t>
      </w:r>
    </w:p>
    <w:p w14:paraId="220A6E04"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20. Is your manufacturer's specific operations manual immediately available in the DXA suite in print or electronic form?</w:t>
      </w:r>
    </w:p>
    <w:p w14:paraId="052B622E"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21. How often does your DXA facility use a standardised questionnaire to gather clinical information about patients?</w:t>
      </w:r>
    </w:p>
    <w:p w14:paraId="6C622034"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22. Which elements are part of your DXA questionnaire? - Indications for DXA scan</w:t>
      </w:r>
    </w:p>
    <w:p w14:paraId="0B7A4C27"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23. Which elements are part of your DXA questionnaire? - Clinical risk factors for fracture risk calculation</w:t>
      </w:r>
    </w:p>
    <w:p w14:paraId="6DC81EF3"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24. Which elements are part of your DXA questionnaire? - History or present use of bone-detrimental medications</w:t>
      </w:r>
    </w:p>
    <w:p w14:paraId="3158459E"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lastRenderedPageBreak/>
        <w:t>25. Which elements are part of your DXA questionnaire? - Fracture history</w:t>
      </w:r>
    </w:p>
    <w:p w14:paraId="22738342"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26. Which elements are part of your DXA questionnaire? - Treatment with osteoporosis medications</w:t>
      </w:r>
    </w:p>
    <w:p w14:paraId="447F520B"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27. Which elements are part of your DXA questionnaire? - No questionnaire is used</w:t>
      </w:r>
    </w:p>
    <w:p w14:paraId="637B4C61"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28. What is the primary source for collecting DXA questionnaire responses?</w:t>
      </w:r>
    </w:p>
    <w:p w14:paraId="0C2E2405"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29. How does your DXA facility assess for significant BMD change over time?</w:t>
      </w:r>
    </w:p>
    <w:p w14:paraId="6128942E"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30. How does your facility report the 95% least significant change (LSC) for the L1-L4 lumbar spine?</w:t>
      </w:r>
    </w:p>
    <w:p w14:paraId="6CC983AC"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31. How does your facility report the 95% least significant change (LSC) for the total hip (total proximal femur)?</w:t>
      </w:r>
    </w:p>
    <w:p w14:paraId="09CD4AF5"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32. Does your DXA facility report one skeletal diagnostic category per patient or one skeletal diagnostic category per measurement site?</w:t>
      </w:r>
    </w:p>
    <w:p w14:paraId="23C15B05"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 xml:space="preserve">33. Which of the following validated quantitative fracture risk instruments does your facility use in reporting DXA: Facility does not report quantitative fracture risk; </w:t>
      </w:r>
      <w:proofErr w:type="spellStart"/>
      <w:r w:rsidRPr="006B605C">
        <w:rPr>
          <w:rFonts w:cs="Arial"/>
          <w:sz w:val="20"/>
          <w:szCs w:val="20"/>
        </w:rPr>
        <w:t>Garvan</w:t>
      </w:r>
      <w:proofErr w:type="spellEnd"/>
      <w:r w:rsidRPr="006B605C">
        <w:rPr>
          <w:rFonts w:cs="Arial"/>
          <w:sz w:val="20"/>
          <w:szCs w:val="20"/>
        </w:rPr>
        <w:t xml:space="preserve"> Fracture Risk Calculator; </w:t>
      </w:r>
      <w:proofErr w:type="spellStart"/>
      <w:r w:rsidRPr="006B605C">
        <w:rPr>
          <w:rFonts w:cs="Arial"/>
          <w:sz w:val="20"/>
          <w:szCs w:val="20"/>
        </w:rPr>
        <w:t>QFracture</w:t>
      </w:r>
      <w:proofErr w:type="spellEnd"/>
      <w:r w:rsidRPr="006B605C">
        <w:rPr>
          <w:rFonts w:cs="Arial"/>
          <w:sz w:val="20"/>
          <w:szCs w:val="20"/>
        </w:rPr>
        <w:t xml:space="preserve"> 2013; FRAX; Other?</w:t>
      </w:r>
      <w:r w:rsidRPr="006B605C">
        <w:rPr>
          <w:rFonts w:asciiTheme="minorHAnsi" w:hAnsiTheme="minorHAnsi"/>
        </w:rPr>
        <w:t xml:space="preserve"> </w:t>
      </w:r>
    </w:p>
    <w:p w14:paraId="4BCD8344"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34. How often does your facility report quantitative fracture risk?</w:t>
      </w:r>
    </w:p>
    <w:p w14:paraId="2631A73D"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35. How often does your DXA report identify body site, region of interest and body side for each valid BMD reported?</w:t>
      </w:r>
    </w:p>
    <w:p w14:paraId="59E99957"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36. Does your DXA report contain information about scanner manufacturer and model?</w:t>
      </w:r>
    </w:p>
    <w:p w14:paraId="71AC71B3"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37. How often does your DXA report state technical adequacy or limitations of the DXA study?</w:t>
      </w:r>
    </w:p>
    <w:p w14:paraId="7F92CAB9" w14:textId="77777777" w:rsidR="006B605C" w:rsidRPr="006B605C" w:rsidRDefault="006B605C" w:rsidP="006B605C">
      <w:pPr>
        <w:widowControl w:val="0"/>
        <w:spacing w:after="120" w:line="276" w:lineRule="auto"/>
        <w:jc w:val="both"/>
        <w:rPr>
          <w:rFonts w:cs="Arial"/>
          <w:sz w:val="20"/>
          <w:szCs w:val="20"/>
        </w:rPr>
      </w:pPr>
      <w:r w:rsidRPr="006B605C">
        <w:rPr>
          <w:rFonts w:cs="Arial"/>
          <w:sz w:val="20"/>
          <w:szCs w:val="20"/>
        </w:rPr>
        <w:t>38. How often do DXA interpreters comment on differences in standard acquisitioning and analysis parameters?</w:t>
      </w:r>
    </w:p>
    <w:p w14:paraId="3D780E39" w14:textId="77777777" w:rsidR="006B605C" w:rsidRPr="006B605C" w:rsidRDefault="006B605C" w:rsidP="006B605C">
      <w:pPr>
        <w:widowControl w:val="0"/>
        <w:spacing w:after="120" w:line="276" w:lineRule="auto"/>
        <w:jc w:val="both"/>
      </w:pPr>
      <w:r w:rsidRPr="006B605C">
        <w:rPr>
          <w:rFonts w:cs="Arial"/>
          <w:sz w:val="20"/>
          <w:szCs w:val="20"/>
        </w:rPr>
        <w:t>39. How often does your DXA facility report recommend repeat scan intervals?</w:t>
      </w:r>
    </w:p>
    <w:p w14:paraId="41C673A7" w14:textId="77777777" w:rsidR="006B605C" w:rsidRPr="006B605C" w:rsidRDefault="006B605C" w:rsidP="006B605C">
      <w:pPr>
        <w:widowControl w:val="0"/>
        <w:spacing w:after="120" w:line="276" w:lineRule="auto"/>
        <w:jc w:val="both"/>
      </w:pPr>
    </w:p>
    <w:p w14:paraId="754FAA6D" w14:textId="77777777" w:rsidR="006B605C" w:rsidRPr="006B605C" w:rsidRDefault="006B605C" w:rsidP="006B605C">
      <w:pPr>
        <w:jc w:val="both"/>
        <w:rPr>
          <w:sz w:val="18"/>
          <w:szCs w:val="18"/>
        </w:rPr>
      </w:pPr>
      <w:r w:rsidRPr="006B605C">
        <w:rPr>
          <w:sz w:val="18"/>
          <w:szCs w:val="18"/>
        </w:rPr>
        <w:t>4 questions were omitted from Appendix 1 as they were open ended</w:t>
      </w:r>
    </w:p>
    <w:p w14:paraId="0C4A12DC" w14:textId="77777777" w:rsidR="006B605C" w:rsidRPr="006B605C" w:rsidRDefault="006B605C" w:rsidP="006B605C">
      <w:pPr>
        <w:jc w:val="both"/>
      </w:pPr>
    </w:p>
    <w:p w14:paraId="10C22DC2" w14:textId="77777777" w:rsidR="006B605C" w:rsidRPr="006B605C" w:rsidRDefault="006B605C" w:rsidP="006B605C">
      <w:pPr>
        <w:jc w:val="both"/>
      </w:pPr>
    </w:p>
    <w:p w14:paraId="046228EC" w14:textId="77777777" w:rsidR="006B605C" w:rsidRPr="006B605C" w:rsidRDefault="006B605C" w:rsidP="006B605C">
      <w:pPr>
        <w:jc w:val="both"/>
      </w:pPr>
    </w:p>
    <w:p w14:paraId="44C8971D" w14:textId="77777777" w:rsidR="006B605C" w:rsidRPr="006B605C" w:rsidRDefault="006B605C" w:rsidP="006B605C">
      <w:pPr>
        <w:jc w:val="both"/>
      </w:pPr>
    </w:p>
    <w:p w14:paraId="5E5A01E9" w14:textId="77777777" w:rsidR="006B605C" w:rsidRPr="006B605C" w:rsidRDefault="006B605C" w:rsidP="006B605C">
      <w:pPr>
        <w:jc w:val="both"/>
      </w:pPr>
    </w:p>
    <w:p w14:paraId="3E082156" w14:textId="77777777" w:rsidR="006B605C" w:rsidRPr="006B605C" w:rsidRDefault="006B605C" w:rsidP="006B605C">
      <w:pPr>
        <w:jc w:val="both"/>
      </w:pPr>
    </w:p>
    <w:p w14:paraId="58F3A3FA" w14:textId="77777777" w:rsidR="006B605C" w:rsidRPr="006B605C" w:rsidRDefault="006B605C" w:rsidP="006B605C">
      <w:pPr>
        <w:jc w:val="both"/>
      </w:pPr>
    </w:p>
    <w:p w14:paraId="15E68F74" w14:textId="77777777" w:rsidR="006B605C" w:rsidRPr="006B605C" w:rsidRDefault="006B605C" w:rsidP="006B605C">
      <w:pPr>
        <w:jc w:val="both"/>
      </w:pPr>
    </w:p>
    <w:p w14:paraId="491A229E" w14:textId="77777777" w:rsidR="006B605C" w:rsidRPr="006B605C" w:rsidRDefault="006B605C" w:rsidP="006B605C">
      <w:pPr>
        <w:jc w:val="both"/>
      </w:pPr>
    </w:p>
    <w:p w14:paraId="0AAEDA33" w14:textId="77777777" w:rsidR="006B605C" w:rsidRPr="006B605C" w:rsidRDefault="006B605C" w:rsidP="006B605C">
      <w:pPr>
        <w:jc w:val="both"/>
      </w:pPr>
    </w:p>
    <w:p w14:paraId="70F57EFC" w14:textId="77777777" w:rsidR="006B605C" w:rsidRPr="006B605C" w:rsidRDefault="006B605C" w:rsidP="006B605C">
      <w:pPr>
        <w:jc w:val="both"/>
      </w:pPr>
    </w:p>
    <w:p w14:paraId="15158D0D" w14:textId="77777777" w:rsidR="006B605C" w:rsidRPr="006B605C" w:rsidRDefault="006B605C" w:rsidP="006B605C">
      <w:pPr>
        <w:jc w:val="both"/>
      </w:pPr>
    </w:p>
    <w:p w14:paraId="76D0D6CE" w14:textId="77777777" w:rsidR="006B605C" w:rsidRPr="006B605C" w:rsidRDefault="006B605C" w:rsidP="006B605C">
      <w:pPr>
        <w:jc w:val="both"/>
      </w:pPr>
    </w:p>
    <w:p w14:paraId="44CD87AF" w14:textId="77777777" w:rsidR="006B605C" w:rsidRPr="006B605C" w:rsidRDefault="006B605C" w:rsidP="006B605C">
      <w:pPr>
        <w:keepNext/>
        <w:spacing w:after="200" w:line="240" w:lineRule="auto"/>
        <w:jc w:val="both"/>
        <w:rPr>
          <w:b/>
          <w:iCs/>
          <w:sz w:val="20"/>
          <w:szCs w:val="20"/>
        </w:rPr>
      </w:pPr>
      <w:bookmarkStart w:id="9" w:name="_Ref15554102"/>
      <w:r w:rsidRPr="006B605C">
        <w:rPr>
          <w:b/>
          <w:iCs/>
          <w:sz w:val="20"/>
          <w:szCs w:val="20"/>
        </w:rPr>
        <w:lastRenderedPageBreak/>
        <w:t xml:space="preserve">Appendix </w:t>
      </w:r>
      <w:r w:rsidRPr="006B605C">
        <w:rPr>
          <w:b/>
          <w:iCs/>
          <w:noProof/>
          <w:sz w:val="20"/>
          <w:szCs w:val="20"/>
        </w:rPr>
        <w:t>2</w:t>
      </w:r>
      <w:bookmarkEnd w:id="9"/>
      <w:r w:rsidRPr="006B605C">
        <w:rPr>
          <w:b/>
          <w:iCs/>
          <w:sz w:val="20"/>
          <w:szCs w:val="20"/>
        </w:rPr>
        <w:t>: Number and percentage of responses in each category for questions asked and variables derived</w:t>
      </w:r>
    </w:p>
    <w:tbl>
      <w:tblPr>
        <w:tblW w:w="9136" w:type="dxa"/>
        <w:tblLook w:val="04A0" w:firstRow="1" w:lastRow="0" w:firstColumn="1" w:lastColumn="0" w:noHBand="0" w:noVBand="1"/>
      </w:tblPr>
      <w:tblGrid>
        <w:gridCol w:w="7840"/>
        <w:gridCol w:w="1296"/>
      </w:tblGrid>
      <w:tr w:rsidR="006B605C" w:rsidRPr="006B605C" w14:paraId="68B6A6C9" w14:textId="77777777" w:rsidTr="00F8491A">
        <w:trPr>
          <w:cantSplit/>
          <w:tblHeader/>
        </w:trPr>
        <w:tc>
          <w:tcPr>
            <w:tcW w:w="7840" w:type="dxa"/>
            <w:tcBorders>
              <w:top w:val="single" w:sz="4" w:space="0" w:color="auto"/>
              <w:left w:val="nil"/>
              <w:bottom w:val="single" w:sz="4" w:space="0" w:color="auto"/>
              <w:right w:val="nil"/>
            </w:tcBorders>
            <w:shd w:val="clear" w:color="auto" w:fill="auto"/>
            <w:noWrap/>
            <w:vAlign w:val="bottom"/>
            <w:hideMark/>
          </w:tcPr>
          <w:p w14:paraId="1BDB1F51" w14:textId="77777777" w:rsidR="006B605C" w:rsidRPr="006B605C" w:rsidRDefault="006B605C" w:rsidP="006B605C">
            <w:pPr>
              <w:spacing w:after="0" w:line="240" w:lineRule="auto"/>
              <w:jc w:val="both"/>
              <w:rPr>
                <w:rFonts w:eastAsia="Times New Roman" w:cs="Arial"/>
                <w:b/>
                <w:bCs/>
                <w:color w:val="000000"/>
                <w:sz w:val="20"/>
                <w:szCs w:val="20"/>
                <w:lang w:eastAsia="en-GB"/>
              </w:rPr>
            </w:pPr>
            <w:r w:rsidRPr="006B605C">
              <w:rPr>
                <w:rFonts w:eastAsia="Times New Roman" w:cs="Arial"/>
                <w:b/>
                <w:bCs/>
                <w:color w:val="000000"/>
                <w:sz w:val="20"/>
                <w:szCs w:val="20"/>
                <w:lang w:eastAsia="en-GB"/>
              </w:rPr>
              <w:t>Question/variable</w:t>
            </w:r>
          </w:p>
        </w:tc>
        <w:tc>
          <w:tcPr>
            <w:tcW w:w="1296" w:type="dxa"/>
            <w:tcBorders>
              <w:top w:val="single" w:sz="4" w:space="0" w:color="auto"/>
              <w:left w:val="nil"/>
              <w:bottom w:val="single" w:sz="4" w:space="0" w:color="auto"/>
              <w:right w:val="nil"/>
            </w:tcBorders>
            <w:shd w:val="clear" w:color="auto" w:fill="auto"/>
            <w:noWrap/>
            <w:vAlign w:val="bottom"/>
            <w:hideMark/>
          </w:tcPr>
          <w:p w14:paraId="404D18A1" w14:textId="77777777" w:rsidR="006B605C" w:rsidRPr="006B605C" w:rsidRDefault="006B605C" w:rsidP="006B605C">
            <w:pPr>
              <w:spacing w:after="0" w:line="240" w:lineRule="auto"/>
              <w:jc w:val="both"/>
              <w:rPr>
                <w:rFonts w:eastAsia="Times New Roman" w:cs="Arial"/>
                <w:b/>
                <w:bCs/>
                <w:color w:val="000000"/>
                <w:sz w:val="20"/>
                <w:szCs w:val="20"/>
                <w:lang w:eastAsia="en-GB"/>
              </w:rPr>
            </w:pPr>
            <w:proofErr w:type="gramStart"/>
            <w:r w:rsidRPr="006B605C">
              <w:rPr>
                <w:rFonts w:eastAsia="Times New Roman" w:cs="Arial"/>
                <w:b/>
                <w:bCs/>
                <w:color w:val="000000"/>
                <w:sz w:val="20"/>
                <w:szCs w:val="20"/>
                <w:lang w:eastAsia="en-GB"/>
              </w:rPr>
              <w:t>N(</w:t>
            </w:r>
            <w:proofErr w:type="gramEnd"/>
            <w:r w:rsidRPr="006B605C">
              <w:rPr>
                <w:rFonts w:eastAsia="Times New Roman" w:cs="Arial"/>
                <w:b/>
                <w:bCs/>
                <w:color w:val="000000"/>
                <w:sz w:val="20"/>
                <w:szCs w:val="20"/>
                <w:lang w:eastAsia="en-GB"/>
              </w:rPr>
              <w:t>%)</w:t>
            </w:r>
          </w:p>
        </w:tc>
      </w:tr>
      <w:tr w:rsidR="006B605C" w:rsidRPr="006B605C" w14:paraId="0C641805"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229661B" w14:textId="77777777" w:rsidR="006B605C" w:rsidRPr="006B605C" w:rsidRDefault="006B605C" w:rsidP="006B605C">
            <w:pPr>
              <w:jc w:val="both"/>
              <w:rPr>
                <w:rFonts w:eastAsia="Times New Roman" w:cs="Arial"/>
                <w:color w:val="000000"/>
                <w:sz w:val="20"/>
                <w:szCs w:val="20"/>
                <w:lang w:eastAsia="en-GB"/>
              </w:rPr>
            </w:pPr>
            <w:r w:rsidRPr="006B605C">
              <w:rPr>
                <w:rFonts w:eastAsia="Times New Roman" w:cs="Arial"/>
                <w:color w:val="000000"/>
                <w:sz w:val="20"/>
                <w:szCs w:val="20"/>
                <w:lang w:eastAsia="en-GB"/>
              </w:rPr>
              <w:t>1. Country in which FLS is located</w:t>
            </w:r>
          </w:p>
        </w:tc>
        <w:tc>
          <w:tcPr>
            <w:tcW w:w="1296" w:type="dxa"/>
            <w:tcBorders>
              <w:top w:val="nil"/>
              <w:left w:val="nil"/>
              <w:bottom w:val="nil"/>
              <w:right w:val="nil"/>
            </w:tcBorders>
            <w:shd w:val="clear" w:color="auto" w:fill="auto"/>
            <w:noWrap/>
            <w:vAlign w:val="bottom"/>
            <w:hideMark/>
          </w:tcPr>
          <w:p w14:paraId="493EE1AA"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61B71AA9"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6FA227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Algeria</w:t>
            </w:r>
          </w:p>
        </w:tc>
        <w:tc>
          <w:tcPr>
            <w:tcW w:w="1296" w:type="dxa"/>
            <w:tcBorders>
              <w:top w:val="nil"/>
              <w:left w:val="nil"/>
              <w:bottom w:val="nil"/>
              <w:right w:val="nil"/>
            </w:tcBorders>
            <w:shd w:val="clear" w:color="auto" w:fill="auto"/>
            <w:noWrap/>
            <w:vAlign w:val="bottom"/>
            <w:hideMark/>
          </w:tcPr>
          <w:p w14:paraId="75087D2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41DEB05E"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886B43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Argentina</w:t>
            </w:r>
          </w:p>
        </w:tc>
        <w:tc>
          <w:tcPr>
            <w:tcW w:w="1296" w:type="dxa"/>
            <w:tcBorders>
              <w:top w:val="nil"/>
              <w:left w:val="nil"/>
              <w:bottom w:val="nil"/>
              <w:right w:val="nil"/>
            </w:tcBorders>
            <w:shd w:val="clear" w:color="auto" w:fill="auto"/>
            <w:noWrap/>
            <w:vAlign w:val="bottom"/>
            <w:hideMark/>
          </w:tcPr>
          <w:p w14:paraId="72BC6E4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73D5073E"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720F0A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Australia</w:t>
            </w:r>
          </w:p>
        </w:tc>
        <w:tc>
          <w:tcPr>
            <w:tcW w:w="1296" w:type="dxa"/>
            <w:tcBorders>
              <w:top w:val="nil"/>
              <w:left w:val="nil"/>
              <w:bottom w:val="nil"/>
              <w:right w:val="nil"/>
            </w:tcBorders>
            <w:shd w:val="clear" w:color="auto" w:fill="auto"/>
            <w:noWrap/>
            <w:vAlign w:val="bottom"/>
            <w:hideMark/>
          </w:tcPr>
          <w:p w14:paraId="65BBE1D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(4.2%)</w:t>
            </w:r>
          </w:p>
        </w:tc>
      </w:tr>
      <w:tr w:rsidR="006B605C" w:rsidRPr="006B605C" w14:paraId="2EF2E33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E83D08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Belgium</w:t>
            </w:r>
          </w:p>
        </w:tc>
        <w:tc>
          <w:tcPr>
            <w:tcW w:w="1296" w:type="dxa"/>
            <w:tcBorders>
              <w:top w:val="nil"/>
              <w:left w:val="nil"/>
              <w:bottom w:val="nil"/>
              <w:right w:val="nil"/>
            </w:tcBorders>
            <w:shd w:val="clear" w:color="auto" w:fill="auto"/>
            <w:noWrap/>
            <w:vAlign w:val="bottom"/>
            <w:hideMark/>
          </w:tcPr>
          <w:p w14:paraId="31E4BB5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 (1.7%)</w:t>
            </w:r>
          </w:p>
        </w:tc>
      </w:tr>
      <w:tr w:rsidR="006B605C" w:rsidRPr="006B605C" w14:paraId="667B106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702EE0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Brazil</w:t>
            </w:r>
          </w:p>
        </w:tc>
        <w:tc>
          <w:tcPr>
            <w:tcW w:w="1296" w:type="dxa"/>
            <w:tcBorders>
              <w:top w:val="nil"/>
              <w:left w:val="nil"/>
              <w:bottom w:val="nil"/>
              <w:right w:val="nil"/>
            </w:tcBorders>
            <w:shd w:val="clear" w:color="auto" w:fill="auto"/>
            <w:noWrap/>
            <w:vAlign w:val="bottom"/>
            <w:hideMark/>
          </w:tcPr>
          <w:p w14:paraId="0672358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 (2.5%)</w:t>
            </w:r>
          </w:p>
        </w:tc>
      </w:tr>
      <w:tr w:rsidR="006B605C" w:rsidRPr="006B605C" w14:paraId="6408883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A30C29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Greece</w:t>
            </w:r>
          </w:p>
        </w:tc>
        <w:tc>
          <w:tcPr>
            <w:tcW w:w="1296" w:type="dxa"/>
            <w:tcBorders>
              <w:top w:val="nil"/>
              <w:left w:val="nil"/>
              <w:bottom w:val="nil"/>
              <w:right w:val="nil"/>
            </w:tcBorders>
            <w:shd w:val="clear" w:color="auto" w:fill="auto"/>
            <w:noWrap/>
            <w:vAlign w:val="bottom"/>
            <w:hideMark/>
          </w:tcPr>
          <w:p w14:paraId="5BA5004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620C6C5A"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65DCF4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Canada</w:t>
            </w:r>
          </w:p>
        </w:tc>
        <w:tc>
          <w:tcPr>
            <w:tcW w:w="1296" w:type="dxa"/>
            <w:tcBorders>
              <w:top w:val="nil"/>
              <w:left w:val="nil"/>
              <w:bottom w:val="nil"/>
              <w:right w:val="nil"/>
            </w:tcBorders>
            <w:shd w:val="clear" w:color="auto" w:fill="auto"/>
            <w:noWrap/>
            <w:vAlign w:val="bottom"/>
            <w:hideMark/>
          </w:tcPr>
          <w:p w14:paraId="47E61DA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 (3.3%)</w:t>
            </w:r>
          </w:p>
        </w:tc>
      </w:tr>
      <w:tr w:rsidR="006B605C" w:rsidRPr="006B605C" w14:paraId="7E52C2D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1A5ACF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Colombia</w:t>
            </w:r>
          </w:p>
        </w:tc>
        <w:tc>
          <w:tcPr>
            <w:tcW w:w="1296" w:type="dxa"/>
            <w:tcBorders>
              <w:top w:val="nil"/>
              <w:left w:val="nil"/>
              <w:bottom w:val="nil"/>
              <w:right w:val="nil"/>
            </w:tcBorders>
            <w:shd w:val="clear" w:color="auto" w:fill="auto"/>
            <w:noWrap/>
            <w:vAlign w:val="bottom"/>
            <w:hideMark/>
          </w:tcPr>
          <w:p w14:paraId="1BEA15C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(4.2%)</w:t>
            </w:r>
          </w:p>
        </w:tc>
      </w:tr>
      <w:tr w:rsidR="006B605C" w:rsidRPr="006B605C" w14:paraId="02645BA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809B7D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Czech Republic</w:t>
            </w:r>
          </w:p>
        </w:tc>
        <w:tc>
          <w:tcPr>
            <w:tcW w:w="1296" w:type="dxa"/>
            <w:tcBorders>
              <w:top w:val="nil"/>
              <w:left w:val="nil"/>
              <w:bottom w:val="nil"/>
              <w:right w:val="nil"/>
            </w:tcBorders>
            <w:shd w:val="clear" w:color="auto" w:fill="auto"/>
            <w:noWrap/>
            <w:vAlign w:val="bottom"/>
            <w:hideMark/>
          </w:tcPr>
          <w:p w14:paraId="37DF08E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622A519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F1E080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Denmark</w:t>
            </w:r>
          </w:p>
        </w:tc>
        <w:tc>
          <w:tcPr>
            <w:tcW w:w="1296" w:type="dxa"/>
            <w:tcBorders>
              <w:top w:val="nil"/>
              <w:left w:val="nil"/>
              <w:bottom w:val="nil"/>
              <w:right w:val="nil"/>
            </w:tcBorders>
            <w:shd w:val="clear" w:color="auto" w:fill="auto"/>
            <w:noWrap/>
            <w:vAlign w:val="bottom"/>
            <w:hideMark/>
          </w:tcPr>
          <w:p w14:paraId="1E273BB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 (1.7%)</w:t>
            </w:r>
          </w:p>
        </w:tc>
      </w:tr>
      <w:tr w:rsidR="006B605C" w:rsidRPr="006B605C" w14:paraId="437BD85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C88E89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France</w:t>
            </w:r>
          </w:p>
        </w:tc>
        <w:tc>
          <w:tcPr>
            <w:tcW w:w="1296" w:type="dxa"/>
            <w:tcBorders>
              <w:top w:val="nil"/>
              <w:left w:val="nil"/>
              <w:bottom w:val="nil"/>
              <w:right w:val="nil"/>
            </w:tcBorders>
            <w:shd w:val="clear" w:color="auto" w:fill="auto"/>
            <w:noWrap/>
            <w:vAlign w:val="bottom"/>
            <w:hideMark/>
          </w:tcPr>
          <w:p w14:paraId="7B4FE7C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024EB991"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126949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Hong Kong</w:t>
            </w:r>
          </w:p>
        </w:tc>
        <w:tc>
          <w:tcPr>
            <w:tcW w:w="1296" w:type="dxa"/>
            <w:tcBorders>
              <w:top w:val="nil"/>
              <w:left w:val="nil"/>
              <w:bottom w:val="nil"/>
              <w:right w:val="nil"/>
            </w:tcBorders>
            <w:shd w:val="clear" w:color="auto" w:fill="auto"/>
            <w:noWrap/>
            <w:vAlign w:val="bottom"/>
            <w:hideMark/>
          </w:tcPr>
          <w:p w14:paraId="401F0D5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435B1420"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131A62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Ireland</w:t>
            </w:r>
          </w:p>
        </w:tc>
        <w:tc>
          <w:tcPr>
            <w:tcW w:w="1296" w:type="dxa"/>
            <w:tcBorders>
              <w:top w:val="nil"/>
              <w:left w:val="nil"/>
              <w:bottom w:val="nil"/>
              <w:right w:val="nil"/>
            </w:tcBorders>
            <w:shd w:val="clear" w:color="auto" w:fill="auto"/>
            <w:noWrap/>
            <w:vAlign w:val="bottom"/>
            <w:hideMark/>
          </w:tcPr>
          <w:p w14:paraId="08BFDBA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 (3.3%)</w:t>
            </w:r>
          </w:p>
        </w:tc>
      </w:tr>
      <w:tr w:rsidR="006B605C" w:rsidRPr="006B605C" w14:paraId="1C21469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81FE3C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Israel</w:t>
            </w:r>
          </w:p>
        </w:tc>
        <w:tc>
          <w:tcPr>
            <w:tcW w:w="1296" w:type="dxa"/>
            <w:tcBorders>
              <w:top w:val="nil"/>
              <w:left w:val="nil"/>
              <w:bottom w:val="nil"/>
              <w:right w:val="nil"/>
            </w:tcBorders>
            <w:shd w:val="clear" w:color="auto" w:fill="auto"/>
            <w:noWrap/>
            <w:vAlign w:val="bottom"/>
            <w:hideMark/>
          </w:tcPr>
          <w:p w14:paraId="1A71D5B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 (2.5%)</w:t>
            </w:r>
          </w:p>
        </w:tc>
      </w:tr>
      <w:tr w:rsidR="006B605C" w:rsidRPr="006B605C" w14:paraId="09E09F49"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39EF38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Italy</w:t>
            </w:r>
          </w:p>
        </w:tc>
        <w:tc>
          <w:tcPr>
            <w:tcW w:w="1296" w:type="dxa"/>
            <w:tcBorders>
              <w:top w:val="nil"/>
              <w:left w:val="nil"/>
              <w:bottom w:val="nil"/>
              <w:right w:val="nil"/>
            </w:tcBorders>
            <w:shd w:val="clear" w:color="auto" w:fill="auto"/>
            <w:noWrap/>
            <w:vAlign w:val="bottom"/>
            <w:hideMark/>
          </w:tcPr>
          <w:p w14:paraId="43F0D9C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 (3.3%)</w:t>
            </w:r>
          </w:p>
        </w:tc>
      </w:tr>
      <w:tr w:rsidR="006B605C" w:rsidRPr="006B605C" w14:paraId="5EE3C7A1"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94B792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Japan</w:t>
            </w:r>
          </w:p>
        </w:tc>
        <w:tc>
          <w:tcPr>
            <w:tcW w:w="1296" w:type="dxa"/>
            <w:tcBorders>
              <w:top w:val="nil"/>
              <w:left w:val="nil"/>
              <w:bottom w:val="nil"/>
              <w:right w:val="nil"/>
            </w:tcBorders>
            <w:shd w:val="clear" w:color="auto" w:fill="auto"/>
            <w:noWrap/>
            <w:vAlign w:val="bottom"/>
            <w:hideMark/>
          </w:tcPr>
          <w:p w14:paraId="2F72B70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 (5.8%)</w:t>
            </w:r>
          </w:p>
        </w:tc>
      </w:tr>
      <w:tr w:rsidR="006B605C" w:rsidRPr="006B605C" w14:paraId="08CAD271"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36E47A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Mexico</w:t>
            </w:r>
          </w:p>
        </w:tc>
        <w:tc>
          <w:tcPr>
            <w:tcW w:w="1296" w:type="dxa"/>
            <w:tcBorders>
              <w:top w:val="nil"/>
              <w:left w:val="nil"/>
              <w:bottom w:val="nil"/>
              <w:right w:val="nil"/>
            </w:tcBorders>
            <w:shd w:val="clear" w:color="auto" w:fill="auto"/>
            <w:noWrap/>
            <w:vAlign w:val="bottom"/>
            <w:hideMark/>
          </w:tcPr>
          <w:p w14:paraId="18BF952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 (2.5%)</w:t>
            </w:r>
          </w:p>
        </w:tc>
      </w:tr>
      <w:tr w:rsidR="006B605C" w:rsidRPr="006B605C" w14:paraId="1CD5EDD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7F7EC8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Netherlands</w:t>
            </w:r>
          </w:p>
        </w:tc>
        <w:tc>
          <w:tcPr>
            <w:tcW w:w="1296" w:type="dxa"/>
            <w:tcBorders>
              <w:top w:val="nil"/>
              <w:left w:val="nil"/>
              <w:bottom w:val="nil"/>
              <w:right w:val="nil"/>
            </w:tcBorders>
            <w:shd w:val="clear" w:color="auto" w:fill="auto"/>
            <w:noWrap/>
            <w:vAlign w:val="bottom"/>
            <w:hideMark/>
          </w:tcPr>
          <w:p w14:paraId="2D39C8B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 (2.5%)</w:t>
            </w:r>
          </w:p>
        </w:tc>
      </w:tr>
      <w:tr w:rsidR="006B605C" w:rsidRPr="006B605C" w14:paraId="3A5711F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613523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New Zealand</w:t>
            </w:r>
          </w:p>
        </w:tc>
        <w:tc>
          <w:tcPr>
            <w:tcW w:w="1296" w:type="dxa"/>
            <w:tcBorders>
              <w:top w:val="nil"/>
              <w:left w:val="nil"/>
              <w:bottom w:val="nil"/>
              <w:right w:val="nil"/>
            </w:tcBorders>
            <w:shd w:val="clear" w:color="auto" w:fill="auto"/>
            <w:noWrap/>
            <w:vAlign w:val="bottom"/>
            <w:hideMark/>
          </w:tcPr>
          <w:p w14:paraId="3E46B9E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 (5.0%)</w:t>
            </w:r>
          </w:p>
        </w:tc>
      </w:tr>
      <w:tr w:rsidR="006B605C" w:rsidRPr="006B605C" w14:paraId="14776D5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959D16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Norway</w:t>
            </w:r>
          </w:p>
        </w:tc>
        <w:tc>
          <w:tcPr>
            <w:tcW w:w="1296" w:type="dxa"/>
            <w:tcBorders>
              <w:top w:val="nil"/>
              <w:left w:val="nil"/>
              <w:bottom w:val="nil"/>
              <w:right w:val="nil"/>
            </w:tcBorders>
            <w:shd w:val="clear" w:color="auto" w:fill="auto"/>
            <w:noWrap/>
            <w:vAlign w:val="bottom"/>
            <w:hideMark/>
          </w:tcPr>
          <w:p w14:paraId="45C43D7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 (2.5%)</w:t>
            </w:r>
          </w:p>
        </w:tc>
      </w:tr>
      <w:tr w:rsidR="006B605C" w:rsidRPr="006B605C" w14:paraId="2DF397D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4A9FA9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Philippines</w:t>
            </w:r>
          </w:p>
        </w:tc>
        <w:tc>
          <w:tcPr>
            <w:tcW w:w="1296" w:type="dxa"/>
            <w:tcBorders>
              <w:top w:val="nil"/>
              <w:left w:val="nil"/>
              <w:bottom w:val="nil"/>
              <w:right w:val="nil"/>
            </w:tcBorders>
            <w:shd w:val="clear" w:color="auto" w:fill="auto"/>
            <w:noWrap/>
            <w:vAlign w:val="bottom"/>
            <w:hideMark/>
          </w:tcPr>
          <w:p w14:paraId="47FF733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 (1.7%)</w:t>
            </w:r>
          </w:p>
        </w:tc>
      </w:tr>
      <w:tr w:rsidR="006B605C" w:rsidRPr="006B605C" w14:paraId="0DCDF5D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515CA6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Portugal</w:t>
            </w:r>
          </w:p>
        </w:tc>
        <w:tc>
          <w:tcPr>
            <w:tcW w:w="1296" w:type="dxa"/>
            <w:tcBorders>
              <w:top w:val="nil"/>
              <w:left w:val="nil"/>
              <w:bottom w:val="nil"/>
              <w:right w:val="nil"/>
            </w:tcBorders>
            <w:shd w:val="clear" w:color="auto" w:fill="auto"/>
            <w:noWrap/>
            <w:vAlign w:val="bottom"/>
            <w:hideMark/>
          </w:tcPr>
          <w:p w14:paraId="6003D34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219E38E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15CC37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Russia</w:t>
            </w:r>
          </w:p>
        </w:tc>
        <w:tc>
          <w:tcPr>
            <w:tcW w:w="1296" w:type="dxa"/>
            <w:tcBorders>
              <w:top w:val="nil"/>
              <w:left w:val="nil"/>
              <w:bottom w:val="nil"/>
              <w:right w:val="nil"/>
            </w:tcBorders>
            <w:shd w:val="clear" w:color="auto" w:fill="auto"/>
            <w:noWrap/>
            <w:vAlign w:val="bottom"/>
            <w:hideMark/>
          </w:tcPr>
          <w:p w14:paraId="4EC2C8C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2D18EB50"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DF9433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Singapore</w:t>
            </w:r>
          </w:p>
        </w:tc>
        <w:tc>
          <w:tcPr>
            <w:tcW w:w="1296" w:type="dxa"/>
            <w:tcBorders>
              <w:top w:val="nil"/>
              <w:left w:val="nil"/>
              <w:bottom w:val="nil"/>
              <w:right w:val="nil"/>
            </w:tcBorders>
            <w:shd w:val="clear" w:color="auto" w:fill="auto"/>
            <w:noWrap/>
            <w:vAlign w:val="bottom"/>
            <w:hideMark/>
          </w:tcPr>
          <w:p w14:paraId="6E9389C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5AF3E10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0081E1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Spain</w:t>
            </w:r>
          </w:p>
        </w:tc>
        <w:tc>
          <w:tcPr>
            <w:tcW w:w="1296" w:type="dxa"/>
            <w:tcBorders>
              <w:top w:val="nil"/>
              <w:left w:val="nil"/>
              <w:bottom w:val="nil"/>
              <w:right w:val="nil"/>
            </w:tcBorders>
            <w:shd w:val="clear" w:color="auto" w:fill="auto"/>
            <w:noWrap/>
            <w:vAlign w:val="bottom"/>
            <w:hideMark/>
          </w:tcPr>
          <w:p w14:paraId="427699B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25 (20.8%)</w:t>
            </w:r>
          </w:p>
        </w:tc>
      </w:tr>
      <w:tr w:rsidR="006B605C" w:rsidRPr="006B605C" w14:paraId="3786639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90C20A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Sweden</w:t>
            </w:r>
          </w:p>
        </w:tc>
        <w:tc>
          <w:tcPr>
            <w:tcW w:w="1296" w:type="dxa"/>
            <w:tcBorders>
              <w:top w:val="nil"/>
              <w:left w:val="nil"/>
              <w:bottom w:val="nil"/>
              <w:right w:val="nil"/>
            </w:tcBorders>
            <w:shd w:val="clear" w:color="auto" w:fill="auto"/>
            <w:noWrap/>
            <w:vAlign w:val="bottom"/>
            <w:hideMark/>
          </w:tcPr>
          <w:p w14:paraId="414CB9F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 (1.7%)</w:t>
            </w:r>
          </w:p>
        </w:tc>
      </w:tr>
      <w:tr w:rsidR="006B605C" w:rsidRPr="006B605C" w14:paraId="03991EF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9A84AB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Switzerland</w:t>
            </w:r>
          </w:p>
        </w:tc>
        <w:tc>
          <w:tcPr>
            <w:tcW w:w="1296" w:type="dxa"/>
            <w:tcBorders>
              <w:top w:val="nil"/>
              <w:left w:val="nil"/>
              <w:bottom w:val="nil"/>
              <w:right w:val="nil"/>
            </w:tcBorders>
            <w:shd w:val="clear" w:color="auto" w:fill="auto"/>
            <w:noWrap/>
            <w:vAlign w:val="bottom"/>
            <w:hideMark/>
          </w:tcPr>
          <w:p w14:paraId="084614D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32AFCFD9"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446CF4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Taiwan</w:t>
            </w:r>
          </w:p>
        </w:tc>
        <w:tc>
          <w:tcPr>
            <w:tcW w:w="1296" w:type="dxa"/>
            <w:tcBorders>
              <w:top w:val="nil"/>
              <w:left w:val="nil"/>
              <w:bottom w:val="nil"/>
              <w:right w:val="nil"/>
            </w:tcBorders>
            <w:shd w:val="clear" w:color="auto" w:fill="auto"/>
            <w:noWrap/>
            <w:vAlign w:val="bottom"/>
            <w:hideMark/>
          </w:tcPr>
          <w:p w14:paraId="4B8B1BA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 (6.7%)</w:t>
            </w:r>
          </w:p>
        </w:tc>
      </w:tr>
      <w:tr w:rsidR="006B605C" w:rsidRPr="006B605C" w14:paraId="28110BE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DC581F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Thailand</w:t>
            </w:r>
          </w:p>
        </w:tc>
        <w:tc>
          <w:tcPr>
            <w:tcW w:w="1296" w:type="dxa"/>
            <w:tcBorders>
              <w:top w:val="nil"/>
              <w:left w:val="nil"/>
              <w:bottom w:val="nil"/>
              <w:right w:val="nil"/>
            </w:tcBorders>
            <w:shd w:val="clear" w:color="auto" w:fill="auto"/>
            <w:noWrap/>
            <w:vAlign w:val="bottom"/>
            <w:hideMark/>
          </w:tcPr>
          <w:p w14:paraId="3D16A05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 (5.0%)</w:t>
            </w:r>
          </w:p>
        </w:tc>
      </w:tr>
      <w:tr w:rsidR="006B605C" w:rsidRPr="006B605C" w14:paraId="4F433EE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101A96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UK</w:t>
            </w:r>
          </w:p>
        </w:tc>
        <w:tc>
          <w:tcPr>
            <w:tcW w:w="1296" w:type="dxa"/>
            <w:tcBorders>
              <w:top w:val="nil"/>
              <w:left w:val="nil"/>
              <w:bottom w:val="nil"/>
              <w:right w:val="nil"/>
            </w:tcBorders>
            <w:shd w:val="clear" w:color="auto" w:fill="auto"/>
            <w:noWrap/>
            <w:vAlign w:val="bottom"/>
            <w:hideMark/>
          </w:tcPr>
          <w:p w14:paraId="27CBC4A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 (5.8%)</w:t>
            </w:r>
          </w:p>
        </w:tc>
      </w:tr>
      <w:tr w:rsidR="006B605C" w:rsidRPr="006B605C" w14:paraId="56CC000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1D0619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USA</w:t>
            </w:r>
          </w:p>
        </w:tc>
        <w:tc>
          <w:tcPr>
            <w:tcW w:w="1296" w:type="dxa"/>
            <w:tcBorders>
              <w:top w:val="nil"/>
              <w:left w:val="nil"/>
              <w:bottom w:val="nil"/>
              <w:right w:val="nil"/>
            </w:tcBorders>
            <w:shd w:val="clear" w:color="auto" w:fill="auto"/>
            <w:noWrap/>
            <w:vAlign w:val="bottom"/>
            <w:hideMark/>
          </w:tcPr>
          <w:p w14:paraId="123D5AA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 (5.0%)</w:t>
            </w:r>
          </w:p>
        </w:tc>
      </w:tr>
      <w:tr w:rsidR="006B605C" w:rsidRPr="006B605C" w14:paraId="4194B0A9"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B2AD9D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 Continent in which FLS is located</w:t>
            </w:r>
          </w:p>
        </w:tc>
        <w:tc>
          <w:tcPr>
            <w:tcW w:w="1296" w:type="dxa"/>
            <w:tcBorders>
              <w:top w:val="nil"/>
              <w:left w:val="nil"/>
              <w:bottom w:val="nil"/>
              <w:right w:val="nil"/>
            </w:tcBorders>
            <w:shd w:val="clear" w:color="auto" w:fill="auto"/>
            <w:noWrap/>
            <w:vAlign w:val="bottom"/>
            <w:hideMark/>
          </w:tcPr>
          <w:p w14:paraId="65F34B17"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2E15A8F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04A0E2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Europe</w:t>
            </w:r>
          </w:p>
        </w:tc>
        <w:tc>
          <w:tcPr>
            <w:tcW w:w="1296" w:type="dxa"/>
            <w:tcBorders>
              <w:top w:val="nil"/>
              <w:left w:val="nil"/>
              <w:bottom w:val="nil"/>
              <w:right w:val="nil"/>
            </w:tcBorders>
            <w:shd w:val="clear" w:color="auto" w:fill="auto"/>
            <w:noWrap/>
            <w:vAlign w:val="bottom"/>
            <w:hideMark/>
          </w:tcPr>
          <w:p w14:paraId="340E927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58 (48.3%)</w:t>
            </w:r>
          </w:p>
        </w:tc>
      </w:tr>
      <w:tr w:rsidR="006B605C" w:rsidRPr="006B605C" w14:paraId="06BDF85E"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FFFC36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Asia</w:t>
            </w:r>
          </w:p>
        </w:tc>
        <w:tc>
          <w:tcPr>
            <w:tcW w:w="1296" w:type="dxa"/>
            <w:tcBorders>
              <w:top w:val="nil"/>
              <w:left w:val="nil"/>
              <w:bottom w:val="nil"/>
              <w:right w:val="nil"/>
            </w:tcBorders>
            <w:shd w:val="clear" w:color="auto" w:fill="auto"/>
            <w:noWrap/>
            <w:vAlign w:val="bottom"/>
            <w:hideMark/>
          </w:tcPr>
          <w:p w14:paraId="61F81EA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28 (23.3%)</w:t>
            </w:r>
          </w:p>
        </w:tc>
      </w:tr>
      <w:tr w:rsidR="006B605C" w:rsidRPr="006B605C" w14:paraId="3EEF87D5"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0EDEAF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North America</w:t>
            </w:r>
          </w:p>
        </w:tc>
        <w:tc>
          <w:tcPr>
            <w:tcW w:w="1296" w:type="dxa"/>
            <w:tcBorders>
              <w:top w:val="nil"/>
              <w:left w:val="nil"/>
              <w:bottom w:val="nil"/>
              <w:right w:val="nil"/>
            </w:tcBorders>
            <w:shd w:val="clear" w:color="auto" w:fill="auto"/>
            <w:noWrap/>
            <w:vAlign w:val="bottom"/>
            <w:hideMark/>
          </w:tcPr>
          <w:p w14:paraId="025CD8A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13 (10.8%)</w:t>
            </w:r>
          </w:p>
        </w:tc>
      </w:tr>
      <w:tr w:rsidR="006B605C" w:rsidRPr="006B605C" w14:paraId="036879B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63ACD1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Oceania</w:t>
            </w:r>
          </w:p>
        </w:tc>
        <w:tc>
          <w:tcPr>
            <w:tcW w:w="1296" w:type="dxa"/>
            <w:tcBorders>
              <w:top w:val="nil"/>
              <w:left w:val="nil"/>
              <w:bottom w:val="nil"/>
              <w:right w:val="nil"/>
            </w:tcBorders>
            <w:shd w:val="clear" w:color="auto" w:fill="auto"/>
            <w:noWrap/>
            <w:vAlign w:val="bottom"/>
            <w:hideMark/>
          </w:tcPr>
          <w:p w14:paraId="18DA227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11 (9.2%)</w:t>
            </w:r>
          </w:p>
        </w:tc>
      </w:tr>
      <w:tr w:rsidR="006B605C" w:rsidRPr="006B605C" w14:paraId="22E32510"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A12E09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South America</w:t>
            </w:r>
          </w:p>
        </w:tc>
        <w:tc>
          <w:tcPr>
            <w:tcW w:w="1296" w:type="dxa"/>
            <w:tcBorders>
              <w:top w:val="nil"/>
              <w:left w:val="nil"/>
              <w:bottom w:val="nil"/>
              <w:right w:val="nil"/>
            </w:tcBorders>
            <w:shd w:val="clear" w:color="auto" w:fill="auto"/>
            <w:noWrap/>
            <w:vAlign w:val="bottom"/>
            <w:hideMark/>
          </w:tcPr>
          <w:p w14:paraId="213FAD2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9 (7.5%)</w:t>
            </w:r>
          </w:p>
        </w:tc>
      </w:tr>
      <w:tr w:rsidR="006B605C" w:rsidRPr="006B605C" w14:paraId="28BDA39B"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F11938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Africa</w:t>
            </w:r>
          </w:p>
        </w:tc>
        <w:tc>
          <w:tcPr>
            <w:tcW w:w="1296" w:type="dxa"/>
            <w:tcBorders>
              <w:top w:val="nil"/>
              <w:left w:val="nil"/>
              <w:bottom w:val="nil"/>
              <w:right w:val="nil"/>
            </w:tcBorders>
            <w:shd w:val="clear" w:color="auto" w:fill="auto"/>
            <w:noWrap/>
            <w:vAlign w:val="bottom"/>
            <w:hideMark/>
          </w:tcPr>
          <w:p w14:paraId="60549AA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76E1C93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E3A27D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 Access to DXA</w:t>
            </w:r>
          </w:p>
        </w:tc>
        <w:tc>
          <w:tcPr>
            <w:tcW w:w="1296" w:type="dxa"/>
            <w:tcBorders>
              <w:top w:val="nil"/>
              <w:left w:val="nil"/>
              <w:bottom w:val="nil"/>
              <w:right w:val="nil"/>
            </w:tcBorders>
            <w:shd w:val="clear" w:color="auto" w:fill="auto"/>
            <w:noWrap/>
            <w:vAlign w:val="bottom"/>
            <w:hideMark/>
          </w:tcPr>
          <w:p w14:paraId="6817DF63"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5E35361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EF0D3D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Within institution</w:t>
            </w:r>
          </w:p>
        </w:tc>
        <w:tc>
          <w:tcPr>
            <w:tcW w:w="1296" w:type="dxa"/>
            <w:tcBorders>
              <w:top w:val="nil"/>
              <w:left w:val="nil"/>
              <w:bottom w:val="nil"/>
              <w:right w:val="nil"/>
            </w:tcBorders>
            <w:shd w:val="clear" w:color="auto" w:fill="auto"/>
            <w:noWrap/>
            <w:vAlign w:val="bottom"/>
            <w:hideMark/>
          </w:tcPr>
          <w:p w14:paraId="07FBB40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96 (80.0%)</w:t>
            </w:r>
          </w:p>
        </w:tc>
      </w:tr>
      <w:tr w:rsidR="006B605C" w:rsidRPr="006B605C" w14:paraId="7E0823E9"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A6A201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Outside institution</w:t>
            </w:r>
          </w:p>
        </w:tc>
        <w:tc>
          <w:tcPr>
            <w:tcW w:w="1296" w:type="dxa"/>
            <w:tcBorders>
              <w:top w:val="nil"/>
              <w:left w:val="nil"/>
              <w:bottom w:val="nil"/>
              <w:right w:val="nil"/>
            </w:tcBorders>
            <w:shd w:val="clear" w:color="auto" w:fill="auto"/>
            <w:noWrap/>
            <w:vAlign w:val="bottom"/>
            <w:hideMark/>
          </w:tcPr>
          <w:p w14:paraId="145E3AF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24 (20.0%)</w:t>
            </w:r>
          </w:p>
        </w:tc>
      </w:tr>
      <w:tr w:rsidR="006B605C" w:rsidRPr="006B605C" w14:paraId="109E725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956A53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 DXA request frequency for new patients</w:t>
            </w:r>
          </w:p>
        </w:tc>
        <w:tc>
          <w:tcPr>
            <w:tcW w:w="1296" w:type="dxa"/>
            <w:tcBorders>
              <w:top w:val="nil"/>
              <w:left w:val="nil"/>
              <w:bottom w:val="nil"/>
              <w:right w:val="nil"/>
            </w:tcBorders>
            <w:shd w:val="clear" w:color="auto" w:fill="auto"/>
            <w:noWrap/>
            <w:vAlign w:val="bottom"/>
            <w:hideMark/>
          </w:tcPr>
          <w:p w14:paraId="2C0D2DB0"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45E2E9B0"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99505F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&gt;90% of the time</w:t>
            </w:r>
          </w:p>
        </w:tc>
        <w:tc>
          <w:tcPr>
            <w:tcW w:w="1296" w:type="dxa"/>
            <w:tcBorders>
              <w:top w:val="nil"/>
              <w:left w:val="nil"/>
              <w:bottom w:val="nil"/>
              <w:right w:val="nil"/>
            </w:tcBorders>
            <w:shd w:val="clear" w:color="auto" w:fill="auto"/>
            <w:noWrap/>
            <w:vAlign w:val="bottom"/>
            <w:hideMark/>
          </w:tcPr>
          <w:p w14:paraId="55129B7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59 (49.6%)</w:t>
            </w:r>
          </w:p>
        </w:tc>
      </w:tr>
      <w:tr w:rsidR="006B605C" w:rsidRPr="006B605C" w14:paraId="49DB0AC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D2BED6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51-90% of the time</w:t>
            </w:r>
          </w:p>
        </w:tc>
        <w:tc>
          <w:tcPr>
            <w:tcW w:w="1296" w:type="dxa"/>
            <w:tcBorders>
              <w:top w:val="nil"/>
              <w:left w:val="nil"/>
              <w:bottom w:val="nil"/>
              <w:right w:val="nil"/>
            </w:tcBorders>
            <w:shd w:val="clear" w:color="auto" w:fill="auto"/>
            <w:noWrap/>
            <w:vAlign w:val="bottom"/>
            <w:hideMark/>
          </w:tcPr>
          <w:p w14:paraId="093ED0C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35 (29.4%)</w:t>
            </w:r>
          </w:p>
        </w:tc>
      </w:tr>
      <w:tr w:rsidR="006B605C" w:rsidRPr="006B605C" w14:paraId="7EBA4E2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33A250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10-50% of the time</w:t>
            </w:r>
          </w:p>
        </w:tc>
        <w:tc>
          <w:tcPr>
            <w:tcW w:w="1296" w:type="dxa"/>
            <w:tcBorders>
              <w:top w:val="nil"/>
              <w:left w:val="nil"/>
              <w:bottom w:val="nil"/>
              <w:right w:val="nil"/>
            </w:tcBorders>
            <w:shd w:val="clear" w:color="auto" w:fill="auto"/>
            <w:noWrap/>
            <w:vAlign w:val="bottom"/>
            <w:hideMark/>
          </w:tcPr>
          <w:p w14:paraId="18AB4D1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18 (15.1%)</w:t>
            </w:r>
          </w:p>
        </w:tc>
      </w:tr>
      <w:tr w:rsidR="006B605C" w:rsidRPr="006B605C" w14:paraId="7C2A324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C54978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&lt;10% of the time</w:t>
            </w:r>
          </w:p>
        </w:tc>
        <w:tc>
          <w:tcPr>
            <w:tcW w:w="1296" w:type="dxa"/>
            <w:tcBorders>
              <w:top w:val="nil"/>
              <w:left w:val="nil"/>
              <w:bottom w:val="nil"/>
              <w:right w:val="nil"/>
            </w:tcBorders>
            <w:shd w:val="clear" w:color="auto" w:fill="auto"/>
            <w:noWrap/>
            <w:vAlign w:val="bottom"/>
            <w:hideMark/>
          </w:tcPr>
          <w:p w14:paraId="644668A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 (5.0%)</w:t>
            </w:r>
          </w:p>
        </w:tc>
      </w:tr>
      <w:tr w:rsidR="006B605C" w:rsidRPr="006B605C" w14:paraId="7B001AF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9D8871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02C281F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7FCAF8B9"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E17982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DXA request frequency to monitor therapy for treated patients &lt;75 years</w:t>
            </w:r>
          </w:p>
        </w:tc>
        <w:tc>
          <w:tcPr>
            <w:tcW w:w="1296" w:type="dxa"/>
            <w:tcBorders>
              <w:top w:val="nil"/>
              <w:left w:val="nil"/>
              <w:bottom w:val="nil"/>
              <w:right w:val="nil"/>
            </w:tcBorders>
            <w:shd w:val="clear" w:color="auto" w:fill="auto"/>
            <w:noWrap/>
            <w:vAlign w:val="bottom"/>
            <w:hideMark/>
          </w:tcPr>
          <w:p w14:paraId="7A35DF78"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4FC1E8D0"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8B4D46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&gt;90% of the time</w:t>
            </w:r>
          </w:p>
        </w:tc>
        <w:tc>
          <w:tcPr>
            <w:tcW w:w="1296" w:type="dxa"/>
            <w:tcBorders>
              <w:top w:val="nil"/>
              <w:left w:val="nil"/>
              <w:bottom w:val="nil"/>
              <w:right w:val="nil"/>
            </w:tcBorders>
            <w:shd w:val="clear" w:color="auto" w:fill="auto"/>
            <w:noWrap/>
            <w:vAlign w:val="bottom"/>
            <w:hideMark/>
          </w:tcPr>
          <w:p w14:paraId="3C4575B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60 (51.7%)</w:t>
            </w:r>
          </w:p>
        </w:tc>
      </w:tr>
      <w:tr w:rsidR="006B605C" w:rsidRPr="006B605C" w14:paraId="2B843AD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D0D4CA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51-90% of the time</w:t>
            </w:r>
          </w:p>
        </w:tc>
        <w:tc>
          <w:tcPr>
            <w:tcW w:w="1296" w:type="dxa"/>
            <w:tcBorders>
              <w:top w:val="nil"/>
              <w:left w:val="nil"/>
              <w:bottom w:val="nil"/>
              <w:right w:val="nil"/>
            </w:tcBorders>
            <w:shd w:val="clear" w:color="auto" w:fill="auto"/>
            <w:noWrap/>
            <w:vAlign w:val="bottom"/>
            <w:hideMark/>
          </w:tcPr>
          <w:p w14:paraId="62427B6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22 (19.0%)</w:t>
            </w:r>
          </w:p>
        </w:tc>
      </w:tr>
      <w:tr w:rsidR="006B605C" w:rsidRPr="006B605C" w14:paraId="3687A44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AD2149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lastRenderedPageBreak/>
              <w:t>10-50% of the time</w:t>
            </w:r>
          </w:p>
        </w:tc>
        <w:tc>
          <w:tcPr>
            <w:tcW w:w="1296" w:type="dxa"/>
            <w:tcBorders>
              <w:top w:val="nil"/>
              <w:left w:val="nil"/>
              <w:bottom w:val="nil"/>
              <w:right w:val="nil"/>
            </w:tcBorders>
            <w:shd w:val="clear" w:color="auto" w:fill="auto"/>
            <w:noWrap/>
            <w:vAlign w:val="bottom"/>
            <w:hideMark/>
          </w:tcPr>
          <w:p w14:paraId="386C871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20 (17.2%)</w:t>
            </w:r>
          </w:p>
        </w:tc>
      </w:tr>
      <w:tr w:rsidR="006B605C" w:rsidRPr="006B605C" w14:paraId="1AE5603A"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CB6C5C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&lt;10% of the time</w:t>
            </w:r>
          </w:p>
        </w:tc>
        <w:tc>
          <w:tcPr>
            <w:tcW w:w="1296" w:type="dxa"/>
            <w:tcBorders>
              <w:top w:val="nil"/>
              <w:left w:val="nil"/>
              <w:bottom w:val="nil"/>
              <w:right w:val="nil"/>
            </w:tcBorders>
            <w:shd w:val="clear" w:color="auto" w:fill="auto"/>
            <w:noWrap/>
            <w:vAlign w:val="bottom"/>
            <w:hideMark/>
          </w:tcPr>
          <w:p w14:paraId="5ACD8E9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 (5.2%)</w:t>
            </w:r>
          </w:p>
        </w:tc>
      </w:tr>
      <w:tr w:rsidR="006B605C" w:rsidRPr="006B605C" w14:paraId="55458B2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CA94B3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35B7550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(0.9%)</w:t>
            </w:r>
          </w:p>
        </w:tc>
      </w:tr>
      <w:tr w:rsidR="006B605C" w:rsidRPr="006B605C" w14:paraId="1668CD7E"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7F7B44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N/A</w:t>
            </w:r>
          </w:p>
        </w:tc>
        <w:tc>
          <w:tcPr>
            <w:tcW w:w="1296" w:type="dxa"/>
            <w:tcBorders>
              <w:top w:val="nil"/>
              <w:left w:val="nil"/>
              <w:bottom w:val="nil"/>
              <w:right w:val="nil"/>
            </w:tcBorders>
            <w:shd w:val="clear" w:color="auto" w:fill="auto"/>
            <w:noWrap/>
            <w:vAlign w:val="bottom"/>
            <w:hideMark/>
          </w:tcPr>
          <w:p w14:paraId="24CAE2B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 (6.0%)</w:t>
            </w:r>
          </w:p>
        </w:tc>
      </w:tr>
      <w:tr w:rsidR="006B605C" w:rsidRPr="006B605C" w14:paraId="5261A4A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DA01F0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 DXA request frequency to monitor therapy for treated patients ≥75 years</w:t>
            </w:r>
          </w:p>
        </w:tc>
        <w:tc>
          <w:tcPr>
            <w:tcW w:w="1296" w:type="dxa"/>
            <w:tcBorders>
              <w:top w:val="nil"/>
              <w:left w:val="nil"/>
              <w:bottom w:val="nil"/>
              <w:right w:val="nil"/>
            </w:tcBorders>
            <w:shd w:val="clear" w:color="auto" w:fill="auto"/>
            <w:noWrap/>
            <w:vAlign w:val="bottom"/>
            <w:hideMark/>
          </w:tcPr>
          <w:p w14:paraId="12D361F5"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0DFAB14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6F5B04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&gt;90% of the time</w:t>
            </w:r>
          </w:p>
        </w:tc>
        <w:tc>
          <w:tcPr>
            <w:tcW w:w="1296" w:type="dxa"/>
            <w:tcBorders>
              <w:top w:val="nil"/>
              <w:left w:val="nil"/>
              <w:bottom w:val="nil"/>
              <w:right w:val="nil"/>
            </w:tcBorders>
            <w:shd w:val="clear" w:color="auto" w:fill="auto"/>
            <w:noWrap/>
            <w:vAlign w:val="bottom"/>
            <w:hideMark/>
          </w:tcPr>
          <w:p w14:paraId="1A78239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52 (44.1%)</w:t>
            </w:r>
          </w:p>
        </w:tc>
      </w:tr>
      <w:tr w:rsidR="006B605C" w:rsidRPr="006B605C" w14:paraId="5142CD6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5708F1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51-90% of the time</w:t>
            </w:r>
          </w:p>
        </w:tc>
        <w:tc>
          <w:tcPr>
            <w:tcW w:w="1296" w:type="dxa"/>
            <w:tcBorders>
              <w:top w:val="nil"/>
              <w:left w:val="nil"/>
              <w:bottom w:val="nil"/>
              <w:right w:val="nil"/>
            </w:tcBorders>
            <w:shd w:val="clear" w:color="auto" w:fill="auto"/>
            <w:noWrap/>
            <w:vAlign w:val="bottom"/>
            <w:hideMark/>
          </w:tcPr>
          <w:p w14:paraId="2A2E676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19 (16.1%)</w:t>
            </w:r>
          </w:p>
        </w:tc>
      </w:tr>
      <w:tr w:rsidR="006B605C" w:rsidRPr="006B605C" w14:paraId="4226C9AB"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ACE346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10-50% of the time</w:t>
            </w:r>
          </w:p>
        </w:tc>
        <w:tc>
          <w:tcPr>
            <w:tcW w:w="1296" w:type="dxa"/>
            <w:tcBorders>
              <w:top w:val="nil"/>
              <w:left w:val="nil"/>
              <w:bottom w:val="nil"/>
              <w:right w:val="nil"/>
            </w:tcBorders>
            <w:shd w:val="clear" w:color="auto" w:fill="auto"/>
            <w:noWrap/>
            <w:vAlign w:val="bottom"/>
            <w:hideMark/>
          </w:tcPr>
          <w:p w14:paraId="23BDC47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25 (21.2%)</w:t>
            </w:r>
          </w:p>
        </w:tc>
      </w:tr>
      <w:tr w:rsidR="006B605C" w:rsidRPr="006B605C" w14:paraId="241D863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513870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&lt;10% of the time</w:t>
            </w:r>
          </w:p>
        </w:tc>
        <w:tc>
          <w:tcPr>
            <w:tcW w:w="1296" w:type="dxa"/>
            <w:tcBorders>
              <w:top w:val="nil"/>
              <w:left w:val="nil"/>
              <w:bottom w:val="nil"/>
              <w:right w:val="nil"/>
            </w:tcBorders>
            <w:shd w:val="clear" w:color="auto" w:fill="auto"/>
            <w:noWrap/>
            <w:vAlign w:val="bottom"/>
            <w:hideMark/>
          </w:tcPr>
          <w:p w14:paraId="3930E71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15 (12.7%)</w:t>
            </w:r>
          </w:p>
        </w:tc>
      </w:tr>
      <w:tr w:rsidR="006B605C" w:rsidRPr="006B605C" w14:paraId="0DFD60A5"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BB2BC4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32EECB6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 (2.5%)</w:t>
            </w:r>
          </w:p>
        </w:tc>
      </w:tr>
      <w:tr w:rsidR="006B605C" w:rsidRPr="006B605C" w14:paraId="27241F4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C715EF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N/A</w:t>
            </w:r>
          </w:p>
        </w:tc>
        <w:tc>
          <w:tcPr>
            <w:tcW w:w="1296" w:type="dxa"/>
            <w:tcBorders>
              <w:top w:val="nil"/>
              <w:left w:val="nil"/>
              <w:bottom w:val="nil"/>
              <w:right w:val="nil"/>
            </w:tcBorders>
            <w:shd w:val="clear" w:color="auto" w:fill="auto"/>
            <w:noWrap/>
            <w:vAlign w:val="bottom"/>
            <w:hideMark/>
          </w:tcPr>
          <w:p w14:paraId="3454754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 (3.4%)</w:t>
            </w:r>
          </w:p>
        </w:tc>
      </w:tr>
      <w:tr w:rsidR="006B605C" w:rsidRPr="006B605C" w14:paraId="4E4E5D2B"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FD1A62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 Usual DXA testing interval for patients initiating treatment</w:t>
            </w:r>
          </w:p>
        </w:tc>
        <w:tc>
          <w:tcPr>
            <w:tcW w:w="1296" w:type="dxa"/>
            <w:tcBorders>
              <w:top w:val="nil"/>
              <w:left w:val="nil"/>
              <w:bottom w:val="nil"/>
              <w:right w:val="nil"/>
            </w:tcBorders>
            <w:shd w:val="clear" w:color="auto" w:fill="auto"/>
            <w:noWrap/>
            <w:vAlign w:val="bottom"/>
            <w:hideMark/>
          </w:tcPr>
          <w:p w14:paraId="18DF6C67"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3EBBC969"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F592BD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Specific intervals</w:t>
            </w:r>
          </w:p>
        </w:tc>
        <w:tc>
          <w:tcPr>
            <w:tcW w:w="1296" w:type="dxa"/>
            <w:tcBorders>
              <w:top w:val="nil"/>
              <w:left w:val="nil"/>
              <w:bottom w:val="nil"/>
              <w:right w:val="nil"/>
            </w:tcBorders>
            <w:shd w:val="clear" w:color="auto" w:fill="auto"/>
            <w:noWrap/>
            <w:vAlign w:val="bottom"/>
            <w:hideMark/>
          </w:tcPr>
          <w:p w14:paraId="0AF39C3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97 (82.9%)</w:t>
            </w:r>
          </w:p>
        </w:tc>
      </w:tr>
      <w:tr w:rsidR="006B605C" w:rsidRPr="006B605C" w14:paraId="38B0190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52A912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Monitoring not routine</w:t>
            </w:r>
          </w:p>
        </w:tc>
        <w:tc>
          <w:tcPr>
            <w:tcW w:w="1296" w:type="dxa"/>
            <w:tcBorders>
              <w:top w:val="nil"/>
              <w:left w:val="nil"/>
              <w:bottom w:val="nil"/>
              <w:right w:val="nil"/>
            </w:tcBorders>
            <w:shd w:val="clear" w:color="auto" w:fill="auto"/>
            <w:noWrap/>
            <w:vAlign w:val="bottom"/>
            <w:hideMark/>
          </w:tcPr>
          <w:p w14:paraId="0D0FF82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17 (14.5%)</w:t>
            </w:r>
          </w:p>
        </w:tc>
      </w:tr>
      <w:tr w:rsidR="006B605C" w:rsidRPr="006B605C" w14:paraId="7692438E"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6BE17F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55AA051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 (2.6%)</w:t>
            </w:r>
          </w:p>
        </w:tc>
      </w:tr>
      <w:tr w:rsidR="006B605C" w:rsidRPr="006B605C" w14:paraId="4EB3052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436969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 Median DXA testing interval (years) for patients initiating treatment</w:t>
            </w:r>
          </w:p>
        </w:tc>
        <w:tc>
          <w:tcPr>
            <w:tcW w:w="1296" w:type="dxa"/>
            <w:tcBorders>
              <w:top w:val="nil"/>
              <w:left w:val="nil"/>
              <w:bottom w:val="nil"/>
              <w:right w:val="nil"/>
            </w:tcBorders>
            <w:shd w:val="clear" w:color="auto" w:fill="auto"/>
            <w:noWrap/>
            <w:vAlign w:val="bottom"/>
            <w:hideMark/>
          </w:tcPr>
          <w:p w14:paraId="1D3D2B4E"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318C7FF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4D8D33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w:t>
            </w:r>
          </w:p>
        </w:tc>
        <w:tc>
          <w:tcPr>
            <w:tcW w:w="1296" w:type="dxa"/>
            <w:tcBorders>
              <w:top w:val="nil"/>
              <w:left w:val="nil"/>
              <w:bottom w:val="nil"/>
              <w:right w:val="nil"/>
            </w:tcBorders>
            <w:shd w:val="clear" w:color="auto" w:fill="auto"/>
            <w:noWrap/>
            <w:vAlign w:val="bottom"/>
            <w:hideMark/>
          </w:tcPr>
          <w:p w14:paraId="4D2C24C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23 (25.3%)</w:t>
            </w:r>
          </w:p>
        </w:tc>
      </w:tr>
      <w:tr w:rsidR="006B605C" w:rsidRPr="006B605C" w14:paraId="6B2A936B"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6155EF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&gt;1 and &lt;2</w:t>
            </w:r>
          </w:p>
        </w:tc>
        <w:tc>
          <w:tcPr>
            <w:tcW w:w="1296" w:type="dxa"/>
            <w:tcBorders>
              <w:top w:val="nil"/>
              <w:left w:val="nil"/>
              <w:bottom w:val="nil"/>
              <w:right w:val="nil"/>
            </w:tcBorders>
            <w:shd w:val="clear" w:color="auto" w:fill="auto"/>
            <w:noWrap/>
            <w:vAlign w:val="bottom"/>
            <w:hideMark/>
          </w:tcPr>
          <w:p w14:paraId="2CE869A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17 (18.7%)</w:t>
            </w:r>
          </w:p>
        </w:tc>
      </w:tr>
      <w:tr w:rsidR="006B605C" w:rsidRPr="006B605C" w14:paraId="4B0C472E"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B6668F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w:t>
            </w:r>
          </w:p>
        </w:tc>
        <w:tc>
          <w:tcPr>
            <w:tcW w:w="1296" w:type="dxa"/>
            <w:tcBorders>
              <w:top w:val="nil"/>
              <w:left w:val="nil"/>
              <w:bottom w:val="nil"/>
              <w:right w:val="nil"/>
            </w:tcBorders>
            <w:shd w:val="clear" w:color="auto" w:fill="auto"/>
            <w:noWrap/>
            <w:vAlign w:val="bottom"/>
            <w:hideMark/>
          </w:tcPr>
          <w:p w14:paraId="02D546D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27 (29.7%)</w:t>
            </w:r>
          </w:p>
        </w:tc>
      </w:tr>
      <w:tr w:rsidR="006B605C" w:rsidRPr="006B605C" w14:paraId="5AE94EC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11380B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&gt;2</w:t>
            </w:r>
          </w:p>
        </w:tc>
        <w:tc>
          <w:tcPr>
            <w:tcW w:w="1296" w:type="dxa"/>
            <w:tcBorders>
              <w:top w:val="nil"/>
              <w:left w:val="nil"/>
              <w:bottom w:val="nil"/>
              <w:right w:val="nil"/>
            </w:tcBorders>
            <w:shd w:val="clear" w:color="auto" w:fill="auto"/>
            <w:noWrap/>
            <w:vAlign w:val="bottom"/>
            <w:hideMark/>
          </w:tcPr>
          <w:p w14:paraId="543D9E2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24 (26.4%)</w:t>
            </w:r>
          </w:p>
        </w:tc>
      </w:tr>
      <w:tr w:rsidR="006B605C" w:rsidRPr="006B605C" w14:paraId="040B47DE"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38017D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9. Frequency FLS DXA access meets service needs</w:t>
            </w:r>
          </w:p>
        </w:tc>
        <w:tc>
          <w:tcPr>
            <w:tcW w:w="1296" w:type="dxa"/>
            <w:tcBorders>
              <w:top w:val="nil"/>
              <w:left w:val="nil"/>
              <w:bottom w:val="nil"/>
              <w:right w:val="nil"/>
            </w:tcBorders>
            <w:shd w:val="clear" w:color="auto" w:fill="auto"/>
            <w:noWrap/>
            <w:vAlign w:val="bottom"/>
            <w:hideMark/>
          </w:tcPr>
          <w:p w14:paraId="24203E85"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7562B159"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FD0B11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&gt;90% of the time</w:t>
            </w:r>
          </w:p>
        </w:tc>
        <w:tc>
          <w:tcPr>
            <w:tcW w:w="1296" w:type="dxa"/>
            <w:tcBorders>
              <w:top w:val="nil"/>
              <w:left w:val="nil"/>
              <w:bottom w:val="nil"/>
              <w:right w:val="nil"/>
            </w:tcBorders>
            <w:shd w:val="clear" w:color="auto" w:fill="auto"/>
            <w:noWrap/>
            <w:vAlign w:val="bottom"/>
            <w:hideMark/>
          </w:tcPr>
          <w:p w14:paraId="4425B37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84 (71.2%)</w:t>
            </w:r>
          </w:p>
        </w:tc>
      </w:tr>
      <w:tr w:rsidR="006B605C" w:rsidRPr="006B605C" w14:paraId="5869FD0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63A8A5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51-90% of the time</w:t>
            </w:r>
          </w:p>
        </w:tc>
        <w:tc>
          <w:tcPr>
            <w:tcW w:w="1296" w:type="dxa"/>
            <w:tcBorders>
              <w:top w:val="nil"/>
              <w:left w:val="nil"/>
              <w:bottom w:val="nil"/>
              <w:right w:val="nil"/>
            </w:tcBorders>
            <w:shd w:val="clear" w:color="auto" w:fill="auto"/>
            <w:noWrap/>
            <w:vAlign w:val="bottom"/>
            <w:hideMark/>
          </w:tcPr>
          <w:p w14:paraId="6EDABBF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18 (15.3%)</w:t>
            </w:r>
          </w:p>
        </w:tc>
      </w:tr>
      <w:tr w:rsidR="006B605C" w:rsidRPr="006B605C" w14:paraId="5ED1D19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51D9B2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10-50% of the time</w:t>
            </w:r>
          </w:p>
        </w:tc>
        <w:tc>
          <w:tcPr>
            <w:tcW w:w="1296" w:type="dxa"/>
            <w:tcBorders>
              <w:top w:val="nil"/>
              <w:left w:val="nil"/>
              <w:bottom w:val="nil"/>
              <w:right w:val="nil"/>
            </w:tcBorders>
            <w:shd w:val="clear" w:color="auto" w:fill="auto"/>
            <w:noWrap/>
            <w:vAlign w:val="bottom"/>
            <w:hideMark/>
          </w:tcPr>
          <w:p w14:paraId="0BD7548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 (5.9%)</w:t>
            </w:r>
          </w:p>
        </w:tc>
      </w:tr>
      <w:tr w:rsidR="006B605C" w:rsidRPr="006B605C" w14:paraId="0D0F6CA9"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261BFC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&lt;10% of the time</w:t>
            </w:r>
          </w:p>
        </w:tc>
        <w:tc>
          <w:tcPr>
            <w:tcW w:w="1296" w:type="dxa"/>
            <w:tcBorders>
              <w:top w:val="nil"/>
              <w:left w:val="nil"/>
              <w:bottom w:val="nil"/>
              <w:right w:val="nil"/>
            </w:tcBorders>
            <w:shd w:val="clear" w:color="auto" w:fill="auto"/>
            <w:noWrap/>
            <w:vAlign w:val="bottom"/>
            <w:hideMark/>
          </w:tcPr>
          <w:p w14:paraId="6B072B2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(4.2%)</w:t>
            </w:r>
          </w:p>
        </w:tc>
      </w:tr>
      <w:tr w:rsidR="006B605C" w:rsidRPr="006B605C" w14:paraId="2C68FB7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3C83BA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53A6431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 (1.7%)</w:t>
            </w:r>
          </w:p>
        </w:tc>
      </w:tr>
      <w:tr w:rsidR="006B605C" w:rsidRPr="006B605C" w14:paraId="7B168A6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283AE7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N/A</w:t>
            </w:r>
          </w:p>
        </w:tc>
        <w:tc>
          <w:tcPr>
            <w:tcW w:w="1296" w:type="dxa"/>
            <w:tcBorders>
              <w:top w:val="nil"/>
              <w:left w:val="nil"/>
              <w:bottom w:val="nil"/>
              <w:right w:val="nil"/>
            </w:tcBorders>
            <w:shd w:val="clear" w:color="auto" w:fill="auto"/>
            <w:noWrap/>
            <w:vAlign w:val="bottom"/>
            <w:hideMark/>
          </w:tcPr>
          <w:p w14:paraId="20C9DC5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 (1.7%)</w:t>
            </w:r>
          </w:p>
        </w:tc>
      </w:tr>
      <w:tr w:rsidR="006B605C" w:rsidRPr="006B605C" w14:paraId="051CADF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AC9B13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 Frequency DXA services (scanning and reporting) quality is excellent</w:t>
            </w:r>
          </w:p>
        </w:tc>
        <w:tc>
          <w:tcPr>
            <w:tcW w:w="1296" w:type="dxa"/>
            <w:tcBorders>
              <w:top w:val="nil"/>
              <w:left w:val="nil"/>
              <w:bottom w:val="nil"/>
              <w:right w:val="nil"/>
            </w:tcBorders>
            <w:shd w:val="clear" w:color="auto" w:fill="auto"/>
            <w:noWrap/>
            <w:vAlign w:val="bottom"/>
            <w:hideMark/>
          </w:tcPr>
          <w:p w14:paraId="169FA229"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10CD737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84A1FD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&gt;90% of the time</w:t>
            </w:r>
          </w:p>
        </w:tc>
        <w:tc>
          <w:tcPr>
            <w:tcW w:w="1296" w:type="dxa"/>
            <w:tcBorders>
              <w:top w:val="nil"/>
              <w:left w:val="nil"/>
              <w:bottom w:val="nil"/>
              <w:right w:val="nil"/>
            </w:tcBorders>
            <w:shd w:val="clear" w:color="auto" w:fill="auto"/>
            <w:noWrap/>
            <w:vAlign w:val="bottom"/>
            <w:hideMark/>
          </w:tcPr>
          <w:p w14:paraId="0EB354E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87 (73.7%)</w:t>
            </w:r>
          </w:p>
        </w:tc>
      </w:tr>
      <w:tr w:rsidR="006B605C" w:rsidRPr="006B605C" w14:paraId="7E205A6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4D4847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51-90% of the time</w:t>
            </w:r>
          </w:p>
        </w:tc>
        <w:tc>
          <w:tcPr>
            <w:tcW w:w="1296" w:type="dxa"/>
            <w:tcBorders>
              <w:top w:val="nil"/>
              <w:left w:val="nil"/>
              <w:bottom w:val="nil"/>
              <w:right w:val="nil"/>
            </w:tcBorders>
            <w:shd w:val="clear" w:color="auto" w:fill="auto"/>
            <w:noWrap/>
            <w:vAlign w:val="bottom"/>
            <w:hideMark/>
          </w:tcPr>
          <w:p w14:paraId="57EB6F7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25 (21.2%)</w:t>
            </w:r>
          </w:p>
        </w:tc>
      </w:tr>
      <w:tr w:rsidR="006B605C" w:rsidRPr="006B605C" w14:paraId="0BB994E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A3945B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10-50% of the time</w:t>
            </w:r>
          </w:p>
        </w:tc>
        <w:tc>
          <w:tcPr>
            <w:tcW w:w="1296" w:type="dxa"/>
            <w:tcBorders>
              <w:top w:val="nil"/>
              <w:left w:val="nil"/>
              <w:bottom w:val="nil"/>
              <w:right w:val="nil"/>
            </w:tcBorders>
            <w:shd w:val="clear" w:color="auto" w:fill="auto"/>
            <w:noWrap/>
            <w:vAlign w:val="bottom"/>
            <w:hideMark/>
          </w:tcPr>
          <w:p w14:paraId="4235242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 (3.4%)</w:t>
            </w:r>
          </w:p>
        </w:tc>
      </w:tr>
      <w:tr w:rsidR="006B605C" w:rsidRPr="006B605C" w14:paraId="492DA97A" w14:textId="77777777" w:rsidTr="00F8491A">
        <w:trPr>
          <w:trHeight w:hRule="exact" w:val="255"/>
        </w:trPr>
        <w:tc>
          <w:tcPr>
            <w:tcW w:w="7840" w:type="dxa"/>
            <w:tcBorders>
              <w:top w:val="nil"/>
              <w:left w:val="nil"/>
              <w:bottom w:val="nil"/>
              <w:right w:val="nil"/>
            </w:tcBorders>
            <w:shd w:val="clear" w:color="auto" w:fill="auto"/>
            <w:noWrap/>
            <w:vAlign w:val="bottom"/>
          </w:tcPr>
          <w:p w14:paraId="6991875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&lt;10% of the time</w:t>
            </w:r>
          </w:p>
        </w:tc>
        <w:tc>
          <w:tcPr>
            <w:tcW w:w="1296" w:type="dxa"/>
            <w:tcBorders>
              <w:top w:val="nil"/>
              <w:left w:val="nil"/>
              <w:bottom w:val="nil"/>
              <w:right w:val="nil"/>
            </w:tcBorders>
            <w:shd w:val="clear" w:color="auto" w:fill="auto"/>
            <w:noWrap/>
            <w:vAlign w:val="bottom"/>
          </w:tcPr>
          <w:p w14:paraId="0F018A9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0 (0%)</w:t>
            </w:r>
          </w:p>
        </w:tc>
      </w:tr>
      <w:tr w:rsidR="006B605C" w:rsidRPr="006B605C" w14:paraId="5B9668F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7CB8E2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5718558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535AD07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445EA2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N/A</w:t>
            </w:r>
          </w:p>
        </w:tc>
        <w:tc>
          <w:tcPr>
            <w:tcW w:w="1296" w:type="dxa"/>
            <w:tcBorders>
              <w:top w:val="nil"/>
              <w:left w:val="nil"/>
              <w:bottom w:val="nil"/>
              <w:right w:val="nil"/>
            </w:tcBorders>
            <w:shd w:val="clear" w:color="auto" w:fill="auto"/>
            <w:noWrap/>
            <w:vAlign w:val="bottom"/>
            <w:hideMark/>
          </w:tcPr>
          <w:p w14:paraId="7933CD6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 (0.8%)</w:t>
            </w:r>
          </w:p>
        </w:tc>
      </w:tr>
      <w:tr w:rsidR="006B605C" w:rsidRPr="006B605C" w14:paraId="482A9890"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DFC30F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11. Frequency the quality of a DXA report is questioned</w:t>
            </w:r>
          </w:p>
        </w:tc>
        <w:tc>
          <w:tcPr>
            <w:tcW w:w="1296" w:type="dxa"/>
            <w:tcBorders>
              <w:top w:val="nil"/>
              <w:left w:val="nil"/>
              <w:bottom w:val="nil"/>
              <w:right w:val="nil"/>
            </w:tcBorders>
            <w:shd w:val="clear" w:color="auto" w:fill="auto"/>
            <w:noWrap/>
            <w:vAlign w:val="bottom"/>
            <w:hideMark/>
          </w:tcPr>
          <w:p w14:paraId="2EEFFF87"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63566E4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52BA0D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Daily</w:t>
            </w:r>
          </w:p>
        </w:tc>
        <w:tc>
          <w:tcPr>
            <w:tcW w:w="1296" w:type="dxa"/>
            <w:tcBorders>
              <w:top w:val="nil"/>
              <w:left w:val="nil"/>
              <w:bottom w:val="nil"/>
              <w:right w:val="nil"/>
            </w:tcBorders>
            <w:shd w:val="clear" w:color="auto" w:fill="auto"/>
            <w:noWrap/>
            <w:vAlign w:val="bottom"/>
            <w:hideMark/>
          </w:tcPr>
          <w:p w14:paraId="15C5E10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(4.3%)</w:t>
            </w:r>
          </w:p>
        </w:tc>
      </w:tr>
      <w:tr w:rsidR="006B605C" w:rsidRPr="006B605C" w14:paraId="15EEDCC1"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5D0B3F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Weekly</w:t>
            </w:r>
          </w:p>
        </w:tc>
        <w:tc>
          <w:tcPr>
            <w:tcW w:w="1296" w:type="dxa"/>
            <w:tcBorders>
              <w:top w:val="nil"/>
              <w:left w:val="nil"/>
              <w:bottom w:val="nil"/>
              <w:right w:val="nil"/>
            </w:tcBorders>
            <w:shd w:val="clear" w:color="auto" w:fill="auto"/>
            <w:noWrap/>
            <w:vAlign w:val="bottom"/>
            <w:hideMark/>
          </w:tcPr>
          <w:p w14:paraId="3294EA5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9 (7.8%)</w:t>
            </w:r>
          </w:p>
        </w:tc>
      </w:tr>
      <w:tr w:rsidR="006B605C" w:rsidRPr="006B605C" w14:paraId="5D7A6F4E"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797A71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Monthly</w:t>
            </w:r>
          </w:p>
        </w:tc>
        <w:tc>
          <w:tcPr>
            <w:tcW w:w="1296" w:type="dxa"/>
            <w:tcBorders>
              <w:top w:val="nil"/>
              <w:left w:val="nil"/>
              <w:bottom w:val="nil"/>
              <w:right w:val="nil"/>
            </w:tcBorders>
            <w:shd w:val="clear" w:color="auto" w:fill="auto"/>
            <w:noWrap/>
            <w:vAlign w:val="bottom"/>
            <w:hideMark/>
          </w:tcPr>
          <w:p w14:paraId="5FF1E21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17 (14.7%)</w:t>
            </w:r>
          </w:p>
        </w:tc>
      </w:tr>
      <w:tr w:rsidR="006B605C" w:rsidRPr="006B605C" w14:paraId="3166FE7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D0CE7F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&lt;Monthly</w:t>
            </w:r>
          </w:p>
        </w:tc>
        <w:tc>
          <w:tcPr>
            <w:tcW w:w="1296" w:type="dxa"/>
            <w:tcBorders>
              <w:top w:val="nil"/>
              <w:left w:val="nil"/>
              <w:bottom w:val="nil"/>
              <w:right w:val="nil"/>
            </w:tcBorders>
            <w:shd w:val="clear" w:color="auto" w:fill="auto"/>
            <w:noWrap/>
            <w:vAlign w:val="bottom"/>
            <w:hideMark/>
          </w:tcPr>
          <w:p w14:paraId="332BC66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60 (51.7%)</w:t>
            </w:r>
          </w:p>
        </w:tc>
      </w:tr>
      <w:tr w:rsidR="006B605C" w:rsidRPr="006B605C" w14:paraId="4FCD6631"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73CD2A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Never</w:t>
            </w:r>
          </w:p>
        </w:tc>
        <w:tc>
          <w:tcPr>
            <w:tcW w:w="1296" w:type="dxa"/>
            <w:tcBorders>
              <w:top w:val="nil"/>
              <w:left w:val="nil"/>
              <w:bottom w:val="nil"/>
              <w:right w:val="nil"/>
            </w:tcBorders>
            <w:shd w:val="clear" w:color="auto" w:fill="auto"/>
            <w:noWrap/>
            <w:vAlign w:val="bottom"/>
            <w:hideMark/>
          </w:tcPr>
          <w:p w14:paraId="536B209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25 (21.6%)</w:t>
            </w:r>
          </w:p>
        </w:tc>
      </w:tr>
      <w:tr w:rsidR="006B605C" w:rsidRPr="006B605C" w14:paraId="39A6189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5D647E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12. DXA facility accredited by professional/governmental organisation</w:t>
            </w:r>
          </w:p>
        </w:tc>
        <w:tc>
          <w:tcPr>
            <w:tcW w:w="1296" w:type="dxa"/>
            <w:tcBorders>
              <w:top w:val="nil"/>
              <w:left w:val="nil"/>
              <w:bottom w:val="nil"/>
              <w:right w:val="nil"/>
            </w:tcBorders>
            <w:shd w:val="clear" w:color="auto" w:fill="auto"/>
            <w:noWrap/>
            <w:vAlign w:val="bottom"/>
            <w:hideMark/>
          </w:tcPr>
          <w:p w14:paraId="58907A06"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6CDA0F8A"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40B101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tcBorders>
              <w:top w:val="nil"/>
              <w:left w:val="nil"/>
              <w:bottom w:val="nil"/>
              <w:right w:val="nil"/>
            </w:tcBorders>
            <w:shd w:val="clear" w:color="auto" w:fill="auto"/>
            <w:noWrap/>
            <w:vAlign w:val="bottom"/>
            <w:hideMark/>
          </w:tcPr>
          <w:p w14:paraId="2775CA2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27 (25.2%)</w:t>
            </w:r>
          </w:p>
        </w:tc>
      </w:tr>
      <w:tr w:rsidR="006B605C" w:rsidRPr="006B605C" w14:paraId="636CC83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493104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tcBorders>
              <w:top w:val="nil"/>
              <w:left w:val="nil"/>
              <w:bottom w:val="nil"/>
              <w:right w:val="nil"/>
            </w:tcBorders>
            <w:shd w:val="clear" w:color="auto" w:fill="auto"/>
            <w:noWrap/>
            <w:vAlign w:val="bottom"/>
            <w:hideMark/>
          </w:tcPr>
          <w:p w14:paraId="18E34F7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48 (44.9%)</w:t>
            </w:r>
          </w:p>
        </w:tc>
      </w:tr>
      <w:tr w:rsidR="006B605C" w:rsidRPr="006B605C" w14:paraId="300E3A5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F490DF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10A89FF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32 (29.9%)</w:t>
            </w:r>
          </w:p>
        </w:tc>
      </w:tr>
      <w:tr w:rsidR="006B605C" w:rsidRPr="006B605C" w14:paraId="0BEC4E8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CE0495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13. DXA facility designates operators as supervisors of DXA activities</w:t>
            </w:r>
          </w:p>
        </w:tc>
        <w:tc>
          <w:tcPr>
            <w:tcW w:w="1296" w:type="dxa"/>
            <w:tcBorders>
              <w:top w:val="nil"/>
              <w:left w:val="nil"/>
              <w:bottom w:val="nil"/>
              <w:right w:val="nil"/>
            </w:tcBorders>
            <w:shd w:val="clear" w:color="auto" w:fill="auto"/>
            <w:noWrap/>
            <w:vAlign w:val="bottom"/>
            <w:hideMark/>
          </w:tcPr>
          <w:p w14:paraId="336A3126"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45CC937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38D751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tcBorders>
              <w:top w:val="nil"/>
              <w:left w:val="nil"/>
              <w:bottom w:val="nil"/>
              <w:right w:val="nil"/>
            </w:tcBorders>
            <w:shd w:val="clear" w:color="auto" w:fill="auto"/>
            <w:noWrap/>
            <w:vAlign w:val="bottom"/>
            <w:hideMark/>
          </w:tcPr>
          <w:p w14:paraId="64D1202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 (13.0%)</w:t>
            </w:r>
          </w:p>
        </w:tc>
      </w:tr>
      <w:tr w:rsidR="006B605C" w:rsidRPr="006B605C" w14:paraId="7FB56B81"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4417D9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tcBorders>
              <w:top w:val="nil"/>
              <w:left w:val="nil"/>
              <w:bottom w:val="nil"/>
              <w:right w:val="nil"/>
            </w:tcBorders>
            <w:shd w:val="clear" w:color="auto" w:fill="auto"/>
            <w:noWrap/>
            <w:vAlign w:val="bottom"/>
            <w:hideMark/>
          </w:tcPr>
          <w:p w14:paraId="6F7BE96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78 (72.2%)</w:t>
            </w:r>
          </w:p>
        </w:tc>
      </w:tr>
      <w:tr w:rsidR="006B605C" w:rsidRPr="006B605C" w14:paraId="50A574CA"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DEA2D7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4BDF4D4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16 (14.8%)</w:t>
            </w:r>
          </w:p>
        </w:tc>
      </w:tr>
      <w:tr w:rsidR="006B605C" w:rsidRPr="006B605C" w14:paraId="78BECC9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67E3FD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 DXA facility requires ongoing education in osteoporosis/DXA for operators</w:t>
            </w:r>
          </w:p>
        </w:tc>
        <w:tc>
          <w:tcPr>
            <w:tcW w:w="1296" w:type="dxa"/>
            <w:tcBorders>
              <w:top w:val="nil"/>
              <w:left w:val="nil"/>
              <w:bottom w:val="nil"/>
              <w:right w:val="nil"/>
            </w:tcBorders>
            <w:shd w:val="clear" w:color="auto" w:fill="auto"/>
            <w:noWrap/>
            <w:vAlign w:val="bottom"/>
            <w:hideMark/>
          </w:tcPr>
          <w:p w14:paraId="64645932"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3CAE9A30"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ABCDA7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tcBorders>
              <w:top w:val="nil"/>
              <w:left w:val="nil"/>
              <w:bottom w:val="nil"/>
              <w:right w:val="nil"/>
            </w:tcBorders>
            <w:shd w:val="clear" w:color="auto" w:fill="auto"/>
            <w:noWrap/>
            <w:vAlign w:val="bottom"/>
            <w:hideMark/>
          </w:tcPr>
          <w:p w14:paraId="4A15AD8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22 (20.6%)</w:t>
            </w:r>
          </w:p>
        </w:tc>
      </w:tr>
      <w:tr w:rsidR="006B605C" w:rsidRPr="006B605C" w14:paraId="74BC7E85"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15DF93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tcBorders>
              <w:top w:val="nil"/>
              <w:left w:val="nil"/>
              <w:bottom w:val="nil"/>
              <w:right w:val="nil"/>
            </w:tcBorders>
            <w:shd w:val="clear" w:color="auto" w:fill="auto"/>
            <w:noWrap/>
            <w:vAlign w:val="bottom"/>
            <w:hideMark/>
          </w:tcPr>
          <w:p w14:paraId="5D2F257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63 (58.9%)</w:t>
            </w:r>
          </w:p>
        </w:tc>
      </w:tr>
      <w:tr w:rsidR="006B605C" w:rsidRPr="006B605C" w14:paraId="5F15369A"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E4EBB0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2D6A38E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22 (20.6%)</w:t>
            </w:r>
          </w:p>
        </w:tc>
      </w:tr>
      <w:tr w:rsidR="006B605C" w:rsidRPr="006B605C" w14:paraId="69DF6DAD" w14:textId="77777777" w:rsidTr="00F8491A">
        <w:trPr>
          <w:trHeight w:hRule="exact" w:val="255"/>
        </w:trPr>
        <w:tc>
          <w:tcPr>
            <w:tcW w:w="9136" w:type="dxa"/>
            <w:gridSpan w:val="2"/>
            <w:tcBorders>
              <w:top w:val="nil"/>
              <w:left w:val="nil"/>
              <w:bottom w:val="nil"/>
            </w:tcBorders>
            <w:shd w:val="clear" w:color="auto" w:fill="auto"/>
            <w:noWrap/>
            <w:vAlign w:val="bottom"/>
            <w:hideMark/>
          </w:tcPr>
          <w:p w14:paraId="4BDC9F7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 xml:space="preserve">15. DXA facility requires ongoing education in osteoporosis/DXA for interpreters </w:t>
            </w:r>
          </w:p>
        </w:tc>
      </w:tr>
      <w:tr w:rsidR="006B605C" w:rsidRPr="006B605C" w14:paraId="507D8ED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B7F7BE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lastRenderedPageBreak/>
              <w:t>No</w:t>
            </w:r>
          </w:p>
        </w:tc>
        <w:tc>
          <w:tcPr>
            <w:tcW w:w="1296" w:type="dxa"/>
            <w:tcBorders>
              <w:top w:val="nil"/>
              <w:left w:val="nil"/>
              <w:bottom w:val="nil"/>
              <w:right w:val="nil"/>
            </w:tcBorders>
            <w:shd w:val="clear" w:color="auto" w:fill="auto"/>
            <w:noWrap/>
            <w:vAlign w:val="bottom"/>
            <w:hideMark/>
          </w:tcPr>
          <w:p w14:paraId="24C263D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21 (19.4%)</w:t>
            </w:r>
          </w:p>
        </w:tc>
      </w:tr>
      <w:tr w:rsidR="006B605C" w:rsidRPr="006B605C" w14:paraId="54C552AB"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BDDB67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tcBorders>
              <w:top w:val="nil"/>
              <w:left w:val="nil"/>
              <w:bottom w:val="nil"/>
              <w:right w:val="nil"/>
            </w:tcBorders>
            <w:shd w:val="clear" w:color="auto" w:fill="auto"/>
            <w:noWrap/>
            <w:vAlign w:val="bottom"/>
            <w:hideMark/>
          </w:tcPr>
          <w:p w14:paraId="03AE678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66 (61.1%)</w:t>
            </w:r>
          </w:p>
        </w:tc>
      </w:tr>
      <w:tr w:rsidR="006B605C" w:rsidRPr="006B605C" w14:paraId="46E0DBE5"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1015AA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1BFFFED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21 (19.4%)</w:t>
            </w:r>
          </w:p>
        </w:tc>
      </w:tr>
      <w:tr w:rsidR="006B605C" w:rsidRPr="006B605C" w14:paraId="01ADB86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B60ACD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16. DXA facility uses a facility-specific Standard Operating Procedures manual</w:t>
            </w:r>
          </w:p>
        </w:tc>
        <w:tc>
          <w:tcPr>
            <w:tcW w:w="1296" w:type="dxa"/>
            <w:tcBorders>
              <w:top w:val="nil"/>
              <w:left w:val="nil"/>
              <w:bottom w:val="nil"/>
              <w:right w:val="nil"/>
            </w:tcBorders>
            <w:shd w:val="clear" w:color="auto" w:fill="auto"/>
            <w:noWrap/>
            <w:vAlign w:val="bottom"/>
            <w:hideMark/>
          </w:tcPr>
          <w:p w14:paraId="06D3AD58"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11A825E1"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087FA1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tcBorders>
              <w:top w:val="nil"/>
              <w:left w:val="nil"/>
              <w:bottom w:val="nil"/>
              <w:right w:val="nil"/>
            </w:tcBorders>
            <w:shd w:val="clear" w:color="auto" w:fill="auto"/>
            <w:noWrap/>
            <w:vAlign w:val="bottom"/>
            <w:hideMark/>
          </w:tcPr>
          <w:p w14:paraId="7B91564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 (9.2%)</w:t>
            </w:r>
          </w:p>
        </w:tc>
      </w:tr>
      <w:tr w:rsidR="006B605C" w:rsidRPr="006B605C" w14:paraId="574D732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AC1D6A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tcBorders>
              <w:top w:val="nil"/>
              <w:left w:val="nil"/>
              <w:bottom w:val="nil"/>
              <w:right w:val="nil"/>
            </w:tcBorders>
            <w:shd w:val="clear" w:color="auto" w:fill="auto"/>
            <w:noWrap/>
            <w:vAlign w:val="bottom"/>
            <w:hideMark/>
          </w:tcPr>
          <w:p w14:paraId="7955453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75 (68.8%)</w:t>
            </w:r>
          </w:p>
        </w:tc>
      </w:tr>
      <w:tr w:rsidR="006B605C" w:rsidRPr="006B605C" w14:paraId="05A64ABE"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14751B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3817D72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24 (22.0%)</w:t>
            </w:r>
          </w:p>
        </w:tc>
      </w:tr>
      <w:tr w:rsidR="006B605C" w:rsidRPr="006B605C" w14:paraId="296F80E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78DFE6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17. Frequency DXA facility assesses machine calibration with a phantom</w:t>
            </w:r>
          </w:p>
        </w:tc>
        <w:tc>
          <w:tcPr>
            <w:tcW w:w="1296" w:type="dxa"/>
            <w:tcBorders>
              <w:top w:val="nil"/>
              <w:left w:val="nil"/>
              <w:bottom w:val="nil"/>
              <w:right w:val="nil"/>
            </w:tcBorders>
            <w:shd w:val="clear" w:color="auto" w:fill="auto"/>
            <w:noWrap/>
            <w:vAlign w:val="bottom"/>
            <w:hideMark/>
          </w:tcPr>
          <w:p w14:paraId="7D6511F9"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2830046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5B028A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4-5 per week</w:t>
            </w:r>
          </w:p>
        </w:tc>
        <w:tc>
          <w:tcPr>
            <w:tcW w:w="1296" w:type="dxa"/>
            <w:tcBorders>
              <w:top w:val="nil"/>
              <w:left w:val="nil"/>
              <w:bottom w:val="nil"/>
              <w:right w:val="nil"/>
            </w:tcBorders>
            <w:shd w:val="clear" w:color="auto" w:fill="auto"/>
            <w:noWrap/>
            <w:vAlign w:val="bottom"/>
            <w:hideMark/>
          </w:tcPr>
          <w:p w14:paraId="4214849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37 (34.6%)</w:t>
            </w:r>
          </w:p>
        </w:tc>
      </w:tr>
      <w:tr w:rsidR="006B605C" w:rsidRPr="006B605C" w14:paraId="7FE56A3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525B1F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2-3 per week</w:t>
            </w:r>
          </w:p>
        </w:tc>
        <w:tc>
          <w:tcPr>
            <w:tcW w:w="1296" w:type="dxa"/>
            <w:tcBorders>
              <w:top w:val="nil"/>
              <w:left w:val="nil"/>
              <w:bottom w:val="nil"/>
              <w:right w:val="nil"/>
            </w:tcBorders>
            <w:shd w:val="clear" w:color="auto" w:fill="auto"/>
            <w:noWrap/>
            <w:vAlign w:val="bottom"/>
            <w:hideMark/>
          </w:tcPr>
          <w:p w14:paraId="2228522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 (5.6%)</w:t>
            </w:r>
          </w:p>
        </w:tc>
      </w:tr>
      <w:tr w:rsidR="006B605C" w:rsidRPr="006B605C" w14:paraId="18D60C1B"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F282F4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Weekly</w:t>
            </w:r>
          </w:p>
        </w:tc>
        <w:tc>
          <w:tcPr>
            <w:tcW w:w="1296" w:type="dxa"/>
            <w:tcBorders>
              <w:top w:val="nil"/>
              <w:left w:val="nil"/>
              <w:bottom w:val="nil"/>
              <w:right w:val="nil"/>
            </w:tcBorders>
            <w:shd w:val="clear" w:color="auto" w:fill="auto"/>
            <w:noWrap/>
            <w:vAlign w:val="bottom"/>
            <w:hideMark/>
          </w:tcPr>
          <w:p w14:paraId="63AA56E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 (9.3%)</w:t>
            </w:r>
          </w:p>
        </w:tc>
      </w:tr>
      <w:tr w:rsidR="006B605C" w:rsidRPr="006B605C" w14:paraId="443DC6D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69B364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&lt;Weekly</w:t>
            </w:r>
          </w:p>
        </w:tc>
        <w:tc>
          <w:tcPr>
            <w:tcW w:w="1296" w:type="dxa"/>
            <w:tcBorders>
              <w:top w:val="nil"/>
              <w:left w:val="nil"/>
              <w:bottom w:val="nil"/>
              <w:right w:val="nil"/>
            </w:tcBorders>
            <w:shd w:val="clear" w:color="auto" w:fill="auto"/>
            <w:noWrap/>
            <w:vAlign w:val="bottom"/>
            <w:hideMark/>
          </w:tcPr>
          <w:p w14:paraId="6B7D62A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 (9.3%)</w:t>
            </w:r>
          </w:p>
        </w:tc>
      </w:tr>
      <w:tr w:rsidR="006B605C" w:rsidRPr="006B605C" w14:paraId="15B053C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101951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use phantom calibration</w:t>
            </w:r>
          </w:p>
        </w:tc>
        <w:tc>
          <w:tcPr>
            <w:tcW w:w="1296" w:type="dxa"/>
            <w:tcBorders>
              <w:top w:val="nil"/>
              <w:left w:val="nil"/>
              <w:bottom w:val="nil"/>
              <w:right w:val="nil"/>
            </w:tcBorders>
            <w:shd w:val="clear" w:color="auto" w:fill="auto"/>
            <w:noWrap/>
            <w:vAlign w:val="bottom"/>
            <w:hideMark/>
          </w:tcPr>
          <w:p w14:paraId="04C1B10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 (2.8%)</w:t>
            </w:r>
          </w:p>
        </w:tc>
      </w:tr>
      <w:tr w:rsidR="006B605C" w:rsidRPr="006B605C" w14:paraId="3306EF7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88B8A2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0C40F51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41 (38.3%)</w:t>
            </w:r>
          </w:p>
        </w:tc>
      </w:tr>
      <w:tr w:rsidR="006B605C" w:rsidRPr="006B605C" w14:paraId="63EADFEA"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C1D4AA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18. Frequency phantom values are plotted and reviewed for shifts and drift</w:t>
            </w:r>
          </w:p>
        </w:tc>
        <w:tc>
          <w:tcPr>
            <w:tcW w:w="1296" w:type="dxa"/>
            <w:tcBorders>
              <w:top w:val="nil"/>
              <w:left w:val="nil"/>
              <w:bottom w:val="nil"/>
              <w:right w:val="nil"/>
            </w:tcBorders>
            <w:shd w:val="clear" w:color="auto" w:fill="auto"/>
            <w:noWrap/>
            <w:vAlign w:val="bottom"/>
            <w:hideMark/>
          </w:tcPr>
          <w:p w14:paraId="7AC49DE9"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011B9AC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49CFFF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4-5 per week</w:t>
            </w:r>
          </w:p>
        </w:tc>
        <w:tc>
          <w:tcPr>
            <w:tcW w:w="1296" w:type="dxa"/>
            <w:tcBorders>
              <w:top w:val="nil"/>
              <w:left w:val="nil"/>
              <w:bottom w:val="nil"/>
              <w:right w:val="nil"/>
            </w:tcBorders>
            <w:shd w:val="clear" w:color="auto" w:fill="auto"/>
            <w:noWrap/>
            <w:vAlign w:val="bottom"/>
            <w:hideMark/>
          </w:tcPr>
          <w:p w14:paraId="5615103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25 (23.1%)</w:t>
            </w:r>
          </w:p>
        </w:tc>
      </w:tr>
      <w:tr w:rsidR="006B605C" w:rsidRPr="006B605C" w14:paraId="5478CDC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B0E39E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2-3 per week</w:t>
            </w:r>
          </w:p>
        </w:tc>
        <w:tc>
          <w:tcPr>
            <w:tcW w:w="1296" w:type="dxa"/>
            <w:tcBorders>
              <w:top w:val="nil"/>
              <w:left w:val="nil"/>
              <w:bottom w:val="nil"/>
              <w:right w:val="nil"/>
            </w:tcBorders>
            <w:shd w:val="clear" w:color="auto" w:fill="auto"/>
            <w:noWrap/>
            <w:vAlign w:val="bottom"/>
            <w:hideMark/>
          </w:tcPr>
          <w:p w14:paraId="0BD0632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 (6.5%)</w:t>
            </w:r>
          </w:p>
        </w:tc>
      </w:tr>
      <w:tr w:rsidR="006B605C" w:rsidRPr="006B605C" w14:paraId="36F1340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97A73F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Weekly</w:t>
            </w:r>
          </w:p>
        </w:tc>
        <w:tc>
          <w:tcPr>
            <w:tcW w:w="1296" w:type="dxa"/>
            <w:tcBorders>
              <w:top w:val="nil"/>
              <w:left w:val="nil"/>
              <w:bottom w:val="nil"/>
              <w:right w:val="nil"/>
            </w:tcBorders>
            <w:shd w:val="clear" w:color="auto" w:fill="auto"/>
            <w:noWrap/>
            <w:vAlign w:val="bottom"/>
            <w:hideMark/>
          </w:tcPr>
          <w:p w14:paraId="29BF9CD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11 (10.2%)</w:t>
            </w:r>
          </w:p>
        </w:tc>
      </w:tr>
      <w:tr w:rsidR="006B605C" w:rsidRPr="006B605C" w14:paraId="3189C0E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E65F2C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&lt;Weekly</w:t>
            </w:r>
          </w:p>
        </w:tc>
        <w:tc>
          <w:tcPr>
            <w:tcW w:w="1296" w:type="dxa"/>
            <w:tcBorders>
              <w:top w:val="nil"/>
              <w:left w:val="nil"/>
              <w:bottom w:val="nil"/>
              <w:right w:val="nil"/>
            </w:tcBorders>
            <w:shd w:val="clear" w:color="auto" w:fill="auto"/>
            <w:noWrap/>
            <w:vAlign w:val="bottom"/>
            <w:hideMark/>
          </w:tcPr>
          <w:p w14:paraId="081F3D9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13 (12.0%)</w:t>
            </w:r>
          </w:p>
        </w:tc>
      </w:tr>
      <w:tr w:rsidR="006B605C" w:rsidRPr="006B605C" w14:paraId="6223284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CB99CC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use phantom calibration</w:t>
            </w:r>
          </w:p>
        </w:tc>
        <w:tc>
          <w:tcPr>
            <w:tcW w:w="1296" w:type="dxa"/>
            <w:tcBorders>
              <w:top w:val="nil"/>
              <w:left w:val="nil"/>
              <w:bottom w:val="nil"/>
              <w:right w:val="nil"/>
            </w:tcBorders>
            <w:shd w:val="clear" w:color="auto" w:fill="auto"/>
            <w:noWrap/>
            <w:vAlign w:val="bottom"/>
            <w:hideMark/>
          </w:tcPr>
          <w:p w14:paraId="47C16A9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(4.6%)</w:t>
            </w:r>
          </w:p>
        </w:tc>
      </w:tr>
      <w:tr w:rsidR="006B605C" w:rsidRPr="006B605C" w14:paraId="347B912A" w14:textId="77777777" w:rsidTr="00F8491A">
        <w:trPr>
          <w:trHeight w:hRule="exact" w:val="255"/>
        </w:trPr>
        <w:tc>
          <w:tcPr>
            <w:tcW w:w="7840" w:type="dxa"/>
            <w:tcBorders>
              <w:top w:val="nil"/>
              <w:left w:val="nil"/>
              <w:right w:val="nil"/>
            </w:tcBorders>
            <w:shd w:val="clear" w:color="auto" w:fill="auto"/>
            <w:noWrap/>
            <w:vAlign w:val="bottom"/>
            <w:hideMark/>
          </w:tcPr>
          <w:p w14:paraId="79CDFF1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right w:val="nil"/>
            </w:tcBorders>
            <w:shd w:val="clear" w:color="auto" w:fill="auto"/>
            <w:noWrap/>
            <w:vAlign w:val="bottom"/>
            <w:hideMark/>
          </w:tcPr>
          <w:p w14:paraId="6EBF1AF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47 (43.5%)</w:t>
            </w:r>
          </w:p>
        </w:tc>
      </w:tr>
      <w:tr w:rsidR="006B605C" w:rsidRPr="006B605C" w14:paraId="11C7E99E" w14:textId="77777777" w:rsidTr="00F8491A">
        <w:trPr>
          <w:trHeight w:hRule="exact" w:val="255"/>
        </w:trPr>
        <w:tc>
          <w:tcPr>
            <w:tcW w:w="7840" w:type="dxa"/>
            <w:shd w:val="clear" w:color="auto" w:fill="auto"/>
            <w:noWrap/>
            <w:vAlign w:val="bottom"/>
            <w:hideMark/>
          </w:tcPr>
          <w:p w14:paraId="037CBAB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19. Numerical quality assurance rules for acceptable DXA machine performance</w:t>
            </w:r>
          </w:p>
        </w:tc>
        <w:tc>
          <w:tcPr>
            <w:tcW w:w="1296" w:type="dxa"/>
            <w:shd w:val="clear" w:color="auto" w:fill="auto"/>
            <w:noWrap/>
            <w:vAlign w:val="bottom"/>
            <w:hideMark/>
          </w:tcPr>
          <w:p w14:paraId="6314031A"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2B914757" w14:textId="77777777" w:rsidTr="00F8491A">
        <w:trPr>
          <w:trHeight w:hRule="exact" w:val="255"/>
        </w:trPr>
        <w:tc>
          <w:tcPr>
            <w:tcW w:w="7840" w:type="dxa"/>
            <w:shd w:val="clear" w:color="auto" w:fill="auto"/>
            <w:noWrap/>
            <w:vAlign w:val="bottom"/>
            <w:hideMark/>
          </w:tcPr>
          <w:p w14:paraId="3D5A1ED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shd w:val="clear" w:color="auto" w:fill="auto"/>
            <w:noWrap/>
            <w:vAlign w:val="bottom"/>
            <w:hideMark/>
          </w:tcPr>
          <w:p w14:paraId="455D68F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 (6.7%)</w:t>
            </w:r>
          </w:p>
        </w:tc>
      </w:tr>
      <w:tr w:rsidR="006B605C" w:rsidRPr="006B605C" w14:paraId="5148ED39" w14:textId="77777777" w:rsidTr="00F8491A">
        <w:trPr>
          <w:trHeight w:hRule="exact" w:val="255"/>
        </w:trPr>
        <w:tc>
          <w:tcPr>
            <w:tcW w:w="7840" w:type="dxa"/>
            <w:shd w:val="clear" w:color="auto" w:fill="auto"/>
            <w:noWrap/>
            <w:vAlign w:val="bottom"/>
            <w:hideMark/>
          </w:tcPr>
          <w:p w14:paraId="7F6AAC7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shd w:val="clear" w:color="auto" w:fill="auto"/>
            <w:noWrap/>
            <w:vAlign w:val="bottom"/>
            <w:hideMark/>
          </w:tcPr>
          <w:p w14:paraId="3A68607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61 (58.1%)</w:t>
            </w:r>
          </w:p>
        </w:tc>
      </w:tr>
      <w:tr w:rsidR="006B605C" w:rsidRPr="006B605C" w14:paraId="5454610D" w14:textId="77777777" w:rsidTr="00F8491A">
        <w:trPr>
          <w:trHeight w:hRule="exact" w:val="255"/>
        </w:trPr>
        <w:tc>
          <w:tcPr>
            <w:tcW w:w="7840" w:type="dxa"/>
            <w:shd w:val="clear" w:color="auto" w:fill="auto"/>
            <w:noWrap/>
            <w:vAlign w:val="bottom"/>
            <w:hideMark/>
          </w:tcPr>
          <w:p w14:paraId="75C18E8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shd w:val="clear" w:color="auto" w:fill="auto"/>
            <w:noWrap/>
            <w:vAlign w:val="bottom"/>
            <w:hideMark/>
          </w:tcPr>
          <w:p w14:paraId="1D86B82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37 (35.2%)</w:t>
            </w:r>
          </w:p>
        </w:tc>
      </w:tr>
      <w:tr w:rsidR="006B605C" w:rsidRPr="006B605C" w14:paraId="10D1A395" w14:textId="77777777" w:rsidTr="00F8491A">
        <w:trPr>
          <w:trHeight w:hRule="exact" w:val="255"/>
        </w:trPr>
        <w:tc>
          <w:tcPr>
            <w:tcW w:w="7840" w:type="dxa"/>
            <w:shd w:val="clear" w:color="auto" w:fill="auto"/>
            <w:noWrap/>
            <w:vAlign w:val="bottom"/>
            <w:hideMark/>
          </w:tcPr>
          <w:p w14:paraId="441C0D3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20. Manufacturer’s specific operations manual immediately available in the DXA suite</w:t>
            </w:r>
          </w:p>
        </w:tc>
        <w:tc>
          <w:tcPr>
            <w:tcW w:w="1296" w:type="dxa"/>
            <w:shd w:val="clear" w:color="auto" w:fill="auto"/>
            <w:noWrap/>
            <w:vAlign w:val="bottom"/>
            <w:hideMark/>
          </w:tcPr>
          <w:p w14:paraId="033484A7"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713BD607" w14:textId="77777777" w:rsidTr="00F8491A">
        <w:trPr>
          <w:trHeight w:hRule="exact" w:val="255"/>
        </w:trPr>
        <w:tc>
          <w:tcPr>
            <w:tcW w:w="7840" w:type="dxa"/>
            <w:shd w:val="clear" w:color="auto" w:fill="auto"/>
            <w:noWrap/>
            <w:vAlign w:val="bottom"/>
            <w:hideMark/>
          </w:tcPr>
          <w:p w14:paraId="557D455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shd w:val="clear" w:color="auto" w:fill="auto"/>
            <w:noWrap/>
            <w:vAlign w:val="bottom"/>
            <w:hideMark/>
          </w:tcPr>
          <w:p w14:paraId="41DA5D5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(4.7%)</w:t>
            </w:r>
          </w:p>
        </w:tc>
      </w:tr>
      <w:tr w:rsidR="006B605C" w:rsidRPr="006B605C" w14:paraId="4B7B6A3B" w14:textId="77777777" w:rsidTr="00F8491A">
        <w:trPr>
          <w:trHeight w:hRule="exact" w:val="255"/>
        </w:trPr>
        <w:tc>
          <w:tcPr>
            <w:tcW w:w="7840" w:type="dxa"/>
            <w:shd w:val="clear" w:color="auto" w:fill="auto"/>
            <w:noWrap/>
            <w:vAlign w:val="bottom"/>
            <w:hideMark/>
          </w:tcPr>
          <w:p w14:paraId="1F8EBB5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shd w:val="clear" w:color="auto" w:fill="auto"/>
            <w:noWrap/>
            <w:vAlign w:val="bottom"/>
            <w:hideMark/>
          </w:tcPr>
          <w:p w14:paraId="41B4ADC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77 (72.0%)</w:t>
            </w:r>
          </w:p>
        </w:tc>
      </w:tr>
      <w:tr w:rsidR="006B605C" w:rsidRPr="006B605C" w14:paraId="029AEC7A" w14:textId="77777777" w:rsidTr="00F8491A">
        <w:trPr>
          <w:trHeight w:hRule="exact" w:val="255"/>
        </w:trPr>
        <w:tc>
          <w:tcPr>
            <w:tcW w:w="7840" w:type="dxa"/>
            <w:shd w:val="clear" w:color="auto" w:fill="auto"/>
            <w:noWrap/>
            <w:vAlign w:val="bottom"/>
            <w:hideMark/>
          </w:tcPr>
          <w:p w14:paraId="58A7497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shd w:val="clear" w:color="auto" w:fill="auto"/>
            <w:noWrap/>
            <w:vAlign w:val="bottom"/>
            <w:hideMark/>
          </w:tcPr>
          <w:p w14:paraId="24B9AFD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25 (23.4%)</w:t>
            </w:r>
          </w:p>
        </w:tc>
      </w:tr>
      <w:tr w:rsidR="006B605C" w:rsidRPr="006B605C" w14:paraId="0C2F5A13" w14:textId="77777777" w:rsidTr="00F8491A">
        <w:trPr>
          <w:trHeight w:hRule="exact" w:val="255"/>
        </w:trPr>
        <w:tc>
          <w:tcPr>
            <w:tcW w:w="9136" w:type="dxa"/>
            <w:gridSpan w:val="2"/>
            <w:tcBorders>
              <w:left w:val="nil"/>
            </w:tcBorders>
            <w:shd w:val="clear" w:color="auto" w:fill="auto"/>
            <w:noWrap/>
            <w:vAlign w:val="bottom"/>
            <w:hideMark/>
          </w:tcPr>
          <w:p w14:paraId="0C6EA7F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21. Frequency DXA facility uses a standardised questionnaire for clinical patient info</w:t>
            </w:r>
          </w:p>
        </w:tc>
      </w:tr>
      <w:tr w:rsidR="006B605C" w:rsidRPr="006B605C" w14:paraId="0C421C99"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F9F481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&gt;90% of the time</w:t>
            </w:r>
          </w:p>
        </w:tc>
        <w:tc>
          <w:tcPr>
            <w:tcW w:w="1296" w:type="dxa"/>
            <w:tcBorders>
              <w:top w:val="nil"/>
              <w:left w:val="nil"/>
              <w:bottom w:val="nil"/>
              <w:right w:val="nil"/>
            </w:tcBorders>
            <w:shd w:val="clear" w:color="auto" w:fill="auto"/>
            <w:noWrap/>
            <w:vAlign w:val="bottom"/>
            <w:hideMark/>
          </w:tcPr>
          <w:p w14:paraId="6C9E341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63 (58.9%)</w:t>
            </w:r>
          </w:p>
        </w:tc>
      </w:tr>
      <w:tr w:rsidR="006B605C" w:rsidRPr="006B605C" w14:paraId="145D801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F4FC7F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51-90% of the time</w:t>
            </w:r>
          </w:p>
        </w:tc>
        <w:tc>
          <w:tcPr>
            <w:tcW w:w="1296" w:type="dxa"/>
            <w:tcBorders>
              <w:top w:val="nil"/>
              <w:left w:val="nil"/>
              <w:bottom w:val="nil"/>
              <w:right w:val="nil"/>
            </w:tcBorders>
            <w:shd w:val="clear" w:color="auto" w:fill="auto"/>
            <w:noWrap/>
            <w:vAlign w:val="bottom"/>
            <w:hideMark/>
          </w:tcPr>
          <w:p w14:paraId="12B712E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 (6.5%)</w:t>
            </w:r>
          </w:p>
        </w:tc>
      </w:tr>
      <w:tr w:rsidR="006B605C" w:rsidRPr="006B605C" w14:paraId="28DC0A41"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207A71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10-50% of the time</w:t>
            </w:r>
          </w:p>
        </w:tc>
        <w:tc>
          <w:tcPr>
            <w:tcW w:w="1296" w:type="dxa"/>
            <w:tcBorders>
              <w:top w:val="nil"/>
              <w:left w:val="nil"/>
              <w:bottom w:val="nil"/>
              <w:right w:val="nil"/>
            </w:tcBorders>
            <w:shd w:val="clear" w:color="auto" w:fill="auto"/>
            <w:noWrap/>
            <w:vAlign w:val="bottom"/>
            <w:hideMark/>
          </w:tcPr>
          <w:p w14:paraId="5AA28BD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 (3.7%)</w:t>
            </w:r>
          </w:p>
        </w:tc>
      </w:tr>
      <w:tr w:rsidR="006B605C" w:rsidRPr="006B605C" w14:paraId="56C9589B"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C82343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&lt;10% of the time</w:t>
            </w:r>
          </w:p>
        </w:tc>
        <w:tc>
          <w:tcPr>
            <w:tcW w:w="1296" w:type="dxa"/>
            <w:tcBorders>
              <w:top w:val="nil"/>
              <w:left w:val="nil"/>
              <w:bottom w:val="nil"/>
              <w:right w:val="nil"/>
            </w:tcBorders>
            <w:shd w:val="clear" w:color="auto" w:fill="auto"/>
            <w:noWrap/>
            <w:vAlign w:val="bottom"/>
            <w:hideMark/>
          </w:tcPr>
          <w:p w14:paraId="4A19B1D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(4.7%)</w:t>
            </w:r>
          </w:p>
        </w:tc>
      </w:tr>
      <w:tr w:rsidR="006B605C" w:rsidRPr="006B605C" w14:paraId="18FE09F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5590CA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4447FE9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 (7.5%)</w:t>
            </w:r>
          </w:p>
        </w:tc>
      </w:tr>
      <w:tr w:rsidR="006B605C" w:rsidRPr="006B605C" w14:paraId="1857F08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4D059C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N/A</w:t>
            </w:r>
          </w:p>
        </w:tc>
        <w:tc>
          <w:tcPr>
            <w:tcW w:w="1296" w:type="dxa"/>
            <w:tcBorders>
              <w:top w:val="nil"/>
              <w:left w:val="nil"/>
              <w:bottom w:val="nil"/>
              <w:right w:val="nil"/>
            </w:tcBorders>
            <w:shd w:val="clear" w:color="auto" w:fill="auto"/>
            <w:noWrap/>
            <w:vAlign w:val="bottom"/>
            <w:hideMark/>
          </w:tcPr>
          <w:p w14:paraId="2810674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20 (18.7%)</w:t>
            </w:r>
          </w:p>
        </w:tc>
      </w:tr>
      <w:tr w:rsidR="006B605C" w:rsidRPr="006B605C" w14:paraId="6B0BC0E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0B3590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22. Part of questionnaire: indications for DXA scan</w:t>
            </w:r>
          </w:p>
        </w:tc>
        <w:tc>
          <w:tcPr>
            <w:tcW w:w="1296" w:type="dxa"/>
            <w:tcBorders>
              <w:top w:val="nil"/>
              <w:left w:val="nil"/>
              <w:bottom w:val="nil"/>
              <w:right w:val="nil"/>
            </w:tcBorders>
            <w:shd w:val="clear" w:color="auto" w:fill="auto"/>
            <w:noWrap/>
            <w:vAlign w:val="bottom"/>
            <w:hideMark/>
          </w:tcPr>
          <w:p w14:paraId="7B6BA0FB"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47579319"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CF4761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tcBorders>
              <w:top w:val="nil"/>
              <w:left w:val="nil"/>
              <w:bottom w:val="nil"/>
              <w:right w:val="nil"/>
            </w:tcBorders>
            <w:shd w:val="clear" w:color="auto" w:fill="auto"/>
            <w:noWrap/>
            <w:vAlign w:val="bottom"/>
            <w:hideMark/>
          </w:tcPr>
          <w:p w14:paraId="096373A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21 (23.6%)</w:t>
            </w:r>
          </w:p>
        </w:tc>
      </w:tr>
      <w:tr w:rsidR="006B605C" w:rsidRPr="006B605C" w14:paraId="1F3C552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5B2F4F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tcBorders>
              <w:top w:val="nil"/>
              <w:left w:val="nil"/>
              <w:bottom w:val="nil"/>
              <w:right w:val="nil"/>
            </w:tcBorders>
            <w:shd w:val="clear" w:color="auto" w:fill="auto"/>
            <w:noWrap/>
            <w:vAlign w:val="bottom"/>
            <w:hideMark/>
          </w:tcPr>
          <w:p w14:paraId="3D6D254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68 (76.4%)</w:t>
            </w:r>
          </w:p>
        </w:tc>
      </w:tr>
      <w:tr w:rsidR="006B605C" w:rsidRPr="006B605C" w14:paraId="2C1A0A2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89ADD9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23. Part of questionnaire: clinical risk factors for fracture risk calculation</w:t>
            </w:r>
          </w:p>
        </w:tc>
        <w:tc>
          <w:tcPr>
            <w:tcW w:w="1296" w:type="dxa"/>
            <w:tcBorders>
              <w:top w:val="nil"/>
              <w:left w:val="nil"/>
              <w:bottom w:val="nil"/>
              <w:right w:val="nil"/>
            </w:tcBorders>
            <w:shd w:val="clear" w:color="auto" w:fill="auto"/>
            <w:noWrap/>
            <w:vAlign w:val="bottom"/>
            <w:hideMark/>
          </w:tcPr>
          <w:p w14:paraId="18345E80"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339DC98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E042FB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tcBorders>
              <w:top w:val="nil"/>
              <w:left w:val="nil"/>
              <w:bottom w:val="nil"/>
              <w:right w:val="nil"/>
            </w:tcBorders>
            <w:shd w:val="clear" w:color="auto" w:fill="auto"/>
            <w:noWrap/>
            <w:vAlign w:val="bottom"/>
            <w:hideMark/>
          </w:tcPr>
          <w:p w14:paraId="01A860F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 (11.2%)</w:t>
            </w:r>
          </w:p>
        </w:tc>
      </w:tr>
      <w:tr w:rsidR="006B605C" w:rsidRPr="006B605C" w14:paraId="776690BA"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7488D3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tcBorders>
              <w:top w:val="nil"/>
              <w:left w:val="nil"/>
              <w:bottom w:val="nil"/>
              <w:right w:val="nil"/>
            </w:tcBorders>
            <w:shd w:val="clear" w:color="auto" w:fill="auto"/>
            <w:noWrap/>
            <w:vAlign w:val="bottom"/>
            <w:hideMark/>
          </w:tcPr>
          <w:p w14:paraId="455F630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79 (88.8%)</w:t>
            </w:r>
          </w:p>
        </w:tc>
      </w:tr>
      <w:tr w:rsidR="006B605C" w:rsidRPr="006B605C" w14:paraId="71C692BE" w14:textId="77777777" w:rsidTr="00F8491A">
        <w:trPr>
          <w:trHeight w:hRule="exact" w:val="255"/>
        </w:trPr>
        <w:tc>
          <w:tcPr>
            <w:tcW w:w="9136" w:type="dxa"/>
            <w:gridSpan w:val="2"/>
            <w:tcBorders>
              <w:top w:val="nil"/>
              <w:left w:val="nil"/>
              <w:bottom w:val="nil"/>
              <w:right w:val="nil"/>
            </w:tcBorders>
            <w:shd w:val="clear" w:color="auto" w:fill="auto"/>
            <w:noWrap/>
            <w:vAlign w:val="bottom"/>
            <w:hideMark/>
          </w:tcPr>
          <w:p w14:paraId="34CB2E9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24. Part of questionnaire: current/previous use of bone-detrimental medications</w:t>
            </w:r>
          </w:p>
        </w:tc>
      </w:tr>
      <w:tr w:rsidR="006B605C" w:rsidRPr="006B605C" w14:paraId="7F73936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9F87EF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tcBorders>
              <w:top w:val="nil"/>
              <w:left w:val="nil"/>
              <w:bottom w:val="nil"/>
              <w:right w:val="nil"/>
            </w:tcBorders>
            <w:shd w:val="clear" w:color="auto" w:fill="auto"/>
            <w:noWrap/>
            <w:vAlign w:val="bottom"/>
            <w:hideMark/>
          </w:tcPr>
          <w:p w14:paraId="7D2B414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15 (16.9%)</w:t>
            </w:r>
          </w:p>
        </w:tc>
      </w:tr>
      <w:tr w:rsidR="006B605C" w:rsidRPr="006B605C" w14:paraId="2F44866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FEA141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tcBorders>
              <w:top w:val="nil"/>
              <w:left w:val="nil"/>
              <w:bottom w:val="nil"/>
              <w:right w:val="nil"/>
            </w:tcBorders>
            <w:shd w:val="clear" w:color="auto" w:fill="auto"/>
            <w:noWrap/>
            <w:vAlign w:val="bottom"/>
            <w:hideMark/>
          </w:tcPr>
          <w:p w14:paraId="2212333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74 (83.1%)</w:t>
            </w:r>
          </w:p>
        </w:tc>
      </w:tr>
      <w:tr w:rsidR="006B605C" w:rsidRPr="006B605C" w14:paraId="2815C87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2E5C03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25. Part of questionnaire: fracture history</w:t>
            </w:r>
          </w:p>
        </w:tc>
        <w:tc>
          <w:tcPr>
            <w:tcW w:w="1296" w:type="dxa"/>
            <w:tcBorders>
              <w:top w:val="nil"/>
              <w:left w:val="nil"/>
              <w:bottom w:val="nil"/>
              <w:right w:val="nil"/>
            </w:tcBorders>
            <w:shd w:val="clear" w:color="auto" w:fill="auto"/>
            <w:noWrap/>
            <w:vAlign w:val="bottom"/>
            <w:hideMark/>
          </w:tcPr>
          <w:p w14:paraId="730BD5CB"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1F64B21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6B7DFC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tcBorders>
              <w:top w:val="nil"/>
              <w:left w:val="nil"/>
              <w:bottom w:val="nil"/>
              <w:right w:val="nil"/>
            </w:tcBorders>
            <w:shd w:val="clear" w:color="auto" w:fill="auto"/>
            <w:noWrap/>
            <w:vAlign w:val="bottom"/>
            <w:hideMark/>
          </w:tcPr>
          <w:p w14:paraId="3710ED1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(5.6%)</w:t>
            </w:r>
          </w:p>
        </w:tc>
      </w:tr>
      <w:tr w:rsidR="006B605C" w:rsidRPr="006B605C" w14:paraId="5A41B5B0"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5103C2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tcBorders>
              <w:top w:val="nil"/>
              <w:left w:val="nil"/>
              <w:bottom w:val="nil"/>
              <w:right w:val="nil"/>
            </w:tcBorders>
            <w:shd w:val="clear" w:color="auto" w:fill="auto"/>
            <w:noWrap/>
            <w:vAlign w:val="bottom"/>
            <w:hideMark/>
          </w:tcPr>
          <w:p w14:paraId="0AE04EF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84 (94.4%)</w:t>
            </w:r>
          </w:p>
        </w:tc>
      </w:tr>
      <w:tr w:rsidR="006B605C" w:rsidRPr="006B605C" w14:paraId="0649F8C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5E412F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26. Part of questionnaire: treatment with osteoporosis medications</w:t>
            </w:r>
          </w:p>
        </w:tc>
        <w:tc>
          <w:tcPr>
            <w:tcW w:w="1296" w:type="dxa"/>
            <w:tcBorders>
              <w:top w:val="nil"/>
              <w:left w:val="nil"/>
              <w:bottom w:val="nil"/>
              <w:right w:val="nil"/>
            </w:tcBorders>
            <w:shd w:val="clear" w:color="auto" w:fill="auto"/>
            <w:noWrap/>
            <w:vAlign w:val="bottom"/>
            <w:hideMark/>
          </w:tcPr>
          <w:p w14:paraId="39B8EC31"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30DDAE0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EDACAF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tcBorders>
              <w:top w:val="nil"/>
              <w:left w:val="nil"/>
              <w:bottom w:val="nil"/>
              <w:right w:val="nil"/>
            </w:tcBorders>
            <w:shd w:val="clear" w:color="auto" w:fill="auto"/>
            <w:noWrap/>
            <w:vAlign w:val="bottom"/>
            <w:hideMark/>
          </w:tcPr>
          <w:p w14:paraId="0AA9D85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9 (10.1%)</w:t>
            </w:r>
          </w:p>
        </w:tc>
      </w:tr>
      <w:tr w:rsidR="006B605C" w:rsidRPr="006B605C" w14:paraId="2368544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369A79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tcBorders>
              <w:top w:val="nil"/>
              <w:left w:val="nil"/>
              <w:bottom w:val="nil"/>
              <w:right w:val="nil"/>
            </w:tcBorders>
            <w:shd w:val="clear" w:color="auto" w:fill="auto"/>
            <w:noWrap/>
            <w:vAlign w:val="bottom"/>
            <w:hideMark/>
          </w:tcPr>
          <w:p w14:paraId="474E56E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80 (89.9%)</w:t>
            </w:r>
          </w:p>
        </w:tc>
      </w:tr>
      <w:tr w:rsidR="006B605C" w:rsidRPr="006B605C" w14:paraId="794AC09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475ED66" w14:textId="77777777" w:rsidR="006B605C" w:rsidRPr="006B605C" w:rsidRDefault="006B605C" w:rsidP="006B605C">
            <w:pPr>
              <w:spacing w:after="0" w:line="240" w:lineRule="auto"/>
              <w:jc w:val="both"/>
              <w:rPr>
                <w:rFonts w:eastAsia="Times New Roman" w:cs="Arial"/>
                <w:color w:val="000000"/>
                <w:sz w:val="20"/>
                <w:szCs w:val="20"/>
                <w:lang w:val="fr-FR" w:eastAsia="en-GB"/>
              </w:rPr>
            </w:pPr>
            <w:r w:rsidRPr="006B605C">
              <w:rPr>
                <w:rFonts w:eastAsia="Times New Roman" w:cs="Arial"/>
                <w:color w:val="000000"/>
                <w:sz w:val="20"/>
                <w:szCs w:val="20"/>
                <w:lang w:val="fr-FR" w:eastAsia="en-GB"/>
              </w:rPr>
              <w:t xml:space="preserve">27. DXA questionnaire </w:t>
            </w:r>
            <w:proofErr w:type="spellStart"/>
            <w:r w:rsidRPr="006B605C">
              <w:rPr>
                <w:rFonts w:eastAsia="Times New Roman" w:cs="Arial"/>
                <w:color w:val="000000"/>
                <w:sz w:val="20"/>
                <w:szCs w:val="20"/>
                <w:lang w:val="fr-FR" w:eastAsia="en-GB"/>
              </w:rPr>
              <w:t>present</w:t>
            </w:r>
            <w:proofErr w:type="spellEnd"/>
          </w:p>
        </w:tc>
        <w:tc>
          <w:tcPr>
            <w:tcW w:w="1296" w:type="dxa"/>
            <w:tcBorders>
              <w:top w:val="nil"/>
              <w:left w:val="nil"/>
              <w:bottom w:val="nil"/>
              <w:right w:val="nil"/>
            </w:tcBorders>
            <w:shd w:val="clear" w:color="auto" w:fill="auto"/>
            <w:noWrap/>
            <w:vAlign w:val="bottom"/>
            <w:hideMark/>
          </w:tcPr>
          <w:p w14:paraId="6B215870" w14:textId="77777777" w:rsidR="006B605C" w:rsidRPr="006B605C" w:rsidRDefault="006B605C" w:rsidP="006B605C">
            <w:pPr>
              <w:spacing w:after="0" w:line="240" w:lineRule="auto"/>
              <w:jc w:val="both"/>
              <w:rPr>
                <w:rFonts w:eastAsia="Times New Roman" w:cs="Arial"/>
                <w:color w:val="000000"/>
                <w:sz w:val="20"/>
                <w:szCs w:val="20"/>
                <w:lang w:val="fr-FR" w:eastAsia="en-GB"/>
              </w:rPr>
            </w:pPr>
          </w:p>
        </w:tc>
      </w:tr>
      <w:tr w:rsidR="006B605C" w:rsidRPr="006B605C" w14:paraId="28592901"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3CB3D1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 questionnaire</w:t>
            </w:r>
          </w:p>
        </w:tc>
        <w:tc>
          <w:tcPr>
            <w:tcW w:w="1296" w:type="dxa"/>
            <w:tcBorders>
              <w:top w:val="nil"/>
              <w:left w:val="nil"/>
              <w:bottom w:val="nil"/>
              <w:right w:val="nil"/>
            </w:tcBorders>
            <w:shd w:val="clear" w:color="auto" w:fill="auto"/>
            <w:noWrap/>
            <w:vAlign w:val="bottom"/>
            <w:hideMark/>
          </w:tcPr>
          <w:p w14:paraId="66F38C4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19 (17.6%)</w:t>
            </w:r>
          </w:p>
        </w:tc>
      </w:tr>
      <w:tr w:rsidR="006B605C" w:rsidRPr="006B605C" w14:paraId="0A01382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F86E17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lastRenderedPageBreak/>
              <w:t>Questionnaire present</w:t>
            </w:r>
          </w:p>
        </w:tc>
        <w:tc>
          <w:tcPr>
            <w:tcW w:w="1296" w:type="dxa"/>
            <w:tcBorders>
              <w:top w:val="nil"/>
              <w:left w:val="nil"/>
              <w:bottom w:val="nil"/>
              <w:right w:val="nil"/>
            </w:tcBorders>
            <w:shd w:val="clear" w:color="auto" w:fill="auto"/>
            <w:noWrap/>
            <w:vAlign w:val="bottom"/>
            <w:hideMark/>
          </w:tcPr>
          <w:p w14:paraId="7484140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89 (82.4%)</w:t>
            </w:r>
          </w:p>
        </w:tc>
      </w:tr>
      <w:tr w:rsidR="006B605C" w:rsidRPr="006B605C" w14:paraId="4535AED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BD4AB8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28. Primary source for collecting DXA questionnaire responses</w:t>
            </w:r>
          </w:p>
        </w:tc>
        <w:tc>
          <w:tcPr>
            <w:tcW w:w="1296" w:type="dxa"/>
            <w:tcBorders>
              <w:top w:val="nil"/>
              <w:left w:val="nil"/>
              <w:bottom w:val="nil"/>
              <w:right w:val="nil"/>
            </w:tcBorders>
            <w:shd w:val="clear" w:color="auto" w:fill="auto"/>
            <w:noWrap/>
            <w:vAlign w:val="bottom"/>
            <w:hideMark/>
          </w:tcPr>
          <w:p w14:paraId="58C62992"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7B32CB8B"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782328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Referring physician provides data</w:t>
            </w:r>
          </w:p>
        </w:tc>
        <w:tc>
          <w:tcPr>
            <w:tcW w:w="1296" w:type="dxa"/>
            <w:tcBorders>
              <w:top w:val="nil"/>
              <w:left w:val="nil"/>
              <w:bottom w:val="nil"/>
              <w:right w:val="nil"/>
            </w:tcBorders>
            <w:shd w:val="clear" w:color="auto" w:fill="auto"/>
            <w:noWrap/>
            <w:vAlign w:val="bottom"/>
            <w:hideMark/>
          </w:tcPr>
          <w:p w14:paraId="18D9EBA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21 (20.2%)</w:t>
            </w:r>
          </w:p>
        </w:tc>
      </w:tr>
      <w:tr w:rsidR="006B605C" w:rsidRPr="006B605C" w14:paraId="041473F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6B79E3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Patient provides data</w:t>
            </w:r>
          </w:p>
        </w:tc>
        <w:tc>
          <w:tcPr>
            <w:tcW w:w="1296" w:type="dxa"/>
            <w:tcBorders>
              <w:top w:val="nil"/>
              <w:left w:val="nil"/>
              <w:bottom w:val="nil"/>
              <w:right w:val="nil"/>
            </w:tcBorders>
            <w:shd w:val="clear" w:color="auto" w:fill="auto"/>
            <w:noWrap/>
            <w:vAlign w:val="bottom"/>
            <w:hideMark/>
          </w:tcPr>
          <w:p w14:paraId="2D3C79A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27 (26.0%)</w:t>
            </w:r>
          </w:p>
        </w:tc>
      </w:tr>
      <w:tr w:rsidR="006B605C" w:rsidRPr="006B605C" w14:paraId="3AFE93FE"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FB23C6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Technologist collects at scan or validates patient supplied data</w:t>
            </w:r>
          </w:p>
        </w:tc>
        <w:tc>
          <w:tcPr>
            <w:tcW w:w="1296" w:type="dxa"/>
            <w:tcBorders>
              <w:top w:val="nil"/>
              <w:left w:val="nil"/>
              <w:bottom w:val="nil"/>
              <w:right w:val="nil"/>
            </w:tcBorders>
            <w:shd w:val="clear" w:color="auto" w:fill="auto"/>
            <w:noWrap/>
            <w:vAlign w:val="bottom"/>
            <w:hideMark/>
          </w:tcPr>
          <w:p w14:paraId="13C300B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32 (30.8%)</w:t>
            </w:r>
          </w:p>
        </w:tc>
      </w:tr>
      <w:tr w:rsidR="006B605C" w:rsidRPr="006B605C" w14:paraId="1036089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3803D4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 questionnaire</w:t>
            </w:r>
          </w:p>
        </w:tc>
        <w:tc>
          <w:tcPr>
            <w:tcW w:w="1296" w:type="dxa"/>
            <w:tcBorders>
              <w:top w:val="nil"/>
              <w:left w:val="nil"/>
              <w:bottom w:val="nil"/>
              <w:right w:val="nil"/>
            </w:tcBorders>
            <w:shd w:val="clear" w:color="auto" w:fill="auto"/>
            <w:noWrap/>
            <w:vAlign w:val="bottom"/>
            <w:hideMark/>
          </w:tcPr>
          <w:p w14:paraId="79BAD97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19 (18.3%)</w:t>
            </w:r>
          </w:p>
        </w:tc>
      </w:tr>
      <w:tr w:rsidR="006B605C" w:rsidRPr="006B605C" w14:paraId="739316A5"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3F5737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7A5A419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(4.8%)</w:t>
            </w:r>
          </w:p>
        </w:tc>
      </w:tr>
      <w:tr w:rsidR="006B605C" w:rsidRPr="006B605C" w14:paraId="2262A91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CD89B3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29. How DXA facility assesses significant BMD change over time</w:t>
            </w:r>
          </w:p>
        </w:tc>
        <w:tc>
          <w:tcPr>
            <w:tcW w:w="1296" w:type="dxa"/>
            <w:tcBorders>
              <w:top w:val="nil"/>
              <w:left w:val="nil"/>
              <w:bottom w:val="nil"/>
              <w:right w:val="nil"/>
            </w:tcBorders>
            <w:shd w:val="clear" w:color="auto" w:fill="auto"/>
            <w:noWrap/>
            <w:vAlign w:val="bottom"/>
            <w:hideMark/>
          </w:tcPr>
          <w:p w14:paraId="4CC7A71C"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371BE0F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DFD17D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95% LSC</w:t>
            </w:r>
          </w:p>
        </w:tc>
        <w:tc>
          <w:tcPr>
            <w:tcW w:w="1296" w:type="dxa"/>
            <w:tcBorders>
              <w:top w:val="nil"/>
              <w:left w:val="nil"/>
              <w:bottom w:val="nil"/>
              <w:right w:val="nil"/>
            </w:tcBorders>
            <w:shd w:val="clear" w:color="auto" w:fill="auto"/>
            <w:noWrap/>
            <w:vAlign w:val="bottom"/>
            <w:hideMark/>
          </w:tcPr>
          <w:p w14:paraId="3187859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47 (43.5%)</w:t>
            </w:r>
          </w:p>
        </w:tc>
      </w:tr>
      <w:tr w:rsidR="006B605C" w:rsidRPr="006B605C" w14:paraId="47A4BAC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391728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Manufacturer recommendations</w:t>
            </w:r>
          </w:p>
        </w:tc>
        <w:tc>
          <w:tcPr>
            <w:tcW w:w="1296" w:type="dxa"/>
            <w:tcBorders>
              <w:top w:val="nil"/>
              <w:left w:val="nil"/>
              <w:bottom w:val="nil"/>
              <w:right w:val="nil"/>
            </w:tcBorders>
            <w:shd w:val="clear" w:color="auto" w:fill="auto"/>
            <w:noWrap/>
            <w:vAlign w:val="bottom"/>
            <w:hideMark/>
          </w:tcPr>
          <w:p w14:paraId="3DE2FA2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16 (14.8%)</w:t>
            </w:r>
          </w:p>
        </w:tc>
      </w:tr>
      <w:tr w:rsidR="006B605C" w:rsidRPr="006B605C" w14:paraId="51A9E8B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59F79F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As determined by each DXA interpreter</w:t>
            </w:r>
          </w:p>
        </w:tc>
        <w:tc>
          <w:tcPr>
            <w:tcW w:w="1296" w:type="dxa"/>
            <w:tcBorders>
              <w:top w:val="nil"/>
              <w:left w:val="nil"/>
              <w:bottom w:val="nil"/>
              <w:right w:val="nil"/>
            </w:tcBorders>
            <w:shd w:val="clear" w:color="auto" w:fill="auto"/>
            <w:noWrap/>
            <w:vAlign w:val="bottom"/>
            <w:hideMark/>
          </w:tcPr>
          <w:p w14:paraId="22166EE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19 (17.6%)</w:t>
            </w:r>
          </w:p>
        </w:tc>
      </w:tr>
      <w:tr w:rsidR="006B605C" w:rsidRPr="006B605C" w14:paraId="7F500D4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E5188E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Facility does not report these changes</w:t>
            </w:r>
          </w:p>
        </w:tc>
        <w:tc>
          <w:tcPr>
            <w:tcW w:w="1296" w:type="dxa"/>
            <w:tcBorders>
              <w:top w:val="nil"/>
              <w:left w:val="nil"/>
              <w:bottom w:val="nil"/>
              <w:right w:val="nil"/>
            </w:tcBorders>
            <w:shd w:val="clear" w:color="auto" w:fill="auto"/>
            <w:noWrap/>
            <w:vAlign w:val="bottom"/>
            <w:hideMark/>
          </w:tcPr>
          <w:p w14:paraId="18FEBAC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 (6.5%)</w:t>
            </w:r>
          </w:p>
        </w:tc>
      </w:tr>
      <w:tr w:rsidR="006B605C" w:rsidRPr="006B605C" w14:paraId="6AF87DC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D1A445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33BCBF0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19 (17.6%)</w:t>
            </w:r>
          </w:p>
        </w:tc>
      </w:tr>
      <w:tr w:rsidR="006B605C" w:rsidRPr="006B605C" w14:paraId="4139E37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9FF05A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30. How facility reports 95% LSC for the L1-L4 lumbar spine</w:t>
            </w:r>
          </w:p>
        </w:tc>
        <w:tc>
          <w:tcPr>
            <w:tcW w:w="1296" w:type="dxa"/>
            <w:tcBorders>
              <w:top w:val="nil"/>
              <w:left w:val="nil"/>
              <w:bottom w:val="nil"/>
              <w:right w:val="nil"/>
            </w:tcBorders>
            <w:shd w:val="clear" w:color="auto" w:fill="auto"/>
            <w:noWrap/>
            <w:vAlign w:val="bottom"/>
            <w:hideMark/>
          </w:tcPr>
          <w:p w14:paraId="2788ABF7"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1D1A468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4D84A0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g/cm</w:t>
            </w:r>
            <w:r w:rsidRPr="006B605C">
              <w:rPr>
                <w:rFonts w:eastAsia="Times New Roman" w:cs="Arial"/>
                <w:color w:val="000000"/>
                <w:sz w:val="20"/>
                <w:szCs w:val="20"/>
                <w:vertAlign w:val="superscript"/>
                <w:lang w:eastAsia="en-GB"/>
              </w:rPr>
              <w:t>2</w:t>
            </w:r>
          </w:p>
        </w:tc>
        <w:tc>
          <w:tcPr>
            <w:tcW w:w="1296" w:type="dxa"/>
            <w:tcBorders>
              <w:top w:val="nil"/>
              <w:left w:val="nil"/>
              <w:bottom w:val="nil"/>
              <w:right w:val="nil"/>
            </w:tcBorders>
            <w:shd w:val="clear" w:color="auto" w:fill="auto"/>
            <w:noWrap/>
            <w:vAlign w:val="bottom"/>
            <w:hideMark/>
          </w:tcPr>
          <w:p w14:paraId="589D142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23 (21.5%)</w:t>
            </w:r>
          </w:p>
        </w:tc>
      </w:tr>
      <w:tr w:rsidR="006B605C" w:rsidRPr="006B605C" w14:paraId="2765DEC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4106B4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w:t>
            </w:r>
          </w:p>
        </w:tc>
        <w:tc>
          <w:tcPr>
            <w:tcW w:w="1296" w:type="dxa"/>
            <w:tcBorders>
              <w:top w:val="nil"/>
              <w:left w:val="nil"/>
              <w:bottom w:val="nil"/>
              <w:right w:val="nil"/>
            </w:tcBorders>
            <w:shd w:val="clear" w:color="auto" w:fill="auto"/>
            <w:noWrap/>
            <w:vAlign w:val="bottom"/>
            <w:hideMark/>
          </w:tcPr>
          <w:p w14:paraId="54F0728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21 (19.6%)</w:t>
            </w:r>
          </w:p>
        </w:tc>
      </w:tr>
      <w:tr w:rsidR="006B605C" w:rsidRPr="006B605C" w14:paraId="528AC4B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A1FAA2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g/cm</w:t>
            </w:r>
            <w:r w:rsidRPr="006B605C">
              <w:rPr>
                <w:rFonts w:eastAsia="Times New Roman" w:cs="Arial"/>
                <w:color w:val="000000"/>
                <w:sz w:val="20"/>
                <w:szCs w:val="20"/>
                <w:vertAlign w:val="superscript"/>
                <w:lang w:eastAsia="en-GB"/>
              </w:rPr>
              <w:t xml:space="preserve">2 </w:t>
            </w:r>
            <w:r w:rsidRPr="006B605C">
              <w:rPr>
                <w:rFonts w:eastAsia="Times New Roman" w:cs="Arial"/>
                <w:color w:val="000000"/>
                <w:sz w:val="20"/>
                <w:szCs w:val="20"/>
                <w:lang w:eastAsia="en-GB"/>
              </w:rPr>
              <w:t>and %</w:t>
            </w:r>
          </w:p>
        </w:tc>
        <w:tc>
          <w:tcPr>
            <w:tcW w:w="1296" w:type="dxa"/>
            <w:tcBorders>
              <w:top w:val="nil"/>
              <w:left w:val="nil"/>
              <w:bottom w:val="nil"/>
              <w:right w:val="nil"/>
            </w:tcBorders>
            <w:shd w:val="clear" w:color="auto" w:fill="auto"/>
            <w:noWrap/>
            <w:vAlign w:val="bottom"/>
            <w:hideMark/>
          </w:tcPr>
          <w:p w14:paraId="7BCF15F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28 (26.2%)</w:t>
            </w:r>
          </w:p>
        </w:tc>
      </w:tr>
      <w:tr w:rsidR="006B605C" w:rsidRPr="006B605C" w14:paraId="4D656C2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0A8FFB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5E67C10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17 (15.9%)</w:t>
            </w:r>
          </w:p>
        </w:tc>
      </w:tr>
      <w:tr w:rsidR="006B605C" w:rsidRPr="006B605C" w14:paraId="284ED7F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6F2237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use LSC</w:t>
            </w:r>
          </w:p>
        </w:tc>
        <w:tc>
          <w:tcPr>
            <w:tcW w:w="1296" w:type="dxa"/>
            <w:tcBorders>
              <w:top w:val="nil"/>
              <w:left w:val="nil"/>
              <w:bottom w:val="nil"/>
              <w:right w:val="nil"/>
            </w:tcBorders>
            <w:shd w:val="clear" w:color="auto" w:fill="auto"/>
            <w:noWrap/>
            <w:vAlign w:val="bottom"/>
            <w:hideMark/>
          </w:tcPr>
          <w:p w14:paraId="5247D1F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18 (16.8%)</w:t>
            </w:r>
          </w:p>
        </w:tc>
      </w:tr>
      <w:tr w:rsidR="006B605C" w:rsidRPr="006B605C" w14:paraId="4AAB54BF"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3C09D8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31. How facility reports 95% LSC for the total proximal femur</w:t>
            </w:r>
          </w:p>
        </w:tc>
        <w:tc>
          <w:tcPr>
            <w:tcW w:w="1296" w:type="dxa"/>
            <w:tcBorders>
              <w:top w:val="nil"/>
              <w:left w:val="nil"/>
              <w:bottom w:val="nil"/>
              <w:right w:val="nil"/>
            </w:tcBorders>
            <w:shd w:val="clear" w:color="auto" w:fill="auto"/>
            <w:noWrap/>
            <w:vAlign w:val="bottom"/>
            <w:hideMark/>
          </w:tcPr>
          <w:p w14:paraId="3F696DF0"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4577CC2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9DF04F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g/cm</w:t>
            </w:r>
            <w:r w:rsidRPr="006B605C">
              <w:rPr>
                <w:rFonts w:eastAsia="Times New Roman" w:cs="Arial"/>
                <w:color w:val="000000"/>
                <w:sz w:val="20"/>
                <w:szCs w:val="20"/>
                <w:vertAlign w:val="superscript"/>
                <w:lang w:eastAsia="en-GB"/>
              </w:rPr>
              <w:t>2</w:t>
            </w:r>
          </w:p>
        </w:tc>
        <w:tc>
          <w:tcPr>
            <w:tcW w:w="1296" w:type="dxa"/>
            <w:tcBorders>
              <w:top w:val="nil"/>
              <w:left w:val="nil"/>
              <w:bottom w:val="nil"/>
              <w:right w:val="nil"/>
            </w:tcBorders>
            <w:shd w:val="clear" w:color="auto" w:fill="auto"/>
            <w:noWrap/>
            <w:vAlign w:val="bottom"/>
            <w:hideMark/>
          </w:tcPr>
          <w:p w14:paraId="6BCD7E6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21 (19.6%)</w:t>
            </w:r>
          </w:p>
        </w:tc>
      </w:tr>
      <w:tr w:rsidR="006B605C" w:rsidRPr="006B605C" w14:paraId="5B53E710"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FDFC29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w:t>
            </w:r>
          </w:p>
        </w:tc>
        <w:tc>
          <w:tcPr>
            <w:tcW w:w="1296" w:type="dxa"/>
            <w:tcBorders>
              <w:top w:val="nil"/>
              <w:left w:val="nil"/>
              <w:bottom w:val="nil"/>
              <w:right w:val="nil"/>
            </w:tcBorders>
            <w:shd w:val="clear" w:color="auto" w:fill="auto"/>
            <w:noWrap/>
            <w:vAlign w:val="bottom"/>
            <w:hideMark/>
          </w:tcPr>
          <w:p w14:paraId="663A080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21 (19.6%)</w:t>
            </w:r>
          </w:p>
        </w:tc>
      </w:tr>
      <w:tr w:rsidR="006B605C" w:rsidRPr="006B605C" w14:paraId="457B6B1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CD432D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g/cm</w:t>
            </w:r>
            <w:r w:rsidRPr="006B605C">
              <w:rPr>
                <w:rFonts w:eastAsia="Times New Roman" w:cs="Arial"/>
                <w:color w:val="000000"/>
                <w:sz w:val="20"/>
                <w:szCs w:val="20"/>
                <w:vertAlign w:val="superscript"/>
                <w:lang w:eastAsia="en-GB"/>
              </w:rPr>
              <w:t xml:space="preserve">2 </w:t>
            </w:r>
            <w:r w:rsidRPr="006B605C">
              <w:rPr>
                <w:rFonts w:eastAsia="Times New Roman" w:cs="Arial"/>
                <w:color w:val="000000"/>
                <w:sz w:val="20"/>
                <w:szCs w:val="20"/>
                <w:lang w:eastAsia="en-GB"/>
              </w:rPr>
              <w:t>and %</w:t>
            </w:r>
          </w:p>
        </w:tc>
        <w:tc>
          <w:tcPr>
            <w:tcW w:w="1296" w:type="dxa"/>
            <w:tcBorders>
              <w:top w:val="nil"/>
              <w:left w:val="nil"/>
              <w:bottom w:val="nil"/>
              <w:right w:val="nil"/>
            </w:tcBorders>
            <w:shd w:val="clear" w:color="auto" w:fill="auto"/>
            <w:noWrap/>
            <w:vAlign w:val="bottom"/>
            <w:hideMark/>
          </w:tcPr>
          <w:p w14:paraId="33AE6C3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28 (26.2%)</w:t>
            </w:r>
          </w:p>
        </w:tc>
      </w:tr>
      <w:tr w:rsidR="006B605C" w:rsidRPr="006B605C" w14:paraId="3526926A"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AC7AEF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4990054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21 (19.6%)</w:t>
            </w:r>
          </w:p>
        </w:tc>
      </w:tr>
      <w:tr w:rsidR="006B605C" w:rsidRPr="006B605C" w14:paraId="2013576B"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3CBB36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use LSC</w:t>
            </w:r>
          </w:p>
        </w:tc>
        <w:tc>
          <w:tcPr>
            <w:tcW w:w="1296" w:type="dxa"/>
            <w:tcBorders>
              <w:top w:val="nil"/>
              <w:left w:val="nil"/>
              <w:bottom w:val="nil"/>
              <w:right w:val="nil"/>
            </w:tcBorders>
            <w:shd w:val="clear" w:color="auto" w:fill="auto"/>
            <w:noWrap/>
            <w:vAlign w:val="bottom"/>
            <w:hideMark/>
          </w:tcPr>
          <w:p w14:paraId="58ADD6B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16 (15.0%)</w:t>
            </w:r>
          </w:p>
        </w:tc>
      </w:tr>
      <w:tr w:rsidR="006B605C" w:rsidRPr="006B605C" w14:paraId="0319D21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10D600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32. Facility reports one diagnostic category per patient or one per measurement site</w:t>
            </w:r>
          </w:p>
        </w:tc>
        <w:tc>
          <w:tcPr>
            <w:tcW w:w="1296" w:type="dxa"/>
            <w:tcBorders>
              <w:top w:val="nil"/>
              <w:left w:val="nil"/>
              <w:bottom w:val="nil"/>
              <w:right w:val="nil"/>
            </w:tcBorders>
            <w:shd w:val="clear" w:color="auto" w:fill="auto"/>
            <w:noWrap/>
            <w:vAlign w:val="bottom"/>
            <w:hideMark/>
          </w:tcPr>
          <w:p w14:paraId="192A3401"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08AF968E"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09CCFD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One diagnostic category per patient</w:t>
            </w:r>
          </w:p>
        </w:tc>
        <w:tc>
          <w:tcPr>
            <w:tcW w:w="1296" w:type="dxa"/>
            <w:tcBorders>
              <w:top w:val="nil"/>
              <w:left w:val="nil"/>
              <w:bottom w:val="nil"/>
              <w:right w:val="nil"/>
            </w:tcBorders>
            <w:shd w:val="clear" w:color="auto" w:fill="auto"/>
            <w:noWrap/>
            <w:vAlign w:val="bottom"/>
            <w:hideMark/>
          </w:tcPr>
          <w:p w14:paraId="6ADF042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37 (34.6%)</w:t>
            </w:r>
          </w:p>
        </w:tc>
      </w:tr>
      <w:tr w:rsidR="006B605C" w:rsidRPr="006B605C" w14:paraId="0AF5841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32F6A3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One diagnostic category per measurement site/region</w:t>
            </w:r>
          </w:p>
        </w:tc>
        <w:tc>
          <w:tcPr>
            <w:tcW w:w="1296" w:type="dxa"/>
            <w:tcBorders>
              <w:top w:val="nil"/>
              <w:left w:val="nil"/>
              <w:bottom w:val="nil"/>
              <w:right w:val="nil"/>
            </w:tcBorders>
            <w:shd w:val="clear" w:color="auto" w:fill="auto"/>
            <w:noWrap/>
            <w:vAlign w:val="bottom"/>
            <w:hideMark/>
          </w:tcPr>
          <w:p w14:paraId="5D0B061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60 (56.1%)</w:t>
            </w:r>
          </w:p>
        </w:tc>
      </w:tr>
      <w:tr w:rsidR="006B605C" w:rsidRPr="006B605C" w14:paraId="16FF095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7D910C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2D6501B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 (9.3%)</w:t>
            </w:r>
          </w:p>
        </w:tc>
      </w:tr>
      <w:tr w:rsidR="006B605C" w:rsidRPr="006B605C" w14:paraId="7BC1AB8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1163C3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33. Validated quantitative fracture risk instruments facility uses to report DXA</w:t>
            </w:r>
          </w:p>
        </w:tc>
        <w:tc>
          <w:tcPr>
            <w:tcW w:w="1296" w:type="dxa"/>
            <w:tcBorders>
              <w:top w:val="nil"/>
              <w:left w:val="nil"/>
              <w:bottom w:val="nil"/>
              <w:right w:val="nil"/>
            </w:tcBorders>
            <w:shd w:val="clear" w:color="auto" w:fill="auto"/>
            <w:noWrap/>
            <w:vAlign w:val="bottom"/>
            <w:hideMark/>
          </w:tcPr>
          <w:p w14:paraId="5D114CF1"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4D841DD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FDDCB5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FRAX®</w:t>
            </w:r>
          </w:p>
        </w:tc>
        <w:tc>
          <w:tcPr>
            <w:tcW w:w="1296" w:type="dxa"/>
            <w:tcBorders>
              <w:top w:val="nil"/>
              <w:left w:val="nil"/>
              <w:bottom w:val="nil"/>
              <w:right w:val="nil"/>
            </w:tcBorders>
            <w:shd w:val="clear" w:color="auto" w:fill="auto"/>
            <w:noWrap/>
            <w:vAlign w:val="bottom"/>
            <w:hideMark/>
          </w:tcPr>
          <w:p w14:paraId="0ACF4B3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77 (72.0%)</w:t>
            </w:r>
          </w:p>
        </w:tc>
      </w:tr>
      <w:tr w:rsidR="006B605C" w:rsidRPr="006B605C" w14:paraId="1C895EC0"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079C42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Other</w:t>
            </w:r>
          </w:p>
        </w:tc>
        <w:tc>
          <w:tcPr>
            <w:tcW w:w="1296" w:type="dxa"/>
            <w:tcBorders>
              <w:top w:val="nil"/>
              <w:left w:val="nil"/>
              <w:bottom w:val="nil"/>
              <w:right w:val="nil"/>
            </w:tcBorders>
            <w:shd w:val="clear" w:color="auto" w:fill="auto"/>
            <w:noWrap/>
            <w:vAlign w:val="bottom"/>
            <w:hideMark/>
          </w:tcPr>
          <w:p w14:paraId="3A67007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 (7.5%)</w:t>
            </w:r>
          </w:p>
        </w:tc>
      </w:tr>
      <w:tr w:rsidR="006B605C" w:rsidRPr="006B605C" w14:paraId="49E9DD9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D04A1D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Facility does not report quantitative fracture risk</w:t>
            </w:r>
          </w:p>
        </w:tc>
        <w:tc>
          <w:tcPr>
            <w:tcW w:w="1296" w:type="dxa"/>
            <w:tcBorders>
              <w:top w:val="nil"/>
              <w:left w:val="nil"/>
              <w:bottom w:val="nil"/>
              <w:right w:val="nil"/>
            </w:tcBorders>
            <w:shd w:val="clear" w:color="auto" w:fill="auto"/>
            <w:noWrap/>
            <w:vAlign w:val="bottom"/>
            <w:hideMark/>
          </w:tcPr>
          <w:p w14:paraId="15C1E13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22 (20.6%)</w:t>
            </w:r>
          </w:p>
        </w:tc>
      </w:tr>
      <w:tr w:rsidR="006B605C" w:rsidRPr="006B605C" w14:paraId="38F91B6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BE69ED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34. Frequency facility reports quantitative fracture risk</w:t>
            </w:r>
          </w:p>
        </w:tc>
        <w:tc>
          <w:tcPr>
            <w:tcW w:w="1296" w:type="dxa"/>
            <w:tcBorders>
              <w:top w:val="nil"/>
              <w:left w:val="nil"/>
              <w:bottom w:val="nil"/>
              <w:right w:val="nil"/>
            </w:tcBorders>
            <w:shd w:val="clear" w:color="auto" w:fill="auto"/>
            <w:noWrap/>
            <w:vAlign w:val="bottom"/>
            <w:hideMark/>
          </w:tcPr>
          <w:p w14:paraId="496814F7"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0A2942D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79DFA5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&gt;90% of the time</w:t>
            </w:r>
          </w:p>
        </w:tc>
        <w:tc>
          <w:tcPr>
            <w:tcW w:w="1296" w:type="dxa"/>
            <w:tcBorders>
              <w:top w:val="nil"/>
              <w:left w:val="nil"/>
              <w:bottom w:val="nil"/>
              <w:right w:val="nil"/>
            </w:tcBorders>
            <w:shd w:val="clear" w:color="auto" w:fill="auto"/>
            <w:noWrap/>
            <w:vAlign w:val="bottom"/>
            <w:hideMark/>
          </w:tcPr>
          <w:p w14:paraId="1298C77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45 (42.1%)</w:t>
            </w:r>
          </w:p>
        </w:tc>
      </w:tr>
      <w:tr w:rsidR="006B605C" w:rsidRPr="006B605C" w14:paraId="03A262D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BF578A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51-90% of the time</w:t>
            </w:r>
          </w:p>
        </w:tc>
        <w:tc>
          <w:tcPr>
            <w:tcW w:w="1296" w:type="dxa"/>
            <w:tcBorders>
              <w:top w:val="nil"/>
              <w:left w:val="nil"/>
              <w:bottom w:val="nil"/>
              <w:right w:val="nil"/>
            </w:tcBorders>
            <w:shd w:val="clear" w:color="auto" w:fill="auto"/>
            <w:noWrap/>
            <w:vAlign w:val="bottom"/>
            <w:hideMark/>
          </w:tcPr>
          <w:p w14:paraId="4321D2D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16 (15.0%)</w:t>
            </w:r>
          </w:p>
        </w:tc>
      </w:tr>
      <w:tr w:rsidR="006B605C" w:rsidRPr="006B605C" w14:paraId="1010E9F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7B698B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10-50% of the time</w:t>
            </w:r>
          </w:p>
        </w:tc>
        <w:tc>
          <w:tcPr>
            <w:tcW w:w="1296" w:type="dxa"/>
            <w:tcBorders>
              <w:top w:val="nil"/>
              <w:left w:val="nil"/>
              <w:bottom w:val="nil"/>
              <w:right w:val="nil"/>
            </w:tcBorders>
            <w:shd w:val="clear" w:color="auto" w:fill="auto"/>
            <w:noWrap/>
            <w:vAlign w:val="bottom"/>
            <w:hideMark/>
          </w:tcPr>
          <w:p w14:paraId="030C75D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 (9.3%)</w:t>
            </w:r>
          </w:p>
        </w:tc>
      </w:tr>
      <w:tr w:rsidR="006B605C" w:rsidRPr="006B605C" w14:paraId="4D04297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3ED233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&lt;10% of the time</w:t>
            </w:r>
          </w:p>
        </w:tc>
        <w:tc>
          <w:tcPr>
            <w:tcW w:w="1296" w:type="dxa"/>
            <w:tcBorders>
              <w:top w:val="nil"/>
              <w:left w:val="nil"/>
              <w:bottom w:val="nil"/>
              <w:right w:val="nil"/>
            </w:tcBorders>
            <w:shd w:val="clear" w:color="auto" w:fill="auto"/>
            <w:noWrap/>
            <w:vAlign w:val="bottom"/>
            <w:hideMark/>
          </w:tcPr>
          <w:p w14:paraId="6B6CEE7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(4.7%)</w:t>
            </w:r>
          </w:p>
        </w:tc>
      </w:tr>
      <w:tr w:rsidR="006B605C" w:rsidRPr="006B605C" w14:paraId="6D5565F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3B7679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1E0CD50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6 (5.6%)</w:t>
            </w:r>
          </w:p>
        </w:tc>
      </w:tr>
      <w:tr w:rsidR="006B605C" w:rsidRPr="006B605C" w14:paraId="4807C2F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035178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N/A</w:t>
            </w:r>
          </w:p>
        </w:tc>
        <w:tc>
          <w:tcPr>
            <w:tcW w:w="1296" w:type="dxa"/>
            <w:tcBorders>
              <w:top w:val="nil"/>
              <w:left w:val="nil"/>
              <w:bottom w:val="nil"/>
              <w:right w:val="nil"/>
            </w:tcBorders>
            <w:shd w:val="clear" w:color="auto" w:fill="auto"/>
            <w:noWrap/>
            <w:vAlign w:val="bottom"/>
            <w:hideMark/>
          </w:tcPr>
          <w:p w14:paraId="0FD3B65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25 (23.4%)</w:t>
            </w:r>
          </w:p>
        </w:tc>
      </w:tr>
      <w:tr w:rsidR="006B605C" w:rsidRPr="006B605C" w14:paraId="20A3172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CD0246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35. Frequency DXA report identifies site, region and side for each valid BMD reported</w:t>
            </w:r>
          </w:p>
        </w:tc>
        <w:tc>
          <w:tcPr>
            <w:tcW w:w="1296" w:type="dxa"/>
            <w:tcBorders>
              <w:top w:val="nil"/>
              <w:left w:val="nil"/>
              <w:bottom w:val="nil"/>
              <w:right w:val="nil"/>
            </w:tcBorders>
            <w:shd w:val="clear" w:color="auto" w:fill="auto"/>
            <w:noWrap/>
            <w:vAlign w:val="bottom"/>
            <w:hideMark/>
          </w:tcPr>
          <w:p w14:paraId="08117430"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1BD4BEB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BBBF21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&gt;90% of the time</w:t>
            </w:r>
          </w:p>
        </w:tc>
        <w:tc>
          <w:tcPr>
            <w:tcW w:w="1296" w:type="dxa"/>
            <w:tcBorders>
              <w:top w:val="nil"/>
              <w:left w:val="nil"/>
              <w:bottom w:val="nil"/>
              <w:right w:val="nil"/>
            </w:tcBorders>
            <w:shd w:val="clear" w:color="auto" w:fill="auto"/>
            <w:noWrap/>
            <w:vAlign w:val="bottom"/>
            <w:hideMark/>
          </w:tcPr>
          <w:p w14:paraId="6443E5D3"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89 (84.0%)</w:t>
            </w:r>
          </w:p>
        </w:tc>
      </w:tr>
      <w:tr w:rsidR="006B605C" w:rsidRPr="006B605C" w14:paraId="45F5A472"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BA493D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51-90% of the time</w:t>
            </w:r>
          </w:p>
        </w:tc>
        <w:tc>
          <w:tcPr>
            <w:tcW w:w="1296" w:type="dxa"/>
            <w:tcBorders>
              <w:top w:val="nil"/>
              <w:left w:val="nil"/>
              <w:bottom w:val="nil"/>
              <w:right w:val="nil"/>
            </w:tcBorders>
            <w:shd w:val="clear" w:color="auto" w:fill="auto"/>
            <w:noWrap/>
            <w:vAlign w:val="bottom"/>
            <w:hideMark/>
          </w:tcPr>
          <w:p w14:paraId="03C8B5D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 (3.8%)</w:t>
            </w:r>
          </w:p>
        </w:tc>
      </w:tr>
      <w:tr w:rsidR="006B605C" w:rsidRPr="006B605C" w14:paraId="33B4615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BB275F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10-50% of the time</w:t>
            </w:r>
          </w:p>
        </w:tc>
        <w:tc>
          <w:tcPr>
            <w:tcW w:w="1296" w:type="dxa"/>
            <w:tcBorders>
              <w:top w:val="nil"/>
              <w:left w:val="nil"/>
              <w:bottom w:val="nil"/>
              <w:right w:val="nil"/>
            </w:tcBorders>
            <w:shd w:val="clear" w:color="auto" w:fill="auto"/>
            <w:noWrap/>
            <w:vAlign w:val="bottom"/>
            <w:hideMark/>
          </w:tcPr>
          <w:p w14:paraId="08655D2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 (2.8%)</w:t>
            </w:r>
          </w:p>
        </w:tc>
      </w:tr>
      <w:tr w:rsidR="006B605C" w:rsidRPr="006B605C" w14:paraId="25C941F2" w14:textId="77777777" w:rsidTr="00F8491A">
        <w:trPr>
          <w:trHeight w:hRule="exact" w:val="255"/>
        </w:trPr>
        <w:tc>
          <w:tcPr>
            <w:tcW w:w="7840" w:type="dxa"/>
            <w:tcBorders>
              <w:top w:val="nil"/>
              <w:left w:val="nil"/>
              <w:bottom w:val="nil"/>
              <w:right w:val="nil"/>
            </w:tcBorders>
            <w:shd w:val="clear" w:color="auto" w:fill="auto"/>
            <w:noWrap/>
            <w:vAlign w:val="bottom"/>
          </w:tcPr>
          <w:p w14:paraId="2A06FFDA"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&lt;10% of the time</w:t>
            </w:r>
          </w:p>
        </w:tc>
        <w:tc>
          <w:tcPr>
            <w:tcW w:w="1296" w:type="dxa"/>
            <w:tcBorders>
              <w:top w:val="nil"/>
              <w:left w:val="nil"/>
              <w:bottom w:val="nil"/>
              <w:right w:val="nil"/>
            </w:tcBorders>
            <w:shd w:val="clear" w:color="auto" w:fill="auto"/>
            <w:noWrap/>
            <w:vAlign w:val="bottom"/>
          </w:tcPr>
          <w:p w14:paraId="69921F5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0 (0%)</w:t>
            </w:r>
          </w:p>
        </w:tc>
      </w:tr>
      <w:tr w:rsidR="006B605C" w:rsidRPr="006B605C" w14:paraId="7B81063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4F3A5A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0225B44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(4.7%)</w:t>
            </w:r>
          </w:p>
        </w:tc>
      </w:tr>
      <w:tr w:rsidR="006B605C" w:rsidRPr="006B605C" w14:paraId="13233A3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FD9503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N/A</w:t>
            </w:r>
          </w:p>
        </w:tc>
        <w:tc>
          <w:tcPr>
            <w:tcW w:w="1296" w:type="dxa"/>
            <w:tcBorders>
              <w:top w:val="nil"/>
              <w:left w:val="nil"/>
              <w:bottom w:val="nil"/>
              <w:right w:val="nil"/>
            </w:tcBorders>
            <w:shd w:val="clear" w:color="auto" w:fill="auto"/>
            <w:noWrap/>
            <w:vAlign w:val="bottom"/>
            <w:hideMark/>
          </w:tcPr>
          <w:p w14:paraId="6EE6464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 (4.7%)</w:t>
            </w:r>
          </w:p>
        </w:tc>
      </w:tr>
      <w:tr w:rsidR="006B605C" w:rsidRPr="006B605C" w14:paraId="502D0A7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97DCFD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36. DXA report contains information about scanner manufacturer and model</w:t>
            </w:r>
          </w:p>
        </w:tc>
        <w:tc>
          <w:tcPr>
            <w:tcW w:w="1296" w:type="dxa"/>
            <w:tcBorders>
              <w:top w:val="nil"/>
              <w:left w:val="nil"/>
              <w:bottom w:val="nil"/>
              <w:right w:val="nil"/>
            </w:tcBorders>
            <w:shd w:val="clear" w:color="auto" w:fill="auto"/>
            <w:noWrap/>
            <w:vAlign w:val="bottom"/>
            <w:hideMark/>
          </w:tcPr>
          <w:p w14:paraId="7A9C105F"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332776F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AF75E1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No</w:t>
            </w:r>
          </w:p>
        </w:tc>
        <w:tc>
          <w:tcPr>
            <w:tcW w:w="1296" w:type="dxa"/>
            <w:tcBorders>
              <w:top w:val="nil"/>
              <w:left w:val="nil"/>
              <w:bottom w:val="nil"/>
              <w:right w:val="nil"/>
            </w:tcBorders>
            <w:shd w:val="clear" w:color="auto" w:fill="auto"/>
            <w:noWrap/>
            <w:vAlign w:val="bottom"/>
            <w:hideMark/>
          </w:tcPr>
          <w:p w14:paraId="2EE21AB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11 (10.3%)</w:t>
            </w:r>
          </w:p>
        </w:tc>
      </w:tr>
      <w:tr w:rsidR="006B605C" w:rsidRPr="006B605C" w14:paraId="6598B46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C0C643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Yes</w:t>
            </w:r>
          </w:p>
        </w:tc>
        <w:tc>
          <w:tcPr>
            <w:tcW w:w="1296" w:type="dxa"/>
            <w:tcBorders>
              <w:top w:val="nil"/>
              <w:left w:val="nil"/>
              <w:bottom w:val="nil"/>
              <w:right w:val="nil"/>
            </w:tcBorders>
            <w:shd w:val="clear" w:color="auto" w:fill="auto"/>
            <w:noWrap/>
            <w:vAlign w:val="bottom"/>
            <w:hideMark/>
          </w:tcPr>
          <w:p w14:paraId="526E1E9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83 (77.6%)</w:t>
            </w:r>
          </w:p>
        </w:tc>
      </w:tr>
      <w:tr w:rsidR="006B605C" w:rsidRPr="006B605C" w14:paraId="4C622191"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E4D2DE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61E5EA8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13 (12.1%)</w:t>
            </w:r>
          </w:p>
        </w:tc>
      </w:tr>
      <w:tr w:rsidR="006B605C" w:rsidRPr="006B605C" w14:paraId="0449863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BAE952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37. Frequency DXA report states technical adequacy and limitations of the DXA study</w:t>
            </w:r>
          </w:p>
        </w:tc>
        <w:tc>
          <w:tcPr>
            <w:tcW w:w="1296" w:type="dxa"/>
            <w:tcBorders>
              <w:top w:val="nil"/>
              <w:left w:val="nil"/>
              <w:bottom w:val="nil"/>
              <w:right w:val="nil"/>
            </w:tcBorders>
            <w:shd w:val="clear" w:color="auto" w:fill="auto"/>
            <w:noWrap/>
            <w:vAlign w:val="bottom"/>
            <w:hideMark/>
          </w:tcPr>
          <w:p w14:paraId="239E204A"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0B6CBAD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3AF6CF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&gt;90% of the time</w:t>
            </w:r>
          </w:p>
        </w:tc>
        <w:tc>
          <w:tcPr>
            <w:tcW w:w="1296" w:type="dxa"/>
            <w:tcBorders>
              <w:top w:val="nil"/>
              <w:left w:val="nil"/>
              <w:bottom w:val="nil"/>
              <w:right w:val="nil"/>
            </w:tcBorders>
            <w:shd w:val="clear" w:color="auto" w:fill="auto"/>
            <w:noWrap/>
            <w:vAlign w:val="bottom"/>
            <w:hideMark/>
          </w:tcPr>
          <w:p w14:paraId="4BF4DA6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38 (35.5%)</w:t>
            </w:r>
          </w:p>
        </w:tc>
      </w:tr>
      <w:tr w:rsidR="006B605C" w:rsidRPr="006B605C" w14:paraId="295C64B1"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5481D1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lastRenderedPageBreak/>
              <w:t>51-90% of the time</w:t>
            </w:r>
          </w:p>
        </w:tc>
        <w:tc>
          <w:tcPr>
            <w:tcW w:w="1296" w:type="dxa"/>
            <w:tcBorders>
              <w:top w:val="nil"/>
              <w:left w:val="nil"/>
              <w:bottom w:val="nil"/>
              <w:right w:val="nil"/>
            </w:tcBorders>
            <w:shd w:val="clear" w:color="auto" w:fill="auto"/>
            <w:noWrap/>
            <w:vAlign w:val="bottom"/>
            <w:hideMark/>
          </w:tcPr>
          <w:p w14:paraId="1A90356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9 (8.4%)</w:t>
            </w:r>
          </w:p>
        </w:tc>
      </w:tr>
      <w:tr w:rsidR="006B605C" w:rsidRPr="006B605C" w14:paraId="4B770473"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88F925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10-50% of the time</w:t>
            </w:r>
          </w:p>
        </w:tc>
        <w:tc>
          <w:tcPr>
            <w:tcW w:w="1296" w:type="dxa"/>
            <w:tcBorders>
              <w:top w:val="nil"/>
              <w:left w:val="nil"/>
              <w:bottom w:val="nil"/>
              <w:right w:val="nil"/>
            </w:tcBorders>
            <w:shd w:val="clear" w:color="auto" w:fill="auto"/>
            <w:noWrap/>
            <w:vAlign w:val="bottom"/>
            <w:hideMark/>
          </w:tcPr>
          <w:p w14:paraId="16EE351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 (9.3%)</w:t>
            </w:r>
          </w:p>
        </w:tc>
      </w:tr>
      <w:tr w:rsidR="006B605C" w:rsidRPr="006B605C" w14:paraId="6B004B8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FF294D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&lt;10% of the time</w:t>
            </w:r>
          </w:p>
        </w:tc>
        <w:tc>
          <w:tcPr>
            <w:tcW w:w="1296" w:type="dxa"/>
            <w:tcBorders>
              <w:top w:val="nil"/>
              <w:left w:val="nil"/>
              <w:bottom w:val="nil"/>
              <w:right w:val="nil"/>
            </w:tcBorders>
            <w:shd w:val="clear" w:color="auto" w:fill="auto"/>
            <w:noWrap/>
            <w:vAlign w:val="bottom"/>
            <w:hideMark/>
          </w:tcPr>
          <w:p w14:paraId="084570A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19 (17.8%)</w:t>
            </w:r>
          </w:p>
        </w:tc>
      </w:tr>
      <w:tr w:rsidR="006B605C" w:rsidRPr="006B605C" w14:paraId="714A57F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055E5A1B"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0FB36C31"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27 (25.2%)</w:t>
            </w:r>
          </w:p>
        </w:tc>
      </w:tr>
      <w:tr w:rsidR="006B605C" w:rsidRPr="006B605C" w14:paraId="0751D51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4C1E43A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N/A</w:t>
            </w:r>
          </w:p>
        </w:tc>
        <w:tc>
          <w:tcPr>
            <w:tcW w:w="1296" w:type="dxa"/>
            <w:tcBorders>
              <w:top w:val="nil"/>
              <w:left w:val="nil"/>
              <w:bottom w:val="nil"/>
              <w:right w:val="nil"/>
            </w:tcBorders>
            <w:shd w:val="clear" w:color="auto" w:fill="auto"/>
            <w:noWrap/>
            <w:vAlign w:val="bottom"/>
            <w:hideMark/>
          </w:tcPr>
          <w:p w14:paraId="40152C5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 (3.7%)</w:t>
            </w:r>
          </w:p>
        </w:tc>
      </w:tr>
      <w:tr w:rsidR="006B605C" w:rsidRPr="006B605C" w14:paraId="591AAE13" w14:textId="77777777" w:rsidTr="00F8491A">
        <w:trPr>
          <w:trHeight w:hRule="exact" w:val="255"/>
        </w:trPr>
        <w:tc>
          <w:tcPr>
            <w:tcW w:w="9136" w:type="dxa"/>
            <w:gridSpan w:val="2"/>
            <w:tcBorders>
              <w:top w:val="nil"/>
              <w:left w:val="nil"/>
            </w:tcBorders>
            <w:shd w:val="clear" w:color="auto" w:fill="auto"/>
            <w:noWrap/>
            <w:vAlign w:val="bottom"/>
            <w:hideMark/>
          </w:tcPr>
          <w:p w14:paraId="696815D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38. Frequency interpreters comment on differences in acquisitioning/analysis parameters</w:t>
            </w:r>
          </w:p>
        </w:tc>
      </w:tr>
      <w:tr w:rsidR="006B605C" w:rsidRPr="006B605C" w14:paraId="6E956D25"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F94E7F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&gt;90% of the time</w:t>
            </w:r>
          </w:p>
        </w:tc>
        <w:tc>
          <w:tcPr>
            <w:tcW w:w="1296" w:type="dxa"/>
            <w:tcBorders>
              <w:top w:val="nil"/>
              <w:left w:val="nil"/>
              <w:bottom w:val="nil"/>
              <w:right w:val="nil"/>
            </w:tcBorders>
            <w:shd w:val="clear" w:color="auto" w:fill="auto"/>
            <w:noWrap/>
            <w:vAlign w:val="bottom"/>
            <w:hideMark/>
          </w:tcPr>
          <w:p w14:paraId="3E94D3F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28 (26.2%)</w:t>
            </w:r>
          </w:p>
        </w:tc>
      </w:tr>
      <w:tr w:rsidR="006B605C" w:rsidRPr="006B605C" w14:paraId="204E17A8"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589154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51-90% of the time</w:t>
            </w:r>
          </w:p>
        </w:tc>
        <w:tc>
          <w:tcPr>
            <w:tcW w:w="1296" w:type="dxa"/>
            <w:tcBorders>
              <w:top w:val="nil"/>
              <w:left w:val="nil"/>
              <w:bottom w:val="nil"/>
              <w:right w:val="nil"/>
            </w:tcBorders>
            <w:shd w:val="clear" w:color="auto" w:fill="auto"/>
            <w:noWrap/>
            <w:vAlign w:val="bottom"/>
            <w:hideMark/>
          </w:tcPr>
          <w:p w14:paraId="27025A47"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 (9.3%)</w:t>
            </w:r>
          </w:p>
        </w:tc>
      </w:tr>
      <w:tr w:rsidR="006B605C" w:rsidRPr="006B605C" w14:paraId="480C78F4" w14:textId="77777777" w:rsidTr="00F8491A">
        <w:trPr>
          <w:trHeight w:hRule="exact" w:val="255"/>
        </w:trPr>
        <w:tc>
          <w:tcPr>
            <w:tcW w:w="7840" w:type="dxa"/>
            <w:tcBorders>
              <w:top w:val="nil"/>
              <w:left w:val="nil"/>
              <w:bottom w:val="nil"/>
              <w:right w:val="nil"/>
            </w:tcBorders>
            <w:shd w:val="clear" w:color="auto" w:fill="auto"/>
            <w:noWrap/>
            <w:vAlign w:val="bottom"/>
            <w:hideMark/>
          </w:tcPr>
          <w:p w14:paraId="6EEE54E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10-50% of the time</w:t>
            </w:r>
          </w:p>
        </w:tc>
        <w:tc>
          <w:tcPr>
            <w:tcW w:w="1296" w:type="dxa"/>
            <w:tcBorders>
              <w:top w:val="nil"/>
              <w:left w:val="nil"/>
              <w:bottom w:val="nil"/>
              <w:right w:val="nil"/>
            </w:tcBorders>
            <w:shd w:val="clear" w:color="auto" w:fill="auto"/>
            <w:noWrap/>
            <w:vAlign w:val="bottom"/>
            <w:hideMark/>
          </w:tcPr>
          <w:p w14:paraId="483C300F"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9 (8.4%)</w:t>
            </w:r>
          </w:p>
        </w:tc>
      </w:tr>
      <w:tr w:rsidR="006B605C" w:rsidRPr="006B605C" w14:paraId="5AAF6DD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218909C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&lt;10% of the time</w:t>
            </w:r>
          </w:p>
        </w:tc>
        <w:tc>
          <w:tcPr>
            <w:tcW w:w="1296" w:type="dxa"/>
            <w:tcBorders>
              <w:top w:val="nil"/>
              <w:left w:val="nil"/>
              <w:bottom w:val="nil"/>
              <w:right w:val="nil"/>
            </w:tcBorders>
            <w:shd w:val="clear" w:color="auto" w:fill="auto"/>
            <w:noWrap/>
            <w:vAlign w:val="bottom"/>
            <w:hideMark/>
          </w:tcPr>
          <w:p w14:paraId="2147CDD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25 (23.4%)</w:t>
            </w:r>
          </w:p>
        </w:tc>
      </w:tr>
      <w:tr w:rsidR="006B605C" w:rsidRPr="006B605C" w14:paraId="605EEECD"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715C3A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bottom w:val="nil"/>
              <w:right w:val="nil"/>
            </w:tcBorders>
            <w:shd w:val="clear" w:color="auto" w:fill="auto"/>
            <w:noWrap/>
            <w:vAlign w:val="bottom"/>
            <w:hideMark/>
          </w:tcPr>
          <w:p w14:paraId="39006CE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23 (21.5%)</w:t>
            </w:r>
          </w:p>
        </w:tc>
      </w:tr>
      <w:tr w:rsidR="006B605C" w:rsidRPr="006B605C" w14:paraId="1C432E2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34FC053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N/A</w:t>
            </w:r>
          </w:p>
        </w:tc>
        <w:tc>
          <w:tcPr>
            <w:tcW w:w="1296" w:type="dxa"/>
            <w:tcBorders>
              <w:top w:val="nil"/>
              <w:left w:val="nil"/>
              <w:bottom w:val="nil"/>
              <w:right w:val="nil"/>
            </w:tcBorders>
            <w:shd w:val="clear" w:color="auto" w:fill="auto"/>
            <w:noWrap/>
            <w:vAlign w:val="bottom"/>
            <w:hideMark/>
          </w:tcPr>
          <w:p w14:paraId="4361DC0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12 (11.2%)</w:t>
            </w:r>
          </w:p>
        </w:tc>
      </w:tr>
      <w:tr w:rsidR="006B605C" w:rsidRPr="006B605C" w14:paraId="5EC9AFE7"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84F0CD9"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39. Frequency DXA facility report recommends repeat scan intervals</w:t>
            </w:r>
          </w:p>
        </w:tc>
        <w:tc>
          <w:tcPr>
            <w:tcW w:w="1296" w:type="dxa"/>
            <w:tcBorders>
              <w:top w:val="nil"/>
              <w:left w:val="nil"/>
              <w:bottom w:val="nil"/>
              <w:right w:val="nil"/>
            </w:tcBorders>
            <w:shd w:val="clear" w:color="auto" w:fill="auto"/>
            <w:noWrap/>
            <w:vAlign w:val="bottom"/>
            <w:hideMark/>
          </w:tcPr>
          <w:p w14:paraId="6BACC9E1"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02C51AE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A6E11CC"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&gt;90% of the time</w:t>
            </w:r>
          </w:p>
        </w:tc>
        <w:tc>
          <w:tcPr>
            <w:tcW w:w="1296" w:type="dxa"/>
            <w:tcBorders>
              <w:top w:val="nil"/>
              <w:left w:val="nil"/>
              <w:bottom w:val="nil"/>
              <w:right w:val="nil"/>
            </w:tcBorders>
            <w:shd w:val="clear" w:color="auto" w:fill="auto"/>
            <w:noWrap/>
            <w:vAlign w:val="bottom"/>
            <w:hideMark/>
          </w:tcPr>
          <w:p w14:paraId="6BADB9FD"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36 (33.3%)</w:t>
            </w:r>
          </w:p>
        </w:tc>
      </w:tr>
      <w:tr w:rsidR="006B605C" w:rsidRPr="006B605C" w14:paraId="1AD174B5" w14:textId="77777777" w:rsidTr="00F8491A">
        <w:trPr>
          <w:trHeight w:hRule="exact" w:val="255"/>
        </w:trPr>
        <w:tc>
          <w:tcPr>
            <w:tcW w:w="7840" w:type="dxa"/>
            <w:tcBorders>
              <w:top w:val="nil"/>
              <w:left w:val="nil"/>
              <w:bottom w:val="nil"/>
              <w:right w:val="nil"/>
            </w:tcBorders>
            <w:shd w:val="clear" w:color="auto" w:fill="auto"/>
            <w:noWrap/>
            <w:vAlign w:val="bottom"/>
            <w:hideMark/>
          </w:tcPr>
          <w:p w14:paraId="5EA6748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51-90% of the time</w:t>
            </w:r>
          </w:p>
        </w:tc>
        <w:tc>
          <w:tcPr>
            <w:tcW w:w="1296" w:type="dxa"/>
            <w:tcBorders>
              <w:top w:val="nil"/>
              <w:left w:val="nil"/>
              <w:bottom w:val="nil"/>
              <w:right w:val="nil"/>
            </w:tcBorders>
            <w:shd w:val="clear" w:color="auto" w:fill="auto"/>
            <w:noWrap/>
            <w:vAlign w:val="bottom"/>
            <w:hideMark/>
          </w:tcPr>
          <w:p w14:paraId="32D119A4"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11 (10.2%)</w:t>
            </w:r>
          </w:p>
        </w:tc>
      </w:tr>
      <w:tr w:rsidR="006B605C" w:rsidRPr="006B605C" w14:paraId="30CC0ABC" w14:textId="77777777" w:rsidTr="00F8491A">
        <w:trPr>
          <w:trHeight w:hRule="exact" w:val="255"/>
        </w:trPr>
        <w:tc>
          <w:tcPr>
            <w:tcW w:w="7840" w:type="dxa"/>
            <w:tcBorders>
              <w:top w:val="nil"/>
              <w:left w:val="nil"/>
              <w:bottom w:val="nil"/>
              <w:right w:val="nil"/>
            </w:tcBorders>
            <w:shd w:val="clear" w:color="auto" w:fill="auto"/>
            <w:noWrap/>
            <w:vAlign w:val="bottom"/>
            <w:hideMark/>
          </w:tcPr>
          <w:p w14:paraId="70770C3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10-50% of the time</w:t>
            </w:r>
          </w:p>
        </w:tc>
        <w:tc>
          <w:tcPr>
            <w:tcW w:w="1296" w:type="dxa"/>
            <w:tcBorders>
              <w:top w:val="nil"/>
              <w:left w:val="nil"/>
              <w:bottom w:val="nil"/>
              <w:right w:val="nil"/>
            </w:tcBorders>
            <w:shd w:val="clear" w:color="auto" w:fill="auto"/>
            <w:noWrap/>
            <w:vAlign w:val="bottom"/>
            <w:hideMark/>
          </w:tcPr>
          <w:p w14:paraId="221C3FE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7 (6.5%)</w:t>
            </w:r>
          </w:p>
        </w:tc>
      </w:tr>
      <w:tr w:rsidR="006B605C" w:rsidRPr="006B605C" w14:paraId="1499F8D6" w14:textId="77777777" w:rsidTr="00F8491A">
        <w:trPr>
          <w:trHeight w:hRule="exact" w:val="255"/>
        </w:trPr>
        <w:tc>
          <w:tcPr>
            <w:tcW w:w="7840" w:type="dxa"/>
            <w:tcBorders>
              <w:top w:val="nil"/>
              <w:left w:val="nil"/>
              <w:bottom w:val="nil"/>
              <w:right w:val="nil"/>
            </w:tcBorders>
            <w:shd w:val="clear" w:color="auto" w:fill="auto"/>
            <w:noWrap/>
            <w:vAlign w:val="bottom"/>
            <w:hideMark/>
          </w:tcPr>
          <w:p w14:paraId="1EC4A045"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&lt;10% of the time</w:t>
            </w:r>
          </w:p>
        </w:tc>
        <w:tc>
          <w:tcPr>
            <w:tcW w:w="1296" w:type="dxa"/>
            <w:tcBorders>
              <w:top w:val="nil"/>
              <w:left w:val="nil"/>
              <w:bottom w:val="nil"/>
              <w:right w:val="nil"/>
            </w:tcBorders>
            <w:shd w:val="clear" w:color="auto" w:fill="auto"/>
            <w:noWrap/>
            <w:vAlign w:val="bottom"/>
            <w:hideMark/>
          </w:tcPr>
          <w:p w14:paraId="784545F6"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33 (30.6%)</w:t>
            </w:r>
          </w:p>
        </w:tc>
      </w:tr>
      <w:tr w:rsidR="006B605C" w:rsidRPr="006B605C" w14:paraId="3DBDE062" w14:textId="77777777" w:rsidTr="00F8491A">
        <w:trPr>
          <w:trHeight w:hRule="exact" w:val="255"/>
        </w:trPr>
        <w:tc>
          <w:tcPr>
            <w:tcW w:w="7840" w:type="dxa"/>
            <w:tcBorders>
              <w:top w:val="nil"/>
              <w:left w:val="nil"/>
              <w:right w:val="nil"/>
            </w:tcBorders>
            <w:shd w:val="clear" w:color="auto" w:fill="auto"/>
            <w:noWrap/>
            <w:vAlign w:val="bottom"/>
            <w:hideMark/>
          </w:tcPr>
          <w:p w14:paraId="71EBF6FE"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Don't know</w:t>
            </w:r>
          </w:p>
        </w:tc>
        <w:tc>
          <w:tcPr>
            <w:tcW w:w="1296" w:type="dxa"/>
            <w:tcBorders>
              <w:top w:val="nil"/>
              <w:left w:val="nil"/>
              <w:right w:val="nil"/>
            </w:tcBorders>
            <w:shd w:val="clear" w:color="auto" w:fill="auto"/>
            <w:noWrap/>
            <w:vAlign w:val="bottom"/>
            <w:hideMark/>
          </w:tcPr>
          <w:p w14:paraId="046F5288"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13 (12.0%)</w:t>
            </w:r>
          </w:p>
        </w:tc>
      </w:tr>
      <w:tr w:rsidR="006B605C" w:rsidRPr="006B605C" w14:paraId="6F3F6A11" w14:textId="77777777" w:rsidTr="00F8491A">
        <w:trPr>
          <w:trHeight w:hRule="exact" w:val="255"/>
        </w:trPr>
        <w:tc>
          <w:tcPr>
            <w:tcW w:w="7840" w:type="dxa"/>
            <w:tcBorders>
              <w:top w:val="nil"/>
              <w:left w:val="nil"/>
              <w:bottom w:val="single" w:sz="4" w:space="0" w:color="auto"/>
              <w:right w:val="nil"/>
            </w:tcBorders>
            <w:shd w:val="clear" w:color="auto" w:fill="auto"/>
            <w:noWrap/>
            <w:vAlign w:val="bottom"/>
            <w:hideMark/>
          </w:tcPr>
          <w:p w14:paraId="3855D330"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N/A</w:t>
            </w:r>
          </w:p>
        </w:tc>
        <w:tc>
          <w:tcPr>
            <w:tcW w:w="1296" w:type="dxa"/>
            <w:tcBorders>
              <w:top w:val="nil"/>
              <w:left w:val="nil"/>
              <w:bottom w:val="single" w:sz="4" w:space="0" w:color="auto"/>
              <w:right w:val="nil"/>
            </w:tcBorders>
            <w:shd w:val="clear" w:color="auto" w:fill="auto"/>
            <w:noWrap/>
            <w:vAlign w:val="bottom"/>
            <w:hideMark/>
          </w:tcPr>
          <w:p w14:paraId="4F93AC22" w14:textId="77777777" w:rsidR="006B605C" w:rsidRPr="006B605C" w:rsidRDefault="006B605C" w:rsidP="006B605C">
            <w:pPr>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8 (7.4%)</w:t>
            </w:r>
          </w:p>
        </w:tc>
      </w:tr>
      <w:tr w:rsidR="006B605C" w:rsidRPr="006B605C" w14:paraId="79814F59" w14:textId="77777777" w:rsidTr="00F8491A">
        <w:trPr>
          <w:trHeight w:hRule="exact" w:val="255"/>
        </w:trPr>
        <w:tc>
          <w:tcPr>
            <w:tcW w:w="7840" w:type="dxa"/>
            <w:tcBorders>
              <w:top w:val="single" w:sz="4" w:space="0" w:color="auto"/>
              <w:left w:val="nil"/>
              <w:right w:val="nil"/>
            </w:tcBorders>
            <w:shd w:val="clear" w:color="auto" w:fill="auto"/>
            <w:noWrap/>
            <w:vAlign w:val="bottom"/>
          </w:tcPr>
          <w:p w14:paraId="6ED50695" w14:textId="77777777" w:rsidR="006B605C" w:rsidRPr="006B605C" w:rsidRDefault="006B605C" w:rsidP="006B605C">
            <w:pPr>
              <w:spacing w:after="0" w:line="240" w:lineRule="auto"/>
              <w:jc w:val="both"/>
              <w:rPr>
                <w:rFonts w:eastAsia="Times New Roman" w:cs="Arial"/>
                <w:color w:val="000000"/>
                <w:sz w:val="20"/>
                <w:szCs w:val="20"/>
                <w:lang w:eastAsia="en-GB"/>
              </w:rPr>
            </w:pPr>
          </w:p>
        </w:tc>
        <w:tc>
          <w:tcPr>
            <w:tcW w:w="1296" w:type="dxa"/>
            <w:tcBorders>
              <w:top w:val="single" w:sz="4" w:space="0" w:color="auto"/>
              <w:left w:val="nil"/>
              <w:right w:val="nil"/>
            </w:tcBorders>
            <w:shd w:val="clear" w:color="auto" w:fill="auto"/>
            <w:noWrap/>
            <w:vAlign w:val="bottom"/>
          </w:tcPr>
          <w:p w14:paraId="7D6A7E6E" w14:textId="77777777" w:rsidR="006B605C" w:rsidRPr="006B605C" w:rsidRDefault="006B605C" w:rsidP="006B605C">
            <w:pPr>
              <w:spacing w:after="0" w:line="240" w:lineRule="auto"/>
              <w:jc w:val="both"/>
              <w:rPr>
                <w:rFonts w:eastAsia="Times New Roman" w:cs="Arial"/>
                <w:color w:val="000000"/>
                <w:sz w:val="20"/>
                <w:szCs w:val="20"/>
                <w:lang w:eastAsia="en-GB"/>
              </w:rPr>
            </w:pPr>
          </w:p>
        </w:tc>
      </w:tr>
      <w:tr w:rsidR="006B605C" w:rsidRPr="006B605C" w14:paraId="29EC2E8E" w14:textId="77777777" w:rsidTr="00F8491A">
        <w:trPr>
          <w:trHeight w:hRule="exact" w:val="255"/>
        </w:trPr>
        <w:tc>
          <w:tcPr>
            <w:tcW w:w="9136" w:type="dxa"/>
            <w:gridSpan w:val="2"/>
            <w:tcBorders>
              <w:left w:val="nil"/>
              <w:right w:val="nil"/>
            </w:tcBorders>
            <w:shd w:val="clear" w:color="auto" w:fill="auto"/>
            <w:noWrap/>
            <w:vAlign w:val="bottom"/>
          </w:tcPr>
          <w:p w14:paraId="70CE003E" w14:textId="77777777" w:rsidR="006B605C" w:rsidRPr="006B605C" w:rsidRDefault="006B605C" w:rsidP="006B605C">
            <w:pPr>
              <w:spacing w:after="0" w:line="240" w:lineRule="auto"/>
              <w:jc w:val="both"/>
              <w:rPr>
                <w:rFonts w:eastAsia="Times New Roman" w:cs="Arial"/>
                <w:color w:val="000000"/>
                <w:sz w:val="18"/>
                <w:szCs w:val="18"/>
                <w:lang w:eastAsia="en-GB"/>
              </w:rPr>
            </w:pPr>
            <w:r w:rsidRPr="006B605C">
              <w:rPr>
                <w:rFonts w:eastAsia="Times New Roman" w:cs="Arial"/>
                <w:color w:val="000000"/>
                <w:sz w:val="18"/>
                <w:szCs w:val="18"/>
                <w:lang w:eastAsia="en-GB"/>
              </w:rPr>
              <w:t>LSC: Least significant change</w:t>
            </w:r>
          </w:p>
        </w:tc>
      </w:tr>
      <w:tr w:rsidR="006B605C" w:rsidRPr="006B605C" w14:paraId="1EE3E3E6" w14:textId="77777777" w:rsidTr="00F8491A">
        <w:trPr>
          <w:trHeight w:hRule="exact" w:val="255"/>
        </w:trPr>
        <w:tc>
          <w:tcPr>
            <w:tcW w:w="9136" w:type="dxa"/>
            <w:gridSpan w:val="2"/>
            <w:tcBorders>
              <w:left w:val="nil"/>
              <w:right w:val="nil"/>
            </w:tcBorders>
            <w:shd w:val="clear" w:color="auto" w:fill="auto"/>
            <w:noWrap/>
            <w:vAlign w:val="bottom"/>
          </w:tcPr>
          <w:p w14:paraId="64C2C3F1" w14:textId="77777777" w:rsidR="006B605C" w:rsidRPr="006B605C" w:rsidRDefault="006B605C" w:rsidP="006B605C">
            <w:pPr>
              <w:spacing w:after="0" w:line="240" w:lineRule="auto"/>
              <w:jc w:val="both"/>
              <w:rPr>
                <w:rFonts w:eastAsia="Times New Roman" w:cs="Arial"/>
                <w:color w:val="000000"/>
                <w:sz w:val="18"/>
                <w:szCs w:val="18"/>
                <w:lang w:eastAsia="en-GB"/>
              </w:rPr>
            </w:pPr>
            <w:r w:rsidRPr="006B605C">
              <w:rPr>
                <w:rFonts w:eastAsia="Times New Roman" w:cs="Arial"/>
                <w:color w:val="000000"/>
                <w:sz w:val="18"/>
                <w:szCs w:val="18"/>
                <w:lang w:eastAsia="en-GB"/>
              </w:rPr>
              <w:t>Missing responses are not shown in the table or used in the calculation of percentages</w:t>
            </w:r>
          </w:p>
        </w:tc>
      </w:tr>
      <w:tr w:rsidR="006B605C" w:rsidRPr="006B605C" w14:paraId="579E2402" w14:textId="77777777" w:rsidTr="00F8491A">
        <w:trPr>
          <w:trHeight w:hRule="exact" w:val="255"/>
        </w:trPr>
        <w:tc>
          <w:tcPr>
            <w:tcW w:w="9136" w:type="dxa"/>
            <w:gridSpan w:val="2"/>
            <w:tcBorders>
              <w:left w:val="nil"/>
              <w:right w:val="nil"/>
            </w:tcBorders>
            <w:shd w:val="clear" w:color="auto" w:fill="auto"/>
            <w:noWrap/>
            <w:vAlign w:val="bottom"/>
          </w:tcPr>
          <w:p w14:paraId="27AA9EE3" w14:textId="77777777" w:rsidR="006B605C" w:rsidRPr="006B605C" w:rsidRDefault="006B605C" w:rsidP="006B605C">
            <w:pPr>
              <w:spacing w:after="0" w:line="240" w:lineRule="auto"/>
              <w:jc w:val="both"/>
              <w:rPr>
                <w:rFonts w:eastAsia="Times New Roman" w:cs="Arial"/>
                <w:color w:val="000000"/>
                <w:sz w:val="18"/>
                <w:szCs w:val="18"/>
                <w:lang w:eastAsia="en-GB"/>
              </w:rPr>
            </w:pPr>
            <w:r w:rsidRPr="006B605C">
              <w:rPr>
                <w:rFonts w:eastAsia="Times New Roman" w:cs="Arial"/>
                <w:color w:val="000000"/>
                <w:sz w:val="18"/>
                <w:szCs w:val="18"/>
                <w:lang w:eastAsia="en-GB"/>
              </w:rPr>
              <w:t>4 questions were omitted from Appendix 2 as they were open ended</w:t>
            </w:r>
          </w:p>
        </w:tc>
      </w:tr>
    </w:tbl>
    <w:p w14:paraId="68D84DBF" w14:textId="77777777" w:rsidR="006B605C" w:rsidRPr="006B605C" w:rsidRDefault="006B605C" w:rsidP="006B605C">
      <w:pPr>
        <w:jc w:val="both"/>
      </w:pPr>
    </w:p>
    <w:p w14:paraId="4D2B7D3D" w14:textId="77777777" w:rsidR="006B605C" w:rsidRPr="006B605C" w:rsidRDefault="006B605C" w:rsidP="006B605C">
      <w:pPr>
        <w:jc w:val="both"/>
      </w:pPr>
    </w:p>
    <w:p w14:paraId="187079BC" w14:textId="77777777" w:rsidR="006B605C" w:rsidRPr="006B605C" w:rsidRDefault="006B605C" w:rsidP="006B605C">
      <w:pPr>
        <w:jc w:val="both"/>
      </w:pPr>
    </w:p>
    <w:p w14:paraId="2DFADC58" w14:textId="77777777" w:rsidR="006B605C" w:rsidRPr="006B605C" w:rsidRDefault="006B605C" w:rsidP="006B605C">
      <w:bookmarkStart w:id="10" w:name="_Ref15456375"/>
    </w:p>
    <w:p w14:paraId="0BE3D48B" w14:textId="77777777" w:rsidR="006B605C" w:rsidRPr="006B605C" w:rsidRDefault="006B605C" w:rsidP="006B605C"/>
    <w:p w14:paraId="3E5D914B" w14:textId="77777777" w:rsidR="006B605C" w:rsidRPr="006B605C" w:rsidRDefault="006B605C" w:rsidP="006B605C"/>
    <w:p w14:paraId="269BB7F3" w14:textId="77777777" w:rsidR="006B605C" w:rsidRPr="006B605C" w:rsidRDefault="006B605C" w:rsidP="006B605C"/>
    <w:p w14:paraId="3EECA69D" w14:textId="77777777" w:rsidR="006B605C" w:rsidRPr="006B605C" w:rsidRDefault="006B605C" w:rsidP="006B605C"/>
    <w:p w14:paraId="17C0BDDD" w14:textId="77777777" w:rsidR="006B605C" w:rsidRPr="006B605C" w:rsidRDefault="006B605C" w:rsidP="006B605C"/>
    <w:p w14:paraId="58407F2E" w14:textId="77777777" w:rsidR="006B605C" w:rsidRPr="006B605C" w:rsidRDefault="006B605C" w:rsidP="006B605C"/>
    <w:p w14:paraId="3D5BF4E2" w14:textId="77777777" w:rsidR="006B605C" w:rsidRPr="006B605C" w:rsidRDefault="006B605C" w:rsidP="006B605C"/>
    <w:p w14:paraId="0BCE4E88" w14:textId="77777777" w:rsidR="006B605C" w:rsidRPr="006B605C" w:rsidRDefault="006B605C" w:rsidP="006B605C"/>
    <w:p w14:paraId="04A77560" w14:textId="77777777" w:rsidR="006B605C" w:rsidRPr="006B605C" w:rsidRDefault="006B605C" w:rsidP="006B605C"/>
    <w:p w14:paraId="274E9FAB" w14:textId="77777777" w:rsidR="006B605C" w:rsidRPr="006B605C" w:rsidRDefault="006B605C" w:rsidP="006B605C"/>
    <w:p w14:paraId="0E503B04" w14:textId="77777777" w:rsidR="006B605C" w:rsidRPr="006B605C" w:rsidRDefault="006B605C" w:rsidP="006B605C"/>
    <w:p w14:paraId="36F4BE67" w14:textId="77777777" w:rsidR="006B605C" w:rsidRPr="006B605C" w:rsidRDefault="006B605C" w:rsidP="006B605C"/>
    <w:p w14:paraId="663946DD" w14:textId="77777777" w:rsidR="006B605C" w:rsidRPr="006B605C" w:rsidRDefault="006B605C" w:rsidP="006B605C">
      <w:pPr>
        <w:spacing w:after="200" w:line="240" w:lineRule="auto"/>
        <w:jc w:val="both"/>
      </w:pPr>
      <w:bookmarkStart w:id="11" w:name="_Ref15649647"/>
    </w:p>
    <w:tbl>
      <w:tblPr>
        <w:tblpPr w:leftFromText="180" w:rightFromText="180" w:vertAnchor="text" w:horzAnchor="margin" w:tblpY="-659"/>
        <w:tblW w:w="9365" w:type="dxa"/>
        <w:tblLook w:val="04A0" w:firstRow="1" w:lastRow="0" w:firstColumn="1" w:lastColumn="0" w:noHBand="0" w:noVBand="1"/>
      </w:tblPr>
      <w:tblGrid>
        <w:gridCol w:w="8319"/>
        <w:gridCol w:w="1046"/>
      </w:tblGrid>
      <w:tr w:rsidR="006B605C" w:rsidRPr="006B605C" w14:paraId="15C72DF1" w14:textId="77777777" w:rsidTr="00F8491A">
        <w:trPr>
          <w:trHeight w:val="230"/>
        </w:trPr>
        <w:tc>
          <w:tcPr>
            <w:tcW w:w="9365" w:type="dxa"/>
            <w:gridSpan w:val="2"/>
            <w:tcBorders>
              <w:left w:val="nil"/>
              <w:right w:val="nil"/>
            </w:tcBorders>
            <w:shd w:val="clear" w:color="auto" w:fill="auto"/>
            <w:vAlign w:val="center"/>
          </w:tcPr>
          <w:bookmarkEnd w:id="10"/>
          <w:bookmarkEnd w:id="11"/>
          <w:p w14:paraId="3E607722" w14:textId="77777777" w:rsidR="006B605C" w:rsidRPr="006B605C" w:rsidRDefault="006B605C" w:rsidP="006B605C">
            <w:pPr>
              <w:widowControl w:val="0"/>
              <w:spacing w:after="0" w:line="240" w:lineRule="auto"/>
              <w:jc w:val="both"/>
              <w:rPr>
                <w:rFonts w:eastAsia="Times New Roman" w:cs="Arial"/>
                <w:b/>
                <w:bCs/>
                <w:color w:val="000000"/>
                <w:sz w:val="20"/>
                <w:szCs w:val="20"/>
                <w:lang w:eastAsia="en-GB"/>
              </w:rPr>
            </w:pPr>
            <w:r w:rsidRPr="006B605C">
              <w:rPr>
                <w:b/>
                <w:iCs/>
                <w:sz w:val="20"/>
                <w:szCs w:val="20"/>
              </w:rPr>
              <w:lastRenderedPageBreak/>
              <w:t xml:space="preserve">Appendix </w:t>
            </w:r>
            <w:r w:rsidRPr="006B605C">
              <w:rPr>
                <w:b/>
                <w:iCs/>
                <w:noProof/>
                <w:sz w:val="20"/>
                <w:szCs w:val="20"/>
              </w:rPr>
              <w:t>3</w:t>
            </w:r>
            <w:r w:rsidRPr="006B605C">
              <w:rPr>
                <w:b/>
                <w:iCs/>
                <w:sz w:val="20"/>
                <w:szCs w:val="20"/>
              </w:rPr>
              <w:t>: Number of missing values for each question/variable (out of 121)</w:t>
            </w:r>
          </w:p>
        </w:tc>
      </w:tr>
      <w:tr w:rsidR="006B605C" w:rsidRPr="006B605C" w14:paraId="0ABD8797" w14:textId="77777777" w:rsidTr="00F8491A">
        <w:trPr>
          <w:trHeight w:val="230"/>
        </w:trPr>
        <w:tc>
          <w:tcPr>
            <w:tcW w:w="8319" w:type="dxa"/>
            <w:tcBorders>
              <w:left w:val="nil"/>
              <w:bottom w:val="single" w:sz="4" w:space="0" w:color="auto"/>
              <w:right w:val="nil"/>
            </w:tcBorders>
            <w:shd w:val="clear" w:color="auto" w:fill="auto"/>
            <w:vAlign w:val="center"/>
          </w:tcPr>
          <w:p w14:paraId="153A412F" w14:textId="77777777" w:rsidR="006B605C" w:rsidRPr="006B605C" w:rsidRDefault="006B605C" w:rsidP="006B605C">
            <w:pPr>
              <w:widowControl w:val="0"/>
              <w:spacing w:after="0" w:line="240" w:lineRule="auto"/>
              <w:jc w:val="both"/>
              <w:rPr>
                <w:rFonts w:eastAsia="Times New Roman" w:cs="Arial"/>
                <w:b/>
                <w:bCs/>
                <w:color w:val="000000"/>
                <w:sz w:val="20"/>
                <w:szCs w:val="20"/>
                <w:lang w:eastAsia="en-GB"/>
              </w:rPr>
            </w:pPr>
          </w:p>
        </w:tc>
        <w:tc>
          <w:tcPr>
            <w:tcW w:w="1046" w:type="dxa"/>
            <w:tcBorders>
              <w:left w:val="nil"/>
              <w:bottom w:val="single" w:sz="4" w:space="0" w:color="auto"/>
              <w:right w:val="nil"/>
            </w:tcBorders>
            <w:shd w:val="clear" w:color="auto" w:fill="auto"/>
            <w:vAlign w:val="center"/>
          </w:tcPr>
          <w:p w14:paraId="76E35840" w14:textId="77777777" w:rsidR="006B605C" w:rsidRPr="006B605C" w:rsidRDefault="006B605C" w:rsidP="006B605C">
            <w:pPr>
              <w:widowControl w:val="0"/>
              <w:spacing w:after="0" w:line="240" w:lineRule="auto"/>
              <w:jc w:val="both"/>
              <w:rPr>
                <w:rFonts w:eastAsia="Times New Roman" w:cs="Arial"/>
                <w:b/>
                <w:bCs/>
                <w:color w:val="000000"/>
                <w:sz w:val="20"/>
                <w:szCs w:val="20"/>
                <w:lang w:eastAsia="en-GB"/>
              </w:rPr>
            </w:pPr>
          </w:p>
        </w:tc>
      </w:tr>
      <w:tr w:rsidR="006B605C" w:rsidRPr="006B605C" w14:paraId="52CF975B" w14:textId="77777777" w:rsidTr="00F8491A">
        <w:trPr>
          <w:trHeight w:val="433"/>
        </w:trPr>
        <w:tc>
          <w:tcPr>
            <w:tcW w:w="8319" w:type="dxa"/>
            <w:vMerge w:val="restart"/>
            <w:tcBorders>
              <w:top w:val="single" w:sz="4" w:space="0" w:color="auto"/>
              <w:left w:val="nil"/>
              <w:bottom w:val="single" w:sz="4" w:space="0" w:color="000000"/>
              <w:right w:val="nil"/>
            </w:tcBorders>
            <w:shd w:val="clear" w:color="auto" w:fill="auto"/>
            <w:vAlign w:val="center"/>
            <w:hideMark/>
          </w:tcPr>
          <w:p w14:paraId="2407548B" w14:textId="77777777" w:rsidR="006B605C" w:rsidRPr="006B605C" w:rsidRDefault="006B605C" w:rsidP="006B605C">
            <w:pPr>
              <w:widowControl w:val="0"/>
              <w:spacing w:after="0" w:line="240" w:lineRule="auto"/>
              <w:jc w:val="both"/>
              <w:rPr>
                <w:rFonts w:eastAsia="Times New Roman" w:cs="Arial"/>
                <w:b/>
                <w:bCs/>
                <w:color w:val="000000"/>
                <w:sz w:val="20"/>
                <w:szCs w:val="20"/>
                <w:lang w:eastAsia="en-GB"/>
              </w:rPr>
            </w:pPr>
            <w:r w:rsidRPr="006B605C">
              <w:rPr>
                <w:rFonts w:eastAsia="Times New Roman" w:cs="Arial"/>
                <w:b/>
                <w:bCs/>
                <w:color w:val="000000"/>
                <w:sz w:val="20"/>
                <w:szCs w:val="20"/>
                <w:lang w:eastAsia="en-GB"/>
              </w:rPr>
              <w:t>Question/variable</w:t>
            </w:r>
          </w:p>
        </w:tc>
        <w:tc>
          <w:tcPr>
            <w:tcW w:w="1046" w:type="dxa"/>
            <w:vMerge w:val="restart"/>
            <w:tcBorders>
              <w:top w:val="single" w:sz="4" w:space="0" w:color="auto"/>
              <w:left w:val="nil"/>
              <w:bottom w:val="single" w:sz="4" w:space="0" w:color="000000"/>
              <w:right w:val="nil"/>
            </w:tcBorders>
            <w:shd w:val="clear" w:color="auto" w:fill="auto"/>
            <w:vAlign w:val="center"/>
            <w:hideMark/>
          </w:tcPr>
          <w:p w14:paraId="4843242C" w14:textId="77777777" w:rsidR="006B605C" w:rsidRPr="006B605C" w:rsidRDefault="006B605C" w:rsidP="006B605C">
            <w:pPr>
              <w:widowControl w:val="0"/>
              <w:spacing w:after="0" w:line="240" w:lineRule="auto"/>
              <w:jc w:val="both"/>
              <w:rPr>
                <w:rFonts w:eastAsia="Times New Roman" w:cs="Arial"/>
                <w:b/>
                <w:bCs/>
                <w:color w:val="000000"/>
                <w:sz w:val="20"/>
                <w:szCs w:val="20"/>
                <w:lang w:eastAsia="en-GB"/>
              </w:rPr>
            </w:pPr>
            <w:r w:rsidRPr="006B605C">
              <w:rPr>
                <w:rFonts w:eastAsia="Times New Roman" w:cs="Arial"/>
                <w:b/>
                <w:bCs/>
                <w:color w:val="000000"/>
                <w:sz w:val="20"/>
                <w:szCs w:val="20"/>
                <w:lang w:eastAsia="en-GB"/>
              </w:rPr>
              <w:t>Missing values</w:t>
            </w:r>
          </w:p>
        </w:tc>
      </w:tr>
      <w:tr w:rsidR="006B605C" w:rsidRPr="006B605C" w14:paraId="4972002B" w14:textId="77777777" w:rsidTr="00F8491A">
        <w:trPr>
          <w:trHeight w:val="450"/>
        </w:trPr>
        <w:tc>
          <w:tcPr>
            <w:tcW w:w="8319" w:type="dxa"/>
            <w:vMerge/>
            <w:tcBorders>
              <w:left w:val="nil"/>
              <w:bottom w:val="single" w:sz="4" w:space="0" w:color="000000"/>
              <w:right w:val="nil"/>
            </w:tcBorders>
            <w:vAlign w:val="center"/>
            <w:hideMark/>
          </w:tcPr>
          <w:p w14:paraId="00EE6311" w14:textId="77777777" w:rsidR="006B605C" w:rsidRPr="006B605C" w:rsidRDefault="006B605C" w:rsidP="006B605C">
            <w:pPr>
              <w:widowControl w:val="0"/>
              <w:spacing w:after="0" w:line="240" w:lineRule="auto"/>
              <w:jc w:val="both"/>
              <w:rPr>
                <w:rFonts w:eastAsia="Times New Roman" w:cs="Arial"/>
                <w:b/>
                <w:bCs/>
                <w:color w:val="000000"/>
                <w:sz w:val="20"/>
                <w:szCs w:val="20"/>
                <w:lang w:eastAsia="en-GB"/>
              </w:rPr>
            </w:pPr>
          </w:p>
        </w:tc>
        <w:tc>
          <w:tcPr>
            <w:tcW w:w="1046" w:type="dxa"/>
            <w:vMerge/>
            <w:tcBorders>
              <w:left w:val="nil"/>
              <w:bottom w:val="single" w:sz="4" w:space="0" w:color="000000"/>
              <w:right w:val="nil"/>
            </w:tcBorders>
            <w:vAlign w:val="center"/>
            <w:hideMark/>
          </w:tcPr>
          <w:p w14:paraId="545B30F5" w14:textId="77777777" w:rsidR="006B605C" w:rsidRPr="006B605C" w:rsidRDefault="006B605C" w:rsidP="006B605C">
            <w:pPr>
              <w:widowControl w:val="0"/>
              <w:spacing w:after="0" w:line="240" w:lineRule="auto"/>
              <w:jc w:val="both"/>
              <w:rPr>
                <w:rFonts w:eastAsia="Times New Roman" w:cs="Arial"/>
                <w:b/>
                <w:bCs/>
                <w:color w:val="000000"/>
                <w:sz w:val="20"/>
                <w:szCs w:val="20"/>
                <w:lang w:eastAsia="en-GB"/>
              </w:rPr>
            </w:pPr>
          </w:p>
        </w:tc>
      </w:tr>
      <w:tr w:rsidR="006B605C" w:rsidRPr="006B605C" w14:paraId="727E7743" w14:textId="77777777" w:rsidTr="00F8491A">
        <w:trPr>
          <w:trHeight w:val="310"/>
        </w:trPr>
        <w:tc>
          <w:tcPr>
            <w:tcW w:w="8319" w:type="dxa"/>
            <w:tcBorders>
              <w:top w:val="nil"/>
              <w:left w:val="nil"/>
              <w:bottom w:val="nil"/>
              <w:right w:val="nil"/>
            </w:tcBorders>
            <w:shd w:val="clear" w:color="auto" w:fill="auto"/>
            <w:noWrap/>
            <w:vAlign w:val="center"/>
            <w:hideMark/>
          </w:tcPr>
          <w:p w14:paraId="357D5CC5"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1. </w:t>
            </w:r>
            <w:r w:rsidRPr="006B605C">
              <w:rPr>
                <w:rFonts w:eastAsia="Times New Roman" w:cs="Arial"/>
                <w:color w:val="000000"/>
                <w:sz w:val="20"/>
                <w:szCs w:val="20"/>
                <w:lang w:eastAsia="en-GB"/>
              </w:rPr>
              <w:t>Country in which FLS is located</w:t>
            </w:r>
          </w:p>
        </w:tc>
        <w:tc>
          <w:tcPr>
            <w:tcW w:w="1046" w:type="dxa"/>
            <w:tcBorders>
              <w:top w:val="nil"/>
              <w:left w:val="nil"/>
              <w:bottom w:val="nil"/>
              <w:right w:val="nil"/>
            </w:tcBorders>
            <w:shd w:val="clear" w:color="auto" w:fill="auto"/>
            <w:noWrap/>
            <w:vAlign w:val="center"/>
            <w:hideMark/>
          </w:tcPr>
          <w:p w14:paraId="255CC1AB"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w:t>
            </w:r>
          </w:p>
        </w:tc>
      </w:tr>
      <w:tr w:rsidR="006B605C" w:rsidRPr="006B605C" w14:paraId="7A42B894" w14:textId="77777777" w:rsidTr="00F8491A">
        <w:trPr>
          <w:trHeight w:val="310"/>
        </w:trPr>
        <w:tc>
          <w:tcPr>
            <w:tcW w:w="8319" w:type="dxa"/>
            <w:tcBorders>
              <w:top w:val="nil"/>
              <w:left w:val="nil"/>
              <w:bottom w:val="nil"/>
              <w:right w:val="nil"/>
            </w:tcBorders>
            <w:shd w:val="clear" w:color="auto" w:fill="auto"/>
            <w:noWrap/>
            <w:vAlign w:val="center"/>
            <w:hideMark/>
          </w:tcPr>
          <w:p w14:paraId="78B243BE"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2. </w:t>
            </w:r>
            <w:r w:rsidRPr="006B605C">
              <w:rPr>
                <w:rFonts w:eastAsia="Times New Roman" w:cs="Arial"/>
                <w:color w:val="000000"/>
                <w:sz w:val="20"/>
                <w:szCs w:val="20"/>
                <w:lang w:eastAsia="en-GB"/>
              </w:rPr>
              <w:t>Continent in which FLS is located</w:t>
            </w:r>
          </w:p>
        </w:tc>
        <w:tc>
          <w:tcPr>
            <w:tcW w:w="1046" w:type="dxa"/>
            <w:tcBorders>
              <w:top w:val="nil"/>
              <w:left w:val="nil"/>
              <w:bottom w:val="nil"/>
              <w:right w:val="nil"/>
            </w:tcBorders>
            <w:shd w:val="clear" w:color="auto" w:fill="auto"/>
            <w:noWrap/>
            <w:vAlign w:val="center"/>
            <w:hideMark/>
          </w:tcPr>
          <w:p w14:paraId="69DDBA58"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w:t>
            </w:r>
          </w:p>
        </w:tc>
      </w:tr>
      <w:tr w:rsidR="006B605C" w:rsidRPr="006B605C" w14:paraId="554F0C52" w14:textId="77777777" w:rsidTr="00F8491A">
        <w:trPr>
          <w:trHeight w:val="310"/>
        </w:trPr>
        <w:tc>
          <w:tcPr>
            <w:tcW w:w="8319" w:type="dxa"/>
            <w:tcBorders>
              <w:top w:val="nil"/>
              <w:left w:val="nil"/>
              <w:bottom w:val="nil"/>
              <w:right w:val="nil"/>
            </w:tcBorders>
            <w:shd w:val="clear" w:color="auto" w:fill="auto"/>
            <w:noWrap/>
            <w:vAlign w:val="center"/>
            <w:hideMark/>
          </w:tcPr>
          <w:p w14:paraId="6CAFF435"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3. Access to DXA</w:t>
            </w:r>
          </w:p>
        </w:tc>
        <w:tc>
          <w:tcPr>
            <w:tcW w:w="1046" w:type="dxa"/>
            <w:tcBorders>
              <w:top w:val="nil"/>
              <w:left w:val="nil"/>
              <w:bottom w:val="nil"/>
              <w:right w:val="nil"/>
            </w:tcBorders>
            <w:shd w:val="clear" w:color="auto" w:fill="auto"/>
            <w:noWrap/>
            <w:vAlign w:val="center"/>
            <w:hideMark/>
          </w:tcPr>
          <w:p w14:paraId="35388B91"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w:t>
            </w:r>
          </w:p>
        </w:tc>
      </w:tr>
      <w:tr w:rsidR="006B605C" w:rsidRPr="006B605C" w14:paraId="5125A9B6" w14:textId="77777777" w:rsidTr="00F8491A">
        <w:trPr>
          <w:trHeight w:val="310"/>
        </w:trPr>
        <w:tc>
          <w:tcPr>
            <w:tcW w:w="8319" w:type="dxa"/>
            <w:tcBorders>
              <w:top w:val="nil"/>
              <w:left w:val="nil"/>
              <w:bottom w:val="nil"/>
              <w:right w:val="nil"/>
            </w:tcBorders>
            <w:shd w:val="clear" w:color="auto" w:fill="auto"/>
            <w:noWrap/>
            <w:vAlign w:val="center"/>
            <w:hideMark/>
          </w:tcPr>
          <w:p w14:paraId="54988D0A"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4.</w:t>
            </w:r>
            <w:r w:rsidRPr="006B605C">
              <w:rPr>
                <w:rFonts w:eastAsia="Times New Roman" w:cs="Arial"/>
                <w:color w:val="000000"/>
                <w:sz w:val="20"/>
                <w:szCs w:val="20"/>
                <w:lang w:eastAsia="en-GB"/>
              </w:rPr>
              <w:t xml:space="preserve"> DXA request frequency for new patients</w:t>
            </w:r>
          </w:p>
        </w:tc>
        <w:tc>
          <w:tcPr>
            <w:tcW w:w="1046" w:type="dxa"/>
            <w:tcBorders>
              <w:top w:val="nil"/>
              <w:left w:val="nil"/>
              <w:bottom w:val="nil"/>
              <w:right w:val="nil"/>
            </w:tcBorders>
            <w:shd w:val="clear" w:color="auto" w:fill="auto"/>
            <w:noWrap/>
            <w:vAlign w:val="center"/>
            <w:hideMark/>
          </w:tcPr>
          <w:p w14:paraId="7B679E02"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2</w:t>
            </w:r>
          </w:p>
        </w:tc>
      </w:tr>
      <w:tr w:rsidR="006B605C" w:rsidRPr="006B605C" w14:paraId="6C33214E" w14:textId="77777777" w:rsidTr="00F8491A">
        <w:trPr>
          <w:trHeight w:val="310"/>
        </w:trPr>
        <w:tc>
          <w:tcPr>
            <w:tcW w:w="8319" w:type="dxa"/>
            <w:tcBorders>
              <w:top w:val="nil"/>
              <w:left w:val="nil"/>
              <w:bottom w:val="nil"/>
              <w:right w:val="nil"/>
            </w:tcBorders>
            <w:shd w:val="clear" w:color="auto" w:fill="auto"/>
            <w:noWrap/>
            <w:vAlign w:val="center"/>
            <w:hideMark/>
          </w:tcPr>
          <w:p w14:paraId="2CEC960B"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5.</w:t>
            </w:r>
            <w:r w:rsidRPr="006B605C">
              <w:rPr>
                <w:rFonts w:eastAsia="Times New Roman" w:cs="Arial"/>
                <w:color w:val="000000"/>
                <w:sz w:val="20"/>
                <w:szCs w:val="20"/>
                <w:lang w:eastAsia="en-GB"/>
              </w:rPr>
              <w:t xml:space="preserve"> DXA request frequency to monitor therapy for treated patients &lt;75 years</w:t>
            </w:r>
          </w:p>
        </w:tc>
        <w:tc>
          <w:tcPr>
            <w:tcW w:w="1046" w:type="dxa"/>
            <w:tcBorders>
              <w:top w:val="nil"/>
              <w:left w:val="nil"/>
              <w:bottom w:val="nil"/>
              <w:right w:val="nil"/>
            </w:tcBorders>
            <w:shd w:val="clear" w:color="auto" w:fill="auto"/>
            <w:noWrap/>
            <w:vAlign w:val="center"/>
            <w:hideMark/>
          </w:tcPr>
          <w:p w14:paraId="0B44DF31"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w:t>
            </w:r>
          </w:p>
        </w:tc>
      </w:tr>
      <w:tr w:rsidR="006B605C" w:rsidRPr="006B605C" w14:paraId="34908E7E" w14:textId="77777777" w:rsidTr="00F8491A">
        <w:trPr>
          <w:trHeight w:val="310"/>
        </w:trPr>
        <w:tc>
          <w:tcPr>
            <w:tcW w:w="8319" w:type="dxa"/>
            <w:tcBorders>
              <w:top w:val="nil"/>
              <w:left w:val="nil"/>
              <w:bottom w:val="nil"/>
              <w:right w:val="nil"/>
            </w:tcBorders>
            <w:shd w:val="clear" w:color="auto" w:fill="auto"/>
            <w:noWrap/>
            <w:vAlign w:val="center"/>
            <w:hideMark/>
          </w:tcPr>
          <w:p w14:paraId="0091AA9F"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6. </w:t>
            </w:r>
            <w:r w:rsidRPr="006B605C">
              <w:rPr>
                <w:rFonts w:eastAsia="Times New Roman" w:cs="Arial"/>
                <w:color w:val="000000"/>
                <w:sz w:val="20"/>
                <w:szCs w:val="20"/>
                <w:lang w:eastAsia="en-GB"/>
              </w:rPr>
              <w:t>DXA request frequency to monitor therapy for treated patients ≥75 years</w:t>
            </w:r>
          </w:p>
        </w:tc>
        <w:tc>
          <w:tcPr>
            <w:tcW w:w="1046" w:type="dxa"/>
            <w:tcBorders>
              <w:top w:val="nil"/>
              <w:left w:val="nil"/>
              <w:bottom w:val="nil"/>
              <w:right w:val="nil"/>
            </w:tcBorders>
            <w:shd w:val="clear" w:color="auto" w:fill="auto"/>
            <w:noWrap/>
            <w:vAlign w:val="center"/>
            <w:hideMark/>
          </w:tcPr>
          <w:p w14:paraId="6F4B3DD9"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w:t>
            </w:r>
          </w:p>
        </w:tc>
      </w:tr>
      <w:tr w:rsidR="006B605C" w:rsidRPr="006B605C" w14:paraId="2C3E7793" w14:textId="77777777" w:rsidTr="00F8491A">
        <w:trPr>
          <w:trHeight w:val="310"/>
        </w:trPr>
        <w:tc>
          <w:tcPr>
            <w:tcW w:w="8319" w:type="dxa"/>
            <w:tcBorders>
              <w:top w:val="nil"/>
              <w:left w:val="nil"/>
              <w:bottom w:val="nil"/>
              <w:right w:val="nil"/>
            </w:tcBorders>
            <w:shd w:val="clear" w:color="auto" w:fill="auto"/>
            <w:noWrap/>
            <w:vAlign w:val="center"/>
            <w:hideMark/>
          </w:tcPr>
          <w:p w14:paraId="28B742EE"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7. </w:t>
            </w:r>
            <w:r w:rsidRPr="006B605C">
              <w:rPr>
                <w:rFonts w:eastAsia="Times New Roman" w:cs="Arial"/>
                <w:color w:val="000000"/>
                <w:sz w:val="20"/>
                <w:szCs w:val="20"/>
                <w:lang w:eastAsia="en-GB"/>
              </w:rPr>
              <w:t>Usual DXA testing interval for patients initiating treatment</w:t>
            </w:r>
          </w:p>
        </w:tc>
        <w:tc>
          <w:tcPr>
            <w:tcW w:w="1046" w:type="dxa"/>
            <w:tcBorders>
              <w:top w:val="nil"/>
              <w:left w:val="nil"/>
              <w:bottom w:val="nil"/>
              <w:right w:val="nil"/>
            </w:tcBorders>
            <w:shd w:val="clear" w:color="auto" w:fill="auto"/>
            <w:noWrap/>
            <w:vAlign w:val="center"/>
            <w:hideMark/>
          </w:tcPr>
          <w:p w14:paraId="198F5F0F"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4</w:t>
            </w:r>
          </w:p>
        </w:tc>
      </w:tr>
      <w:tr w:rsidR="006B605C" w:rsidRPr="006B605C" w14:paraId="166C95C5" w14:textId="77777777" w:rsidTr="00F8491A">
        <w:trPr>
          <w:trHeight w:val="310"/>
        </w:trPr>
        <w:tc>
          <w:tcPr>
            <w:tcW w:w="8319" w:type="dxa"/>
            <w:tcBorders>
              <w:top w:val="nil"/>
              <w:left w:val="nil"/>
              <w:bottom w:val="nil"/>
              <w:right w:val="nil"/>
            </w:tcBorders>
            <w:shd w:val="clear" w:color="auto" w:fill="auto"/>
            <w:noWrap/>
            <w:vAlign w:val="center"/>
            <w:hideMark/>
          </w:tcPr>
          <w:p w14:paraId="737E13EC"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8. </w:t>
            </w:r>
            <w:r w:rsidRPr="006B605C">
              <w:rPr>
                <w:rFonts w:eastAsia="Times New Roman" w:cs="Arial"/>
                <w:color w:val="000000"/>
                <w:sz w:val="20"/>
                <w:szCs w:val="20"/>
                <w:lang w:eastAsia="en-GB"/>
              </w:rPr>
              <w:t>Median DXA testing interval (years) for patients initiating treatment</w:t>
            </w:r>
          </w:p>
        </w:tc>
        <w:tc>
          <w:tcPr>
            <w:tcW w:w="1046" w:type="dxa"/>
            <w:tcBorders>
              <w:top w:val="nil"/>
              <w:left w:val="nil"/>
              <w:bottom w:val="nil"/>
              <w:right w:val="nil"/>
            </w:tcBorders>
            <w:shd w:val="clear" w:color="auto" w:fill="auto"/>
            <w:noWrap/>
            <w:vAlign w:val="center"/>
            <w:hideMark/>
          </w:tcPr>
          <w:p w14:paraId="46CF368D"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30</w:t>
            </w:r>
          </w:p>
        </w:tc>
      </w:tr>
      <w:tr w:rsidR="006B605C" w:rsidRPr="006B605C" w14:paraId="74F2EFFD" w14:textId="77777777" w:rsidTr="00F8491A">
        <w:trPr>
          <w:trHeight w:val="310"/>
        </w:trPr>
        <w:tc>
          <w:tcPr>
            <w:tcW w:w="8319" w:type="dxa"/>
            <w:tcBorders>
              <w:top w:val="nil"/>
              <w:left w:val="nil"/>
              <w:bottom w:val="nil"/>
              <w:right w:val="nil"/>
            </w:tcBorders>
            <w:shd w:val="clear" w:color="auto" w:fill="auto"/>
            <w:noWrap/>
            <w:vAlign w:val="center"/>
            <w:hideMark/>
          </w:tcPr>
          <w:p w14:paraId="5EBA522C"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9. </w:t>
            </w:r>
            <w:r w:rsidRPr="006B605C">
              <w:rPr>
                <w:rFonts w:eastAsia="Times New Roman" w:cs="Arial"/>
                <w:color w:val="000000"/>
                <w:sz w:val="20"/>
                <w:szCs w:val="20"/>
                <w:lang w:eastAsia="en-GB"/>
              </w:rPr>
              <w:t>Frequency FLS DXA access meets service needs</w:t>
            </w:r>
          </w:p>
        </w:tc>
        <w:tc>
          <w:tcPr>
            <w:tcW w:w="1046" w:type="dxa"/>
            <w:tcBorders>
              <w:top w:val="nil"/>
              <w:left w:val="nil"/>
              <w:bottom w:val="nil"/>
              <w:right w:val="nil"/>
            </w:tcBorders>
            <w:shd w:val="clear" w:color="auto" w:fill="auto"/>
            <w:noWrap/>
            <w:vAlign w:val="center"/>
            <w:hideMark/>
          </w:tcPr>
          <w:p w14:paraId="2CEF5740"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w:t>
            </w:r>
          </w:p>
        </w:tc>
      </w:tr>
      <w:tr w:rsidR="006B605C" w:rsidRPr="006B605C" w14:paraId="368CD3E2" w14:textId="77777777" w:rsidTr="00F8491A">
        <w:trPr>
          <w:trHeight w:val="310"/>
        </w:trPr>
        <w:tc>
          <w:tcPr>
            <w:tcW w:w="8319" w:type="dxa"/>
            <w:tcBorders>
              <w:top w:val="nil"/>
              <w:left w:val="nil"/>
              <w:bottom w:val="nil"/>
              <w:right w:val="nil"/>
            </w:tcBorders>
            <w:shd w:val="clear" w:color="auto" w:fill="auto"/>
            <w:noWrap/>
            <w:vAlign w:val="center"/>
            <w:hideMark/>
          </w:tcPr>
          <w:p w14:paraId="26EDB087"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10.</w:t>
            </w:r>
            <w:r w:rsidRPr="006B605C">
              <w:rPr>
                <w:rFonts w:eastAsia="Times New Roman" w:cs="Arial"/>
                <w:color w:val="000000"/>
                <w:sz w:val="20"/>
                <w:szCs w:val="20"/>
                <w:lang w:eastAsia="en-GB"/>
              </w:rPr>
              <w:t xml:space="preserve"> Frequency DXA services (scanning and reporting) quality is excellent</w:t>
            </w:r>
          </w:p>
        </w:tc>
        <w:tc>
          <w:tcPr>
            <w:tcW w:w="1046" w:type="dxa"/>
            <w:tcBorders>
              <w:top w:val="nil"/>
              <w:left w:val="nil"/>
              <w:bottom w:val="nil"/>
              <w:right w:val="nil"/>
            </w:tcBorders>
            <w:shd w:val="clear" w:color="auto" w:fill="auto"/>
            <w:noWrap/>
            <w:vAlign w:val="center"/>
            <w:hideMark/>
          </w:tcPr>
          <w:p w14:paraId="0799E903"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w:t>
            </w:r>
          </w:p>
        </w:tc>
      </w:tr>
      <w:tr w:rsidR="006B605C" w:rsidRPr="006B605C" w14:paraId="689043F0" w14:textId="77777777" w:rsidTr="00F8491A">
        <w:trPr>
          <w:trHeight w:val="310"/>
        </w:trPr>
        <w:tc>
          <w:tcPr>
            <w:tcW w:w="8319" w:type="dxa"/>
            <w:tcBorders>
              <w:top w:val="nil"/>
              <w:left w:val="nil"/>
              <w:bottom w:val="nil"/>
              <w:right w:val="nil"/>
            </w:tcBorders>
            <w:shd w:val="clear" w:color="auto" w:fill="auto"/>
            <w:noWrap/>
            <w:vAlign w:val="center"/>
            <w:hideMark/>
          </w:tcPr>
          <w:p w14:paraId="53A95CFE"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11.</w:t>
            </w:r>
            <w:r w:rsidRPr="006B605C">
              <w:rPr>
                <w:rFonts w:eastAsia="Times New Roman" w:cs="Arial"/>
                <w:color w:val="000000"/>
                <w:sz w:val="20"/>
                <w:szCs w:val="20"/>
                <w:lang w:eastAsia="en-GB"/>
              </w:rPr>
              <w:t xml:space="preserve"> Frequency the quality of a DXA report is questioned</w:t>
            </w:r>
          </w:p>
        </w:tc>
        <w:tc>
          <w:tcPr>
            <w:tcW w:w="1046" w:type="dxa"/>
            <w:tcBorders>
              <w:top w:val="nil"/>
              <w:left w:val="nil"/>
              <w:bottom w:val="nil"/>
              <w:right w:val="nil"/>
            </w:tcBorders>
            <w:shd w:val="clear" w:color="auto" w:fill="auto"/>
            <w:noWrap/>
            <w:vAlign w:val="center"/>
            <w:hideMark/>
          </w:tcPr>
          <w:p w14:paraId="23615896"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5</w:t>
            </w:r>
          </w:p>
        </w:tc>
      </w:tr>
      <w:tr w:rsidR="006B605C" w:rsidRPr="006B605C" w14:paraId="114D0A8E" w14:textId="77777777" w:rsidTr="00F8491A">
        <w:trPr>
          <w:trHeight w:val="310"/>
        </w:trPr>
        <w:tc>
          <w:tcPr>
            <w:tcW w:w="8319" w:type="dxa"/>
            <w:tcBorders>
              <w:top w:val="nil"/>
              <w:left w:val="nil"/>
              <w:bottom w:val="nil"/>
              <w:right w:val="nil"/>
            </w:tcBorders>
            <w:shd w:val="clear" w:color="auto" w:fill="auto"/>
            <w:noWrap/>
            <w:vAlign w:val="center"/>
            <w:hideMark/>
          </w:tcPr>
          <w:p w14:paraId="018B390A"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12. </w:t>
            </w:r>
            <w:r w:rsidRPr="006B605C">
              <w:rPr>
                <w:rFonts w:eastAsia="Times New Roman" w:cs="Arial"/>
                <w:color w:val="000000"/>
                <w:sz w:val="20"/>
                <w:szCs w:val="20"/>
                <w:lang w:eastAsia="en-GB"/>
              </w:rPr>
              <w:t>DXA facility accredited by professional/governmental organisation</w:t>
            </w:r>
          </w:p>
        </w:tc>
        <w:tc>
          <w:tcPr>
            <w:tcW w:w="1046" w:type="dxa"/>
            <w:tcBorders>
              <w:top w:val="nil"/>
              <w:left w:val="nil"/>
              <w:bottom w:val="nil"/>
              <w:right w:val="nil"/>
            </w:tcBorders>
            <w:shd w:val="clear" w:color="auto" w:fill="auto"/>
            <w:noWrap/>
            <w:vAlign w:val="center"/>
            <w:hideMark/>
          </w:tcPr>
          <w:p w14:paraId="5517E8DB"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1319C486" w14:textId="77777777" w:rsidTr="00F8491A">
        <w:trPr>
          <w:trHeight w:val="310"/>
        </w:trPr>
        <w:tc>
          <w:tcPr>
            <w:tcW w:w="8319" w:type="dxa"/>
            <w:tcBorders>
              <w:top w:val="nil"/>
              <w:left w:val="nil"/>
              <w:bottom w:val="nil"/>
              <w:right w:val="nil"/>
            </w:tcBorders>
            <w:shd w:val="clear" w:color="auto" w:fill="auto"/>
            <w:noWrap/>
            <w:vAlign w:val="center"/>
            <w:hideMark/>
          </w:tcPr>
          <w:p w14:paraId="539AA53A"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13. </w:t>
            </w:r>
            <w:r w:rsidRPr="006B605C">
              <w:rPr>
                <w:rFonts w:eastAsia="Times New Roman" w:cs="Arial"/>
                <w:color w:val="000000"/>
                <w:sz w:val="20"/>
                <w:szCs w:val="20"/>
                <w:lang w:eastAsia="en-GB"/>
              </w:rPr>
              <w:t>DXA facility designates operators as supervisors of DXA activities</w:t>
            </w:r>
          </w:p>
        </w:tc>
        <w:tc>
          <w:tcPr>
            <w:tcW w:w="1046" w:type="dxa"/>
            <w:tcBorders>
              <w:top w:val="nil"/>
              <w:left w:val="nil"/>
              <w:bottom w:val="nil"/>
              <w:right w:val="nil"/>
            </w:tcBorders>
            <w:shd w:val="clear" w:color="auto" w:fill="auto"/>
            <w:noWrap/>
            <w:vAlign w:val="center"/>
            <w:hideMark/>
          </w:tcPr>
          <w:p w14:paraId="6EC19263"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13</w:t>
            </w:r>
          </w:p>
        </w:tc>
      </w:tr>
      <w:tr w:rsidR="006B605C" w:rsidRPr="006B605C" w14:paraId="4FCE6D66" w14:textId="77777777" w:rsidTr="00F8491A">
        <w:trPr>
          <w:trHeight w:val="310"/>
        </w:trPr>
        <w:tc>
          <w:tcPr>
            <w:tcW w:w="8319" w:type="dxa"/>
            <w:tcBorders>
              <w:top w:val="nil"/>
              <w:left w:val="nil"/>
              <w:bottom w:val="nil"/>
              <w:right w:val="nil"/>
            </w:tcBorders>
            <w:shd w:val="clear" w:color="auto" w:fill="auto"/>
            <w:noWrap/>
            <w:vAlign w:val="center"/>
            <w:hideMark/>
          </w:tcPr>
          <w:p w14:paraId="5E94F32A"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14.</w:t>
            </w:r>
            <w:r w:rsidRPr="006B605C">
              <w:rPr>
                <w:rFonts w:eastAsia="Times New Roman" w:cs="Arial"/>
                <w:color w:val="000000"/>
                <w:sz w:val="20"/>
                <w:szCs w:val="20"/>
                <w:lang w:eastAsia="en-GB"/>
              </w:rPr>
              <w:t xml:space="preserve"> DXA facility requires ongoing education in osteoporosis/DXA for operators</w:t>
            </w:r>
          </w:p>
        </w:tc>
        <w:tc>
          <w:tcPr>
            <w:tcW w:w="1046" w:type="dxa"/>
            <w:tcBorders>
              <w:top w:val="nil"/>
              <w:left w:val="nil"/>
              <w:bottom w:val="nil"/>
              <w:right w:val="nil"/>
            </w:tcBorders>
            <w:shd w:val="clear" w:color="auto" w:fill="auto"/>
            <w:noWrap/>
            <w:vAlign w:val="center"/>
            <w:hideMark/>
          </w:tcPr>
          <w:p w14:paraId="13416BBA"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71B76943" w14:textId="77777777" w:rsidTr="00F8491A">
        <w:trPr>
          <w:trHeight w:val="310"/>
        </w:trPr>
        <w:tc>
          <w:tcPr>
            <w:tcW w:w="8319" w:type="dxa"/>
            <w:tcBorders>
              <w:top w:val="nil"/>
              <w:left w:val="nil"/>
              <w:bottom w:val="nil"/>
              <w:right w:val="nil"/>
            </w:tcBorders>
            <w:shd w:val="clear" w:color="auto" w:fill="auto"/>
            <w:noWrap/>
            <w:vAlign w:val="center"/>
            <w:hideMark/>
          </w:tcPr>
          <w:p w14:paraId="3D47D00D"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15. </w:t>
            </w:r>
            <w:r w:rsidRPr="006B605C">
              <w:rPr>
                <w:rFonts w:eastAsia="Times New Roman" w:cs="Arial"/>
                <w:color w:val="000000"/>
                <w:sz w:val="20"/>
                <w:szCs w:val="20"/>
                <w:lang w:eastAsia="en-GB"/>
              </w:rPr>
              <w:t xml:space="preserve"> DXA facility requires ongoing education in osteoporosis/DXA for interpreters</w:t>
            </w:r>
          </w:p>
        </w:tc>
        <w:tc>
          <w:tcPr>
            <w:tcW w:w="1046" w:type="dxa"/>
            <w:tcBorders>
              <w:top w:val="nil"/>
              <w:left w:val="nil"/>
              <w:bottom w:val="nil"/>
              <w:right w:val="nil"/>
            </w:tcBorders>
            <w:shd w:val="clear" w:color="auto" w:fill="auto"/>
            <w:noWrap/>
            <w:vAlign w:val="center"/>
            <w:hideMark/>
          </w:tcPr>
          <w:p w14:paraId="07054F14"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13</w:t>
            </w:r>
          </w:p>
        </w:tc>
      </w:tr>
      <w:tr w:rsidR="006B605C" w:rsidRPr="006B605C" w14:paraId="34DE41B6" w14:textId="77777777" w:rsidTr="00F8491A">
        <w:trPr>
          <w:trHeight w:val="310"/>
        </w:trPr>
        <w:tc>
          <w:tcPr>
            <w:tcW w:w="8319" w:type="dxa"/>
            <w:tcBorders>
              <w:top w:val="nil"/>
              <w:left w:val="nil"/>
              <w:bottom w:val="nil"/>
              <w:right w:val="nil"/>
            </w:tcBorders>
            <w:shd w:val="clear" w:color="auto" w:fill="auto"/>
            <w:noWrap/>
            <w:vAlign w:val="center"/>
            <w:hideMark/>
          </w:tcPr>
          <w:p w14:paraId="244E159E"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16.</w:t>
            </w:r>
            <w:r w:rsidRPr="006B605C">
              <w:rPr>
                <w:rFonts w:eastAsia="Times New Roman" w:cs="Arial"/>
                <w:color w:val="000000"/>
                <w:sz w:val="20"/>
                <w:szCs w:val="20"/>
                <w:lang w:eastAsia="en-GB"/>
              </w:rPr>
              <w:t xml:space="preserve"> DXA facility uses a facility-specific Standard Operating Procedures manual</w:t>
            </w:r>
          </w:p>
        </w:tc>
        <w:tc>
          <w:tcPr>
            <w:tcW w:w="1046" w:type="dxa"/>
            <w:tcBorders>
              <w:top w:val="nil"/>
              <w:left w:val="nil"/>
              <w:bottom w:val="nil"/>
              <w:right w:val="nil"/>
            </w:tcBorders>
            <w:shd w:val="clear" w:color="auto" w:fill="auto"/>
            <w:noWrap/>
            <w:vAlign w:val="center"/>
            <w:hideMark/>
          </w:tcPr>
          <w:p w14:paraId="62A025FD"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12</w:t>
            </w:r>
          </w:p>
        </w:tc>
      </w:tr>
      <w:tr w:rsidR="006B605C" w:rsidRPr="006B605C" w14:paraId="2C8C766E" w14:textId="77777777" w:rsidTr="00F8491A">
        <w:trPr>
          <w:trHeight w:val="310"/>
        </w:trPr>
        <w:tc>
          <w:tcPr>
            <w:tcW w:w="8319" w:type="dxa"/>
            <w:tcBorders>
              <w:top w:val="nil"/>
              <w:left w:val="nil"/>
              <w:bottom w:val="nil"/>
              <w:right w:val="nil"/>
            </w:tcBorders>
            <w:shd w:val="clear" w:color="auto" w:fill="auto"/>
            <w:noWrap/>
            <w:vAlign w:val="center"/>
            <w:hideMark/>
          </w:tcPr>
          <w:p w14:paraId="4D8BC50C"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17. </w:t>
            </w:r>
            <w:r w:rsidRPr="006B605C">
              <w:rPr>
                <w:rFonts w:eastAsia="Times New Roman" w:cs="Arial"/>
                <w:color w:val="000000"/>
                <w:sz w:val="20"/>
                <w:szCs w:val="20"/>
                <w:lang w:eastAsia="en-GB"/>
              </w:rPr>
              <w:t>Frequency DXA facility assesses machine calibration with a phantom</w:t>
            </w:r>
          </w:p>
        </w:tc>
        <w:tc>
          <w:tcPr>
            <w:tcW w:w="1046" w:type="dxa"/>
            <w:tcBorders>
              <w:top w:val="nil"/>
              <w:left w:val="nil"/>
              <w:bottom w:val="nil"/>
              <w:right w:val="nil"/>
            </w:tcBorders>
            <w:shd w:val="clear" w:color="auto" w:fill="auto"/>
            <w:noWrap/>
            <w:vAlign w:val="center"/>
            <w:hideMark/>
          </w:tcPr>
          <w:p w14:paraId="061346B6"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752809B7" w14:textId="77777777" w:rsidTr="00F8491A">
        <w:trPr>
          <w:trHeight w:val="310"/>
        </w:trPr>
        <w:tc>
          <w:tcPr>
            <w:tcW w:w="8319" w:type="dxa"/>
            <w:tcBorders>
              <w:top w:val="nil"/>
              <w:left w:val="nil"/>
              <w:bottom w:val="nil"/>
              <w:right w:val="nil"/>
            </w:tcBorders>
            <w:shd w:val="clear" w:color="auto" w:fill="auto"/>
            <w:noWrap/>
            <w:vAlign w:val="center"/>
            <w:hideMark/>
          </w:tcPr>
          <w:p w14:paraId="23A82A49"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18. </w:t>
            </w:r>
            <w:r w:rsidRPr="006B605C">
              <w:rPr>
                <w:rFonts w:eastAsia="Times New Roman" w:cs="Arial"/>
                <w:color w:val="000000"/>
                <w:sz w:val="20"/>
                <w:szCs w:val="20"/>
                <w:lang w:eastAsia="en-GB"/>
              </w:rPr>
              <w:t>Frequency phantom values are plotted and reviewed for shifts and drift</w:t>
            </w:r>
          </w:p>
        </w:tc>
        <w:tc>
          <w:tcPr>
            <w:tcW w:w="1046" w:type="dxa"/>
            <w:tcBorders>
              <w:top w:val="nil"/>
              <w:left w:val="nil"/>
              <w:bottom w:val="nil"/>
              <w:right w:val="nil"/>
            </w:tcBorders>
            <w:shd w:val="clear" w:color="auto" w:fill="auto"/>
            <w:noWrap/>
            <w:vAlign w:val="center"/>
            <w:hideMark/>
          </w:tcPr>
          <w:p w14:paraId="056B0193"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13</w:t>
            </w:r>
          </w:p>
        </w:tc>
      </w:tr>
      <w:tr w:rsidR="006B605C" w:rsidRPr="006B605C" w14:paraId="3DBC248B" w14:textId="77777777" w:rsidTr="00F8491A">
        <w:trPr>
          <w:trHeight w:val="310"/>
        </w:trPr>
        <w:tc>
          <w:tcPr>
            <w:tcW w:w="8319" w:type="dxa"/>
            <w:tcBorders>
              <w:top w:val="nil"/>
              <w:left w:val="nil"/>
              <w:bottom w:val="nil"/>
              <w:right w:val="nil"/>
            </w:tcBorders>
            <w:shd w:val="clear" w:color="auto" w:fill="auto"/>
            <w:noWrap/>
            <w:vAlign w:val="center"/>
            <w:hideMark/>
          </w:tcPr>
          <w:p w14:paraId="1C099CDB"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19.</w:t>
            </w:r>
            <w:r w:rsidRPr="006B605C">
              <w:rPr>
                <w:rFonts w:eastAsia="Times New Roman" w:cs="Arial"/>
                <w:color w:val="000000"/>
                <w:sz w:val="20"/>
                <w:szCs w:val="20"/>
                <w:lang w:eastAsia="en-GB"/>
              </w:rPr>
              <w:t xml:space="preserve"> Numerical quality assurance rules for acceptable DXA machine performance</w:t>
            </w:r>
          </w:p>
        </w:tc>
        <w:tc>
          <w:tcPr>
            <w:tcW w:w="1046" w:type="dxa"/>
            <w:tcBorders>
              <w:top w:val="nil"/>
              <w:left w:val="nil"/>
              <w:bottom w:val="nil"/>
              <w:right w:val="nil"/>
            </w:tcBorders>
            <w:shd w:val="clear" w:color="auto" w:fill="auto"/>
            <w:noWrap/>
            <w:vAlign w:val="center"/>
            <w:hideMark/>
          </w:tcPr>
          <w:p w14:paraId="37D33C46"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16</w:t>
            </w:r>
          </w:p>
        </w:tc>
      </w:tr>
      <w:tr w:rsidR="006B605C" w:rsidRPr="006B605C" w14:paraId="0C58278C" w14:textId="77777777" w:rsidTr="00F8491A">
        <w:trPr>
          <w:trHeight w:val="310"/>
        </w:trPr>
        <w:tc>
          <w:tcPr>
            <w:tcW w:w="8319" w:type="dxa"/>
            <w:tcBorders>
              <w:top w:val="nil"/>
              <w:left w:val="nil"/>
              <w:bottom w:val="nil"/>
              <w:right w:val="nil"/>
            </w:tcBorders>
            <w:shd w:val="clear" w:color="auto" w:fill="auto"/>
            <w:noWrap/>
            <w:vAlign w:val="center"/>
            <w:hideMark/>
          </w:tcPr>
          <w:p w14:paraId="75D2BD89"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20.</w:t>
            </w:r>
            <w:r w:rsidRPr="006B605C">
              <w:rPr>
                <w:rFonts w:eastAsia="Times New Roman" w:cs="Arial"/>
                <w:color w:val="000000"/>
                <w:sz w:val="20"/>
                <w:szCs w:val="20"/>
                <w:lang w:eastAsia="en-GB"/>
              </w:rPr>
              <w:t xml:space="preserve"> Manufacturer’s specific operations manual immediately available in the DXA suite</w:t>
            </w:r>
          </w:p>
        </w:tc>
        <w:tc>
          <w:tcPr>
            <w:tcW w:w="1046" w:type="dxa"/>
            <w:tcBorders>
              <w:top w:val="nil"/>
              <w:left w:val="nil"/>
              <w:bottom w:val="nil"/>
              <w:right w:val="nil"/>
            </w:tcBorders>
            <w:shd w:val="clear" w:color="auto" w:fill="auto"/>
            <w:noWrap/>
            <w:vAlign w:val="center"/>
            <w:hideMark/>
          </w:tcPr>
          <w:p w14:paraId="30BE3731"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11ACED05" w14:textId="77777777" w:rsidTr="00F8491A">
        <w:trPr>
          <w:trHeight w:val="310"/>
        </w:trPr>
        <w:tc>
          <w:tcPr>
            <w:tcW w:w="8319" w:type="dxa"/>
            <w:tcBorders>
              <w:top w:val="nil"/>
              <w:left w:val="nil"/>
              <w:bottom w:val="nil"/>
              <w:right w:val="nil"/>
            </w:tcBorders>
            <w:shd w:val="clear" w:color="auto" w:fill="auto"/>
            <w:noWrap/>
            <w:vAlign w:val="center"/>
            <w:hideMark/>
          </w:tcPr>
          <w:p w14:paraId="2CF1EA0C"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21.</w:t>
            </w:r>
            <w:r w:rsidRPr="006B605C">
              <w:rPr>
                <w:rFonts w:eastAsia="Times New Roman" w:cs="Arial"/>
                <w:color w:val="000000"/>
                <w:sz w:val="20"/>
                <w:szCs w:val="20"/>
                <w:lang w:eastAsia="en-GB"/>
              </w:rPr>
              <w:t xml:space="preserve"> Frequency DXA facility uses a standardised questionnaire for clinical patient info</w:t>
            </w:r>
          </w:p>
        </w:tc>
        <w:tc>
          <w:tcPr>
            <w:tcW w:w="1046" w:type="dxa"/>
            <w:tcBorders>
              <w:top w:val="nil"/>
              <w:left w:val="nil"/>
              <w:bottom w:val="nil"/>
              <w:right w:val="nil"/>
            </w:tcBorders>
            <w:shd w:val="clear" w:color="auto" w:fill="auto"/>
            <w:noWrap/>
            <w:vAlign w:val="center"/>
            <w:hideMark/>
          </w:tcPr>
          <w:p w14:paraId="57AC8D13"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346599C2" w14:textId="77777777" w:rsidTr="00F8491A">
        <w:trPr>
          <w:trHeight w:val="310"/>
        </w:trPr>
        <w:tc>
          <w:tcPr>
            <w:tcW w:w="8319" w:type="dxa"/>
            <w:tcBorders>
              <w:top w:val="nil"/>
              <w:left w:val="nil"/>
              <w:bottom w:val="nil"/>
              <w:right w:val="nil"/>
            </w:tcBorders>
            <w:shd w:val="clear" w:color="auto" w:fill="auto"/>
            <w:noWrap/>
            <w:vAlign w:val="center"/>
            <w:hideMark/>
          </w:tcPr>
          <w:p w14:paraId="320D877F"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22.</w:t>
            </w:r>
            <w:r w:rsidRPr="006B605C">
              <w:rPr>
                <w:rFonts w:eastAsia="Times New Roman" w:cs="Arial"/>
                <w:color w:val="000000"/>
                <w:sz w:val="20"/>
                <w:szCs w:val="20"/>
                <w:lang w:eastAsia="en-GB"/>
              </w:rPr>
              <w:t xml:space="preserve"> Part of questionnaire: indications for DXA scan</w:t>
            </w:r>
          </w:p>
        </w:tc>
        <w:tc>
          <w:tcPr>
            <w:tcW w:w="1046" w:type="dxa"/>
            <w:tcBorders>
              <w:top w:val="nil"/>
              <w:left w:val="nil"/>
              <w:bottom w:val="nil"/>
              <w:right w:val="nil"/>
            </w:tcBorders>
            <w:shd w:val="clear" w:color="auto" w:fill="auto"/>
            <w:noWrap/>
            <w:vAlign w:val="center"/>
            <w:hideMark/>
          </w:tcPr>
          <w:p w14:paraId="4C13F332"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32</w:t>
            </w:r>
          </w:p>
        </w:tc>
      </w:tr>
      <w:tr w:rsidR="006B605C" w:rsidRPr="006B605C" w14:paraId="7357306C" w14:textId="77777777" w:rsidTr="00F8491A">
        <w:trPr>
          <w:trHeight w:val="310"/>
        </w:trPr>
        <w:tc>
          <w:tcPr>
            <w:tcW w:w="8319" w:type="dxa"/>
            <w:tcBorders>
              <w:top w:val="nil"/>
              <w:left w:val="nil"/>
              <w:bottom w:val="nil"/>
              <w:right w:val="nil"/>
            </w:tcBorders>
            <w:shd w:val="clear" w:color="auto" w:fill="auto"/>
            <w:noWrap/>
            <w:vAlign w:val="center"/>
            <w:hideMark/>
          </w:tcPr>
          <w:p w14:paraId="38C88417"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23. </w:t>
            </w:r>
            <w:r w:rsidRPr="006B605C">
              <w:rPr>
                <w:rFonts w:eastAsia="Times New Roman" w:cs="Arial"/>
                <w:color w:val="000000"/>
                <w:sz w:val="20"/>
                <w:szCs w:val="20"/>
                <w:lang w:eastAsia="en-GB"/>
              </w:rPr>
              <w:t>Part of questionnaire: clinical risk factors for fracture risk calculation</w:t>
            </w:r>
          </w:p>
        </w:tc>
        <w:tc>
          <w:tcPr>
            <w:tcW w:w="1046" w:type="dxa"/>
            <w:tcBorders>
              <w:top w:val="nil"/>
              <w:left w:val="nil"/>
              <w:bottom w:val="nil"/>
              <w:right w:val="nil"/>
            </w:tcBorders>
            <w:shd w:val="clear" w:color="auto" w:fill="auto"/>
            <w:noWrap/>
            <w:vAlign w:val="center"/>
            <w:hideMark/>
          </w:tcPr>
          <w:p w14:paraId="7F802D4F"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32</w:t>
            </w:r>
          </w:p>
        </w:tc>
      </w:tr>
      <w:tr w:rsidR="006B605C" w:rsidRPr="006B605C" w14:paraId="77588841" w14:textId="77777777" w:rsidTr="00F8491A">
        <w:trPr>
          <w:trHeight w:val="310"/>
        </w:trPr>
        <w:tc>
          <w:tcPr>
            <w:tcW w:w="8319" w:type="dxa"/>
            <w:tcBorders>
              <w:top w:val="nil"/>
              <w:left w:val="nil"/>
              <w:bottom w:val="nil"/>
              <w:right w:val="nil"/>
            </w:tcBorders>
            <w:shd w:val="clear" w:color="auto" w:fill="auto"/>
            <w:noWrap/>
            <w:vAlign w:val="center"/>
            <w:hideMark/>
          </w:tcPr>
          <w:p w14:paraId="72E9A1D5"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24. </w:t>
            </w:r>
            <w:r w:rsidRPr="006B605C">
              <w:rPr>
                <w:rFonts w:eastAsia="Times New Roman" w:cs="Arial"/>
                <w:color w:val="000000"/>
                <w:sz w:val="20"/>
                <w:szCs w:val="20"/>
                <w:lang w:eastAsia="en-GB"/>
              </w:rPr>
              <w:t>Part of questionnaire: current/previous use of bone-detrimental medications</w:t>
            </w:r>
          </w:p>
        </w:tc>
        <w:tc>
          <w:tcPr>
            <w:tcW w:w="1046" w:type="dxa"/>
            <w:tcBorders>
              <w:top w:val="nil"/>
              <w:left w:val="nil"/>
              <w:bottom w:val="nil"/>
              <w:right w:val="nil"/>
            </w:tcBorders>
            <w:shd w:val="clear" w:color="auto" w:fill="auto"/>
            <w:noWrap/>
            <w:vAlign w:val="center"/>
            <w:hideMark/>
          </w:tcPr>
          <w:p w14:paraId="07F2594D"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32</w:t>
            </w:r>
          </w:p>
        </w:tc>
      </w:tr>
      <w:tr w:rsidR="006B605C" w:rsidRPr="006B605C" w14:paraId="35961403" w14:textId="77777777" w:rsidTr="00F8491A">
        <w:trPr>
          <w:trHeight w:val="310"/>
        </w:trPr>
        <w:tc>
          <w:tcPr>
            <w:tcW w:w="8319" w:type="dxa"/>
            <w:tcBorders>
              <w:top w:val="nil"/>
              <w:left w:val="nil"/>
              <w:bottom w:val="nil"/>
              <w:right w:val="nil"/>
            </w:tcBorders>
            <w:shd w:val="clear" w:color="auto" w:fill="auto"/>
            <w:noWrap/>
            <w:vAlign w:val="center"/>
            <w:hideMark/>
          </w:tcPr>
          <w:p w14:paraId="1A70290A"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25. </w:t>
            </w:r>
            <w:r w:rsidRPr="006B605C">
              <w:rPr>
                <w:rFonts w:eastAsia="Times New Roman" w:cs="Arial"/>
                <w:color w:val="000000"/>
                <w:sz w:val="20"/>
                <w:szCs w:val="20"/>
                <w:lang w:eastAsia="en-GB"/>
              </w:rPr>
              <w:t>Part of questionnaire: fracture history</w:t>
            </w:r>
          </w:p>
        </w:tc>
        <w:tc>
          <w:tcPr>
            <w:tcW w:w="1046" w:type="dxa"/>
            <w:tcBorders>
              <w:top w:val="nil"/>
              <w:left w:val="nil"/>
              <w:bottom w:val="nil"/>
              <w:right w:val="nil"/>
            </w:tcBorders>
            <w:shd w:val="clear" w:color="auto" w:fill="auto"/>
            <w:noWrap/>
            <w:vAlign w:val="center"/>
            <w:hideMark/>
          </w:tcPr>
          <w:p w14:paraId="5BE32F2F"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32</w:t>
            </w:r>
          </w:p>
        </w:tc>
      </w:tr>
      <w:tr w:rsidR="006B605C" w:rsidRPr="006B605C" w14:paraId="2E715F36" w14:textId="77777777" w:rsidTr="00F8491A">
        <w:trPr>
          <w:trHeight w:val="310"/>
        </w:trPr>
        <w:tc>
          <w:tcPr>
            <w:tcW w:w="8319" w:type="dxa"/>
            <w:tcBorders>
              <w:top w:val="nil"/>
              <w:left w:val="nil"/>
              <w:bottom w:val="nil"/>
              <w:right w:val="nil"/>
            </w:tcBorders>
            <w:shd w:val="clear" w:color="auto" w:fill="auto"/>
            <w:noWrap/>
            <w:vAlign w:val="center"/>
            <w:hideMark/>
          </w:tcPr>
          <w:p w14:paraId="598A8D2E"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26.</w:t>
            </w:r>
            <w:r w:rsidRPr="006B605C">
              <w:rPr>
                <w:rFonts w:eastAsia="Times New Roman" w:cs="Arial"/>
                <w:color w:val="000000"/>
                <w:sz w:val="20"/>
                <w:szCs w:val="20"/>
                <w:lang w:eastAsia="en-GB"/>
              </w:rPr>
              <w:t xml:space="preserve"> Part of questionnaire: treatment with osteoporosis medications</w:t>
            </w:r>
          </w:p>
        </w:tc>
        <w:tc>
          <w:tcPr>
            <w:tcW w:w="1046" w:type="dxa"/>
            <w:tcBorders>
              <w:top w:val="nil"/>
              <w:left w:val="nil"/>
              <w:bottom w:val="nil"/>
              <w:right w:val="nil"/>
            </w:tcBorders>
            <w:shd w:val="clear" w:color="auto" w:fill="auto"/>
            <w:noWrap/>
            <w:vAlign w:val="center"/>
            <w:hideMark/>
          </w:tcPr>
          <w:p w14:paraId="3357129A"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32</w:t>
            </w:r>
          </w:p>
        </w:tc>
      </w:tr>
      <w:tr w:rsidR="006B605C" w:rsidRPr="006B605C" w14:paraId="50DDD805" w14:textId="77777777" w:rsidTr="00F8491A">
        <w:trPr>
          <w:trHeight w:val="310"/>
        </w:trPr>
        <w:tc>
          <w:tcPr>
            <w:tcW w:w="8319" w:type="dxa"/>
            <w:tcBorders>
              <w:top w:val="nil"/>
              <w:left w:val="nil"/>
              <w:bottom w:val="nil"/>
              <w:right w:val="nil"/>
            </w:tcBorders>
            <w:shd w:val="clear" w:color="auto" w:fill="auto"/>
            <w:noWrap/>
            <w:vAlign w:val="center"/>
            <w:hideMark/>
          </w:tcPr>
          <w:p w14:paraId="4E5E561C" w14:textId="77777777" w:rsidR="006B605C" w:rsidRPr="006B605C" w:rsidRDefault="006B605C" w:rsidP="006B605C">
            <w:pPr>
              <w:widowControl w:val="0"/>
              <w:spacing w:after="0" w:line="240" w:lineRule="auto"/>
              <w:jc w:val="both"/>
              <w:rPr>
                <w:rFonts w:cs="Arial"/>
                <w:sz w:val="20"/>
                <w:szCs w:val="20"/>
                <w:lang w:val="fr-FR"/>
              </w:rPr>
            </w:pPr>
            <w:r w:rsidRPr="006B605C">
              <w:rPr>
                <w:rFonts w:cs="Arial"/>
                <w:sz w:val="20"/>
                <w:szCs w:val="20"/>
                <w:lang w:val="fr-FR"/>
              </w:rPr>
              <w:t>27.</w:t>
            </w:r>
            <w:r w:rsidRPr="006B605C">
              <w:rPr>
                <w:rFonts w:eastAsia="Times New Roman" w:cs="Arial"/>
                <w:color w:val="000000"/>
                <w:sz w:val="20"/>
                <w:szCs w:val="20"/>
                <w:lang w:val="fr-FR" w:eastAsia="en-GB"/>
              </w:rPr>
              <w:t xml:space="preserve"> Part of </w:t>
            </w:r>
            <w:proofErr w:type="gramStart"/>
            <w:r w:rsidRPr="006B605C">
              <w:rPr>
                <w:rFonts w:eastAsia="Times New Roman" w:cs="Arial"/>
                <w:color w:val="000000"/>
                <w:sz w:val="20"/>
                <w:szCs w:val="20"/>
                <w:lang w:val="fr-FR" w:eastAsia="en-GB"/>
              </w:rPr>
              <w:t>questionnaire:</w:t>
            </w:r>
            <w:proofErr w:type="gramEnd"/>
            <w:r w:rsidRPr="006B605C">
              <w:rPr>
                <w:rFonts w:eastAsia="Times New Roman" w:cs="Arial"/>
                <w:color w:val="000000"/>
                <w:sz w:val="20"/>
                <w:szCs w:val="20"/>
                <w:lang w:val="fr-FR" w:eastAsia="en-GB"/>
              </w:rPr>
              <w:t xml:space="preserve"> questionnaire </w:t>
            </w:r>
            <w:proofErr w:type="spellStart"/>
            <w:r w:rsidRPr="006B605C">
              <w:rPr>
                <w:rFonts w:eastAsia="Times New Roman" w:cs="Arial"/>
                <w:color w:val="000000"/>
                <w:sz w:val="20"/>
                <w:szCs w:val="20"/>
                <w:lang w:val="fr-FR" w:eastAsia="en-GB"/>
              </w:rPr>
              <w:t>present</w:t>
            </w:r>
            <w:proofErr w:type="spellEnd"/>
          </w:p>
        </w:tc>
        <w:tc>
          <w:tcPr>
            <w:tcW w:w="1046" w:type="dxa"/>
            <w:tcBorders>
              <w:top w:val="nil"/>
              <w:left w:val="nil"/>
              <w:bottom w:val="nil"/>
              <w:right w:val="nil"/>
            </w:tcBorders>
            <w:shd w:val="clear" w:color="auto" w:fill="auto"/>
            <w:noWrap/>
            <w:vAlign w:val="center"/>
            <w:hideMark/>
          </w:tcPr>
          <w:p w14:paraId="141A528E"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13</w:t>
            </w:r>
          </w:p>
        </w:tc>
      </w:tr>
      <w:tr w:rsidR="006B605C" w:rsidRPr="006B605C" w14:paraId="1B11D837" w14:textId="77777777" w:rsidTr="00F8491A">
        <w:trPr>
          <w:trHeight w:val="310"/>
        </w:trPr>
        <w:tc>
          <w:tcPr>
            <w:tcW w:w="8319" w:type="dxa"/>
            <w:tcBorders>
              <w:top w:val="nil"/>
              <w:left w:val="nil"/>
              <w:bottom w:val="nil"/>
              <w:right w:val="nil"/>
            </w:tcBorders>
            <w:shd w:val="clear" w:color="auto" w:fill="auto"/>
            <w:noWrap/>
            <w:vAlign w:val="center"/>
            <w:hideMark/>
          </w:tcPr>
          <w:p w14:paraId="69B507C3"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28.</w:t>
            </w:r>
            <w:r w:rsidRPr="006B605C">
              <w:rPr>
                <w:rFonts w:eastAsia="Times New Roman" w:cs="Arial"/>
                <w:color w:val="000000"/>
                <w:sz w:val="20"/>
                <w:szCs w:val="20"/>
                <w:lang w:eastAsia="en-GB"/>
              </w:rPr>
              <w:t xml:space="preserve"> Primary source for collecting DXA questionnaire responses</w:t>
            </w:r>
          </w:p>
        </w:tc>
        <w:tc>
          <w:tcPr>
            <w:tcW w:w="1046" w:type="dxa"/>
            <w:tcBorders>
              <w:top w:val="nil"/>
              <w:left w:val="nil"/>
              <w:bottom w:val="nil"/>
              <w:right w:val="nil"/>
            </w:tcBorders>
            <w:shd w:val="clear" w:color="auto" w:fill="auto"/>
            <w:noWrap/>
            <w:vAlign w:val="center"/>
            <w:hideMark/>
          </w:tcPr>
          <w:p w14:paraId="60F7BCC6"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17</w:t>
            </w:r>
          </w:p>
        </w:tc>
      </w:tr>
      <w:tr w:rsidR="006B605C" w:rsidRPr="006B605C" w14:paraId="066A2DE4" w14:textId="77777777" w:rsidTr="00F8491A">
        <w:trPr>
          <w:trHeight w:val="310"/>
        </w:trPr>
        <w:tc>
          <w:tcPr>
            <w:tcW w:w="8319" w:type="dxa"/>
            <w:tcBorders>
              <w:top w:val="nil"/>
              <w:left w:val="nil"/>
              <w:bottom w:val="nil"/>
              <w:right w:val="nil"/>
            </w:tcBorders>
            <w:shd w:val="clear" w:color="auto" w:fill="auto"/>
            <w:noWrap/>
            <w:vAlign w:val="center"/>
            <w:hideMark/>
          </w:tcPr>
          <w:p w14:paraId="16A0791E"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29. </w:t>
            </w:r>
            <w:r w:rsidRPr="006B605C">
              <w:rPr>
                <w:rFonts w:eastAsia="Times New Roman" w:cs="Arial"/>
                <w:color w:val="000000"/>
                <w:sz w:val="20"/>
                <w:szCs w:val="20"/>
                <w:lang w:eastAsia="en-GB"/>
              </w:rPr>
              <w:t>How DXA facility assesses significant BMD change over time</w:t>
            </w:r>
          </w:p>
        </w:tc>
        <w:tc>
          <w:tcPr>
            <w:tcW w:w="1046" w:type="dxa"/>
            <w:tcBorders>
              <w:top w:val="nil"/>
              <w:left w:val="nil"/>
              <w:bottom w:val="nil"/>
              <w:right w:val="nil"/>
            </w:tcBorders>
            <w:shd w:val="clear" w:color="auto" w:fill="auto"/>
            <w:noWrap/>
            <w:vAlign w:val="center"/>
            <w:hideMark/>
          </w:tcPr>
          <w:p w14:paraId="25534426"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13</w:t>
            </w:r>
          </w:p>
        </w:tc>
      </w:tr>
      <w:tr w:rsidR="006B605C" w:rsidRPr="006B605C" w14:paraId="1B5221C5" w14:textId="77777777" w:rsidTr="00F8491A">
        <w:trPr>
          <w:trHeight w:val="310"/>
        </w:trPr>
        <w:tc>
          <w:tcPr>
            <w:tcW w:w="8319" w:type="dxa"/>
            <w:tcBorders>
              <w:top w:val="nil"/>
              <w:left w:val="nil"/>
              <w:bottom w:val="nil"/>
              <w:right w:val="nil"/>
            </w:tcBorders>
            <w:shd w:val="clear" w:color="auto" w:fill="auto"/>
            <w:noWrap/>
            <w:vAlign w:val="center"/>
            <w:hideMark/>
          </w:tcPr>
          <w:p w14:paraId="326F2D44"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30. </w:t>
            </w:r>
            <w:r w:rsidRPr="006B605C">
              <w:rPr>
                <w:rFonts w:eastAsia="Times New Roman" w:cs="Arial"/>
                <w:color w:val="000000"/>
                <w:sz w:val="20"/>
                <w:szCs w:val="20"/>
                <w:lang w:eastAsia="en-GB"/>
              </w:rPr>
              <w:t>How facility reports 95% LSC for the L1-L4 lumbar spine</w:t>
            </w:r>
          </w:p>
        </w:tc>
        <w:tc>
          <w:tcPr>
            <w:tcW w:w="1046" w:type="dxa"/>
            <w:tcBorders>
              <w:top w:val="nil"/>
              <w:left w:val="nil"/>
              <w:bottom w:val="nil"/>
              <w:right w:val="nil"/>
            </w:tcBorders>
            <w:shd w:val="clear" w:color="auto" w:fill="auto"/>
            <w:noWrap/>
            <w:vAlign w:val="center"/>
            <w:hideMark/>
          </w:tcPr>
          <w:p w14:paraId="6E284E56"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28B2D4A5" w14:textId="77777777" w:rsidTr="00F8491A">
        <w:trPr>
          <w:trHeight w:val="310"/>
        </w:trPr>
        <w:tc>
          <w:tcPr>
            <w:tcW w:w="8319" w:type="dxa"/>
            <w:tcBorders>
              <w:top w:val="nil"/>
              <w:left w:val="nil"/>
              <w:bottom w:val="nil"/>
              <w:right w:val="nil"/>
            </w:tcBorders>
            <w:shd w:val="clear" w:color="auto" w:fill="auto"/>
            <w:noWrap/>
            <w:vAlign w:val="center"/>
            <w:hideMark/>
          </w:tcPr>
          <w:p w14:paraId="38E64507"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31.</w:t>
            </w:r>
            <w:r w:rsidRPr="006B605C">
              <w:rPr>
                <w:rFonts w:eastAsia="Times New Roman" w:cs="Arial"/>
                <w:color w:val="000000"/>
                <w:sz w:val="20"/>
                <w:szCs w:val="20"/>
                <w:lang w:eastAsia="en-GB"/>
              </w:rPr>
              <w:t xml:space="preserve"> How facility reports 95% LSC for the total proximal femur</w:t>
            </w:r>
          </w:p>
        </w:tc>
        <w:tc>
          <w:tcPr>
            <w:tcW w:w="1046" w:type="dxa"/>
            <w:tcBorders>
              <w:top w:val="nil"/>
              <w:left w:val="nil"/>
              <w:bottom w:val="nil"/>
              <w:right w:val="nil"/>
            </w:tcBorders>
            <w:shd w:val="clear" w:color="auto" w:fill="auto"/>
            <w:noWrap/>
            <w:vAlign w:val="center"/>
            <w:hideMark/>
          </w:tcPr>
          <w:p w14:paraId="74F2FBCD"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1ED0C05F" w14:textId="77777777" w:rsidTr="00F8491A">
        <w:trPr>
          <w:trHeight w:val="310"/>
        </w:trPr>
        <w:tc>
          <w:tcPr>
            <w:tcW w:w="8319" w:type="dxa"/>
            <w:tcBorders>
              <w:top w:val="nil"/>
              <w:left w:val="nil"/>
              <w:bottom w:val="nil"/>
              <w:right w:val="nil"/>
            </w:tcBorders>
            <w:shd w:val="clear" w:color="auto" w:fill="auto"/>
            <w:noWrap/>
            <w:vAlign w:val="center"/>
            <w:hideMark/>
          </w:tcPr>
          <w:p w14:paraId="6F948A71"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32. </w:t>
            </w:r>
            <w:r w:rsidRPr="006B605C">
              <w:rPr>
                <w:rFonts w:eastAsia="Times New Roman" w:cs="Arial"/>
                <w:color w:val="000000"/>
                <w:sz w:val="20"/>
                <w:szCs w:val="20"/>
                <w:lang w:eastAsia="en-GB"/>
              </w:rPr>
              <w:t>Facility reports one diagnostic category per patient or one per measurement site</w:t>
            </w:r>
          </w:p>
        </w:tc>
        <w:tc>
          <w:tcPr>
            <w:tcW w:w="1046" w:type="dxa"/>
            <w:tcBorders>
              <w:top w:val="nil"/>
              <w:left w:val="nil"/>
              <w:bottom w:val="nil"/>
              <w:right w:val="nil"/>
            </w:tcBorders>
            <w:shd w:val="clear" w:color="auto" w:fill="auto"/>
            <w:noWrap/>
            <w:vAlign w:val="center"/>
            <w:hideMark/>
          </w:tcPr>
          <w:p w14:paraId="308FFC59"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6438D3D0" w14:textId="77777777" w:rsidTr="00F8491A">
        <w:trPr>
          <w:trHeight w:val="310"/>
        </w:trPr>
        <w:tc>
          <w:tcPr>
            <w:tcW w:w="8319" w:type="dxa"/>
            <w:tcBorders>
              <w:top w:val="nil"/>
              <w:left w:val="nil"/>
              <w:bottom w:val="nil"/>
              <w:right w:val="nil"/>
            </w:tcBorders>
            <w:shd w:val="clear" w:color="auto" w:fill="auto"/>
            <w:noWrap/>
            <w:vAlign w:val="center"/>
            <w:hideMark/>
          </w:tcPr>
          <w:p w14:paraId="4970AE6A"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33. Validated </w:t>
            </w:r>
            <w:r w:rsidRPr="006B605C">
              <w:rPr>
                <w:rFonts w:eastAsia="Times New Roman" w:cs="Arial"/>
                <w:color w:val="000000"/>
                <w:sz w:val="20"/>
                <w:szCs w:val="20"/>
                <w:lang w:eastAsia="en-GB"/>
              </w:rPr>
              <w:t>quantitative fracture risk instruments facility uses to report DXA</w:t>
            </w:r>
          </w:p>
        </w:tc>
        <w:tc>
          <w:tcPr>
            <w:tcW w:w="1046" w:type="dxa"/>
            <w:tcBorders>
              <w:top w:val="nil"/>
              <w:left w:val="nil"/>
              <w:bottom w:val="nil"/>
              <w:right w:val="nil"/>
            </w:tcBorders>
            <w:shd w:val="clear" w:color="auto" w:fill="auto"/>
            <w:noWrap/>
            <w:vAlign w:val="center"/>
            <w:hideMark/>
          </w:tcPr>
          <w:p w14:paraId="02DFF14D"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09F1A991" w14:textId="77777777" w:rsidTr="00F8491A">
        <w:trPr>
          <w:trHeight w:val="310"/>
        </w:trPr>
        <w:tc>
          <w:tcPr>
            <w:tcW w:w="8319" w:type="dxa"/>
            <w:tcBorders>
              <w:top w:val="nil"/>
              <w:left w:val="nil"/>
              <w:bottom w:val="nil"/>
              <w:right w:val="nil"/>
            </w:tcBorders>
            <w:shd w:val="clear" w:color="auto" w:fill="auto"/>
            <w:noWrap/>
            <w:vAlign w:val="center"/>
            <w:hideMark/>
          </w:tcPr>
          <w:p w14:paraId="7322BF48"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34. </w:t>
            </w:r>
            <w:r w:rsidRPr="006B605C">
              <w:rPr>
                <w:rFonts w:eastAsia="Times New Roman" w:cs="Arial"/>
                <w:color w:val="000000"/>
                <w:sz w:val="20"/>
                <w:szCs w:val="20"/>
                <w:lang w:eastAsia="en-GB"/>
              </w:rPr>
              <w:t>Frequency facility reports quantitative fracture risk</w:t>
            </w:r>
          </w:p>
        </w:tc>
        <w:tc>
          <w:tcPr>
            <w:tcW w:w="1046" w:type="dxa"/>
            <w:tcBorders>
              <w:top w:val="nil"/>
              <w:left w:val="nil"/>
              <w:bottom w:val="nil"/>
              <w:right w:val="nil"/>
            </w:tcBorders>
            <w:shd w:val="clear" w:color="auto" w:fill="auto"/>
            <w:noWrap/>
            <w:vAlign w:val="center"/>
            <w:hideMark/>
          </w:tcPr>
          <w:p w14:paraId="17113381"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7AEBA744" w14:textId="77777777" w:rsidTr="00F8491A">
        <w:trPr>
          <w:trHeight w:val="310"/>
        </w:trPr>
        <w:tc>
          <w:tcPr>
            <w:tcW w:w="8319" w:type="dxa"/>
            <w:tcBorders>
              <w:top w:val="nil"/>
              <w:left w:val="nil"/>
              <w:bottom w:val="nil"/>
              <w:right w:val="nil"/>
            </w:tcBorders>
            <w:shd w:val="clear" w:color="auto" w:fill="auto"/>
            <w:noWrap/>
            <w:vAlign w:val="center"/>
            <w:hideMark/>
          </w:tcPr>
          <w:p w14:paraId="1702E104"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35.</w:t>
            </w:r>
            <w:r w:rsidRPr="006B605C">
              <w:rPr>
                <w:rFonts w:eastAsia="Times New Roman" w:cs="Arial"/>
                <w:color w:val="000000"/>
                <w:sz w:val="20"/>
                <w:szCs w:val="20"/>
                <w:lang w:eastAsia="en-GB"/>
              </w:rPr>
              <w:t xml:space="preserve"> Frequency DXA report identifies site, region and side for each valid BMD reported</w:t>
            </w:r>
          </w:p>
        </w:tc>
        <w:tc>
          <w:tcPr>
            <w:tcW w:w="1046" w:type="dxa"/>
            <w:tcBorders>
              <w:top w:val="nil"/>
              <w:left w:val="nil"/>
              <w:bottom w:val="nil"/>
              <w:right w:val="nil"/>
            </w:tcBorders>
            <w:shd w:val="clear" w:color="auto" w:fill="auto"/>
            <w:noWrap/>
            <w:vAlign w:val="center"/>
            <w:hideMark/>
          </w:tcPr>
          <w:p w14:paraId="647F18EA"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15</w:t>
            </w:r>
          </w:p>
        </w:tc>
      </w:tr>
      <w:tr w:rsidR="006B605C" w:rsidRPr="006B605C" w14:paraId="7B754DAB" w14:textId="77777777" w:rsidTr="00F8491A">
        <w:trPr>
          <w:trHeight w:val="310"/>
        </w:trPr>
        <w:tc>
          <w:tcPr>
            <w:tcW w:w="8319" w:type="dxa"/>
            <w:tcBorders>
              <w:top w:val="nil"/>
              <w:left w:val="nil"/>
              <w:bottom w:val="nil"/>
              <w:right w:val="nil"/>
            </w:tcBorders>
            <w:shd w:val="clear" w:color="auto" w:fill="auto"/>
            <w:noWrap/>
            <w:vAlign w:val="center"/>
            <w:hideMark/>
          </w:tcPr>
          <w:p w14:paraId="3D7CC8E0"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36. </w:t>
            </w:r>
            <w:r w:rsidRPr="006B605C">
              <w:rPr>
                <w:rFonts w:eastAsia="Times New Roman" w:cs="Arial"/>
                <w:color w:val="000000"/>
                <w:sz w:val="20"/>
                <w:szCs w:val="20"/>
                <w:lang w:eastAsia="en-GB"/>
              </w:rPr>
              <w:t>DXA report contains information about scanner manufacturer and model</w:t>
            </w:r>
          </w:p>
        </w:tc>
        <w:tc>
          <w:tcPr>
            <w:tcW w:w="1046" w:type="dxa"/>
            <w:tcBorders>
              <w:top w:val="nil"/>
              <w:left w:val="nil"/>
              <w:bottom w:val="nil"/>
              <w:right w:val="nil"/>
            </w:tcBorders>
            <w:shd w:val="clear" w:color="auto" w:fill="auto"/>
            <w:noWrap/>
            <w:vAlign w:val="center"/>
            <w:hideMark/>
          </w:tcPr>
          <w:p w14:paraId="773305E0"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0C4F3FCB" w14:textId="77777777" w:rsidTr="00F8491A">
        <w:trPr>
          <w:trHeight w:val="310"/>
        </w:trPr>
        <w:tc>
          <w:tcPr>
            <w:tcW w:w="8319" w:type="dxa"/>
            <w:tcBorders>
              <w:top w:val="nil"/>
              <w:left w:val="nil"/>
              <w:bottom w:val="nil"/>
              <w:right w:val="nil"/>
            </w:tcBorders>
            <w:shd w:val="clear" w:color="auto" w:fill="auto"/>
            <w:noWrap/>
            <w:vAlign w:val="center"/>
            <w:hideMark/>
          </w:tcPr>
          <w:p w14:paraId="5E319D85"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37. </w:t>
            </w:r>
            <w:r w:rsidRPr="006B605C">
              <w:rPr>
                <w:rFonts w:eastAsia="Times New Roman" w:cs="Arial"/>
                <w:color w:val="000000"/>
                <w:sz w:val="20"/>
                <w:szCs w:val="20"/>
                <w:lang w:eastAsia="en-GB"/>
              </w:rPr>
              <w:t>Frequency DXA report states technical adequacy and limitations of the DXA study</w:t>
            </w:r>
          </w:p>
        </w:tc>
        <w:tc>
          <w:tcPr>
            <w:tcW w:w="1046" w:type="dxa"/>
            <w:tcBorders>
              <w:top w:val="nil"/>
              <w:left w:val="nil"/>
              <w:bottom w:val="nil"/>
              <w:right w:val="nil"/>
            </w:tcBorders>
            <w:shd w:val="clear" w:color="auto" w:fill="auto"/>
            <w:noWrap/>
            <w:vAlign w:val="center"/>
            <w:hideMark/>
          </w:tcPr>
          <w:p w14:paraId="3074CFA8"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244954FA" w14:textId="77777777" w:rsidTr="00F8491A">
        <w:trPr>
          <w:trHeight w:val="310"/>
        </w:trPr>
        <w:tc>
          <w:tcPr>
            <w:tcW w:w="8319" w:type="dxa"/>
            <w:tcBorders>
              <w:top w:val="nil"/>
              <w:left w:val="nil"/>
              <w:right w:val="nil"/>
            </w:tcBorders>
            <w:shd w:val="clear" w:color="auto" w:fill="auto"/>
            <w:noWrap/>
            <w:vAlign w:val="center"/>
            <w:hideMark/>
          </w:tcPr>
          <w:p w14:paraId="574F0777"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38. </w:t>
            </w:r>
            <w:r w:rsidRPr="006B605C">
              <w:rPr>
                <w:rFonts w:eastAsia="Times New Roman" w:cs="Arial"/>
                <w:color w:val="000000"/>
                <w:sz w:val="20"/>
                <w:szCs w:val="20"/>
                <w:lang w:eastAsia="en-GB"/>
              </w:rPr>
              <w:t>Frequency interpreters comment on differences in acquisitioning/analysis parameters</w:t>
            </w:r>
          </w:p>
        </w:tc>
        <w:tc>
          <w:tcPr>
            <w:tcW w:w="1046" w:type="dxa"/>
            <w:tcBorders>
              <w:top w:val="nil"/>
              <w:left w:val="nil"/>
              <w:right w:val="nil"/>
            </w:tcBorders>
            <w:shd w:val="clear" w:color="auto" w:fill="auto"/>
            <w:noWrap/>
            <w:vAlign w:val="center"/>
            <w:hideMark/>
          </w:tcPr>
          <w:p w14:paraId="0DDE4D54"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14</w:t>
            </w:r>
          </w:p>
        </w:tc>
      </w:tr>
      <w:tr w:rsidR="006B605C" w:rsidRPr="006B605C" w14:paraId="7ED72B39" w14:textId="77777777" w:rsidTr="00F8491A">
        <w:trPr>
          <w:trHeight w:val="310"/>
        </w:trPr>
        <w:tc>
          <w:tcPr>
            <w:tcW w:w="8319" w:type="dxa"/>
            <w:tcBorders>
              <w:top w:val="nil"/>
              <w:left w:val="nil"/>
              <w:bottom w:val="single" w:sz="4" w:space="0" w:color="auto"/>
              <w:right w:val="nil"/>
            </w:tcBorders>
            <w:shd w:val="clear" w:color="auto" w:fill="auto"/>
            <w:noWrap/>
            <w:vAlign w:val="center"/>
            <w:hideMark/>
          </w:tcPr>
          <w:p w14:paraId="2C4DBCE9" w14:textId="77777777" w:rsidR="006B605C" w:rsidRPr="006B605C" w:rsidRDefault="006B605C" w:rsidP="006B605C">
            <w:pPr>
              <w:widowControl w:val="0"/>
              <w:spacing w:after="0" w:line="240" w:lineRule="auto"/>
              <w:jc w:val="both"/>
              <w:rPr>
                <w:rFonts w:cs="Arial"/>
                <w:sz w:val="20"/>
                <w:szCs w:val="20"/>
              </w:rPr>
            </w:pPr>
            <w:r w:rsidRPr="006B605C">
              <w:rPr>
                <w:rFonts w:cs="Arial"/>
                <w:sz w:val="20"/>
                <w:szCs w:val="20"/>
              </w:rPr>
              <w:t xml:space="preserve">39. </w:t>
            </w:r>
            <w:r w:rsidRPr="006B605C">
              <w:rPr>
                <w:rFonts w:eastAsia="Times New Roman" w:cs="Arial"/>
                <w:color w:val="000000"/>
                <w:sz w:val="20"/>
                <w:szCs w:val="20"/>
                <w:lang w:eastAsia="en-GB"/>
              </w:rPr>
              <w:t>Frequency DXA facility report recommends repeat scan intervals</w:t>
            </w:r>
          </w:p>
        </w:tc>
        <w:tc>
          <w:tcPr>
            <w:tcW w:w="1046" w:type="dxa"/>
            <w:tcBorders>
              <w:top w:val="nil"/>
              <w:left w:val="nil"/>
              <w:bottom w:val="single" w:sz="4" w:space="0" w:color="auto"/>
              <w:right w:val="nil"/>
            </w:tcBorders>
            <w:shd w:val="clear" w:color="auto" w:fill="auto"/>
            <w:noWrap/>
            <w:vAlign w:val="center"/>
            <w:hideMark/>
          </w:tcPr>
          <w:p w14:paraId="3D54F210"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r w:rsidRPr="006B605C">
              <w:rPr>
                <w:rFonts w:eastAsia="Times New Roman" w:cs="Arial"/>
                <w:color w:val="000000"/>
                <w:sz w:val="20"/>
                <w:szCs w:val="20"/>
                <w:lang w:eastAsia="en-GB"/>
              </w:rPr>
              <w:t>13</w:t>
            </w:r>
          </w:p>
        </w:tc>
      </w:tr>
      <w:tr w:rsidR="006B605C" w:rsidRPr="006B605C" w14:paraId="699795AD" w14:textId="77777777" w:rsidTr="00F8491A">
        <w:trPr>
          <w:trHeight w:val="310"/>
        </w:trPr>
        <w:tc>
          <w:tcPr>
            <w:tcW w:w="8319" w:type="dxa"/>
            <w:tcBorders>
              <w:top w:val="single" w:sz="4" w:space="0" w:color="auto"/>
              <w:left w:val="nil"/>
              <w:right w:val="nil"/>
            </w:tcBorders>
            <w:shd w:val="clear" w:color="auto" w:fill="auto"/>
            <w:noWrap/>
            <w:vAlign w:val="center"/>
          </w:tcPr>
          <w:p w14:paraId="1FA21AA0" w14:textId="77777777" w:rsidR="006B605C" w:rsidRPr="006B605C" w:rsidRDefault="006B605C" w:rsidP="006B605C">
            <w:pPr>
              <w:widowControl w:val="0"/>
              <w:spacing w:after="0" w:line="240" w:lineRule="auto"/>
              <w:jc w:val="both"/>
              <w:rPr>
                <w:rFonts w:cs="Arial"/>
                <w:sz w:val="18"/>
                <w:szCs w:val="18"/>
              </w:rPr>
            </w:pPr>
          </w:p>
          <w:p w14:paraId="28E43BC7" w14:textId="77777777" w:rsidR="006B605C" w:rsidRPr="006B605C" w:rsidRDefault="006B605C" w:rsidP="006B605C">
            <w:pPr>
              <w:widowControl w:val="0"/>
              <w:spacing w:after="0" w:line="240" w:lineRule="auto"/>
              <w:jc w:val="both"/>
              <w:rPr>
                <w:rFonts w:cs="Arial"/>
                <w:sz w:val="18"/>
                <w:szCs w:val="18"/>
              </w:rPr>
            </w:pPr>
            <w:r w:rsidRPr="006B605C">
              <w:rPr>
                <w:rFonts w:cs="Arial"/>
                <w:sz w:val="18"/>
                <w:szCs w:val="18"/>
              </w:rPr>
              <w:t>LSC: Least significant change</w:t>
            </w:r>
          </w:p>
        </w:tc>
        <w:tc>
          <w:tcPr>
            <w:tcW w:w="1046" w:type="dxa"/>
            <w:tcBorders>
              <w:top w:val="single" w:sz="4" w:space="0" w:color="auto"/>
              <w:left w:val="nil"/>
              <w:right w:val="nil"/>
            </w:tcBorders>
            <w:shd w:val="clear" w:color="auto" w:fill="auto"/>
            <w:noWrap/>
            <w:vAlign w:val="center"/>
          </w:tcPr>
          <w:p w14:paraId="56D5F7FD"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p>
        </w:tc>
      </w:tr>
      <w:tr w:rsidR="006B605C" w:rsidRPr="006B605C" w14:paraId="2AA09379" w14:textId="77777777" w:rsidTr="00F8491A">
        <w:trPr>
          <w:trHeight w:val="310"/>
        </w:trPr>
        <w:tc>
          <w:tcPr>
            <w:tcW w:w="8319" w:type="dxa"/>
            <w:tcBorders>
              <w:left w:val="nil"/>
              <w:right w:val="nil"/>
            </w:tcBorders>
            <w:shd w:val="clear" w:color="auto" w:fill="auto"/>
            <w:noWrap/>
            <w:vAlign w:val="center"/>
          </w:tcPr>
          <w:p w14:paraId="7755F5D8" w14:textId="77777777" w:rsidR="006B605C" w:rsidRPr="006B605C" w:rsidRDefault="006B605C" w:rsidP="006B605C">
            <w:pPr>
              <w:widowControl w:val="0"/>
              <w:spacing w:after="0" w:line="240" w:lineRule="auto"/>
              <w:jc w:val="both"/>
              <w:rPr>
                <w:rFonts w:cs="Arial"/>
                <w:sz w:val="18"/>
                <w:szCs w:val="18"/>
              </w:rPr>
            </w:pPr>
            <w:r w:rsidRPr="006B605C">
              <w:rPr>
                <w:rFonts w:cs="Arial"/>
                <w:sz w:val="18"/>
                <w:szCs w:val="18"/>
              </w:rPr>
              <w:t>4 questions were omitted from Appendix 3 as they were open ended</w:t>
            </w:r>
          </w:p>
        </w:tc>
        <w:tc>
          <w:tcPr>
            <w:tcW w:w="1046" w:type="dxa"/>
            <w:tcBorders>
              <w:left w:val="nil"/>
              <w:right w:val="nil"/>
            </w:tcBorders>
            <w:shd w:val="clear" w:color="auto" w:fill="auto"/>
            <w:noWrap/>
            <w:vAlign w:val="center"/>
          </w:tcPr>
          <w:p w14:paraId="37C5642B" w14:textId="77777777" w:rsidR="006B605C" w:rsidRPr="006B605C" w:rsidRDefault="006B605C" w:rsidP="006B605C">
            <w:pPr>
              <w:widowControl w:val="0"/>
              <w:spacing w:after="0" w:line="240" w:lineRule="auto"/>
              <w:jc w:val="both"/>
              <w:rPr>
                <w:rFonts w:eastAsia="Times New Roman" w:cs="Arial"/>
                <w:color w:val="000000"/>
                <w:sz w:val="20"/>
                <w:szCs w:val="20"/>
                <w:lang w:eastAsia="en-GB"/>
              </w:rPr>
            </w:pPr>
          </w:p>
        </w:tc>
      </w:tr>
    </w:tbl>
    <w:p w14:paraId="76D3280F" w14:textId="5DE6978C" w:rsidR="006B605C" w:rsidRDefault="006B605C" w:rsidP="00E90D3D"/>
    <w:sectPr w:rsidR="006B605C" w:rsidSect="006D178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B85D7" w14:textId="77777777" w:rsidR="00FF4270" w:rsidRDefault="00FF4270" w:rsidP="009B498C">
      <w:pPr>
        <w:spacing w:after="0" w:line="240" w:lineRule="auto"/>
      </w:pPr>
      <w:r>
        <w:separator/>
      </w:r>
    </w:p>
  </w:endnote>
  <w:endnote w:type="continuationSeparator" w:id="0">
    <w:p w14:paraId="6DF0E7C1" w14:textId="77777777" w:rsidR="00FF4270" w:rsidRDefault="00FF4270" w:rsidP="009B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660026"/>
      <w:docPartObj>
        <w:docPartGallery w:val="Page Numbers (Bottom of Page)"/>
        <w:docPartUnique/>
      </w:docPartObj>
    </w:sdtPr>
    <w:sdtEndPr>
      <w:rPr>
        <w:noProof/>
      </w:rPr>
    </w:sdtEndPr>
    <w:sdtContent>
      <w:p w14:paraId="3967D745" w14:textId="77777777" w:rsidR="00F8491A" w:rsidRDefault="00F8491A" w:rsidP="009B49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FBA47B5" w14:textId="77777777" w:rsidR="00F8491A" w:rsidRDefault="00F84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1ED86" w14:textId="77777777" w:rsidR="00FF4270" w:rsidRDefault="00FF4270" w:rsidP="009B498C">
      <w:pPr>
        <w:spacing w:after="0" w:line="240" w:lineRule="auto"/>
      </w:pPr>
      <w:r>
        <w:separator/>
      </w:r>
    </w:p>
  </w:footnote>
  <w:footnote w:type="continuationSeparator" w:id="0">
    <w:p w14:paraId="3627558B" w14:textId="77777777" w:rsidR="00FF4270" w:rsidRDefault="00FF4270" w:rsidP="009B4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43B88"/>
    <w:multiLevelType w:val="hybridMultilevel"/>
    <w:tmpl w:val="2506C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7628C4"/>
    <w:multiLevelType w:val="hybridMultilevel"/>
    <w:tmpl w:val="23F85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ernatio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2sx5aahpsveaea2zq5s2xsef9d0fsxsxex&quot;&gt;Endnote library&lt;record-ids&gt;&lt;item&gt;209&lt;/item&gt;&lt;item&gt;226&lt;/item&gt;&lt;item&gt;251&lt;/item&gt;&lt;item&gt;263&lt;/item&gt;&lt;item&gt;264&lt;/item&gt;&lt;item&gt;265&lt;/item&gt;&lt;item&gt;267&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item&gt;286&lt;/item&gt;&lt;/record-ids&gt;&lt;/item&gt;&lt;/Libraries&gt;"/>
  </w:docVars>
  <w:rsids>
    <w:rsidRoot w:val="005D4CC4"/>
    <w:rsid w:val="000024BB"/>
    <w:rsid w:val="00010D1B"/>
    <w:rsid w:val="00011966"/>
    <w:rsid w:val="0001197F"/>
    <w:rsid w:val="00015271"/>
    <w:rsid w:val="00020620"/>
    <w:rsid w:val="00020EA5"/>
    <w:rsid w:val="00021566"/>
    <w:rsid w:val="00026FE2"/>
    <w:rsid w:val="00040919"/>
    <w:rsid w:val="00046279"/>
    <w:rsid w:val="000511AA"/>
    <w:rsid w:val="000540A1"/>
    <w:rsid w:val="000665E6"/>
    <w:rsid w:val="00066E04"/>
    <w:rsid w:val="0007723B"/>
    <w:rsid w:val="0007742C"/>
    <w:rsid w:val="0008565D"/>
    <w:rsid w:val="0009442E"/>
    <w:rsid w:val="000A345B"/>
    <w:rsid w:val="000B6D7F"/>
    <w:rsid w:val="000B7972"/>
    <w:rsid w:val="000C066B"/>
    <w:rsid w:val="000C181E"/>
    <w:rsid w:val="000C56AB"/>
    <w:rsid w:val="000D01EF"/>
    <w:rsid w:val="000D0225"/>
    <w:rsid w:val="000D3232"/>
    <w:rsid w:val="000D3DA3"/>
    <w:rsid w:val="000D6E9D"/>
    <w:rsid w:val="000F2625"/>
    <w:rsid w:val="00102BC1"/>
    <w:rsid w:val="00106B1F"/>
    <w:rsid w:val="0010761B"/>
    <w:rsid w:val="00114237"/>
    <w:rsid w:val="00114F6E"/>
    <w:rsid w:val="0011627F"/>
    <w:rsid w:val="00122196"/>
    <w:rsid w:val="00131917"/>
    <w:rsid w:val="001343C2"/>
    <w:rsid w:val="00136C9D"/>
    <w:rsid w:val="00137E75"/>
    <w:rsid w:val="001405C0"/>
    <w:rsid w:val="00145403"/>
    <w:rsid w:val="001470B9"/>
    <w:rsid w:val="00154070"/>
    <w:rsid w:val="00156603"/>
    <w:rsid w:val="001656A9"/>
    <w:rsid w:val="0017483E"/>
    <w:rsid w:val="00181029"/>
    <w:rsid w:val="00181062"/>
    <w:rsid w:val="00185A34"/>
    <w:rsid w:val="00185B28"/>
    <w:rsid w:val="001931A3"/>
    <w:rsid w:val="00194749"/>
    <w:rsid w:val="001A5B99"/>
    <w:rsid w:val="001B6259"/>
    <w:rsid w:val="001D4053"/>
    <w:rsid w:val="001E070C"/>
    <w:rsid w:val="001E2A30"/>
    <w:rsid w:val="001F7E84"/>
    <w:rsid w:val="002002E3"/>
    <w:rsid w:val="00201BBE"/>
    <w:rsid w:val="00203641"/>
    <w:rsid w:val="00205589"/>
    <w:rsid w:val="002102D1"/>
    <w:rsid w:val="00210C6E"/>
    <w:rsid w:val="00214F99"/>
    <w:rsid w:val="00215B5E"/>
    <w:rsid w:val="00233E8C"/>
    <w:rsid w:val="0023674C"/>
    <w:rsid w:val="00244505"/>
    <w:rsid w:val="00246C25"/>
    <w:rsid w:val="002542D5"/>
    <w:rsid w:val="00264911"/>
    <w:rsid w:val="0028288D"/>
    <w:rsid w:val="002878A2"/>
    <w:rsid w:val="0029030C"/>
    <w:rsid w:val="00291357"/>
    <w:rsid w:val="00292BD1"/>
    <w:rsid w:val="002A7F81"/>
    <w:rsid w:val="002B23C6"/>
    <w:rsid w:val="002B2682"/>
    <w:rsid w:val="002B46DE"/>
    <w:rsid w:val="002C0594"/>
    <w:rsid w:val="002D1984"/>
    <w:rsid w:val="002D19F5"/>
    <w:rsid w:val="002D6DD5"/>
    <w:rsid w:val="002E1944"/>
    <w:rsid w:val="002E569F"/>
    <w:rsid w:val="00300C42"/>
    <w:rsid w:val="00305F3D"/>
    <w:rsid w:val="003062E0"/>
    <w:rsid w:val="0030700F"/>
    <w:rsid w:val="00312CA4"/>
    <w:rsid w:val="003149BB"/>
    <w:rsid w:val="00321F5C"/>
    <w:rsid w:val="00322D12"/>
    <w:rsid w:val="0032455B"/>
    <w:rsid w:val="00333666"/>
    <w:rsid w:val="00334D7E"/>
    <w:rsid w:val="00347675"/>
    <w:rsid w:val="003508CA"/>
    <w:rsid w:val="00353F06"/>
    <w:rsid w:val="00361995"/>
    <w:rsid w:val="00370F75"/>
    <w:rsid w:val="00371881"/>
    <w:rsid w:val="003733F5"/>
    <w:rsid w:val="0037424B"/>
    <w:rsid w:val="00376EEF"/>
    <w:rsid w:val="0038254D"/>
    <w:rsid w:val="00387DFE"/>
    <w:rsid w:val="003926D7"/>
    <w:rsid w:val="003958E0"/>
    <w:rsid w:val="00396497"/>
    <w:rsid w:val="003B0030"/>
    <w:rsid w:val="003B36E2"/>
    <w:rsid w:val="003B3C93"/>
    <w:rsid w:val="003D114D"/>
    <w:rsid w:val="003D20A7"/>
    <w:rsid w:val="003D36D0"/>
    <w:rsid w:val="003D3D9B"/>
    <w:rsid w:val="003D3DD3"/>
    <w:rsid w:val="003E2A14"/>
    <w:rsid w:val="003F3B04"/>
    <w:rsid w:val="003F7192"/>
    <w:rsid w:val="00406071"/>
    <w:rsid w:val="00411585"/>
    <w:rsid w:val="00413A84"/>
    <w:rsid w:val="00416D24"/>
    <w:rsid w:val="00420F3D"/>
    <w:rsid w:val="00421A1B"/>
    <w:rsid w:val="004255BD"/>
    <w:rsid w:val="00426E00"/>
    <w:rsid w:val="00427789"/>
    <w:rsid w:val="00430516"/>
    <w:rsid w:val="004369C0"/>
    <w:rsid w:val="00437FE4"/>
    <w:rsid w:val="0044107D"/>
    <w:rsid w:val="00452261"/>
    <w:rsid w:val="00456E20"/>
    <w:rsid w:val="00457B87"/>
    <w:rsid w:val="0046586D"/>
    <w:rsid w:val="0046669F"/>
    <w:rsid w:val="004677E9"/>
    <w:rsid w:val="00472892"/>
    <w:rsid w:val="00486F3E"/>
    <w:rsid w:val="00487B4E"/>
    <w:rsid w:val="00487BE3"/>
    <w:rsid w:val="004A1497"/>
    <w:rsid w:val="004A71A2"/>
    <w:rsid w:val="004B0FEE"/>
    <w:rsid w:val="004B2E53"/>
    <w:rsid w:val="004B7E1C"/>
    <w:rsid w:val="004C2695"/>
    <w:rsid w:val="004E1F87"/>
    <w:rsid w:val="004F0E54"/>
    <w:rsid w:val="004F7F9D"/>
    <w:rsid w:val="005150B8"/>
    <w:rsid w:val="00524099"/>
    <w:rsid w:val="005276FC"/>
    <w:rsid w:val="0054189A"/>
    <w:rsid w:val="00542E6E"/>
    <w:rsid w:val="00554A54"/>
    <w:rsid w:val="0056762E"/>
    <w:rsid w:val="00571DAB"/>
    <w:rsid w:val="00573D6D"/>
    <w:rsid w:val="00592882"/>
    <w:rsid w:val="005954CE"/>
    <w:rsid w:val="00595757"/>
    <w:rsid w:val="005975E0"/>
    <w:rsid w:val="005A0760"/>
    <w:rsid w:val="005A0A8E"/>
    <w:rsid w:val="005A480F"/>
    <w:rsid w:val="005B00B9"/>
    <w:rsid w:val="005B03AC"/>
    <w:rsid w:val="005B131A"/>
    <w:rsid w:val="005B140C"/>
    <w:rsid w:val="005B5051"/>
    <w:rsid w:val="005B6C60"/>
    <w:rsid w:val="005C18E5"/>
    <w:rsid w:val="005C5ABF"/>
    <w:rsid w:val="005D4CC4"/>
    <w:rsid w:val="005D6832"/>
    <w:rsid w:val="005E2C07"/>
    <w:rsid w:val="005E3E67"/>
    <w:rsid w:val="005F3330"/>
    <w:rsid w:val="00612D88"/>
    <w:rsid w:val="0061530A"/>
    <w:rsid w:val="00621D28"/>
    <w:rsid w:val="00622037"/>
    <w:rsid w:val="00627155"/>
    <w:rsid w:val="00636505"/>
    <w:rsid w:val="00636918"/>
    <w:rsid w:val="006371E3"/>
    <w:rsid w:val="006462F0"/>
    <w:rsid w:val="00656552"/>
    <w:rsid w:val="0066500D"/>
    <w:rsid w:val="00673D9D"/>
    <w:rsid w:val="0067640E"/>
    <w:rsid w:val="00676CE0"/>
    <w:rsid w:val="00683173"/>
    <w:rsid w:val="006A3625"/>
    <w:rsid w:val="006A444E"/>
    <w:rsid w:val="006B0F3D"/>
    <w:rsid w:val="006B2E45"/>
    <w:rsid w:val="006B5467"/>
    <w:rsid w:val="006B605C"/>
    <w:rsid w:val="006C183C"/>
    <w:rsid w:val="006C4EE8"/>
    <w:rsid w:val="006C5851"/>
    <w:rsid w:val="006D1782"/>
    <w:rsid w:val="006E4DC7"/>
    <w:rsid w:val="006F0CC5"/>
    <w:rsid w:val="006F7528"/>
    <w:rsid w:val="007145DE"/>
    <w:rsid w:val="0071554A"/>
    <w:rsid w:val="00717A38"/>
    <w:rsid w:val="007236AE"/>
    <w:rsid w:val="007408D7"/>
    <w:rsid w:val="007508F5"/>
    <w:rsid w:val="00751EC4"/>
    <w:rsid w:val="00755E40"/>
    <w:rsid w:val="00757B51"/>
    <w:rsid w:val="00760D98"/>
    <w:rsid w:val="00765F71"/>
    <w:rsid w:val="00775740"/>
    <w:rsid w:val="007757E1"/>
    <w:rsid w:val="00776531"/>
    <w:rsid w:val="00776CAD"/>
    <w:rsid w:val="00782CA6"/>
    <w:rsid w:val="007833C4"/>
    <w:rsid w:val="00786A9E"/>
    <w:rsid w:val="007911B2"/>
    <w:rsid w:val="00796796"/>
    <w:rsid w:val="0079749C"/>
    <w:rsid w:val="007A1C76"/>
    <w:rsid w:val="007B21D1"/>
    <w:rsid w:val="007B2C90"/>
    <w:rsid w:val="007B7211"/>
    <w:rsid w:val="007C173F"/>
    <w:rsid w:val="007C1CF3"/>
    <w:rsid w:val="007C33F9"/>
    <w:rsid w:val="007D0357"/>
    <w:rsid w:val="007D56FB"/>
    <w:rsid w:val="007D5F91"/>
    <w:rsid w:val="007D7265"/>
    <w:rsid w:val="007E0B0A"/>
    <w:rsid w:val="007E1E0F"/>
    <w:rsid w:val="007E534F"/>
    <w:rsid w:val="007F210C"/>
    <w:rsid w:val="007F63E8"/>
    <w:rsid w:val="007F6501"/>
    <w:rsid w:val="00802463"/>
    <w:rsid w:val="00803918"/>
    <w:rsid w:val="00806C72"/>
    <w:rsid w:val="0081570D"/>
    <w:rsid w:val="008166B7"/>
    <w:rsid w:val="0082013A"/>
    <w:rsid w:val="0082725F"/>
    <w:rsid w:val="00833E3D"/>
    <w:rsid w:val="00835B8D"/>
    <w:rsid w:val="008371D8"/>
    <w:rsid w:val="00837DA8"/>
    <w:rsid w:val="0084452D"/>
    <w:rsid w:val="008461C3"/>
    <w:rsid w:val="00851479"/>
    <w:rsid w:val="00853F47"/>
    <w:rsid w:val="00854BC6"/>
    <w:rsid w:val="00857202"/>
    <w:rsid w:val="00857A0D"/>
    <w:rsid w:val="00862171"/>
    <w:rsid w:val="00863A1D"/>
    <w:rsid w:val="008700CF"/>
    <w:rsid w:val="00875A14"/>
    <w:rsid w:val="00880B62"/>
    <w:rsid w:val="008842C3"/>
    <w:rsid w:val="0089283E"/>
    <w:rsid w:val="00893486"/>
    <w:rsid w:val="008A12EB"/>
    <w:rsid w:val="008A4B11"/>
    <w:rsid w:val="008A7490"/>
    <w:rsid w:val="008C5A28"/>
    <w:rsid w:val="008D5A7B"/>
    <w:rsid w:val="008D7B73"/>
    <w:rsid w:val="008E27A9"/>
    <w:rsid w:val="008E2878"/>
    <w:rsid w:val="008E6588"/>
    <w:rsid w:val="008F14B8"/>
    <w:rsid w:val="00904F07"/>
    <w:rsid w:val="00913CB4"/>
    <w:rsid w:val="009147CD"/>
    <w:rsid w:val="00924C7F"/>
    <w:rsid w:val="0093391C"/>
    <w:rsid w:val="009409F1"/>
    <w:rsid w:val="00944D5E"/>
    <w:rsid w:val="00945B07"/>
    <w:rsid w:val="00952B75"/>
    <w:rsid w:val="00953B4F"/>
    <w:rsid w:val="0095723F"/>
    <w:rsid w:val="00964346"/>
    <w:rsid w:val="00974A61"/>
    <w:rsid w:val="0097768D"/>
    <w:rsid w:val="00981F8F"/>
    <w:rsid w:val="00983336"/>
    <w:rsid w:val="009849A0"/>
    <w:rsid w:val="00986A97"/>
    <w:rsid w:val="009A0F07"/>
    <w:rsid w:val="009B12E0"/>
    <w:rsid w:val="009B498C"/>
    <w:rsid w:val="009B71F0"/>
    <w:rsid w:val="009C616E"/>
    <w:rsid w:val="009D358C"/>
    <w:rsid w:val="009D449B"/>
    <w:rsid w:val="009D7A38"/>
    <w:rsid w:val="009E7BF5"/>
    <w:rsid w:val="009E7D16"/>
    <w:rsid w:val="009F4B9C"/>
    <w:rsid w:val="009F51CD"/>
    <w:rsid w:val="00A04BB5"/>
    <w:rsid w:val="00A0590D"/>
    <w:rsid w:val="00A13B03"/>
    <w:rsid w:val="00A217FF"/>
    <w:rsid w:val="00A32377"/>
    <w:rsid w:val="00A41479"/>
    <w:rsid w:val="00A420B6"/>
    <w:rsid w:val="00A4297D"/>
    <w:rsid w:val="00A46BDB"/>
    <w:rsid w:val="00A52BA1"/>
    <w:rsid w:val="00A54796"/>
    <w:rsid w:val="00A664ED"/>
    <w:rsid w:val="00A842C7"/>
    <w:rsid w:val="00A868E0"/>
    <w:rsid w:val="00A9305F"/>
    <w:rsid w:val="00A94C47"/>
    <w:rsid w:val="00AA3350"/>
    <w:rsid w:val="00AA3B65"/>
    <w:rsid w:val="00AA48FC"/>
    <w:rsid w:val="00AB1507"/>
    <w:rsid w:val="00AC6CDE"/>
    <w:rsid w:val="00AD6BCF"/>
    <w:rsid w:val="00AE0CBC"/>
    <w:rsid w:val="00AE2985"/>
    <w:rsid w:val="00AF76E8"/>
    <w:rsid w:val="00B01E7D"/>
    <w:rsid w:val="00B075FD"/>
    <w:rsid w:val="00B07CB4"/>
    <w:rsid w:val="00B12750"/>
    <w:rsid w:val="00B423D8"/>
    <w:rsid w:val="00B45FB4"/>
    <w:rsid w:val="00B56C5C"/>
    <w:rsid w:val="00B618A5"/>
    <w:rsid w:val="00B65073"/>
    <w:rsid w:val="00B66C4C"/>
    <w:rsid w:val="00B67E6D"/>
    <w:rsid w:val="00B70DBA"/>
    <w:rsid w:val="00B74810"/>
    <w:rsid w:val="00B75013"/>
    <w:rsid w:val="00B7581B"/>
    <w:rsid w:val="00B75AAC"/>
    <w:rsid w:val="00B81AF0"/>
    <w:rsid w:val="00B83857"/>
    <w:rsid w:val="00B910EF"/>
    <w:rsid w:val="00B91FF1"/>
    <w:rsid w:val="00B95203"/>
    <w:rsid w:val="00B9598D"/>
    <w:rsid w:val="00BA2342"/>
    <w:rsid w:val="00BA4DB4"/>
    <w:rsid w:val="00BB324F"/>
    <w:rsid w:val="00BB4E59"/>
    <w:rsid w:val="00BC2EBE"/>
    <w:rsid w:val="00BD4320"/>
    <w:rsid w:val="00BD459A"/>
    <w:rsid w:val="00BE42C1"/>
    <w:rsid w:val="00BF160E"/>
    <w:rsid w:val="00BF23A0"/>
    <w:rsid w:val="00BF5713"/>
    <w:rsid w:val="00BF64E1"/>
    <w:rsid w:val="00BF6773"/>
    <w:rsid w:val="00C012BA"/>
    <w:rsid w:val="00C04EBA"/>
    <w:rsid w:val="00C05492"/>
    <w:rsid w:val="00C1104D"/>
    <w:rsid w:val="00C169E0"/>
    <w:rsid w:val="00C17BE1"/>
    <w:rsid w:val="00C27223"/>
    <w:rsid w:val="00C3018D"/>
    <w:rsid w:val="00C31AA1"/>
    <w:rsid w:val="00C3227E"/>
    <w:rsid w:val="00C32552"/>
    <w:rsid w:val="00C427F8"/>
    <w:rsid w:val="00C52976"/>
    <w:rsid w:val="00C54518"/>
    <w:rsid w:val="00C57959"/>
    <w:rsid w:val="00C643DD"/>
    <w:rsid w:val="00C747A6"/>
    <w:rsid w:val="00C8570F"/>
    <w:rsid w:val="00C8602A"/>
    <w:rsid w:val="00C86186"/>
    <w:rsid w:val="00C87E2A"/>
    <w:rsid w:val="00CB304C"/>
    <w:rsid w:val="00CB6389"/>
    <w:rsid w:val="00CC02EE"/>
    <w:rsid w:val="00CD387D"/>
    <w:rsid w:val="00CD4FA6"/>
    <w:rsid w:val="00CD6CFA"/>
    <w:rsid w:val="00CD75F3"/>
    <w:rsid w:val="00CE06B6"/>
    <w:rsid w:val="00CE2A02"/>
    <w:rsid w:val="00CE4EC6"/>
    <w:rsid w:val="00CF0943"/>
    <w:rsid w:val="00CF1D7C"/>
    <w:rsid w:val="00CF7D55"/>
    <w:rsid w:val="00D05836"/>
    <w:rsid w:val="00D07E2F"/>
    <w:rsid w:val="00D1301C"/>
    <w:rsid w:val="00D2190C"/>
    <w:rsid w:val="00D32FEA"/>
    <w:rsid w:val="00D34E8E"/>
    <w:rsid w:val="00D359A2"/>
    <w:rsid w:val="00D371E0"/>
    <w:rsid w:val="00D43815"/>
    <w:rsid w:val="00D527D9"/>
    <w:rsid w:val="00D57B0C"/>
    <w:rsid w:val="00D57B56"/>
    <w:rsid w:val="00D61D4B"/>
    <w:rsid w:val="00D62EE4"/>
    <w:rsid w:val="00D638AB"/>
    <w:rsid w:val="00D805EF"/>
    <w:rsid w:val="00D838E6"/>
    <w:rsid w:val="00D86241"/>
    <w:rsid w:val="00D86D7A"/>
    <w:rsid w:val="00D9143E"/>
    <w:rsid w:val="00DA1A57"/>
    <w:rsid w:val="00DB38E3"/>
    <w:rsid w:val="00DC680E"/>
    <w:rsid w:val="00DC7A55"/>
    <w:rsid w:val="00DD33DD"/>
    <w:rsid w:val="00DD46B6"/>
    <w:rsid w:val="00DD4A5E"/>
    <w:rsid w:val="00DE4DEE"/>
    <w:rsid w:val="00DE6561"/>
    <w:rsid w:val="00DF30AB"/>
    <w:rsid w:val="00DF798F"/>
    <w:rsid w:val="00E0517C"/>
    <w:rsid w:val="00E17E5B"/>
    <w:rsid w:val="00E20E9B"/>
    <w:rsid w:val="00E25CB4"/>
    <w:rsid w:val="00E25D42"/>
    <w:rsid w:val="00E2730C"/>
    <w:rsid w:val="00E3022A"/>
    <w:rsid w:val="00E41D52"/>
    <w:rsid w:val="00E42BC7"/>
    <w:rsid w:val="00E45BA6"/>
    <w:rsid w:val="00E6020C"/>
    <w:rsid w:val="00E66FEC"/>
    <w:rsid w:val="00E6755E"/>
    <w:rsid w:val="00E702B6"/>
    <w:rsid w:val="00E70670"/>
    <w:rsid w:val="00E80B12"/>
    <w:rsid w:val="00E83A9F"/>
    <w:rsid w:val="00E90D3D"/>
    <w:rsid w:val="00E97669"/>
    <w:rsid w:val="00EA1D06"/>
    <w:rsid w:val="00EA773F"/>
    <w:rsid w:val="00EB265B"/>
    <w:rsid w:val="00EB44F0"/>
    <w:rsid w:val="00EB5168"/>
    <w:rsid w:val="00EB7D27"/>
    <w:rsid w:val="00ED2D9F"/>
    <w:rsid w:val="00EE3105"/>
    <w:rsid w:val="00EF1D2B"/>
    <w:rsid w:val="00F0119A"/>
    <w:rsid w:val="00F10055"/>
    <w:rsid w:val="00F10A84"/>
    <w:rsid w:val="00F14232"/>
    <w:rsid w:val="00F21B8D"/>
    <w:rsid w:val="00F22527"/>
    <w:rsid w:val="00F2500A"/>
    <w:rsid w:val="00F26664"/>
    <w:rsid w:val="00F30ADD"/>
    <w:rsid w:val="00F31112"/>
    <w:rsid w:val="00F32EF2"/>
    <w:rsid w:val="00F35CF2"/>
    <w:rsid w:val="00F40371"/>
    <w:rsid w:val="00F43D55"/>
    <w:rsid w:val="00F45974"/>
    <w:rsid w:val="00F46445"/>
    <w:rsid w:val="00F54023"/>
    <w:rsid w:val="00F67139"/>
    <w:rsid w:val="00F80364"/>
    <w:rsid w:val="00F81C5B"/>
    <w:rsid w:val="00F8491A"/>
    <w:rsid w:val="00F9012C"/>
    <w:rsid w:val="00F92A68"/>
    <w:rsid w:val="00FB4FB4"/>
    <w:rsid w:val="00FC1810"/>
    <w:rsid w:val="00FC481D"/>
    <w:rsid w:val="00FD2B77"/>
    <w:rsid w:val="00FD595A"/>
    <w:rsid w:val="00FD76BB"/>
    <w:rsid w:val="00FE4C58"/>
    <w:rsid w:val="00FF29CF"/>
    <w:rsid w:val="00FF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7594"/>
  <w15:docId w15:val="{4B97BB84-97C7-4F73-8FEB-38364398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4E1"/>
    <w:rPr>
      <w:rFonts w:ascii="Arial" w:hAnsi="Arial"/>
    </w:rPr>
  </w:style>
  <w:style w:type="paragraph" w:styleId="Heading1">
    <w:name w:val="heading 1"/>
    <w:basedOn w:val="Normal"/>
    <w:next w:val="Normal"/>
    <w:link w:val="Heading1Char"/>
    <w:uiPriority w:val="9"/>
    <w:qFormat/>
    <w:rsid w:val="0075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4"/>
    <w:pPr>
      <w:spacing w:after="0" w:line="240" w:lineRule="auto"/>
      <w:ind w:left="720"/>
    </w:pPr>
    <w:rPr>
      <w:rFonts w:ascii="Calibri" w:hAnsi="Calibri" w:cs="Times New Roman"/>
    </w:rPr>
  </w:style>
  <w:style w:type="character" w:customStyle="1" w:styleId="articletitle">
    <w:name w:val="articletitle"/>
    <w:basedOn w:val="DefaultParagraphFont"/>
    <w:rsid w:val="00853F47"/>
  </w:style>
  <w:style w:type="character" w:styleId="CommentReference">
    <w:name w:val="annotation reference"/>
    <w:basedOn w:val="DefaultParagraphFont"/>
    <w:uiPriority w:val="99"/>
    <w:semiHidden/>
    <w:unhideWhenUsed/>
    <w:rsid w:val="0010761B"/>
    <w:rPr>
      <w:sz w:val="16"/>
      <w:szCs w:val="16"/>
    </w:rPr>
  </w:style>
  <w:style w:type="paragraph" w:styleId="CommentText">
    <w:name w:val="annotation text"/>
    <w:basedOn w:val="Normal"/>
    <w:link w:val="CommentTextChar"/>
    <w:uiPriority w:val="99"/>
    <w:unhideWhenUsed/>
    <w:rsid w:val="0010761B"/>
    <w:pPr>
      <w:spacing w:line="240" w:lineRule="auto"/>
    </w:pPr>
    <w:rPr>
      <w:sz w:val="20"/>
      <w:szCs w:val="20"/>
    </w:rPr>
  </w:style>
  <w:style w:type="character" w:customStyle="1" w:styleId="CommentTextChar">
    <w:name w:val="Comment Text Char"/>
    <w:basedOn w:val="DefaultParagraphFont"/>
    <w:link w:val="CommentText"/>
    <w:uiPriority w:val="99"/>
    <w:rsid w:val="0010761B"/>
    <w:rPr>
      <w:sz w:val="20"/>
      <w:szCs w:val="20"/>
    </w:rPr>
  </w:style>
  <w:style w:type="paragraph" w:styleId="CommentSubject">
    <w:name w:val="annotation subject"/>
    <w:basedOn w:val="CommentText"/>
    <w:next w:val="CommentText"/>
    <w:link w:val="CommentSubjectChar"/>
    <w:uiPriority w:val="99"/>
    <w:semiHidden/>
    <w:unhideWhenUsed/>
    <w:rsid w:val="0010761B"/>
    <w:rPr>
      <w:b/>
      <w:bCs/>
    </w:rPr>
  </w:style>
  <w:style w:type="character" w:customStyle="1" w:styleId="CommentSubjectChar">
    <w:name w:val="Comment Subject Char"/>
    <w:basedOn w:val="CommentTextChar"/>
    <w:link w:val="CommentSubject"/>
    <w:uiPriority w:val="99"/>
    <w:semiHidden/>
    <w:rsid w:val="0010761B"/>
    <w:rPr>
      <w:b/>
      <w:bCs/>
      <w:sz w:val="20"/>
      <w:szCs w:val="20"/>
    </w:rPr>
  </w:style>
  <w:style w:type="paragraph" w:styleId="BalloonText">
    <w:name w:val="Balloon Text"/>
    <w:basedOn w:val="Normal"/>
    <w:link w:val="BalloonTextChar"/>
    <w:uiPriority w:val="99"/>
    <w:semiHidden/>
    <w:unhideWhenUsed/>
    <w:rsid w:val="00107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61B"/>
    <w:rPr>
      <w:rFonts w:ascii="Segoe UI" w:hAnsi="Segoe UI" w:cs="Segoe UI"/>
      <w:sz w:val="18"/>
      <w:szCs w:val="18"/>
    </w:rPr>
  </w:style>
  <w:style w:type="paragraph" w:customStyle="1" w:styleId="EndNoteBibliographyTitle">
    <w:name w:val="EndNote Bibliography Title"/>
    <w:basedOn w:val="Normal"/>
    <w:link w:val="EndNoteBibliographyTitleChar"/>
    <w:rsid w:val="00F2500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2500A"/>
    <w:rPr>
      <w:rFonts w:ascii="Calibri" w:hAnsi="Calibri" w:cs="Calibri"/>
      <w:noProof/>
      <w:lang w:val="en-US"/>
    </w:rPr>
  </w:style>
  <w:style w:type="paragraph" w:customStyle="1" w:styleId="EndNoteBibliography">
    <w:name w:val="EndNote Bibliography"/>
    <w:basedOn w:val="Normal"/>
    <w:link w:val="EndNoteBibliographyChar"/>
    <w:rsid w:val="00F2500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2500A"/>
    <w:rPr>
      <w:rFonts w:ascii="Calibri" w:hAnsi="Calibri" w:cs="Calibri"/>
      <w:noProof/>
      <w:lang w:val="en-US"/>
    </w:rPr>
  </w:style>
  <w:style w:type="paragraph" w:styleId="Caption">
    <w:name w:val="caption"/>
    <w:basedOn w:val="Normal"/>
    <w:next w:val="Normal"/>
    <w:uiPriority w:val="35"/>
    <w:unhideWhenUsed/>
    <w:qFormat/>
    <w:rsid w:val="00BF64E1"/>
    <w:pPr>
      <w:spacing w:after="200" w:line="240" w:lineRule="auto"/>
    </w:pPr>
    <w:rPr>
      <w:b/>
      <w:iCs/>
      <w:szCs w:val="18"/>
    </w:rPr>
  </w:style>
  <w:style w:type="paragraph" w:styleId="NoSpacing">
    <w:name w:val="No Spacing"/>
    <w:uiPriority w:val="1"/>
    <w:qFormat/>
    <w:rsid w:val="00137E75"/>
    <w:pPr>
      <w:spacing w:after="0" w:line="240" w:lineRule="auto"/>
    </w:pPr>
    <w:rPr>
      <w:rFonts w:ascii="Arial" w:hAnsi="Arial"/>
    </w:rPr>
  </w:style>
  <w:style w:type="character" w:styleId="PlaceholderText">
    <w:name w:val="Placeholder Text"/>
    <w:basedOn w:val="DefaultParagraphFont"/>
    <w:uiPriority w:val="99"/>
    <w:semiHidden/>
    <w:rsid w:val="007E0B0A"/>
    <w:rPr>
      <w:color w:val="808080"/>
    </w:rPr>
  </w:style>
  <w:style w:type="character" w:customStyle="1" w:styleId="Heading1Char">
    <w:name w:val="Heading 1 Char"/>
    <w:basedOn w:val="DefaultParagraphFont"/>
    <w:link w:val="Heading1"/>
    <w:uiPriority w:val="9"/>
    <w:rsid w:val="007508F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B4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8C"/>
    <w:rPr>
      <w:rFonts w:ascii="Arial" w:hAnsi="Arial"/>
    </w:rPr>
  </w:style>
  <w:style w:type="paragraph" w:styleId="Footer">
    <w:name w:val="footer"/>
    <w:basedOn w:val="Normal"/>
    <w:link w:val="FooterChar"/>
    <w:uiPriority w:val="99"/>
    <w:unhideWhenUsed/>
    <w:rsid w:val="009B4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8C"/>
    <w:rPr>
      <w:rFonts w:ascii="Arial" w:hAnsi="Arial"/>
    </w:rPr>
  </w:style>
  <w:style w:type="character" w:styleId="Hyperlink">
    <w:name w:val="Hyperlink"/>
    <w:basedOn w:val="DefaultParagraphFont"/>
    <w:uiPriority w:val="99"/>
    <w:unhideWhenUsed/>
    <w:rsid w:val="00E80B12"/>
    <w:rPr>
      <w:color w:val="0563C1" w:themeColor="hyperlink"/>
      <w:u w:val="single"/>
    </w:rPr>
  </w:style>
  <w:style w:type="character" w:customStyle="1" w:styleId="apple-converted-space">
    <w:name w:val="apple-converted-space"/>
    <w:basedOn w:val="DefaultParagraphFont"/>
    <w:rsid w:val="00E80B12"/>
  </w:style>
  <w:style w:type="character" w:styleId="FollowedHyperlink">
    <w:name w:val="FollowedHyperlink"/>
    <w:basedOn w:val="DefaultParagraphFont"/>
    <w:uiPriority w:val="99"/>
    <w:semiHidden/>
    <w:unhideWhenUsed/>
    <w:rsid w:val="00E80B12"/>
    <w:rPr>
      <w:color w:val="954F72" w:themeColor="followedHyperlink"/>
      <w:u w:val="single"/>
    </w:rPr>
  </w:style>
  <w:style w:type="paragraph" w:styleId="Revision">
    <w:name w:val="Revision"/>
    <w:hidden/>
    <w:uiPriority w:val="99"/>
    <w:semiHidden/>
    <w:rsid w:val="007F210C"/>
    <w:pPr>
      <w:spacing w:after="0" w:line="240" w:lineRule="auto"/>
    </w:pPr>
    <w:rPr>
      <w:rFonts w:ascii="Arial" w:hAnsi="Arial"/>
    </w:rPr>
  </w:style>
  <w:style w:type="numbering" w:customStyle="1" w:styleId="NoList1">
    <w:name w:val="No List1"/>
    <w:next w:val="NoList"/>
    <w:uiPriority w:val="99"/>
    <w:semiHidden/>
    <w:unhideWhenUsed/>
    <w:rsid w:val="00554A54"/>
  </w:style>
  <w:style w:type="numbering" w:customStyle="1" w:styleId="NoList2">
    <w:name w:val="No List2"/>
    <w:next w:val="NoList"/>
    <w:uiPriority w:val="99"/>
    <w:semiHidden/>
    <w:unhideWhenUsed/>
    <w:rsid w:val="00554A54"/>
  </w:style>
  <w:style w:type="numbering" w:customStyle="1" w:styleId="NoList3">
    <w:name w:val="No List3"/>
    <w:next w:val="NoList"/>
    <w:uiPriority w:val="99"/>
    <w:semiHidden/>
    <w:unhideWhenUsed/>
    <w:rsid w:val="006B6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372290">
      <w:bodyDiv w:val="1"/>
      <w:marLeft w:val="0"/>
      <w:marRight w:val="0"/>
      <w:marTop w:val="0"/>
      <w:marBottom w:val="0"/>
      <w:divBdr>
        <w:top w:val="none" w:sz="0" w:space="0" w:color="auto"/>
        <w:left w:val="none" w:sz="0" w:space="0" w:color="auto"/>
        <w:bottom w:val="none" w:sz="0" w:space="0" w:color="auto"/>
        <w:right w:val="none" w:sz="0" w:space="0" w:color="auto"/>
      </w:divBdr>
    </w:div>
    <w:div w:id="432676814">
      <w:bodyDiv w:val="1"/>
      <w:marLeft w:val="0"/>
      <w:marRight w:val="0"/>
      <w:marTop w:val="0"/>
      <w:marBottom w:val="0"/>
      <w:divBdr>
        <w:top w:val="none" w:sz="0" w:space="0" w:color="auto"/>
        <w:left w:val="none" w:sz="0" w:space="0" w:color="auto"/>
        <w:bottom w:val="none" w:sz="0" w:space="0" w:color="auto"/>
        <w:right w:val="none" w:sz="0" w:space="0" w:color="auto"/>
      </w:divBdr>
    </w:div>
    <w:div w:id="725682249">
      <w:bodyDiv w:val="1"/>
      <w:marLeft w:val="0"/>
      <w:marRight w:val="0"/>
      <w:marTop w:val="0"/>
      <w:marBottom w:val="0"/>
      <w:divBdr>
        <w:top w:val="none" w:sz="0" w:space="0" w:color="auto"/>
        <w:left w:val="none" w:sz="0" w:space="0" w:color="auto"/>
        <w:bottom w:val="none" w:sz="0" w:space="0" w:color="auto"/>
        <w:right w:val="none" w:sz="0" w:space="0" w:color="auto"/>
      </w:divBdr>
    </w:div>
    <w:div w:id="852577108">
      <w:bodyDiv w:val="1"/>
      <w:marLeft w:val="0"/>
      <w:marRight w:val="0"/>
      <w:marTop w:val="0"/>
      <w:marBottom w:val="0"/>
      <w:divBdr>
        <w:top w:val="none" w:sz="0" w:space="0" w:color="auto"/>
        <w:left w:val="none" w:sz="0" w:space="0" w:color="auto"/>
        <w:bottom w:val="none" w:sz="0" w:space="0" w:color="auto"/>
        <w:right w:val="none" w:sz="0" w:space="0" w:color="auto"/>
      </w:divBdr>
    </w:div>
    <w:div w:id="199814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teoporosis.ca/wp-content/uploads/OC-Quality-Standards-ENG-Nov-2014.pdf"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theros.org.uk/media/1eubz33w/ros-clinical-standards-for-fracture-liaison-services-august-201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steoporosis.org.nz/wp-content/uploads/ONZ-FLS-Clinical-Standards-WEB.pdf"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6D84-16B3-42DC-9DE2-7BF239A4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10102</Words>
  <Characters>57582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 Westbury</dc:creator>
  <cp:lastModifiedBy>Drake K.A.</cp:lastModifiedBy>
  <cp:revision>2</cp:revision>
  <cp:lastPrinted>2020-01-13T11:01:00Z</cp:lastPrinted>
  <dcterms:created xsi:type="dcterms:W3CDTF">2020-05-05T15:54:00Z</dcterms:created>
  <dcterms:modified xsi:type="dcterms:W3CDTF">2020-05-05T15:54:00Z</dcterms:modified>
</cp:coreProperties>
</file>