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Defining causality in COVID-19 and neurological disorders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Ellul M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D43117">
        <w:rPr>
          <w:rFonts w:ascii="Times New Roman" w:hAnsi="Times New Roman" w:cs="Times New Roman"/>
          <w:sz w:val="24"/>
          <w:szCs w:val="24"/>
        </w:rPr>
        <w:t>, Varatharaj A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D43117">
        <w:rPr>
          <w:rFonts w:ascii="Times New Roman" w:hAnsi="Times New Roman" w:cs="Times New Roman"/>
          <w:sz w:val="24"/>
          <w:szCs w:val="24"/>
        </w:rPr>
        <w:t>, Nicholson T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43117">
        <w:rPr>
          <w:rFonts w:ascii="Times New Roman" w:hAnsi="Times New Roman" w:cs="Times New Roman"/>
          <w:sz w:val="24"/>
          <w:szCs w:val="24"/>
        </w:rPr>
        <w:t>, Pollack T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43117">
        <w:rPr>
          <w:rFonts w:ascii="Times New Roman" w:hAnsi="Times New Roman" w:cs="Times New Roman"/>
          <w:sz w:val="24"/>
          <w:szCs w:val="24"/>
        </w:rPr>
        <w:t>, Zandi MS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43117">
        <w:rPr>
          <w:rFonts w:ascii="Times New Roman" w:hAnsi="Times New Roman" w:cs="Times New Roman"/>
          <w:sz w:val="24"/>
          <w:szCs w:val="24"/>
        </w:rPr>
        <w:t>, Manji H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43117">
        <w:rPr>
          <w:rFonts w:ascii="Times New Roman" w:hAnsi="Times New Roman" w:cs="Times New Roman"/>
          <w:sz w:val="24"/>
          <w:szCs w:val="24"/>
        </w:rPr>
        <w:t>, Solomon T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1,2,7</w:t>
      </w:r>
      <w:r w:rsidRPr="00D43117">
        <w:rPr>
          <w:rFonts w:ascii="Times New Roman" w:hAnsi="Times New Roman" w:cs="Times New Roman"/>
          <w:sz w:val="24"/>
          <w:szCs w:val="24"/>
        </w:rPr>
        <w:t>,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Carson A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43117">
        <w:rPr>
          <w:rFonts w:ascii="Times New Roman" w:hAnsi="Times New Roman" w:cs="Times New Roman"/>
          <w:sz w:val="24"/>
          <w:szCs w:val="24"/>
        </w:rPr>
        <w:t>, Turner MR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43117">
        <w:rPr>
          <w:rFonts w:ascii="Times New Roman" w:hAnsi="Times New Roman" w:cs="Times New Roman"/>
          <w:sz w:val="24"/>
          <w:szCs w:val="24"/>
        </w:rPr>
        <w:t>, Kneen R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1,10</w:t>
      </w:r>
      <w:r w:rsidRPr="00D43117">
        <w:rPr>
          <w:rFonts w:ascii="Times New Roman" w:hAnsi="Times New Roman" w:cs="Times New Roman"/>
          <w:sz w:val="24"/>
          <w:szCs w:val="24"/>
        </w:rPr>
        <w:t xml:space="preserve"> Galea I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492E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D43117">
        <w:rPr>
          <w:rFonts w:ascii="Times New Roman" w:hAnsi="Times New Roman" w:cs="Times New Roman"/>
          <w:sz w:val="24"/>
          <w:szCs w:val="24"/>
        </w:rPr>
        <w:t>, Pett S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43117">
        <w:rPr>
          <w:rFonts w:ascii="Times New Roman" w:hAnsi="Times New Roman" w:cs="Times New Roman"/>
          <w:sz w:val="24"/>
          <w:szCs w:val="24"/>
        </w:rPr>
        <w:t>, Thomas RH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12,13</w:t>
      </w:r>
      <w:r w:rsidRPr="00D43117">
        <w:rPr>
          <w:rFonts w:ascii="Times New Roman" w:hAnsi="Times New Roman" w:cs="Times New Roman"/>
          <w:sz w:val="24"/>
          <w:szCs w:val="24"/>
        </w:rPr>
        <w:t>, *Michael BD</w:t>
      </w:r>
      <w:r w:rsidRPr="00D43117">
        <w:rPr>
          <w:rFonts w:ascii="Times New Roman" w:hAnsi="Times New Roman" w:cs="Times New Roman"/>
          <w:sz w:val="24"/>
          <w:szCs w:val="24"/>
          <w:vertAlign w:val="superscript"/>
        </w:rPr>
        <w:t>1,2,7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1. The Institute for Infection and Global Health, University of Liverpool,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2. The Walton Centre NHS Foundation Trust, Liverpool, UK</w:t>
      </w:r>
    </w:p>
    <w:p w:rsidR="0015492E" w:rsidRPr="0015492E" w:rsidRDefault="0015492E" w:rsidP="00154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92E">
        <w:rPr>
          <w:rFonts w:ascii="Times New Roman" w:hAnsi="Times New Roman" w:cs="Times New Roman"/>
          <w:sz w:val="24"/>
          <w:szCs w:val="24"/>
        </w:rPr>
        <w:t>3. Clinical Neurosciences, Clinical and Experimental Sciences, Faculty of Medicine, University of Southampton, UK</w:t>
      </w:r>
    </w:p>
    <w:p w:rsidR="0015492E" w:rsidRPr="0015492E" w:rsidRDefault="0015492E" w:rsidP="00154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92E">
        <w:rPr>
          <w:rFonts w:ascii="Times New Roman" w:hAnsi="Times New Roman" w:cs="Times New Roman"/>
          <w:sz w:val="24"/>
          <w:szCs w:val="24"/>
        </w:rPr>
        <w:t>4. Wessex Neurosciences Centre, University Hospital Southampton NHS Foundation Trust, Southampton,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5. Institute of Psychiatry, Psychology, and Neuroscience, Kings College London,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6. National Hospital for Neurology and Neurosurgery and UCL Queen Square Institute of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Neurology, London, UK.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7. The NIHR Health Protection Research Unit for Emerging and Zoonotic Infection,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Liverpool,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8. Centre for Clinical Brain Sciences, University of Edinburgh,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9. Nuffield Department of Clinical Neurosciences, University of Oxford,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10. Alder Hey Children’s NHS Foundation Trust, Liverpool, UK11. Institute for Global Health and Institute for Clinical Trials Methodology, University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College London,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12. Translational and Clinical Research Institute, University of Newcastle,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13. Royal Victoria Infirmary, Newcastle, UK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5" w:history="1">
        <w:r w:rsidRPr="00D43117">
          <w:rPr>
            <w:rStyle w:val="Hyperlink"/>
            <w:rFonts w:ascii="Times New Roman" w:hAnsi="Times New Roman" w:cs="Times New Roman"/>
            <w:sz w:val="24"/>
            <w:szCs w:val="24"/>
          </w:rPr>
          <w:t>Benedict.Michael@liv.ac.uk</w:t>
        </w:r>
      </w:hyperlink>
      <w:r w:rsidRPr="00D4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92E" w:rsidRDefault="00154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lastRenderedPageBreak/>
        <w:t>When faced with acute neurological presentations in a patient with COVID-19, how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confident can one be that SARS-CoV2 is causal?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Clinicians are increasingly recognising neurological presentations occur in some patients (1).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A case series from Wuhan described associated neurological syndromes (e.g. ‘dizziness’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‘impaired consciousness’), but with little detail regarding symptomatology, and CSF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neuroimaging findings (2). The extent to which these disorders were caused by the virus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se, rather than being complications of critical illness, unmasking of degenerative disease,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iatrogenic effects of repurposed medications is not clear.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Numerous case reports have since emerged and, at the time of writing, published cases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include encephalopathy (3), encephalitis (4),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syndrome (GBS) (5) and stroke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(6). In all of these cases the virus has been identified in respiratory samples, and in a small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number in CSF. So far, the reporting of clinical features has been extremely variable,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example several cases have claimed to report encephalitis without clear evidence of CNS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inflammation, which would not meet established definitions of the disease (7).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Whether SARS-CoV2 is associated with neurological manifestations is of critical 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as they may result in substantial morbidity and mortality.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Defining causality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It is crucial that neurologists and neuropsychiatrists apply a systematic strategy to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whether there is evidence that SARS-CoV2 is causing these manifestations, whether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a consequence of severe systemic disease alone, or simply coincidence. In 1965 Hill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proposed criteria on which to build an argument for disease causation, which can be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to COVID-19 (8).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D43117">
        <w:rPr>
          <w:rFonts w:ascii="Times New Roman" w:hAnsi="Times New Roman" w:cs="Times New Roman"/>
          <w:b/>
          <w:sz w:val="24"/>
          <w:szCs w:val="24"/>
        </w:rPr>
        <w:t>strength</w:t>
      </w:r>
      <w:r w:rsidRPr="00D43117">
        <w:rPr>
          <w:rFonts w:ascii="Times New Roman" w:hAnsi="Times New Roman" w:cs="Times New Roman"/>
          <w:sz w:val="24"/>
          <w:szCs w:val="24"/>
        </w:rPr>
        <w:t xml:space="preserve"> of the association? So far it appears fairly weak. &gt;2.5 million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have been infected with SARS-CoV2 and to date (to the authors’ knowledge) there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only 93 published cases of neurological manifestations (about 5/100,000). However, 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lastRenderedPageBreak/>
        <w:t>cases are an underestimate of the real incidence, and this underscores the need for proper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epidemiological study.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D43117">
        <w:rPr>
          <w:rFonts w:ascii="Times New Roman" w:hAnsi="Times New Roman" w:cs="Times New Roman"/>
          <w:b/>
          <w:sz w:val="24"/>
          <w:szCs w:val="24"/>
        </w:rPr>
        <w:t>consistency</w:t>
      </w:r>
      <w:r w:rsidRPr="00D43117">
        <w:rPr>
          <w:rFonts w:ascii="Times New Roman" w:hAnsi="Times New Roman" w:cs="Times New Roman"/>
          <w:sz w:val="24"/>
          <w:szCs w:val="24"/>
        </w:rPr>
        <w:t xml:space="preserve"> of the association? So far there have been published reports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neurological manifestations across the globe, including from China, Japan, Italy, France,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USA, and the UK. Although the numbers are low, these are not isolated incidences and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occurred throughout the evolution of the pandemic.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To what extent is the relationship </w:t>
      </w:r>
      <w:r w:rsidRPr="00D43117">
        <w:rPr>
          <w:rFonts w:ascii="Times New Roman" w:hAnsi="Times New Roman" w:cs="Times New Roman"/>
          <w:b/>
          <w:sz w:val="24"/>
          <w:szCs w:val="24"/>
        </w:rPr>
        <w:t>specific</w:t>
      </w:r>
      <w:r w:rsidRPr="00D43117">
        <w:rPr>
          <w:rFonts w:ascii="Times New Roman" w:hAnsi="Times New Roman" w:cs="Times New Roman"/>
          <w:sz w:val="24"/>
          <w:szCs w:val="24"/>
        </w:rPr>
        <w:t>? The range of neurological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manifestations 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 association with SARS-CoV2 is wide, from the CNS through to peripheral nerves.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However, in previous pandemics similar central and peripheral associations have been well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recognised (9).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What can </w:t>
      </w:r>
      <w:r w:rsidRPr="00D43117">
        <w:rPr>
          <w:rFonts w:ascii="Times New Roman" w:hAnsi="Times New Roman" w:cs="Times New Roman"/>
          <w:b/>
          <w:sz w:val="24"/>
          <w:szCs w:val="24"/>
        </w:rPr>
        <w:t>temporality</w:t>
      </w:r>
      <w:r w:rsidRPr="00D43117">
        <w:rPr>
          <w:rFonts w:ascii="Times New Roman" w:hAnsi="Times New Roman" w:cs="Times New Roman"/>
          <w:sz w:val="24"/>
          <w:szCs w:val="24"/>
        </w:rPr>
        <w:t xml:space="preserve"> tell us about the association? The delay between infection and the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neurological presentation may give a clue to mechanisms. Direct CNS infection might be expected to be contemporaneous with, or shortly after, fever and respiratory symptoms. Para-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infectious disease, owing to innate immune responses, such as acute necrotising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encephalopathy, usually occurs in the days following infection. Post-infectious syndromes,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due to adaptive immune responses, such as GBS, are typically in the few weeks following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infection. In most reported cases, respiratory disease has occurred a few days prior to the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onset of the neurological syndrome. Although significant delays between a neurological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presentation and COVID-19 diagnosis in some raise the possibility of nosocomial infection.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Hill asks us to look for a </w:t>
      </w:r>
      <w:r w:rsidRPr="00D43117">
        <w:rPr>
          <w:rFonts w:ascii="Times New Roman" w:hAnsi="Times New Roman" w:cs="Times New Roman"/>
          <w:b/>
          <w:sz w:val="24"/>
          <w:szCs w:val="24"/>
        </w:rPr>
        <w:t>biological gradient</w:t>
      </w:r>
      <w:r w:rsidRPr="00D43117">
        <w:rPr>
          <w:rFonts w:ascii="Times New Roman" w:hAnsi="Times New Roman" w:cs="Times New Roman"/>
          <w:sz w:val="24"/>
          <w:szCs w:val="24"/>
        </w:rPr>
        <w:t xml:space="preserve">. In </w:t>
      </w:r>
      <w:proofErr w:type="gramStart"/>
      <w:r w:rsidRPr="00D43117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D43117">
        <w:rPr>
          <w:rFonts w:ascii="Times New Roman" w:hAnsi="Times New Roman" w:cs="Times New Roman"/>
          <w:sz w:val="24"/>
          <w:szCs w:val="24"/>
        </w:rPr>
        <w:t xml:space="preserve"> those with neurological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manifestations have had severe COVID-19 respiratory disease suggesting the possibility that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higher viral loads and/or more fulminant inflammatory responses may be accountable for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both.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Is there </w:t>
      </w:r>
      <w:r w:rsidRPr="00D43117">
        <w:rPr>
          <w:rFonts w:ascii="Times New Roman" w:hAnsi="Times New Roman" w:cs="Times New Roman"/>
          <w:b/>
          <w:sz w:val="24"/>
          <w:szCs w:val="24"/>
        </w:rPr>
        <w:t>biological plausibility</w:t>
      </w:r>
      <w:r w:rsidRPr="00D43117">
        <w:rPr>
          <w:rFonts w:ascii="Times New Roman" w:hAnsi="Times New Roman" w:cs="Times New Roman"/>
          <w:sz w:val="24"/>
          <w:szCs w:val="24"/>
        </w:rPr>
        <w:t>? Many human viruses can enter the CNS and some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coronaviruses exhibit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neurotropism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in animal models (10). The syndromes described so far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could plausibly be related to primary infection with SARS-CoV2, although improved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understanding of host responses is needed.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lastRenderedPageBreak/>
        <w:t xml:space="preserve">Hill asks us to consider the </w:t>
      </w:r>
      <w:r w:rsidRPr="00D43117">
        <w:rPr>
          <w:rFonts w:ascii="Times New Roman" w:hAnsi="Times New Roman" w:cs="Times New Roman"/>
          <w:b/>
          <w:sz w:val="24"/>
          <w:szCs w:val="24"/>
        </w:rPr>
        <w:t>coherence</w:t>
      </w:r>
      <w:r w:rsidRPr="00D43117">
        <w:rPr>
          <w:rFonts w:ascii="Times New Roman" w:hAnsi="Times New Roman" w:cs="Times New Roman"/>
          <w:sz w:val="24"/>
          <w:szCs w:val="24"/>
        </w:rPr>
        <w:t xml:space="preserve"> of the evidence. Perhaps our best sources of coherent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data are the SARS and MERS epidemics: coronaviruses </w:t>
      </w:r>
      <w:r>
        <w:rPr>
          <w:rFonts w:ascii="Times New Roman" w:hAnsi="Times New Roman" w:cs="Times New Roman"/>
          <w:sz w:val="24"/>
          <w:szCs w:val="24"/>
        </w:rPr>
        <w:t xml:space="preserve">with about 80% and 50% homology </w:t>
      </w:r>
      <w:r w:rsidRPr="00D43117">
        <w:rPr>
          <w:rFonts w:ascii="Times New Roman" w:hAnsi="Times New Roman" w:cs="Times New Roman"/>
          <w:sz w:val="24"/>
          <w:szCs w:val="24"/>
        </w:rPr>
        <w:t>to SARS-CoV2 respectively. Neurological syndromes were reported in association with both,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including acute disseminated encephalomyelitis-like presentations with MERS and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encephalopathy/encephalitis with SARS (11).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Is there any possibility of </w:t>
      </w:r>
      <w:r w:rsidRPr="00D43117">
        <w:rPr>
          <w:rFonts w:ascii="Times New Roman" w:hAnsi="Times New Roman" w:cs="Times New Roman"/>
          <w:b/>
          <w:sz w:val="24"/>
          <w:szCs w:val="24"/>
        </w:rPr>
        <w:t>experimental evidence</w:t>
      </w:r>
      <w:r w:rsidRPr="00D43117">
        <w:rPr>
          <w:rFonts w:ascii="Times New Roman" w:hAnsi="Times New Roman" w:cs="Times New Roman"/>
          <w:sz w:val="24"/>
          <w:szCs w:val="24"/>
        </w:rPr>
        <w:t>? The ideal investigational vehicle would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be a case control study, but this presents design challenges as exposure is high and we do not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yet have validated antibody testing to ascertain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seroprevalence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Can we learn by </w:t>
      </w:r>
      <w:r w:rsidRPr="00D43117">
        <w:rPr>
          <w:rFonts w:ascii="Times New Roman" w:hAnsi="Times New Roman" w:cs="Times New Roman"/>
          <w:b/>
          <w:sz w:val="24"/>
          <w:szCs w:val="24"/>
        </w:rPr>
        <w:t>analogy</w:t>
      </w:r>
      <w:r w:rsidRPr="00D43117">
        <w:rPr>
          <w:rFonts w:ascii="Times New Roman" w:hAnsi="Times New Roman" w:cs="Times New Roman"/>
          <w:sz w:val="24"/>
          <w:szCs w:val="24"/>
        </w:rPr>
        <w:t xml:space="preserve"> with other similar scenarios? Other respiratory viruses, most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notably influenza, are well established triggers of CNS damage. During the H1N1 pandemic, neurological syndromes were well described, including acute necrotising encephalopathy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bearing striking resemblance to the case recently described with COVID-19 (9). So, the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emergence of neurological disorders associated with pandemic viral infections is less the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exception, more the norm.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As always, our evidence must be founded on clear and systematic assessment of the clinical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syndromes, supported by well-designed laboratory studies. Cases must be reported in line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with clear clinical case definitions, both systematically and transparently, and with honesty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about negative or missing results.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These aims are best served by standardisation and centralisation of case reporting, which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calls for a truly collaborative approach between </w:t>
      </w:r>
      <w:proofErr w:type="gramStart"/>
      <w:r w:rsidRPr="00D43117">
        <w:rPr>
          <w:rFonts w:ascii="Times New Roman" w:hAnsi="Times New Roman" w:cs="Times New Roman"/>
          <w:sz w:val="24"/>
          <w:szCs w:val="24"/>
        </w:rPr>
        <w:t xml:space="preserve">neurologists, </w:t>
      </w:r>
      <w:r w:rsidR="007D7E22">
        <w:rPr>
          <w:rFonts w:ascii="Times New Roman" w:hAnsi="Times New Roman" w:cs="Times New Roman"/>
          <w:sz w:val="24"/>
          <w:szCs w:val="24"/>
        </w:rPr>
        <w:t xml:space="preserve"> n</w:t>
      </w:r>
      <w:r w:rsidRPr="00D43117">
        <w:rPr>
          <w:rFonts w:ascii="Times New Roman" w:hAnsi="Times New Roman" w:cs="Times New Roman"/>
          <w:sz w:val="24"/>
          <w:szCs w:val="24"/>
        </w:rPr>
        <w:t>europsychiatrists</w:t>
      </w:r>
      <w:proofErr w:type="gramEnd"/>
      <w:r w:rsidRPr="00D43117">
        <w:rPr>
          <w:rFonts w:ascii="Times New Roman" w:hAnsi="Times New Roman" w:cs="Times New Roman"/>
          <w:sz w:val="24"/>
          <w:szCs w:val="24"/>
        </w:rPr>
        <w:t xml:space="preserve"> and allied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colleagues.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To address this we have established the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CoroNerve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Studies Group as a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collaboration between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professional bodies in the UK (</w:t>
      </w:r>
      <w:hyperlink r:id="rId6" w:history="1">
        <w:r w:rsidR="007D7E22" w:rsidRPr="008158CB">
          <w:rPr>
            <w:rStyle w:val="Hyperlink"/>
            <w:rFonts w:ascii="Times New Roman" w:hAnsi="Times New Roman" w:cs="Times New Roman"/>
            <w:sz w:val="24"/>
            <w:szCs w:val="24"/>
          </w:rPr>
          <w:t>www.CoroNerve.com</w:t>
        </w:r>
      </w:hyperlink>
      <w:r w:rsidRPr="00D43117">
        <w:rPr>
          <w:rFonts w:ascii="Times New Roman" w:hAnsi="Times New Roman" w:cs="Times New Roman"/>
          <w:sz w:val="24"/>
          <w:szCs w:val="24"/>
        </w:rPr>
        <w:t>), and similar studies are underway in other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countries. However, a joined-up international approach is nece</w:t>
      </w:r>
      <w:r>
        <w:rPr>
          <w:rFonts w:ascii="Times New Roman" w:hAnsi="Times New Roman" w:cs="Times New Roman"/>
          <w:sz w:val="24"/>
          <w:szCs w:val="24"/>
        </w:rPr>
        <w:t xml:space="preserve">ssary. To begin this process, a </w:t>
      </w:r>
      <w:r w:rsidRPr="00D43117">
        <w:rPr>
          <w:rFonts w:ascii="Times New Roman" w:hAnsi="Times New Roman" w:cs="Times New Roman"/>
          <w:sz w:val="24"/>
          <w:szCs w:val="24"/>
        </w:rPr>
        <w:t>complimentary initiative, the COVID-Neuro Network, through Brain Infections Global, is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supporting collaboration among several lower and middle-income countries.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lastRenderedPageBreak/>
        <w:t>We all must learn the lessons from previous pandemics, and the principles of Bradford Hill if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we are to translate these rapidly growing datasets into meaningful advances in our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understanding of the neurological complications of COVID-19.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15492E" w:rsidRPr="00D43117" w:rsidRDefault="0015492E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117">
        <w:rPr>
          <w:rFonts w:ascii="Times New Roman" w:hAnsi="Times New Roman" w:cs="Times New Roman"/>
          <w:sz w:val="24"/>
          <w:szCs w:val="24"/>
          <w:u w:val="single"/>
        </w:rPr>
        <w:t>CoroNerve</w:t>
      </w:r>
      <w:proofErr w:type="spellEnd"/>
      <w:r w:rsidRPr="00D43117">
        <w:rPr>
          <w:rFonts w:ascii="Times New Roman" w:hAnsi="Times New Roman" w:cs="Times New Roman"/>
          <w:sz w:val="24"/>
          <w:szCs w:val="24"/>
          <w:u w:val="single"/>
        </w:rPr>
        <w:t xml:space="preserve"> Study Management Group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3117">
        <w:rPr>
          <w:rFonts w:ascii="Times New Roman" w:hAnsi="Times New Roman" w:cs="Times New Roman"/>
          <w:sz w:val="24"/>
          <w:szCs w:val="24"/>
        </w:rPr>
        <w:t xml:space="preserve"> Mark Ellul, Ian Galea, Rachel Kneen, Benedict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Michael, Sarah Pett, Naomi Thomas, Rhys Thomas,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Varantharaj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>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117">
        <w:rPr>
          <w:rFonts w:ascii="Times New Roman" w:hAnsi="Times New Roman" w:cs="Times New Roman"/>
          <w:sz w:val="24"/>
          <w:szCs w:val="24"/>
          <w:u w:val="single"/>
        </w:rPr>
        <w:t>CoroNerve</w:t>
      </w:r>
      <w:proofErr w:type="spellEnd"/>
      <w:r w:rsidRPr="00D43117">
        <w:rPr>
          <w:rFonts w:ascii="Times New Roman" w:hAnsi="Times New Roman" w:cs="Times New Roman"/>
          <w:sz w:val="24"/>
          <w:szCs w:val="24"/>
          <w:u w:val="single"/>
        </w:rPr>
        <w:t xml:space="preserve"> Steering Committee</w:t>
      </w:r>
      <w:r w:rsidRPr="00D43117">
        <w:rPr>
          <w:rFonts w:ascii="Times New Roman" w:hAnsi="Times New Roman" w:cs="Times New Roman"/>
          <w:sz w:val="24"/>
          <w:szCs w:val="24"/>
        </w:rPr>
        <w:t>: Laura Benjamin, Jonathan Coles, Nicholas WS Davies, Ava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Easton,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Manji, Craig Smith, Tom Solomon, Michael Zandi.</w:t>
      </w:r>
    </w:p>
    <w:p w:rsid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  <w:u w:val="single"/>
        </w:rPr>
        <w:t>Collaborating Organisations</w:t>
      </w:r>
      <w:r w:rsidRPr="00D43117">
        <w:rPr>
          <w:rFonts w:ascii="Times New Roman" w:hAnsi="Times New Roman" w:cs="Times New Roman"/>
          <w:sz w:val="24"/>
          <w:szCs w:val="24"/>
        </w:rPr>
        <w:t>: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117">
        <w:rPr>
          <w:rFonts w:ascii="Times New Roman" w:hAnsi="Times New Roman" w:cs="Times New Roman"/>
          <w:sz w:val="24"/>
          <w:szCs w:val="24"/>
        </w:rPr>
        <w:t>RCPsych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- A Carson, A David, M Dilley, E Joyce, T Nicholson, T Pollak, V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Voon</w:t>
      </w:r>
      <w:proofErr w:type="spellEnd"/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ABN- M Turner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BPNA- R Chin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BASP- R Al-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Shahi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Salman, C Smith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NACCS- J Coles, D Menon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ISARIC- C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Semple</w:t>
      </w:r>
      <w:proofErr w:type="spellEnd"/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11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1. Liu K, Pan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>, Xiao Z, Xu X. Neurological manifestations of the coronavirus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(SARS-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>-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2) pandemic 2019–2020. J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Neurosurg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sychiatry 2020; ahead of print: </w:t>
      </w:r>
      <w:r w:rsidRPr="00D43117">
        <w:rPr>
          <w:rFonts w:ascii="Times New Roman" w:hAnsi="Times New Roman" w:cs="Times New Roman"/>
          <w:sz w:val="24"/>
          <w:szCs w:val="24"/>
        </w:rPr>
        <w:t>doi:10.1136/jnnp-2020-323177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2. Mao L,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H, Wang M, Hu Y, Chen S, He Q, et al. Neurologic Manifestations of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Hospitalized Patients </w:t>
      </w:r>
      <w:proofErr w:type="gramStart"/>
      <w:r w:rsidRPr="00D4311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43117">
        <w:rPr>
          <w:rFonts w:ascii="Times New Roman" w:hAnsi="Times New Roman" w:cs="Times New Roman"/>
          <w:sz w:val="24"/>
          <w:szCs w:val="24"/>
        </w:rPr>
        <w:t xml:space="preserve"> Coronavirus Disease 2019 in Wuhan, China. </w:t>
      </w:r>
      <w:r>
        <w:rPr>
          <w:rFonts w:ascii="Times New Roman" w:hAnsi="Times New Roman" w:cs="Times New Roman"/>
          <w:sz w:val="24"/>
          <w:szCs w:val="24"/>
        </w:rPr>
        <w:t xml:space="preserve">JAMA neurology </w:t>
      </w:r>
      <w:r w:rsidRPr="00D43117">
        <w:rPr>
          <w:rFonts w:ascii="Times New Roman" w:hAnsi="Times New Roman" w:cs="Times New Roman"/>
          <w:sz w:val="24"/>
          <w:szCs w:val="24"/>
        </w:rPr>
        <w:t>2020; doi:10.1001/jamaneurol.2020.1127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Poyiadji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Shahin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Noujaim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D, Stone M, Patel S, Griffith B. COVID-19-associated Acute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Hemorrhagic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Necrotizing Encephalopathy: CT and MRI Features. Radiology 2020; 201187.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3117">
        <w:rPr>
          <w:rFonts w:ascii="Times New Roman" w:hAnsi="Times New Roman" w:cs="Times New Roman"/>
          <w:sz w:val="24"/>
          <w:szCs w:val="24"/>
        </w:rPr>
        <w:t xml:space="preserve">Ye M, Ren Y,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T. Encephalitis as a clinical manifes</w:t>
      </w:r>
      <w:r>
        <w:rPr>
          <w:rFonts w:ascii="Times New Roman" w:hAnsi="Times New Roman" w:cs="Times New Roman"/>
          <w:sz w:val="24"/>
          <w:szCs w:val="24"/>
        </w:rPr>
        <w:t xml:space="preserve">tation of COVID-19. 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Immun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2020;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>: 10.1016/j.bbi.2020.04.017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lastRenderedPageBreak/>
        <w:t>5. Zhao H, Shen D, Zhou H, Liu J, Chen S. Guillain-Barre syndrome associated with SARS-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CoV-2 infection: causality or coincidence? The Lancet Neurology 2020; 19: 383-4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Beyrouti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R, Adams ME, Benjamin L, Cohen H, Farmer SF, et al. Characteristics </w:t>
      </w:r>
      <w:proofErr w:type="gramStart"/>
      <w:r w:rsidRPr="00D43117">
        <w:rPr>
          <w:rFonts w:ascii="Times New Roman" w:hAnsi="Times New Roman" w:cs="Times New Roman"/>
          <w:sz w:val="24"/>
          <w:szCs w:val="24"/>
        </w:rPr>
        <w:t>of  ischaemic</w:t>
      </w:r>
      <w:proofErr w:type="gramEnd"/>
      <w:r w:rsidRPr="00D43117">
        <w:rPr>
          <w:rFonts w:ascii="Times New Roman" w:hAnsi="Times New Roman" w:cs="Times New Roman"/>
          <w:sz w:val="24"/>
          <w:szCs w:val="24"/>
        </w:rPr>
        <w:t xml:space="preserve"> stroke associated with COVID-19. J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Neurosurg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Psychiatry 2020; doi:10.1136/jnnp-2020-323586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>7. Solomon T, Michael BD, Smith PE, Sanderson F, Davies NW, Hart IJ, et al. Management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of suspected viral encephalitis in adults--Association of British Neurologists and British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Infection Association National Guidelines. The Journal of infection 2011; 64:347-73.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8. Hill AB. The Environment and Disease: Association or Causation?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Med 1965; 58:295-300.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11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Goenka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A, Michael BD, Ledger E, Hart IJ,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Absoud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Chow G, et al. Neurological </w:t>
      </w:r>
      <w:r w:rsidRPr="00D43117">
        <w:rPr>
          <w:rFonts w:ascii="Times New Roman" w:hAnsi="Times New Roman" w:cs="Times New Roman"/>
          <w:sz w:val="24"/>
          <w:szCs w:val="24"/>
        </w:rPr>
        <w:t>manifestations of influenza infection in children and adults: results of a National British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Surveillance Study.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Infect Dis </w:t>
      </w:r>
      <w:proofErr w:type="gramStart"/>
      <w:r w:rsidRPr="00D43117">
        <w:rPr>
          <w:rFonts w:ascii="Times New Roman" w:hAnsi="Times New Roman" w:cs="Times New Roman"/>
          <w:sz w:val="24"/>
          <w:szCs w:val="24"/>
        </w:rPr>
        <w:t>2014;58:775</w:t>
      </w:r>
      <w:proofErr w:type="gramEnd"/>
      <w:r w:rsidRPr="00D43117">
        <w:rPr>
          <w:rFonts w:ascii="Times New Roman" w:hAnsi="Times New Roman" w:cs="Times New Roman"/>
          <w:sz w:val="24"/>
          <w:szCs w:val="24"/>
        </w:rPr>
        <w:t>-84.</w:t>
      </w:r>
    </w:p>
    <w:p w:rsidR="00D4311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Netland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Meyerholz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DK, Moore S,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Cassell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M, Perlman S. Severe Acute Respiratory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>Syndrome Coronavirus Infection Causes Neuronal Death in the Absence of Encephalitis in</w:t>
      </w:r>
      <w:r w:rsidR="007D7E22">
        <w:rPr>
          <w:rFonts w:ascii="Times New Roman" w:hAnsi="Times New Roman" w:cs="Times New Roman"/>
          <w:sz w:val="24"/>
          <w:szCs w:val="24"/>
        </w:rPr>
        <w:t xml:space="preserve"> </w:t>
      </w:r>
      <w:r w:rsidRPr="00D43117">
        <w:rPr>
          <w:rFonts w:ascii="Times New Roman" w:hAnsi="Times New Roman" w:cs="Times New Roman"/>
          <w:sz w:val="24"/>
          <w:szCs w:val="24"/>
        </w:rPr>
        <w:t xml:space="preserve">Mice Transgenic for Human ACE2. J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Virol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2008; 82:7264-75.</w:t>
      </w:r>
    </w:p>
    <w:p w:rsidR="00D550D7" w:rsidRPr="00D43117" w:rsidRDefault="00D43117" w:rsidP="00D43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Arabi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YM,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Harthi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A, Hussein J,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Bouchama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Johani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Hajeer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 xml:space="preserve"> AH, et al. Severe neurologic syndrome associated with Middle East respiratory syndrome corona virus (MERS-</w:t>
      </w:r>
      <w:proofErr w:type="spellStart"/>
      <w:r w:rsidRPr="00D4311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D43117">
        <w:rPr>
          <w:rFonts w:ascii="Times New Roman" w:hAnsi="Times New Roman" w:cs="Times New Roman"/>
          <w:sz w:val="24"/>
          <w:szCs w:val="24"/>
        </w:rPr>
        <w:t>). Infection 2015; 43:495-501.</w:t>
      </w:r>
    </w:p>
    <w:sectPr w:rsidR="00D550D7" w:rsidRPr="00D4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7"/>
    <w:rsid w:val="0015492E"/>
    <w:rsid w:val="007D7E22"/>
    <w:rsid w:val="00837196"/>
    <w:rsid w:val="008951AB"/>
    <w:rsid w:val="00D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71A9"/>
  <w15:chartTrackingRefBased/>
  <w15:docId w15:val="{97E337B0-66B6-4B40-B9BD-5B9EE0A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oNerve.com" TargetMode="External"/><Relationship Id="rId5" Type="http://schemas.openxmlformats.org/officeDocument/2006/relationships/hyperlink" Target="mailto:Benedict.Michael@liv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E844-FDBA-4D42-BFE0-6DFAC81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 I.</dc:creator>
  <cp:keywords/>
  <dc:description/>
  <cp:lastModifiedBy>Galea I.</cp:lastModifiedBy>
  <cp:revision>2</cp:revision>
  <dcterms:created xsi:type="dcterms:W3CDTF">2020-05-14T14:45:00Z</dcterms:created>
  <dcterms:modified xsi:type="dcterms:W3CDTF">2020-05-14T15:17:00Z</dcterms:modified>
</cp:coreProperties>
</file>