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9B8AE" w14:textId="77777777" w:rsidR="00A66EDD" w:rsidRPr="00CA3946" w:rsidRDefault="002774D0" w:rsidP="009F460F">
      <w:pPr>
        <w:pStyle w:val="BATitle"/>
      </w:pPr>
      <w:bookmarkStart w:id="0" w:name="_GoBack"/>
      <w:bookmarkEnd w:id="0"/>
      <w:r w:rsidRPr="00CA3946">
        <w:t>Dual-Site Mediated Hydrogenation Catalysis on Pd/NiO: Selective Biomass Transformation and Maintaining Catalytic Activity at Low Pd Loading</w:t>
      </w:r>
      <w:r w:rsidR="00A66EDD" w:rsidRPr="00CA3946">
        <w:t>.</w:t>
      </w:r>
    </w:p>
    <w:p w14:paraId="791EB6CF" w14:textId="64BF55F7" w:rsidR="00A66EDD" w:rsidRPr="00CA3946" w:rsidRDefault="002774D0" w:rsidP="00513C26">
      <w:pPr>
        <w:pStyle w:val="BBAuthorName"/>
      </w:pPr>
      <w:r w:rsidRPr="00CA3946">
        <w:rPr>
          <w:lang w:val="it-IT"/>
        </w:rPr>
        <w:t>Sebastiano Campisi</w:t>
      </w:r>
      <w:r w:rsidR="00513C26" w:rsidRPr="00CA3946">
        <w:rPr>
          <w:vertAlign w:val="superscript"/>
          <w:lang w:val="it-IT"/>
        </w:rPr>
        <w:t>†</w:t>
      </w:r>
      <w:r w:rsidRPr="00CA3946">
        <w:rPr>
          <w:lang w:val="it-IT"/>
        </w:rPr>
        <w:t>, Carine E. Chan-Thaw</w:t>
      </w:r>
      <w:r w:rsidR="00513C26" w:rsidRPr="00CA3946">
        <w:rPr>
          <w:vertAlign w:val="superscript"/>
          <w:lang w:val="it-IT"/>
        </w:rPr>
        <w:t>†</w:t>
      </w:r>
      <w:r w:rsidRPr="00CA3946">
        <w:rPr>
          <w:lang w:val="it-IT"/>
        </w:rPr>
        <w:t>, Lidia E. Chinchilla</w:t>
      </w:r>
      <w:r w:rsidR="00513C26" w:rsidRPr="00CA3946">
        <w:rPr>
          <w:vertAlign w:val="superscript"/>
          <w:lang w:val="it-IT"/>
        </w:rPr>
        <w:t>‡</w:t>
      </w:r>
      <w:r w:rsidRPr="00CA3946">
        <w:rPr>
          <w:lang w:val="it-IT"/>
        </w:rPr>
        <w:t>, Arunabhiram Chutia</w:t>
      </w:r>
      <w:r w:rsidR="00513C26" w:rsidRPr="00CA3946">
        <w:rPr>
          <w:vertAlign w:val="superscript"/>
          <w:lang w:val="it-IT"/>
        </w:rPr>
        <w:t>#</w:t>
      </w:r>
      <w:r w:rsidRPr="00CA3946">
        <w:rPr>
          <w:lang w:val="it-IT"/>
        </w:rPr>
        <w:t>,</w:t>
      </w:r>
      <w:r w:rsidR="00513C26" w:rsidRPr="00CA3946">
        <w:rPr>
          <w:lang w:val="it-IT"/>
        </w:rPr>
        <w:t xml:space="preserve"> Gianluigi A. Botton</w:t>
      </w:r>
      <w:r w:rsidR="00513C26" w:rsidRPr="00CA3946">
        <w:rPr>
          <w:vertAlign w:val="superscript"/>
          <w:lang w:val="it-IT"/>
        </w:rPr>
        <w:t>‡</w:t>
      </w:r>
      <w:r w:rsidRPr="00CA3946">
        <w:rPr>
          <w:lang w:val="it-IT"/>
        </w:rPr>
        <w:t xml:space="preserve">,  Khaled. </w:t>
      </w:r>
      <w:r w:rsidRPr="00CA3946">
        <w:t>M. H. Mohammed</w:t>
      </w:r>
      <w:r w:rsidR="00513C26" w:rsidRPr="00CA3946">
        <w:rPr>
          <w:vertAlign w:val="superscript"/>
        </w:rPr>
        <w:t>§,¢</w:t>
      </w:r>
      <w:r w:rsidRPr="00CA3946">
        <w:t>, Nikolaos Dimitratos</w:t>
      </w:r>
      <w:r w:rsidR="00513C26" w:rsidRPr="00CA3946">
        <w:rPr>
          <w:vertAlign w:val="superscript"/>
        </w:rPr>
        <w:t>¥</w:t>
      </w:r>
      <w:r w:rsidRPr="00CA3946">
        <w:t>, Peter P. Wells</w:t>
      </w:r>
      <w:r w:rsidR="00513C26" w:rsidRPr="00CA3946">
        <w:rPr>
          <w:vertAlign w:val="superscript"/>
        </w:rPr>
        <w:t>§</w:t>
      </w:r>
      <w:r w:rsidRPr="00CA3946">
        <w:rPr>
          <w:vertAlign w:val="superscript"/>
        </w:rPr>
        <w:t>,</w:t>
      </w:r>
      <w:r w:rsidR="00513C26" w:rsidRPr="00CA3946">
        <w:rPr>
          <w:vertAlign w:val="superscript"/>
        </w:rPr>
        <w:t>◊</w:t>
      </w:r>
      <w:r w:rsidRPr="00CA3946">
        <w:rPr>
          <w:vertAlign w:val="superscript"/>
        </w:rPr>
        <w:t>,</w:t>
      </w:r>
      <w:r w:rsidR="00513C26" w:rsidRPr="00CA3946">
        <w:rPr>
          <w:vertAlign w:val="superscript"/>
        </w:rPr>
        <w:t>○</w:t>
      </w:r>
      <w:r w:rsidRPr="00CA3946">
        <w:t>* and Alberto Villa</w:t>
      </w:r>
      <w:r w:rsidR="00513C26" w:rsidRPr="00CA3946">
        <w:rPr>
          <w:vertAlign w:val="superscript"/>
          <w:lang w:val="en-GB"/>
        </w:rPr>
        <w:t>†</w:t>
      </w:r>
      <w:r w:rsidRPr="00CA3946">
        <w:t>*</w:t>
      </w:r>
    </w:p>
    <w:p w14:paraId="2A582DF8" w14:textId="77777777" w:rsidR="002774D0" w:rsidRPr="00CA3946" w:rsidRDefault="002774D0" w:rsidP="002774D0">
      <w:pPr>
        <w:pStyle w:val="BCAuthorAddress"/>
        <w:rPr>
          <w:lang w:val="it-IT"/>
        </w:rPr>
      </w:pPr>
      <w:r w:rsidRPr="00CA3946">
        <w:rPr>
          <w:lang w:val="it-IT"/>
        </w:rPr>
        <w:t>† Dipartimento di Chimica, Università degli Studi di Milano, via Golgi 19, 20133 Milano, Italy.</w:t>
      </w:r>
    </w:p>
    <w:p w14:paraId="13E845DC" w14:textId="77777777" w:rsidR="002774D0" w:rsidRPr="00CA3946" w:rsidRDefault="002774D0" w:rsidP="002774D0">
      <w:pPr>
        <w:pStyle w:val="BCAuthorAddress"/>
      </w:pPr>
      <w:r w:rsidRPr="00CA3946">
        <w:t>‡ McMaster University, Department of Materials Science and Engineering, Hamilton, Ontario, L8S 4M, Canada.</w:t>
      </w:r>
    </w:p>
    <w:p w14:paraId="50CCB654" w14:textId="77777777" w:rsidR="002774D0" w:rsidRPr="00CA3946" w:rsidRDefault="002774D0" w:rsidP="002774D0">
      <w:pPr>
        <w:pStyle w:val="BCAuthorAddress"/>
      </w:pPr>
      <w:r w:rsidRPr="00CA3946">
        <w:t># School of Chemistry, University of Lincoln, Lincoln, LN6 7TS.</w:t>
      </w:r>
    </w:p>
    <w:p w14:paraId="587B9133" w14:textId="77777777" w:rsidR="002774D0" w:rsidRPr="00CA3946" w:rsidRDefault="002774D0" w:rsidP="00513C26">
      <w:pPr>
        <w:pStyle w:val="BCAuthorAddress"/>
      </w:pPr>
      <w:r w:rsidRPr="00CA3946">
        <w:t xml:space="preserve">§ </w:t>
      </w:r>
      <w:r w:rsidR="00513C26" w:rsidRPr="00CA3946">
        <w:t>School of Chemistry, University of Southampton</w:t>
      </w:r>
      <w:r w:rsidRPr="00CA3946">
        <w:t xml:space="preserve">, University Road, Southampton, SO17 1BJ, United Kingdom. </w:t>
      </w:r>
    </w:p>
    <w:p w14:paraId="177E45D2" w14:textId="77777777" w:rsidR="00142489" w:rsidRPr="00CA3946" w:rsidRDefault="00142489" w:rsidP="00142489">
      <w:pPr>
        <w:pStyle w:val="BCAuthorAddress"/>
      </w:pPr>
      <w:r w:rsidRPr="00CA3946">
        <w:t>¢ Department of Chemistry, Faculty of Science, Sohag University, Sohag, P.O.Box 82524, Egypt.</w:t>
      </w:r>
    </w:p>
    <w:p w14:paraId="6249392B" w14:textId="77777777" w:rsidR="002774D0" w:rsidRPr="00CA3946" w:rsidRDefault="002774D0" w:rsidP="00513C26">
      <w:pPr>
        <w:pStyle w:val="BCAuthorAddress"/>
        <w:rPr>
          <w:lang w:val="it-IT"/>
        </w:rPr>
      </w:pPr>
      <w:r w:rsidRPr="00CA3946">
        <w:rPr>
          <w:lang w:val="it-IT"/>
        </w:rPr>
        <w:t xml:space="preserve">¥ </w:t>
      </w:r>
      <w:r w:rsidR="00513C26" w:rsidRPr="00CA3946">
        <w:rPr>
          <w:lang w:val="it-IT"/>
        </w:rPr>
        <w:t>Dipartimento di Chimica Industriale “Toso Montanari”, Alma Mater Studiorum, University of Bologna, Viale Risorgimento 4, 40136, Bologna, Italy.</w:t>
      </w:r>
      <w:r w:rsidRPr="00CA3946">
        <w:rPr>
          <w:lang w:val="it-IT"/>
        </w:rPr>
        <w:t xml:space="preserve"> </w:t>
      </w:r>
    </w:p>
    <w:p w14:paraId="2E230316" w14:textId="77777777" w:rsidR="002774D0" w:rsidRPr="00CA3946" w:rsidRDefault="002774D0" w:rsidP="00513C26">
      <w:pPr>
        <w:pStyle w:val="BCAuthorAddress"/>
      </w:pPr>
      <w:r w:rsidRPr="00CA3946">
        <w:t xml:space="preserve">◊ </w:t>
      </w:r>
      <w:r w:rsidR="00513C26" w:rsidRPr="00CA3946">
        <w:t>UK Catalysis Hub, Research Complex at Harwell, Rutherford Appleton Laboratory, Harwell Oxon, Didcot, OX11 0FA.</w:t>
      </w:r>
    </w:p>
    <w:p w14:paraId="103A1C04" w14:textId="77777777" w:rsidR="002774D0" w:rsidRPr="00CA3946" w:rsidRDefault="002774D0" w:rsidP="00513C26">
      <w:pPr>
        <w:pStyle w:val="BCAuthorAddress"/>
      </w:pPr>
      <w:r w:rsidRPr="00CA3946">
        <w:t xml:space="preserve">○ </w:t>
      </w:r>
      <w:r w:rsidR="00513C26" w:rsidRPr="00CA3946">
        <w:t>Diamond Light Source Ltd., Harwell Science and Innovation Campus, Chilton, Didcot OX11 0DE, United Kingdom.</w:t>
      </w:r>
    </w:p>
    <w:p w14:paraId="205181B3" w14:textId="77777777" w:rsidR="00BE533F" w:rsidRPr="00CA3946" w:rsidRDefault="00BE533F" w:rsidP="00A524DC">
      <w:pPr>
        <w:pStyle w:val="BGKeywords"/>
      </w:pPr>
      <w:r w:rsidRPr="00CA3946">
        <w:t>KEYWORDS</w:t>
      </w:r>
      <w:r w:rsidR="00A524DC" w:rsidRPr="00CA3946">
        <w:t xml:space="preserve">: </w:t>
      </w:r>
      <w:r w:rsidR="00CD59CF" w:rsidRPr="00CA3946">
        <w:t>Furfural</w:t>
      </w:r>
      <w:r w:rsidR="00A524DC" w:rsidRPr="00CA3946">
        <w:t xml:space="preserve"> hydrogenation, </w:t>
      </w:r>
      <w:r w:rsidR="00CD59CF" w:rsidRPr="00CA3946">
        <w:t>Pd, NiO, heterogeneous catalysis, hydrogen spillover</w:t>
      </w:r>
    </w:p>
    <w:p w14:paraId="71E96500" w14:textId="77777777" w:rsidR="00A66EDD" w:rsidRPr="00CA3946" w:rsidRDefault="005329C7" w:rsidP="007F6792">
      <w:pPr>
        <w:pStyle w:val="StyleBIEmailAddress95pt"/>
        <w:sectPr w:rsidR="00A66EDD" w:rsidRPr="00CA3946" w:rsidSect="00984F9E">
          <w:headerReference w:type="default" r:id="rId8"/>
          <w:footerReference w:type="even" r:id="rId9"/>
          <w:footerReference w:type="default" r:id="rId10"/>
          <w:type w:val="continuous"/>
          <w:pgSz w:w="12240" w:h="15840" w:code="1"/>
          <w:pgMar w:top="720" w:right="1094" w:bottom="720" w:left="1094" w:header="720" w:footer="720" w:gutter="0"/>
          <w:cols w:space="720"/>
          <w:titlePg/>
        </w:sectPr>
      </w:pPr>
      <w:r w:rsidRPr="00CA3946">
        <w:t xml:space="preserve"> </w:t>
      </w:r>
    </w:p>
    <w:p w14:paraId="21D49AF3" w14:textId="1B51C6D0" w:rsidR="00552A07" w:rsidRPr="00CA3946" w:rsidRDefault="00552A07" w:rsidP="007611B2">
      <w:pPr>
        <w:pStyle w:val="BDAbstract"/>
      </w:pPr>
      <w:r w:rsidRPr="00CA3946">
        <w:rPr>
          <w:rStyle w:val="BDAbstractTitleChar"/>
        </w:rPr>
        <w:lastRenderedPageBreak/>
        <w:t>ABSTRACT</w:t>
      </w:r>
      <w:r w:rsidR="006532A9" w:rsidRPr="00CA3946">
        <w:rPr>
          <w:rStyle w:val="BDAbstractTitleChar"/>
        </w:rPr>
        <w:t>:</w:t>
      </w:r>
      <w:r w:rsidRPr="00CA3946">
        <w:t xml:space="preserve"> </w:t>
      </w:r>
      <w:r w:rsidR="007611B2" w:rsidRPr="00CA3946">
        <w:t>Creating a new chemical ecosystem based on platform chemicals derived from waste biomass has significant challenges; catalysts need to be able to convert these highly functionalised molecules to specific target chemicals, economical – not relying on large quantities of precious metals - and maintain activity over many cycles.  Herein, we demonstrate how Pd/NiO is able to direct the selectivity of furfural hydrogenation and maintain performance at low Pd loading by a unique dual-site mechanism. Sol-immobilization was used to prepare 1 wt% Pd nanoparticles supported on NiO and TiO</w:t>
      </w:r>
      <w:r w:rsidR="007611B2" w:rsidRPr="00CA3946">
        <w:rPr>
          <w:vertAlign w:val="subscript"/>
        </w:rPr>
        <w:t>2</w:t>
      </w:r>
      <w:r w:rsidR="007611B2" w:rsidRPr="00CA3946">
        <w:t>, with the Pd/NiO catalyst showing enhanced activity with a significantly different selectivity profile; Pd/NiO favours tetrahydrofurfuryl alcohol (72%), whereas Pd/TiO</w:t>
      </w:r>
      <w:r w:rsidR="007611B2" w:rsidRPr="00CA3946">
        <w:rPr>
          <w:vertAlign w:val="subscript"/>
        </w:rPr>
        <w:t>2</w:t>
      </w:r>
      <w:r w:rsidR="007611B2" w:rsidRPr="00CA3946">
        <w:t xml:space="preserve"> produces furfuryl alcohol as the major product (68%). Density functional theory studies evidenced significant differences on the adsorption of furfural on both NiO and Pd surfaces.  Based on this observation we hypothesised that the role of Pd was to dissociate hydrogen, with the NiO surface adsorbing furfural. This dual-site hydrogenation mechanism was supported by comparing the performance of 0.1 wt% Pd/NiO and 0.1 wt% Pd/TiO</w:t>
      </w:r>
      <w:r w:rsidR="007611B2" w:rsidRPr="00CA3946">
        <w:rPr>
          <w:vertAlign w:val="subscript"/>
        </w:rPr>
        <w:t>2</w:t>
      </w:r>
      <w:r w:rsidR="007611B2" w:rsidRPr="00CA3946">
        <w:t>. In this study, the 0.1 and 1 wt% Pd/NiO catalysts had a comparable activity, whereas there was a 10</w:t>
      </w:r>
      <w:r w:rsidR="00744166" w:rsidRPr="00CA3946">
        <w:t>-</w:t>
      </w:r>
      <w:r w:rsidR="007611B2" w:rsidRPr="00CA3946">
        <w:t>fold redu</w:t>
      </w:r>
      <w:r w:rsidR="00E427CA" w:rsidRPr="00CA3946">
        <w:t>ction in performance for 0.1 wt</w:t>
      </w:r>
      <w:r w:rsidR="007611B2" w:rsidRPr="00CA3946">
        <w:t>% Pd/TiO</w:t>
      </w:r>
      <w:r w:rsidR="007611B2" w:rsidRPr="00CA3946">
        <w:rPr>
          <w:vertAlign w:val="subscript"/>
        </w:rPr>
        <w:t>2</w:t>
      </w:r>
      <w:r w:rsidR="007611B2" w:rsidRPr="00CA3946">
        <w:t>. When using TiO</w:t>
      </w:r>
      <w:r w:rsidR="007611B2" w:rsidRPr="00CA3946">
        <w:rPr>
          <w:vertAlign w:val="subscript"/>
        </w:rPr>
        <w:t>2</w:t>
      </w:r>
      <w:r w:rsidR="007611B2" w:rsidRPr="00CA3946">
        <w:t xml:space="preserve"> as the support the Pd nanoparticles are responsible for both hydrogen dissociation and furfural adsorption, and the activity is strongly correlated with the effective metal surface area. This work has significant implications for the upgrading of bio-derived feedstocks, suggesting alternative ways for promoting selective transformations and reducing the reliance on precious metals.</w:t>
      </w:r>
    </w:p>
    <w:p w14:paraId="7449301F" w14:textId="77777777" w:rsidR="004E35E0" w:rsidRPr="00CA3946" w:rsidRDefault="004E35E0" w:rsidP="003D4A1F">
      <w:pPr>
        <w:pStyle w:val="TAMainText"/>
        <w:sectPr w:rsidR="004E35E0" w:rsidRPr="00CA3946" w:rsidSect="004E35E0">
          <w:type w:val="continuous"/>
          <w:pgSz w:w="12240" w:h="15840"/>
          <w:pgMar w:top="720" w:right="1094" w:bottom="720" w:left="1094" w:header="720" w:footer="720" w:gutter="0"/>
          <w:cols w:space="461"/>
        </w:sectPr>
      </w:pPr>
    </w:p>
    <w:p w14:paraId="36C7F8EB" w14:textId="77777777" w:rsidR="0068063B" w:rsidRPr="00CA3946" w:rsidRDefault="0068063B" w:rsidP="0068063B">
      <w:pPr>
        <w:pStyle w:val="TDAckTitle"/>
      </w:pPr>
      <w:r w:rsidRPr="00CA3946">
        <w:lastRenderedPageBreak/>
        <w:t>INTRODUCTION</w:t>
      </w:r>
    </w:p>
    <w:p w14:paraId="30A51954" w14:textId="77777777" w:rsidR="00A66EDD" w:rsidRPr="00CA3946" w:rsidRDefault="007611B2" w:rsidP="003D4A1F">
      <w:pPr>
        <w:pStyle w:val="TAMainText"/>
      </w:pPr>
      <w:r w:rsidRPr="00CA3946">
        <w:t xml:space="preserve">To expedite the transition from a chemical ecosystem based on petroleum to one based on those derived from sustainable bio-derived platform chemicals requires a concerted effort: catalysts need to be (i) highly active at mild conditions, (ii) be atom efficient and achieve a high selectivity to a desired product, (iii) maintain performance over many cycles, and (iv) be economical by not relying on large amounts of scarce and expensive metals. This </w:t>
      </w:r>
      <w:r w:rsidRPr="00CA3946">
        <w:lastRenderedPageBreak/>
        <w:t>objective necessitates detailed catalytic studies that probes the performance on an atomistic level and are able to describe how specific materials promote these complex transformations.</w:t>
      </w:r>
    </w:p>
    <w:p w14:paraId="48C969B5" w14:textId="33C234A5" w:rsidR="00252BD7" w:rsidRPr="00CA3946" w:rsidRDefault="007611B2" w:rsidP="003A2C01">
      <w:pPr>
        <w:pStyle w:val="TAMainText"/>
      </w:pPr>
      <w:r w:rsidRPr="00CA3946">
        <w:t>In this regard, there have been significant efforts to understand the transformation of lignocellulosic biomass to fine chemicals and fuels.</w:t>
      </w:r>
      <w:r w:rsidR="003A2C01" w:rsidRPr="00CA3946">
        <w:fldChar w:fldCharType="begin" w:fldLock="1"/>
      </w:r>
      <w:r w:rsidR="0097007D" w:rsidRPr="00CA3946">
        <w:instrText>ADDIN CSL_CITATION {"citationItems":[{"id":"ITEM-1","itemData":{"DOI":"10.1021/cr068360d","ISSN":"0009-2665","author":[{"dropping-particle":"","family":"Huber","given":"George W","non-dropping-particle":"","parse-names":false,"suffix":""},{"dropping-particle":"","family":"Iborra","given":"Sara","non-dropping-particle":"","parse-names":false,"suffix":""},{"dropping-particle":"","family":"Corma","given":"Avelino","non-dropping-particle":"","parse-names":false,"suffix":""}],"container-title":"Chemical Reviews","id":"ITEM-1","issue":"9","issued":{"date-parts":[["2006","9","1"]]},"note":"doi: 10.1021/cr068360d","page":"4044-4098","publisher":"American Chemical Society","title":"Synthesis of Transportation Fuels from Biomass:</w:instrText>
      </w:r>
      <w:r w:rsidR="0097007D" w:rsidRPr="00CA3946">
        <w:rPr>
          <w:rFonts w:ascii="Times New Roman" w:hAnsi="Times New Roman"/>
        </w:rPr>
        <w:instrText> </w:instrText>
      </w:r>
      <w:r w:rsidR="0097007D" w:rsidRPr="00CA3946">
        <w:instrText xml:space="preserve"> Chemistry, Catalysts, and Engineering","type":"article-journal","volume":"106"},"uris":["http://www.mendeley.com/documents/?uuid=51b05308-45a7-4ca1-8a52-9cab68ee5a47"]},{"id":"ITEM-2","itemData":{"DOI":"10.1002/anie.200604274","ISSN":"14337851","abstract":"Biomass has the potential to serve as a sustainable source of energy and organic carbon for our industrialized society. The focus of this Review is to present an overview of chemical catalytic transformations of biomass-derived oxygenated feedstocks (primarily sugars and sugar-alcohols) in the liquid phase to value-added chemicals and fuels, with specific examples emphasizing the development of catalytic processes based on an understanding of the fundamental reaction chemistry. The key reactions involved in the processing of biomass are hydrolysis, dehydration, isomerization, aldol condensation, reforming, hydrogenation, and oxidation. Further, it is discussed how ideas based on fundamental chemical and catalytic concepts lead to strategies for the control of reaction pathways and process conditions to produce H2/CO 2 or H2/CO gas mixtures by aqueous-phase reforming, to produce furan compounds by selective dehydration of carbohydrates, and to produce liquid alkanes by the combination of aldol condensation and dehydration/hydrogenation processes. © 2007 Wiley-VCH Verlag GmbH S. Co. KGaA.","author":[{"dropping-particle":"","family":"Chheda","given":"Juben N.","non-dropping-particle":"","parse-names":false,"suffix":""},{"dropping-particle":"","family":"Huber","given":"George W.","non-dropping-particle":"","parse-names":false,"suffix":""},{"dropping-particle":"","family":"Dumesic","given":"James A.","non-dropping-particle":"","parse-names":false,"suffix":""}],"container-title":"Angewandte Chemie - International Edition","id":"ITEM-2","issue":"38","issued":{"date-parts":[["2007","9"]]},"page":"7164-7183","publisher":"John Wiley &amp; Sons, Ltd","title":"Liquid-phase catalytic processing of biomass-derived oxygenated hydrocarbons to fuels and chemicals","type":"article-journal","volume":"46"},"uris":["http://www.mendeley.com/documents/?uuid=21fabdfb-4e5b-4fae-b264-41fca9cb6be4"]},{"id":"ITEM-3","itemData":{"DOI":"10.1021/cr4002269","ISSN":"0009-2665","author":[{"dropping-particle":"","family":"Besson","given":"Michèle","non-dropping-particle":"","parse-names":false,"suffix":""},{"dropping-particle":"","family":"Gallezot","given":"Pierre","non-dropping-particle":"","parse-names":false,"suffix":""},{"dropping-particle":"","family":"Pinel","given":"Catherine","non-dropping-particle":"","parse-names":false,"suffix":""}],"container-title":"Chemical Reviews","id":"ITEM-3","issue":"3","issued":{"date-parts":[["2014","2","12"]]},"note":"doi: 10.1021/cr4002269","page":"1827-1870","publisher":"American Chemical Society","title":"Conversion of Biomass into Chemicals over Metal Catalysts","type":"article-journal","volume":"114"},"uris":["http://www.mendeley.com/documents/?uuid=3077cef1-8d1d-41f1-97b0-d26280c2fa5a"]}],"mendeley":{"formattedCitation":"&lt;sup&gt;1–3&lt;/sup&gt;","plainTextFormattedCitation":"1–3","previouslyFormattedCitation":"&lt;sup&gt;1–3&lt;/sup&gt;"},"properties":{"noteIndex":0},"schema":"https://github.com/citation-style-language/schema/raw/master/csl-citation.json"}</w:instrText>
      </w:r>
      <w:r w:rsidR="003A2C01" w:rsidRPr="00CA3946">
        <w:fldChar w:fldCharType="separate"/>
      </w:r>
      <w:r w:rsidR="003A2C01" w:rsidRPr="00CA3946">
        <w:rPr>
          <w:noProof/>
          <w:vertAlign w:val="superscript"/>
        </w:rPr>
        <w:t>1–3</w:t>
      </w:r>
      <w:r w:rsidR="003A2C01" w:rsidRPr="00CA3946">
        <w:fldChar w:fldCharType="end"/>
      </w:r>
      <w:r w:rsidRPr="00CA3946">
        <w:t xml:space="preserve"> Furfural, derived from the hydrolysis of the hemicellulosic fraction of lignocellulose, is considered as a viable platform molecule to many value-added products (Scheme 1).</w:t>
      </w:r>
      <w:r w:rsidR="003A2C01" w:rsidRPr="00CA3946">
        <w:fldChar w:fldCharType="begin" w:fldLock="1"/>
      </w:r>
      <w:r w:rsidR="0097007D" w:rsidRPr="00CA3946">
        <w:instrText>ADDIN CSL_CITATION {"citationItems":[{"id":"ITEM-1","itemData":{"DOI":"10.1039/c2cy20235b","ISSN":"20444753","abstract":"Recent approaches to furfural synthesis from hemicellulosic biomass and pentose sugars with both homogeneous and solid acidic catalysts have been summarized by addressing the associated sustainability issues. The features of deconstruction of hemicellulosic biomass by acid hydrolysis to produce pentose sugar feedstock for furfural have been discussed in brief. Several strategies including solvent extraction in a biphasic process, application of surface functionalized materials such as acidic resins, mesoporous solids and mechanistic insight in limited cases are discussed. The present status of the promising furfural platform in producing second generation biofuels (furanics and hydrocarbon) is reviewed. The performances of each catalytic system are assessed in terms of intrinsic reactivity and selectivity toward furfural production. Overall, this minireview attempts to highlight the scope of further developments for a sustainable furfural process and upgrading to fuels. © 2012 The Royal Society of Chemistry.","author":[{"dropping-particle":"","family":"Dutta","given":"Saikat","non-dropping-particle":"","parse-names":false,"suffix":""},{"dropping-particle":"","family":"De","given":"Sudipta","non-dropping-particle":"","parse-names":false,"suffix":""},{"dropping-particle":"","family":"Saha","given":"Basudeb","non-dropping-particle":"","parse-names":false,"suffix":""},{"dropping-particle":"","family":"Alam","given":"Md Imteyaz","non-dropping-particle":"","parse-names":false,"suffix":""}],"container-title":"Catalysis Science and Technology","id":"ITEM-1","issue":"10","issued":{"date-parts":[["2012"]]},"page":"2025-2036","publisher":"The Royal Society of Chemistry","title":"Advances in conversion of hemicellulosic biomass to furfural and upgrading to biofuels","type":"article-journal","volume":"2"},"uris":["http://www.mendeley.com/documents/?uuid=6236592d-2341-47cd-ac0c-f9915e47896e","http://www.mendeley.com/documents/?uuid=ad025a9b-806e-4b6e-8d0b-efffc908df10"]},{"id":"ITEM-2","itemData":{"DOI":"10.1016/j.jcat.2010.10.005","ISSN":"00219517","abstract":"The hydrogenation/hydrodeoxygenation of furfural was studied on a Cu/SiO2 catalyst at 230-290 °C. Detailed kinetics, density function (DFT) calculations, and spectroscopic studies were combined to investigate this reaction. A Langmuir-Hinshelwood model was found to fit the kinetic data well and provided the parameters of physical significance. The heat of adsorption (ΔHads) of furfural, derived from the fitting, was found to be significantly higher than those of furfuryl alcohol and 2-methyl furan. Activation energies for the conversion of furfural and furfuryl alcohol were both about 12 kcal/mol. DFT calculations and DRIFTS provided guidance about the nature of the surface species. Accordingly, the most likely species adsorbed on the Cu surface is suggested to be a top η1(O)- aldehyde. DFT calculations of the reaction path show that the predicted energy barriers are of the same order as the experimental values and suggest that the hydrogenation of furfural can occur via either an alkoxide or ahydroxyalkyl intermediate. © 2010 Elsevier Inc.","author":[{"dropping-particle":"","family":"Sitthisa","given":"Surapas","non-dropping-particle":"","parse-names":false,"suffix":""},{"dropping-particle":"","family":"Sooknoi","given":"Tawan","non-dropping-particle":"","parse-names":false,"suffix":""},{"dropping-particle":"","family":"Ma","given":"Yuguang","non-dropping-particle":"","parse-names":false,"suffix":""},{"dropping-particle":"","family":"Balbuena","given":"Perla B.","non-dropping-particle":"","parse-names":false,"suffix":""},{"dropping-particle":"","family":"Resasco","given":"Daniel E.","non-dropping-particle":"","parse-names":false,"suffix":""}],"container-title":"Journal of Catalysis","id":"ITEM-2","issue":"1","issued":{"date-parts":[["2011"]]},"page":"1-13","publisher":"Elsevier Inc.","title":"Kinetics and mechanism of hydrogenation of furfural on Cu/SiO2 catalysts","type":"article-journal","volume":"277"},"uris":["http://www.mendeley.com/documents/?uuid=c9166166-08a9-4d37-92ef-f197286c9e23"]}],"mendeley":{"formattedCitation":"&lt;sup&gt;4,5&lt;/sup&gt;","plainTextFormattedCitation":"4,5","previouslyFormattedCitation":"&lt;sup&gt;4,5&lt;/sup&gt;"},"properties":{"noteIndex":0},"schema":"https://github.com/citation-style-language/schema/raw/master/csl-citation.json"}</w:instrText>
      </w:r>
      <w:r w:rsidR="003A2C01" w:rsidRPr="00CA3946">
        <w:fldChar w:fldCharType="separate"/>
      </w:r>
      <w:r w:rsidR="003A2C01" w:rsidRPr="00CA3946">
        <w:rPr>
          <w:noProof/>
          <w:vertAlign w:val="superscript"/>
        </w:rPr>
        <w:t>4,5</w:t>
      </w:r>
      <w:r w:rsidR="003A2C01" w:rsidRPr="00CA3946">
        <w:fldChar w:fldCharType="end"/>
      </w:r>
      <w:r w:rsidRPr="00CA3946">
        <w:t xml:space="preserve"> Furfuryl alcohol (FA), </w:t>
      </w:r>
      <w:r w:rsidRPr="00CA3946">
        <w:lastRenderedPageBreak/>
        <w:t>obtained via hydrogenation of the furfural carbonyl group, is widely used for producing resins, lubricants, plasticizers and fibers.</w:t>
      </w:r>
      <w:r w:rsidR="003A2C01" w:rsidRPr="00CA3946">
        <w:fldChar w:fldCharType="begin" w:fldLock="1"/>
      </w:r>
      <w:r w:rsidR="0097007D" w:rsidRPr="00CA3946">
        <w:instrText>ADDIN CSL_CITATION {"citationItems":[{"id":"ITEM-1","itemData":{"DOI":"10.1016/j.jcat.2011.02.006","ISSN":"00219517","abstract":"The conversion of furfural (FAL) and 2-methylpentanal (MPAL) under hydrogen has been studied over silica-supported monometallic Pd and bimetallic Pd-Cu catalysts. At low space times, the conversion of MPAL yields primarily pentane (decarbonylation), but at higher space times, di-methylpentyl ether (etherification) becomes the main product. Upon addition of Cu, both the overall activity and the decarbonylation selectivity decrease while the selectivity to hydrogenation and etherification increases. In contrast to MPAL, the conversion of FAL shows no etherification products at any space time in the temperature range 210-250 °C but only produces furan via decarbonylation. It is proposed that the presence of the aromatic ring in the furfural molecule has a marked effect in inhibiting the formation of the alkoxide surface intermediate, which is required in the etherification reaction. Density Functional Theory (DFT) calculations of furfural and 2-methyl pentanal have been conducted to gain a better understanding of the differences in the molecule-surface interactions between the aldehydes and the Pd and Pd-Cu surfaces. The reaction mechanisms and the resulting selectivity towards the possible reaction paths (hydrogenation/etherification/decarbonylation) are discussed in terms of the relative stability of the η2-(C,O) and acyl surface species occurring on the different metal surfaces. © 2011 Elsevier Inc. All rights reserved.","author":[{"dropping-particle":"","family":"Sitthisa","given":"Surapas","non-dropping-particle":"","parse-names":false,"suffix":""},{"dropping-particle":"","family":"Pham","given":"Trung","non-dropping-particle":"","parse-names":false,"suffix":""},{"dropping-particle":"","family":"Prasomsri","given":"Teerawit","non-dropping-particle":"","parse-names":false,"suffix":""},{"dropping-particle":"","family":"Sooknoi","given":"Tawan","non-dropping-particle":"","parse-names":false,"suffix":""},{"dropping-particle":"","family":"Mallinson","given":"Richard G.","non-dropping-particle":"","parse-names":false,"suffix":""},{"dropping-particle":"","family":"Resasco","given":"Daniel E.","non-dropping-particle":"","parse-names":false,"suffix":""}],"container-title":"Journal of Catalysis","id":"ITEM-1","issue":"1","issued":{"date-parts":[["2011"]]},"page":"17-27","title":"Conversion of furfural and 2-methylpentanal on Pd/SiO2 and Pd-Cu/SiO2 catalysts","type":"article-journal","volume":"280"},"uris":["http://www.mendeley.com/documents/?uuid=c2981380-3ab9-4eb2-8c31-74859899c999"]},{"id":"ITEM-2","itemData":{"DOI":"10.1016/j.rser.2014.07.003","ISSN":"13640321","abstract":"As our high dependence on the supply of diminishing fossil fuel reserves raise great concerns in its environmental, political and economic consequences, utilization of renewable biomass as an alternative resource has become increasingly important. Along this background, furfural as a building block, offers a promising, rich platform for lignocellulosic biofuels and value-added chemicals. These include 2-methylfuran and 2-methyltetrahydrofuran, furfuryl alcohol, tetrahydrofurfuryl alcohol, furan, tetrahydrofuran as well as various cyclo-products (e.g., cyclopentanol, cyclopentanone). The various production routes started from furfural to various fuel additives and chemicals are critically reviewed, and the current technologies for efficient production are identified. Their potential applications as well as the fuel properties of these products are discussed. Challenges and areas that need improvement are also highlighted in the corresponding area. In short, we conduct a comprehensive review of the strategies to produce furfural, new approaches and numerous possibilities to utilize furfural in industrial and laboratory sector for the production of fuel additives and value-added chemicals. © 2014 Elsevier Ltd.","author":[{"dropping-particle":"","family":"Yan","given":"Kai","non-dropping-particle":"","parse-names":false,"suffix":""},{"dropping-particle":"","family":"Wu","given":"Guosheng","non-dropping-particle":"","parse-names":false,"suffix":""},{"dropping-particle":"","family":"Lafleur","given":"Todd","non-dropping-particle":"","parse-names":false,"suffix":""},{"dropping-particle":"","family":"Jarvis","given":"Cody","non-dropping-particle":"","parse-names":false,"suffix":""}],"container-title":"Renewable and Sustainable Energy Reviews","id":"ITEM-2","issued":{"date-parts":[["2014"]]},"page":"663-676","title":"Production, properties and catalytic hydrogenation of furfural to fuel additives and value-added chemicals","type":"article-journal","volume":"38"},"uris":["http://www.mendeley.com/documents/?uuid=fff26100-d031-4644-a932-f69b6081476e","http://www.mendeley.com/documents/?uuid=707b4f12-0997-4324-901f-158bb6dd0954"]}],"mendeley":{"formattedCitation":"&lt;sup&gt;6,7&lt;/sup&gt;","plainTextFormattedCitation":"6,7","previouslyFormattedCitation":"&lt;sup&gt;6,7&lt;/sup&gt;"},"properties":{"noteIndex":0},"schema":"https://github.com/citation-style-language/schema/raw/master/csl-citation.json"}</w:instrText>
      </w:r>
      <w:r w:rsidR="003A2C01" w:rsidRPr="00CA3946">
        <w:fldChar w:fldCharType="separate"/>
      </w:r>
      <w:r w:rsidR="003A2C01" w:rsidRPr="00CA3946">
        <w:rPr>
          <w:noProof/>
          <w:vertAlign w:val="superscript"/>
        </w:rPr>
        <w:t>6,7</w:t>
      </w:r>
      <w:r w:rsidR="003A2C01" w:rsidRPr="00CA3946">
        <w:fldChar w:fldCharType="end"/>
      </w:r>
      <w:r w:rsidRPr="00CA3946">
        <w:t xml:space="preserve"> The hydrogenation of both carbonyl group and furanic ring produces tetrahydrofurfuryl alcohol (THFA), a green solvent used in printer inks and agriculture applications.</w:t>
      </w:r>
      <w:r w:rsidR="003A2C01" w:rsidRPr="00CA3946">
        <w:fldChar w:fldCharType="begin" w:fldLock="1"/>
      </w:r>
      <w:r w:rsidR="0097007D" w:rsidRPr="00CA3946">
        <w:instrText>ADDIN CSL_CITATION {"citationItems":[{"id":"ITEM-1","itemData":{"DOI":"10.1021/acscatal.6b01838","author":[{"dropping-particle":"","family":"Li","given":"Xiaodan","non-dropping-particle":"","parse-names":false,"suffix":""},{"dropping-particle":"","family":"Jia","given":"Pei","non-dropping-particle":"","parse-names":false,"suffix":""},{"dropping-particle":"","family":"Wang","given":"Tiefeng","non-dropping-particle":"","parse-names":false,"suffix":""}],"container-title":"ACS Catalysis","id":"ITEM-1","issue":"11","issued":{"date-parts":[["2016","11","4"]]},"note":"doi: 10.1021/acscatal.6b01838","page":"7621-7640","publisher":"American Chemical Society","title":"Furfural: A Promising Platform Compound for Sustainable Production of C4 and C5 Chemicals","type":"article-journal","volume":"6"},"uris":["http://www.mendeley.com/documents/?uuid=1b74ab26-7bcf-426c-bc93-400589beba0e"]}],"mendeley":{"formattedCitation":"&lt;sup&gt;8&lt;/sup&gt;","plainTextFormattedCitation":"8","previouslyFormattedCitation":"&lt;sup&gt;8&lt;/sup&gt;"},"properties":{"noteIndex":0},"schema":"https://github.com/citation-style-language/schema/raw/master/csl-citation.json"}</w:instrText>
      </w:r>
      <w:r w:rsidR="003A2C01" w:rsidRPr="00CA3946">
        <w:fldChar w:fldCharType="separate"/>
      </w:r>
      <w:r w:rsidR="003A2C01" w:rsidRPr="00CA3946">
        <w:rPr>
          <w:noProof/>
          <w:vertAlign w:val="superscript"/>
        </w:rPr>
        <w:t>8</w:t>
      </w:r>
      <w:r w:rsidR="003A2C01" w:rsidRPr="00CA3946">
        <w:fldChar w:fldCharType="end"/>
      </w:r>
      <w:r w:rsidRPr="00CA3946">
        <w:t xml:space="preserve"> In spite of the relevance of these compounds, furfural hydrogenation presents a complex pathway, requiring tailored catalysts to direct the selectivity towards desired products.</w:t>
      </w:r>
    </w:p>
    <w:p w14:paraId="71E91573" w14:textId="77777777" w:rsidR="00CE7BC2" w:rsidRPr="00CA3946" w:rsidRDefault="00CE7BC2" w:rsidP="003D4A1F">
      <w:pPr>
        <w:pStyle w:val="TAMainText"/>
        <w:rPr>
          <w:noProof/>
          <w:lang w:val="en-GB" w:eastAsia="zh-CN"/>
        </w:rPr>
      </w:pPr>
      <w:r w:rsidRPr="00CA3946">
        <w:rPr>
          <w:noProof/>
          <w:lang w:val="en-GB" w:eastAsia="en-GB"/>
        </w:rPr>
        <w:drawing>
          <wp:inline distT="0" distB="0" distL="0" distR="0" wp14:anchorId="6FC71594" wp14:editId="4393B45E">
            <wp:extent cx="3060000" cy="24453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000" cy="2445350"/>
                    </a:xfrm>
                    <a:prstGeom prst="rect">
                      <a:avLst/>
                    </a:prstGeom>
                    <a:noFill/>
                  </pic:spPr>
                </pic:pic>
              </a:graphicData>
            </a:graphic>
          </wp:inline>
        </w:drawing>
      </w:r>
    </w:p>
    <w:p w14:paraId="15E8CEAC" w14:textId="77777777" w:rsidR="00CE7BC2" w:rsidRPr="00CA3946" w:rsidRDefault="00CE7BC2" w:rsidP="00CE7BC2">
      <w:pPr>
        <w:spacing w:after="160" w:line="259" w:lineRule="auto"/>
        <w:jc w:val="center"/>
      </w:pPr>
      <w:r w:rsidRPr="00CA3946">
        <w:rPr>
          <w:rFonts w:ascii="Arno Pro" w:hAnsi="Arno Pro"/>
          <w:b/>
          <w:kern w:val="21"/>
          <w:sz w:val="19"/>
        </w:rPr>
        <w:t>Scheme 1. Chemical routes for furfural valorization.</w:t>
      </w:r>
    </w:p>
    <w:p w14:paraId="1F4D538F" w14:textId="74034FAE" w:rsidR="00BE1837" w:rsidRPr="00CA3946" w:rsidRDefault="007611B2" w:rsidP="003A2C01">
      <w:pPr>
        <w:pStyle w:val="TAMainText"/>
      </w:pPr>
      <w:r w:rsidRPr="00CA3946">
        <w:t>To optimise the hydrogenation reaction of furfural many noble metal catalysts have been studied.</w:t>
      </w:r>
      <w:r w:rsidR="003A2C01" w:rsidRPr="00CA3946">
        <w:fldChar w:fldCharType="begin" w:fldLock="1"/>
      </w:r>
      <w:r w:rsidR="0097007D" w:rsidRPr="00CA3946">
        <w:instrText>ADDIN CSL_CITATION {"citationItems":[{"id":"ITEM-1","itemData":{"DOI":"10.1021/cs400616p","author":[{"dropping-particle":"","family":"Nakagawa","given":"Yoshinao","non-dropping-particle":"","parse-names":false,"suffix":""},{"dropping-particle":"","family":"Tamura","given":"Masazumi","non-dropping-particle":"","parse-names":false,"suffix":""},{"dropping-particle":"","family":"Tomishige","given":"Keiichi","non-dropping-particle":"","parse-names":false,"suffix":""}],"container-title":"ACS Catalysis","id":"ITEM-1","issue":"12","issued":{"date-parts":[["2013","12","6"]]},"note":"doi: 10.1021/cs400616p","page":"2655-2668","publisher":"American Chemical Society","title":"Catalytic Reduction of Biomass-Derived Furanic Compounds with Hydrogen","type":"article-journal","volume":"3"},"uris":["http://www.mendeley.com/documents/?uuid=06bbd04c-8788-41f6-879f-aa9a0c761539"]}],"mendeley":{"formattedCitation":"&lt;sup&gt;9&lt;/sup&gt;","plainTextFormattedCitation":"9","previouslyFormattedCitation":"&lt;sup&gt;9&lt;/sup&gt;"},"properties":{"noteIndex":0},"schema":"https://github.com/citation-style-language/schema/raw/master/csl-citation.json"}</w:instrText>
      </w:r>
      <w:r w:rsidR="003A2C01" w:rsidRPr="00CA3946">
        <w:fldChar w:fldCharType="separate"/>
      </w:r>
      <w:r w:rsidR="003A2C01" w:rsidRPr="00CA3946">
        <w:rPr>
          <w:noProof/>
          <w:vertAlign w:val="superscript"/>
        </w:rPr>
        <w:t>9</w:t>
      </w:r>
      <w:r w:rsidR="003A2C01" w:rsidRPr="00CA3946">
        <w:fldChar w:fldCharType="end"/>
      </w:r>
      <w:r w:rsidRPr="00CA3946">
        <w:t xml:space="preserve"> Pd and Ir lead to the formation of FA as the main product</w:t>
      </w:r>
      <w:r w:rsidR="003A2C01" w:rsidRPr="00CA3946">
        <w:fldChar w:fldCharType="begin" w:fldLock="1"/>
      </w:r>
      <w:r w:rsidR="0097007D" w:rsidRPr="00CA3946">
        <w:instrText>ADDIN CSL_CITATION {"citationItems":[{"id":"ITEM-1","itemData":{"DOI":"10.1039/c4cy00184b","ISSN":"20444761","abstract":"The selective hydrogenation of furfuryl alcohol into 2-methylfuran was investigated at room temperature using palladium supported catalysts. We have shown that Pd-TiO2 catalysts can be very effective for the synthesis of 2-methylfuran at room temperature and low pressure of hydrogen (1-3 bar). The effect of various reaction conditions (pressure, catalyst amount, and solvent) was studied. © 2014 the Partner Organisations.","author":[{"dropping-particle":"","family":"Iqbal","given":"Sarwat","non-dropping-particle":"","parse-names":false,"suffix":""},{"dropping-particle":"","family":"Liu","given":"Xi","non-dropping-particle":"","parse-names":false,"suffix":""},{"dropping-particle":"","family":"Aldosari","given":"Obaid F.","non-dropping-particle":"","parse-names":false,"suffix":""},{"dropping-particle":"","family":"Miedziak","given":"Peter J.","non-dropping-particle":"","parse-names":false,"suffix":""},{"dropping-particle":"","family":"Edwards","given":"Jennifer K.","non-dropping-particle":"","parse-names":false,"suffix":""},{"dropping-particle":"","family":"Brett","given":"Gemma L.","non-dropping-particle":"","parse-names":false,"suffix":""},{"dropping-particle":"","family":"Akram","given":"Adeeba","non-dropping-particle":"","parse-names":false,"suffix":""},{"dropping-particle":"","family":"King","given":"Gavin M.","non-dropping-particle":"","parse-names":false,"suffix":""},{"dropping-particle":"","family":"Davies","given":"Thomas E.","non-dropping-particle":"","parse-names":false,"suffix":""},{"dropping-particle":"","family":"Morgan","given":"David J.","non-dropping-particle":"","parse-names":false,"suffix":""},{"dropping-particle":"","family":"Knight","given":"David K.","non-dropping-particle":"","parse-names":false,"suffix":""},{"dropping-particle":"","family":"Hutchings","given":"Graham J.","non-dropping-particle":"","parse-names":false,"suffix":""}],"container-title":"Catalysis Science and Technology","id":"ITEM-1","issue":"8","issued":{"date-parts":[["2014"]]},"page":"2280-2286","publisher":"The Royal Society of Chemistry","title":"Conversion of furfuryl alcohol into 2-methylfuran at room temperature using Pd/TiO2 catalyst","type":"article-journal","volume":"4"},"uris":["http://www.mendeley.com/documents/?uuid=7aea41f0-fa1a-4f67-a992-658cbde547b2"]},{"id":"ITEM-2","itemData":{"DOI":"10.1002/cctc.201200218","ISSN":"18673880","abstract":"Gas-phase hydrogenation of furfural to tetrahydrofurfuryl alcohol is catalyzed by Ni/SiO 2 with &lt;4nm Ni particle size, which is prepared by the reduction of supported nickel nitrate. The maximum yield is 94%. The conversion of furfural to the furfuryl alcohol intermediate is less structure-sensitive. The subsequent step in which furfuryl alcohol is converted to tetrahydrofurfuryl alcohol is inhibited by the presence of furfural because furfural is more strongly adsorbed onto the catalyst surface than furfuryl alcohol. This step is strongly structure-sensitive and smaller turnover frequency (TOF) values are observed over Ni/SiO 2 catalysts with a larger particle size. © 2012 WILEY-VCH Verlag GmbH &amp; Co. KGaA, Weinheim.","author":[{"dropping-particle":"","family":"Nakagawa","given":"Yoshinao","non-dropping-particle":"","parse-names":false,"suffix":""},{"dropping-particle":"","family":"Nakazawa","given":"Hiroya","non-dropping-particle":"","parse-names":false,"suffix":""},{"dropping-particle":"","family":"Watanabe","given":"Hideo","non-dropping-particle":"","parse-names":false,"suffix":""},{"dropping-particle":"","family":"Tomishige","given":"Keiichi","non-dropping-particle":"","parse-names":false,"suffix":""}],"container-title":"ChemCatChem","id":"ITEM-2","issue":"11","issued":{"date-parts":[["2012","11"]]},"page":"1791-1797","publisher":"John Wiley &amp; Sons, Ltd","title":"Total Hydrogenation of Furfural over a Silica-Supported Nickel Catalyst Prepared by the Reduction of a Nickel Nitrate Precursor","type":"article-journal","volume":"4"},"uris":["http://www.mendeley.com/documents/?uuid=53d5863d-5cd0-4a9e-943f-9a4e57fcc4f2"]}],"mendeley":{"formattedCitation":"&lt;sup&gt;10,11&lt;/sup&gt;","plainTextFormattedCitation":"10,11","previouslyFormattedCitation":"&lt;sup&gt;10,11&lt;/sup&gt;"},"properties":{"noteIndex":0},"schema":"https://github.com/citation-style-language/schema/raw/master/csl-citation.json"}</w:instrText>
      </w:r>
      <w:r w:rsidR="003A2C01" w:rsidRPr="00CA3946">
        <w:fldChar w:fldCharType="separate"/>
      </w:r>
      <w:r w:rsidR="003A2C01" w:rsidRPr="00CA3946">
        <w:rPr>
          <w:noProof/>
          <w:vertAlign w:val="superscript"/>
        </w:rPr>
        <w:t>10,11</w:t>
      </w:r>
      <w:r w:rsidR="003A2C01" w:rsidRPr="00CA3946">
        <w:fldChar w:fldCharType="end"/>
      </w:r>
      <w:r w:rsidRPr="00CA3946">
        <w:t xml:space="preserve"> whereas Ni promotes selectivity to THFA.</w:t>
      </w:r>
      <w:r w:rsidR="003A2C01" w:rsidRPr="00CA3946">
        <w:fldChar w:fldCharType="begin" w:fldLock="1"/>
      </w:r>
      <w:r w:rsidR="0097007D" w:rsidRPr="00CA3946">
        <w:instrText>ADDIN CSL_CITATION {"citationItems":[{"id":"ITEM-1","itemData":{"DOI":"10.1023/A:1019090520407","ISSN":"1011372X","abstract":"Furfural hydrogenation over copper dispersed on three forms of carbon - activated carbon, diamond and graphitized fibers - were studied. Only hydrogenation of the C=O bond to form either furfuryl alcohol or 2-methyl furan occurred at temperatures from 473 to 573 K. Reduction at 573 K gave the most active catalysts, all three catalysts had activation energies of 16 kcal/mol, and turnover frequencies were 0.018-0.032 s-1 based on the number of Cu0 + Cu+ sites, which were counted by N2O adsorption at 363 K and CO adsorption at 300 K, respectively. The Cu/activated carbon catalyst showed no deactivation during 10 h on stream, in contrast to the other two catalysts. A simple Langmuir-Hinshelwood model invoking two types of sites was able to fit all kinetic data quite satisfactorily, thus it was consistent with the presence of both Cu0 and Cu+ sites.","author":[{"dropping-particle":"","family":"Rao","given":"Rajeev S.","non-dropping-particle":"","parse-names":false,"suffix":""},{"dropping-particle":"","family":"Baker","given":"R. Terry K.","non-dropping-particle":"","parse-names":false,"suffix":""},{"dropping-particle":"","family":"Vannice","given":"M. Albert","non-dropping-particle":"","parse-names":false,"suffix":""}],"container-title":"Catalysis Letters","id":"ITEM-1","issue":"1-2","issued":{"date-parts":[["1999"]]},"page":"51-57","title":"Furfural hydrogenation over carbon-supported copper","type":"article-journal","volume":"60"},"uris":["http://www.mendeley.com/documents/?uuid=edc81aaa-d694-4eec-852c-c68097107563"]}],"mendeley":{"formattedCitation":"&lt;sup&gt;12&lt;/sup&gt;","plainTextFormattedCitation":"12","previouslyFormattedCitation":"&lt;sup&gt;12&lt;/sup&gt;"},"properties":{"noteIndex":0},"schema":"https://github.com/citation-style-language/schema/raw/master/csl-citation.json"}</w:instrText>
      </w:r>
      <w:r w:rsidR="003A2C01" w:rsidRPr="00CA3946">
        <w:fldChar w:fldCharType="separate"/>
      </w:r>
      <w:r w:rsidR="003A2C01" w:rsidRPr="00CA3946">
        <w:rPr>
          <w:noProof/>
          <w:vertAlign w:val="superscript"/>
        </w:rPr>
        <w:t>12</w:t>
      </w:r>
      <w:r w:rsidR="003A2C01" w:rsidRPr="00CA3946">
        <w:fldChar w:fldCharType="end"/>
      </w:r>
      <w:r w:rsidRPr="00CA3946">
        <w:t xml:space="preserve"> The product distribution depends on the affinity of the reactant to the metal, as well as the preferential mode of adsorption on specific sites (e.g. steps, edges, corners and terraces) of the catalyst.</w:t>
      </w:r>
      <w:r w:rsidR="003A2C01" w:rsidRPr="00CA3946">
        <w:fldChar w:fldCharType="begin" w:fldLock="1"/>
      </w:r>
      <w:r w:rsidR="0097007D" w:rsidRPr="00CA3946">
        <w:instrText>ADDIN CSL_CITATION {"citationItems":[{"id":"ITEM-1","itemData":{"DOI":"10.1021/acscatal.9b00238","ISSN":"2155-5435","author":[{"dropping-particle":"","family":"Meng","given":"Xiaoyu","non-dropping-particle":"","parse-names":false,"suffix":""},{"dropping-particle":"","family":"Yang","given":"Yusen","non-dropping-particle":"","parse-names":false,"suffix":""},{"dropping-particle":"","family":"Chen","given":"Lifang","non-dropping-particle":"","parse-names":false,"suffix":""},{"dropping-particle":"","family":"Xu","given":"Ming","non-dropping-particle":"","parse-names":false,"suffix":""},{"dropping-particle":"","family":"Zhang","given":"Xin","non-dropping-particle":"","parse-names":false,"suffix":""},{"dropping-particle":"","family":"Wei","given":"Min","non-dropping-particle":"","parse-names":false,"suffix":""}],"container-title":"ACS Catalysis","id":"ITEM-1","issued":{"date-parts":[["2019","4","12"]]},"page":"4226-4235","title":"A Control over Hydrogenation Selectivity of Furfural via Tuning Exposed Facet of Ni Catalysts","type":"article-journal"},"uris":["http://www.mendeley.com/documents/?uuid=2d6b6896-afa6-4453-a3fd-4c4f4ae7f034"]},{"id":"ITEM-2","itemData":{"DOI":"10.1021/cs400616p","author":[{"dropping-particle":"","family":"Nakagawa","given":"Yoshinao","non-dropping-particle":"","parse-names":false,"suffix":""},{"dropping-particle":"","family":"Tamura","given":"Masazumi","non-dropping-particle":"","parse-names":false,"suffix":""},{"dropping-particle":"","family":"Tomishige","given":"Keiichi","non-dropping-particle":"","parse-names":false,"suffix":""}],"container-title":"ACS Catalysis","id":"ITEM-2","issue":"12","issued":{"date-parts":[["2013","12","6"]]},"note":"doi: 10.1021/cs400616p","page":"2655-2668","publisher":"American Chemical Society","title":"Catalytic Reduction of Biomass-Derived Furanic Compounds with Hydrogen","type":"article-journal","volume":"3"},"uris":["http://www.mendeley.com/documents/?uuid=06bbd04c-8788-41f6-879f-aa9a0c761539"]}],"mendeley":{"formattedCitation":"&lt;sup&gt;9,13&lt;/sup&gt;","plainTextFormattedCitation":"9,13","previouslyFormattedCitation":"&lt;sup&gt;9,13&lt;/sup&gt;"},"properties":{"noteIndex":0},"schema":"https://github.com/citation-style-language/schema/raw/master/csl-citation.json"}</w:instrText>
      </w:r>
      <w:r w:rsidR="003A2C01" w:rsidRPr="00CA3946">
        <w:fldChar w:fldCharType="separate"/>
      </w:r>
      <w:r w:rsidR="003A2C01" w:rsidRPr="00CA3946">
        <w:rPr>
          <w:noProof/>
          <w:vertAlign w:val="superscript"/>
        </w:rPr>
        <w:t>9,13</w:t>
      </w:r>
      <w:r w:rsidR="003A2C01" w:rsidRPr="00CA3946">
        <w:fldChar w:fldCharType="end"/>
      </w:r>
      <w:r w:rsidRPr="00CA3946">
        <w:t xml:space="preserve"> A perpendicular adsorption, through the carbonyl group, results in the formation of furfuryl alcohol and 2-methyl furan.</w:t>
      </w:r>
      <w:r w:rsidR="003A2C01" w:rsidRPr="00CA3946">
        <w:fldChar w:fldCharType="begin" w:fldLock="1"/>
      </w:r>
      <w:r w:rsidR="0097007D" w:rsidRPr="00CA3946">
        <w:instrText xml:space="preserve">ADDIN CSL_CITATION {"citationItems":[{"id":"ITEM-1","itemData":{"DOI":"10.1021/acscatal.7b01095","ISSN":"21555435","abstract":"5-(Hydroxymethyl)furfural (HMF) and furfural (FF) have been identified as valuable biomass-derived fuel precursors suitable for catalytic hydrodeoxygenation (HDO) to produce high octane fuel additives such dimethyl furan (DMF) and methyl furan (MF), respectively. In order to realize economically viable production of DMF and MF from biomass, catalytic processes with high yields, low catalyst costs, and process simplicity are needed. Here, we demonstrate simultaneous coprocessing of HMF and FF over Cu-Ni/TiO2 catalysts, achieving 87.5% yield of DMF from HMF and 88.5% yield of MF from FF in a one pot reaction. The Cu-Ni/TiO2 catalyst exhibited improved stability and regeneration compared to Cu/TiO2 and Cu/Al2O3 catalysts for FF HDO, with a </w:instrText>
      </w:r>
      <w:r w:rsidR="0097007D" w:rsidRPr="00CA3946">
        <w:rPr>
          <w:rFonts w:ascii="Cambria Math" w:hAnsi="Cambria Math" w:cs="Cambria Math"/>
        </w:rPr>
        <w:instrText>∼</w:instrText>
      </w:r>
      <w:r w:rsidR="0097007D" w:rsidRPr="00CA3946">
        <w:instrText xml:space="preserve">7% loss in FF conversion over four sequential recycles, compared to a </w:instrText>
      </w:r>
      <w:r w:rsidR="0097007D" w:rsidRPr="00CA3946">
        <w:rPr>
          <w:rFonts w:ascii="Cambria Math" w:hAnsi="Cambria Math" w:cs="Cambria Math"/>
        </w:rPr>
        <w:instrText>∼</w:instrText>
      </w:r>
      <w:r w:rsidR="0097007D" w:rsidRPr="00CA3946">
        <w:instrText xml:space="preserve">50% loss in FF conversion for Cu/Al2O3 and a </w:instrText>
      </w:r>
      <w:r w:rsidR="0097007D" w:rsidRPr="00CA3946">
        <w:rPr>
          <w:rFonts w:ascii="Cambria Math" w:hAnsi="Cambria Math" w:cs="Cambria Math"/>
        </w:rPr>
        <w:instrText>∼</w:instrText>
      </w:r>
      <w:r w:rsidR="0097007D" w:rsidRPr="00CA3946">
        <w:instrText>30% loss in conversion for Cu/TiO2. Characterization of the Cu-Ni/TiO2 catalyst by X-ray photoelectron spectroscopy, scanning transmission electron microscopy, and H2-temperature-programmed reduction and comparison to monometallic Cu and Ni on Al2O3 and TiO2 and bimetallic Cu-Ni/Al2O3 catalysts suggest that the unique reactivity and stability of Cu-Ni/TiO2 derives from support-induced metal segregation in which Cu is selectively enriched at the catalyst surface, while Ni is enriched at the TiO2 interface. These results demonstrate that Cu-Ni/TiO2 catalysts promise to be a system capable of integrating directly with a combined HMF and FF product stream from biomass processing to realize lower cost production of liquid fuels from biomass.","author":[{"dropping-particle":"","family":"Seemala","given":"Bhogeswararao","non-dropping-particle":"","parse-names":false,"suffix":""},{"dropping-particle":"","family":"Cai","given":"Charles M.","non-dropping-particle":"","parse-names":false,"suffix":""},{"dropping-particle":"","family":"Wyman","given":"Charles E.","non-dropping-particle":"","parse-names":false,"suffix":""},{"dropping-particle":"","family":"Christopher","given":"Phillip","non-dropping-particle":"","parse-names":false,"suffix":""}],"container-title":"ACS Catalysis","id":"ITEM-1","issue":"6","issued":{"date-parts":[["2017","6"]]},"page":"4070-4082","publisher":"American Chemical Society","title":"Support Induced Control of Surface Composition in Cu-Ni/TiO2 Catalysts Enables High Yield Co-Conversion of HMF and Furfural to Methylated Furans","type":"article-journal","volume":"7"},"uris":["http://www.mendeley.com/documents/?uuid=84b2d08b-aaf3-4fd7-81dc-8a28ede1a664","http://www.mendeley.com/documents/?uuid=94916e60-9fce-48e0-975a-eb2eed63d005"]},{"id":"ITEM-2","itemData":{"DOI":"10.1016/j.jcat.2011.02.006","ISSN":"00219517","abstract":"The conversion of furfural (FAL) and 2-methylpentanal (MPAL) under hydrogen has been studied over silica-supported monometallic Pd and bimetallic Pd-Cu catalysts. At low space times, the conversion of MPAL yields primarily pentane (decarbonylation), but at higher space times, di-methylpentyl ether (etherification) becomes the main product. Upon addition of Cu, both the overall activity and the decarbonylation selectivity decrease while the selectivity to hydrogenation and etherification increases. In contrast to MPAL, the conversion of FAL shows no etherification products at any space time in the temperature range 210-250 °C but only produces furan via decarbonylation. It is proposed that the presence of the aromatic ring in the furfural molecule has a marked effect in inhibiting the formation of the alkoxide surface intermediate, which is required in the etherification reaction. Density Functional Theory (DFT) calculations of furfural and 2-methyl pentanal have been conducted to gain a better understanding of the differences in the molecule-surface interactions between the aldehydes and the Pd and Pd-Cu surfaces. The reaction mechanisms and the resulting selectivity towards the possible reaction paths (hydrogenation/etherification/decarbonylation) are discussed in terms of the relative stability of the η2-(C,O) and acyl surface species occurring on the different metal surfaces. © 2011 Elsevier Inc. All rights reserved.","author":[{"dropping-particle":"","family":"Sitthisa","given":"Surapas","non-dropping-particle":"","parse-names":false,"suffix":""},{"dropping-particle":"","family":"Pham","given":"Trung","non-dropping-particle":"","parse-names":false,"suffix":""},{"dropping-particle":"","family":"Prasomsri","given":"Teerawit","non-dropping-particle":"","parse-names":false,"suffix":""},{"dropping-particle":"","family":"Sooknoi","given":"Tawan","non-dropping-particle":"","parse-names":false,"suffix":""},{"dropping-particle":"","family":"Mallinson","given":"Richard G.","non-dropping-particle":"","parse-names":false,"suffix":""},{"dropping-particle":"","family":"Resasco","given":"Daniel E.","non-dropping-particle":"","parse-names":false,"suffix":""}],"container-title":"Journal of Catalysis","id":"ITEM-2","issue":"1","issued":{"date-parts":[["2011"]]},"page":"17-27","title":"Conversion of furfural and 2-methylpentanal on Pd/SiO2 and Pd-Cu/SiO2 catalysts","type":"article-journal","volume":"280"},"uris":["http://www.mendeley.com/documents/?uuid=c2981380-3ab9-4eb2-8c31-74859899c999"]}],"mendeley":{"formattedCitation":"&lt;sup&gt;6,14&lt;/sup&gt;","plainTextFormattedCitation":"6,14","previouslyFormattedCitation":"&lt;sup&gt;6,14&lt;/sup&gt;"},"properties":{"noteIndex":0},"schema":"https://github.com/citation-style-language/schema/raw/master/csl-citation.json"}</w:instrText>
      </w:r>
      <w:r w:rsidR="003A2C01" w:rsidRPr="00CA3946">
        <w:fldChar w:fldCharType="separate"/>
      </w:r>
      <w:r w:rsidR="003A2C01" w:rsidRPr="00CA3946">
        <w:rPr>
          <w:noProof/>
          <w:vertAlign w:val="superscript"/>
        </w:rPr>
        <w:t>6,14</w:t>
      </w:r>
      <w:r w:rsidR="003A2C01" w:rsidRPr="00CA3946">
        <w:fldChar w:fldCharType="end"/>
      </w:r>
      <w:r w:rsidRPr="00CA3946">
        <w:t xml:space="preserve"> A flat adsorption, through the furanic ring and carbonyl functionality, produces THFA.</w:t>
      </w:r>
      <w:r w:rsidR="003A2C01" w:rsidRPr="00CA3946">
        <w:fldChar w:fldCharType="begin" w:fldLock="1"/>
      </w:r>
      <w:r w:rsidR="0097007D" w:rsidRPr="00CA3946">
        <w:instrText>ADDIN CSL_CITATION {"citationItems":[{"id":"ITEM-1","itemData":{"DOI":"10.1007/s10562-011-0581-7","ISSN":"1011372X","abstract":"The hydrodeoxygenation of furfural has been investigated over three different metal catalysts, Cu, Pd and Ni supported on SiO2, on a continuous-flow reactor under atmospheric pressure of hydrogen in the 210-290 °C temperature range. The distribution of products is a strong function of the metal catalyst used. High selectivity to furfuryl alcohol is obtained over Cu/SiO2, with the formation of only small amounts of 2-methyl furan at the highest reaction temperature studied. In contrast to Cu catalyst, the conversion of furfural over Pd/SiO2 mainly produces furan by decarbonylation. Furan can further react with hydrogen to form tetrahydrofuran (THF). Finally, on Ni/SiO2 catalysts ring opening products (butanal, butanol and butane) can be obtained in significant amounts. The different product distributions are explained in terms of the strength of interaction of the furan ring with the metal surface and the type of surface intermediates that each metal is able to stabilize. Graphical Abstract: [Figure not available: see fulltext.] © 2011 Springer Science+Business Media, LLC.","author":[{"dropping-particle":"","family":"Sitthisa","given":"Surapas","non-dropping-particle":"","parse-names":false,"suffix":""},{"dropping-particle":"","family":"Resasco","given":"Daniel E.","non-dropping-particle":"","parse-names":false,"suffix":""}],"container-title":"Catalysis Letters","id":"ITEM-1","issue":"6","issued":{"date-parts":[["2011"]]},"page":"784-791","title":"Hydrodeoxygenation of furfural over supported metal catalysts: A comparative study of Cu, Pd and Ni","type":"article-journal","volume":"141"},"uris":["http://www.mendeley.com/documents/?uuid=1b87cc9a-a7db-4af1-b9ed-116a2b498e2f","http://www.mendeley.com/documents/?uuid=84d32112-3818-4ba3-80eb-af8d74429d18"]}],"mendeley":{"formattedCitation":"&lt;sup&gt;15&lt;/sup&gt;","plainTextFormattedCitation":"15","previouslyFormattedCitation":"&lt;sup&gt;15&lt;/sup&gt;"},"properties":{"noteIndex":0},"schema":"https://github.com/citation-style-language/schema/raw/master/csl-citation.json"}</w:instrText>
      </w:r>
      <w:r w:rsidR="003A2C01" w:rsidRPr="00CA3946">
        <w:fldChar w:fldCharType="separate"/>
      </w:r>
      <w:r w:rsidR="003A2C01" w:rsidRPr="00CA3946">
        <w:rPr>
          <w:noProof/>
          <w:vertAlign w:val="superscript"/>
        </w:rPr>
        <w:t>15</w:t>
      </w:r>
      <w:r w:rsidR="003A2C01" w:rsidRPr="00CA3946">
        <w:fldChar w:fldCharType="end"/>
      </w:r>
      <w:r w:rsidRPr="00CA3946">
        <w:t xml:space="preserve"> At high temperature, a flat orientation results in the decarbonylation of furfural, producing furan and tetrahydrofuran.</w:t>
      </w:r>
      <w:r w:rsidR="003A2C01" w:rsidRPr="00CA3946">
        <w:fldChar w:fldCharType="begin" w:fldLock="1"/>
      </w:r>
      <w:r w:rsidR="0097007D" w:rsidRPr="00CA3946">
        <w:instrText>ADDIN CSL_CITATION {"citationItems":[{"id":"ITEM-1","itemData":{"DOI":"10.1021/ar500029y","ISSN":"0001-4842","author":[{"dropping-particle":"","family":"Schoenbaum","given":"Carolyn A","non-dropping-particle":"","parse-names":false,"suffix":""},{"dropping-particle":"","family":"Schwartz","given":"Daniel K","non-dropping-particle":"","parse-names":false,"suffix":""},{"dropping-particle":"","family":"Medlin","given":"J Will","non-dropping-particle":"","parse-names":false,"suffix":""}],"container-title":"Accounts of Chemical Research","id":"ITEM-1","issue":"4","issued":{"date-parts":[["2014","4","15"]]},"note":"doi: 10.1021/ar500029y","page":"1438-1445","publisher":"American Chemical Society","title":"Controlling the Surface Environment of Heterogeneous Catalysts Using Self-Assembled Monolayers","type":"article-journal","volume":"47"},"uris":["http://www.mendeley.com/documents/?uuid=f64f125a-c3da-49b4-8c32-609104faaed6"]},{"id":"ITEM-2","itemData":{"DOI":"10.1016/j.rser.2014.07.003","ISSN":"13640321","abstract":"As our high dependence on the supply of diminishing fossil fuel reserves raise great concerns in its environmental, political and economic consequences, utilization of renewable biomass as an alternative resource has become increasingly important. Along this background, furfural as a building block, offers a promising, rich platform for lignocellulosic biofuels and value-added chemicals. These include 2-methylfuran and 2-methyltetrahydrofuran, furfuryl alcohol, tetrahydrofurfuryl alcohol, furan, tetrahydrofuran as well as various cyclo-products (e.g., cyclopentanol, cyclopentanone). The various production routes started from furfural to various fuel additives and chemicals are critically reviewed, and the current technologies for efficient production are identified. Their potential applications as well as the fuel properties of these products are discussed. Challenges and areas that need improvement are also highlighted in the corresponding area. In short, we conduct a comprehensive review of the strategies to produce furfural, new approaches and numerous possibilities to utilize furfural in industrial and laboratory sector for the production of fuel additives and value-added chemicals. © 2014 Elsevier Ltd.","author":[{"dropping-particle":"","family":"Yan","given":"Kai","non-dropping-particle":"","parse-names":false,"suffix":""},{"dropping-particle":"","family":"Wu","given":"Guosheng","non-dropping-particle":"","parse-names":false,"suffix":""},{"dropping-particle":"","family":"Lafleur","given":"Todd","non-dropping-particle":"","parse-names":false,"suffix":""},{"dropping-particle":"","family":"Jarvis","given":"Cody","non-dropping-particle":"","parse-names":false,"suffix":""}],"container-title":"Renewable and Sustainable Energy Reviews","id":"ITEM-2","issued":{"date-parts":[["2014"]]},"page":"663-676","title":"Production, properties and catalytic hydrogenation of furfural to fuel additives and value-added chemicals","type":"article-journal","volume":"38"},"uris":["http://www.mendeley.com/documents/?uuid=707b4f12-0997-4324-901f-158bb6dd0954","http://www.mendeley.com/documents/?uuid=fff26100-d031-4644-a932-f69b6081476e"]}],"mendeley":{"formattedCitation":"&lt;sup&gt;7,16&lt;/sup&gt;","plainTextFormattedCitation":"7,16","previouslyFormattedCitation":"&lt;sup&gt;7,16&lt;/sup&gt;"},"properties":{"noteIndex":0},"schema":"https://github.com/citation-style-language/schema/raw/master/csl-citation.json"}</w:instrText>
      </w:r>
      <w:r w:rsidR="003A2C01" w:rsidRPr="00CA3946">
        <w:fldChar w:fldCharType="separate"/>
      </w:r>
      <w:r w:rsidR="003A2C01" w:rsidRPr="00CA3946">
        <w:rPr>
          <w:noProof/>
          <w:vertAlign w:val="superscript"/>
        </w:rPr>
        <w:t>7,16</w:t>
      </w:r>
      <w:r w:rsidR="003A2C01" w:rsidRPr="00CA3946">
        <w:fldChar w:fldCharType="end"/>
      </w:r>
      <w:r w:rsidRPr="00CA3946">
        <w:t xml:space="preserve"> A strategy for tuning the selectivity is to selectively block these specific active sites on the metal surface using thiolates or polymers such as polyvinyl alcohol (PVA);</w:t>
      </w:r>
      <w:r w:rsidR="003A2C01" w:rsidRPr="00CA3946">
        <w:fldChar w:fldCharType="begin" w:fldLock="1"/>
      </w:r>
      <w:r w:rsidR="0097007D" w:rsidRPr="00CA3946">
        <w:instrText>ADDIN CSL_CITATION {"citationItems":[{"id":"ITEM-1","itemData":{"DOI":"10.1038/ncomms3448","ISSN":"20411723","abstract":"One key route for controlling reaction selectivity in heterogeneous catalysis is to prepare catalysts that exhibit only specific types of sites required for desired product formation. Here we show that alkanethiolate self-assembled monolayers with varying surface densities can be used to tune selectivity to desired hydrogenation and hydrodeoxygenation products during the reaction of furfural on supported palladium catalysts. Vibrational spectroscopic studies demonstrate that the selectivity improvement is achieved by controlling the availability of specific sites for the hydrogenation of furfural on supported palladium catalysts through the selection of an appropriate alkanethiolate. Increasing self-assembled monolayer density by controlling the steric bulk of the organic tail ligand restricts adsorption on terrace sites and dramatically increases selectivity to desired products furfuryl alcohol and methylfuran. This technique of active-site selection simultaneously serves both to enhance selectivity and provide insight into the reaction mechanism. © 2013 Macmillan Publishers Limited. All rights reserved.","author":[{"dropping-particle":"","family":"Pang","given":"Simon H.","non-dropping-particle":"","parse-names":false,"suffix":""},{"dropping-particle":"","family":"Schoenbaum","given":"Carolyn A.","non-dropping-particle":"","parse-names":false,"suffix":""},{"dropping-particle":"","family":"Schwartz","given":"Daniel K.","non-dropping-particle":"","parse-names":false,"suffix":""},{"dropping-particle":"","family":"Medlin","given":"J. Will","non-dropping-particle":"","parse-names":false,"suffix":""}],"container-title":"Nature Communications","id":"ITEM-1","issued":{"date-parts":[["2013"]]},"page":"2448","publisher":"Nature Publishing Group","title":"Directing reaction pathways by catalyst active-site selection using self-assembled monolayers","type":"article-journal","volume":"4"},"uris":["http://www.mendeley.com/documents/?uuid=47e453fe-10e9-4931-bb78-b6ce2be80605","http://www.mendeley.com/documents/?uuid=07bfa846-9802-4ff1-ab94-4b2db3a7fd05"]},{"id":"ITEM-2","itemData":{"DOI":"10.1021/acscatal.6b03190","ISSN":"2155-5435","author":[{"dropping-particle":"","family":"Palmer","given":"Richard E","non-dropping-particle":"","parse-names":false,"suffix":""},{"dropping-particle":"","family":"Jian","given":"Nan","non-dropping-particle":"","parse-names":false,"suffix":""},{"dropping-particle":"","family":"Villa","given":"Alberto","non-dropping-particle":"","parse-names":false,"suffix":""},{"dropping-particle":"","family":"Dimitratos","given":"Nikolaos","non-dropping-particle":"","parse-names":false,"suffix":""},{"dropping-particle":"","family":"Catlow","given":"C Richard A","non-dropping-particle":"","parse-names":false,"suffix":""},{"dropping-particle":"","family":"Chutia","given":"Arunabhiram","non-dropping-particle":"","parse-names":false,"suffix":""},{"dropping-particle":"","family":"Wells","given":"Peter P","non-dropping-particle":"","parse-names":false,"suffix":""},{"dropping-particle":"","family":"Chan-Thaw","given":"Carine E.","non-dropping-particle":"","parse-names":false,"suffix":""},{"dropping-particle":"","family":"Rogers","given":"Scott M","non-dropping-particle":"","parse-names":false,"suffix":""},{"dropping-particle":"","family":"Perdjon","given":"Michal","non-dropping-particle":"","parse-names":false,"suffix":""},{"dropping-particle":"","family":"Thetford","given":"Adam","non-dropping-particle":"","parse-names":false,"suffix":""}],"container-title":"ACS Catalysis","id":"ITEM-2","issue":"4","issued":{"date-parts":[["2017"]]},"page":"2266-2274","title":"Tandem Site- and Size-Controlled Pd Nanoparticles for the Directed Hydrogenation of Furfural","type":"article-journal","volume":"7"},"uris":["http://www.mendeley.com/documents/?uuid=0d22a686-26d0-430b-a6d9-24a1bb9f3516"]},{"id":"ITEM-3","itemData":{"DOI":"10.1021/cs500598y","author":[{"dropping-particle":"","family":"Pang","given":"Simon H","non-dropping-particle":"","parse-names":false,"suffix":""},{"dropping-particle":"","family":"Schoenbaum","given":"Carolyn A","non-dropping-particle":"","parse-names":false,"suffix":""},{"dropping-particle":"","family":"Schwartz","given":"Daniel K","non-dropping-particle":"","parse-names":false,"suffix":""},{"dropping-particle":"","family":"Medlin","given":"J Will","non-dropping-particle":"","parse-names":false,"suffix":""}],"container-title":"ACS Catalysis","id":"ITEM-3","issue":"9","issued":{"date-parts":[["2014","9","5"]]},"note":"doi: 10.1021/cs500598y","page":"3123-3131","publisher":"American Chemical Society","title":"Effects of Thiol Modifiers on the Kinetics of Furfural Hydrogenation over Pd Catalysts","type":"article-journal","volume":"4"},"uris":["http://www.mendeley.com/documents/?uuid=3c6916ac-3754-49b2-8b11-df94f129f699"]}],"mendeley":{"formattedCitation":"&lt;sup&gt;17–19&lt;/sup&gt;","plainTextFormattedCitation":"17–19","previouslyFormattedCitation":"&lt;sup&gt;17–19&lt;/sup&gt;"},"properties":{"noteIndex":0},"schema":"https://github.com/citation-style-language/schema/raw/master/csl-citation.json"}</w:instrText>
      </w:r>
      <w:r w:rsidR="003A2C01" w:rsidRPr="00CA3946">
        <w:fldChar w:fldCharType="separate"/>
      </w:r>
      <w:r w:rsidR="003A2C01" w:rsidRPr="00CA3946">
        <w:rPr>
          <w:noProof/>
          <w:vertAlign w:val="superscript"/>
        </w:rPr>
        <w:t>17–19</w:t>
      </w:r>
      <w:r w:rsidR="003A2C01" w:rsidRPr="00CA3946">
        <w:fldChar w:fldCharType="end"/>
      </w:r>
      <w:r w:rsidRPr="00CA3946">
        <w:t xml:space="preserve"> the latter of these has a dual purpose as it is commonly used to limit the growth of colloidal Pd nanoparticles during sol-immobilzation.</w:t>
      </w:r>
      <w:r w:rsidR="003A2C01" w:rsidRPr="00CA3946">
        <w:fldChar w:fldCharType="begin" w:fldLock="1"/>
      </w:r>
      <w:r w:rsidR="0097007D" w:rsidRPr="00CA3946">
        <w:instrText>ADDIN CSL_CITATION {"citationItems":[{"id":"ITEM-1","itemData":{"DOI":"10.1021/acscatal.6b03190","ISSN":"2155-5435","author":[{"dropping-particle":"","family":"Palmer","given":"Richard E","non-dropping-particle":"","parse-names":false,"suffix":""},{"dropping-particle":"","family":"Jian","given":"Nan","non-dropping-particle":"","parse-names":false,"suffix":""},{"dropping-particle":"","family":"Villa","given":"Alberto","non-dropping-particle":"","parse-names":false,"suffix":""},{"dropping-particle":"","family":"Dimitratos","given":"Nikolaos","non-dropping-particle":"","parse-names":false,"suffix":""},{"dropping-particle":"","family":"Catlow","given":"C Richard A","non-dropping-particle":"","parse-names":false,"suffix":""},{"dropping-particle":"","family":"Chutia","given":"Arunabhiram","non-dropping-particle":"","parse-names":false,"suffix":""},{"dropping-particle":"","family":"Wells","given":"Peter P","non-dropping-particle":"","parse-names":false,"suffix":""},{"dropping-particle":"","family":"Chan-Thaw","given":"Carine E.","non-dropping-particle":"","parse-names":false,"suffix":""},{"dropping-particle":"","family":"Rogers","given":"Scott M","non-dropping-particle":"","parse-names":false,"suffix":""},{"dropping-particle":"","family":"Perdjon","given":"Michal","non-dropping-particle":"","parse-names":false,"suffix":""},{"dropping-particle":"","family":"Thetford","given":"Adam","non-dropping-particle":"","parse-names":false,"suffix":""}],"container-title":"ACS Catalysis","id":"ITEM-1","issue":"4","issued":{"date-parts":[["2017"]]},"page":"2266-2274","title":"Tandem Site- and Size-Controlled Pd Nanoparticles for the Directed Hydrogenation of Furfural","type":"article-journal","volume":"7"},"uris":["http://www.mendeley.com/documents/?uuid=0d22a686-26d0-430b-a6d9-24a1bb9f3516"]}],"mendeley":{"formattedCitation":"&lt;sup&gt;18&lt;/sup&gt;","plainTextFormattedCitation":"18","previouslyFormattedCitation":"&lt;sup&gt;18&lt;/sup&gt;"},"properties":{"noteIndex":0},"schema":"https://github.com/citation-style-language/schema/raw/master/csl-citation.json"}</w:instrText>
      </w:r>
      <w:r w:rsidR="003A2C01" w:rsidRPr="00CA3946">
        <w:fldChar w:fldCharType="separate"/>
      </w:r>
      <w:r w:rsidR="003A2C01" w:rsidRPr="00CA3946">
        <w:rPr>
          <w:noProof/>
          <w:vertAlign w:val="superscript"/>
        </w:rPr>
        <w:t>18</w:t>
      </w:r>
      <w:r w:rsidR="003A2C01" w:rsidRPr="00CA3946">
        <w:fldChar w:fldCharType="end"/>
      </w:r>
      <w:r w:rsidR="00BE1837" w:rsidRPr="00CA3946">
        <w:t xml:space="preserve"> </w:t>
      </w:r>
      <w:r w:rsidRPr="00CA3946">
        <w:t>However, the effects of the metal sites on directing the transformation of highly functionalized bio-derived substrates to specific products cannot be assessed in isolation; the support material is not benign and has a significant influence on the catalytic properties.</w:t>
      </w:r>
      <w:r w:rsidR="003A2C01" w:rsidRPr="00CA3946">
        <w:fldChar w:fldCharType="begin" w:fldLock="1"/>
      </w:r>
      <w:r w:rsidR="0097007D" w:rsidRPr="00CA3946">
        <w:instrText>ADDIN CSL_CITATION {"citationItems":[{"id":"ITEM-1","itemData":{"DOI":"10.1016/j.jtice.2017.02.012","ISSN":"18761070","abstract":"Interactions between metals and supports are of fundamental interest in heterogeneous catalysis. The electronic, geometric and bifunctional effects originating from Strong Metal-Support Interactions (SMSI) that are responsible for the catalyst's activity, selectivity, and stability are key factors that determine performance. Research into SMSI is fast-growing with many revolutionary systems being developed to enhance our understanding of its nature and effects. This review starts with a brief overview of heterogeneous catalysis and SMSI; then three major mechanisms involving electronic, geometric and bifunctional effects are summarized to introduce the fundamental concepts, recent progress and disagreement remained. Subsequently, advanced analytical techniques are introduced as contemporary approaches to the investigation and understanding of SMSI. In addition, the effects of SMSI on the catalytic activity, selectivity and stability of various reaction systems, such as heterogeneous catalysis and electrocatalysis are examined. Additionally, a brief review of various protocols used for the manipulation of interactions between metals and supports is given. Lastly, the future of SMSI with respect to further developments and ongoing challenging issues is addressed.","author":[{"dropping-particle":"","family":"Pan","given":"Chun Jern","non-dropping-particle":"","parse-names":false,"suffix":""},{"dropping-particle":"","family":"Tsai","given":"Meng Che","non-dropping-particle":"","parse-names":false,"suffix":""},{"dropping-particle":"","family":"Su","given":"Wei Nien","non-dropping-particle":"","parse-names":false,"suffix":""},{"dropping-particle":"","family":"Rick","given":"John","non-dropping-particle":"","parse-names":false,"suffix":""},{"dropping-particle":"","family":"Akalework","given":"Nibret Gebeyehu","non-dropping-particle":"","parse-names":false,"suffix":""},{"dropping-particle":"","family":"Agegnehu","given":"Abiye Kebede","non-dropping-particle":"","parse-names":false,"suffix":""},{"dropping-particle":"","family":"Cheng","given":"Shou Yi","non-dropping-particle":"","parse-names":false,"suffix":""},{"dropping-particle":"","family":"Hwang","given":"Bing Joe","non-dropping-particle":"","parse-names":false,"suffix":""}],"container-title":"Journal of the Taiwan Institute of Chemical Engineers","id":"ITEM-1","issued":{"date-parts":[["2017"]]},"page":"154-186","title":"Tuning/exploiting Strong Metal-Support Interaction (SMSI) in Heterogeneous Catalysis","type":"article-journal","volume":"74"},"uris":["http://www.mendeley.com/documents/?uuid=ef5650ae-e8d2-4f61-b587-de1de9260ee9"]},{"id":"ITEM-2","itemData":{"ISSN":"00368075, 10959203","abstract":"[Many commercially important catalysts consist of small metal particles dispersed on inorganic oxide surfaces. Although in most cases there is no significant interaction between the metal and the support, strong bonding can be demonstrated in a recently discovered class of supported-metal catalysts. These cases typically involve group VIII metals dispersed on transition metal oxides whose surfaces can be reduced to form cations with lower valences. Spectroscopic measurements indicate that an electron is transferred from the cation (such as Ti$^{3+}$ or Nb$^{4+}$) to the metal particle. This, in turn, leads to profound changes in the catalytic and chemisorption properties and the morphology of the metal particles. Strong metal-support interactions have been shown to occur in a number of systems comprising small metal particles dispersed on the surface of an inorganic oxide. The latter must be a transition metal oxide, which, upon activation in hydrogen, can undergo superficial reduction to form reduced cations that are exposed to the suprajacent metal particles. Manifestations of the ensuing interaction include a profound change in chemisorption properties and an unusual structure of the metal particles as shown by electron microscopy. Catalytic properties are also altered. Although the original hypothesis was vague about the nature of the interaction between surface cations and the supported metal, molecular orbital (X$\\alpha $) calculations have produced a precise model. This involves the transfer (whole or partial) of an electron from a subjacent cation to a supported metal atom, resulting in a strong ionic bond between a negatively charged ``pillbox'' of supported metal atoms and the associated surface cations. This model is consistent with recent spectroscopic studies. Among the many outstanding questions at the present time, it would be important to learn approximately how the cation-to-metal charge transfer varies across the wide range of conceivable systems. The response of catalytic and chemisorption properties to this transfer may be of considerable fundamental interest in the study of heterogeneous catalysis. In addition, studies of this type will hopefully uncover new catalysts with improved properties for CO-H$_{2}$ synthesis or other reactions.]","author":[{"dropping-particle":"","family":"Tauster","given":"S J","non-dropping-particle":"","parse-names":false,"suffix":""},{"dropping-particle":"","family":"Fung","given":"S C","non-dropping-particle":"","parse-names":false,"suffix":""},{"dropping-particle":"","family":"Baker","given":"R T K","non-dropping-particle":"","parse-names":false,"suffix":""},{"dropping-particle":"","family":"Horsley","given":"J A","non-dropping-particle":"","parse-names":false,"suffix":""}],"container-title":"Science","id":"ITEM-2","issue":"4487","issued":{"date-parts":[["1981"]]},"page":"1121-1125","publisher":"American Association for the Advancement of Science","title":"Strong Interactions in Supported-Metal Catalysts","type":"article-journal","volume":"211"},"uris":["http://www.mendeley.com/documents/?uuid=c2f96502-01d7-4f81-9c24-6eb5ab2bccc2"]},{"id":"ITEM-3","itemData":{"DOI":"10.3390/app8071159","ISSN":"20763417","abstract":"Carbon-based materials show unique chemicophysical properties, and they have been successfully used in many catalytic processes, including the production of chemicals and energy. The introduction of heteroatoms (N, B, P, S) alters the electronic properties, often increasing the reactivity of the surface of nanocarbons. The functional groups on the carbons have been reported to be effective for anchoring metal nanoparticles. Although the interaction between functional groups and metal has been studied by various characterization techniques, theoretical models, and catalytic results, the role and nature of heteroatoms is still an object of discussion. The aim of this review is to elucidate the metal-heteroatoms interaction, providing an overview of the main experimental and theoretical outcomes about heteroatom-mediated metal-support interactions. Selected studies showing the effect of heteroatom-metal interaction in the liquid-phase alcohol oxidation will be also presented.","author":[{"dropping-particle":"","family":"Campisi","given":"Sebastiano","non-dropping-particle":"","parse-names":false,"suffix":""},{"dropping-particle":"","family":"Chan-Thaw","given":"Carine Edith","non-dropping-particle":"","parse-names":false,"suffix":""},{"dropping-particle":"","family":"Villa","given":"Alberto","non-dropping-particle":"","parse-names":false,"suffix":""}],"container-title":"Applied Sciences (Switzerland)","id":"ITEM-3","issue":"7","issued":{"date-parts":[["2018","7"]]},"page":"1159","title":"Understanding heteroatom-mediated metal-support interactions in functionalized carbons: A perspective review","type":"article-journal","volume":"8"},"uris":["http://www.mendeley.com/documents/?uuid=a1466c64-caff-4f90-b6d1-cbfd15e42883"]}],"mendeley":{"formattedCitation":"&lt;sup&gt;20–22&lt;/sup&gt;","plainTextFormattedCitation":"20–22","previouslyFormattedCitation":"&lt;sup&gt;20–22&lt;/sup&gt;"},"properties":{"noteIndex":0},"schema":"https://github.com/citation-style-language/schema/raw/master/csl-citation.json"}</w:instrText>
      </w:r>
      <w:r w:rsidR="003A2C01" w:rsidRPr="00CA3946">
        <w:fldChar w:fldCharType="separate"/>
      </w:r>
      <w:r w:rsidR="003A2C01" w:rsidRPr="00CA3946">
        <w:rPr>
          <w:noProof/>
          <w:vertAlign w:val="superscript"/>
        </w:rPr>
        <w:t>20–22</w:t>
      </w:r>
      <w:r w:rsidR="003A2C01" w:rsidRPr="00CA3946">
        <w:fldChar w:fldCharType="end"/>
      </w:r>
      <w:r w:rsidRPr="00CA3946">
        <w:t xml:space="preserve"> The ‘so-called’ strong metal-support interactions (SMSI) at the interface is responsible for electron transfer, charge redistribution, morphological changes, metal decoration or encapsulation, metal-support borderline site creation, and spillover phenomena.</w:t>
      </w:r>
      <w:r w:rsidR="003A2C01" w:rsidRPr="00CA3946">
        <w:fldChar w:fldCharType="begin" w:fldLock="1"/>
      </w:r>
      <w:r w:rsidR="0097007D" w:rsidRPr="00CA3946">
        <w:instrText>ADDIN CSL_CITATION {"citationItems":[{"id":"ITEM-1","itemData":{"DOI":"10.1039/c6ra13374f","ISSN":"20462069","abstract":"The hydrogenation of α-angelica lactone (α-AL) was achieved under mild conditions on silica supported Pd-NiO catalysts. NiO and palladium were sequentially loaded on silica by wet-impregnation and deposition-reduction, respectively. First a series of NiO/SiO2 supports with varying Ni contents were prepared by a wet-impregnation method with Ni(NO3)2 as the precursor followed by calcination in air. Then a minute amount of palladium (0.2 wt%) was loaded by a deposition-reduction method using NaBH4 as a reducing reagent. The Pd-NiO catalysts were characterized by nitrogen adsorption, XRD, H2-TPR, XPS and TEM. The NiO were heterogeneously dispersed on silica with particle sizes ranging from 10 to 50 nm, whereas Pd was finely loaded with a diameter less than 5 nm. Nanoscale intimacy between Pd and NiO was noticed by HRTEM, resulting in high catalytic activity in liquid phase hydrogenation of α-angelica lactone to γ-valero lactone (GVL) under mild conditions. 0.2Pd-9.9NiO/SiO2 showed the best activity among all the catalysts investigated, with 82% conversion and 100% selectivity to GVL within several minutes at 30 °C and 0.3-1 MPa H2 pressure.","author":[{"dropping-particle":"","family":"Zhang","given":"Pei","non-dropping-particle":"","parse-names":false,"suffix":""},{"dropping-particle":"","family":"Yuan","given":"Qingqing","non-dropping-particle":"","parse-names":false,"suffix":""},{"dropping-particle":"","family":"Chen","given":"Li","non-dropping-particle":"","parse-names":false,"suffix":""},{"dropping-particle":"","family":"Xue","given":"Teng","non-dropping-particle":"","parse-names":false,"suffix":""},{"dropping-particle":"","family":"Guan","given":"Yejun","non-dropping-particle":"","parse-names":false,"suffix":""},{"dropping-particle":"","family":"Wu","given":"Peng","non-dropping-particle":"","parse-names":false,"suffix":""}],"container-title":"RSC Advances","id":"ITEM-1","issue":"70","issued":{"date-parts":[["2016"]]},"page":"65377-65382","publisher":"The Royal Society of Chemistry","title":"Low temperature hydrogenation of α-angelica lactone on silica supported Pd-NiO catalysts with synergistic effect","type":"article-journal","volume":"6"},"uris":["http://www.mendeley.com/documents/?uuid=5857777a-d225-4008-be6c-4a68926c9ee0"]},{"id":"ITEM-2","itemData":{"DOI":"10.1002/cctc.201100161","ISSN":"18673880","author":[{"dropping-particle":"","family":"Villa","given":"Alberto","non-dropping-particle":"","parse-names":false,"suffix":""},{"dropping-particle":"","family":"Chan-Thaw","given":"Carine E.","non-dropping-particle":"","parse-names":false,"suffix":""},{"dropping-particle":"","family":"Veith","given":"Gabriel M.","non-dropping-particle":"","parse-names":false,"suffix":""},{"dropping-particle":"","family":"More","given":"Karren L.","non-dropping-particle":"","parse-names":false,"suffix":""},{"dropping-particle":"","family":"Ferri","given":"Davide","non-dropping-particle":"","parse-names":false,"suffix":""},{"dropping-particle":"","family":"Prati","given":"Laura","non-dropping-particle":"","parse-names":false,"suffix":""}],"container-title":"ChemCatChem","id":"ITEM-2","issue":"10","issued":{"date-parts":[["2011"]]},"page":"1612-1618","title":"Au on Nanosized NiO: A Cooperative Effect between Au and Nanosized NiO in the Base-Free Alcohol Oxidation","type":"article-journal","volume":"3"},"uris":["http://www.mendeley.com/documents/?uuid=6b035cab-294a-431c-a566-e013be1521e8"]},{"id":"ITEM-3","itemData":{"DOI":"10.1007/s11144-012-0530-5","ISSN":"18785190","abstract":"This paper presents the investigations and the results on Pd-containing catalysts on corundum support and NiO, deposited subsequently by the impregnation method. The physical chemical characteristics of Pd/NiO composites on alumina support have been studied and their catalytic properties have been tested in the process of NO reduction by CO. The catalyst samples have been characterized by means of X-ray diffraction analysis. Their specific surface area has been measured by the adsorption method. The particle size, morphology and size distribution were determined using a TEM JEOL 2011 at 200 kV. Some doping additives have been found to exert a favorable effect in the precursors upon the dispersion degree of the prevailing phases, on the physical-chemical parameters and on the mechanical strength indexes of the formed catalysts. The simultaneous presence of the two active phases - Pd and NiO in the catalyst samples ensures high activity within the studied temperature interval and within a wide range of space velocities. Moreover, these catalysts have low temperatures of starting the catalytic reaction, high thermal stability, whereupon they manifest resistivity after overheating. © 2012 Akadémiai Kiadó, Budapest, Hungary.","author":[{"dropping-particle":"","family":"Stoyanova","given":"D.","non-dropping-particle":"","parse-names":false,"suffix":""},{"dropping-particle":"","family":"Georgieva","given":"P.","non-dropping-particle":"","parse-names":false,"suffix":""},{"dropping-particle":"","family":"Kasabova","given":"N.","non-dropping-particle":"","parse-names":false,"suffix":""}],"container-title":"Reaction Kinetics, Mechanisms and Catalysis","id":"ITEM-3","issue":"2","issued":{"date-parts":[["2013"]]},"page":"391-402","title":"Pd-containing catalysts promoted by NiO designed for the reduction of NO with CO at stoichiometric NO/CO ratio","type":"article-journal","volume":"108"},"uris":["http://www.mendeley.com/documents/?uuid=9de8a451-4577-475d-a07f-79c6fbd4c5ef","http://www.mendeley.com/documents/?uuid=1750c421-30fa-4f69-9712-9dca9a3d55f7"]}],"mendeley":{"formattedCitation":"&lt;sup&gt;23–25&lt;/sup&gt;","plainTextFormattedCitation":"23–25","previouslyFormattedCitation":"&lt;sup&gt;23–25&lt;/sup&gt;"},"properties":{"noteIndex":0},"schema":"https://github.com/citation-style-language/schema/raw/master/csl-citation.json"}</w:instrText>
      </w:r>
      <w:r w:rsidR="003A2C01" w:rsidRPr="00CA3946">
        <w:fldChar w:fldCharType="separate"/>
      </w:r>
      <w:r w:rsidR="003A2C01" w:rsidRPr="00CA3946">
        <w:rPr>
          <w:noProof/>
          <w:vertAlign w:val="superscript"/>
        </w:rPr>
        <w:t>23–25</w:t>
      </w:r>
      <w:r w:rsidR="003A2C01" w:rsidRPr="00CA3946">
        <w:fldChar w:fldCharType="end"/>
      </w:r>
      <w:r w:rsidRPr="00CA3946">
        <w:t xml:space="preserve"> Furthermore, the</w:t>
      </w:r>
      <w:r w:rsidR="00BE1837" w:rsidRPr="00CA3946">
        <w:t xml:space="preserve"> </w:t>
      </w:r>
      <w:r w:rsidRPr="00CA3946">
        <w:t xml:space="preserve">supports themselves are involved in catalytic transformations either in isolation or </w:t>
      </w:r>
      <w:r w:rsidRPr="00CA3946">
        <w:lastRenderedPageBreak/>
        <w:t>in tandem with supported metal nanoparticles.</w:t>
      </w:r>
      <w:r w:rsidR="003A2C01" w:rsidRPr="00CA3946">
        <w:fldChar w:fldCharType="begin" w:fldLock="1"/>
      </w:r>
      <w:r w:rsidR="0097007D" w:rsidRPr="00CA3946">
        <w:instrText>ADDIN CSL_CITATION {"citationItems":[{"id":"ITEM-1","itemData":{"DOI":"10.1021/ja302070k","ISSN":"00027863","abstract":"The electronic properties of Pt nanoparticles deposited on CeO 2(111) and CeO x/TiO 2(110) model catalysts have been examined using valence photoemission experiments and density functional theory (DFT) calculations. The valence photoemission and DFT results point to a new type of \"strong metal-support interaction\" that produces large electronic perturbations for small Pt particles in contact with ceria and significantly enhances the ability of the admetal to dissociate the O-H bonds in water. When going from Pt(111) to Pt 8/CeO 2(111), the dissociation of water becomes a very exothermic process. The ceria-supported Pt 8 appears as a fluxional system that can change geometry and charge distribution to accommodate adsorbates better. In comparison with other water-gas shift (WGS) catalysts [Cu(111), Pt(111), Cu/CeO 2(111), and Au/CeO 2(111)], the Pt/CeO 2(111) surface has the unique property that the admetal is able to dissociate water in an efficient way. Furthermore, for the codeposition of Pt and CeO x nanoparticles on TiO 2(110), we have found a transfer of O from the ceria to Pt that opens new paths for the WGS process and makes the mixed-metal oxide an extremely active catalyst for the production of hydrogen. © 2012 American Chemical Society.","author":[{"dropping-particle":"","family":"Bruix","given":"Albert","non-dropping-particle":"","parse-names":false,"suffix":""},{"dropping-particle":"","family":"Rodriguez","given":"José A.","non-dropping-particle":"","parse-names":false,"suffix":""},{"dropping-particle":"","family":"Ramírez","given":"Pedro J.","non-dropping-particle":"","parse-names":false,"suffix":""},{"dropping-particle":"","family":"Senanayake","given":"Sanjaya D.","non-dropping-particle":"","parse-names":false,"suffix":""},{"dropping-particle":"","family":"Evans","given":"Jaime","non-dropping-particle":"","parse-names":false,"suffix":""},{"dropping-particle":"","family":"Park","given":"Joon B.","non-dropping-particle":"","parse-names":false,"suffix":""},{"dropping-particle":"","family":"Stacchiola","given":"Dario","non-dropping-particle":"","parse-names":false,"suffix":""},{"dropping-particle":"","family":"Liu","given":"Ping","non-dropping-particle":"","parse-names":false,"suffix":""},{"dropping-particle":"","family":"Hrbek","given":"Jan","non-dropping-particle":"","parse-names":false,"suffix":""},{"dropping-particle":"","family":"Illas","given":"Francesc","non-dropping-particle":"","parse-names":false,"suffix":""}],"container-title":"Journal of the American Chemical Society","id":"ITEM-1","issue":"21","issued":{"date-parts":[["2012","5"]]},"page":"8968-8974","publisher":"American Chemical Society","title":"A new type of strong metal-support interaction and the production of H 2 through the transformation of water on Pt/CeO 2(111) and Pt/CeO x/TiO 2(110) catalysts","type":"article-journal","volume":"134"},"uris":["http://www.mendeley.com/documents/?uuid=298dd02a-1dda-4505-aec7-828eb6521c2a"]}],"mendeley":{"formattedCitation":"&lt;sup&gt;26&lt;/sup&gt;","plainTextFormattedCitation":"26","previouslyFormattedCitation":"&lt;sup&gt;26&lt;/sup&gt;"},"properties":{"noteIndex":0},"schema":"https://github.com/citation-style-language/schema/raw/master/csl-citation.json"}</w:instrText>
      </w:r>
      <w:r w:rsidR="003A2C01" w:rsidRPr="00CA3946">
        <w:fldChar w:fldCharType="separate"/>
      </w:r>
      <w:r w:rsidR="003A2C01" w:rsidRPr="00CA3946">
        <w:rPr>
          <w:noProof/>
          <w:vertAlign w:val="superscript"/>
        </w:rPr>
        <w:t>26</w:t>
      </w:r>
      <w:r w:rsidR="003A2C01" w:rsidRPr="00CA3946">
        <w:fldChar w:fldCharType="end"/>
      </w:r>
      <w:r w:rsidRPr="00CA3946">
        <w:t xml:space="preserve"> Indeed, sea urchin-like NiO, was recently demonstrated to possess excellent catalytic activity in the selective hydrogenation of furfural to FA.</w:t>
      </w:r>
      <w:r w:rsidR="003A2C01" w:rsidRPr="00CA3946">
        <w:fldChar w:fldCharType="begin" w:fldLock="1"/>
      </w:r>
      <w:r w:rsidR="0097007D" w:rsidRPr="00CA3946">
        <w:instrText>ADDIN CSL_CITATION {"citationItems":[{"id":"ITEM-1","itemData":{"DOI":"10.1039/c8cy02536c","ISSN":"20444761","abstract":"A 3D nano-/micrometer-scaled NiO material with urchin-like structure was prepared via a facile, green synthesis route, and served as a highly efficient and durable catalyst for catalytic transfer hydrogenation (CTH) of bio-based furfural (FF) to furfuryl alcohol (FAOL) using 2-propanol as H-donor and solvent. The as-prepared NiO possessed a good active-site accessibility owing to a high surface area and large amount of acid-base sites, resulting in high FF conversion of 97.3% with 94.2% FAOL yield at 120 °C and 3 h of reaction, which was a superior catalytic performance compared to commercial NiO nanoparticles. Besides, the excellent catalytic performance of the sea urchin-like NiO was validated for gram-scale FAOL synthesis, and recyclability test confirmed the catalyst to be reusable for multiple reaction runs without significant activity loss after intermediary calcination in air. Notably, the introduced catalytic system was also applicable to CTH of alternative bio-derived aldehydes.","author":[{"dropping-particle":"","family":"He","given":"Jian","non-dropping-particle":"","parse-names":false,"suffix":""},{"dropping-particle":"","family":"Nielsen","given":"Monia Runge","non-dropping-particle":"","parse-names":false,"suffix":""},{"dropping-particle":"","family":"Hansen","given":"Thomas Willum","non-dropping-particle":"","parse-names":false,"suffix":""},{"dropping-particle":"","family":"Yang","given":"Song","non-dropping-particle":"","parse-names":false,"suffix":""},{"dropping-particle":"","family":"Riisager","given":"Anders","non-dropping-particle":"","parse-names":false,"suffix":""}],"container-title":"Catalysis Science and Technology","id":"ITEM-1","issue":"5","issued":{"date-parts":[["2019"]]},"page":"1289-1300","publisher":"The Royal Society of Chemistry","title":"Hierarchically constructed NiO with improved performance for catalytic transfer hydrogenation of biomass-derived aldehydes","type":"article-journal","volume":"9"},"uris":["http://www.mendeley.com/documents/?uuid=03d4b4a6-59f1-4b95-8b45-c0cb3e399ef8"]}],"mendeley":{"formattedCitation":"&lt;sup&gt;27&lt;/sup&gt;","plainTextFormattedCitation":"27","previouslyFormattedCitation":"&lt;sup&gt;27&lt;/sup&gt;"},"properties":{"noteIndex":0},"schema":"https://github.com/citation-style-language/schema/raw/master/csl-citation.json"}</w:instrText>
      </w:r>
      <w:r w:rsidR="003A2C01" w:rsidRPr="00CA3946">
        <w:fldChar w:fldCharType="separate"/>
      </w:r>
      <w:r w:rsidR="003A2C01" w:rsidRPr="00CA3946">
        <w:rPr>
          <w:noProof/>
          <w:vertAlign w:val="superscript"/>
        </w:rPr>
        <w:t>27</w:t>
      </w:r>
      <w:r w:rsidR="003A2C01" w:rsidRPr="00CA3946">
        <w:fldChar w:fldCharType="end"/>
      </w:r>
      <w:r w:rsidRPr="00CA3946">
        <w:t xml:space="preserve"> The mechanism for the enhancement enabled by the metal support interaction is very specific – both for the metal/metal oxide combination and the reaction under study. For furfural hydrogenation, Somorjai et al. used sum frequency generation (SFG) vibrational spectroscopy to reveal the role of O-vacancies at the metal support perimeter in determining the distribution of products over Pt/TiO</w:t>
      </w:r>
      <w:r w:rsidRPr="00CA3946">
        <w:rPr>
          <w:vertAlign w:val="subscript"/>
        </w:rPr>
        <w:t>2</w:t>
      </w:r>
      <w:r w:rsidRPr="00CA3946">
        <w:t xml:space="preserve"> catalysts.</w:t>
      </w:r>
      <w:r w:rsidR="003A2C01" w:rsidRPr="00CA3946">
        <w:fldChar w:fldCharType="begin" w:fldLock="1"/>
      </w:r>
      <w:r w:rsidR="0097007D" w:rsidRPr="00CA3946">
        <w:instrText>ADDIN CSL_CITATION {"citationItems":[{"id":"ITEM-1","itemData":{"DOI":"10.1021/ja306079h","ISSN":"00027863","abstract":"This work describes a molecular-level investigation of strong metal-support interactions (SMSI) in Pt/TiO 2 catalysts using sum frequency generation (SFG) vibrational spectroscopy. This is the first time that SFG has been used to probe the highly selective oxide-metal interface during catalytic reaction, and the results demonstrate that charge transfer from TiO 2 on a Pt/TiO 2 catalyst controls the product distribution of furfuraldehyde hydrogenation by an acid-base mechanism. Pt nanoparticles supported on TiO 2 and SiO 2 are used as catalysts for furfuraldehyde hydrogenation. As synthesized, the Pt nanoparticles are encapsulated in a layer of poly(vinylpyrrolidone) (PVP). The presence of PVP prevents interaction of the Pt nanoparticles with their support, so identical turnover rates and reaction selectivity is observed regardless of the supporting oxide. However, removal of the PVP with UV light results in a 50-fold enhancement in the formation of furfuryl alcohol by Pt supported on TiO 2, while no change is observed for the kinetics of Pt supported on SiO 2. SFG vibrational spectroscopy reveals that a furfuryl-oxy intermediate forms on TiO 2 as a result of a charge transfer interaction. This furfuryl-oxy intermediate is a highly active and selective precursor to furfuryl alcohol, and spectral analysis shows that the Pt/TiO 2 interface is required primarily for H spillover. Density functional calculations predict that O-vacancies on the TiO 2 surface activate the formation of the furfuryl-oxy intermediate via an electron transfer to furfuraldehyde, drawing a strong analogy between SMSI and acid-base catalysis. © 2012 American Chemical Society.","author":[{"dropping-particle":"","family":"Baker","given":"L. Robert","non-dropping-particle":"","parse-names":false,"suffix":""},{"dropping-particle":"","family":"Kennedy","given":"Griffin","non-dropping-particle":"","parse-names":false,"suffix":""},{"dropping-particle":"","family":"Spronsen","given":"Matthijs","non-dropping-particle":"Van","parse-names":false,"suffix":""},{"dropping-particle":"","family":"Hervier","given":"Antoine","non-dropping-particle":"","parse-names":false,"suffix":""},{"dropping-particle":"","family":"Cai","given":"Xiaojun","non-dropping-particle":"","parse-names":false,"suffix":""},{"dropping-particle":"","family":"Chen","given":"Shiyou","non-dropping-particle":"","parse-names":false,"suffix":""},{"dropping-particle":"","family":"Wang","given":"Lin Wang","non-dropping-particle":"","parse-names":false,"suffix":""},{"dropping-particle":"","family":"Somorjai","given":"Gabor A.","non-dropping-particle":"","parse-names":false,"suffix":""}],"container-title":"Journal of the American Chemical Society","id":"ITEM-1","issue":"34","issued":{"date-parts":[["2012","8"]]},"page":"14208-14216","publisher":"American Chemical Society","title":"Furfuraldehyde hydrogenation on titanium oxide-supported platinum nanoparticles studied by sum frequency generation vibrational spectroscopy: Acid-base catalysis explains the molecular origin of strong metal-support interactions","type":"article-journal","volume":"134"},"uris":["http://www.mendeley.com/documents/?uuid=8a5ce81a-49cc-46ba-966e-bf1c75bc824d","http://www.mendeley.com/documents/?uuid=3c5036e5-377d-4c64-8586-c3aab0445432"]}],"mendeley":{"formattedCitation":"&lt;sup&gt;28&lt;/sup&gt;","plainTextFormattedCitation":"28","previouslyFormattedCitation":"&lt;sup&gt;28&lt;/sup&gt;"},"properties":{"noteIndex":0},"schema":"https://github.com/citation-style-language/schema/raw/master/csl-citation.json"}</w:instrText>
      </w:r>
      <w:r w:rsidR="003A2C01" w:rsidRPr="00CA3946">
        <w:fldChar w:fldCharType="separate"/>
      </w:r>
      <w:r w:rsidR="003A2C01" w:rsidRPr="00CA3946">
        <w:rPr>
          <w:noProof/>
          <w:vertAlign w:val="superscript"/>
        </w:rPr>
        <w:t>28</w:t>
      </w:r>
      <w:r w:rsidR="003A2C01" w:rsidRPr="00CA3946">
        <w:fldChar w:fldCharType="end"/>
      </w:r>
      <w:r w:rsidRPr="00CA3946">
        <w:t xml:space="preserve"> Elsewhere, Seemale et al. demonstrated that different supports (Al</w:t>
      </w:r>
      <w:r w:rsidRPr="00CA3946">
        <w:rPr>
          <w:vertAlign w:val="subscript"/>
        </w:rPr>
        <w:t>2</w:t>
      </w:r>
      <w:r w:rsidRPr="00CA3946">
        <w:t>O</w:t>
      </w:r>
      <w:r w:rsidRPr="00CA3946">
        <w:rPr>
          <w:vertAlign w:val="subscript"/>
        </w:rPr>
        <w:t>3</w:t>
      </w:r>
      <w:r w:rsidRPr="00CA3946">
        <w:t xml:space="preserve"> and TiO</w:t>
      </w:r>
      <w:r w:rsidRPr="00CA3946">
        <w:rPr>
          <w:vertAlign w:val="subscript"/>
        </w:rPr>
        <w:t>2</w:t>
      </w:r>
      <w:r w:rsidRPr="00CA3946">
        <w:t>) induce a different surface composition of bimetallic Cu-Ni, and therefore a different activity in the furfural hydrogenation.</w:t>
      </w:r>
      <w:r w:rsidR="003A2C01" w:rsidRPr="00CA3946">
        <w:fldChar w:fldCharType="begin" w:fldLock="1"/>
      </w:r>
      <w:r w:rsidR="0097007D" w:rsidRPr="00CA3946">
        <w:instrText xml:space="preserve">ADDIN CSL_CITATION {"citationItems":[{"id":"ITEM-1","itemData":{"DOI":"10.1021/acscatal.7b01095","ISSN":"21555435","abstract":"5-(Hydroxymethyl)furfural (HMF) and furfural (FF) have been identified as valuable biomass-derived fuel precursors suitable for catalytic hydrodeoxygenation (HDO) to produce high octane fuel additives such dimethyl furan (DMF) and methyl furan (MF), respectively. In order to realize economically viable production of DMF and MF from biomass, catalytic processes with high yields, low catalyst costs, and process simplicity are needed. Here, we demonstrate simultaneous coprocessing of HMF and FF over Cu-Ni/TiO2 catalysts, achieving 87.5% yield of DMF from HMF and 88.5% yield of MF from FF in a one pot reaction. The Cu-Ni/TiO2 catalyst exhibited improved stability and regeneration compared to Cu/TiO2 and Cu/Al2O3 catalysts for FF HDO, with a </w:instrText>
      </w:r>
      <w:r w:rsidR="0097007D" w:rsidRPr="00CA3946">
        <w:rPr>
          <w:rFonts w:ascii="Cambria Math" w:hAnsi="Cambria Math" w:cs="Cambria Math"/>
        </w:rPr>
        <w:instrText>∼</w:instrText>
      </w:r>
      <w:r w:rsidR="0097007D" w:rsidRPr="00CA3946">
        <w:instrText xml:space="preserve">7% loss in FF conversion over four sequential recycles, compared to a </w:instrText>
      </w:r>
      <w:r w:rsidR="0097007D" w:rsidRPr="00CA3946">
        <w:rPr>
          <w:rFonts w:ascii="Cambria Math" w:hAnsi="Cambria Math" w:cs="Cambria Math"/>
        </w:rPr>
        <w:instrText>∼</w:instrText>
      </w:r>
      <w:r w:rsidR="0097007D" w:rsidRPr="00CA3946">
        <w:instrText xml:space="preserve">50% loss in FF conversion for Cu/Al2O3 and a </w:instrText>
      </w:r>
      <w:r w:rsidR="0097007D" w:rsidRPr="00CA3946">
        <w:rPr>
          <w:rFonts w:ascii="Cambria Math" w:hAnsi="Cambria Math" w:cs="Cambria Math"/>
        </w:rPr>
        <w:instrText>∼</w:instrText>
      </w:r>
      <w:r w:rsidR="0097007D" w:rsidRPr="00CA3946">
        <w:instrText>30% loss in conversion for Cu/TiO2. Characterization of the Cu-Ni/TiO2 catalyst by X-ray photoelectron spectroscopy, scanning transmission electron microscopy, and H2-temperature-programmed reduction and comparison to monometallic Cu and Ni on Al2O3 and TiO2 and bimetallic Cu-Ni/Al2O3 catalysts suggest that the unique reactivity and stability of Cu-Ni/TiO2 derives from support-induced metal segregation in which Cu is selectively enriched at the catalyst surface, while Ni is enriched at the TiO2 interface. These results demonstrate that Cu-Ni/TiO2 catalysts promise to be a system capable of integrating directly with a combined HMF and FF product stream from biomass processing to realize lower cost production of liquid fuels from biomass.","author":[{"dropping-particle":"","family":"Seemala","given":"Bhogeswararao","non-dropping-particle":"","parse-names":false,"suffix":""},{"dropping-particle":"","family":"Cai","given":"Charles M.","non-dropping-particle":"","parse-names":false,"suffix":""},{"dropping-particle":"","family":"Wyman","given":"Charles E.","non-dropping-particle":"","parse-names":false,"suffix":""},{"dropping-particle":"","family":"Christopher","given":"Phillip","non-dropping-particle":"","parse-names":false,"suffix":""}],"container-title":"ACS Catalysis","id":"ITEM-1","issue":"6","issued":{"date-parts":[["2017","6"]]},"page":"4070-4082","publisher":"American Chemical Society","title":"Support Induced Control of Surface Composition in Cu-Ni/TiO2 Catalysts Enables High Yield Co-Conversion of HMF and Furfural to Methylated Furans","type":"article-journal","volume":"7"},"uris":["http://www.mendeley.com/documents/?uuid=94916e60-9fce-48e0-975a-eb2eed63d005","http://www.mendeley.com/documents/?uuid=84b2d08b-aaf3-4fd7-81dc-8a28ede1a664"]}],"mendeley":{"formattedCitation":"&lt;sup&gt;14&lt;/sup&gt;","plainTextFormattedCitation":"14","previouslyFormattedCitation":"&lt;sup&gt;14&lt;/sup&gt;"},"properties":{"noteIndex":0},"schema":"https://github.com/citation-style-language/schema/raw/master/csl-citation.json"}</w:instrText>
      </w:r>
      <w:r w:rsidR="003A2C01" w:rsidRPr="00CA3946">
        <w:fldChar w:fldCharType="separate"/>
      </w:r>
      <w:r w:rsidR="003A2C01" w:rsidRPr="00CA3946">
        <w:rPr>
          <w:noProof/>
          <w:vertAlign w:val="superscript"/>
        </w:rPr>
        <w:t>14</w:t>
      </w:r>
      <w:r w:rsidR="003A2C01" w:rsidRPr="00CA3946">
        <w:fldChar w:fldCharType="end"/>
      </w:r>
    </w:p>
    <w:p w14:paraId="748B5BD4" w14:textId="77777777" w:rsidR="00BE1837" w:rsidRPr="00CA3946" w:rsidRDefault="007611B2" w:rsidP="003D4A1F">
      <w:pPr>
        <w:pStyle w:val="TAMainText"/>
      </w:pPr>
      <w:r w:rsidRPr="00CA3946">
        <w:t>It is clear that tailoring the properties of both the metal nanoparticles and the support has profound consequences for the resultant performance towards the hydrogenation of furfural. In this study, our combined experimental and theoretical approach demonstrates how Pd/NiO not only directs the selectivity of furfural hydrogenation but operates through a unique dual-site hydrogenation mechanism that allows for high catalytic activity to be maintained at low (0.1 wt%) Pd loading.</w:t>
      </w:r>
    </w:p>
    <w:p w14:paraId="214ECDC7" w14:textId="77777777" w:rsidR="00BE1837" w:rsidRPr="00A45322" w:rsidRDefault="0068063B" w:rsidP="0068063B">
      <w:pPr>
        <w:pStyle w:val="TDAckTitle"/>
      </w:pPr>
      <w:r w:rsidRPr="00A45322">
        <w:t>EXPERIMENTAL</w:t>
      </w:r>
    </w:p>
    <w:p w14:paraId="67390536" w14:textId="6274E9AA" w:rsidR="00BE1837" w:rsidRPr="00A45322" w:rsidRDefault="00BE1837" w:rsidP="00CA3946">
      <w:pPr>
        <w:pStyle w:val="TAMainText"/>
      </w:pPr>
      <w:r w:rsidRPr="00A45322">
        <w:rPr>
          <w:b/>
          <w:lang w:val="en-GB"/>
        </w:rPr>
        <w:t>Catalyst synthesis:</w:t>
      </w:r>
      <w:r w:rsidRPr="00A45322">
        <w:rPr>
          <w:lang w:val="en-GB"/>
        </w:rPr>
        <w:t xml:space="preserve"> </w:t>
      </w:r>
      <w:r w:rsidR="007E5E33" w:rsidRPr="00A45322">
        <w:rPr>
          <w:lang w:val="en-GB"/>
        </w:rPr>
        <w:t xml:space="preserve">NiO </w:t>
      </w:r>
      <w:r w:rsidR="00464C2E" w:rsidRPr="00A45322">
        <w:rPr>
          <w:lang w:val="en-GB"/>
        </w:rPr>
        <w:t>preparation</w:t>
      </w:r>
      <w:r w:rsidR="007E5E33" w:rsidRPr="00A45322">
        <w:rPr>
          <w:lang w:val="en-GB"/>
        </w:rPr>
        <w:t xml:space="preserve">: </w:t>
      </w:r>
      <w:r w:rsidR="00CA3946" w:rsidRPr="00A45322">
        <w:t>Nickel(II) nitrate hexahydrate(0.134 M</w:t>
      </w:r>
      <w:r w:rsidR="00464C2E" w:rsidRPr="00A45322">
        <w:t xml:space="preserve">, </w:t>
      </w:r>
      <w:r w:rsidR="007E5E33" w:rsidRPr="00A45322">
        <w:t>Ni(NO</w:t>
      </w:r>
      <w:r w:rsidR="007E5E33" w:rsidRPr="00A45322">
        <w:rPr>
          <w:vertAlign w:val="subscript"/>
        </w:rPr>
        <w:t>3</w:t>
      </w:r>
      <w:r w:rsidR="007E5E33" w:rsidRPr="00A45322">
        <w:t>)</w:t>
      </w:r>
      <w:r w:rsidR="007E5E33" w:rsidRPr="00A45322">
        <w:rPr>
          <w:vertAlign w:val="subscript"/>
        </w:rPr>
        <w:t>2</w:t>
      </w:r>
      <w:r w:rsidR="007E5E33" w:rsidRPr="00A45322">
        <w:rPr>
          <w:rFonts w:ascii="Cambria Math" w:hAnsi="Cambria Math"/>
        </w:rPr>
        <w:t>⦁</w:t>
      </w:r>
      <w:r w:rsidR="007E5E33" w:rsidRPr="00A45322">
        <w:t>6H</w:t>
      </w:r>
      <w:r w:rsidR="007E5E33" w:rsidRPr="00A45322">
        <w:rPr>
          <w:vertAlign w:val="subscript"/>
        </w:rPr>
        <w:t>2</w:t>
      </w:r>
      <w:r w:rsidR="007E5E33" w:rsidRPr="00A45322">
        <w:t>O</w:t>
      </w:r>
      <w:r w:rsidR="00CA3946" w:rsidRPr="00A45322">
        <w:t xml:space="preserve">, </w:t>
      </w:r>
      <w:r w:rsidR="007E5E33" w:rsidRPr="00A45322">
        <w:t>Sigma-Aldrich, purity &gt; 99.9%) and urea (Sigma-Aldrich, purity &gt; 99.5%) (</w:t>
      </w:r>
      <w:r w:rsidR="00CA3946" w:rsidRPr="00A45322">
        <w:t>Ni/</w:t>
      </w:r>
      <w:r w:rsidR="007E5E33" w:rsidRPr="00A45322">
        <w:t>urea</w:t>
      </w:r>
      <w:r w:rsidR="00CA3946" w:rsidRPr="00A45322">
        <w:t xml:space="preserve"> molar ratio</w:t>
      </w:r>
      <w:r w:rsidR="007E5E33" w:rsidRPr="00A45322">
        <w:t xml:space="preserve"> 1</w:t>
      </w:r>
      <w:r w:rsidR="00CA3946" w:rsidRPr="00A45322">
        <w:t>:1</w:t>
      </w:r>
      <w:r w:rsidR="007E5E33" w:rsidRPr="00A45322">
        <w:t xml:space="preserve">2 mol/mol) were </w:t>
      </w:r>
      <w:r w:rsidR="00CA3946" w:rsidRPr="00A45322">
        <w:t>solubilized and mixed in</w:t>
      </w:r>
      <w:r w:rsidR="007E5E33" w:rsidRPr="00A45322">
        <w:t xml:space="preserve"> </w:t>
      </w:r>
      <w:r w:rsidR="00CA3946" w:rsidRPr="00A45322">
        <w:t xml:space="preserve">0.2 </w:t>
      </w:r>
      <w:r w:rsidR="007E5E33" w:rsidRPr="00A45322">
        <w:t xml:space="preserve">L of water with magnetic stirring for </w:t>
      </w:r>
      <w:r w:rsidR="00464C2E" w:rsidRPr="00A45322">
        <w:t>240 min.</w:t>
      </w:r>
      <w:r w:rsidR="007E5E33" w:rsidRPr="00A45322">
        <w:t xml:space="preserve"> at 80 °C. The</w:t>
      </w:r>
      <w:r w:rsidR="00CA3946" w:rsidRPr="00A45322">
        <w:t xml:space="preserve"> suspension was filtered to separate the precipitated nickel hydroxide,</w:t>
      </w:r>
      <w:r w:rsidR="007E5E33" w:rsidRPr="00A45322">
        <w:t xml:space="preserve"> Ni(OH)</w:t>
      </w:r>
      <w:r w:rsidR="007E5E33" w:rsidRPr="00A45322">
        <w:rPr>
          <w:vertAlign w:val="subscript"/>
        </w:rPr>
        <w:t>2</w:t>
      </w:r>
      <w:r w:rsidR="00CA3946" w:rsidRPr="00A45322">
        <w:t xml:space="preserve">, </w:t>
      </w:r>
      <w:r w:rsidR="007E5E33" w:rsidRPr="00A45322">
        <w:t>from the solutio</w:t>
      </w:r>
      <w:r w:rsidR="00CA3946" w:rsidRPr="00A45322">
        <w:t xml:space="preserve">n. The powder was </w:t>
      </w:r>
      <w:r w:rsidR="007E5E33" w:rsidRPr="00A45322">
        <w:t>washed</w:t>
      </w:r>
      <w:r w:rsidR="00CA3946" w:rsidRPr="00A45322">
        <w:t xml:space="preserve"> with 2 L of water, </w:t>
      </w:r>
      <w:r w:rsidR="007E5E33" w:rsidRPr="00A45322">
        <w:t xml:space="preserve">dried at 100 °C for </w:t>
      </w:r>
      <w:r w:rsidR="00464C2E" w:rsidRPr="00A45322">
        <w:t>120 min.</w:t>
      </w:r>
      <w:r w:rsidR="007E5E33" w:rsidRPr="00A45322">
        <w:t xml:space="preserve"> and </w:t>
      </w:r>
      <w:r w:rsidR="00CA3946" w:rsidRPr="00A45322">
        <w:t>finally</w:t>
      </w:r>
      <w:r w:rsidR="007E5E33" w:rsidRPr="00A45322">
        <w:t xml:space="preserve"> calcined at 300 °C for </w:t>
      </w:r>
      <w:r w:rsidR="00464C2E" w:rsidRPr="00A45322">
        <w:t>60 min</w:t>
      </w:r>
      <w:r w:rsidR="007E5E33" w:rsidRPr="00A45322">
        <w:t>.</w:t>
      </w:r>
    </w:p>
    <w:p w14:paraId="1189D21F" w14:textId="6FDFED5C" w:rsidR="00BE1837" w:rsidRPr="00A45322" w:rsidRDefault="00BE1837" w:rsidP="003D4A1F">
      <w:pPr>
        <w:pStyle w:val="TAMainText"/>
      </w:pPr>
      <w:r w:rsidRPr="00A45322">
        <w:rPr>
          <w:b/>
          <w:bCs/>
        </w:rPr>
        <w:t>Pd catalyst:</w:t>
      </w:r>
      <w:r w:rsidRPr="00A45322">
        <w:t xml:space="preserve"> </w:t>
      </w:r>
      <w:r w:rsidR="00660FB5" w:rsidRPr="00A45322">
        <w:t xml:space="preserve">Pd(II) salt </w:t>
      </w:r>
      <w:r w:rsidR="002443A7" w:rsidRPr="00A45322">
        <w:t>(0.051 mmol</w:t>
      </w:r>
      <w:r w:rsidR="00660FB5" w:rsidRPr="00A45322">
        <w:t xml:space="preserve"> of Na</w:t>
      </w:r>
      <w:r w:rsidR="00660FB5" w:rsidRPr="00A45322">
        <w:rPr>
          <w:vertAlign w:val="subscript"/>
        </w:rPr>
        <w:t>2</w:t>
      </w:r>
      <w:r w:rsidR="00660FB5" w:rsidRPr="00A45322">
        <w:t>PdCl</w:t>
      </w:r>
      <w:r w:rsidR="00660FB5" w:rsidRPr="00A45322">
        <w:rPr>
          <w:vertAlign w:val="subscript"/>
        </w:rPr>
        <w:t>4</w:t>
      </w:r>
      <w:r w:rsidR="00660FB5" w:rsidRPr="00A45322">
        <w:t xml:space="preserve"> </w:t>
      </w:r>
      <w:r w:rsidR="002443A7" w:rsidRPr="00A45322">
        <w:t xml:space="preserve">Sigma-Aldrich, purity &gt; 99.9%) </w:t>
      </w:r>
      <w:r w:rsidR="00660FB5" w:rsidRPr="00A45322">
        <w:t xml:space="preserve">was dissolved in </w:t>
      </w:r>
      <w:r w:rsidR="00041602" w:rsidRPr="00A45322">
        <w:t xml:space="preserve">0.1 </w:t>
      </w:r>
      <w:r w:rsidR="00660FB5" w:rsidRPr="00A45322">
        <w:t xml:space="preserve">L of </w:t>
      </w:r>
      <w:r w:rsidR="00041602" w:rsidRPr="00A45322">
        <w:t>water</w:t>
      </w:r>
      <w:r w:rsidR="00660FB5" w:rsidRPr="00A45322">
        <w:t xml:space="preserve"> </w:t>
      </w:r>
      <w:r w:rsidR="002443A7" w:rsidRPr="00A45322">
        <w:t>and</w:t>
      </w:r>
      <w:r w:rsidR="00660FB5" w:rsidRPr="00A45322">
        <w:t xml:space="preserve"> sequentially</w:t>
      </w:r>
      <w:r w:rsidR="002443A7" w:rsidRPr="00A45322">
        <w:t xml:space="preserve"> 1 mL of </w:t>
      </w:r>
      <w:r w:rsidR="00660FB5" w:rsidRPr="00A45322">
        <w:t>1 wt%</w:t>
      </w:r>
      <w:r w:rsidR="00041602" w:rsidRPr="00A45322">
        <w:t xml:space="preserve"> polyvinyl alcohol </w:t>
      </w:r>
      <w:r w:rsidR="002443A7" w:rsidRPr="00A45322">
        <w:t>solution</w:t>
      </w:r>
      <w:r w:rsidR="00660FB5" w:rsidRPr="00A45322">
        <w:t xml:space="preserve"> (</w:t>
      </w:r>
      <w:r w:rsidR="00041602" w:rsidRPr="00A45322">
        <w:t>Pd/PVA mass ratio 1:0.5 wt/wt</w:t>
      </w:r>
      <w:r w:rsidR="00660FB5" w:rsidRPr="00A45322">
        <w:t>)</w:t>
      </w:r>
      <w:r w:rsidR="002443A7" w:rsidRPr="00A45322">
        <w:t xml:space="preserve"> </w:t>
      </w:r>
      <w:r w:rsidR="00041602" w:rsidRPr="00A45322">
        <w:t>was introduced</w:t>
      </w:r>
      <w:r w:rsidR="002443A7" w:rsidRPr="00A45322">
        <w:t xml:space="preserve">. </w:t>
      </w:r>
      <w:r w:rsidR="00041602" w:rsidRPr="00A45322">
        <w:t xml:space="preserve">As-obtained yellow solution was maintained under vigorous magnetic stirring </w:t>
      </w:r>
      <w:r w:rsidR="003025BE" w:rsidRPr="00A45322">
        <w:t>for</w:t>
      </w:r>
      <w:r w:rsidR="002443A7" w:rsidRPr="00A45322">
        <w:t xml:space="preserve"> 3 min,</w:t>
      </w:r>
      <w:r w:rsidR="003025BE" w:rsidRPr="00A45322">
        <w:t xml:space="preserve"> then</w:t>
      </w:r>
      <w:r w:rsidR="002443A7" w:rsidRPr="00A45322">
        <w:t xml:space="preserve"> a</w:t>
      </w:r>
      <w:r w:rsidR="00041602" w:rsidRPr="00A45322">
        <w:t xml:space="preserve"> precise volume of</w:t>
      </w:r>
      <w:r w:rsidR="002443A7" w:rsidRPr="00A45322">
        <w:t xml:space="preserve"> 0.1 M NaBH</w:t>
      </w:r>
      <w:r w:rsidR="002443A7" w:rsidRPr="00A45322">
        <w:rPr>
          <w:vertAlign w:val="subscript"/>
        </w:rPr>
        <w:t>4</w:t>
      </w:r>
      <w:r w:rsidR="002443A7" w:rsidRPr="00A45322">
        <w:t xml:space="preserve"> solution (Pd/NaBH</w:t>
      </w:r>
      <w:r w:rsidR="002443A7" w:rsidRPr="00A45322">
        <w:rPr>
          <w:vertAlign w:val="subscript"/>
        </w:rPr>
        <w:t>4</w:t>
      </w:r>
      <w:r w:rsidR="002443A7" w:rsidRPr="00A45322">
        <w:t xml:space="preserve"> </w:t>
      </w:r>
      <w:r w:rsidR="00041602" w:rsidRPr="00A45322">
        <w:t xml:space="preserve">molar ratio </w:t>
      </w:r>
      <w:r w:rsidR="002443A7" w:rsidRPr="00A45322">
        <w:t>1</w:t>
      </w:r>
      <w:r w:rsidR="00041602" w:rsidRPr="00A45322">
        <w:t>:</w:t>
      </w:r>
      <w:r w:rsidR="002443A7" w:rsidRPr="00A45322">
        <w:t xml:space="preserve">8 mol/mol) was </w:t>
      </w:r>
      <w:r w:rsidR="00041602" w:rsidRPr="00A45322">
        <w:t>injected</w:t>
      </w:r>
      <w:r w:rsidR="002443A7" w:rsidRPr="00A45322">
        <w:t xml:space="preserve">. </w:t>
      </w:r>
      <w:r w:rsidR="003025BE" w:rsidRPr="00A45322">
        <w:t>Immediately, the solution assumed a brown coloration, indicating the formation of Pd(0) colloid. After</w:t>
      </w:r>
      <w:r w:rsidR="002443A7" w:rsidRPr="00A45322">
        <w:t xml:space="preserve"> few minutes</w:t>
      </w:r>
      <w:r w:rsidR="003025BE" w:rsidRPr="00A45322">
        <w:t>,</w:t>
      </w:r>
      <w:r w:rsidR="002443A7" w:rsidRPr="00A45322">
        <w:t xml:space="preserve"> </w:t>
      </w:r>
      <w:r w:rsidR="003025BE" w:rsidRPr="00A45322">
        <w:t>sulphuric acid was added to adjust the pH to 2 and then the solid support was dispersed in</w:t>
      </w:r>
      <w:r w:rsidR="002443A7" w:rsidRPr="00A45322">
        <w:t xml:space="preserve"> the vigorously stirring </w:t>
      </w:r>
      <w:r w:rsidR="003025BE" w:rsidRPr="00A45322">
        <w:t>colloid</w:t>
      </w:r>
      <w:r w:rsidR="002443A7" w:rsidRPr="00A45322">
        <w:t xml:space="preserve">. The amount of the support was </w:t>
      </w:r>
      <w:r w:rsidR="003025BE" w:rsidRPr="00A45322">
        <w:t>selected</w:t>
      </w:r>
      <w:r w:rsidR="002443A7" w:rsidRPr="00A45322">
        <w:t xml:space="preserve"> in order to </w:t>
      </w:r>
      <w:r w:rsidR="003025BE" w:rsidRPr="00A45322">
        <w:t>achieve</w:t>
      </w:r>
      <w:r w:rsidR="002443A7" w:rsidRPr="00A45322">
        <w:t xml:space="preserve"> a final </w:t>
      </w:r>
      <w:r w:rsidR="003025BE" w:rsidRPr="00A45322">
        <w:t>palladium</w:t>
      </w:r>
      <w:r w:rsidR="002443A7" w:rsidRPr="00A45322">
        <w:t xml:space="preserve"> loading of 1 and 0.1 wt% (</w:t>
      </w:r>
      <w:r w:rsidR="003025BE" w:rsidRPr="00A45322">
        <w:t>on the assumption of a</w:t>
      </w:r>
      <w:r w:rsidR="002443A7" w:rsidRPr="00A45322">
        <w:t xml:space="preserve"> quantitative metal</w:t>
      </w:r>
      <w:r w:rsidR="003025BE" w:rsidRPr="00A45322">
        <w:t xml:space="preserve"> uptake</w:t>
      </w:r>
      <w:r w:rsidR="002443A7" w:rsidRPr="00A45322">
        <w:t xml:space="preserve"> on the support). </w:t>
      </w:r>
      <w:r w:rsidR="007044A6" w:rsidRPr="00A45322">
        <w:t>After filtration and washing, t</w:t>
      </w:r>
      <w:r w:rsidR="002443A7" w:rsidRPr="00A45322">
        <w:t xml:space="preserve">he catalysts were dried at 100 °C for </w:t>
      </w:r>
      <w:r w:rsidR="00464C2E" w:rsidRPr="00A45322">
        <w:t>120 min</w:t>
      </w:r>
      <w:r w:rsidR="002443A7" w:rsidRPr="00A45322">
        <w:t>.</w:t>
      </w:r>
    </w:p>
    <w:p w14:paraId="6F4E9925" w14:textId="37B7ADB1" w:rsidR="00BE1837" w:rsidRPr="00A45322" w:rsidRDefault="00BE1837" w:rsidP="003D4A1F">
      <w:pPr>
        <w:pStyle w:val="TAMainText"/>
      </w:pPr>
      <w:r w:rsidRPr="00A45322">
        <w:rPr>
          <w:b/>
          <w:bCs/>
        </w:rPr>
        <w:t>Catalytic tests:</w:t>
      </w:r>
      <w:r w:rsidRPr="00A45322">
        <w:t xml:space="preserve"> </w:t>
      </w:r>
      <w:r w:rsidR="00D772CB" w:rsidRPr="00A45322">
        <w:t>Catalytic performances in the f</w:t>
      </w:r>
      <w:r w:rsidR="002443A7" w:rsidRPr="00A45322">
        <w:t xml:space="preserve">urfural (F) (Sigma-Aldrich, purity 99%) hydrogenation </w:t>
      </w:r>
      <w:r w:rsidR="00D772CB" w:rsidRPr="00A45322">
        <w:t xml:space="preserve">reaction </w:t>
      </w:r>
      <w:r w:rsidR="002443A7" w:rsidRPr="00A45322">
        <w:t>w</w:t>
      </w:r>
      <w:r w:rsidR="00D772CB" w:rsidRPr="00A45322">
        <w:t xml:space="preserve">ere evaluated </w:t>
      </w:r>
      <w:r w:rsidR="002443A7" w:rsidRPr="00A45322">
        <w:t xml:space="preserve"> at 25 °C, </w:t>
      </w:r>
      <w:r w:rsidR="00D772CB" w:rsidRPr="00A45322">
        <w:t>carrying-out batch experiments in</w:t>
      </w:r>
      <w:r w:rsidR="002443A7" w:rsidRPr="00A45322">
        <w:t xml:space="preserve"> a stainless steel reactor (</w:t>
      </w:r>
      <w:r w:rsidR="00D772CB" w:rsidRPr="00A45322">
        <w:t>0.0</w:t>
      </w:r>
      <w:r w:rsidR="002443A7" w:rsidRPr="00A45322">
        <w:t>3</w:t>
      </w:r>
      <w:r w:rsidR="00D772CB" w:rsidRPr="00A45322">
        <w:t xml:space="preserve"> </w:t>
      </w:r>
      <w:r w:rsidR="002443A7" w:rsidRPr="00A45322">
        <w:t>L capacity), equipped with heater, mechanical stirrer, gas supply system and thermo</w:t>
      </w:r>
      <w:r w:rsidR="00D772CB" w:rsidRPr="00A45322">
        <w:t>couple for temperature control</w:t>
      </w:r>
      <w:r w:rsidR="002443A7" w:rsidRPr="00A45322">
        <w:t xml:space="preserve">. </w:t>
      </w:r>
      <w:r w:rsidR="007044A6" w:rsidRPr="00A45322">
        <w:t xml:space="preserve">The reactor was </w:t>
      </w:r>
      <w:r w:rsidR="007044A6" w:rsidRPr="00A45322">
        <w:lastRenderedPageBreak/>
        <w:t>filled with 0.015 L of f</w:t>
      </w:r>
      <w:r w:rsidR="002443A7" w:rsidRPr="00A45322">
        <w:t xml:space="preserve">urfural solution (0.3 M in 2-propanol) and the </w:t>
      </w:r>
      <w:r w:rsidR="003025BE" w:rsidRPr="00A45322">
        <w:t>proper</w:t>
      </w:r>
      <w:r w:rsidR="002443A7" w:rsidRPr="00A45322">
        <w:t xml:space="preserve"> amount of catalyst (F/metal ratio=500 mol/mol) was suspended in the solution. The </w:t>
      </w:r>
      <w:r w:rsidR="007044A6" w:rsidRPr="00A45322">
        <w:t xml:space="preserve">reactor was </w:t>
      </w:r>
      <w:r w:rsidR="002443A7" w:rsidRPr="00A45322">
        <w:t>pressur</w:t>
      </w:r>
      <w:r w:rsidR="007044A6" w:rsidRPr="00A45322">
        <w:t>ized with 5 bar of pure</w:t>
      </w:r>
      <w:r w:rsidR="002443A7" w:rsidRPr="00A45322">
        <w:t xml:space="preserve"> hydrogen. The mixture was </w:t>
      </w:r>
      <w:r w:rsidR="007044A6" w:rsidRPr="00A45322">
        <w:t xml:space="preserve">kept </w:t>
      </w:r>
      <w:r w:rsidR="002443A7" w:rsidRPr="00A45322">
        <w:t>at room temperature (25°</w:t>
      </w:r>
      <w:r w:rsidR="00744166" w:rsidRPr="00A45322">
        <w:t>C</w:t>
      </w:r>
      <w:r w:rsidR="002443A7" w:rsidRPr="00A45322">
        <w:t xml:space="preserve">) </w:t>
      </w:r>
      <w:r w:rsidR="007044A6" w:rsidRPr="00A45322">
        <w:t>under</w:t>
      </w:r>
      <w:r w:rsidR="002443A7" w:rsidRPr="00A45322">
        <w:t xml:space="preserve"> mechanical stirr</w:t>
      </w:r>
      <w:r w:rsidR="007044A6" w:rsidRPr="00A45322">
        <w:t>ing</w:t>
      </w:r>
      <w:r w:rsidR="002443A7" w:rsidRPr="00A45322">
        <w:t xml:space="preserve"> (1250 rpm). At the end of the </w:t>
      </w:r>
      <w:r w:rsidR="00CF6234" w:rsidRPr="00A45322">
        <w:t>test</w:t>
      </w:r>
      <w:r w:rsidR="002443A7" w:rsidRPr="00A45322">
        <w:t xml:space="preserve">, </w:t>
      </w:r>
      <w:r w:rsidR="00CF6234" w:rsidRPr="00A45322">
        <w:t xml:space="preserve">gas </w:t>
      </w:r>
      <w:r w:rsidR="002443A7" w:rsidRPr="00A45322">
        <w:t xml:space="preserve">flow </w:t>
      </w:r>
      <w:r w:rsidR="00CF6234" w:rsidRPr="00A45322">
        <w:t>switched from</w:t>
      </w:r>
      <w:r w:rsidR="002443A7" w:rsidRPr="00A45322">
        <w:t xml:space="preserve"> </w:t>
      </w:r>
      <w:r w:rsidR="00CF6234" w:rsidRPr="00A45322">
        <w:t>H</w:t>
      </w:r>
      <w:r w:rsidR="00CF6234" w:rsidRPr="00A45322">
        <w:rPr>
          <w:vertAlign w:val="subscript"/>
        </w:rPr>
        <w:t>2</w:t>
      </w:r>
      <w:r w:rsidR="00CF6234" w:rsidRPr="00A45322">
        <w:t xml:space="preserve"> to N</w:t>
      </w:r>
      <w:r w:rsidR="00CF6234" w:rsidRPr="00A45322">
        <w:rPr>
          <w:vertAlign w:val="subscript"/>
        </w:rPr>
        <w:t>2</w:t>
      </w:r>
      <w:r w:rsidR="00CF6234" w:rsidRPr="00A45322">
        <w:t xml:space="preserve"> for purging </w:t>
      </w:r>
      <w:r w:rsidR="002443A7" w:rsidRPr="00A45322">
        <w:t xml:space="preserve">the autoclave with flowing nitrogen. </w:t>
      </w:r>
      <w:r w:rsidR="007044A6" w:rsidRPr="00A45322">
        <w:t xml:space="preserve">Periodical sampling </w:t>
      </w:r>
      <w:r w:rsidR="002443A7" w:rsidRPr="00A45322">
        <w:t xml:space="preserve"> (</w:t>
      </w:r>
      <w:r w:rsidR="00464C2E" w:rsidRPr="00A45322">
        <w:t xml:space="preserve">200 </w:t>
      </w:r>
      <w:r w:rsidR="00464C2E" w:rsidRPr="00A45322">
        <w:rPr>
          <w:rFonts w:ascii="Constantia" w:hAnsi="Constantia"/>
        </w:rPr>
        <w:t>μ</w:t>
      </w:r>
      <w:r w:rsidR="002443A7" w:rsidRPr="00A45322">
        <w:t xml:space="preserve">L) </w:t>
      </w:r>
      <w:r w:rsidR="003025BE" w:rsidRPr="00A45322">
        <w:t xml:space="preserve">allowed for </w:t>
      </w:r>
      <w:r w:rsidR="00CF6234" w:rsidRPr="00A45322">
        <w:t xml:space="preserve">monitoring the progress of the </w:t>
      </w:r>
      <w:r w:rsidR="003025BE" w:rsidRPr="00A45322">
        <w:t xml:space="preserve">reaction </w:t>
      </w:r>
      <w:r w:rsidR="00CF6234" w:rsidRPr="00A45322">
        <w:t>by chromatographic analysis, using a</w:t>
      </w:r>
      <w:r w:rsidR="002443A7" w:rsidRPr="00A45322">
        <w:t xml:space="preserve"> HP 7820A gas chromatograph equipped with a capillary column HP-5 30m x 0.32mm, 0.25 µm Film, by Agilent Technologies. </w:t>
      </w:r>
      <w:r w:rsidR="00F55EC7" w:rsidRPr="00A45322">
        <w:t>Compound</w:t>
      </w:r>
      <w:r w:rsidR="00CF6234" w:rsidRPr="00A45322">
        <w:t xml:space="preserve"> identification was </w:t>
      </w:r>
      <w:r w:rsidR="00F55EC7" w:rsidRPr="00A45322">
        <w:t>performed on the basis of retention times obtained from the analysis of a</w:t>
      </w:r>
      <w:r w:rsidR="002443A7" w:rsidRPr="00A45322">
        <w:t xml:space="preserve">uthentic samples. </w:t>
      </w:r>
      <w:r w:rsidR="00F55EC7" w:rsidRPr="00A45322">
        <w:t>E</w:t>
      </w:r>
      <w:r w:rsidR="002443A7" w:rsidRPr="00A45322">
        <w:t>xternal standard method (n-octanol) was used</w:t>
      </w:r>
      <w:r w:rsidR="00F55EC7" w:rsidRPr="00A45322">
        <w:t xml:space="preserve"> for the quantitative analysis</w:t>
      </w:r>
      <w:r w:rsidR="002443A7" w:rsidRPr="00A45322">
        <w:t>.</w:t>
      </w:r>
    </w:p>
    <w:p w14:paraId="1D49FF28" w14:textId="4B3F1464" w:rsidR="007323F9" w:rsidRPr="00A45322" w:rsidRDefault="00BE1837" w:rsidP="007323F9">
      <w:pPr>
        <w:pStyle w:val="TAMainText"/>
      </w:pPr>
      <w:r w:rsidRPr="00A45322">
        <w:rPr>
          <w:b/>
          <w:bCs/>
        </w:rPr>
        <w:t>Transmission Electron Microscopy (TEM)</w:t>
      </w:r>
      <w:r w:rsidR="006B3D5F" w:rsidRPr="00A45322">
        <w:rPr>
          <w:b/>
          <w:bCs/>
        </w:rPr>
        <w:t>.</w:t>
      </w:r>
      <w:r w:rsidRPr="00A45322">
        <w:t xml:space="preserve"> </w:t>
      </w:r>
      <w:r w:rsidR="007323F9" w:rsidRPr="00A45322">
        <w:t xml:space="preserve">Holey copper grids were used for performing TEM studies, where small quantities of powdered catalysts were deposited onto the grids prior to analysis. The TEM studies – both for producing images and elemental analysis through X-ray energy dispersive spectroscopy (XEDS) - were conducted in High Annular Dark Field mode using a FEI Titan3 80-300 microscope. The acceleration voltage was 200 kV. All data was analyzed using the software packages: Digital Micrograph, TIA, and INCA. Information on particles size distribution (PSD) assumed a truncated cubooctahedron particle shape and was assessed using Gauss software. </w:t>
      </w:r>
    </w:p>
    <w:p w14:paraId="4185EA6A" w14:textId="06C0CE7C" w:rsidR="00BE1837" w:rsidRPr="00A45322" w:rsidRDefault="00BE1837" w:rsidP="003D4A1F">
      <w:pPr>
        <w:pStyle w:val="TAMainText"/>
      </w:pPr>
      <w:r w:rsidRPr="00A45322">
        <w:rPr>
          <w:b/>
          <w:bCs/>
        </w:rPr>
        <w:t>X-ray Photoelectron Spectroscopy (XPS)</w:t>
      </w:r>
      <w:r w:rsidR="006B3D5F" w:rsidRPr="00A45322">
        <w:rPr>
          <w:b/>
          <w:bCs/>
        </w:rPr>
        <w:t>.</w:t>
      </w:r>
      <w:r w:rsidRPr="00A45322">
        <w:t xml:space="preserve"> </w:t>
      </w:r>
      <w:r w:rsidR="00200134" w:rsidRPr="00A45322">
        <w:t xml:space="preserve">The acquisition of </w:t>
      </w:r>
      <w:r w:rsidR="002443A7" w:rsidRPr="00A45322">
        <w:t>X-ray photoelectron spectr</w:t>
      </w:r>
      <w:r w:rsidR="00200134" w:rsidRPr="00A45322">
        <w:t>a</w:t>
      </w:r>
      <w:r w:rsidR="002443A7" w:rsidRPr="00A45322">
        <w:t xml:space="preserve"> (XPS) </w:t>
      </w:r>
      <w:r w:rsidR="00200134" w:rsidRPr="00A45322">
        <w:t>was performed on</w:t>
      </w:r>
      <w:r w:rsidR="002443A7" w:rsidRPr="00A45322">
        <w:t xml:space="preserve"> a PHI 3056 XPS with an Al anode source operated at 15kV and an applied power of </w:t>
      </w:r>
      <w:r w:rsidR="00464C2E" w:rsidRPr="00A45322">
        <w:t>0.</w:t>
      </w:r>
      <w:r w:rsidR="002443A7" w:rsidRPr="00A45322">
        <w:t>35</w:t>
      </w:r>
      <w:r w:rsidR="00464C2E" w:rsidRPr="00A45322">
        <w:t xml:space="preserve"> k</w:t>
      </w:r>
      <w:r w:rsidR="002443A7" w:rsidRPr="00A45322">
        <w:t xml:space="preserve">W. </w:t>
      </w:r>
      <w:r w:rsidR="00200134" w:rsidRPr="00A45322">
        <w:t>A sputter cleaned silver foil was used for checking t</w:t>
      </w:r>
      <w:r w:rsidR="002443A7" w:rsidRPr="00A45322">
        <w:t xml:space="preserve">he energy scale calibration. </w:t>
      </w:r>
      <w:r w:rsidR="0077280C" w:rsidRPr="00A45322">
        <w:t>Powder</w:t>
      </w:r>
      <w:r w:rsidR="002443A7" w:rsidRPr="00A45322">
        <w:t xml:space="preserve">s were </w:t>
      </w:r>
      <w:r w:rsidR="0088014C" w:rsidRPr="00A45322">
        <w:t>hand-</w:t>
      </w:r>
      <w:r w:rsidR="002443A7" w:rsidRPr="00A45322">
        <w:t xml:space="preserve">pressed between two </w:t>
      </w:r>
      <w:r w:rsidR="0088014C" w:rsidRPr="00A45322">
        <w:t>clean sli</w:t>
      </w:r>
      <w:r w:rsidR="002443A7" w:rsidRPr="00A45322">
        <w:t xml:space="preserve">ces of indium foil; the </w:t>
      </w:r>
      <w:r w:rsidR="005D6471" w:rsidRPr="00A45322">
        <w:t>i</w:t>
      </w:r>
      <w:r w:rsidR="002443A7" w:rsidRPr="00A45322">
        <w:t>n</w:t>
      </w:r>
      <w:r w:rsidR="00744166" w:rsidRPr="00A45322">
        <w:t>dium</w:t>
      </w:r>
      <w:r w:rsidR="002443A7" w:rsidRPr="00A45322">
        <w:t xml:space="preserve"> foil</w:t>
      </w:r>
      <w:r w:rsidR="005D6471" w:rsidRPr="00A45322">
        <w:t xml:space="preserve">, in which the powders were embedded, </w:t>
      </w:r>
      <w:r w:rsidR="002443A7" w:rsidRPr="00A45322">
        <w:t xml:space="preserve"> was then </w:t>
      </w:r>
      <w:r w:rsidR="0088014C" w:rsidRPr="00A45322">
        <w:t>placed in</w:t>
      </w:r>
      <w:r w:rsidR="002443A7" w:rsidRPr="00A45322">
        <w:t xml:space="preserve"> the sample holder with a </w:t>
      </w:r>
      <w:r w:rsidR="005D6471" w:rsidRPr="00A45322">
        <w:t>fragment</w:t>
      </w:r>
      <w:r w:rsidR="002443A7" w:rsidRPr="00A45322">
        <w:t xml:space="preserve"> of carbon tape (Nisshin E.M. Co. LTD). The lowest C1s </w:t>
      </w:r>
      <w:r w:rsidR="005D6471" w:rsidRPr="00A45322">
        <w:t>binding energy</w:t>
      </w:r>
      <w:r w:rsidR="002443A7" w:rsidRPr="00A45322">
        <w:t xml:space="preserve"> species were shifted about 0.1 eV to 284.8 eV for comparison </w:t>
      </w:r>
      <w:r w:rsidR="005D6471" w:rsidRPr="00A45322">
        <w:t>purposes with</w:t>
      </w:r>
      <w:r w:rsidR="002443A7" w:rsidRPr="00A45322">
        <w:t xml:space="preserve"> literature values.  The</w:t>
      </w:r>
      <w:r w:rsidR="00660FB5" w:rsidRPr="00A45322">
        <w:t xml:space="preserve"> XPS analyses did not require any pre</w:t>
      </w:r>
      <w:r w:rsidR="002443A7" w:rsidRPr="00A45322">
        <w:t xml:space="preserve">treatments (i.e. cleaning, heating, processing). High resolution scans were acquired with a 23.5 eV pass energy and 0.05 eV steps a minimum of 50 times; survey scans were measured with a 93.9 eV pass energy and 0.5 eV energy steps a minimum of 25 times. </w:t>
      </w:r>
      <w:r w:rsidR="005D6471" w:rsidRPr="00A45322">
        <w:t>Peak</w:t>
      </w:r>
      <w:r w:rsidR="002443A7" w:rsidRPr="00A45322">
        <w:t xml:space="preserve"> area </w:t>
      </w:r>
      <w:r w:rsidR="005D6471" w:rsidRPr="00A45322">
        <w:t>integration provided surface concentrations,</w:t>
      </w:r>
      <w:r w:rsidR="009A2A82" w:rsidRPr="00A45322">
        <w:t xml:space="preserve"> considering the proper</w:t>
      </w:r>
      <w:r w:rsidR="002443A7" w:rsidRPr="00A45322">
        <w:t xml:space="preserve"> standard atomic sensitivity factors </w:t>
      </w:r>
      <w:r w:rsidR="009A2A82" w:rsidRPr="00A45322">
        <w:t>provid</w:t>
      </w:r>
      <w:r w:rsidR="002443A7" w:rsidRPr="00A45322">
        <w:t xml:space="preserve">ed by the </w:t>
      </w:r>
      <w:r w:rsidR="009A2A82" w:rsidRPr="00A45322">
        <w:t>instrument producer</w:t>
      </w:r>
      <w:r w:rsidR="002443A7" w:rsidRPr="00A45322">
        <w:t>. Gaussian-Lorentzian functions and a Shirley-type background</w:t>
      </w:r>
      <w:r w:rsidR="009A2A82" w:rsidRPr="00A45322">
        <w:t xml:space="preserve"> were used for spectra deconvolution</w:t>
      </w:r>
      <w:r w:rsidR="002443A7" w:rsidRPr="00A45322">
        <w:t>.</w:t>
      </w:r>
    </w:p>
    <w:p w14:paraId="61B95A39" w14:textId="1B07497E" w:rsidR="007323F9" w:rsidRPr="00A45322" w:rsidRDefault="00BE1837" w:rsidP="007323F9">
      <w:pPr>
        <w:pStyle w:val="TAMainText"/>
      </w:pPr>
      <w:r w:rsidRPr="00A45322">
        <w:rPr>
          <w:b/>
          <w:bCs/>
        </w:rPr>
        <w:t>X-ray Absorption</w:t>
      </w:r>
      <w:r w:rsidRPr="00A45322">
        <w:t xml:space="preserve"> </w:t>
      </w:r>
      <w:r w:rsidR="007323F9" w:rsidRPr="00A45322">
        <w:rPr>
          <w:b/>
          <w:bCs/>
        </w:rPr>
        <w:t>Fine Structure (XAFS).</w:t>
      </w:r>
      <w:r w:rsidR="007323F9" w:rsidRPr="00A45322">
        <w:t xml:space="preserve"> Measurements were conducted at the UK national synchrotron Diamond Light Source, using the core-XAFS beamline, B18. XAFS data at the Pd K edge were acquired simultaneously with a Pd foil reference positioned between I</w:t>
      </w:r>
      <w:r w:rsidR="007323F9" w:rsidRPr="00A45322">
        <w:rPr>
          <w:vertAlign w:val="subscript"/>
        </w:rPr>
        <w:t>t</w:t>
      </w:r>
      <w:r w:rsidR="007323F9" w:rsidRPr="00A45322">
        <w:t xml:space="preserve"> and I</w:t>
      </w:r>
      <w:r w:rsidR="007323F9" w:rsidRPr="00A45322">
        <w:rPr>
          <w:vertAlign w:val="subscript"/>
        </w:rPr>
        <w:t>ref</w:t>
      </w:r>
      <w:r w:rsidR="007323F9" w:rsidRPr="00A45322">
        <w:t xml:space="preserve">.  Samples were prepared as self-supporting pellets and were assessed using fluorescence acquisition using a QEXAFS set-up with a fast-scanning Si(311) double crystal monochromator and a 36 element Ge detector. Each spectrum was measured for 4 min and on average 6 scans were measured </w:t>
      </w:r>
      <w:r w:rsidR="007323F9" w:rsidRPr="00A45322">
        <w:lastRenderedPageBreak/>
        <w:t xml:space="preserve">to improve the data quality of the final summed spectrum. Data were measured in </w:t>
      </w:r>
      <w:r w:rsidR="007323F9" w:rsidRPr="00A45322">
        <w:rPr>
          <w:i/>
        </w:rPr>
        <w:t>K</w:t>
      </w:r>
      <w:r w:rsidR="007323F9" w:rsidRPr="00A45322">
        <w:t xml:space="preserve"> space to a maximum value of 16. Data processing was performed using IFEFFIT</w:t>
      </w:r>
      <w:r w:rsidR="007323F9" w:rsidRPr="00A45322">
        <w:fldChar w:fldCharType="begin" w:fldLock="1"/>
      </w:r>
      <w:r w:rsidR="007323F9" w:rsidRPr="00A45322">
        <w:instrText>ADDIN CSL_CITATION {"citationItems":[{"id":"ITEM-1","itemData":{"DOI":"10.1107/S0909049500016964","ISSN":"09090495","abstract":"IFEFFIT, an interactive program and scriptable library of XAFS algorithms is presented. The core algorithms of AUTOBK and FEFFIT have been combined with general data manipulation and interactive graphics into a single package. IFEFFIT comes with a command-line program that can be run either interactively or in batch-mode. It also provides a library of functions that can be used easily from C or Fortran, as well as high level scripting languages such as Tcl, Perl and Python. Using this library, a Graphical User Interface for rapid 'online' data analysis is demonstrated. IFEFFIT is freely available with an Open Source license. Outside use, development, and contributions are encouraged.","author":[{"dropping-particle":"","family":"Newville","given":"Matthew","non-dropping-particle":"","parse-names":false,"suffix":""}],"container-title":"Journal of Synchrotron Radiation","id":"ITEM-1","issue":"2","issued":{"date-parts":[["2001"]]},"page":"322-324","title":"IFEFFIT: Interactive XAFS analysis and FEFF fitting","type":"article-journal","volume":"8"},"uris":["http://www.mendeley.com/documents/?uuid=3dbaf79d-5895-45f5-aef7-fab10bee6b51"]}],"mendeley":{"formattedCitation":"&lt;sup&gt;29&lt;/sup&gt;","plainTextFormattedCitation":"29","previouslyFormattedCitation":"&lt;sup&gt;29&lt;/sup&gt;"},"properties":{"noteIndex":0},"schema":"https://github.com/citation-style-language/schema/raw/master/csl-citation.json"}</w:instrText>
      </w:r>
      <w:r w:rsidR="007323F9" w:rsidRPr="00A45322">
        <w:fldChar w:fldCharType="separate"/>
      </w:r>
      <w:r w:rsidR="007323F9" w:rsidRPr="00A45322">
        <w:rPr>
          <w:vertAlign w:val="superscript"/>
        </w:rPr>
        <w:t>29</w:t>
      </w:r>
      <w:r w:rsidR="007323F9" w:rsidRPr="00A45322">
        <w:fldChar w:fldCharType="end"/>
      </w:r>
      <w:r w:rsidR="007323F9" w:rsidRPr="00A45322">
        <w:t xml:space="preserve"> with the Horae</w:t>
      </w:r>
      <w:r w:rsidR="007323F9" w:rsidRPr="00A45322">
        <w:fldChar w:fldCharType="begin" w:fldLock="1"/>
      </w:r>
      <w:r w:rsidR="007323F9" w:rsidRPr="00A45322">
        <w:instrText>ADDIN CSL_CITATION {"citationItems":[{"id":"ITEM-1","itemData":{"DOI":"10.1107/S0909049505012719","ISBN":"0909-0495 (Print)\r0909-0495 (Linking)","ISSN":"09090495","PMID":"15968136","abstract":"A software package for the analysis of X-ray absorption spectroscopy (XAS) data is presented. This package is based on the IFEFFIT library of numerical and XAS algorithms and is written in the Perl programming language using the Perl/Tk graphics toolkit. The programs described here are: (i) ATHENA, a program for XAS data processing, (ii) ARTEMIS, a program for EXAFS data analysis using theoretical standards from FEFF and (iii) HEPHAESTUS, a collection of beamline utilities based on tables of atomic absorption data. These programs enable high-quality data analysis that is accessible to novices while still powerful enough to meet the demands of an expert practitioner. The programs run on all major computer platforms and are freely available under the terms of a free software license. © 2005 International Union of Crystallography Printed in Great Britain - all rights reserved.","author":[{"dropping-particle":"","family":"Ravel","given":"B.","non-dropping-particle":"","parse-names":false,"suffix":""},{"dropping-particle":"","family":"Newville","given":"M.","non-dropping-particle":"","parse-names":false,"suffix":""}],"container-title":"Journal of Synchrotron Radiation","id":"ITEM-1","issue":"4","issued":{"date-parts":[["2005"]]},"page":"537-541","title":"ATHENA, ARTEMIS, HEPHAESTUS: Data analysis for X-ray absorption spectroscopy using IFEFFIT","type":"article-journal","volume":"12"},"uris":["http://www.mendeley.com/documents/?uuid=baf73162-511f-456d-908d-3d7dc76bccf4","http://www.mendeley.com/documents/?uuid=9aa1c512-85b4-499e-b1ab-88770ae8a822"]}],"mendeley":{"formattedCitation":"&lt;sup&gt;30&lt;/sup&gt;","plainTextFormattedCitation":"30","previouslyFormattedCitation":"&lt;sup&gt;30&lt;/sup&gt;"},"properties":{"noteIndex":0},"schema":"https://github.com/citation-style-language/schema/raw/master/csl-citation.json"}</w:instrText>
      </w:r>
      <w:r w:rsidR="007323F9" w:rsidRPr="00A45322">
        <w:fldChar w:fldCharType="separate"/>
      </w:r>
      <w:r w:rsidR="007323F9" w:rsidRPr="00A45322">
        <w:rPr>
          <w:vertAlign w:val="superscript"/>
        </w:rPr>
        <w:t>30</w:t>
      </w:r>
      <w:r w:rsidR="007323F9" w:rsidRPr="00A45322">
        <w:fldChar w:fldCharType="end"/>
      </w:r>
      <w:r w:rsidR="007323F9" w:rsidRPr="00A45322">
        <w:t xml:space="preserve"> packages (Athena and Artemis). The amplitude reduction factor, S</w:t>
      </w:r>
      <w:r w:rsidR="007323F9" w:rsidRPr="00A45322">
        <w:rPr>
          <w:vertAlign w:val="subscript"/>
        </w:rPr>
        <w:t>0</w:t>
      </w:r>
      <w:r w:rsidR="007323F9" w:rsidRPr="00A45322">
        <w:rPr>
          <w:vertAlign w:val="superscript"/>
        </w:rPr>
        <w:t>2</w:t>
      </w:r>
      <w:r w:rsidR="007323F9" w:rsidRPr="00A45322">
        <w:t xml:space="preserve"> was determined by analyzing a Pd foil and determined to be 0.88 and used as a fixed input parameter.</w:t>
      </w:r>
    </w:p>
    <w:p w14:paraId="1EC73904" w14:textId="354AD472" w:rsidR="007323F9" w:rsidRPr="00A45322" w:rsidRDefault="007323F9" w:rsidP="007323F9">
      <w:pPr>
        <w:pStyle w:val="TAMainText"/>
      </w:pPr>
      <w:r w:rsidRPr="00A45322">
        <w:rPr>
          <w:b/>
        </w:rPr>
        <w:t>Infrared CO Chemisorption Studies.</w:t>
      </w:r>
      <w:r w:rsidRPr="00A45322">
        <w:t xml:space="preserve"> A Nicolet is10 spectrometer was used for all Fourier transform infrared (FTIR) spectroscopy measurements. The spectral resolution was 2 cm</w:t>
      </w:r>
      <w:r w:rsidRPr="00A45322">
        <w:rPr>
          <w:vertAlign w:val="superscript"/>
        </w:rPr>
        <w:t>−1</w:t>
      </w:r>
      <w:r w:rsidRPr="00A45322">
        <w:t xml:space="preserve"> and the total number of scans of the sample and the background was 64. All samples were measured in transmission as ultra-thin self-supporting discs;  approximately 25 mg of sample was used to form a disc of 13 mm diameter. A Harrick Dewar cell was used for the environmental studies. The sample environment was flushed with He for 30 min to obtain a background spectrum before CO was introduced using a 10% CO/He mixture at 70 mL min over a 30 s period. There were 3 doses of CO for each experiment. Before obtaining a final spectrum the gas was switched to helium for 30 min at 70 mL min</w:t>
      </w:r>
      <w:r w:rsidRPr="00A45322">
        <w:rPr>
          <w:vertAlign w:val="superscript"/>
        </w:rPr>
        <w:t>−1</w:t>
      </w:r>
      <w:r w:rsidRPr="00A45322">
        <w:t xml:space="preserve">, in order to remove gaseous and physisorbed CO. </w:t>
      </w:r>
    </w:p>
    <w:p w14:paraId="1598965C" w14:textId="5F801E4F" w:rsidR="00BE1837" w:rsidRPr="00A45322" w:rsidRDefault="00BE1837" w:rsidP="007323F9">
      <w:pPr>
        <w:pStyle w:val="TAMainText"/>
      </w:pPr>
      <w:r w:rsidRPr="00A45322">
        <w:rPr>
          <w:b/>
          <w:bCs/>
        </w:rPr>
        <w:t>Atomic Absorption Spectroscopy (AAS)</w:t>
      </w:r>
      <w:r w:rsidR="006B3D5F" w:rsidRPr="00A45322">
        <w:rPr>
          <w:b/>
          <w:bCs/>
        </w:rPr>
        <w:t>.</w:t>
      </w:r>
      <w:r w:rsidRPr="00A45322">
        <w:t xml:space="preserve"> </w:t>
      </w:r>
      <w:r w:rsidR="00B64135" w:rsidRPr="00A45322">
        <w:t xml:space="preserve">The </w:t>
      </w:r>
      <w:r w:rsidR="00F55EC7" w:rsidRPr="00A45322">
        <w:t>palladium concentration on solid catalysts</w:t>
      </w:r>
      <w:r w:rsidR="00B64135" w:rsidRPr="00A45322">
        <w:t xml:space="preserve"> was </w:t>
      </w:r>
      <w:r w:rsidR="00F55EC7" w:rsidRPr="00A45322">
        <w:t>determined</w:t>
      </w:r>
      <w:r w:rsidR="00B64135" w:rsidRPr="00A45322">
        <w:t xml:space="preserve"> by AAS analysis of the </w:t>
      </w:r>
      <w:r w:rsidR="00446B24" w:rsidRPr="00A45322">
        <w:t xml:space="preserve">post-synthesis </w:t>
      </w:r>
      <w:r w:rsidR="00B64135" w:rsidRPr="00A45322">
        <w:t xml:space="preserve">filtrate </w:t>
      </w:r>
      <w:r w:rsidR="00446B24" w:rsidRPr="00A45322">
        <w:t>using</w:t>
      </w:r>
      <w:r w:rsidR="00B64135" w:rsidRPr="00A45322">
        <w:t xml:space="preserve"> a Perkin Elmer 3100 instrument. </w:t>
      </w:r>
      <w:r w:rsidR="00464C2E" w:rsidRPr="00A45322">
        <w:t xml:space="preserve">For each catalyst, </w:t>
      </w:r>
      <w:r w:rsidR="00446B24" w:rsidRPr="00A45322">
        <w:t>0.0</w:t>
      </w:r>
      <w:r w:rsidR="00B64135" w:rsidRPr="00A45322">
        <w:t>1</w:t>
      </w:r>
      <w:r w:rsidR="00446B24" w:rsidRPr="00A45322">
        <w:t xml:space="preserve"> L</w:t>
      </w:r>
      <w:r w:rsidR="00B64135" w:rsidRPr="00A45322">
        <w:t xml:space="preserve"> of the filtered solution was </w:t>
      </w:r>
      <w:r w:rsidR="00446B24" w:rsidRPr="00A45322">
        <w:t>withdrawn</w:t>
      </w:r>
      <w:r w:rsidR="00B64135" w:rsidRPr="00A45322">
        <w:t xml:space="preserve"> and analyzed.</w:t>
      </w:r>
    </w:p>
    <w:p w14:paraId="19CD17AC" w14:textId="77ECB79E" w:rsidR="00BE1837" w:rsidRPr="00A45322" w:rsidRDefault="00BE1837" w:rsidP="003D4A1F">
      <w:pPr>
        <w:pStyle w:val="TAMainText"/>
      </w:pPr>
      <w:r w:rsidRPr="00A45322">
        <w:rPr>
          <w:b/>
          <w:bCs/>
        </w:rPr>
        <w:t>Powder X-ray diffraction (XRD)</w:t>
      </w:r>
      <w:r w:rsidR="006B3D5F" w:rsidRPr="00A45322">
        <w:rPr>
          <w:b/>
          <w:bCs/>
        </w:rPr>
        <w:t>.</w:t>
      </w:r>
      <w:r w:rsidRPr="00A45322">
        <w:t xml:space="preserve"> </w:t>
      </w:r>
      <w:r w:rsidR="00B64135" w:rsidRPr="00A45322">
        <w:t>X</w:t>
      </w:r>
      <w:r w:rsidR="00446B24" w:rsidRPr="00A45322">
        <w:t>-ray diffraction</w:t>
      </w:r>
      <w:r w:rsidR="00B64135" w:rsidRPr="00A45322">
        <w:t xml:space="preserve"> patterns were </w:t>
      </w:r>
      <w:r w:rsidR="00446B24" w:rsidRPr="00A45322">
        <w:t>collect</w:t>
      </w:r>
      <w:r w:rsidR="00B64135" w:rsidRPr="00A45322">
        <w:t>ed on a PANalytical X’PertPRO X-ray diffractometer</w:t>
      </w:r>
      <w:r w:rsidR="00446B24" w:rsidRPr="00A45322">
        <w:t xml:space="preserve"> utilizing a</w:t>
      </w:r>
      <w:r w:rsidR="00B64135" w:rsidRPr="00A45322">
        <w:t xml:space="preserve"> Cu</w:t>
      </w:r>
      <w:r w:rsidR="00B64135" w:rsidRPr="00A45322">
        <w:sym w:font="Symbol" w:char="F02D"/>
      </w:r>
      <w:r w:rsidR="00B64135" w:rsidRPr="00A45322">
        <w:t>K</w:t>
      </w:r>
      <w:r w:rsidR="00B64135" w:rsidRPr="00A45322">
        <w:rPr>
          <w:vertAlign w:val="subscript"/>
        </w:rPr>
        <w:t>α</w:t>
      </w:r>
      <w:r w:rsidR="00B64135" w:rsidRPr="00A45322">
        <w:t xml:space="preserve"> radiation source (40 kV and 30 mA)</w:t>
      </w:r>
      <w:r w:rsidR="00446B24" w:rsidRPr="00A45322">
        <w:t>.</w:t>
      </w:r>
      <w:r w:rsidR="00B64135" w:rsidRPr="00A45322">
        <w:t xml:space="preserve"> </w:t>
      </w:r>
      <w:r w:rsidR="00446B24" w:rsidRPr="00A45322">
        <w:t>XRD</w:t>
      </w:r>
      <w:r w:rsidR="00B64135" w:rsidRPr="00A45322">
        <w:t xml:space="preserve"> patterns were recorded </w:t>
      </w:r>
      <w:r w:rsidR="00446B24" w:rsidRPr="00A45322">
        <w:t>in the</w:t>
      </w:r>
      <w:r w:rsidR="00B64135" w:rsidRPr="00A45322">
        <w:t xml:space="preserve"> 10-80° 2θ </w:t>
      </w:r>
      <w:r w:rsidR="00446B24" w:rsidRPr="00A45322">
        <w:t xml:space="preserve">range </w:t>
      </w:r>
      <w:r w:rsidR="00B64135" w:rsidRPr="00A45322">
        <w:t>over a scan time of 1 h.</w:t>
      </w:r>
    </w:p>
    <w:p w14:paraId="57D0A79C" w14:textId="0B4DCB85" w:rsidR="00464C2E" w:rsidRPr="00A45322" w:rsidRDefault="006B3D5F" w:rsidP="007323F9">
      <w:pPr>
        <w:pStyle w:val="TAMainText"/>
      </w:pPr>
      <w:r w:rsidRPr="00A45322">
        <w:rPr>
          <w:b/>
          <w:bCs/>
        </w:rPr>
        <w:t>DFT Studies.</w:t>
      </w:r>
      <w:r w:rsidRPr="00A45322">
        <w:t xml:space="preserve"> </w:t>
      </w:r>
      <w:r w:rsidR="007323F9" w:rsidRPr="00A45322">
        <w:rPr>
          <w:b/>
          <w:bCs/>
        </w:rPr>
        <w:t>DFT Studies.</w:t>
      </w:r>
      <w:r w:rsidR="007323F9" w:rsidRPr="00A45322">
        <w:t xml:space="preserve"> We used the Vienna Ab Initio Simulation Package (VASP) to perform all the spin polarized periodic density functional theory based calculations.</w:t>
      </w:r>
      <w:r w:rsidR="007323F9" w:rsidRPr="00A45322">
        <w:fldChar w:fldCharType="begin" w:fldLock="1"/>
      </w:r>
      <w:r w:rsidR="007323F9" w:rsidRPr="00A45322">
        <w:instrText>ADDIN CSL_CITATION {"citationItems":[{"id":"ITEM-1","itemData":{"DOI":"10.1103/PhysRevB.47.558","ISSN":"01631829","abstract":"We present ab initio quantum-mechanical molecular-dynamics calculations based on the calculation of the electronic ground state and of the Hellmann-Feynman forces in the local-density approximation at each molecular-dynamics step. This is possible using conjugate-gradient techniques for energy minimization, and predicting the wave functions for new ionic positions using subspace alignment. This approach avoids the instabilities inherent in quantum-mechanical molecular-dynamics calculations for metals based on the use of a fictitious Newtonian dynamics for the electronic degrees of freedom. This method gives perfect control of the adiabaticity and allows us to perform simulations over several picoseconds. © 1993 The American Physical Society.","author":[{"dropping-particle":"","family":"Kresse","given":"G.","non-dropping-particle":"","parse-names":false,"suffix":""},{"dropping-particle":"","family":"Hafner","given":"J.","non-dropping-particle":"","parse-names":false,"suffix":""}],"container-title":"Physical Review B","id":"ITEM-1","issue":"1","issued":{"date-parts":[["1993"]]},"page":"558-561","publisher":"American Physical Society","title":"Ab initio molecular dynamics for liquid metals","type":"article-journal","volume":"47"},"uris":["http://www.mendeley.com/documents/?uuid=994a306d-0633-4a25-8bd8-a4c4241efed0","http://www.mendeley.com/documents/?uuid=883491cc-c8c2-4a4f-aada-f228b7dfcda2"]},{"id":"ITEM-2","itemData":{"DOI":"10.1103/PhysRevB.54.11169","ISSN":"1550235X","PMID":"9984901","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(Formula presented)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(Formula presented) scaling is found for systems containing up to 1000 electrons. If we take into account that the number of k points can be decreased linearly with the system size, the overall scaling can approach (Formula presented).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author":[{"dropping-particle":"","family":"Kresse","given":"G.","non-dropping-particle":"","parse-names":false,"suffix":""},{"dropping-particle":"","family":"Furthmüller","given":"J.","non-dropping-particle":"","parse-names":false,"suffix":""}],"container-title":"Physical Review B - Condensed Matter and Materials Physics","id":"ITEM-2","issue":"16","issued":{"date-parts":[["1996"]]},"page":"11169-11186","publisher":"American Physical Society","title":"Efficient iterative schemes for ab initio total-energy calculations using a plane-wave basis set","type":"article-journal","volume":"54"},"uris":["http://www.mendeley.com/documents/?uuid=5dc12c2f-37cd-433c-ac3f-42c2519809be","http://www.mendeley.com/documents/?uuid=75b035b5-3147-44f9-9cbb-3dccff8e7dbc"]},{"id":"ITEM-3","itemData":{"DOI":"10.1103/PhysRevB.49.14251","ISSN":"01631829","abstract":"We present ab initio quantum-mechanical molecular-dynamics simulations of the liquid-metalamorphous-semiconductor transition in Ge. Our simulations are based on (a) finite-temperature density-functional theory of the one-electron states, (b) exact energy minimization and hence calculation of the exact Hellmann-Feynman forces after each molecular-dynamics step using preconditioned conjugate-gradient techniques, (c) accurate nonlocal pseudopotentials, and (d) Nosé dynamics for generating a canonical ensemble. This method gives perfect control of the adiabaticity of the electron-ion ensemble and allows us to perform simulations over more than 30 ps. The computer-generated ensemble describes the structural, dynamic, and electronic properties of liquid and amorphous Ge in very good agreement with experiment. The simulation allows us to study in detail the changes in the structure-property relationship through the metal-semiconductor transition. We report a detailed analysis of the local structural properties and their changes induced by an annealing process. The geometrical, bonding, and spectral properties of defects in the disordered tetrahedral network are investigated and compared with experiment. © 1994 The American Physical Society.","author":[{"dropping-particle":"","family":"Kresse","given":"G.","non-dropping-particle":"","parse-names":false,"suffix":""},{"dropping-particle":"","family":"Hafner","given":"J.","non-dropping-particle":"","parse-names":false,"suffix":""}],"container-title":"Physical Review B","id":"ITEM-3","issue":"20","issued":{"date-parts":[["1994"]]},"page":"14251-14269","publisher":"American Physical Society","title":"Ab initio molecular-dynamics simulation of the liquid-metalamorphous- semiconductor transition in germanium","type":"article-journal","volume":"49"},"uris":["http://www.mendeley.com/documents/?uuid=9a64de72-3451-4273-86dc-30530c41d2d0"]}],"mendeley":{"formattedCitation":"&lt;sup&gt;31–33&lt;/sup&gt;","plainTextFormattedCitation":"31–33","previouslyFormattedCitation":"&lt;sup&gt;31–33&lt;/sup&gt;"},"properties":{"noteIndex":0},"schema":"https://github.com/citation-style-language/schema/raw/master/csl-citation.json"}</w:instrText>
      </w:r>
      <w:r w:rsidR="007323F9" w:rsidRPr="00A45322">
        <w:fldChar w:fldCharType="separate"/>
      </w:r>
      <w:r w:rsidR="007323F9" w:rsidRPr="00A45322">
        <w:rPr>
          <w:vertAlign w:val="superscript"/>
        </w:rPr>
        <w:t>31–33</w:t>
      </w:r>
      <w:r w:rsidR="007323F9" w:rsidRPr="00A45322">
        <w:fldChar w:fldCharType="end"/>
      </w:r>
      <w:r w:rsidR="007323F9" w:rsidRPr="00A45322">
        <w:t xml:space="preserve"> The projector augmented wave (PAW) method was used and a cut-off energy of 550 eV was employed for the expansion of the plane-wave basis sets, which gave bulk energies converged to within 10</w:t>
      </w:r>
      <w:r w:rsidR="007323F9" w:rsidRPr="00A45322">
        <w:rPr>
          <w:vertAlign w:val="superscript"/>
        </w:rPr>
        <w:t>-5</w:t>
      </w:r>
      <w:r w:rsidR="007323F9" w:rsidRPr="00A45322">
        <w:t xml:space="preserve"> eV..</w:t>
      </w:r>
      <w:r w:rsidR="007323F9" w:rsidRPr="00A45322">
        <w:fldChar w:fldCharType="begin" w:fldLock="1"/>
      </w:r>
      <w:r w:rsidR="007323F9" w:rsidRPr="00A45322">
        <w:instrText>ADDIN CSL_CITATION {"citationItems":[{"id":"ITEM-1","itemData":{"DOI":"10.1103/PhysRevB.50.17953","ISSN":"01631829","PMID":"9976227","abstract":"An approach for electronic structure calculations is described that generalizes both the pseudopotential method and the linear augmented-plane-wave (LAPW) method in a natural way. The method allows high-quality first-principles molecular-dynamics calculations to be performed using the original fictitious Lagrangian approach of Car and Parrinello. Like the LAPW method it can be used to treat first-row and transition-metal elements with affordable effort and provides access to the full wave function. The augmentation procedure is generalized in that partial-wave expansions are not determined by the value and the derivative of the envelope function at some muffin-tin radius, but rather by the overlap with localized projector functions. The pseudopotential approach based on generalized separable pseudopotentials can be regained by a simple approximation. © 1994 The American Physical Society.","author":[{"dropping-particle":"","family":"Blöchl","given":"P. E.","non-dropping-particle":"","parse-names":false,"suffix":""}],"container-title":"Physical Review B","id":"ITEM-1","issue":"24","issued":{"date-parts":[["1994"]]},"page":"17953-17979","publisher":"American Physical Society","title":"Projector augmented-wave method","type":"article-journal","volume":"50"},"uris":["http://www.mendeley.com/documents/?uuid=2b5adfea-2d9b-4c71-bbd1-3e45e006be82","http://www.mendeley.com/documents/?uuid=0f44cb01-941c-47b1-85f8-ee6206189dcc"]}],"mendeley":{"formattedCitation":"&lt;sup&gt;34&lt;/sup&gt;","plainTextFormattedCitation":"34","previouslyFormattedCitation":"&lt;sup&gt;34&lt;/sup&gt;"},"properties":{"noteIndex":0},"schema":"https://github.com/citation-style-language/schema/raw/master/csl-citation.json"}</w:instrText>
      </w:r>
      <w:r w:rsidR="007323F9" w:rsidRPr="00A45322">
        <w:fldChar w:fldCharType="separate"/>
      </w:r>
      <w:r w:rsidR="007323F9" w:rsidRPr="00A45322">
        <w:rPr>
          <w:vertAlign w:val="superscript"/>
        </w:rPr>
        <w:t>34</w:t>
      </w:r>
      <w:r w:rsidR="007323F9" w:rsidRPr="00A45322">
        <w:fldChar w:fldCharType="end"/>
      </w:r>
      <w:r w:rsidR="007323F9" w:rsidRPr="00A45322">
        <w:t xml:space="preserve"> For the structural optimization we chose a convergence criterion of 0.01 eV </w:t>
      </w:r>
      <w:r w:rsidR="007323F9" w:rsidRPr="00A45322">
        <w:rPr>
          <w:rFonts w:ascii="Times New Roman" w:hAnsi="Times New Roman"/>
        </w:rPr>
        <w:t>Å</w:t>
      </w:r>
      <w:r w:rsidR="007323F9" w:rsidRPr="00A45322">
        <w:rPr>
          <w:vertAlign w:val="superscript"/>
        </w:rPr>
        <w:t>-1</w:t>
      </w:r>
      <w:r w:rsidR="007323F9" w:rsidRPr="00A45322">
        <w:t xml:space="preserve"> and a k-point grid of 3×3×1 was employed for all slab calculations. The Perdew-Burke-Ernzerhof (PBE) version of generalized gradient approximation (GGA) was used to carry out geometry optimizations and the total energy calculations.</w:t>
      </w:r>
      <w:r w:rsidR="007323F9" w:rsidRPr="00A45322">
        <w:fldChar w:fldCharType="begin" w:fldLock="1"/>
      </w:r>
      <w:r w:rsidR="007323F9" w:rsidRPr="00A45322">
        <w:instrText>ADDIN CSL_CITATION {"citationItems":[{"id":"ITEM-1","itemData":{"DOI":"10.1103/PhysRevLett.77.3865","ISSN":"10797114","PMID":"10062328","abstract":"Generalized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 1996 The American Physical Society.","author":[{"dropping-particle":"","family":"Perdew","given":"John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Letters","id":"ITEM-1","issue":"18","issued":{"date-parts":[["1996"]]},"page":"3865-3868","publisher":"American Physical Society","title":"Generalized gradient approximation made simple","type":"article-journal","volume":"77"},"uris":["http://www.mendeley.com/documents/?uuid=ba1b7e00-50d7-4fb9-8360-86e10a5d5c48","http://www.mendeley.com/documents/?uuid=d9b49f47-c88a-4f96-9f27-4677a02b3fa2"]}],"mendeley":{"formattedCitation":"&lt;sup&gt;35&lt;/sup&gt;","plainTextFormattedCitation":"35","previouslyFormattedCitation":"&lt;sup&gt;35&lt;/sup&gt;"},"properties":{"noteIndex":0},"schema":"https://github.com/citation-style-language/schema/raw/master/csl-citation.json"}</w:instrText>
      </w:r>
      <w:r w:rsidR="007323F9" w:rsidRPr="00A45322">
        <w:fldChar w:fldCharType="separate"/>
      </w:r>
      <w:r w:rsidR="007323F9" w:rsidRPr="00A45322">
        <w:rPr>
          <w:vertAlign w:val="superscript"/>
        </w:rPr>
        <w:t>35</w:t>
      </w:r>
      <w:r w:rsidR="007323F9" w:rsidRPr="00A45322">
        <w:fldChar w:fldCharType="end"/>
      </w:r>
      <w:r w:rsidR="007323F9" w:rsidRPr="00A45322">
        <w:t xml:space="preserve"> As the dispersive effects may be significant for the systems under consideration we also used Grimme’s dispersion correction (DFT+D3).</w:t>
      </w:r>
      <w:r w:rsidR="007323F9" w:rsidRPr="00A45322">
        <w:rPr>
          <w:vertAlign w:val="superscript"/>
        </w:rPr>
        <w:t>36</w:t>
      </w:r>
      <w:r w:rsidR="007323F9" w:rsidRPr="00A45322">
        <w:t xml:space="preserve"> The ideal surfaces of Pd(111) and NiO(110) and rutile TiO</w:t>
      </w:r>
      <w:r w:rsidR="007323F9" w:rsidRPr="00A45322">
        <w:rPr>
          <w:vertAlign w:val="subscript"/>
        </w:rPr>
        <w:t>2</w:t>
      </w:r>
      <w:r w:rsidR="007323F9" w:rsidRPr="00A45322">
        <w:t>(111) were modelled by a 4x4 cell with 5 atomic layers. Of the five atomic layers, the bottom three layers were fixed to mimic the bulk of the material and in the direction perpendicular to the surface we used a vacuum gap of ~15 Å, which is sufficient to eliminate slab-slab interactions. The slabs were cut from bulk Pd, NiO and rutile TiO</w:t>
      </w:r>
      <w:r w:rsidR="007323F9" w:rsidRPr="00A45322">
        <w:rPr>
          <w:vertAlign w:val="subscript"/>
        </w:rPr>
        <w:t>2</w:t>
      </w:r>
      <w:r w:rsidR="007323F9" w:rsidRPr="00A45322">
        <w:t xml:space="preserve"> with a calculated energy minimized lattice constant of 3.904 Å (Exp. 3.891 Å), 4.192 Å (Exp. 4.168 Å) and 4.695 Å (Exp. 4.594 Å), respectively. In all the calculations, the adsorption of furfural was allowed </w:t>
      </w:r>
      <w:r w:rsidR="007323F9" w:rsidRPr="00A45322">
        <w:lastRenderedPageBreak/>
        <w:t>on only one of the two exposed surfaces. The spurious dipole moment due to the adsorbed species, was taken into account by using the methods implemented in VASP according to the procedures of Markov et al. and Neugebauer et al.</w:t>
      </w:r>
      <w:r w:rsidR="007323F9" w:rsidRPr="00A45322">
        <w:rPr>
          <w:vertAlign w:val="superscript"/>
        </w:rPr>
        <w:t>37,38</w:t>
      </w:r>
      <w:r w:rsidR="007323F9" w:rsidRPr="00A45322">
        <w:t xml:space="preserve"> For the calculations on the interaction of furfural on the NiO(110) and TiO</w:t>
      </w:r>
      <w:r w:rsidR="007323F9" w:rsidRPr="00A45322">
        <w:rPr>
          <w:vertAlign w:val="subscript"/>
        </w:rPr>
        <w:t>2</w:t>
      </w:r>
      <w:r w:rsidR="007323F9" w:rsidRPr="00A45322">
        <w:t>(111) surfaces we used DFT+U. Previous studies have shown that an U value of 5.77 eV, obtained by using linear response methods, for the d-orbital of Ni is suitable.</w:t>
      </w:r>
      <w:r w:rsidR="007323F9" w:rsidRPr="00A45322">
        <w:rPr>
          <w:vertAlign w:val="superscript"/>
        </w:rPr>
        <w:t>39</w:t>
      </w:r>
      <w:r w:rsidR="007323F9" w:rsidRPr="00A45322">
        <w:t xml:space="preserve"> It has been also reported that an U value of 4.20 eV is suitable for the d-orbitals of Ti.</w:t>
      </w:r>
      <w:r w:rsidR="007323F9" w:rsidRPr="00A45322">
        <w:rPr>
          <w:vertAlign w:val="superscript"/>
        </w:rPr>
        <w:t>40</w:t>
      </w:r>
      <w:r w:rsidR="007323F9" w:rsidRPr="00A45322">
        <w:t xml:space="preserve"> </w:t>
      </w:r>
    </w:p>
    <w:p w14:paraId="063A2F7A" w14:textId="324D3AAC" w:rsidR="006B3D5F" w:rsidRPr="00A45322" w:rsidRDefault="0068063B" w:rsidP="0068063B">
      <w:pPr>
        <w:pStyle w:val="TDAckTitle"/>
      </w:pPr>
      <w:r w:rsidRPr="00A45322">
        <w:t>RESULTS</w:t>
      </w:r>
    </w:p>
    <w:p w14:paraId="013C2009" w14:textId="0FD6B7E7" w:rsidR="00C14362" w:rsidRPr="00A45322" w:rsidRDefault="007356E3" w:rsidP="006848F9">
      <w:pPr>
        <w:pStyle w:val="TAMainText"/>
      </w:pPr>
      <w:r w:rsidRPr="00A45322">
        <w:t>Pd nanoparticles were supported on TiO</w:t>
      </w:r>
      <w:r w:rsidRPr="00A45322">
        <w:rPr>
          <w:vertAlign w:val="subscript"/>
        </w:rPr>
        <w:t>2</w:t>
      </w:r>
      <w:r w:rsidRPr="00A45322">
        <w:t xml:space="preserve"> (P25, 50 m</w:t>
      </w:r>
      <w:r w:rsidRPr="00A45322">
        <w:rPr>
          <w:vertAlign w:val="superscript"/>
        </w:rPr>
        <w:t>2</w:t>
      </w:r>
      <w:r w:rsidR="00A96DA1" w:rsidRPr="00A45322">
        <w:t xml:space="preserve"> </w:t>
      </w:r>
      <w:r w:rsidRPr="00A45322">
        <w:t>g</w:t>
      </w:r>
      <w:r w:rsidRPr="00A45322">
        <w:rPr>
          <w:vertAlign w:val="superscript"/>
        </w:rPr>
        <w:t>-1</w:t>
      </w:r>
      <w:r w:rsidRPr="00A45322">
        <w:t>) and NiO through an established sol-immobilization method with a loading of 1 wt%. The metal loading was confirmed by Atomic Absorption Spectroscopy (AAS).  The NiO support was prepared using an in-house method involving the precipitation of Ni(OH)</w:t>
      </w:r>
      <w:r w:rsidRPr="00A45322">
        <w:rPr>
          <w:vertAlign w:val="subscript"/>
        </w:rPr>
        <w:t>2</w:t>
      </w:r>
      <w:r w:rsidRPr="00A45322">
        <w:t xml:space="preserve"> in aqueous solution, followed by subsequent calcination. The preparation resulted in a nanostructured NiO with a particle size of 6 nm and a surface area of 210 m</w:t>
      </w:r>
      <w:r w:rsidRPr="00A45322">
        <w:rPr>
          <w:vertAlign w:val="superscript"/>
        </w:rPr>
        <w:t>2</w:t>
      </w:r>
      <w:r w:rsidRPr="00A45322">
        <w:t>g</w:t>
      </w:r>
      <w:r w:rsidRPr="00A45322">
        <w:rPr>
          <w:vertAlign w:val="superscript"/>
        </w:rPr>
        <w:t>-1</w:t>
      </w:r>
      <w:r w:rsidRPr="00A45322">
        <w:t xml:space="preserve">. The NiO phase was identified using XRD (Figure S1). X-ray photoelectron spectroscopy (XPS) analysis </w:t>
      </w:r>
      <w:r w:rsidR="00570A1F" w:rsidRPr="00A45322">
        <w:t>provided useful insight on the nature of</w:t>
      </w:r>
      <w:r w:rsidRPr="00A45322">
        <w:t xml:space="preserve"> Ni surface species (Figures S2). Ni2p</w:t>
      </w:r>
      <w:r w:rsidRPr="00A45322">
        <w:rPr>
          <w:vertAlign w:val="subscript"/>
        </w:rPr>
        <w:t>3/2</w:t>
      </w:r>
      <w:r w:rsidRPr="00A45322">
        <w:t xml:space="preserve"> data </w:t>
      </w:r>
      <w:r w:rsidR="00570A1F" w:rsidRPr="00A45322">
        <w:t xml:space="preserve">disclosed </w:t>
      </w:r>
      <w:r w:rsidRPr="00A45322">
        <w:t>the</w:t>
      </w:r>
      <w:r w:rsidR="00570A1F" w:rsidRPr="00A45322">
        <w:t xml:space="preserve"> presence</w:t>
      </w:r>
      <w:r w:rsidRPr="00A45322">
        <w:t xml:space="preserve"> of two main </w:t>
      </w:r>
      <w:r w:rsidR="00570A1F" w:rsidRPr="00A45322">
        <w:t xml:space="preserve">peaks corresponding to different </w:t>
      </w:r>
      <w:r w:rsidRPr="00A45322">
        <w:t>Ni species on the surface; the first peak centered around 854.5 eV is due to Ni</w:t>
      </w:r>
      <w:r w:rsidRPr="00A45322">
        <w:rPr>
          <w:vertAlign w:val="superscript"/>
        </w:rPr>
        <w:t>2+</w:t>
      </w:r>
      <w:r w:rsidRPr="00A45322">
        <w:t xml:space="preserve">-O lattice species, </w:t>
      </w:r>
      <w:r w:rsidR="00570A1F" w:rsidRPr="00A45322">
        <w:t>while</w:t>
      </w:r>
      <w:r w:rsidRPr="00A45322">
        <w:t xml:space="preserve"> the second peak centered around 856.1 eV confirmed that Ni(OH)</w:t>
      </w:r>
      <w:r w:rsidRPr="00A45322">
        <w:rPr>
          <w:vertAlign w:val="subscript"/>
        </w:rPr>
        <w:t>2</w:t>
      </w:r>
      <w:r w:rsidRPr="00A45322">
        <w:t xml:space="preserve"> was also </w:t>
      </w:r>
      <w:r w:rsidR="00570A1F" w:rsidRPr="00A45322">
        <w:t>formed at</w:t>
      </w:r>
      <w:r w:rsidRPr="00A45322">
        <w:t xml:space="preserve"> the surface (Figure S2). </w:t>
      </w:r>
      <w:r w:rsidR="00B47D54" w:rsidRPr="00A45322">
        <w:t xml:space="preserve">The oxidation state of surface species has been investigated by XPS. Comparison of Pd 3d XP spectra for Pd/TiO2 and Pd/NiO (Figure S2) revealed that Pd is present in the metallic form in both cases with a similar percentage of Pd0 (85% and 88% for Pd/NiO and for Pd/TiO2, respectively). </w:t>
      </w:r>
      <w:r w:rsidRPr="00A45322">
        <w:t>The supported metal nanoparticle catalysts and bare supports were then evaluated for the hydrogenation of furfural under mild conditions (</w:t>
      </w:r>
      <w:r w:rsidR="004D1416" w:rsidRPr="00A45322">
        <w:t>T</w:t>
      </w:r>
      <w:r w:rsidRPr="00A45322">
        <w:t>able 1); furfural 0.3</w:t>
      </w:r>
      <w:r w:rsidR="004D1416" w:rsidRPr="00A45322">
        <w:t xml:space="preserve"> </w:t>
      </w:r>
      <w:r w:rsidRPr="00A45322">
        <w:t>M, furfural/Pd ratio 500 mol/mol, 5 bar H</w:t>
      </w:r>
      <w:r w:rsidRPr="00A45322">
        <w:rPr>
          <w:vertAlign w:val="subscript"/>
        </w:rPr>
        <w:t>2</w:t>
      </w:r>
      <w:r w:rsidRPr="00A45322">
        <w:t xml:space="preserve">, 50 °C and 2-propanol as solvent. Prior to the catalytic evaluation the appropriate Pd/furfural </w:t>
      </w:r>
      <w:r w:rsidR="00744166" w:rsidRPr="00A45322">
        <w:t xml:space="preserve">molar </w:t>
      </w:r>
      <w:r w:rsidRPr="00A45322">
        <w:t>ratio was established to ensure the catalytic performance was in the kinetic regime and not mass-transport limited (Table S1). The catalytic activity testing demonstrated that the 1 wt% Pd/NiO catalyst exhibited superior activity compare to the 1 wt% Pd/TiO</w:t>
      </w:r>
      <w:r w:rsidRPr="00A45322">
        <w:rPr>
          <w:vertAlign w:val="subscript"/>
        </w:rPr>
        <w:t>2</w:t>
      </w:r>
      <w:r w:rsidRPr="00A45322">
        <w:t xml:space="preserve"> (470 (metal mol)</w:t>
      </w:r>
      <w:r w:rsidRPr="00A45322">
        <w:rPr>
          <w:vertAlign w:val="superscript"/>
        </w:rPr>
        <w:t>-1</w:t>
      </w:r>
      <w:r w:rsidRPr="00A45322">
        <w:t xml:space="preserve"> h</w:t>
      </w:r>
      <w:r w:rsidRPr="00A45322">
        <w:rPr>
          <w:vertAlign w:val="superscript"/>
        </w:rPr>
        <w:t>-1</w:t>
      </w:r>
      <w:r w:rsidRPr="00A45322">
        <w:t xml:space="preserve"> vs. 321 (metal mol)</w:t>
      </w:r>
      <w:r w:rsidRPr="00A45322">
        <w:rPr>
          <w:vertAlign w:val="superscript"/>
        </w:rPr>
        <w:t>-1</w:t>
      </w:r>
      <w:r w:rsidRPr="00A45322">
        <w:t xml:space="preserve"> h</w:t>
      </w:r>
      <w:r w:rsidRPr="00A45322">
        <w:rPr>
          <w:vertAlign w:val="superscript"/>
        </w:rPr>
        <w:t>-1</w:t>
      </w:r>
      <w:r w:rsidRPr="00A45322">
        <w:t>)</w:t>
      </w:r>
      <w:r w:rsidR="00677465" w:rsidRPr="00A45322">
        <w:t xml:space="preserve"> - approximately a 50% increase in activity. </w:t>
      </w:r>
      <w:r w:rsidRPr="00A45322">
        <w:t>Notably, not only was there a difference in activity, there was also a pronounced change in the selectivity profile. The Pd/NiO catalyst had a preferential selectivity towards THFA (72%), whereas Pd/TiO</w:t>
      </w:r>
      <w:r w:rsidRPr="00A45322">
        <w:rPr>
          <w:vertAlign w:val="subscript"/>
        </w:rPr>
        <w:t>2</w:t>
      </w:r>
      <w:r w:rsidRPr="00A45322">
        <w:t xml:space="preserve"> favoured FA (67 %). Catalytic performance testing of the bare supports was also performed as a control experiment. Here, under analogous testing conditions there was no observable conversion of furfural on TiO</w:t>
      </w:r>
      <w:r w:rsidRPr="00A45322">
        <w:rPr>
          <w:vertAlign w:val="subscript"/>
        </w:rPr>
        <w:t>2</w:t>
      </w:r>
      <w:r w:rsidRPr="00A45322">
        <w:t>. However, NiO showed a minor level of activity (39 (metal mol)</w:t>
      </w:r>
      <w:r w:rsidRPr="00A45322">
        <w:rPr>
          <w:vertAlign w:val="superscript"/>
        </w:rPr>
        <w:t>-1</w:t>
      </w:r>
      <w:r w:rsidRPr="00A45322">
        <w:t xml:space="preserve"> h</w:t>
      </w:r>
      <w:r w:rsidRPr="00A45322">
        <w:rPr>
          <w:vertAlign w:val="superscript"/>
        </w:rPr>
        <w:t>-1</w:t>
      </w:r>
      <w:r w:rsidRPr="00A45322">
        <w:t>) with THFA found as the major product (87 %). This observation is consistent with recent studies that have already proven that NiO is able to hydrogenate furfural in the absence of precious metals.</w:t>
      </w:r>
      <w:r w:rsidR="006848F9" w:rsidRPr="00A45322">
        <w:fldChar w:fldCharType="begin" w:fldLock="1"/>
      </w:r>
      <w:r w:rsidR="0097007D" w:rsidRPr="00A45322">
        <w:instrText>ADDIN CSL_CITATION {"citationItems":[{"id":"ITEM-1","itemData":{"DOI":"10.1039/c8cy02536c","ISSN":"20444761","abstract":"A 3D nano-/micrometer-scaled NiO material with urchin-like structure was prepared via a facile, green synthesis route, and served as a highly efficient and durable catalyst for catalytic transfer hydrogenation (CTH) of bio-based furfural (FF) to furfuryl alcohol (FAOL) using 2-propanol as H-donor and solvent. The as-prepared NiO possessed a good active-site accessibility owing to a high surface area and large amount of acid-base sites, resulting in high FF conversion of 97.3% with 94.2% FAOL yield at 120 °C and 3 h of reaction, which was a superior catalytic performance compared to commercial NiO nanoparticles. Besides, the excellent catalytic performance of the sea urchin-like NiO was validated for gram-scale FAOL synthesis, and recyclability test confirmed the catalyst to be reusable for multiple reaction runs without significant activity loss after intermediary calcination in air. Notably, the introduced catalytic system was also applicable to CTH of alternative bio-derived aldehydes.","author":[{"dropping-particle":"","family":"He","given":"Jian","non-dropping-particle":"","parse-names":false,"suffix":""},{"dropping-particle":"","family":"Nielsen","given":"Monia Runge","non-dropping-particle":"","parse-names":false,"suffix":""},{"dropping-particle":"","family":"Hansen","given":"Thomas Willum","non-dropping-particle":"","parse-names":false,"suffix":""},{"dropping-particle":"","family":"Yang","given":"Song","non-dropping-particle":"","parse-names":false,"suffix":""},{"dropping-particle":"","family":"Riisager","given":"Anders","non-dropping-particle":"","parse-names":false,"suffix":""}],"container-title":"Catalysis Science and Technology","id":"ITEM-1","issue":"5","issued":{"date-parts":[["2019"]]},"page":"1289-1300","publisher":"The Royal Society of Chemistry","title":"Hierarchically constructed NiO with improved performance for catalytic transfer hydrogenation of biomass-derived aldehydes","type":"article-journal","volume":"9"},"uris":["http://www.mendeley.com/documents/?uuid=03d4b4a6-59f1-4b95-8b45-c0cb3e399ef8"]}],"mendeley":{"formattedCitation":"&lt;sup&gt;27&lt;/sup&gt;","plainTextFormattedCitation":"27","previouslyFormattedCitation":"&lt;sup&gt;27&lt;/sup&gt;"},"properties":{"noteIndex":0},"schema":"https://github.com/citation-style-language/schema/raw/master/csl-citation.json"}</w:instrText>
      </w:r>
      <w:r w:rsidR="006848F9" w:rsidRPr="00A45322">
        <w:fldChar w:fldCharType="separate"/>
      </w:r>
      <w:r w:rsidR="006848F9" w:rsidRPr="00A45322">
        <w:rPr>
          <w:noProof/>
          <w:vertAlign w:val="superscript"/>
        </w:rPr>
        <w:t>27</w:t>
      </w:r>
      <w:r w:rsidR="006848F9" w:rsidRPr="00A45322">
        <w:fldChar w:fldCharType="end"/>
      </w:r>
      <w:r w:rsidRPr="00A45322">
        <w:t xml:space="preserve"> The time-on-line data for the catalytic testing (Figure S3 and </w:t>
      </w:r>
      <w:r w:rsidRPr="00A45322">
        <w:lastRenderedPageBreak/>
        <w:t xml:space="preserve">S4) confirmed that Pd/NiO favors THFA over FA as the major product at </w:t>
      </w:r>
      <w:r w:rsidR="004D1416" w:rsidRPr="00A45322">
        <w:t>all-time</w:t>
      </w:r>
      <w:r w:rsidRPr="00A45322">
        <w:t xml:space="preserve"> points. However, there is a sharp increase in THFA selectivity as the conversion of furfural progresses. This arises because of sequential hydrogenation reactions and the transformation of isopropyl tetrahydrofurfuryl ether to THFA. To understand the difference in catalytic properties a series of studies to establish the physicochemical properties of the Pd nanoparticles was performed; the intention was to establish whether the catalytic data could be accounted for solely by the changes to Pd or if there was a synergistic effect between the metal and support. The Pd nanoparticle size data was found using transmission electron m</w:t>
      </w:r>
      <w:r w:rsidR="00C14362" w:rsidRPr="00A45322">
        <w:t>icroscopy (Table 1, Figure S5).</w:t>
      </w:r>
      <w:r w:rsidR="00C14362" w:rsidRPr="00A45322">
        <w:rPr>
          <w:noProof/>
          <w:lang w:val="en-GB" w:eastAsia="zh-CN"/>
        </w:rPr>
        <w:t xml:space="preserve"> </w:t>
      </w:r>
    </w:p>
    <w:p w14:paraId="7AA59C08" w14:textId="66B2762D" w:rsidR="00CE7BC2" w:rsidRPr="00CA3946" w:rsidRDefault="007356E3" w:rsidP="006848F9">
      <w:pPr>
        <w:pStyle w:val="TAMainText"/>
      </w:pPr>
      <w:r w:rsidRPr="00A45322">
        <w:t>The Pd/TiO</w:t>
      </w:r>
      <w:r w:rsidRPr="00A45322">
        <w:rPr>
          <w:vertAlign w:val="subscript"/>
        </w:rPr>
        <w:t>2</w:t>
      </w:r>
      <w:r w:rsidRPr="00A45322">
        <w:t xml:space="preserve"> and Pd/NiO catalysts were found to have comparable Pd particle sizes of 2.7 and 3.1 nm, respectively. Considering that smaller Pd nanoparticles have a larger available surface area the difference in catalytic activity cannot be rationalized by this effect. In this instance, the catalyst with larger particles, and therefore smaller surface area, has the greatest catalytic activity. To probe the properties of the supported nanoparticles in further detail a high-angle annular dark-field scanning TEM (HAADF-STEM) study was performed (Figure 1). The Pd/TiO</w:t>
      </w:r>
      <w:r w:rsidRPr="00A45322">
        <w:rPr>
          <w:vertAlign w:val="subscript"/>
        </w:rPr>
        <w:t>2</w:t>
      </w:r>
      <w:r w:rsidRPr="00A45322">
        <w:t xml:space="preserve"> catalyst has been characterized previously by HAADF-STEM with the data reported elsewhere</w:t>
      </w:r>
      <w:r w:rsidR="006848F9" w:rsidRPr="00A45322">
        <w:t>;</w:t>
      </w:r>
      <w:r w:rsidR="006848F9" w:rsidRPr="00A45322">
        <w:fldChar w:fldCharType="begin" w:fldLock="1"/>
      </w:r>
      <w:r w:rsidR="0097007D" w:rsidRPr="00A45322">
        <w:instrText>ADDIN CSL_CITATION {"citationItems":[{"id":"ITEM-1","itemData":{"DOI":"10.1021/acscatal.6b03190","ISSN":"2155-5435","author":[{"dropping-particle":"","family":"Palmer","given":"Richard E","non-dropping-particle":"","parse-names":false,"suffix":""},{"dropping-particle":"","family":"Jian","given":"Nan","non-dropping-particle":"","parse-names":false,"suffix":""},{"dropping-particle":"","family":"Villa","given":"Alberto","non-dropping-particle":"","parse-names":false,"suffix":""},{"dropping-particle":"","family":"Dimitratos","given":"Nikolaos","non-dropping-particle":"","parse-names":false,"suffix":""},{"dropping-particle":"","family":"Catlow","given":"C Richard A","non-dropping-particle":"","parse-names":false,"suffix":""},{"dropping-particle":"","family":"Chutia","given":"Arunabhiram","non-dropping-particle":"","parse-names":false,"suffix":""},{"dropping-particle":"","family":"Wells","given":"Peter P","non-dropping-particle":"","parse-names":false,"suffix":""},{"dropping-particle":"","family":"Chan-Thaw","given":"Carine E.","non-dropping-particle":"","parse-names":false,"suffix":""},{"dropping-particle":"","family":"Rogers","given":"Scott M","non-dropping-particle":"","parse-names":false,"suffix":""},{"dropping-particle":"","family":"Perdjon","given":"Michal","non-dropping-particle":"","parse-names":false,"suffix":""},{"dropping-particle":"","family":"Thetford","given":"Adam","non-dropping-particle":"","parse-names":false,"suffix":""}],"container-title":"ACS Catalysis","id":"ITEM-1","issue":"4","issued":{"date-parts":[["2017"]]},"page":"2266-2274","title":"Tandem Site- and Size-Controlled Pd Nanoparticles for the Directed Hydrogenation of Furfural","type":"article-journal","volume":"7"},"uris":["http://www.mendeley.com/documents/?uuid=0d22a686-26d0-430b-a6d9-24a1bb9f3516"]}],"mendeley":{"formattedCitation":"&lt;sup&gt;18&lt;/sup&gt;","plainTextFormattedCitation":"18","previouslyFormattedCitation":"&lt;sup&gt;18&lt;/sup&gt;"},"properties":{"noteIndex":0},"schema":"https://github.com/citation-style-language/schema/raw/master/csl-citation.json"}</w:instrText>
      </w:r>
      <w:r w:rsidR="006848F9" w:rsidRPr="00A45322">
        <w:fldChar w:fldCharType="separate"/>
      </w:r>
      <w:r w:rsidR="006848F9" w:rsidRPr="00A45322">
        <w:rPr>
          <w:noProof/>
          <w:vertAlign w:val="superscript"/>
        </w:rPr>
        <w:t>18</w:t>
      </w:r>
      <w:r w:rsidR="006848F9" w:rsidRPr="00A45322">
        <w:fldChar w:fldCharType="end"/>
      </w:r>
      <w:r w:rsidRPr="00A45322">
        <w:t xml:space="preserve"> to summarize, the Pd NPs were found to exhibit a significant number of sub-nanometer ‘clusters’, as was also found for Au NPs prepared using an analogous low-temperature sol-immobilization procedure.</w:t>
      </w:r>
      <w:r w:rsidRPr="00A45322">
        <w:rPr>
          <w:vertAlign w:val="superscript"/>
        </w:rPr>
        <w:t>40</w:t>
      </w:r>
    </w:p>
    <w:p w14:paraId="3E5FE9E6" w14:textId="77777777" w:rsidR="00CE7BC2" w:rsidRPr="00CA3946" w:rsidRDefault="00CE7BC2" w:rsidP="00CE7BC2">
      <w:pPr>
        <w:pStyle w:val="VAFigureCaption"/>
      </w:pPr>
      <w:r w:rsidRPr="00CA3946">
        <w:rPr>
          <w:noProof/>
          <w:lang w:val="en-GB" w:eastAsia="en-GB"/>
        </w:rPr>
        <w:drawing>
          <wp:inline distT="0" distB="0" distL="0" distR="0" wp14:anchorId="147B5FAE" wp14:editId="5C124E68">
            <wp:extent cx="3060000" cy="2483567"/>
            <wp:effectExtent l="0" t="0" r="762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2"/>
                    <a:stretch>
                      <a:fillRect/>
                    </a:stretch>
                  </pic:blipFill>
                  <pic:spPr>
                    <a:xfrm>
                      <a:off x="0" y="0"/>
                      <a:ext cx="3060000" cy="2483567"/>
                    </a:xfrm>
                    <a:prstGeom prst="rect">
                      <a:avLst/>
                    </a:prstGeom>
                  </pic:spPr>
                </pic:pic>
              </a:graphicData>
            </a:graphic>
          </wp:inline>
        </w:drawing>
      </w:r>
    </w:p>
    <w:p w14:paraId="009CFFD7" w14:textId="624486EA" w:rsidR="00CE7BC2" w:rsidRPr="00CA3946" w:rsidRDefault="00CE7BC2" w:rsidP="00CE7BC2">
      <w:pPr>
        <w:pStyle w:val="VAFigureCaption"/>
        <w:rPr>
          <w:noProof/>
          <w:lang w:val="en-GB" w:eastAsia="zh-CN"/>
        </w:rPr>
      </w:pPr>
      <w:r w:rsidRPr="00CA3946">
        <w:t>Figure 1. Representative low magnification STEM-HAADF images of Pd-NiO catalyst. (a</w:t>
      </w:r>
      <w:r w:rsidRPr="00CA3946">
        <w:sym w:font="Symbol" w:char="F02D"/>
      </w:r>
      <w:r w:rsidRPr="00CA3946">
        <w:t>d) Montage of HAADF image of Pd particles showing the corresponding EELS elemental maps and RGB reconstructed overlay maps [Green</w:t>
      </w:r>
      <w:r w:rsidRPr="00CA3946">
        <w:sym w:font="Symbol" w:char="F02D"/>
      </w:r>
      <w:r w:rsidRPr="00CA3946">
        <w:t>Pd: Pink</w:t>
      </w:r>
      <w:r w:rsidRPr="00CA3946">
        <w:sym w:font="Symbol" w:char="F02D"/>
      </w:r>
      <w:r w:rsidRPr="00CA3946">
        <w:t>Ni].</w:t>
      </w:r>
    </w:p>
    <w:p w14:paraId="220F8212" w14:textId="719AC289" w:rsidR="008F51DC" w:rsidRPr="00CA3946" w:rsidRDefault="00DB1F84" w:rsidP="006848F9">
      <w:pPr>
        <w:pStyle w:val="TAMainText"/>
      </w:pPr>
      <w:r w:rsidRPr="00CA3946">
        <w:t xml:space="preserve"> Figure 1a, shows a representative HAADF-STEM image of the Pd/NiO catalyst. In HAADF imaging, the intensity is approximately proportional to the square of the atomic number of the scattering element and therefore provides information of the local composition. In Figure 1a, the Pd </w:t>
      </w:r>
      <w:r w:rsidRPr="00CA3946">
        <w:lastRenderedPageBreak/>
        <w:t>particles (Z = 46) are clearly revealed as bright features on the nickel oxide matrix (Z ≈ 36). This interpretation was confirmed by using electron energy loss spectroscopy (EELS). The EELS maps, Figure 1b-d, illustrate the presence of well-dispersed Pd nanoparticles (Pd-M4,5 map in color green) on NiO (Ni-L</w:t>
      </w:r>
      <w:r w:rsidRPr="00CA3946">
        <w:rPr>
          <w:vertAlign w:val="subscript"/>
        </w:rPr>
        <w:t>3,2</w:t>
      </w:r>
      <w:r w:rsidRPr="00CA3946">
        <w:t xml:space="preserve"> map in color pink). The NiO appears as a collection of agglomerated platelets with diameters between 20 and 30 nm. Atomic resolution STEM images of a selected area (Figure 2a) reveals a highly crystalline particle with multi twinning planes and clearly resolved lattice planes with a d spacing of 2.26 Å. This is in agreement with the expected spacing of the (111) planes of face centered cubic Pd metal. Additionally, high resolution HAADF-STEM </w:t>
      </w:r>
      <w:r w:rsidRPr="00CA3946">
        <w:lastRenderedPageBreak/>
        <w:t>(Figure 2b) provides evidence of the presence of a sub-nanometer species (marked by yellow circles). This is in agreement with previous HAADF-STEM studies on other supported nanoparticle catalysts prepared using low temperature sol-immobilization.</w:t>
      </w:r>
      <w:r w:rsidR="006848F9" w:rsidRPr="00CA3946">
        <w:fldChar w:fldCharType="begin" w:fldLock="1"/>
      </w:r>
      <w:r w:rsidR="0097007D" w:rsidRPr="00CA3946">
        <w:instrText>ADDIN CSL_CITATION {"citationItems":[{"id":"ITEM-1","itemData":{"DOI":"10.1021/acscatal.5b00754","ISBN":"2155-5435","ISSN":"21555435","abstract":"Poly(vinyl alcohol) (PVA)-stabilized Au nanoparticles (NPs) were synthesized by colloidal methods in which temperature variations (-75 to 75°C) and mixed H2O/EtOH solvent ratios (0, 50, and 100 vol/vol) were used. The resulting Au NPs were immobilized on TiO2 (P25), and their catalytic performance was investigated for the liquid phase oxidation of glycerol. For each unique solvent system, there was a systematic increase in the average Au particle diameter as the temperature of the colloidal preparation increased. Generation of the Au NPs in H2O at 1°C resulted in a high observed activity compared with current Au/TiO2 catalysts (turnover frequency = 915 h-1). Interestingly, Au catalysts with similar average particle sizes but prepared under different conditions had contrasting catalytic performance. For the most active catalyst, aberration-corrected high angle annular dark field scanning transmission electron microscopy analysis identified the presence of isolated Au clusters (from 1 to 5 atoms) for the first time using a modified colloidal method, which was supported by experimental and computational CO adsorption studies. It is proposed that the variations in the populations of these species, in combination with other solvent/PVA effects, is responsible for the contrasting catalytic properties.","author":[{"dropping-particle":"","family":"Rogers","given":"Scott M.","non-dropping-particle":"","parse-names":false,"suffix":""},{"dropping-particle":"","family":"Catlow","given":"C. Richard A.","non-dropping-particle":"","parse-names":false,"suffix":""},{"dropping-particle":"","family":"Chan-Thaw","given":"Carine E.","non-dropping-particle":"","parse-names":false,"suffix":""},{"dropping-particle":"","family":"Gianolio","given":"Diego","non-dropping-particle":"","parse-names":false,"suffix":""},{"dropping-particle":"","family":"Gibson","given":"Emma K.","non-dropping-particle":"","parse-names":false,"suffix":""},{"dropping-particle":"","family":"Gould","given":"Anna L.","non-dropping-particle":"","parse-names":false,"suffix":""},{"dropping-particle":"","family":"Jian","given":"Nan","non-dropping-particle":"","parse-names":false,"suffix":""},{"dropping-particle":"","family":"Logsdail","given":"Andrew J.","non-dropping-particle":"","parse-names":false,"suffix":""},{"dropping-particle":"","family":"Palmer","given":"Richard E.","non-dropping-particle":"","parse-names":false,"suffix":""},{"dropping-particle":"","family":"Prati","given":"Laura","non-dropping-particle":"","parse-names":false,"suffix":""},{"dropping-particle":"","family":"Dimitratos","given":"Nikolaos","non-dropping-particle":"","parse-names":false,"suffix":""},{"dropping-particle":"","family":"Villa","given":"Alberto","non-dropping-particle":"","parse-names":false,"suffix":""},{"dropping-particle":"","family":"Wells","given":"Peter P.","non-dropping-particle":"","parse-names":false,"suffix":""}],"container-title":"ACS Catalysis","id":"ITEM-1","issue":"7","issued":{"date-parts":[["2015"]]},"language":"English","page":"4377-4384","title":"Tailoring Gold Nanoparticle Characteristics and the Impact on Aqueous-Phase Oxidation of Glycerol","type":"article-journal","volume":"5"},"uris":["http://www.mendeley.com/documents/?uuid=ffbe8d62-5ebb-4635-a82f-a3802f60e027"]},{"id":"ITEM-2","itemData":{"DOI":"10.1021/acscatal.6b03190","ISSN":"2155-5435","author":[{"dropping-particle":"","family":"Palmer","given":"Richard E","non-dropping-particle":"","parse-names":false,"suffix":""},{"dropping-particle":"","family":"Jian","given":"Nan","non-dropping-particle":"","parse-names":false,"suffix":""},{"dropping-particle":"","family":"Villa","given":"Alberto","non-dropping-particle":"","parse-names":false,"suffix":""},{"dropping-particle":"","family":"Dimitratos","given":"Nikolaos","non-dropping-particle":"","parse-names":false,"suffix":""},{"dropping-particle":"","family":"Catlow","given":"C Richard A","non-dropping-particle":"","parse-names":false,"suffix":""},{"dropping-particle":"","family":"Chutia","given":"Arunabhiram","non-dropping-particle":"","parse-names":false,"suffix":""},{"dropping-particle":"","family":"Wells","given":"Peter P","non-dropping-particle":"","parse-names":false,"suffix":""},{"dropping-particle":"","family":"Chan-Thaw","given":"Carine E.","non-dropping-particle":"","parse-names":false,"suffix":""},{"dropping-particle":"","family":"Rogers","given":"Scott M","non-dropping-particle":"","parse-names":false,"suffix":""},{"dropping-particle":"","family":"Perdjon","given":"Michal","non-dropping-particle":"","parse-names":false,"suffix":""},{"dropping-particle":"","family":"Thetford","given":"Adam","non-dropping-particle":"","parse-names":false,"suffix":""}],"container-title":"ACS Catalysis","id":"ITEM-2","issue":"4","issued":{"date-parts":[["2017"]]},"page":"2266-2274","title":"Tandem Site- and Size-Controlled Pd Nanoparticles for the Directed Hydrogenation of Furfural","type":"article-journal","volume":"7"},"uris":["http://www.mendeley.com/documents/?uuid=0d22a686-26d0-430b-a6d9-24a1bb9f3516"]}],"mendeley":{"formattedCitation":"&lt;sup&gt;18,41&lt;/sup&gt;","plainTextFormattedCitation":"18,41","previouslyFormattedCitation":"&lt;sup&gt;18,41&lt;/sup&gt;"},"properties":{"noteIndex":0},"schema":"https://github.com/citation-style-language/schema/raw/master/csl-citation.json"}</w:instrText>
      </w:r>
      <w:r w:rsidR="006848F9" w:rsidRPr="00CA3946">
        <w:fldChar w:fldCharType="separate"/>
      </w:r>
      <w:r w:rsidR="006848F9" w:rsidRPr="00CA3946">
        <w:rPr>
          <w:noProof/>
          <w:vertAlign w:val="superscript"/>
        </w:rPr>
        <w:t>18,41</w:t>
      </w:r>
      <w:r w:rsidR="006848F9" w:rsidRPr="00CA3946">
        <w:fldChar w:fldCharType="end"/>
      </w:r>
      <w:r w:rsidRPr="00CA3946">
        <w:t xml:space="preserve"> Figure S6 show the deconvolution of the EELS data into three components originating from the supporting NiO material</w:t>
      </w:r>
      <w:r w:rsidR="00AB786E" w:rsidRPr="00CA3946">
        <w:t xml:space="preserve"> </w:t>
      </w:r>
      <w:r w:rsidRPr="00CA3946">
        <w:t>(pink), the background (not shown) and the pure Pd particle (green). The features pr</w:t>
      </w:r>
      <w:r w:rsidR="00AB786E" w:rsidRPr="00CA3946">
        <w:t>esent could be assigned to Pd-M</w:t>
      </w:r>
      <w:r w:rsidRPr="00CA3946">
        <w:rPr>
          <w:vertAlign w:val="subscript"/>
        </w:rPr>
        <w:t>4,5</w:t>
      </w:r>
      <w:r w:rsidRPr="00CA3946">
        <w:t xml:space="preserve"> edge (for Pd with onset at 335 eV), the oxygen K </w:t>
      </w:r>
      <w:r w:rsidR="00004BA4" w:rsidRPr="00CA3946">
        <w:t>edge (onset at around 532 eV) and the Ni-L</w:t>
      </w:r>
      <w:r w:rsidR="00004BA4" w:rsidRPr="00CA3946">
        <w:rPr>
          <w:vertAlign w:val="subscript"/>
        </w:rPr>
        <w:t>3,2</w:t>
      </w:r>
      <w:r w:rsidR="00004BA4" w:rsidRPr="00CA3946">
        <w:t xml:space="preserve"> edge (at 855 eV).</w:t>
      </w:r>
    </w:p>
    <w:p w14:paraId="47FDB166" w14:textId="77777777" w:rsidR="008F51DC" w:rsidRPr="00CA3946" w:rsidRDefault="008F51DC" w:rsidP="003D4A1F">
      <w:pPr>
        <w:pStyle w:val="TAMainText"/>
        <w:sectPr w:rsidR="008F51DC" w:rsidRPr="00CA3946" w:rsidSect="00984F9E">
          <w:footerReference w:type="even" r:id="rId13"/>
          <w:footerReference w:type="default" r:id="rId14"/>
          <w:type w:val="continuous"/>
          <w:pgSz w:w="12240" w:h="15840"/>
          <w:pgMar w:top="720" w:right="1094" w:bottom="720" w:left="1094" w:header="720" w:footer="720" w:gutter="0"/>
          <w:cols w:num="2" w:space="461"/>
        </w:sectPr>
      </w:pPr>
    </w:p>
    <w:p w14:paraId="6A8B789F" w14:textId="77777777" w:rsidR="008F51DC" w:rsidRPr="00CA3946" w:rsidRDefault="008F51DC" w:rsidP="00365207">
      <w:pPr>
        <w:pStyle w:val="VDTableTitle"/>
      </w:pPr>
      <w:r w:rsidRPr="00CA3946">
        <w:lastRenderedPageBreak/>
        <w:t>Table 1 Catalytic activity testing for the hydrogenation of furfural at 50°C and TEM particle size data.</w:t>
      </w:r>
    </w:p>
    <w:tbl>
      <w:tblPr>
        <w:tblStyle w:val="TableGrid"/>
        <w:tblW w:w="5000" w:type="pct"/>
        <w:jc w:val="center"/>
        <w:tblLayout w:type="fixed"/>
        <w:tblLook w:val="04A0" w:firstRow="1" w:lastRow="0" w:firstColumn="1" w:lastColumn="0" w:noHBand="0" w:noVBand="1"/>
      </w:tblPr>
      <w:tblGrid>
        <w:gridCol w:w="1576"/>
        <w:gridCol w:w="909"/>
        <w:gridCol w:w="631"/>
        <w:gridCol w:w="788"/>
        <w:gridCol w:w="631"/>
        <w:gridCol w:w="946"/>
        <w:gridCol w:w="787"/>
        <w:gridCol w:w="474"/>
        <w:gridCol w:w="473"/>
        <w:gridCol w:w="315"/>
        <w:gridCol w:w="1182"/>
        <w:gridCol w:w="1340"/>
      </w:tblGrid>
      <w:tr w:rsidR="008F51DC" w:rsidRPr="00CA3946" w14:paraId="5B125626" w14:textId="77777777" w:rsidTr="008F51DC">
        <w:trPr>
          <w:jc w:val="center"/>
        </w:trPr>
        <w:tc>
          <w:tcPr>
            <w:tcW w:w="1418" w:type="dxa"/>
            <w:vMerge w:val="restart"/>
            <w:tcBorders>
              <w:top w:val="single" w:sz="4" w:space="0" w:color="auto"/>
              <w:left w:val="nil"/>
              <w:bottom w:val="nil"/>
              <w:right w:val="nil"/>
            </w:tcBorders>
          </w:tcPr>
          <w:p w14:paraId="039F56C3" w14:textId="77777777" w:rsidR="008F51DC" w:rsidRPr="00CA3946" w:rsidRDefault="008F51DC" w:rsidP="008F51DC">
            <w:pPr>
              <w:pStyle w:val="TCTableBody"/>
              <w:rPr>
                <w:lang w:val="en-US"/>
              </w:rPr>
            </w:pPr>
            <w:r w:rsidRPr="00CA3946">
              <w:rPr>
                <w:lang w:val="en-US"/>
              </w:rPr>
              <w:t>Catalyst</w:t>
            </w:r>
            <w:r w:rsidRPr="00CA3946">
              <w:rPr>
                <w:vertAlign w:val="superscript"/>
                <w:lang w:val="en-US"/>
              </w:rPr>
              <w:t>a</w:t>
            </w:r>
          </w:p>
        </w:tc>
        <w:tc>
          <w:tcPr>
            <w:tcW w:w="817" w:type="dxa"/>
            <w:vMerge w:val="restart"/>
            <w:tcBorders>
              <w:top w:val="single" w:sz="4" w:space="0" w:color="auto"/>
              <w:left w:val="nil"/>
              <w:bottom w:val="nil"/>
              <w:right w:val="nil"/>
            </w:tcBorders>
          </w:tcPr>
          <w:p w14:paraId="12D03901" w14:textId="77777777" w:rsidR="008F51DC" w:rsidRPr="00CA3946" w:rsidRDefault="008F51DC" w:rsidP="008F51DC">
            <w:pPr>
              <w:pStyle w:val="TCTableBody"/>
              <w:rPr>
                <w:lang w:val="en-GB"/>
              </w:rPr>
            </w:pPr>
            <w:r w:rsidRPr="00CA3946">
              <w:rPr>
                <w:lang w:val="en-US"/>
              </w:rPr>
              <w:t>Activity</w:t>
            </w:r>
            <w:r w:rsidRPr="00CA3946">
              <w:rPr>
                <w:vertAlign w:val="superscript"/>
                <w:lang w:val="en-US"/>
              </w:rPr>
              <w:t>b</w:t>
            </w:r>
          </w:p>
        </w:tc>
        <w:tc>
          <w:tcPr>
            <w:tcW w:w="4253" w:type="dxa"/>
            <w:gridSpan w:val="7"/>
            <w:tcBorders>
              <w:top w:val="single" w:sz="4" w:space="0" w:color="auto"/>
              <w:left w:val="nil"/>
              <w:bottom w:val="single" w:sz="4" w:space="0" w:color="auto"/>
              <w:right w:val="nil"/>
            </w:tcBorders>
          </w:tcPr>
          <w:p w14:paraId="59279DC0" w14:textId="77777777" w:rsidR="008F51DC" w:rsidRPr="00CA3946" w:rsidRDefault="008F51DC" w:rsidP="008F51DC">
            <w:pPr>
              <w:pStyle w:val="TCTableBody"/>
              <w:rPr>
                <w:lang w:val="en-US"/>
              </w:rPr>
            </w:pPr>
            <w:r w:rsidRPr="00CA3946">
              <w:rPr>
                <w:lang w:val="en-US"/>
              </w:rPr>
              <w:t>Selectivity</w:t>
            </w:r>
            <w:r w:rsidRPr="00CA3946">
              <w:rPr>
                <w:vertAlign w:val="superscript"/>
                <w:lang w:val="en-US"/>
              </w:rPr>
              <w:t xml:space="preserve"> </w:t>
            </w:r>
            <w:r w:rsidRPr="00CA3946">
              <w:rPr>
                <w:lang w:val="en-US"/>
              </w:rPr>
              <w:t>(%)</w:t>
            </w:r>
            <w:r w:rsidRPr="00CA3946">
              <w:rPr>
                <w:vertAlign w:val="superscript"/>
                <w:lang w:val="en-US"/>
              </w:rPr>
              <w:t>c</w:t>
            </w:r>
          </w:p>
        </w:tc>
        <w:tc>
          <w:tcPr>
            <w:tcW w:w="283" w:type="dxa"/>
            <w:tcBorders>
              <w:top w:val="single" w:sz="4" w:space="0" w:color="auto"/>
              <w:left w:val="nil"/>
              <w:bottom w:val="nil"/>
              <w:right w:val="nil"/>
            </w:tcBorders>
          </w:tcPr>
          <w:p w14:paraId="5FDBA60A" w14:textId="77777777" w:rsidR="008F51DC" w:rsidRPr="00CA3946" w:rsidRDefault="008F51DC" w:rsidP="008F51DC">
            <w:pPr>
              <w:pStyle w:val="TCTableBody"/>
              <w:rPr>
                <w:lang w:val="en-US"/>
              </w:rPr>
            </w:pPr>
          </w:p>
        </w:tc>
        <w:tc>
          <w:tcPr>
            <w:tcW w:w="2268" w:type="dxa"/>
            <w:gridSpan w:val="2"/>
            <w:tcBorders>
              <w:top w:val="single" w:sz="4" w:space="0" w:color="auto"/>
              <w:left w:val="nil"/>
              <w:bottom w:val="single" w:sz="4" w:space="0" w:color="auto"/>
              <w:right w:val="nil"/>
            </w:tcBorders>
          </w:tcPr>
          <w:p w14:paraId="087DBEEE" w14:textId="77777777" w:rsidR="008F51DC" w:rsidRPr="00CA3946" w:rsidRDefault="008F51DC" w:rsidP="008F51DC">
            <w:pPr>
              <w:pStyle w:val="TCTableBody"/>
              <w:rPr>
                <w:vertAlign w:val="superscript"/>
                <w:lang w:val="en-US"/>
              </w:rPr>
            </w:pPr>
            <w:r w:rsidRPr="00CA3946">
              <w:rPr>
                <w:lang w:val="en-US"/>
              </w:rPr>
              <w:t>Pd particle size</w:t>
            </w:r>
            <w:r w:rsidRPr="00CA3946">
              <w:rPr>
                <w:vertAlign w:val="superscript"/>
                <w:lang w:val="en-US"/>
              </w:rPr>
              <w:t>e</w:t>
            </w:r>
          </w:p>
        </w:tc>
      </w:tr>
      <w:tr w:rsidR="008F51DC" w:rsidRPr="00CA3946" w14:paraId="0063B3F6" w14:textId="77777777" w:rsidTr="008F51DC">
        <w:trPr>
          <w:jc w:val="center"/>
        </w:trPr>
        <w:tc>
          <w:tcPr>
            <w:tcW w:w="1418" w:type="dxa"/>
            <w:vMerge/>
            <w:tcBorders>
              <w:top w:val="nil"/>
              <w:left w:val="nil"/>
              <w:bottom w:val="nil"/>
              <w:right w:val="nil"/>
            </w:tcBorders>
          </w:tcPr>
          <w:p w14:paraId="697FD7A7" w14:textId="77777777" w:rsidR="008F51DC" w:rsidRPr="00CA3946" w:rsidRDefault="008F51DC" w:rsidP="008F51DC">
            <w:pPr>
              <w:pStyle w:val="TCTableBody"/>
              <w:rPr>
                <w:lang w:val="en-US"/>
              </w:rPr>
            </w:pPr>
          </w:p>
        </w:tc>
        <w:tc>
          <w:tcPr>
            <w:tcW w:w="817" w:type="dxa"/>
            <w:vMerge/>
            <w:tcBorders>
              <w:top w:val="nil"/>
              <w:left w:val="nil"/>
              <w:bottom w:val="nil"/>
              <w:right w:val="nil"/>
            </w:tcBorders>
          </w:tcPr>
          <w:p w14:paraId="6881186D" w14:textId="77777777" w:rsidR="008F51DC" w:rsidRPr="00CA3946" w:rsidRDefault="008F51DC" w:rsidP="008F51DC">
            <w:pPr>
              <w:pStyle w:val="TCTableBody"/>
              <w:rPr>
                <w:lang w:val="en-US"/>
              </w:rPr>
            </w:pPr>
          </w:p>
        </w:tc>
        <w:tc>
          <w:tcPr>
            <w:tcW w:w="567" w:type="dxa"/>
            <w:vMerge w:val="restart"/>
            <w:tcBorders>
              <w:top w:val="single" w:sz="4" w:space="0" w:color="auto"/>
              <w:left w:val="nil"/>
              <w:bottom w:val="nil"/>
              <w:right w:val="nil"/>
            </w:tcBorders>
          </w:tcPr>
          <w:p w14:paraId="3B9309FB" w14:textId="77777777" w:rsidR="008F51DC" w:rsidRPr="00CA3946" w:rsidRDefault="008F51DC" w:rsidP="008F51DC">
            <w:pPr>
              <w:pStyle w:val="TCTableBody"/>
              <w:rPr>
                <w:lang w:val="en-US"/>
              </w:rPr>
            </w:pPr>
            <w:r w:rsidRPr="00CA3946">
              <w:rPr>
                <w:lang w:val="en-US"/>
              </w:rPr>
              <w:t>FA</w:t>
            </w:r>
          </w:p>
        </w:tc>
        <w:tc>
          <w:tcPr>
            <w:tcW w:w="709" w:type="dxa"/>
            <w:vMerge w:val="restart"/>
            <w:tcBorders>
              <w:top w:val="single" w:sz="4" w:space="0" w:color="auto"/>
              <w:left w:val="nil"/>
              <w:bottom w:val="nil"/>
              <w:right w:val="nil"/>
            </w:tcBorders>
          </w:tcPr>
          <w:p w14:paraId="12F2A9BE" w14:textId="77777777" w:rsidR="008F51DC" w:rsidRPr="00CA3946" w:rsidRDefault="008F51DC" w:rsidP="008F51DC">
            <w:pPr>
              <w:pStyle w:val="TCTableBody"/>
              <w:rPr>
                <w:lang w:val="en-US"/>
              </w:rPr>
            </w:pPr>
            <w:r w:rsidRPr="00CA3946">
              <w:rPr>
                <w:lang w:val="en-US"/>
              </w:rPr>
              <w:t>THFA</w:t>
            </w:r>
          </w:p>
        </w:tc>
        <w:tc>
          <w:tcPr>
            <w:tcW w:w="567" w:type="dxa"/>
            <w:vMerge w:val="restart"/>
            <w:tcBorders>
              <w:top w:val="single" w:sz="4" w:space="0" w:color="auto"/>
              <w:left w:val="nil"/>
              <w:bottom w:val="nil"/>
              <w:right w:val="nil"/>
            </w:tcBorders>
          </w:tcPr>
          <w:p w14:paraId="0266A369" w14:textId="77777777" w:rsidR="008F51DC" w:rsidRPr="00CA3946" w:rsidRDefault="008F51DC" w:rsidP="008F51DC">
            <w:pPr>
              <w:pStyle w:val="TCTableBody"/>
              <w:rPr>
                <w:lang w:val="en-US"/>
              </w:rPr>
            </w:pPr>
            <w:r w:rsidRPr="00CA3946">
              <w:rPr>
                <w:lang w:val="en-US"/>
              </w:rPr>
              <w:t>2-MF</w:t>
            </w:r>
          </w:p>
        </w:tc>
        <w:tc>
          <w:tcPr>
            <w:tcW w:w="851" w:type="dxa"/>
            <w:vMerge w:val="restart"/>
            <w:tcBorders>
              <w:top w:val="single" w:sz="4" w:space="0" w:color="auto"/>
              <w:left w:val="nil"/>
              <w:bottom w:val="nil"/>
              <w:right w:val="nil"/>
            </w:tcBorders>
          </w:tcPr>
          <w:p w14:paraId="3697AE44" w14:textId="77777777" w:rsidR="008F51DC" w:rsidRPr="00CA3946" w:rsidRDefault="008F51DC" w:rsidP="008F51DC">
            <w:pPr>
              <w:pStyle w:val="TCTableBody"/>
              <w:rPr>
                <w:lang w:val="en-US"/>
              </w:rPr>
            </w:pPr>
            <w:r w:rsidRPr="00CA3946">
              <w:rPr>
                <w:lang w:val="en-US"/>
              </w:rPr>
              <w:t>2-MTHF</w:t>
            </w:r>
          </w:p>
        </w:tc>
        <w:tc>
          <w:tcPr>
            <w:tcW w:w="708" w:type="dxa"/>
            <w:vMerge w:val="restart"/>
            <w:tcBorders>
              <w:top w:val="single" w:sz="4" w:space="0" w:color="auto"/>
              <w:left w:val="nil"/>
              <w:bottom w:val="nil"/>
              <w:right w:val="nil"/>
            </w:tcBorders>
          </w:tcPr>
          <w:p w14:paraId="7405263E" w14:textId="77777777" w:rsidR="008F51DC" w:rsidRPr="00CA3946" w:rsidRDefault="008F51DC" w:rsidP="008F51DC">
            <w:pPr>
              <w:pStyle w:val="TCTableBody"/>
              <w:rPr>
                <w:lang w:val="en-US"/>
              </w:rPr>
            </w:pPr>
            <w:r w:rsidRPr="00CA3946">
              <w:rPr>
                <w:lang w:val="en-US"/>
              </w:rPr>
              <w:t>Furan</w:t>
            </w:r>
          </w:p>
        </w:tc>
        <w:tc>
          <w:tcPr>
            <w:tcW w:w="851" w:type="dxa"/>
            <w:gridSpan w:val="2"/>
            <w:tcBorders>
              <w:top w:val="single" w:sz="4" w:space="0" w:color="auto"/>
              <w:left w:val="nil"/>
              <w:bottom w:val="nil"/>
              <w:right w:val="nil"/>
            </w:tcBorders>
          </w:tcPr>
          <w:p w14:paraId="04990A91" w14:textId="77777777" w:rsidR="008F51DC" w:rsidRPr="00CA3946" w:rsidRDefault="008F51DC" w:rsidP="008F51DC">
            <w:pPr>
              <w:pStyle w:val="TCTableBody"/>
              <w:rPr>
                <w:lang w:val="en-US"/>
              </w:rPr>
            </w:pPr>
            <w:r w:rsidRPr="00CA3946">
              <w:rPr>
                <w:lang w:val="en-US"/>
              </w:rPr>
              <w:t>Ethers</w:t>
            </w:r>
          </w:p>
        </w:tc>
        <w:tc>
          <w:tcPr>
            <w:tcW w:w="283" w:type="dxa"/>
            <w:tcBorders>
              <w:top w:val="nil"/>
              <w:left w:val="nil"/>
              <w:bottom w:val="nil"/>
              <w:right w:val="nil"/>
            </w:tcBorders>
          </w:tcPr>
          <w:p w14:paraId="7E3721D5" w14:textId="77777777" w:rsidR="008F51DC" w:rsidRPr="00CA3946" w:rsidRDefault="008F51DC" w:rsidP="008F51DC">
            <w:pPr>
              <w:pStyle w:val="TCTableBody"/>
              <w:rPr>
                <w:lang w:val="en-US"/>
              </w:rPr>
            </w:pPr>
          </w:p>
        </w:tc>
        <w:tc>
          <w:tcPr>
            <w:tcW w:w="1063" w:type="dxa"/>
            <w:tcBorders>
              <w:top w:val="single" w:sz="4" w:space="0" w:color="auto"/>
              <w:left w:val="nil"/>
              <w:bottom w:val="nil"/>
              <w:right w:val="nil"/>
            </w:tcBorders>
          </w:tcPr>
          <w:p w14:paraId="2419DB52" w14:textId="77777777" w:rsidR="008F51DC" w:rsidRPr="00CA3946" w:rsidRDefault="008F51DC" w:rsidP="008F51DC">
            <w:pPr>
              <w:pStyle w:val="TCTableBody"/>
              <w:rPr>
                <w:lang w:val="en-US"/>
              </w:rPr>
            </w:pPr>
            <w:r w:rsidRPr="00CA3946">
              <w:rPr>
                <w:lang w:val="en-US"/>
              </w:rPr>
              <w:t>Median (nm)</w:t>
            </w:r>
          </w:p>
        </w:tc>
        <w:tc>
          <w:tcPr>
            <w:tcW w:w="1205" w:type="dxa"/>
            <w:tcBorders>
              <w:top w:val="single" w:sz="4" w:space="0" w:color="auto"/>
              <w:left w:val="nil"/>
              <w:bottom w:val="nil"/>
              <w:right w:val="nil"/>
            </w:tcBorders>
          </w:tcPr>
          <w:p w14:paraId="0EFFA4D8" w14:textId="77777777" w:rsidR="008F51DC" w:rsidRPr="00CA3946" w:rsidRDefault="008F51DC" w:rsidP="008F51DC">
            <w:pPr>
              <w:pStyle w:val="TCTableBody"/>
              <w:rPr>
                <w:lang w:val="en-US"/>
              </w:rPr>
            </w:pPr>
            <w:r w:rsidRPr="00CA3946">
              <w:rPr>
                <w:lang w:val="en-US"/>
              </w:rPr>
              <w:t>Deviation (nm)</w:t>
            </w:r>
          </w:p>
        </w:tc>
      </w:tr>
      <w:tr w:rsidR="008F51DC" w:rsidRPr="00CA3946" w14:paraId="23FCD324" w14:textId="77777777" w:rsidTr="008F51DC">
        <w:trPr>
          <w:trHeight w:val="183"/>
          <w:jc w:val="center"/>
        </w:trPr>
        <w:tc>
          <w:tcPr>
            <w:tcW w:w="1418" w:type="dxa"/>
            <w:vMerge/>
            <w:tcBorders>
              <w:top w:val="single" w:sz="4" w:space="0" w:color="auto"/>
              <w:left w:val="nil"/>
              <w:bottom w:val="single" w:sz="4" w:space="0" w:color="auto"/>
              <w:right w:val="nil"/>
            </w:tcBorders>
          </w:tcPr>
          <w:p w14:paraId="0BFB8E68" w14:textId="77777777" w:rsidR="008F51DC" w:rsidRPr="00CA3946" w:rsidRDefault="008F51DC" w:rsidP="008F51DC">
            <w:pPr>
              <w:pStyle w:val="TCTableBody"/>
              <w:rPr>
                <w:lang w:val="en-US"/>
              </w:rPr>
            </w:pPr>
          </w:p>
        </w:tc>
        <w:tc>
          <w:tcPr>
            <w:tcW w:w="817" w:type="dxa"/>
            <w:vMerge/>
            <w:tcBorders>
              <w:top w:val="single" w:sz="4" w:space="0" w:color="auto"/>
              <w:left w:val="nil"/>
              <w:bottom w:val="single" w:sz="4" w:space="0" w:color="auto"/>
              <w:right w:val="nil"/>
            </w:tcBorders>
          </w:tcPr>
          <w:p w14:paraId="4C92DB70" w14:textId="77777777" w:rsidR="008F51DC" w:rsidRPr="00CA3946" w:rsidRDefault="008F51DC" w:rsidP="008F51DC">
            <w:pPr>
              <w:pStyle w:val="TCTableBody"/>
              <w:rPr>
                <w:lang w:val="en-US"/>
              </w:rPr>
            </w:pPr>
          </w:p>
        </w:tc>
        <w:tc>
          <w:tcPr>
            <w:tcW w:w="567" w:type="dxa"/>
            <w:vMerge/>
            <w:tcBorders>
              <w:top w:val="single" w:sz="4" w:space="0" w:color="auto"/>
              <w:left w:val="nil"/>
              <w:bottom w:val="single" w:sz="4" w:space="0" w:color="auto"/>
              <w:right w:val="nil"/>
            </w:tcBorders>
          </w:tcPr>
          <w:p w14:paraId="38F92D9F" w14:textId="77777777" w:rsidR="008F51DC" w:rsidRPr="00CA3946" w:rsidRDefault="008F51DC" w:rsidP="008F51DC">
            <w:pPr>
              <w:pStyle w:val="TCTableBody"/>
              <w:rPr>
                <w:lang w:val="en-US"/>
              </w:rPr>
            </w:pPr>
          </w:p>
        </w:tc>
        <w:tc>
          <w:tcPr>
            <w:tcW w:w="709" w:type="dxa"/>
            <w:vMerge/>
            <w:tcBorders>
              <w:top w:val="single" w:sz="4" w:space="0" w:color="auto"/>
              <w:left w:val="nil"/>
              <w:bottom w:val="single" w:sz="4" w:space="0" w:color="auto"/>
              <w:right w:val="nil"/>
            </w:tcBorders>
          </w:tcPr>
          <w:p w14:paraId="4A58046D" w14:textId="77777777" w:rsidR="008F51DC" w:rsidRPr="00CA3946" w:rsidRDefault="008F51DC" w:rsidP="008F51DC">
            <w:pPr>
              <w:pStyle w:val="TCTableBody"/>
              <w:rPr>
                <w:lang w:val="en-US"/>
              </w:rPr>
            </w:pPr>
          </w:p>
        </w:tc>
        <w:tc>
          <w:tcPr>
            <w:tcW w:w="567" w:type="dxa"/>
            <w:vMerge/>
            <w:tcBorders>
              <w:top w:val="single" w:sz="4" w:space="0" w:color="auto"/>
              <w:left w:val="nil"/>
              <w:bottom w:val="single" w:sz="4" w:space="0" w:color="auto"/>
              <w:right w:val="nil"/>
            </w:tcBorders>
          </w:tcPr>
          <w:p w14:paraId="2DAEB75E" w14:textId="77777777" w:rsidR="008F51DC" w:rsidRPr="00CA3946" w:rsidRDefault="008F51DC" w:rsidP="008F51DC">
            <w:pPr>
              <w:pStyle w:val="TCTableBody"/>
              <w:rPr>
                <w:lang w:val="en-US"/>
              </w:rPr>
            </w:pPr>
          </w:p>
        </w:tc>
        <w:tc>
          <w:tcPr>
            <w:tcW w:w="851" w:type="dxa"/>
            <w:vMerge/>
            <w:tcBorders>
              <w:top w:val="single" w:sz="4" w:space="0" w:color="auto"/>
              <w:left w:val="nil"/>
              <w:bottom w:val="single" w:sz="4" w:space="0" w:color="auto"/>
              <w:right w:val="nil"/>
            </w:tcBorders>
          </w:tcPr>
          <w:p w14:paraId="22BD6EF6" w14:textId="77777777" w:rsidR="008F51DC" w:rsidRPr="00CA3946" w:rsidRDefault="008F51DC" w:rsidP="008F51DC">
            <w:pPr>
              <w:pStyle w:val="TCTableBody"/>
              <w:rPr>
                <w:lang w:val="en-US"/>
              </w:rPr>
            </w:pPr>
          </w:p>
        </w:tc>
        <w:tc>
          <w:tcPr>
            <w:tcW w:w="708" w:type="dxa"/>
            <w:vMerge/>
            <w:tcBorders>
              <w:top w:val="single" w:sz="4" w:space="0" w:color="auto"/>
              <w:left w:val="nil"/>
              <w:bottom w:val="single" w:sz="4" w:space="0" w:color="auto"/>
              <w:right w:val="nil"/>
            </w:tcBorders>
          </w:tcPr>
          <w:p w14:paraId="585696BA" w14:textId="77777777" w:rsidR="008F51DC" w:rsidRPr="00CA3946" w:rsidRDefault="008F51DC" w:rsidP="008F51DC">
            <w:pPr>
              <w:pStyle w:val="TCTableBody"/>
              <w:rPr>
                <w:lang w:val="en-US"/>
              </w:rPr>
            </w:pPr>
          </w:p>
        </w:tc>
        <w:tc>
          <w:tcPr>
            <w:tcW w:w="426" w:type="dxa"/>
            <w:tcBorders>
              <w:top w:val="single" w:sz="4" w:space="0" w:color="auto"/>
              <w:left w:val="nil"/>
              <w:bottom w:val="single" w:sz="4" w:space="0" w:color="auto"/>
              <w:right w:val="nil"/>
            </w:tcBorders>
          </w:tcPr>
          <w:p w14:paraId="0CE142BA" w14:textId="77777777" w:rsidR="008F51DC" w:rsidRPr="00CA3946" w:rsidRDefault="008F51DC" w:rsidP="008F51DC">
            <w:pPr>
              <w:pStyle w:val="TCTableBody"/>
              <w:rPr>
                <w:lang w:val="en-US"/>
              </w:rPr>
            </w:pPr>
            <w:r w:rsidRPr="00CA3946">
              <w:rPr>
                <w:lang w:val="en-US"/>
              </w:rPr>
              <w:t>1</w:t>
            </w:r>
          </w:p>
        </w:tc>
        <w:tc>
          <w:tcPr>
            <w:tcW w:w="425" w:type="dxa"/>
            <w:tcBorders>
              <w:top w:val="single" w:sz="4" w:space="0" w:color="auto"/>
              <w:left w:val="nil"/>
              <w:bottom w:val="single" w:sz="4" w:space="0" w:color="auto"/>
              <w:right w:val="nil"/>
            </w:tcBorders>
          </w:tcPr>
          <w:p w14:paraId="38C9954A" w14:textId="77777777" w:rsidR="008F51DC" w:rsidRPr="00CA3946" w:rsidRDefault="008F51DC" w:rsidP="008F51DC">
            <w:pPr>
              <w:pStyle w:val="TCTableBody"/>
              <w:rPr>
                <w:lang w:val="en-US"/>
              </w:rPr>
            </w:pPr>
            <w:r w:rsidRPr="00CA3946">
              <w:rPr>
                <w:lang w:val="en-US"/>
              </w:rPr>
              <w:t>2</w:t>
            </w:r>
          </w:p>
        </w:tc>
        <w:tc>
          <w:tcPr>
            <w:tcW w:w="283" w:type="dxa"/>
            <w:tcBorders>
              <w:top w:val="single" w:sz="4" w:space="0" w:color="auto"/>
              <w:left w:val="nil"/>
              <w:bottom w:val="single" w:sz="4" w:space="0" w:color="auto"/>
              <w:right w:val="nil"/>
            </w:tcBorders>
          </w:tcPr>
          <w:p w14:paraId="287108CF" w14:textId="77777777" w:rsidR="008F51DC" w:rsidRPr="00CA3946" w:rsidRDefault="008F51DC" w:rsidP="008F51DC">
            <w:pPr>
              <w:pStyle w:val="TCTableBody"/>
              <w:rPr>
                <w:lang w:val="en-US"/>
              </w:rPr>
            </w:pPr>
          </w:p>
        </w:tc>
        <w:tc>
          <w:tcPr>
            <w:tcW w:w="2268" w:type="dxa"/>
            <w:gridSpan w:val="2"/>
            <w:tcBorders>
              <w:top w:val="nil"/>
              <w:left w:val="nil"/>
              <w:bottom w:val="single" w:sz="4" w:space="0" w:color="auto"/>
              <w:right w:val="nil"/>
            </w:tcBorders>
          </w:tcPr>
          <w:p w14:paraId="136BA746" w14:textId="77777777" w:rsidR="008F51DC" w:rsidRPr="00CA3946" w:rsidRDefault="008F51DC" w:rsidP="008F51DC">
            <w:pPr>
              <w:pStyle w:val="TCTableBody"/>
              <w:rPr>
                <w:lang w:val="en-US"/>
              </w:rPr>
            </w:pPr>
          </w:p>
        </w:tc>
      </w:tr>
      <w:tr w:rsidR="008F51DC" w:rsidRPr="00CA3946" w14:paraId="36C14F98" w14:textId="77777777" w:rsidTr="008F51DC">
        <w:trPr>
          <w:jc w:val="center"/>
        </w:trPr>
        <w:tc>
          <w:tcPr>
            <w:tcW w:w="1418" w:type="dxa"/>
            <w:tcBorders>
              <w:top w:val="single" w:sz="4" w:space="0" w:color="auto"/>
              <w:left w:val="nil"/>
              <w:bottom w:val="nil"/>
              <w:right w:val="nil"/>
            </w:tcBorders>
          </w:tcPr>
          <w:p w14:paraId="353CD416" w14:textId="77777777" w:rsidR="008F51DC" w:rsidRPr="00CA3946" w:rsidRDefault="008F51DC" w:rsidP="008F51DC">
            <w:pPr>
              <w:pStyle w:val="TCTableBody"/>
              <w:rPr>
                <w:lang w:val="en-US"/>
              </w:rPr>
            </w:pPr>
            <w:r w:rsidRPr="00CA3946">
              <w:rPr>
                <w:lang w:val="en-US"/>
              </w:rPr>
              <w:t>TiO</w:t>
            </w:r>
            <w:r w:rsidRPr="00CA3946">
              <w:rPr>
                <w:vertAlign w:val="subscript"/>
                <w:lang w:val="en-US"/>
              </w:rPr>
              <w:t>2</w:t>
            </w:r>
          </w:p>
        </w:tc>
        <w:tc>
          <w:tcPr>
            <w:tcW w:w="817" w:type="dxa"/>
            <w:tcBorders>
              <w:top w:val="single" w:sz="4" w:space="0" w:color="auto"/>
              <w:left w:val="nil"/>
              <w:bottom w:val="nil"/>
              <w:right w:val="nil"/>
            </w:tcBorders>
          </w:tcPr>
          <w:p w14:paraId="79A118D2" w14:textId="77777777" w:rsidR="008F51DC" w:rsidRPr="00CA3946" w:rsidRDefault="008F51DC" w:rsidP="008F51DC">
            <w:pPr>
              <w:pStyle w:val="TCTableBody"/>
              <w:rPr>
                <w:lang w:val="en-GB"/>
              </w:rPr>
            </w:pPr>
            <w:r w:rsidRPr="00CA3946">
              <w:rPr>
                <w:lang w:val="en-GB"/>
              </w:rPr>
              <w:t>-</w:t>
            </w:r>
          </w:p>
        </w:tc>
        <w:tc>
          <w:tcPr>
            <w:tcW w:w="567" w:type="dxa"/>
            <w:tcBorders>
              <w:top w:val="single" w:sz="4" w:space="0" w:color="auto"/>
              <w:left w:val="nil"/>
              <w:bottom w:val="nil"/>
              <w:right w:val="nil"/>
            </w:tcBorders>
          </w:tcPr>
          <w:p w14:paraId="34421F69" w14:textId="77777777" w:rsidR="008F51DC" w:rsidRPr="00CA3946" w:rsidRDefault="008F51DC" w:rsidP="008F51DC">
            <w:pPr>
              <w:pStyle w:val="TCTableBody"/>
              <w:rPr>
                <w:lang w:val="en-US"/>
              </w:rPr>
            </w:pPr>
            <w:r w:rsidRPr="00CA3946">
              <w:rPr>
                <w:lang w:val="en-US"/>
              </w:rPr>
              <w:t>-</w:t>
            </w:r>
          </w:p>
        </w:tc>
        <w:tc>
          <w:tcPr>
            <w:tcW w:w="709" w:type="dxa"/>
            <w:tcBorders>
              <w:top w:val="single" w:sz="4" w:space="0" w:color="auto"/>
              <w:left w:val="nil"/>
              <w:bottom w:val="nil"/>
              <w:right w:val="nil"/>
            </w:tcBorders>
          </w:tcPr>
          <w:p w14:paraId="67BBC101" w14:textId="77777777" w:rsidR="008F51DC" w:rsidRPr="00CA3946" w:rsidRDefault="008F51DC" w:rsidP="008F51DC">
            <w:pPr>
              <w:pStyle w:val="TCTableBody"/>
              <w:rPr>
                <w:lang w:val="en-US"/>
              </w:rPr>
            </w:pPr>
            <w:r w:rsidRPr="00CA3946">
              <w:rPr>
                <w:lang w:val="en-US"/>
              </w:rPr>
              <w:t>-</w:t>
            </w:r>
          </w:p>
        </w:tc>
        <w:tc>
          <w:tcPr>
            <w:tcW w:w="567" w:type="dxa"/>
            <w:tcBorders>
              <w:top w:val="single" w:sz="4" w:space="0" w:color="auto"/>
              <w:left w:val="nil"/>
              <w:bottom w:val="nil"/>
              <w:right w:val="nil"/>
            </w:tcBorders>
          </w:tcPr>
          <w:p w14:paraId="28E8369B" w14:textId="77777777" w:rsidR="008F51DC" w:rsidRPr="00CA3946" w:rsidRDefault="008F51DC" w:rsidP="008F51DC">
            <w:pPr>
              <w:pStyle w:val="TCTableBody"/>
              <w:rPr>
                <w:lang w:val="en-US"/>
              </w:rPr>
            </w:pPr>
            <w:r w:rsidRPr="00CA3946">
              <w:rPr>
                <w:lang w:val="en-US"/>
              </w:rPr>
              <w:t>-</w:t>
            </w:r>
          </w:p>
        </w:tc>
        <w:tc>
          <w:tcPr>
            <w:tcW w:w="851" w:type="dxa"/>
            <w:tcBorders>
              <w:top w:val="single" w:sz="4" w:space="0" w:color="auto"/>
              <w:left w:val="nil"/>
              <w:bottom w:val="nil"/>
              <w:right w:val="nil"/>
            </w:tcBorders>
          </w:tcPr>
          <w:p w14:paraId="6F8399B8" w14:textId="77777777" w:rsidR="008F51DC" w:rsidRPr="00CA3946" w:rsidRDefault="008F51DC" w:rsidP="008F51DC">
            <w:pPr>
              <w:pStyle w:val="TCTableBody"/>
              <w:rPr>
                <w:lang w:val="en-US"/>
              </w:rPr>
            </w:pPr>
            <w:r w:rsidRPr="00CA3946">
              <w:rPr>
                <w:lang w:val="en-US"/>
              </w:rPr>
              <w:t>-</w:t>
            </w:r>
          </w:p>
        </w:tc>
        <w:tc>
          <w:tcPr>
            <w:tcW w:w="708" w:type="dxa"/>
            <w:tcBorders>
              <w:top w:val="single" w:sz="4" w:space="0" w:color="auto"/>
              <w:left w:val="nil"/>
              <w:bottom w:val="nil"/>
              <w:right w:val="nil"/>
            </w:tcBorders>
          </w:tcPr>
          <w:p w14:paraId="26AD17A3" w14:textId="77777777" w:rsidR="008F51DC" w:rsidRPr="00CA3946" w:rsidRDefault="008F51DC" w:rsidP="008F51DC">
            <w:pPr>
              <w:pStyle w:val="TCTableBody"/>
              <w:rPr>
                <w:lang w:val="en-US"/>
              </w:rPr>
            </w:pPr>
            <w:r w:rsidRPr="00CA3946">
              <w:rPr>
                <w:lang w:val="en-US"/>
              </w:rPr>
              <w:t>-</w:t>
            </w:r>
          </w:p>
        </w:tc>
        <w:tc>
          <w:tcPr>
            <w:tcW w:w="426" w:type="dxa"/>
            <w:tcBorders>
              <w:top w:val="single" w:sz="4" w:space="0" w:color="auto"/>
              <w:left w:val="nil"/>
              <w:bottom w:val="nil"/>
              <w:right w:val="nil"/>
            </w:tcBorders>
          </w:tcPr>
          <w:p w14:paraId="5970A25A" w14:textId="77777777" w:rsidR="008F51DC" w:rsidRPr="00CA3946" w:rsidRDefault="008F51DC" w:rsidP="008F51DC">
            <w:pPr>
              <w:pStyle w:val="TCTableBody"/>
              <w:rPr>
                <w:lang w:val="en-US"/>
              </w:rPr>
            </w:pPr>
            <w:r w:rsidRPr="00CA3946">
              <w:rPr>
                <w:lang w:val="en-US"/>
              </w:rPr>
              <w:t>-</w:t>
            </w:r>
          </w:p>
        </w:tc>
        <w:tc>
          <w:tcPr>
            <w:tcW w:w="425" w:type="dxa"/>
            <w:tcBorders>
              <w:top w:val="single" w:sz="4" w:space="0" w:color="auto"/>
              <w:left w:val="nil"/>
              <w:bottom w:val="nil"/>
              <w:right w:val="nil"/>
            </w:tcBorders>
          </w:tcPr>
          <w:p w14:paraId="5111443D" w14:textId="77777777" w:rsidR="008F51DC" w:rsidRPr="00CA3946" w:rsidRDefault="008F51DC" w:rsidP="008F51DC">
            <w:pPr>
              <w:pStyle w:val="TCTableBody"/>
              <w:rPr>
                <w:lang w:val="en-US"/>
              </w:rPr>
            </w:pPr>
          </w:p>
        </w:tc>
        <w:tc>
          <w:tcPr>
            <w:tcW w:w="283" w:type="dxa"/>
            <w:tcBorders>
              <w:top w:val="single" w:sz="4" w:space="0" w:color="auto"/>
              <w:left w:val="nil"/>
              <w:bottom w:val="nil"/>
              <w:right w:val="nil"/>
            </w:tcBorders>
          </w:tcPr>
          <w:p w14:paraId="1E73C76E" w14:textId="77777777" w:rsidR="008F51DC" w:rsidRPr="00CA3946" w:rsidRDefault="008F51DC" w:rsidP="008F51DC">
            <w:pPr>
              <w:pStyle w:val="TCTableBody"/>
              <w:rPr>
                <w:lang w:val="en-US"/>
              </w:rPr>
            </w:pPr>
          </w:p>
        </w:tc>
        <w:tc>
          <w:tcPr>
            <w:tcW w:w="1063" w:type="dxa"/>
            <w:tcBorders>
              <w:top w:val="single" w:sz="4" w:space="0" w:color="auto"/>
              <w:left w:val="nil"/>
              <w:bottom w:val="nil"/>
              <w:right w:val="nil"/>
            </w:tcBorders>
          </w:tcPr>
          <w:p w14:paraId="5AB696AF" w14:textId="77777777" w:rsidR="008F51DC" w:rsidRPr="00CA3946" w:rsidRDefault="008F51DC" w:rsidP="008F51DC">
            <w:pPr>
              <w:pStyle w:val="TCTableBody"/>
              <w:rPr>
                <w:lang w:val="en-US"/>
              </w:rPr>
            </w:pPr>
            <w:r w:rsidRPr="00CA3946">
              <w:rPr>
                <w:lang w:val="en-US"/>
              </w:rPr>
              <w:t>-</w:t>
            </w:r>
          </w:p>
        </w:tc>
        <w:tc>
          <w:tcPr>
            <w:tcW w:w="1205" w:type="dxa"/>
            <w:tcBorders>
              <w:top w:val="single" w:sz="4" w:space="0" w:color="auto"/>
              <w:left w:val="nil"/>
              <w:bottom w:val="nil"/>
              <w:right w:val="nil"/>
            </w:tcBorders>
          </w:tcPr>
          <w:p w14:paraId="29BF9B9B" w14:textId="77777777" w:rsidR="008F51DC" w:rsidRPr="00CA3946" w:rsidRDefault="008F51DC" w:rsidP="008F51DC">
            <w:pPr>
              <w:pStyle w:val="TCTableBody"/>
              <w:rPr>
                <w:lang w:val="en-US"/>
              </w:rPr>
            </w:pPr>
            <w:r w:rsidRPr="00CA3946">
              <w:rPr>
                <w:lang w:val="en-US"/>
              </w:rPr>
              <w:t>-</w:t>
            </w:r>
          </w:p>
        </w:tc>
      </w:tr>
      <w:tr w:rsidR="008F51DC" w:rsidRPr="00CA3946" w14:paraId="283D6480" w14:textId="77777777" w:rsidTr="008F51DC">
        <w:trPr>
          <w:jc w:val="center"/>
        </w:trPr>
        <w:tc>
          <w:tcPr>
            <w:tcW w:w="1418" w:type="dxa"/>
            <w:tcBorders>
              <w:top w:val="nil"/>
              <w:left w:val="nil"/>
              <w:bottom w:val="nil"/>
              <w:right w:val="nil"/>
            </w:tcBorders>
          </w:tcPr>
          <w:p w14:paraId="31173C3B" w14:textId="77777777" w:rsidR="008F51DC" w:rsidRPr="00CA3946" w:rsidRDefault="008F51DC" w:rsidP="008F51DC">
            <w:pPr>
              <w:pStyle w:val="TCTableBody"/>
              <w:rPr>
                <w:lang w:val="en-US"/>
              </w:rPr>
            </w:pPr>
            <w:r w:rsidRPr="00CA3946">
              <w:rPr>
                <w:lang w:val="en-US"/>
              </w:rPr>
              <w:t>NiO</w:t>
            </w:r>
          </w:p>
        </w:tc>
        <w:tc>
          <w:tcPr>
            <w:tcW w:w="817" w:type="dxa"/>
            <w:tcBorders>
              <w:top w:val="nil"/>
              <w:left w:val="nil"/>
              <w:bottom w:val="nil"/>
              <w:right w:val="nil"/>
            </w:tcBorders>
          </w:tcPr>
          <w:p w14:paraId="636E7E3F" w14:textId="77777777" w:rsidR="008F51DC" w:rsidRPr="00CA3946" w:rsidRDefault="008F51DC" w:rsidP="008F51DC">
            <w:pPr>
              <w:pStyle w:val="TCTableBody"/>
              <w:rPr>
                <w:lang w:val="en-GB"/>
              </w:rPr>
            </w:pPr>
            <w:r w:rsidRPr="00CA3946">
              <w:rPr>
                <w:lang w:val="en-GB"/>
              </w:rPr>
              <w:t>39</w:t>
            </w:r>
          </w:p>
        </w:tc>
        <w:tc>
          <w:tcPr>
            <w:tcW w:w="567" w:type="dxa"/>
            <w:tcBorders>
              <w:top w:val="nil"/>
              <w:left w:val="nil"/>
              <w:bottom w:val="nil"/>
              <w:right w:val="nil"/>
            </w:tcBorders>
          </w:tcPr>
          <w:p w14:paraId="20EE166C" w14:textId="77777777" w:rsidR="008F51DC" w:rsidRPr="00CA3946" w:rsidRDefault="008F51DC" w:rsidP="008F51DC">
            <w:pPr>
              <w:pStyle w:val="TCTableBody"/>
              <w:rPr>
                <w:lang w:val="en-US"/>
              </w:rPr>
            </w:pPr>
            <w:r w:rsidRPr="00CA3946">
              <w:rPr>
                <w:lang w:val="en-US"/>
              </w:rPr>
              <w:t>4</w:t>
            </w:r>
            <w:r w:rsidRPr="00CA3946">
              <w:rPr>
                <w:vertAlign w:val="superscript"/>
                <w:lang w:val="en-US"/>
              </w:rPr>
              <w:t>d</w:t>
            </w:r>
          </w:p>
        </w:tc>
        <w:tc>
          <w:tcPr>
            <w:tcW w:w="709" w:type="dxa"/>
            <w:tcBorders>
              <w:top w:val="nil"/>
              <w:left w:val="nil"/>
              <w:bottom w:val="nil"/>
              <w:right w:val="nil"/>
            </w:tcBorders>
          </w:tcPr>
          <w:p w14:paraId="68DEF769" w14:textId="77777777" w:rsidR="008F51DC" w:rsidRPr="00CA3946" w:rsidRDefault="008F51DC" w:rsidP="008F51DC">
            <w:pPr>
              <w:pStyle w:val="TCTableBody"/>
              <w:rPr>
                <w:lang w:val="en-US"/>
              </w:rPr>
            </w:pPr>
            <w:r w:rsidRPr="00CA3946">
              <w:rPr>
                <w:lang w:val="en-US"/>
              </w:rPr>
              <w:t>87</w:t>
            </w:r>
            <w:r w:rsidRPr="00CA3946">
              <w:rPr>
                <w:vertAlign w:val="superscript"/>
                <w:lang w:val="en-US"/>
              </w:rPr>
              <w:t>d</w:t>
            </w:r>
          </w:p>
        </w:tc>
        <w:tc>
          <w:tcPr>
            <w:tcW w:w="567" w:type="dxa"/>
            <w:tcBorders>
              <w:top w:val="nil"/>
              <w:left w:val="nil"/>
              <w:bottom w:val="nil"/>
              <w:right w:val="nil"/>
            </w:tcBorders>
          </w:tcPr>
          <w:p w14:paraId="4CC6709A" w14:textId="77777777" w:rsidR="008F51DC" w:rsidRPr="00CA3946" w:rsidRDefault="008F51DC" w:rsidP="008F51DC">
            <w:pPr>
              <w:pStyle w:val="TCTableBody"/>
              <w:rPr>
                <w:lang w:val="en-US"/>
              </w:rPr>
            </w:pPr>
            <w:r w:rsidRPr="00CA3946">
              <w:rPr>
                <w:lang w:val="en-US"/>
              </w:rPr>
              <w:t>-</w:t>
            </w:r>
          </w:p>
        </w:tc>
        <w:tc>
          <w:tcPr>
            <w:tcW w:w="851" w:type="dxa"/>
            <w:tcBorders>
              <w:top w:val="nil"/>
              <w:left w:val="nil"/>
              <w:bottom w:val="nil"/>
              <w:right w:val="nil"/>
            </w:tcBorders>
          </w:tcPr>
          <w:p w14:paraId="73DAAEA4" w14:textId="77777777" w:rsidR="008F51DC" w:rsidRPr="00CA3946" w:rsidRDefault="008F51DC" w:rsidP="008F51DC">
            <w:pPr>
              <w:pStyle w:val="TCTableBody"/>
              <w:rPr>
                <w:lang w:val="en-US"/>
              </w:rPr>
            </w:pPr>
            <w:r w:rsidRPr="00CA3946">
              <w:rPr>
                <w:lang w:val="en-US"/>
              </w:rPr>
              <w:t>-</w:t>
            </w:r>
          </w:p>
        </w:tc>
        <w:tc>
          <w:tcPr>
            <w:tcW w:w="708" w:type="dxa"/>
            <w:tcBorders>
              <w:top w:val="nil"/>
              <w:left w:val="nil"/>
              <w:bottom w:val="nil"/>
              <w:right w:val="nil"/>
            </w:tcBorders>
          </w:tcPr>
          <w:p w14:paraId="276ABC98" w14:textId="77777777" w:rsidR="008F51DC" w:rsidRPr="00CA3946" w:rsidRDefault="008F51DC" w:rsidP="008F51DC">
            <w:pPr>
              <w:pStyle w:val="TCTableBody"/>
              <w:rPr>
                <w:lang w:val="en-US"/>
              </w:rPr>
            </w:pPr>
            <w:r w:rsidRPr="00CA3946">
              <w:rPr>
                <w:lang w:val="en-US"/>
              </w:rPr>
              <w:t>-</w:t>
            </w:r>
          </w:p>
        </w:tc>
        <w:tc>
          <w:tcPr>
            <w:tcW w:w="426" w:type="dxa"/>
            <w:tcBorders>
              <w:top w:val="nil"/>
              <w:left w:val="nil"/>
              <w:bottom w:val="nil"/>
              <w:right w:val="nil"/>
            </w:tcBorders>
          </w:tcPr>
          <w:p w14:paraId="44D1E62A" w14:textId="77777777" w:rsidR="008F51DC" w:rsidRPr="00CA3946" w:rsidRDefault="008F51DC" w:rsidP="008F51DC">
            <w:pPr>
              <w:pStyle w:val="TCTableBody"/>
              <w:rPr>
                <w:lang w:val="en-US"/>
              </w:rPr>
            </w:pPr>
            <w:r w:rsidRPr="00CA3946">
              <w:rPr>
                <w:lang w:val="en-US"/>
              </w:rPr>
              <w:t>-</w:t>
            </w:r>
          </w:p>
        </w:tc>
        <w:tc>
          <w:tcPr>
            <w:tcW w:w="425" w:type="dxa"/>
            <w:tcBorders>
              <w:top w:val="nil"/>
              <w:left w:val="nil"/>
              <w:bottom w:val="nil"/>
              <w:right w:val="nil"/>
            </w:tcBorders>
          </w:tcPr>
          <w:p w14:paraId="4377B605" w14:textId="77777777" w:rsidR="008F51DC" w:rsidRPr="00CA3946" w:rsidRDefault="008F51DC" w:rsidP="008F51DC">
            <w:pPr>
              <w:pStyle w:val="TCTableBody"/>
              <w:rPr>
                <w:lang w:val="en-US"/>
              </w:rPr>
            </w:pPr>
            <w:r w:rsidRPr="00CA3946">
              <w:rPr>
                <w:lang w:val="en-US"/>
              </w:rPr>
              <w:t>4</w:t>
            </w:r>
            <w:r w:rsidRPr="00CA3946">
              <w:rPr>
                <w:vertAlign w:val="superscript"/>
                <w:lang w:val="en-US"/>
              </w:rPr>
              <w:t>d</w:t>
            </w:r>
          </w:p>
        </w:tc>
        <w:tc>
          <w:tcPr>
            <w:tcW w:w="283" w:type="dxa"/>
            <w:tcBorders>
              <w:top w:val="nil"/>
              <w:left w:val="nil"/>
              <w:bottom w:val="nil"/>
              <w:right w:val="nil"/>
            </w:tcBorders>
          </w:tcPr>
          <w:p w14:paraId="628EB2B5" w14:textId="77777777" w:rsidR="008F51DC" w:rsidRPr="00CA3946" w:rsidRDefault="008F51DC" w:rsidP="008F51DC">
            <w:pPr>
              <w:pStyle w:val="TCTableBody"/>
              <w:rPr>
                <w:lang w:val="en-US"/>
              </w:rPr>
            </w:pPr>
          </w:p>
        </w:tc>
        <w:tc>
          <w:tcPr>
            <w:tcW w:w="1063" w:type="dxa"/>
            <w:tcBorders>
              <w:top w:val="nil"/>
              <w:left w:val="nil"/>
              <w:bottom w:val="nil"/>
              <w:right w:val="nil"/>
            </w:tcBorders>
          </w:tcPr>
          <w:p w14:paraId="176AC23E" w14:textId="77777777" w:rsidR="008F51DC" w:rsidRPr="00CA3946" w:rsidRDefault="008F51DC" w:rsidP="008F51DC">
            <w:pPr>
              <w:pStyle w:val="TCTableBody"/>
              <w:rPr>
                <w:lang w:val="en-US"/>
              </w:rPr>
            </w:pPr>
            <w:r w:rsidRPr="00CA3946">
              <w:rPr>
                <w:lang w:val="en-US"/>
              </w:rPr>
              <w:t>-</w:t>
            </w:r>
          </w:p>
        </w:tc>
        <w:tc>
          <w:tcPr>
            <w:tcW w:w="1205" w:type="dxa"/>
            <w:tcBorders>
              <w:top w:val="nil"/>
              <w:left w:val="nil"/>
              <w:bottom w:val="nil"/>
              <w:right w:val="nil"/>
            </w:tcBorders>
          </w:tcPr>
          <w:p w14:paraId="75AA7AFE" w14:textId="77777777" w:rsidR="008F51DC" w:rsidRPr="00CA3946" w:rsidRDefault="008F51DC" w:rsidP="008F51DC">
            <w:pPr>
              <w:pStyle w:val="TCTableBody"/>
              <w:rPr>
                <w:lang w:val="en-US"/>
              </w:rPr>
            </w:pPr>
            <w:r w:rsidRPr="00CA3946">
              <w:rPr>
                <w:lang w:val="en-US"/>
              </w:rPr>
              <w:t>-</w:t>
            </w:r>
          </w:p>
        </w:tc>
      </w:tr>
      <w:tr w:rsidR="008F51DC" w:rsidRPr="00CA3946" w14:paraId="68258128" w14:textId="77777777" w:rsidTr="008F51DC">
        <w:trPr>
          <w:jc w:val="center"/>
        </w:trPr>
        <w:tc>
          <w:tcPr>
            <w:tcW w:w="1418" w:type="dxa"/>
            <w:tcBorders>
              <w:top w:val="nil"/>
              <w:left w:val="nil"/>
              <w:bottom w:val="nil"/>
              <w:right w:val="nil"/>
            </w:tcBorders>
          </w:tcPr>
          <w:p w14:paraId="564550A6" w14:textId="77777777" w:rsidR="008F51DC" w:rsidRPr="00CA3946" w:rsidRDefault="008F51DC" w:rsidP="008F51DC">
            <w:pPr>
              <w:pStyle w:val="TCTableBody"/>
              <w:rPr>
                <w:lang w:val="en-US"/>
              </w:rPr>
            </w:pPr>
            <w:r w:rsidRPr="00CA3946">
              <w:rPr>
                <w:lang w:val="en-US"/>
              </w:rPr>
              <w:t>1% Pd/NiO</w:t>
            </w:r>
          </w:p>
        </w:tc>
        <w:tc>
          <w:tcPr>
            <w:tcW w:w="817" w:type="dxa"/>
            <w:tcBorders>
              <w:top w:val="nil"/>
              <w:left w:val="nil"/>
              <w:bottom w:val="nil"/>
              <w:right w:val="nil"/>
            </w:tcBorders>
          </w:tcPr>
          <w:p w14:paraId="3C33DB74" w14:textId="77777777" w:rsidR="008F51DC" w:rsidRPr="00CA3946" w:rsidRDefault="008F51DC" w:rsidP="008F51DC">
            <w:pPr>
              <w:pStyle w:val="TCTableBody"/>
              <w:rPr>
                <w:lang w:val="en-US"/>
              </w:rPr>
            </w:pPr>
            <w:r w:rsidRPr="00CA3946">
              <w:rPr>
                <w:lang w:val="en-US"/>
              </w:rPr>
              <w:t>470</w:t>
            </w:r>
          </w:p>
        </w:tc>
        <w:tc>
          <w:tcPr>
            <w:tcW w:w="567" w:type="dxa"/>
            <w:tcBorders>
              <w:top w:val="nil"/>
              <w:left w:val="nil"/>
              <w:bottom w:val="nil"/>
              <w:right w:val="nil"/>
            </w:tcBorders>
          </w:tcPr>
          <w:p w14:paraId="2C76C13E" w14:textId="77777777" w:rsidR="008F51DC" w:rsidRPr="00CA3946" w:rsidRDefault="008F51DC" w:rsidP="008F51DC">
            <w:pPr>
              <w:pStyle w:val="TCTableBody"/>
              <w:rPr>
                <w:lang w:val="en-US"/>
              </w:rPr>
            </w:pPr>
            <w:r w:rsidRPr="00CA3946">
              <w:rPr>
                <w:lang w:val="en-US"/>
              </w:rPr>
              <w:t>14</w:t>
            </w:r>
          </w:p>
        </w:tc>
        <w:tc>
          <w:tcPr>
            <w:tcW w:w="709" w:type="dxa"/>
            <w:tcBorders>
              <w:top w:val="nil"/>
              <w:left w:val="nil"/>
              <w:bottom w:val="nil"/>
              <w:right w:val="nil"/>
            </w:tcBorders>
          </w:tcPr>
          <w:p w14:paraId="62E021AA" w14:textId="77777777" w:rsidR="008F51DC" w:rsidRPr="00CA3946" w:rsidRDefault="008F51DC" w:rsidP="008F51DC">
            <w:pPr>
              <w:pStyle w:val="TCTableBody"/>
              <w:rPr>
                <w:lang w:val="en-US"/>
              </w:rPr>
            </w:pPr>
            <w:r w:rsidRPr="00CA3946">
              <w:rPr>
                <w:lang w:val="en-US"/>
              </w:rPr>
              <w:t>72</w:t>
            </w:r>
          </w:p>
        </w:tc>
        <w:tc>
          <w:tcPr>
            <w:tcW w:w="567" w:type="dxa"/>
            <w:tcBorders>
              <w:top w:val="nil"/>
              <w:left w:val="nil"/>
              <w:bottom w:val="nil"/>
              <w:right w:val="nil"/>
            </w:tcBorders>
          </w:tcPr>
          <w:p w14:paraId="4B787529" w14:textId="77777777" w:rsidR="008F51DC" w:rsidRPr="00CA3946" w:rsidRDefault="008F51DC" w:rsidP="008F51DC">
            <w:pPr>
              <w:pStyle w:val="TCTableBody"/>
              <w:rPr>
                <w:lang w:val="en-US"/>
              </w:rPr>
            </w:pPr>
            <w:r w:rsidRPr="00CA3946">
              <w:rPr>
                <w:lang w:val="en-US"/>
              </w:rPr>
              <w:t>1</w:t>
            </w:r>
          </w:p>
        </w:tc>
        <w:tc>
          <w:tcPr>
            <w:tcW w:w="851" w:type="dxa"/>
            <w:tcBorders>
              <w:top w:val="nil"/>
              <w:left w:val="nil"/>
              <w:bottom w:val="nil"/>
              <w:right w:val="nil"/>
            </w:tcBorders>
          </w:tcPr>
          <w:p w14:paraId="67339024" w14:textId="77777777" w:rsidR="008F51DC" w:rsidRPr="00CA3946" w:rsidRDefault="008F51DC" w:rsidP="008F51DC">
            <w:pPr>
              <w:pStyle w:val="TCTableBody"/>
              <w:rPr>
                <w:lang w:val="en-US"/>
              </w:rPr>
            </w:pPr>
            <w:r w:rsidRPr="00CA3946">
              <w:rPr>
                <w:lang w:val="en-US"/>
              </w:rPr>
              <w:t>5</w:t>
            </w:r>
          </w:p>
        </w:tc>
        <w:tc>
          <w:tcPr>
            <w:tcW w:w="708" w:type="dxa"/>
            <w:tcBorders>
              <w:top w:val="nil"/>
              <w:left w:val="nil"/>
              <w:bottom w:val="nil"/>
              <w:right w:val="nil"/>
            </w:tcBorders>
          </w:tcPr>
          <w:p w14:paraId="402DA4A6" w14:textId="77777777" w:rsidR="008F51DC" w:rsidRPr="00CA3946" w:rsidRDefault="008F51DC" w:rsidP="008F51DC">
            <w:pPr>
              <w:pStyle w:val="TCTableBody"/>
              <w:rPr>
                <w:lang w:val="en-US"/>
              </w:rPr>
            </w:pPr>
            <w:r w:rsidRPr="00CA3946">
              <w:rPr>
                <w:lang w:val="en-US"/>
              </w:rPr>
              <w:t>1</w:t>
            </w:r>
          </w:p>
        </w:tc>
        <w:tc>
          <w:tcPr>
            <w:tcW w:w="426" w:type="dxa"/>
            <w:tcBorders>
              <w:top w:val="nil"/>
              <w:left w:val="nil"/>
              <w:bottom w:val="nil"/>
              <w:right w:val="nil"/>
            </w:tcBorders>
          </w:tcPr>
          <w:p w14:paraId="3212398A" w14:textId="77777777" w:rsidR="008F51DC" w:rsidRPr="00CA3946" w:rsidRDefault="008F51DC" w:rsidP="008F51DC">
            <w:pPr>
              <w:pStyle w:val="TCTableBody"/>
              <w:rPr>
                <w:lang w:val="en-US"/>
              </w:rPr>
            </w:pPr>
            <w:r w:rsidRPr="00CA3946">
              <w:rPr>
                <w:lang w:val="en-US"/>
              </w:rPr>
              <w:t>-</w:t>
            </w:r>
          </w:p>
        </w:tc>
        <w:tc>
          <w:tcPr>
            <w:tcW w:w="425" w:type="dxa"/>
            <w:tcBorders>
              <w:top w:val="nil"/>
              <w:left w:val="nil"/>
              <w:bottom w:val="nil"/>
              <w:right w:val="nil"/>
            </w:tcBorders>
          </w:tcPr>
          <w:p w14:paraId="003636AF" w14:textId="77777777" w:rsidR="008F51DC" w:rsidRPr="00CA3946" w:rsidRDefault="008F51DC" w:rsidP="008F51DC">
            <w:pPr>
              <w:pStyle w:val="TCTableBody"/>
              <w:rPr>
                <w:lang w:val="en-US"/>
              </w:rPr>
            </w:pPr>
            <w:r w:rsidRPr="00CA3946">
              <w:rPr>
                <w:lang w:val="en-US"/>
              </w:rPr>
              <w:t>3</w:t>
            </w:r>
          </w:p>
        </w:tc>
        <w:tc>
          <w:tcPr>
            <w:tcW w:w="283" w:type="dxa"/>
            <w:tcBorders>
              <w:top w:val="nil"/>
              <w:left w:val="nil"/>
              <w:bottom w:val="nil"/>
              <w:right w:val="nil"/>
            </w:tcBorders>
          </w:tcPr>
          <w:p w14:paraId="3ADC78FE" w14:textId="77777777" w:rsidR="008F51DC" w:rsidRPr="00CA3946" w:rsidRDefault="008F51DC" w:rsidP="008F51DC">
            <w:pPr>
              <w:pStyle w:val="TCTableBody"/>
              <w:rPr>
                <w:lang w:val="en-US"/>
              </w:rPr>
            </w:pPr>
          </w:p>
        </w:tc>
        <w:tc>
          <w:tcPr>
            <w:tcW w:w="1063" w:type="dxa"/>
            <w:tcBorders>
              <w:top w:val="nil"/>
              <w:left w:val="nil"/>
              <w:bottom w:val="nil"/>
              <w:right w:val="nil"/>
            </w:tcBorders>
          </w:tcPr>
          <w:p w14:paraId="371A8290" w14:textId="77777777" w:rsidR="008F51DC" w:rsidRPr="00CA3946" w:rsidRDefault="008F51DC" w:rsidP="008F51DC">
            <w:pPr>
              <w:pStyle w:val="TCTableBody"/>
              <w:rPr>
                <w:lang w:val="en-US"/>
              </w:rPr>
            </w:pPr>
            <w:r w:rsidRPr="00CA3946">
              <w:rPr>
                <w:lang w:val="en-US"/>
              </w:rPr>
              <w:t>3.1</w:t>
            </w:r>
          </w:p>
        </w:tc>
        <w:tc>
          <w:tcPr>
            <w:tcW w:w="1205" w:type="dxa"/>
            <w:tcBorders>
              <w:top w:val="nil"/>
              <w:left w:val="nil"/>
              <w:bottom w:val="nil"/>
              <w:right w:val="nil"/>
            </w:tcBorders>
          </w:tcPr>
          <w:p w14:paraId="0F0FB1D2" w14:textId="77777777" w:rsidR="008F51DC" w:rsidRPr="00CA3946" w:rsidRDefault="008F51DC" w:rsidP="008F51DC">
            <w:pPr>
              <w:pStyle w:val="TCTableBody"/>
              <w:rPr>
                <w:lang w:val="en-US"/>
              </w:rPr>
            </w:pPr>
            <w:r w:rsidRPr="00CA3946">
              <w:rPr>
                <w:lang w:val="en-US"/>
              </w:rPr>
              <w:t>0.5</w:t>
            </w:r>
          </w:p>
        </w:tc>
      </w:tr>
      <w:tr w:rsidR="008F51DC" w:rsidRPr="00CA3946" w14:paraId="35860E13" w14:textId="77777777" w:rsidTr="008F51DC">
        <w:trPr>
          <w:jc w:val="center"/>
        </w:trPr>
        <w:tc>
          <w:tcPr>
            <w:tcW w:w="1418" w:type="dxa"/>
            <w:tcBorders>
              <w:top w:val="nil"/>
              <w:left w:val="nil"/>
              <w:bottom w:val="single" w:sz="4" w:space="0" w:color="auto"/>
              <w:right w:val="nil"/>
            </w:tcBorders>
          </w:tcPr>
          <w:p w14:paraId="01D8BA65" w14:textId="77777777" w:rsidR="008F51DC" w:rsidRPr="00CA3946" w:rsidRDefault="008F51DC" w:rsidP="008F51DC">
            <w:pPr>
              <w:pStyle w:val="TCTableBody"/>
              <w:rPr>
                <w:lang w:val="en-US"/>
              </w:rPr>
            </w:pPr>
            <w:r w:rsidRPr="00CA3946">
              <w:rPr>
                <w:lang w:val="en-US"/>
              </w:rPr>
              <w:t>1% Pd/TiO</w:t>
            </w:r>
            <w:r w:rsidRPr="00CA3946">
              <w:rPr>
                <w:vertAlign w:val="subscript"/>
                <w:lang w:val="en-US"/>
              </w:rPr>
              <w:t>2</w:t>
            </w:r>
          </w:p>
        </w:tc>
        <w:tc>
          <w:tcPr>
            <w:tcW w:w="817" w:type="dxa"/>
            <w:tcBorders>
              <w:top w:val="nil"/>
              <w:left w:val="nil"/>
              <w:bottom w:val="single" w:sz="4" w:space="0" w:color="auto"/>
              <w:right w:val="nil"/>
            </w:tcBorders>
          </w:tcPr>
          <w:p w14:paraId="72736684" w14:textId="77777777" w:rsidR="008F51DC" w:rsidRPr="00CA3946" w:rsidRDefault="008F51DC" w:rsidP="008F51DC">
            <w:pPr>
              <w:pStyle w:val="TCTableBody"/>
              <w:rPr>
                <w:lang w:val="en-US"/>
              </w:rPr>
            </w:pPr>
            <w:r w:rsidRPr="00CA3946">
              <w:rPr>
                <w:lang w:val="en-US"/>
              </w:rPr>
              <w:t>321</w:t>
            </w:r>
          </w:p>
        </w:tc>
        <w:tc>
          <w:tcPr>
            <w:tcW w:w="567" w:type="dxa"/>
            <w:tcBorders>
              <w:top w:val="nil"/>
              <w:left w:val="nil"/>
              <w:bottom w:val="single" w:sz="4" w:space="0" w:color="auto"/>
              <w:right w:val="nil"/>
            </w:tcBorders>
          </w:tcPr>
          <w:p w14:paraId="5030CE24" w14:textId="77777777" w:rsidR="008F51DC" w:rsidRPr="00CA3946" w:rsidRDefault="008F51DC" w:rsidP="008F51DC">
            <w:pPr>
              <w:pStyle w:val="TCTableBody"/>
              <w:rPr>
                <w:lang w:val="en-US"/>
              </w:rPr>
            </w:pPr>
            <w:r w:rsidRPr="00CA3946">
              <w:rPr>
                <w:lang w:val="en-US"/>
              </w:rPr>
              <w:t>67</w:t>
            </w:r>
          </w:p>
        </w:tc>
        <w:tc>
          <w:tcPr>
            <w:tcW w:w="709" w:type="dxa"/>
            <w:tcBorders>
              <w:top w:val="nil"/>
              <w:left w:val="nil"/>
              <w:bottom w:val="single" w:sz="4" w:space="0" w:color="auto"/>
              <w:right w:val="nil"/>
            </w:tcBorders>
          </w:tcPr>
          <w:p w14:paraId="7B61131E" w14:textId="77777777" w:rsidR="008F51DC" w:rsidRPr="00CA3946" w:rsidRDefault="008F51DC" w:rsidP="008F51DC">
            <w:pPr>
              <w:pStyle w:val="TCTableBody"/>
              <w:rPr>
                <w:lang w:val="en-US"/>
              </w:rPr>
            </w:pPr>
            <w:r w:rsidRPr="00CA3946">
              <w:rPr>
                <w:lang w:val="en-US"/>
              </w:rPr>
              <w:t>23</w:t>
            </w:r>
          </w:p>
        </w:tc>
        <w:tc>
          <w:tcPr>
            <w:tcW w:w="567" w:type="dxa"/>
            <w:tcBorders>
              <w:top w:val="nil"/>
              <w:left w:val="nil"/>
              <w:bottom w:val="single" w:sz="4" w:space="0" w:color="auto"/>
              <w:right w:val="nil"/>
            </w:tcBorders>
          </w:tcPr>
          <w:p w14:paraId="56275025" w14:textId="77777777" w:rsidR="008F51DC" w:rsidRPr="00CA3946" w:rsidRDefault="008F51DC" w:rsidP="008F51DC">
            <w:pPr>
              <w:pStyle w:val="TCTableBody"/>
              <w:rPr>
                <w:lang w:val="en-US"/>
              </w:rPr>
            </w:pPr>
            <w:r w:rsidRPr="00CA3946">
              <w:rPr>
                <w:lang w:val="en-US"/>
              </w:rPr>
              <w:t>-</w:t>
            </w:r>
          </w:p>
        </w:tc>
        <w:tc>
          <w:tcPr>
            <w:tcW w:w="851" w:type="dxa"/>
            <w:tcBorders>
              <w:top w:val="nil"/>
              <w:left w:val="nil"/>
              <w:bottom w:val="single" w:sz="4" w:space="0" w:color="auto"/>
              <w:right w:val="nil"/>
            </w:tcBorders>
          </w:tcPr>
          <w:p w14:paraId="3D3A8B29" w14:textId="77777777" w:rsidR="008F51DC" w:rsidRPr="00CA3946" w:rsidRDefault="008F51DC" w:rsidP="008F51DC">
            <w:pPr>
              <w:pStyle w:val="TCTableBody"/>
              <w:rPr>
                <w:lang w:val="en-US"/>
              </w:rPr>
            </w:pPr>
            <w:r w:rsidRPr="00CA3946">
              <w:rPr>
                <w:lang w:val="en-US"/>
              </w:rPr>
              <w:t>-</w:t>
            </w:r>
          </w:p>
        </w:tc>
        <w:tc>
          <w:tcPr>
            <w:tcW w:w="708" w:type="dxa"/>
            <w:tcBorders>
              <w:top w:val="nil"/>
              <w:left w:val="nil"/>
              <w:bottom w:val="single" w:sz="4" w:space="0" w:color="auto"/>
              <w:right w:val="nil"/>
            </w:tcBorders>
          </w:tcPr>
          <w:p w14:paraId="09F97712" w14:textId="77777777" w:rsidR="008F51DC" w:rsidRPr="00CA3946" w:rsidRDefault="008F51DC" w:rsidP="008F51DC">
            <w:pPr>
              <w:pStyle w:val="TCTableBody"/>
              <w:rPr>
                <w:lang w:val="en-US"/>
              </w:rPr>
            </w:pPr>
            <w:r w:rsidRPr="00CA3946">
              <w:rPr>
                <w:lang w:val="en-US"/>
              </w:rPr>
              <w:t>1</w:t>
            </w:r>
          </w:p>
        </w:tc>
        <w:tc>
          <w:tcPr>
            <w:tcW w:w="426" w:type="dxa"/>
            <w:tcBorders>
              <w:top w:val="nil"/>
              <w:left w:val="nil"/>
              <w:bottom w:val="single" w:sz="4" w:space="0" w:color="auto"/>
              <w:right w:val="nil"/>
            </w:tcBorders>
          </w:tcPr>
          <w:p w14:paraId="4259927B" w14:textId="77777777" w:rsidR="008F51DC" w:rsidRPr="00CA3946" w:rsidRDefault="008F51DC" w:rsidP="008F51DC">
            <w:pPr>
              <w:pStyle w:val="TCTableBody"/>
              <w:rPr>
                <w:lang w:val="en-US"/>
              </w:rPr>
            </w:pPr>
            <w:r w:rsidRPr="00CA3946">
              <w:rPr>
                <w:lang w:val="en-US"/>
              </w:rPr>
              <w:t>5</w:t>
            </w:r>
          </w:p>
        </w:tc>
        <w:tc>
          <w:tcPr>
            <w:tcW w:w="425" w:type="dxa"/>
            <w:tcBorders>
              <w:top w:val="nil"/>
              <w:left w:val="nil"/>
              <w:bottom w:val="single" w:sz="4" w:space="0" w:color="auto"/>
              <w:right w:val="nil"/>
            </w:tcBorders>
          </w:tcPr>
          <w:p w14:paraId="01554138" w14:textId="77777777" w:rsidR="008F51DC" w:rsidRPr="00CA3946" w:rsidRDefault="008F51DC" w:rsidP="008F51DC">
            <w:pPr>
              <w:pStyle w:val="TCTableBody"/>
              <w:rPr>
                <w:lang w:val="en-US"/>
              </w:rPr>
            </w:pPr>
            <w:r w:rsidRPr="00CA3946">
              <w:rPr>
                <w:lang w:val="en-US"/>
              </w:rPr>
              <w:t>-</w:t>
            </w:r>
          </w:p>
        </w:tc>
        <w:tc>
          <w:tcPr>
            <w:tcW w:w="283" w:type="dxa"/>
            <w:tcBorders>
              <w:top w:val="nil"/>
              <w:left w:val="nil"/>
              <w:bottom w:val="single" w:sz="4" w:space="0" w:color="auto"/>
              <w:right w:val="nil"/>
            </w:tcBorders>
          </w:tcPr>
          <w:p w14:paraId="3EB3AE3A" w14:textId="77777777" w:rsidR="008F51DC" w:rsidRPr="00CA3946" w:rsidRDefault="008F51DC" w:rsidP="008F51DC">
            <w:pPr>
              <w:pStyle w:val="TCTableBody"/>
              <w:rPr>
                <w:lang w:val="en-US"/>
              </w:rPr>
            </w:pPr>
          </w:p>
        </w:tc>
        <w:tc>
          <w:tcPr>
            <w:tcW w:w="1063" w:type="dxa"/>
            <w:tcBorders>
              <w:top w:val="nil"/>
              <w:left w:val="nil"/>
              <w:bottom w:val="single" w:sz="4" w:space="0" w:color="auto"/>
              <w:right w:val="nil"/>
            </w:tcBorders>
          </w:tcPr>
          <w:p w14:paraId="0E2FB959" w14:textId="77777777" w:rsidR="008F51DC" w:rsidRPr="00CA3946" w:rsidRDefault="008F51DC" w:rsidP="008F51DC">
            <w:pPr>
              <w:pStyle w:val="TCTableBody"/>
              <w:rPr>
                <w:lang w:val="en-US"/>
              </w:rPr>
            </w:pPr>
            <w:r w:rsidRPr="00CA3946">
              <w:rPr>
                <w:lang w:val="en-US"/>
              </w:rPr>
              <w:t>2.7</w:t>
            </w:r>
          </w:p>
        </w:tc>
        <w:tc>
          <w:tcPr>
            <w:tcW w:w="1205" w:type="dxa"/>
            <w:tcBorders>
              <w:top w:val="nil"/>
              <w:left w:val="nil"/>
              <w:bottom w:val="single" w:sz="4" w:space="0" w:color="auto"/>
              <w:right w:val="nil"/>
            </w:tcBorders>
          </w:tcPr>
          <w:p w14:paraId="57E634D7" w14:textId="77777777" w:rsidR="008F51DC" w:rsidRPr="00CA3946" w:rsidRDefault="008F51DC" w:rsidP="008F51DC">
            <w:pPr>
              <w:pStyle w:val="TCTableBody"/>
              <w:rPr>
                <w:lang w:val="en-US"/>
              </w:rPr>
            </w:pPr>
            <w:r w:rsidRPr="00CA3946">
              <w:rPr>
                <w:lang w:val="en-US"/>
              </w:rPr>
              <w:t>0.9</w:t>
            </w:r>
          </w:p>
        </w:tc>
      </w:tr>
    </w:tbl>
    <w:p w14:paraId="72D6ACF1" w14:textId="652959E0" w:rsidR="008F51DC" w:rsidRPr="00CA3946" w:rsidRDefault="00CA6C20" w:rsidP="008F51DC">
      <w:pPr>
        <w:pStyle w:val="FETableFootnote"/>
      </w:pPr>
      <w:r w:rsidRPr="00CA3946">
        <w:rPr>
          <w:noProof/>
          <w:sz w:val="16"/>
          <w:szCs w:val="16"/>
          <w:lang w:val="en-GB" w:eastAsia="en-GB"/>
        </w:rPr>
        <w:drawing>
          <wp:anchor distT="0" distB="0" distL="114300" distR="114300" simplePos="0" relativeHeight="251646464" behindDoc="0" locked="0" layoutInCell="1" allowOverlap="1" wp14:anchorId="4556CE76" wp14:editId="2E3B672D">
            <wp:simplePos x="0" y="0"/>
            <wp:positionH relativeFrom="column">
              <wp:posOffset>-5715</wp:posOffset>
            </wp:positionH>
            <wp:positionV relativeFrom="paragraph">
              <wp:posOffset>787400</wp:posOffset>
            </wp:positionV>
            <wp:extent cx="3059430" cy="1525905"/>
            <wp:effectExtent l="0" t="0" r="7620" b="0"/>
            <wp:wrapTopAndBottom/>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a:extLst>
                        <a:ext uri="{28A0092B-C50C-407E-A947-70E740481C1C}">
                          <a14:useLocalDpi xmlns:a14="http://schemas.microsoft.com/office/drawing/2010/main" val="0"/>
                        </a:ext>
                      </a:extLst>
                    </a:blip>
                    <a:stretch>
                      <a:fillRect/>
                    </a:stretch>
                  </pic:blipFill>
                  <pic:spPr>
                    <a:xfrm>
                      <a:off x="0" y="0"/>
                      <a:ext cx="3059430" cy="1525905"/>
                    </a:xfrm>
                    <a:prstGeom prst="rect">
                      <a:avLst/>
                    </a:prstGeom>
                  </pic:spPr>
                </pic:pic>
              </a:graphicData>
            </a:graphic>
            <wp14:sizeRelH relativeFrom="margin">
              <wp14:pctWidth>0</wp14:pctWidth>
            </wp14:sizeRelH>
            <wp14:sizeRelV relativeFrom="margin">
              <wp14:pctHeight>0</wp14:pctHeight>
            </wp14:sizeRelV>
          </wp:anchor>
        </w:drawing>
      </w:r>
      <w:r w:rsidR="008F51DC" w:rsidRPr="00CA3946">
        <w:t>FA = fu</w:t>
      </w:r>
      <w:r w:rsidR="00744166" w:rsidRPr="00CA3946">
        <w:t>r</w:t>
      </w:r>
      <w:r w:rsidR="008F51DC" w:rsidRPr="00CA3946">
        <w:t xml:space="preserve">furyl alcohol, THFA = tetrahydrofurfuryl alcohol, 2-MF = 2-methylfuran, 2-MTHF = 2-methyltetrahydrofuran. </w:t>
      </w:r>
      <w:r w:rsidR="008F51DC" w:rsidRPr="00CA3946">
        <w:rPr>
          <w:vertAlign w:val="superscript"/>
        </w:rPr>
        <w:t>a</w:t>
      </w:r>
      <w:r w:rsidR="008F51DC" w:rsidRPr="00CA3946">
        <w:t xml:space="preserve"> Reaction conditions: Furfural = 0.3 M; F/metal ratio=500 </w:t>
      </w:r>
      <w:r w:rsidR="00744166" w:rsidRPr="00CA3946">
        <w:t>mol</w:t>
      </w:r>
      <w:r w:rsidR="008F51DC" w:rsidRPr="00CA3946">
        <w:t>/</w:t>
      </w:r>
      <w:r w:rsidR="00744166" w:rsidRPr="00CA3946">
        <w:t>mol</w:t>
      </w:r>
      <w:r w:rsidR="008F51DC" w:rsidRPr="00CA3946">
        <w:t>, 50°C, 5 bar H</w:t>
      </w:r>
      <w:r w:rsidR="008F51DC" w:rsidRPr="00CA3946">
        <w:rPr>
          <w:vertAlign w:val="subscript"/>
        </w:rPr>
        <w:t>2</w:t>
      </w:r>
      <w:r w:rsidR="008F51DC" w:rsidRPr="00CA3946">
        <w:t xml:space="preserve">, solvent 2-propranol. </w:t>
      </w:r>
      <w:r w:rsidR="008F51DC" w:rsidRPr="00CA3946">
        <w:rPr>
          <w:vertAlign w:val="superscript"/>
        </w:rPr>
        <w:t>b</w:t>
      </w:r>
      <w:r w:rsidR="008F51DC" w:rsidRPr="00CA3946">
        <w:t xml:space="preserve"> Mol of furfural converted per hour per mol of metal, calculated after 15 min reaction mol (metal mol)</w:t>
      </w:r>
      <w:r w:rsidR="008F51DC" w:rsidRPr="00CA3946">
        <w:rPr>
          <w:vertAlign w:val="superscript"/>
        </w:rPr>
        <w:t>-1</w:t>
      </w:r>
      <w:r w:rsidR="008F51DC" w:rsidRPr="00CA3946">
        <w:t xml:space="preserve"> h</w:t>
      </w:r>
      <w:r w:rsidR="008F51DC" w:rsidRPr="00CA3946">
        <w:rPr>
          <w:vertAlign w:val="superscript"/>
        </w:rPr>
        <w:t>-1</w:t>
      </w:r>
      <w:r w:rsidR="008F51DC" w:rsidRPr="00CA3946">
        <w:t xml:space="preserve">. </w:t>
      </w:r>
      <w:r w:rsidR="008F51DC" w:rsidRPr="00CA3946">
        <w:rPr>
          <w:vertAlign w:val="superscript"/>
        </w:rPr>
        <w:t>c</w:t>
      </w:r>
      <w:r w:rsidR="008F51DC" w:rsidRPr="00CA3946">
        <w:t xml:space="preserve"> Selectivity at 60% conversion. </w:t>
      </w:r>
      <w:r w:rsidR="008F51DC" w:rsidRPr="00CA3946">
        <w:rPr>
          <w:vertAlign w:val="superscript"/>
        </w:rPr>
        <w:t>d</w:t>
      </w:r>
      <w:r w:rsidR="008F51DC" w:rsidRPr="00CA3946">
        <w:t xml:space="preserve"> Selectivity at 10% conversion. </w:t>
      </w:r>
      <w:r w:rsidR="008F51DC" w:rsidRPr="00CA3946">
        <w:rPr>
          <w:vertAlign w:val="superscript"/>
        </w:rPr>
        <w:t>e</w:t>
      </w:r>
      <w:r w:rsidR="008F51DC" w:rsidRPr="00CA3946">
        <w:t xml:space="preserve"> Calculated using 300 particles. Histograms shown in Figure S5.</w:t>
      </w:r>
    </w:p>
    <w:p w14:paraId="30B582AD" w14:textId="77777777" w:rsidR="008F51DC" w:rsidRPr="00CA3946" w:rsidRDefault="008F51DC" w:rsidP="008F51DC">
      <w:pPr>
        <w:sectPr w:rsidR="008F51DC" w:rsidRPr="00CA3946" w:rsidSect="008F51DC">
          <w:type w:val="continuous"/>
          <w:pgSz w:w="12240" w:h="15840"/>
          <w:pgMar w:top="720" w:right="1094" w:bottom="720" w:left="1094" w:header="720" w:footer="720" w:gutter="0"/>
          <w:cols w:space="461"/>
        </w:sectPr>
      </w:pPr>
    </w:p>
    <w:p w14:paraId="3E62FAB1" w14:textId="58042BB4" w:rsidR="00860F8B" w:rsidRPr="00CA3946" w:rsidRDefault="00860F8B" w:rsidP="00860F8B">
      <w:pPr>
        <w:pStyle w:val="VAFigureCaption"/>
      </w:pPr>
      <w:r w:rsidRPr="00CA3946">
        <w:t>Figure 2. High-resolution STEM-HAADF images of 1 wt% Pd/NiO catalyst showing a crystalline particle (a) and sub nanometer species of Pd distributed across the support (b).</w:t>
      </w:r>
    </w:p>
    <w:p w14:paraId="76383BF4" w14:textId="77777777" w:rsidR="006B3D5F" w:rsidRPr="00CA3946" w:rsidRDefault="00DB1F84" w:rsidP="003D4A1F">
      <w:pPr>
        <w:pStyle w:val="TAMainText"/>
      </w:pPr>
      <w:r w:rsidRPr="00CA3946">
        <w:t>Although particle size is a valuable descriptor for catalytic activity there are other effects to consider. Notably, the distribution of discrete sites on metal nanoparticle surfaces and their inherent ability to promote catalytic transformations is also of significant importance. The surface characteristics of the Pd/TiO</w:t>
      </w:r>
      <w:r w:rsidRPr="00CA3946">
        <w:rPr>
          <w:vertAlign w:val="subscript"/>
        </w:rPr>
        <w:t>2</w:t>
      </w:r>
      <w:r w:rsidRPr="00CA3946">
        <w:t xml:space="preserve"> and Pd/NiO catalysts were assessed by a combination of CO adsorption and Fourier transform infrared (FTIR) spectroscopy (Figure 3).</w:t>
      </w:r>
    </w:p>
    <w:p w14:paraId="6660EFCE" w14:textId="1F7114AB" w:rsidR="00DD50AD" w:rsidRPr="00CA3946" w:rsidRDefault="00DB1F84" w:rsidP="00417E50">
      <w:pPr>
        <w:pStyle w:val="TAMainText"/>
        <w:rPr>
          <w:rFonts w:ascii="Times New Roman" w:hAnsi="Times New Roman"/>
          <w:b/>
          <w:noProof/>
          <w:szCs w:val="24"/>
        </w:rPr>
      </w:pPr>
      <w:r w:rsidRPr="00CA3946">
        <w:rPr>
          <w:noProof/>
          <w:lang w:val="en-GB" w:eastAsia="zh-CN"/>
        </w:rPr>
        <w:t xml:space="preserve">Before assigning the vibrational absorption bands on both catalysts there is a clear difference between the intensity of the absorption spectra; the data is normalized to mass of Pd and the reduced intensity for the Pd/NiO data is indicative of a smaller available Pd surface area in </w:t>
      </w:r>
      <w:r w:rsidRPr="00CA3946">
        <w:rPr>
          <w:noProof/>
          <w:lang w:val="en-GB" w:eastAsia="zh-CN"/>
        </w:rPr>
        <w:lastRenderedPageBreak/>
        <w:t>agreement with the TEM data. The signals at 2120 cm</w:t>
      </w:r>
      <w:r w:rsidRPr="00CA3946">
        <w:rPr>
          <w:noProof/>
          <w:vertAlign w:val="superscript"/>
          <w:lang w:val="en-GB" w:eastAsia="zh-CN"/>
        </w:rPr>
        <w:t>-1</w:t>
      </w:r>
      <w:r w:rsidRPr="00CA3946">
        <w:rPr>
          <w:noProof/>
          <w:lang w:val="en-GB" w:eastAsia="zh-CN"/>
        </w:rPr>
        <w:t xml:space="preserve"> and 2086 cm</w:t>
      </w:r>
      <w:r w:rsidRPr="00CA3946">
        <w:rPr>
          <w:noProof/>
          <w:vertAlign w:val="superscript"/>
          <w:lang w:val="en-GB" w:eastAsia="zh-CN"/>
        </w:rPr>
        <w:t>−1</w:t>
      </w:r>
      <w:r w:rsidRPr="00CA3946">
        <w:rPr>
          <w:noProof/>
          <w:lang w:val="en-GB" w:eastAsia="zh-CN"/>
        </w:rPr>
        <w:t xml:space="preserve"> are </w:t>
      </w:r>
      <w:bookmarkStart w:id="1" w:name="_Hlk34342813"/>
      <w:r w:rsidRPr="00CA3946">
        <w:rPr>
          <w:noProof/>
          <w:lang w:val="en-GB" w:eastAsia="zh-CN"/>
        </w:rPr>
        <w:t>ascribed to CO linearly bound to Pd</w:t>
      </w:r>
      <w:r w:rsidRPr="00CA3946">
        <w:rPr>
          <w:noProof/>
          <w:vertAlign w:val="superscript"/>
          <w:lang w:val="en-GB" w:eastAsia="zh-CN"/>
        </w:rPr>
        <w:t>+</w:t>
      </w:r>
      <w:r w:rsidRPr="00CA3946">
        <w:rPr>
          <w:noProof/>
          <w:lang w:val="en-GB" w:eastAsia="zh-CN"/>
        </w:rPr>
        <w:t xml:space="preserve"> </w:t>
      </w:r>
      <w:bookmarkEnd w:id="1"/>
      <w:r w:rsidRPr="00CA3946">
        <w:rPr>
          <w:noProof/>
          <w:lang w:val="en-GB" w:eastAsia="zh-CN"/>
        </w:rPr>
        <w:t>and Pd particle corners, respectively.</w:t>
      </w:r>
      <w:r w:rsidRPr="00CA3946">
        <w:rPr>
          <w:noProof/>
          <w:vertAlign w:val="superscript"/>
          <w:lang w:val="en-GB" w:eastAsia="zh-CN"/>
        </w:rPr>
        <w:t>42</w:t>
      </w:r>
      <w:r w:rsidRPr="00CA3946">
        <w:rPr>
          <w:noProof/>
          <w:lang w:val="en-GB" w:eastAsia="zh-CN"/>
        </w:rPr>
        <w:t xml:space="preserve"> The signal at 1985 cm</w:t>
      </w:r>
      <w:r w:rsidRPr="00CA3946">
        <w:rPr>
          <w:noProof/>
          <w:vertAlign w:val="superscript"/>
          <w:lang w:val="en-GB" w:eastAsia="zh-CN"/>
        </w:rPr>
        <w:t>−1</w:t>
      </w:r>
      <w:r w:rsidRPr="00CA3946">
        <w:rPr>
          <w:noProof/>
          <w:lang w:val="en-GB" w:eastAsia="zh-CN"/>
        </w:rPr>
        <w:t xml:space="preserve"> is related to bridge-bonded CO on Pd facets, whereas that at 1945</w:t>
      </w:r>
      <w:r w:rsidR="00E1727A" w:rsidRPr="00CA3946">
        <w:rPr>
          <w:noProof/>
          <w:lang w:val="en-GB" w:eastAsia="zh-CN"/>
        </w:rPr>
        <w:t xml:space="preserve"> </w:t>
      </w:r>
      <w:r w:rsidRPr="00CA3946">
        <w:rPr>
          <w:noProof/>
          <w:lang w:val="en-GB" w:eastAsia="zh-CN"/>
        </w:rPr>
        <w:t>cm</w:t>
      </w:r>
      <w:r w:rsidRPr="00CA3946">
        <w:rPr>
          <w:noProof/>
          <w:vertAlign w:val="superscript"/>
          <w:lang w:val="en-GB" w:eastAsia="zh-CN"/>
        </w:rPr>
        <w:t>−1</w:t>
      </w:r>
      <w:r w:rsidRPr="00CA3946">
        <w:rPr>
          <w:noProof/>
          <w:lang w:val="en-GB" w:eastAsia="zh-CN"/>
        </w:rPr>
        <w:t xml:space="preserve"> is attributed to bridge-bonded CO on Pd edges.</w:t>
      </w:r>
      <w:r w:rsidR="00417E50" w:rsidRPr="00CA3946">
        <w:rPr>
          <w:noProof/>
          <w:lang w:val="en-GB" w:eastAsia="zh-CN"/>
        </w:rPr>
        <w:fldChar w:fldCharType="begin" w:fldLock="1"/>
      </w:r>
      <w:r w:rsidR="0097007D" w:rsidRPr="00CA3946">
        <w:rPr>
          <w:noProof/>
          <w:lang w:val="en-GB" w:eastAsia="zh-CN"/>
        </w:rPr>
        <w:instrText>ADDIN CSL_CITATION {"citationItems":[{"id":"ITEM-1","itemData":{"DOI":"10.1016/0021-9517(74)90081-5","ISSN":"10902694","abstract":"Infrared spectra of carbon monoxide adsorbed on supported PdAg alloys were investigated. CO is strongly chemisorbed only on the Pd atoms. The infrared spectra provide information of the relative abundance of diadsorbed (bridge bonded) and monoadsorbed (linear) CO (of importance for the \"ensemble effect\" of alloy catalysts); they also show to what extent the band frequency depends on the chemical nature of the metal atoms adjacent to the adsorbing Pd atom (\"the ligand effect\" of alloy catalysts). Three CO absorption bands were observed on Pd and on the alloys at ~2060, 1960 and 1920 cm-1. The most marked result is that the band frequency remains almost constant for Pd and PdAg alloys, but the relative intensities change in a very drastic manner. The 2060 cm-1 band which is ascribed to the linear CO complex and is rather weak for CO on Pd becomes the most important feature of the spectrum of CO on PdAg alloys where the bands characteristic for bridged CO are very faint. It thus appears that for this system the geometric \"ensemble effect\" is more pronounced than the \"ligand effect.\" We further conclude that Eischens' assignment of CO bands on transition metals is correct. © 1974.","author":[{"dropping-particle":"","family":"Soma-Noto","given":"Y.","non-dropping-particle":"","parse-names":false,"suffix":""},{"dropping-particle":"","family":"Sachtler","given":"W. M.H.","non-dropping-particle":"","parse-names":false,"suffix":""}],"container-title":"Journal of Catalysis","id":"ITEM-1","issue":"2","issued":{"date-parts":[["1974","2"]]},"page":"315-324","title":"Infrared spectra of carbon monoxide adsorbed on supported palladium and palladium-silver alloys","type":"article-journal","volume":"32"},"uris":["http://www.mendeley.com/documents/?uuid=4e110777-659e-4e53-b5e0-7f827035291e"]}],"mendeley":{"formattedCitation":"&lt;sup&gt;42&lt;/sup&gt;","plainTextFormattedCitation":"42","previouslyFormattedCitation":"&lt;sup&gt;42&lt;/sup&gt;"},"properties":{"noteIndex":0},"schema":"https://github.com/citation-style-language/schema/raw/master/csl-citation.json"}</w:instrText>
      </w:r>
      <w:r w:rsidR="00417E50" w:rsidRPr="00CA3946">
        <w:rPr>
          <w:noProof/>
          <w:lang w:val="en-GB" w:eastAsia="zh-CN"/>
        </w:rPr>
        <w:fldChar w:fldCharType="separate"/>
      </w:r>
      <w:r w:rsidR="00417E50" w:rsidRPr="00CA3946">
        <w:rPr>
          <w:noProof/>
          <w:vertAlign w:val="superscript"/>
          <w:lang w:val="en-GB" w:eastAsia="zh-CN"/>
        </w:rPr>
        <w:t>42</w:t>
      </w:r>
      <w:r w:rsidR="00417E50" w:rsidRPr="00CA3946">
        <w:rPr>
          <w:noProof/>
          <w:lang w:val="en-GB" w:eastAsia="zh-CN"/>
        </w:rPr>
        <w:fldChar w:fldCharType="end"/>
      </w:r>
      <w:r w:rsidRPr="00CA3946">
        <w:rPr>
          <w:noProof/>
          <w:lang w:val="en-GB" w:eastAsia="zh-CN"/>
        </w:rPr>
        <w:t xml:space="preserve"> The shoulder at 1865 cm</w:t>
      </w:r>
      <w:r w:rsidRPr="00CA3946">
        <w:rPr>
          <w:noProof/>
          <w:vertAlign w:val="superscript"/>
          <w:lang w:val="en-GB" w:eastAsia="zh-CN"/>
        </w:rPr>
        <w:t>-1</w:t>
      </w:r>
      <w:r w:rsidRPr="00CA3946">
        <w:rPr>
          <w:noProof/>
          <w:lang w:val="en-GB" w:eastAsia="zh-CN"/>
        </w:rPr>
        <w:t xml:space="preserve"> can be assigned to 3-fold sites.</w:t>
      </w:r>
      <w:r w:rsidR="00417E50" w:rsidRPr="00CA3946">
        <w:rPr>
          <w:noProof/>
          <w:lang w:val="en-GB" w:eastAsia="zh-CN"/>
        </w:rPr>
        <w:fldChar w:fldCharType="begin" w:fldLock="1"/>
      </w:r>
      <w:r w:rsidR="0097007D" w:rsidRPr="00CA3946">
        <w:rPr>
          <w:noProof/>
          <w:lang w:val="en-GB" w:eastAsia="zh-CN"/>
        </w:rPr>
        <w:instrText>ADDIN CSL_CITATION {"citationItems":[{"id":"ITEM-1","itemData":{"DOI":"10.1063/1.2101487","ISSN":"00219606","abstract":"Five alumina-supported palladium catalysts have been prepared from a range of precursor compounds [palladium(II) nitrate, palladium(II) chloride, palladium(II) acetylacetonate, and tetraamminepalladium(II) tetraazidopalladate(II)] and at different metal loadings (1-7.3 wt %). Collectively, this series of catalysts provides a range of metal particle sizes (1.2-8.5 nm) that emphasize different morphological aspects of the palladium crystallites. The infrared spectra of chemisorbed CO applied under pulse-flow conditions reveal distinct groupings between metal crystallites dominated by low index planes and those that feature predominantly corner/edge atoms. Temperature-programmed infrared spectroscopy establishes that the linear CO band can be resolved into contributions from corner atoms and a combination of (111) (111) and (111) (100) particle edges. Propene hydrogenation has been used as a preliminary assessment of catalytic performance for the 1 wt % loaded catalysts, with the relative inactivity of the catalyst prepared from palladium(II) chloride attributed to a diminished hydrogen supply due to decoration of edge sites by chlorine originating from the preparative process. It is anticipated that refinements linking the vibrational spectrum of a probe molecule with surface structure and accessible adsorption sites for such a versatile catalytic substrate provide a platform against which structure/reactivity relationships can be usefully developed. © 2005 American Institute of Physics.","author":[{"dropping-particle":"","family":"Lear","given":"Timothy","non-dropping-particle":"","parse-names":false,"suffix":""},{"dropping-particle":"","family":"Marshall","given":"Robert","non-dropping-particle":"","parse-names":false,"suffix":""},{"dropping-particle":"","family":"Lopez-Sanchez","given":"J. Antonio","non-dropping-particle":"","parse-names":false,"suffix":""},{"dropping-particle":"","family":"Jackson","given":"S. David","non-dropping-particle":"","parse-names":false,"suffix":""},{"dropping-particle":"","family":"Klapötke","given":"Thomas M.","non-dropping-particle":"","parse-names":false,"suffix":""},{"dropping-particle":"","family":"Bäumer","given":"Marcus","non-dropping-particle":"","parse-names":false,"suffix":""},{"dropping-particle":"","family":"Rupprechter","given":"Günther","non-dropping-particle":"","parse-names":false,"suffix":""},{"dropping-particle":"","family":"Freund","given":"Hans Joachim","non-dropping-particle":"","parse-names":false,"suffix":""},{"dropping-particle":"","family":"Lennon","given":"David","non-dropping-particle":"","parse-names":false,"suffix":""}],"container-title":"Journal of Chemical Physics","id":"ITEM-1","issue":"17","issued":{"date-parts":[["2005","11"]]},"page":"174706","publisher":"American Institute of Physics","title":"The application of infrared spectroscopy to probe the surface morphology of alumina-supported palladium catalysts","type":"article-journal","volume":"123"},"uris":["http://www.mendeley.com/documents/?uuid=4153aae0-b25e-479c-80a9-445b8502013c","http://www.mendeley.com/documents/?uuid=c6559715-44f0-457f-8aa4-f1d4e8612c56"]}],"mendeley":{"formattedCitation":"&lt;sup&gt;43&lt;/sup&gt;","plainTextFormattedCitation":"43","previouslyFormattedCitation":"&lt;sup&gt;43&lt;/sup&gt;"},"properties":{"noteIndex":0},"schema":"https://github.com/citation-style-language/schema/raw/master/csl-citation.json"}</w:instrText>
      </w:r>
      <w:r w:rsidR="00417E50" w:rsidRPr="00CA3946">
        <w:rPr>
          <w:noProof/>
          <w:lang w:val="en-GB" w:eastAsia="zh-CN"/>
        </w:rPr>
        <w:fldChar w:fldCharType="separate"/>
      </w:r>
      <w:r w:rsidR="00417E50" w:rsidRPr="00CA3946">
        <w:rPr>
          <w:noProof/>
          <w:vertAlign w:val="superscript"/>
          <w:lang w:val="en-GB" w:eastAsia="zh-CN"/>
        </w:rPr>
        <w:t>43</w:t>
      </w:r>
      <w:r w:rsidR="00417E50" w:rsidRPr="00CA3946">
        <w:rPr>
          <w:noProof/>
          <w:lang w:val="en-GB" w:eastAsia="zh-CN"/>
        </w:rPr>
        <w:fldChar w:fldCharType="end"/>
      </w:r>
      <w:r w:rsidRPr="00CA3946">
        <w:rPr>
          <w:noProof/>
          <w:lang w:val="en-GB" w:eastAsia="zh-CN"/>
        </w:rPr>
        <w:t xml:space="preserve"> The spectrum of 1 wt% Pd/NiO has additional bands at 2165, 2140, and 1927 cm</w:t>
      </w:r>
      <w:r w:rsidRPr="00CA3946">
        <w:rPr>
          <w:noProof/>
          <w:vertAlign w:val="superscript"/>
          <w:lang w:val="en-GB" w:eastAsia="zh-CN"/>
        </w:rPr>
        <w:t>-1</w:t>
      </w:r>
      <w:r w:rsidRPr="00CA3946">
        <w:rPr>
          <w:noProof/>
          <w:lang w:val="en-GB" w:eastAsia="zh-CN"/>
        </w:rPr>
        <w:t>. The band at 2165 cm</w:t>
      </w:r>
      <w:r w:rsidRPr="00CA3946">
        <w:rPr>
          <w:noProof/>
          <w:vertAlign w:val="superscript"/>
          <w:lang w:val="en-GB" w:eastAsia="zh-CN"/>
        </w:rPr>
        <w:t>-1</w:t>
      </w:r>
      <w:r w:rsidRPr="00CA3946">
        <w:rPr>
          <w:noProof/>
          <w:lang w:val="en-GB" w:eastAsia="zh-CN"/>
        </w:rPr>
        <w:t xml:space="preserve"> is attributable to CO adsorption on NiO,</w:t>
      </w:r>
      <w:r w:rsidR="00417E50" w:rsidRPr="00CA3946">
        <w:rPr>
          <w:noProof/>
          <w:lang w:val="en-GB" w:eastAsia="zh-CN"/>
        </w:rPr>
        <w:fldChar w:fldCharType="begin" w:fldLock="1"/>
      </w:r>
      <w:r w:rsidR="0097007D" w:rsidRPr="00CA3946">
        <w:rPr>
          <w:noProof/>
          <w:lang w:val="en-GB" w:eastAsia="zh-CN"/>
        </w:rPr>
        <w:instrText>ADDIN CSL_CITATION {"citationItems":[{"id":"ITEM-1","itemData":{"DOI":"10.1116/1.579146","ISSN":"0734-2101","author":[{"dropping-particle":"","family":"Vesecky","given":"Scott M.","non-dropping-particle":"","parse-names":false,"suffix":""},{"dropping-particle":"","family":"Xu","given":"Xueping","non-dropping-particle":"","parse-names":false,"suffix":""},{"dropping-particle":"","family":"Goodman","given":"D. Wayne","non-dropping-particle":"","parse-names":false,"suffix":""}],"container-title":"Journal of Vacuum Science &amp; Technology A: Vacuum, Surfaces, and Films","id":"ITEM-1","issue":"4","issued":{"date-parts":[["1994","7"]]},"page":"2114-2118","title":"Infrared study of CO on NiO(100)","type":"article-journal","volume":"12"},"uris":["http://www.mendeley.com/documents/?uuid=7a8696da-2150-4cc9-abd2-391db4bd7dfa"]}],"mendeley":{"formattedCitation":"&lt;sup&gt;44&lt;/sup&gt;","plainTextFormattedCitation":"44","previouslyFormattedCitation":"&lt;sup&gt;44&lt;/sup&gt;"},"properties":{"noteIndex":0},"schema":"https://github.com/citation-style-language/schema/raw/master/csl-citation.json"}</w:instrText>
      </w:r>
      <w:r w:rsidR="00417E50" w:rsidRPr="00CA3946">
        <w:rPr>
          <w:noProof/>
          <w:lang w:val="en-GB" w:eastAsia="zh-CN"/>
        </w:rPr>
        <w:fldChar w:fldCharType="separate"/>
      </w:r>
      <w:r w:rsidR="00417E50" w:rsidRPr="00CA3946">
        <w:rPr>
          <w:noProof/>
          <w:vertAlign w:val="superscript"/>
          <w:lang w:val="en-GB" w:eastAsia="zh-CN"/>
        </w:rPr>
        <w:t>44</w:t>
      </w:r>
      <w:r w:rsidR="00417E50" w:rsidRPr="00CA3946">
        <w:rPr>
          <w:noProof/>
          <w:lang w:val="en-GB" w:eastAsia="zh-CN"/>
        </w:rPr>
        <w:fldChar w:fldCharType="end"/>
      </w:r>
      <w:r w:rsidRPr="00CA3946">
        <w:rPr>
          <w:noProof/>
          <w:lang w:val="en-GB" w:eastAsia="zh-CN"/>
        </w:rPr>
        <w:t xml:space="preserve"> with the band at 1927 cm</w:t>
      </w:r>
      <w:r w:rsidRPr="00CA3946">
        <w:rPr>
          <w:noProof/>
          <w:vertAlign w:val="superscript"/>
          <w:lang w:val="en-GB" w:eastAsia="zh-CN"/>
        </w:rPr>
        <w:t>-1</w:t>
      </w:r>
      <w:r w:rsidRPr="00CA3946">
        <w:rPr>
          <w:noProof/>
          <w:lang w:val="en-GB" w:eastAsia="zh-CN"/>
        </w:rPr>
        <w:t xml:space="preserve"> assigned to bridge-bonded CO on Pd facets.</w:t>
      </w:r>
      <w:r w:rsidR="00417E50" w:rsidRPr="00CA3946">
        <w:rPr>
          <w:noProof/>
          <w:lang w:val="en-GB" w:eastAsia="zh-CN"/>
        </w:rPr>
        <w:fldChar w:fldCharType="begin" w:fldLock="1"/>
      </w:r>
      <w:r w:rsidR="0097007D" w:rsidRPr="00CA3946">
        <w:rPr>
          <w:noProof/>
          <w:lang w:val="en-GB" w:eastAsia="zh-CN"/>
        </w:rPr>
        <w:instrText>ADDIN CSL_CITATION {"citationItems":[{"id":"ITEM-1","itemData":{"DOI":"10.1016/S0360-0564(02)47008-3","ISBN":"0120078473","ISSN":"03600564","abstract":"The review is a summary and analysis of the data characterizing CO adsorption on surface cationic sites of oxides including supported materials and microporous and mesoporous materials. The contributions of various types of CO bonding to the IR frequency shifts of carbon-bonded molecules are analyzed, namely, the increase of the CO stretching frequency in cases of electrostatic and σ bonding and the decrease of the frequency with π bonding. Polycarbonyls, bridging CO, oxygen-bonded CO, and tilted CO are also considered. The main part of the review is a collection of the experimental results characterizing carbonyls of individual metal ions. The spectral behavior of CO bonded to metal atoms is also assessed in the cases when the metal ions are easily reduced to metal (Cu, Ag, Au, Pd, or Pt) or cationic carbonyls are produced after CO adsorption on supported metals (Ru, Rh, Ir, and Os). The interaction of CO with surface OH groups is also considered. It is demonstrated that IR spectroscopy of adsorbed CO is an efficient methodology to characterize cationic surface sites in terms of their nature, oxidation states, coordination environment and coordinative unsaturation, and location at faces, edges or corners of microcrystallites. When applied to materials with surface hydroxyl groups CO undergoes hydrogen bonding and information can be collected on the proton acid strength. © 2002.","author":[{"dropping-particle":"","family":"Hadjiivanov","given":"Konstantin I.","non-dropping-particle":"","parse-names":false,"suffix":""},{"dropping-particle":"","family":"Vayssilov","given":"Georgi N.","non-dropping-particle":"","parse-names":false,"suffix":""}],"container-title":"Advances in Catalysis","id":"ITEM-1","issued":{"date-parts":[["2002"]]},"page":"307-511","publisher":"Academic Press","title":"Characterization of oxide surfaces and zeolites by carbon monoxide as an IR probe molecule","type":"chapter","volume":"47"},"uris":["http://www.mendeley.com/documents/?uuid=0e0e3f7e-fe4d-4c7c-8058-50bc5fb48ec3"]}],"mendeley":{"formattedCitation":"&lt;sup&gt;45&lt;/sup&gt;","plainTextFormattedCitation":"45","previouslyFormattedCitation":"&lt;sup&gt;45&lt;/sup&gt;"},"properties":{"noteIndex":0},"schema":"https://github.com/citation-style-language/schema/raw/master/csl-citation.json"}</w:instrText>
      </w:r>
      <w:r w:rsidR="00417E50" w:rsidRPr="00CA3946">
        <w:rPr>
          <w:noProof/>
          <w:lang w:val="en-GB" w:eastAsia="zh-CN"/>
        </w:rPr>
        <w:fldChar w:fldCharType="separate"/>
      </w:r>
      <w:r w:rsidR="00417E50" w:rsidRPr="00CA3946">
        <w:rPr>
          <w:noProof/>
          <w:vertAlign w:val="superscript"/>
          <w:lang w:val="en-GB" w:eastAsia="zh-CN"/>
        </w:rPr>
        <w:t>45</w:t>
      </w:r>
      <w:r w:rsidR="00417E50" w:rsidRPr="00CA3946">
        <w:rPr>
          <w:noProof/>
          <w:lang w:val="en-GB" w:eastAsia="zh-CN"/>
        </w:rPr>
        <w:fldChar w:fldCharType="end"/>
      </w:r>
      <w:r w:rsidRPr="00CA3946">
        <w:rPr>
          <w:noProof/>
          <w:lang w:val="en-GB" w:eastAsia="zh-CN"/>
        </w:rPr>
        <w:t xml:space="preserve"> The FTIR spectra with CO probe molecule adsorption do not reveal profound differences in the surfaces of the Pd nanoparticles of both catalysts. Previously, the ra</w:t>
      </w:r>
      <w:r w:rsidR="00E1727A" w:rsidRPr="00CA3946">
        <w:rPr>
          <w:noProof/>
          <w:lang w:val="en-GB" w:eastAsia="zh-CN"/>
        </w:rPr>
        <w:t>tio of linear to bridge-bonded</w:t>
      </w:r>
      <w:r w:rsidRPr="00CA3946">
        <w:rPr>
          <w:noProof/>
          <w:lang w:val="en-GB" w:eastAsia="zh-CN"/>
        </w:rPr>
        <w:t xml:space="preserve"> CO has been used to infer the likelihood of parallel or perpendicular furfural adsorption and then correlated to the selectivity of furfural hydrogenation. In the spectra presented in </w:t>
      </w:r>
      <w:r w:rsidR="00E1727A" w:rsidRPr="00CA3946">
        <w:rPr>
          <w:noProof/>
          <w:lang w:val="en-GB" w:eastAsia="zh-CN"/>
        </w:rPr>
        <w:t>F</w:t>
      </w:r>
      <w:r w:rsidRPr="00CA3946">
        <w:rPr>
          <w:noProof/>
          <w:lang w:val="en-GB" w:eastAsia="zh-CN"/>
        </w:rPr>
        <w:t>igure 3, there are only minor differences in the linear/bridged ratio</w:t>
      </w:r>
      <w:r w:rsidR="0018597C" w:rsidRPr="00CA3946">
        <w:rPr>
          <w:noProof/>
          <w:lang w:val="en-GB" w:eastAsia="zh-CN"/>
        </w:rPr>
        <w:t xml:space="preserve"> </w:t>
      </w:r>
      <w:r w:rsidR="0018597C" w:rsidRPr="00F664B4">
        <w:rPr>
          <w:lang w:val="en-GB"/>
        </w:rPr>
        <w:t>(0.28 and 0.32 for Pd/NiO and Pd/TiO2, respectively)</w:t>
      </w:r>
      <w:r w:rsidRPr="00CA3946">
        <w:rPr>
          <w:noProof/>
          <w:lang w:val="en-GB" w:eastAsia="zh-CN"/>
        </w:rPr>
        <w:t>, which confirms that the observed difference in selectivity for the hydrogenation of furfural is not linked to the surface characteristics of the Pd nanoparticles. This observation led to the hypothesis that there are distinct mechanistic pathways for both catalysts that are directed by differences in the metal-support interaction.</w:t>
      </w:r>
      <w:r w:rsidR="00860F8B" w:rsidRPr="00CA3946">
        <w:rPr>
          <w:rFonts w:ascii="Times New Roman" w:hAnsi="Times New Roman"/>
          <w:b/>
          <w:noProof/>
          <w:szCs w:val="24"/>
        </w:rPr>
        <w:t xml:space="preserve"> </w:t>
      </w:r>
    </w:p>
    <w:p w14:paraId="330D8410" w14:textId="395122A3" w:rsidR="00A75222" w:rsidRPr="00CA3946" w:rsidRDefault="008F6E07" w:rsidP="00417E50">
      <w:pPr>
        <w:pStyle w:val="TAMainText"/>
        <w:rPr>
          <w:noProof/>
          <w:lang w:val="en-GB" w:eastAsia="zh-CN"/>
        </w:rPr>
      </w:pPr>
      <w:r w:rsidRPr="00CA3946">
        <w:rPr>
          <w:noProof/>
          <w:lang w:val="en-GB" w:eastAsia="en-GB"/>
        </w:rPr>
        <w:lastRenderedPageBreak/>
        <w:drawing>
          <wp:inline distT="0" distB="0" distL="0" distR="0" wp14:anchorId="78AA8A59" wp14:editId="7EA8791D">
            <wp:extent cx="2692712" cy="1996212"/>
            <wp:effectExtent l="0" t="0" r="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6" cstate="print">
                      <a:extLst>
                        <a:ext uri="{28A0092B-C50C-407E-A947-70E740481C1C}">
                          <a14:useLocalDpi xmlns:a14="http://schemas.microsoft.com/office/drawing/2010/main" val="0"/>
                        </a:ext>
                      </a:extLst>
                    </a:blip>
                    <a:srcRect l="11214" r="12915"/>
                    <a:stretch/>
                  </pic:blipFill>
                  <pic:spPr bwMode="auto">
                    <a:xfrm>
                      <a:off x="0" y="0"/>
                      <a:ext cx="2696527" cy="1999040"/>
                    </a:xfrm>
                    <a:prstGeom prst="rect">
                      <a:avLst/>
                    </a:prstGeom>
                    <a:ln>
                      <a:noFill/>
                    </a:ln>
                    <a:extLst>
                      <a:ext uri="{53640926-AAD7-44D8-BBD7-CCE9431645EC}">
                        <a14:shadowObscured xmlns:a14="http://schemas.microsoft.com/office/drawing/2010/main"/>
                      </a:ext>
                    </a:extLst>
                  </pic:spPr>
                </pic:pic>
              </a:graphicData>
            </a:graphic>
          </wp:inline>
        </w:drawing>
      </w:r>
    </w:p>
    <w:p w14:paraId="2FDCAEE4" w14:textId="58344318" w:rsidR="00860F8B" w:rsidRPr="00CA3946" w:rsidRDefault="00860F8B" w:rsidP="00CA6C20">
      <w:pPr>
        <w:pStyle w:val="VAFigureCaption"/>
      </w:pPr>
      <w:r w:rsidRPr="00CA3946">
        <w:t>Figure 3. CO adsorption FTIR studies for Pd/NiO (black line) and Pd/TiO2 (red line). Peaks assigned in blue are present in both catalysts with those is red and black assigned solely to Pd/NiO and Pd/TiO2 respectively.</w:t>
      </w:r>
    </w:p>
    <w:p w14:paraId="402E40BD" w14:textId="7879EE94" w:rsidR="00FE61F9" w:rsidRPr="00CA3946" w:rsidRDefault="00DB3243" w:rsidP="003D4A1F">
      <w:pPr>
        <w:pStyle w:val="TAMainText"/>
        <w:rPr>
          <w:noProof/>
          <w:lang w:val="en-GB" w:eastAsia="zh-CN"/>
        </w:rPr>
      </w:pPr>
      <w:r w:rsidRPr="00CA3946">
        <w:t xml:space="preserve">To probe the effect of the support in greater detail a density functional theory </w:t>
      </w:r>
      <w:r w:rsidR="0097007D" w:rsidRPr="00F664B4">
        <w:t>with dispersion correction (DFT+D3)</w:t>
      </w:r>
      <w:r w:rsidR="0097007D" w:rsidRPr="00CA3946">
        <w:t xml:space="preserve"> </w:t>
      </w:r>
      <w:r w:rsidRPr="00CA3946">
        <w:t>study into the adsorption energetics of furfural on Pd(111), NiO(110), TiO</w:t>
      </w:r>
      <w:r w:rsidRPr="00CA3946">
        <w:rPr>
          <w:vertAlign w:val="subscript"/>
        </w:rPr>
        <w:t>2</w:t>
      </w:r>
      <w:r w:rsidRPr="00CA3946">
        <w:t>(111) and Pd</w:t>
      </w:r>
      <w:r w:rsidRPr="00CA3946">
        <w:rPr>
          <w:vertAlign w:val="subscript"/>
        </w:rPr>
        <w:t>16</w:t>
      </w:r>
      <w:r w:rsidRPr="00CA3946">
        <w:t>–NiO(110) was undertaken.</w:t>
      </w:r>
      <w:r w:rsidR="00E1727A" w:rsidRPr="00CA3946">
        <w:t xml:space="preserve"> </w:t>
      </w:r>
      <w:r w:rsidRPr="00CA3946">
        <w:rPr>
          <w:noProof/>
          <w:lang w:val="en-GB" w:eastAsia="zh-CN"/>
        </w:rPr>
        <w:t xml:space="preserve">We first compare the calculated adsorption energies (Ead) for the interaction of furfural on Pd(111) and NiO(110) surfaces. All the optimized structures of furfural on Pd(111) and NiO(110) surfaces are shown in </w:t>
      </w:r>
      <w:r w:rsidR="003A4718" w:rsidRPr="00CA3946">
        <w:rPr>
          <w:noProof/>
          <w:lang w:val="en-GB" w:eastAsia="zh-CN"/>
        </w:rPr>
        <w:t>Figure S7</w:t>
      </w:r>
      <w:r w:rsidRPr="00CA3946">
        <w:rPr>
          <w:noProof/>
          <w:lang w:val="en-GB" w:eastAsia="zh-CN"/>
        </w:rPr>
        <w:t xml:space="preserve"> and Figure S</w:t>
      </w:r>
      <w:r w:rsidR="003A4718" w:rsidRPr="00CA3946">
        <w:rPr>
          <w:noProof/>
          <w:lang w:val="en-GB" w:eastAsia="zh-CN"/>
        </w:rPr>
        <w:t>8</w:t>
      </w:r>
      <w:r w:rsidRPr="00CA3946">
        <w:rPr>
          <w:noProof/>
          <w:lang w:val="en-GB" w:eastAsia="zh-CN"/>
        </w:rPr>
        <w:t>. Our calculations show that the furfural molecule with a slanted configuration is more stable on</w:t>
      </w:r>
      <w:r w:rsidR="006B3D5F" w:rsidRPr="00CA3946">
        <w:t xml:space="preserve"> </w:t>
      </w:r>
      <w:r w:rsidRPr="00CA3946">
        <w:t xml:space="preserve">NiO(110) surface (Ead = -2.572 eV) as compared to its adsorption on Pd(111) surface (Ead = -1.649 eV) with a parallel configuration. </w:t>
      </w:r>
      <w:r w:rsidR="0097007D" w:rsidRPr="00F664B4">
        <w:t>Previous studies have also shown that the parallel configuration of furfural on Pd(111) surface is more stable than its other possible orientations and our calculated adsorption energy value for the adsorption of furfural on the Pd(111) surface is comparable with the previously reported values.</w:t>
      </w:r>
      <w:r w:rsidR="0097007D" w:rsidRPr="00F664B4">
        <w:rPr>
          <w:vertAlign w:val="superscript"/>
        </w:rPr>
        <w:t>18,</w:t>
      </w:r>
      <w:r w:rsidR="0097007D" w:rsidRPr="00F664B4">
        <w:fldChar w:fldCharType="begin" w:fldLock="1"/>
      </w:r>
      <w:r w:rsidR="006625C0" w:rsidRPr="00F664B4">
        <w:instrText>ADDIN CSL_CITATION {"citationItems":[{"id":"ITEM-1","itemData":{"DOI":"10.1021/cs5015145","author":[{"dropping-particle":"","family":"Wang","given":"Shengguang","non-dropping-particle":"","parse-names":false,"suffix":""},{"dropping-particle":"","family":"Vorotnikov","given":"Vassili","non-dropping-particle":"","parse-names":false,"suffix":""},{"dropping-particle":"","family":"Vlachos","given":"Dionisios G","non-dropping-particle":"","parse-names":false,"suffix":""}],"container-title":"ACS Catalysis","id":"ITEM-1","issue":"1","issued":{"date-parts":[["2015","1","2"]]},"note":"doi: 10.1021/cs5015145","page":"104-112","publisher":"American Chemical Society","title":"Coverage-Induced Conformational Effects on Activity and Selectivity: Hydrogenation and Decarbonylation of Furfural on Pd(111)","type":"article-journal","volume":"5"},"uris":["http://www.mendeley.com/documents/?uuid=b9630997-7b12-4138-9ccb-4d2c8ce65597"]},{"id":"ITEM-2","itemData":{"DOI":"10.1021/cs300395a","author":[{"dropping-particle":"","family":"Vorotnikov","given":"Vassili","non-dropping-particle":"","parse-names":false,"suffix":""},{"dropping-particle":"","family":"Mpourmpakis","given":"Giannis","non-dropping-particle":"","parse-names":false,"suffix":""},{"dropping-particle":"","family":"Vlachos","given":"Dionisios G","non-dropping-particle":"","parse-names":false,"suffix":""}],"container-title":"ACS Catalysis","id":"ITEM-2","issue":"12","issued":{"date-parts":[["2012","12","7"]]},"note":"doi: 10.1021/cs300395a","page":"2496-2504","publisher":"American Chemical Society","title":"DFT Study of Furfural Conversion to Furan, Furfuryl Alcohol, and 2-Methylfuran on Pd(111)","type":"article-journal","volume":"2"},"uris":["http://www.mendeley.com/documents/?uuid=62b0ae21-0c93-45a3-b65c-b56205194a89"]},{"id":"ITEM-3","itemData":{"DOI":"https://doi.org/10.1016/j.susc.2013.12.001","ISSN":"0039-6028","abstract":"The hydrogenation of furfural to furfuryl alcohol on Pd(111), Cu(111) and Pt(111) is studied with both standard Density Functional Theory (DFT)-GGA functionals and with van der Waals-corrected density functionals. VdW-DF functionals, including optPBE, optB88, optB86b, and Grimme's method, are used to optimize the adsorption configurations of furfural, furfuryl alcohol, and related intermediates resulting from hydrogenation of furfural, and the results are compared to corresponding values determined with GGA functionals, including PW91 and PBE. On Pd(111) and Pt(111), the adsorption geometries of the intermediates are not noticeably different between the two classes of functionals, while on Cu(111), modest changes are seen in both the perpendicular distance and the orientation of the aromatic ring with respect to the planar surface. In general, the binding energies increase substantially in magnitude as a result of van der Waals contributions on all metals. In contrast, however, dispersion effects on the kinetics of hydrogenation are relatively small. It is found that activation barriers are not significantly affected by the inclusion of dispersion effects, and a Brønsted–Evans–Polanyi relationship developed solely from PW91 calculations on Pd(111) is capable of describing corresponding results on Cu(111) and Pt(111), even when the dispersion effects are included. Finally, the reaction energies and barriers derived from the dispersion-corrected and pure GGA calculations are used to plot simple potential energy profiles for furfural hydrogenation to furfuryl alcohol on the three considered metals, and an approximately constant downshift of the energetics due to the dispersion corrections is observed.","author":[{"dropping-particle":"","family":"Liu","given":"Bin","non-dropping-particle":"","parse-names":false,"suffix":""},{"dropping-particle":"","family":"Cheng","given":"Lei","non-dropping-particle":"","parse-names":false,"suffix":""},{"dropping-particle":"","family":"Curtiss","given":"Larry","non-dropping-particle":"","parse-names":false,"suffix":""},{"dropping-particle":"","family":"Greeley","given":"Jeffrey","non-dropping-particle":"","parse-names":false,"suffix":""}],"container-title":"Surface Science","id":"ITEM-3","issued":{"date-parts":[["2014"]]},"page":"51-59","title":"Effects of van der Waals density functional corrections on trends in furfural adsorption and hydrogenation on close-packed transition metal surfaces","type":"article-journal","volume":"622"},"uris":["http://www.mendeley.com/documents/?uuid=c5983561-74d2-48e4-ab89-aefd416c216e"]}],"mendeley":{"formattedCitation":"&lt;sup&gt;46–48&lt;/sup&gt;","plainTextFormattedCitation":"46–48"},"properties":{"noteIndex":0},"schema":"https://github.com/citation-style-language/schema/raw/master/csl-citation.json"}</w:instrText>
      </w:r>
      <w:r w:rsidR="0097007D" w:rsidRPr="00F664B4">
        <w:fldChar w:fldCharType="separate"/>
      </w:r>
      <w:r w:rsidR="006625C0" w:rsidRPr="00F664B4">
        <w:rPr>
          <w:vertAlign w:val="superscript"/>
        </w:rPr>
        <w:t>46–48</w:t>
      </w:r>
      <w:r w:rsidR="0097007D" w:rsidRPr="00F664B4">
        <w:fldChar w:fldCharType="end"/>
      </w:r>
      <w:r w:rsidR="006625C0" w:rsidRPr="00CA3946">
        <w:t xml:space="preserve"> </w:t>
      </w:r>
      <w:r w:rsidRPr="00CA3946">
        <w:t xml:space="preserve">In the former case, the furanic ring is adsorbed </w:t>
      </w:r>
      <w:r w:rsidRPr="00CA3946">
        <w:rPr>
          <w:i/>
          <w:iCs/>
        </w:rPr>
        <w:t>via</w:t>
      </w:r>
      <w:r w:rsidRPr="00CA3946">
        <w:t xml:space="preserve"> the O and C atoms of the -CHO group and O-atom of the furanic ring (See Table S</w:t>
      </w:r>
      <w:r w:rsidR="003A4718" w:rsidRPr="00CA3946">
        <w:t>2</w:t>
      </w:r>
      <w:r w:rsidRPr="00CA3946">
        <w:t xml:space="preserve">) but in the latter the interaction is </w:t>
      </w:r>
      <w:r w:rsidRPr="00CA3946">
        <w:rPr>
          <w:i/>
          <w:iCs/>
        </w:rPr>
        <w:t>via</w:t>
      </w:r>
      <w:r w:rsidRPr="00CA3946">
        <w:t xml:space="preserve"> the C-atoms of the furanic ring and O-atom of the -CHO group. Similar calculations are also performed on TiO</w:t>
      </w:r>
      <w:r w:rsidRPr="00CA3946">
        <w:rPr>
          <w:vertAlign w:val="subscript"/>
        </w:rPr>
        <w:t>2</w:t>
      </w:r>
      <w:r w:rsidRPr="00CA3946">
        <w:t>(111) and on a single atomic layer of Pd adsorbed on NiO (110) surface i.e., Pd</w:t>
      </w:r>
      <w:r w:rsidRPr="00CA3946">
        <w:rPr>
          <w:vertAlign w:val="subscript"/>
        </w:rPr>
        <w:t>16</w:t>
      </w:r>
      <w:r w:rsidRPr="00CA3946">
        <w:t>–NiO(110) (Figure S</w:t>
      </w:r>
      <w:r w:rsidR="003A4718" w:rsidRPr="00CA3946">
        <w:t>9</w:t>
      </w:r>
      <w:r w:rsidRPr="00CA3946">
        <w:t xml:space="preserve"> and S</w:t>
      </w:r>
      <w:r w:rsidR="003A4718" w:rsidRPr="00CA3946">
        <w:t>10</w:t>
      </w:r>
      <w:r w:rsidR="00950C93" w:rsidRPr="00CA3946">
        <w:t>, Table S3</w:t>
      </w:r>
      <w:r w:rsidRPr="00CA3946">
        <w:t>). On the TiO</w:t>
      </w:r>
      <w:r w:rsidRPr="00CA3946">
        <w:rPr>
          <w:vertAlign w:val="subscript"/>
        </w:rPr>
        <w:t>2</w:t>
      </w:r>
      <w:r w:rsidRPr="00CA3946">
        <w:t>(111) surface it is seen that the furfural molecule has a unique mode of interaction; it is adsorbed through two C-atoms of the furanic ring with two O-atoms on the surface leaving the –CHO group non-interactive with the TiO</w:t>
      </w:r>
      <w:r w:rsidRPr="00CA3946">
        <w:rPr>
          <w:vertAlign w:val="subscript"/>
        </w:rPr>
        <w:t>2</w:t>
      </w:r>
      <w:r w:rsidRPr="00CA3946">
        <w:t>(111) surface. On the other hand the adsorption of furfural on Pd</w:t>
      </w:r>
      <w:r w:rsidRPr="00CA3946">
        <w:rPr>
          <w:vertAlign w:val="subscript"/>
        </w:rPr>
        <w:t>16</w:t>
      </w:r>
      <w:r w:rsidRPr="00CA3946">
        <w:t xml:space="preserve">–NiO(110) is </w:t>
      </w:r>
      <w:r w:rsidRPr="00CA3946">
        <w:rPr>
          <w:i/>
          <w:iCs/>
        </w:rPr>
        <w:t>via</w:t>
      </w:r>
      <w:r w:rsidRPr="00CA3946">
        <w:t xml:space="preserve"> the furanic C and aldehydic C and O-atoms. The calculated adsorption energy of the furfural molecule on TiO</w:t>
      </w:r>
      <w:r w:rsidRPr="00CA3946">
        <w:rPr>
          <w:vertAlign w:val="subscript"/>
        </w:rPr>
        <w:t>2</w:t>
      </w:r>
      <w:r w:rsidRPr="00CA3946">
        <w:t>(111) and Pd</w:t>
      </w:r>
      <w:r w:rsidRPr="00CA3946">
        <w:rPr>
          <w:vertAlign w:val="subscript"/>
        </w:rPr>
        <w:t>16</w:t>
      </w:r>
      <w:r w:rsidRPr="00CA3946">
        <w:t>–NiO(110) are</w:t>
      </w:r>
      <w:r w:rsidR="00A335C7" w:rsidRPr="00CA3946">
        <w:t xml:space="preserve"> </w:t>
      </w:r>
      <w:r w:rsidRPr="00CA3946">
        <w:t>-4.113 eV and -1.946 eV</w:t>
      </w:r>
      <w:r w:rsidR="00A335C7" w:rsidRPr="00CA3946">
        <w:t>,</w:t>
      </w:r>
      <w:r w:rsidRPr="00CA3946">
        <w:t xml:space="preserve"> respectively. Figure 4 shows the most stable structures of furfural on Pd(111), NiO(110), TiO</w:t>
      </w:r>
      <w:r w:rsidRPr="00CA3946">
        <w:rPr>
          <w:vertAlign w:val="subscript"/>
        </w:rPr>
        <w:t>2</w:t>
      </w:r>
      <w:r w:rsidRPr="00CA3946">
        <w:t>(111) and Pd</w:t>
      </w:r>
      <w:r w:rsidRPr="00CA3946">
        <w:rPr>
          <w:vertAlign w:val="subscript"/>
        </w:rPr>
        <w:t>16</w:t>
      </w:r>
      <w:r w:rsidRPr="00CA3946">
        <w:t>–NiO(110) surfaces.</w:t>
      </w:r>
      <w:r w:rsidR="007051F1" w:rsidRPr="00CA3946">
        <w:rPr>
          <w:noProof/>
          <w:lang w:val="en-GB" w:eastAsia="zh-CN"/>
        </w:rPr>
        <w:t xml:space="preserve"> </w:t>
      </w:r>
    </w:p>
    <w:p w14:paraId="1315ABE0" w14:textId="67E0C4AD" w:rsidR="00A75222" w:rsidRPr="00CA3946" w:rsidRDefault="00A75222" w:rsidP="003D4A1F">
      <w:pPr>
        <w:pStyle w:val="TAMainText"/>
        <w:rPr>
          <w:noProof/>
          <w:lang w:val="en-GB" w:eastAsia="zh-CN"/>
        </w:rPr>
      </w:pPr>
      <w:r w:rsidRPr="00CA3946">
        <w:rPr>
          <w:noProof/>
          <w:lang w:val="en-GB" w:eastAsia="en-GB"/>
        </w:rPr>
        <w:lastRenderedPageBreak/>
        <w:drawing>
          <wp:inline distT="0" distB="0" distL="0" distR="0" wp14:anchorId="34E61F41" wp14:editId="7B49C47F">
            <wp:extent cx="2618640" cy="166678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7">
                      <a:extLst>
                        <a:ext uri="{28A0092B-C50C-407E-A947-70E740481C1C}">
                          <a14:useLocalDpi xmlns:a14="http://schemas.microsoft.com/office/drawing/2010/main" val="0"/>
                        </a:ext>
                      </a:extLst>
                    </a:blip>
                    <a:stretch>
                      <a:fillRect/>
                    </a:stretch>
                  </pic:blipFill>
                  <pic:spPr>
                    <a:xfrm>
                      <a:off x="0" y="0"/>
                      <a:ext cx="2618640" cy="1666785"/>
                    </a:xfrm>
                    <a:prstGeom prst="rect">
                      <a:avLst/>
                    </a:prstGeom>
                  </pic:spPr>
                </pic:pic>
              </a:graphicData>
            </a:graphic>
          </wp:inline>
        </w:drawing>
      </w:r>
    </w:p>
    <w:p w14:paraId="49765951" w14:textId="77777777" w:rsidR="00CA6C20" w:rsidRPr="00CA3946" w:rsidRDefault="00CA6C20" w:rsidP="00CA6C20">
      <w:pPr>
        <w:pStyle w:val="VAFigureCaption"/>
        <w:rPr>
          <w:noProof/>
          <w:lang w:val="en-GB" w:eastAsia="zh-CN"/>
        </w:rPr>
      </w:pPr>
      <w:r w:rsidRPr="00CA3946">
        <w:t>Figure 4. The optimised structures of furfural adsorbed on (a) Pd(111), (b) NiO(110), (c) TiO2(111) and (d) Pd16/NiO(110) surfaces. For clarity, the furfural molecule and the first two layers of the surfaces are shown as ball and stick and lower layers are shown in the CPK format.</w:t>
      </w:r>
    </w:p>
    <w:p w14:paraId="07FE6EF5" w14:textId="56726FD7" w:rsidR="00A75222" w:rsidRPr="00CA3946" w:rsidRDefault="00DB3243" w:rsidP="00417E50">
      <w:pPr>
        <w:pStyle w:val="TAMainText"/>
        <w:rPr>
          <w:noProof/>
          <w:lang w:val="en-GB" w:eastAsia="zh-CN"/>
        </w:rPr>
      </w:pPr>
      <w:r w:rsidRPr="00CA3946">
        <w:rPr>
          <w:noProof/>
          <w:lang w:val="en-GB" w:eastAsia="zh-CN"/>
        </w:rPr>
        <w:t>The DFT study confirmed distinct differences on the nature of furfural adsorption on Pd, TiO</w:t>
      </w:r>
      <w:r w:rsidRPr="00CA3946">
        <w:rPr>
          <w:noProof/>
          <w:vertAlign w:val="subscript"/>
          <w:lang w:val="en-GB" w:eastAsia="zh-CN"/>
        </w:rPr>
        <w:t>2</w:t>
      </w:r>
      <w:r w:rsidRPr="00CA3946">
        <w:rPr>
          <w:noProof/>
          <w:lang w:val="en-GB" w:eastAsia="zh-CN"/>
        </w:rPr>
        <w:t>, NiO, and Pd</w:t>
      </w:r>
      <w:r w:rsidRPr="00CA3946">
        <w:rPr>
          <w:noProof/>
          <w:vertAlign w:val="subscript"/>
          <w:lang w:val="en-GB" w:eastAsia="zh-CN"/>
        </w:rPr>
        <w:t>16</w:t>
      </w:r>
      <w:r w:rsidRPr="00CA3946">
        <w:rPr>
          <w:noProof/>
          <w:lang w:val="en-GB" w:eastAsia="zh-CN"/>
        </w:rPr>
        <w:t>–NiO systems. These observations, combined with the selectivity profile of bare NiO, suggested that the difference in activity is associated with how NiO is able to activate furfural. In this scenario, it was hypothesized that the sole role of Pd on the Pd/NiO catalyst is to dissociate hydrogen. This hypothesis is consistent with recent hydrogenation studies on Ru/NiO/Ni(OH)</w:t>
      </w:r>
      <w:r w:rsidRPr="00CA3946">
        <w:rPr>
          <w:noProof/>
          <w:vertAlign w:val="subscript"/>
          <w:lang w:val="en-GB" w:eastAsia="zh-CN"/>
        </w:rPr>
        <w:t>2</w:t>
      </w:r>
      <w:r w:rsidRPr="00CA3946">
        <w:rPr>
          <w:noProof/>
          <w:lang w:val="en-GB" w:eastAsia="zh-CN"/>
        </w:rPr>
        <w:t>/C catalysts, where an analogous mechanism was proposed.</w:t>
      </w:r>
      <w:r w:rsidR="00417E50" w:rsidRPr="00CA3946">
        <w:rPr>
          <w:noProof/>
          <w:lang w:val="en-GB" w:eastAsia="zh-CN"/>
        </w:rPr>
        <w:fldChar w:fldCharType="begin" w:fldLock="1"/>
      </w:r>
      <w:r w:rsidR="0097007D" w:rsidRPr="00CA3946">
        <w:rPr>
          <w:noProof/>
          <w:lang w:val="en-GB" w:eastAsia="zh-CN"/>
        </w:rPr>
        <w:instrText>ADDIN CSL_CITATION {"citationItems":[{"id":"ITEM-1","itemData":{"DOI":"10.1039/c7fd00039a","ISBN":"1359-6640 (Print)\r1359-6640 (Linking)","ISSN":"13645498","PMID":"28657635","abstract":"The 'lignin-first' approach has recently gained attention as an alternative whole biomass pretreatment technology with improved yield and selectivity of aromatics compared with traditional upgrading processes using technical lignins. Metal triflates are effective co-catalysts that considerably speed up the removal of lignin fragments from the whole biomass. As their cost is too high in a scaled-up process, we explored here the use of HCl, H2SO4, H3PO4 and CH3COOH as alternative acid co-catalysts for the tandem reductive fractionation process. HCl and H2SO4 were found to show superior catalytic performance over H3PO4 and CH3COOH in model compound studies that simulate lignin-carbohydrate linkages (phenyl glycoside, glyceryl trioleate) and lignin intralinkages (guaiacylglycerol-β-guaiacyl ether). HCl is a promising alternative to the metal triflates as a co-catalyst in the reductive fraction of woody biomass. Al(OTf)3 and HCl, respectively, afforded 46 wt% and 44 wt% lignin monomers from oak wood sawdust in tandem catalytic systems with Pd/C at 180 °C in 2 h. The retention of cellulose in the solid residue was similar.","author":[{"dropping-particle":"","family":"Huang","given":"Xiaoming","non-dropping-particle":"","parse-names":false,"suffix":""},{"dropping-particle":"","family":"Ouyang","given":"Xianhong","non-dropping-particle":"","parse-names":false,"suffix":""},{"dropping-particle":"","family":"Hendriks","given":"Bart M.S.","non-dropping-particle":"","parse-names":false,"suffix":""},{"dropping-particle":"","family":"Gonzalez","given":"O. M.Morales","non-dropping-particle":"","parse-names":false,"suffix":""},{"dropping-particle":"","family":"Zhu","given":"Jiadong","non-dropping-particle":"","parse-names":false,"suffix":""},{"dropping-particle":"","family":"Korányi","given":"Tamás I.","non-dropping-particle":"","parse-names":false,"suffix":""},{"dropping-particle":"","family":"Boot","given":"Michael D.","non-dropping-particle":"","parse-names":false,"suffix":""},{"dropping-particle":"","family":"Hensen","given":"Emiel J.M.","non-dropping-particle":"","parse-names":false,"suffix":""}],"container-title":"Faraday Discussions","id":"ITEM-1","issued":{"date-parts":[["2017"]]},"page":"141-156","title":"Selective production of mono-aromatics from lignocellulose over Pd/C catalyst: The influence of acid co-catalysts","type":"article-journal","volume":"202"},"uris":["http://www.mendeley.com/documents/?uuid=1f5116ce-1bb3-4b4c-89b4-1d167bb4ba0f"]}],"mendeley":{"formattedCitation":"&lt;sup&gt;49&lt;/sup&gt;","plainTextFormattedCitation":"49","previouslyFormattedCitation":"&lt;sup&gt;49&lt;/sup&gt;"},"properties":{"noteIndex":0},"schema":"https://github.com/citation-style-language/schema/raw/master/csl-citation.json"}</w:instrText>
      </w:r>
      <w:r w:rsidR="00417E50" w:rsidRPr="00CA3946">
        <w:rPr>
          <w:noProof/>
          <w:lang w:val="en-GB" w:eastAsia="zh-CN"/>
        </w:rPr>
        <w:fldChar w:fldCharType="separate"/>
      </w:r>
      <w:r w:rsidR="0097007D" w:rsidRPr="00CA3946">
        <w:rPr>
          <w:noProof/>
          <w:vertAlign w:val="superscript"/>
          <w:lang w:val="en-GB" w:eastAsia="zh-CN"/>
        </w:rPr>
        <w:t>49</w:t>
      </w:r>
      <w:r w:rsidR="00417E50" w:rsidRPr="00CA3946">
        <w:rPr>
          <w:noProof/>
          <w:lang w:val="en-GB" w:eastAsia="zh-CN"/>
        </w:rPr>
        <w:fldChar w:fldCharType="end"/>
      </w:r>
      <w:r w:rsidRPr="00CA3946">
        <w:rPr>
          <w:noProof/>
          <w:lang w:val="en-GB" w:eastAsia="zh-CN"/>
        </w:rPr>
        <w:t xml:space="preserve"> Considering the facile nature of hydrogen dissociation (E</w:t>
      </w:r>
      <w:r w:rsidRPr="00CA3946">
        <w:rPr>
          <w:noProof/>
          <w:vertAlign w:val="subscript"/>
          <w:lang w:val="en-GB" w:eastAsia="zh-CN"/>
        </w:rPr>
        <w:t>barrier</w:t>
      </w:r>
      <w:r w:rsidRPr="00CA3946">
        <w:rPr>
          <w:noProof/>
          <w:lang w:val="en-GB" w:eastAsia="zh-CN"/>
        </w:rPr>
        <w:t xml:space="preserve"> = 0.030 eV and 0.854 eV for the reverse reaction), which agrees well with our previous studies</w:t>
      </w:r>
      <w:r w:rsidR="00417E50" w:rsidRPr="00CA3946">
        <w:rPr>
          <w:noProof/>
          <w:lang w:val="en-GB" w:eastAsia="zh-CN"/>
        </w:rPr>
        <w:fldChar w:fldCharType="begin" w:fldLock="1"/>
      </w:r>
      <w:r w:rsidR="0097007D" w:rsidRPr="00CA3946">
        <w:rPr>
          <w:noProof/>
          <w:lang w:val="en-GB" w:eastAsia="zh-CN"/>
        </w:rPr>
        <w:instrText>ADDIN CSL_CITATION {"citationItems":[{"id":"ITEM-1","itemData":{"DOI":"10.1039/C9CP05476F","ISSN":"1463-9076","abstract":"We present a combined density functional theory (DFT) and Kinetic Monte Carlo (KMC) study of the water gas shift (WGS) reaction on the Pd(100) surface. We propose a mechanism comprising...","author":[{"dropping-particle":"","family":"Chutia","given":"Arunabhiram","non-dropping-particle":"","parse-names":false,"suffix":""},{"dropping-particle":"","family":"Thetford","given":"Adam","non-dropping-particle":"","parse-names":false,"suffix":""},{"dropping-particle":"","family":"Stamatakis","given":"Michail","non-dropping-particle":"","parse-names":false,"suffix":""},{"dropping-particle":"","family":"Catlow","given":"C. Richard A.","non-dropping-particle":"","parse-names":false,"suffix":""}],"container-title":"Physical Chemistry Chemical Physics","id":"ITEM-1","issued":{"date-parts":[["2020"]]},"title":"A DFT and KMC Based Study on the Mechanism of Water Gas Shift Reaction on Pd(100) Surface","type":"article-journal","volume":"19"},"uris":["http://www.mendeley.com/documents/?uuid=7f723737-7b5b-4401-ae45-08fa5a94cf0f"]}],"mendeley":{"formattedCitation":"&lt;sup&gt;50&lt;/sup&gt;","plainTextFormattedCitation":"50","previouslyFormattedCitation":"&lt;sup&gt;50&lt;/sup&gt;"},"properties":{"noteIndex":0},"schema":"https://github.com/citation-style-language/schema/raw/master/csl-citation.json"}</w:instrText>
      </w:r>
      <w:r w:rsidR="00417E50" w:rsidRPr="00CA3946">
        <w:rPr>
          <w:noProof/>
          <w:lang w:val="en-GB" w:eastAsia="zh-CN"/>
        </w:rPr>
        <w:fldChar w:fldCharType="separate"/>
      </w:r>
      <w:r w:rsidR="0097007D" w:rsidRPr="00CA3946">
        <w:rPr>
          <w:noProof/>
          <w:vertAlign w:val="superscript"/>
          <w:lang w:val="en-GB" w:eastAsia="zh-CN"/>
        </w:rPr>
        <w:t>50</w:t>
      </w:r>
      <w:r w:rsidR="00417E50" w:rsidRPr="00CA3946">
        <w:rPr>
          <w:noProof/>
          <w:lang w:val="en-GB" w:eastAsia="zh-CN"/>
        </w:rPr>
        <w:fldChar w:fldCharType="end"/>
      </w:r>
      <w:r w:rsidRPr="00CA3946">
        <w:rPr>
          <w:noProof/>
          <w:lang w:val="en-GB" w:eastAsia="zh-CN"/>
        </w:rPr>
        <w:t xml:space="preserve"> (See Figure S</w:t>
      </w:r>
      <w:r w:rsidR="00950C93" w:rsidRPr="00CA3946">
        <w:rPr>
          <w:noProof/>
          <w:lang w:val="en-GB" w:eastAsia="zh-CN"/>
        </w:rPr>
        <w:t>11</w:t>
      </w:r>
      <w:r w:rsidRPr="00CA3946">
        <w:rPr>
          <w:noProof/>
          <w:lang w:val="en-GB" w:eastAsia="zh-CN"/>
        </w:rPr>
        <w:t>) over Pd surfaces. Therefore, this process would not be expected to be rate limiting. By extension, the catalytic activity would not have a linear correlation with the Pd metal loading (surface area), i.e. fast hydrogen dissociation on Pd surfaces, with slower hydrogenation of furfural on NiO surfaces. To test this hypothesis two further catalysts were prepared – 0.1 wt% Pd/TiO</w:t>
      </w:r>
      <w:r w:rsidRPr="00CA3946">
        <w:rPr>
          <w:noProof/>
          <w:vertAlign w:val="subscript"/>
          <w:lang w:val="en-GB" w:eastAsia="zh-CN"/>
        </w:rPr>
        <w:t>2</w:t>
      </w:r>
      <w:r w:rsidRPr="00CA3946">
        <w:rPr>
          <w:noProof/>
          <w:lang w:val="en-GB" w:eastAsia="zh-CN"/>
        </w:rPr>
        <w:t xml:space="preserve"> and 0.1 wt% Pd/NiO. The Pd loading was confirmed using AAS and the particle size assessed by HRTEM. The 0.1 wt% Pd/TiO</w:t>
      </w:r>
      <w:r w:rsidRPr="00CA3946">
        <w:rPr>
          <w:noProof/>
          <w:vertAlign w:val="subscript"/>
          <w:lang w:val="en-GB" w:eastAsia="zh-CN"/>
        </w:rPr>
        <w:t>2</w:t>
      </w:r>
      <w:r w:rsidRPr="00CA3946">
        <w:rPr>
          <w:noProof/>
          <w:lang w:val="en-GB" w:eastAsia="zh-CN"/>
        </w:rPr>
        <w:t xml:space="preserve"> and 0.1 wt% NiO catalysts were found to have particle sizes of 2.2 and 3.8 nm, respectively)</w:t>
      </w:r>
      <w:r w:rsidR="00950C93" w:rsidRPr="00CA3946">
        <w:rPr>
          <w:noProof/>
          <w:lang w:val="en-GB" w:eastAsia="zh-CN"/>
        </w:rPr>
        <w:t xml:space="preserve"> (Figure S12</w:t>
      </w:r>
      <w:r w:rsidR="00A75222" w:rsidRPr="00CA3946">
        <w:rPr>
          <w:noProof/>
          <w:lang w:val="en-GB" w:eastAsia="zh-CN"/>
        </w:rPr>
        <w:t>)</w:t>
      </w:r>
      <w:r w:rsidRPr="00CA3946">
        <w:rPr>
          <w:noProof/>
          <w:lang w:val="en-GB" w:eastAsia="zh-CN"/>
        </w:rPr>
        <w:t>.</w:t>
      </w:r>
    </w:p>
    <w:p w14:paraId="5C4D5D47" w14:textId="7D6D7D88" w:rsidR="00766C52" w:rsidRPr="00CA3946" w:rsidRDefault="00A75222" w:rsidP="00417E50">
      <w:pPr>
        <w:pStyle w:val="TAMainText"/>
        <w:rPr>
          <w:noProof/>
          <w:lang w:val="en-GB" w:eastAsia="zh-CN"/>
        </w:rPr>
      </w:pPr>
      <w:r w:rsidRPr="00CA3946">
        <w:rPr>
          <w:b/>
          <w:noProof/>
          <w:sz w:val="16"/>
          <w:szCs w:val="16"/>
          <w:lang w:val="en-GB" w:eastAsia="en-GB"/>
        </w:rPr>
        <w:drawing>
          <wp:inline distT="0" distB="0" distL="0" distR="0" wp14:anchorId="6C75C4E9" wp14:editId="3CF98B13">
            <wp:extent cx="3044825" cy="1460500"/>
            <wp:effectExtent l="0" t="0" r="3175"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8">
                      <a:extLst>
                        <a:ext uri="{28A0092B-C50C-407E-A947-70E740481C1C}">
                          <a14:useLocalDpi xmlns:a14="http://schemas.microsoft.com/office/drawing/2010/main" val="0"/>
                        </a:ext>
                      </a:extLst>
                    </a:blip>
                    <a:stretch>
                      <a:fillRect/>
                    </a:stretch>
                  </pic:blipFill>
                  <pic:spPr>
                    <a:xfrm>
                      <a:off x="0" y="0"/>
                      <a:ext cx="3044825" cy="1460500"/>
                    </a:xfrm>
                    <a:prstGeom prst="rect">
                      <a:avLst/>
                    </a:prstGeom>
                  </pic:spPr>
                </pic:pic>
              </a:graphicData>
            </a:graphic>
          </wp:inline>
        </w:drawing>
      </w:r>
      <w:r w:rsidR="00CA6C20" w:rsidRPr="00CA3946">
        <w:rPr>
          <w:b/>
          <w:noProof/>
          <w:sz w:val="16"/>
          <w:szCs w:val="16"/>
        </w:rPr>
        <w:t xml:space="preserve"> </w:t>
      </w:r>
    </w:p>
    <w:p w14:paraId="1F00595E" w14:textId="77777777" w:rsidR="00CA6C20" w:rsidRPr="00CA3946" w:rsidRDefault="00CA6C20" w:rsidP="00CA6C20">
      <w:pPr>
        <w:pStyle w:val="VAFigureCaption"/>
      </w:pPr>
      <w:r w:rsidRPr="00CA3946">
        <w:t xml:space="preserve">Figure 5. a) HAADF Signal, b) HAADF signal </w:t>
      </w:r>
      <w:r w:rsidR="0029516B" w:rsidRPr="00CA3946">
        <w:t>f</w:t>
      </w:r>
      <w:r w:rsidRPr="00CA3946">
        <w:t xml:space="preserve"> physical mixture </w:t>
      </w:r>
      <w:r w:rsidR="0029516B" w:rsidRPr="00CA3946">
        <w:t xml:space="preserve">of </w:t>
      </w:r>
      <w:r w:rsidRPr="00CA3946">
        <w:t>1 wt% Pd/TiO</w:t>
      </w:r>
      <w:r w:rsidRPr="00CA3946">
        <w:rPr>
          <w:vertAlign w:val="subscript"/>
        </w:rPr>
        <w:t>2</w:t>
      </w:r>
      <w:r w:rsidRPr="00CA3946">
        <w:t xml:space="preserve"> and NiO after reaction.</w:t>
      </w:r>
    </w:p>
    <w:p w14:paraId="5791EDA4" w14:textId="292405F2" w:rsidR="00677465" w:rsidRPr="00CA3946" w:rsidRDefault="00DB3243" w:rsidP="003D4A1F">
      <w:pPr>
        <w:pStyle w:val="TAMainText"/>
      </w:pPr>
      <w:r w:rsidRPr="00CA3946">
        <w:t>The lower loading supported Pd catalysts were assessed using the same testing procedure reported earlier with the data presented in Table 1.  The 0.1 wt% Pd/TiO</w:t>
      </w:r>
      <w:r w:rsidRPr="00CA3946">
        <w:rPr>
          <w:vertAlign w:val="subscript"/>
        </w:rPr>
        <w:t>2</w:t>
      </w:r>
      <w:r w:rsidRPr="00CA3946">
        <w:t xml:space="preserve"> catalyst </w:t>
      </w:r>
      <w:r w:rsidRPr="00CA3946">
        <w:lastRenderedPageBreak/>
        <w:t>had an activity of 31 mol (metal mol)</w:t>
      </w:r>
      <w:r w:rsidRPr="00CA3946">
        <w:rPr>
          <w:vertAlign w:val="superscript"/>
        </w:rPr>
        <w:t>-1</w:t>
      </w:r>
      <w:r w:rsidRPr="00CA3946">
        <w:t xml:space="preserve"> h</w:t>
      </w:r>
      <w:r w:rsidRPr="00CA3946">
        <w:rPr>
          <w:vertAlign w:val="superscript"/>
        </w:rPr>
        <w:t>-1</w:t>
      </w:r>
      <w:r w:rsidRPr="00CA3946">
        <w:t>, an approximate 10 fold reduction in performance compared to the 1wt% Pd/TiO</w:t>
      </w:r>
      <w:r w:rsidRPr="00CA3946">
        <w:rPr>
          <w:vertAlign w:val="subscript"/>
        </w:rPr>
        <w:t>2</w:t>
      </w:r>
      <w:r w:rsidRPr="00CA3946">
        <w:t xml:space="preserve"> (321 mol (metal mol)</w:t>
      </w:r>
      <w:r w:rsidRPr="00CA3946">
        <w:rPr>
          <w:vertAlign w:val="superscript"/>
        </w:rPr>
        <w:t>-1</w:t>
      </w:r>
      <w:r w:rsidRPr="00CA3946">
        <w:t xml:space="preserve"> h</w:t>
      </w:r>
      <w:r w:rsidRPr="00CA3946">
        <w:rPr>
          <w:vertAlign w:val="superscript"/>
        </w:rPr>
        <w:t>-1</w:t>
      </w:r>
      <w:r w:rsidRPr="00CA3946">
        <w:t>)</w:t>
      </w:r>
      <w:r w:rsidR="00744166" w:rsidRPr="00CA3946">
        <w:t xml:space="preserve"> </w:t>
      </w:r>
      <w:r w:rsidRPr="00CA3946">
        <w:t>(Table 2). For the Pd/TiO</w:t>
      </w:r>
      <w:r w:rsidRPr="00CA3946">
        <w:rPr>
          <w:vertAlign w:val="subscript"/>
        </w:rPr>
        <w:t>2</w:t>
      </w:r>
      <w:r w:rsidRPr="00CA3946">
        <w:t xml:space="preserve"> catalysts, both the hydrogen dissociation and furfural adsorption happen on the Pd surface. As the Pd loading decreases there is concomitant, and in this case, equal reduction in Pd surface area and as a consequence the rate of turnover. Conversely, the 0.1 wt% Pd/NiO catalyst shows only a minor loss of activity compared to the 1wt% Pd/NiO catalyst – 421 mol (metal mol)</w:t>
      </w:r>
      <w:r w:rsidRPr="00CA3946">
        <w:rPr>
          <w:vertAlign w:val="superscript"/>
        </w:rPr>
        <w:t>-1</w:t>
      </w:r>
      <w:r w:rsidRPr="00CA3946">
        <w:t xml:space="preserve"> h</w:t>
      </w:r>
      <w:r w:rsidRPr="00CA3946">
        <w:rPr>
          <w:vertAlign w:val="superscript"/>
        </w:rPr>
        <w:t>-1</w:t>
      </w:r>
      <w:r w:rsidRPr="00CA3946">
        <w:t xml:space="preserve"> vs. 471 mol (metal mol)</w:t>
      </w:r>
      <w:r w:rsidRPr="00CA3946">
        <w:rPr>
          <w:vertAlign w:val="superscript"/>
        </w:rPr>
        <w:t>-1</w:t>
      </w:r>
      <w:r w:rsidRPr="00CA3946">
        <w:t xml:space="preserve"> h</w:t>
      </w:r>
      <w:r w:rsidRPr="00CA3946">
        <w:rPr>
          <w:vertAlign w:val="superscript"/>
        </w:rPr>
        <w:t>-1</w:t>
      </w:r>
      <w:r w:rsidRPr="00CA3946">
        <w:t>. The inference is that the hydrogenation mechanism of furfural is indeed different on Pd/NiO compared to Pd/TiO</w:t>
      </w:r>
      <w:r w:rsidRPr="00CA3946">
        <w:rPr>
          <w:vertAlign w:val="subscript"/>
        </w:rPr>
        <w:t>2</w:t>
      </w:r>
      <w:r w:rsidRPr="00CA3946">
        <w:t xml:space="preserve">. This supports the proposed hypothesis that the role of Pd is to dissociate hydrogen and that the role of NiO is to bind and activate the substrate. </w:t>
      </w:r>
      <w:r w:rsidR="00677465" w:rsidRPr="00F664B4">
        <w:t>It is worth stating that a minor amount of hydrogenation of furfural on the Pd surface is also possible, as is suggested by the subtle change in selectivity profile compared to NiO. However, seeing as the activity is maintained at such low Pd loadings it would infer that the vast majority of furfural hydrogenation occurs on the NiO.</w:t>
      </w:r>
    </w:p>
    <w:p w14:paraId="6B712631" w14:textId="1D66BDE2" w:rsidR="00365207" w:rsidRPr="00CA3946" w:rsidRDefault="00677465" w:rsidP="003D4A1F">
      <w:pPr>
        <w:pStyle w:val="TAMainText"/>
      </w:pPr>
      <w:r w:rsidRPr="00CA3946">
        <w:t xml:space="preserve"> </w:t>
      </w:r>
      <w:r w:rsidR="00DB3243" w:rsidRPr="00F664B4">
        <w:t>A further series of control experiments were then performed to assess the hydrogen spillover in greater detail. Initially, the catalytic activity of a physical mixture of 1wt% Pd/TiO</w:t>
      </w:r>
      <w:r w:rsidR="00DB3243" w:rsidRPr="00F664B4">
        <w:rPr>
          <w:vertAlign w:val="subscript"/>
        </w:rPr>
        <w:t>2</w:t>
      </w:r>
      <w:r w:rsidR="00DB3243" w:rsidRPr="00F664B4">
        <w:t xml:space="preserve"> and NiO was assessed; the intention was to confirm that the enhancement afforded by the NiO support </w:t>
      </w:r>
      <w:r w:rsidR="00DB3243" w:rsidRPr="00F664B4">
        <w:lastRenderedPageBreak/>
        <w:t>was linked to the Pd NiO interaction. The catalytic activity of the physical mixture proved different to that of the Pd/TiO</w:t>
      </w:r>
      <w:r w:rsidR="00DB3243" w:rsidRPr="00F664B4">
        <w:rPr>
          <w:vertAlign w:val="subscript"/>
        </w:rPr>
        <w:t>2</w:t>
      </w:r>
      <w:r w:rsidR="00DB3243" w:rsidRPr="00F664B4">
        <w:t xml:space="preserve"> alone. The activity increased from 321 to 436 (metal mol)</w:t>
      </w:r>
      <w:r w:rsidR="00DB3243" w:rsidRPr="00F664B4">
        <w:rPr>
          <w:vertAlign w:val="superscript"/>
        </w:rPr>
        <w:t>-1</w:t>
      </w:r>
      <w:r w:rsidR="00DB3243" w:rsidRPr="00F664B4">
        <w:t xml:space="preserve"> h</w:t>
      </w:r>
      <w:r w:rsidR="00DB3243" w:rsidRPr="00F664B4">
        <w:rPr>
          <w:vertAlign w:val="superscript"/>
        </w:rPr>
        <w:t>-1</w:t>
      </w:r>
      <w:r w:rsidR="00DB3243" w:rsidRPr="00F664B4">
        <w:t>, a value greater than the addition of the activity of both separate components (1wt% Pd/TiO</w:t>
      </w:r>
      <w:r w:rsidR="00DB3243" w:rsidRPr="00F664B4">
        <w:rPr>
          <w:vertAlign w:val="subscript"/>
        </w:rPr>
        <w:t>2</w:t>
      </w:r>
      <w:r w:rsidR="00DB3243" w:rsidRPr="00F664B4">
        <w:t xml:space="preserve"> and NiO). Furthermore, there was also a change in the selectivity to THFA, increasing from 23 to 33%.</w:t>
      </w:r>
      <w:r w:rsidR="00CC29C6" w:rsidRPr="00F664B4">
        <w:t xml:space="preserve"> The enhancement observed for the physical mixture of 1wt% Pd/TiO</w:t>
      </w:r>
      <w:r w:rsidR="00CC29C6" w:rsidRPr="00F664B4">
        <w:rPr>
          <w:vertAlign w:val="subscript"/>
        </w:rPr>
        <w:t>2</w:t>
      </w:r>
      <w:r w:rsidR="00CC29C6" w:rsidRPr="00F664B4">
        <w:t xml:space="preserve"> and NiO can be explained by the detachment of Ni during the hydrogenation reaction, which decorate Pd nanoparticles as found with HAADF STEM EDX studies (Figure 5). </w:t>
      </w:r>
      <w:r w:rsidR="00DB3243" w:rsidRPr="00F664B4">
        <w:t xml:space="preserve"> To assess </w:t>
      </w:r>
      <w:r w:rsidR="00CC29C6" w:rsidRPr="00F664B4">
        <w:t xml:space="preserve">further, </w:t>
      </w:r>
      <w:r w:rsidR="00DB3243" w:rsidRPr="00F664B4">
        <w:t xml:space="preserve">whether this increase in performance </w:t>
      </w:r>
      <w:r w:rsidR="00CC29C6" w:rsidRPr="00F664B4">
        <w:t>could be a</w:t>
      </w:r>
      <w:r w:rsidR="00DB3243" w:rsidRPr="00F664B4">
        <w:t xml:space="preserve"> result of long-range hydrogen spillover, a control experiment of the 0.1 wt% Pd/TiO</w:t>
      </w:r>
      <w:r w:rsidR="00DB3243" w:rsidRPr="00F664B4">
        <w:rPr>
          <w:vertAlign w:val="subscript"/>
        </w:rPr>
        <w:t>2</w:t>
      </w:r>
      <w:r w:rsidR="00DB3243" w:rsidRPr="00F664B4">
        <w:t xml:space="preserve"> with NiO was also performed. Here,</w:t>
      </w:r>
      <w:r w:rsidR="006B3D5F" w:rsidRPr="00F664B4">
        <w:t xml:space="preserve"> </w:t>
      </w:r>
      <w:r w:rsidR="00DB3243" w:rsidRPr="00F664B4">
        <w:t>the physical mixture showed broadly consistent catalytic</w:t>
      </w:r>
      <w:r w:rsidR="0078422A" w:rsidRPr="00F664B4">
        <w:t xml:space="preserve"> </w:t>
      </w:r>
      <w:r w:rsidR="00DB3243" w:rsidRPr="00F664B4">
        <w:t>performance to the 0.1 wt% Pd/TiO</w:t>
      </w:r>
      <w:r w:rsidR="00DB3243" w:rsidRPr="00F664B4">
        <w:rPr>
          <w:vertAlign w:val="subscript"/>
        </w:rPr>
        <w:t>2</w:t>
      </w:r>
      <w:r w:rsidR="00DB3243" w:rsidRPr="00F664B4">
        <w:t>, with no discernible increase in rate</w:t>
      </w:r>
      <w:r w:rsidR="00CC29C6" w:rsidRPr="00F664B4">
        <w:t xml:space="preserve">; the dissolution and re-adsorption of Pd is negligible at these low loadings so no promotional effect is observed. </w:t>
      </w:r>
      <w:r w:rsidR="00DB3243" w:rsidRPr="00F664B4">
        <w:t>These two control experiments confirmed that the dual-site hydrogenation mechanism found for Pd/NiO requires the intimate contact of both Pd/NiO.</w:t>
      </w:r>
      <w:r w:rsidR="00DB3243" w:rsidRPr="00CA3946">
        <w:t xml:space="preserve"> </w:t>
      </w:r>
    </w:p>
    <w:p w14:paraId="6ED304BB" w14:textId="77777777" w:rsidR="003F3B53" w:rsidRPr="00CA3946" w:rsidRDefault="003F3B53" w:rsidP="003D4A1F">
      <w:pPr>
        <w:pStyle w:val="TAMainText"/>
      </w:pPr>
    </w:p>
    <w:p w14:paraId="30697F88" w14:textId="77777777" w:rsidR="003F3B53" w:rsidRPr="00CA3946" w:rsidRDefault="003F3B53" w:rsidP="003D4A1F">
      <w:pPr>
        <w:pStyle w:val="TAMainText"/>
      </w:pPr>
    </w:p>
    <w:p w14:paraId="29251316" w14:textId="77777777" w:rsidR="007D1328" w:rsidRPr="00CA3946" w:rsidRDefault="007D1328" w:rsidP="003D4A1F">
      <w:pPr>
        <w:pStyle w:val="TAMainText"/>
        <w:sectPr w:rsidR="007D1328" w:rsidRPr="00CA3946" w:rsidSect="00984F9E">
          <w:type w:val="continuous"/>
          <w:pgSz w:w="12240" w:h="15840"/>
          <w:pgMar w:top="720" w:right="1094" w:bottom="720" w:left="1094" w:header="720" w:footer="720" w:gutter="0"/>
          <w:cols w:num="2" w:space="461"/>
        </w:sectPr>
      </w:pPr>
    </w:p>
    <w:p w14:paraId="5A4E5926" w14:textId="77777777" w:rsidR="00365207" w:rsidRPr="00CA3946" w:rsidRDefault="00365207" w:rsidP="00365207">
      <w:pPr>
        <w:pStyle w:val="VDTableTitle"/>
      </w:pPr>
      <w:r w:rsidRPr="00CA3946">
        <w:lastRenderedPageBreak/>
        <w:t>Table 2 Catalytic activity testing for the hydrogenation of furfural at 50°C and TEM particle size data for lower loading Pd/TiO</w:t>
      </w:r>
      <w:r w:rsidRPr="00CA3946">
        <w:rPr>
          <w:vertAlign w:val="subscript"/>
        </w:rPr>
        <w:t>2</w:t>
      </w:r>
      <w:r w:rsidRPr="00CA3946">
        <w:t xml:space="preserve"> catalysts and control experiments.</w:t>
      </w:r>
    </w:p>
    <w:tbl>
      <w:tblPr>
        <w:tblStyle w:val="TableGrid"/>
        <w:tblW w:w="5000" w:type="pct"/>
        <w:jc w:val="center"/>
        <w:tblLayout w:type="fixed"/>
        <w:tblLook w:val="04A0" w:firstRow="1" w:lastRow="0" w:firstColumn="1" w:lastColumn="0" w:noHBand="0" w:noVBand="1"/>
      </w:tblPr>
      <w:tblGrid>
        <w:gridCol w:w="1721"/>
        <w:gridCol w:w="941"/>
        <w:gridCol w:w="521"/>
        <w:gridCol w:w="706"/>
        <w:gridCol w:w="663"/>
        <w:gridCol w:w="942"/>
        <w:gridCol w:w="785"/>
        <w:gridCol w:w="475"/>
        <w:gridCol w:w="474"/>
        <w:gridCol w:w="318"/>
        <w:gridCol w:w="1175"/>
        <w:gridCol w:w="1331"/>
      </w:tblGrid>
      <w:tr w:rsidR="00365207" w:rsidRPr="00CA3946" w14:paraId="2345620C" w14:textId="77777777" w:rsidTr="00E275A8">
        <w:trPr>
          <w:jc w:val="center"/>
        </w:trPr>
        <w:tc>
          <w:tcPr>
            <w:tcW w:w="1766" w:type="dxa"/>
            <w:vMerge w:val="restart"/>
            <w:tcBorders>
              <w:top w:val="single" w:sz="4" w:space="0" w:color="auto"/>
              <w:left w:val="nil"/>
              <w:bottom w:val="nil"/>
              <w:right w:val="nil"/>
            </w:tcBorders>
          </w:tcPr>
          <w:p w14:paraId="0ABEF15B" w14:textId="77777777" w:rsidR="00365207" w:rsidRPr="00CA3946" w:rsidRDefault="00365207" w:rsidP="00365207">
            <w:pPr>
              <w:pStyle w:val="TCTableBody"/>
              <w:rPr>
                <w:lang w:val="en-US"/>
              </w:rPr>
            </w:pPr>
            <w:r w:rsidRPr="00CA3946">
              <w:rPr>
                <w:lang w:val="en-US"/>
              </w:rPr>
              <w:t>Catalyst</w:t>
            </w:r>
            <w:r w:rsidRPr="00CA3946">
              <w:rPr>
                <w:vertAlign w:val="superscript"/>
                <w:lang w:val="en-US"/>
              </w:rPr>
              <w:t>a</w:t>
            </w:r>
          </w:p>
        </w:tc>
        <w:tc>
          <w:tcPr>
            <w:tcW w:w="962" w:type="dxa"/>
            <w:vMerge w:val="restart"/>
            <w:tcBorders>
              <w:top w:val="single" w:sz="4" w:space="0" w:color="auto"/>
              <w:left w:val="nil"/>
              <w:bottom w:val="nil"/>
              <w:right w:val="nil"/>
            </w:tcBorders>
          </w:tcPr>
          <w:p w14:paraId="5A3DEEC6" w14:textId="77777777" w:rsidR="00365207" w:rsidRPr="00CA3946" w:rsidRDefault="00365207" w:rsidP="00365207">
            <w:pPr>
              <w:pStyle w:val="TCTableBody"/>
              <w:rPr>
                <w:lang w:val="en-GB"/>
              </w:rPr>
            </w:pPr>
            <w:r w:rsidRPr="00CA3946">
              <w:rPr>
                <w:lang w:val="en-US"/>
              </w:rPr>
              <w:t>Activity</w:t>
            </w:r>
            <w:r w:rsidRPr="00CA3946">
              <w:rPr>
                <w:vertAlign w:val="superscript"/>
                <w:lang w:val="en-US"/>
              </w:rPr>
              <w:t>b</w:t>
            </w:r>
          </w:p>
        </w:tc>
        <w:tc>
          <w:tcPr>
            <w:tcW w:w="4653" w:type="dxa"/>
            <w:gridSpan w:val="7"/>
            <w:tcBorders>
              <w:top w:val="single" w:sz="4" w:space="0" w:color="auto"/>
              <w:left w:val="nil"/>
              <w:bottom w:val="single" w:sz="4" w:space="0" w:color="auto"/>
              <w:right w:val="nil"/>
            </w:tcBorders>
          </w:tcPr>
          <w:p w14:paraId="14FDFD0C" w14:textId="77777777" w:rsidR="00365207" w:rsidRPr="00CA3946" w:rsidRDefault="00365207" w:rsidP="00365207">
            <w:pPr>
              <w:pStyle w:val="TCTableBody"/>
              <w:rPr>
                <w:lang w:val="en-US"/>
              </w:rPr>
            </w:pPr>
            <w:r w:rsidRPr="00CA3946">
              <w:rPr>
                <w:lang w:val="en-US"/>
              </w:rPr>
              <w:t>Selectivity</w:t>
            </w:r>
            <w:r w:rsidRPr="00CA3946">
              <w:rPr>
                <w:vertAlign w:val="superscript"/>
                <w:lang w:val="en-US"/>
              </w:rPr>
              <w:t xml:space="preserve"> </w:t>
            </w:r>
            <w:r w:rsidRPr="00CA3946">
              <w:rPr>
                <w:lang w:val="en-US"/>
              </w:rPr>
              <w:t>(%)</w:t>
            </w:r>
            <w:r w:rsidRPr="00CA3946">
              <w:rPr>
                <w:vertAlign w:val="superscript"/>
                <w:lang w:val="en-US"/>
              </w:rPr>
              <w:t>c</w:t>
            </w:r>
          </w:p>
        </w:tc>
        <w:tc>
          <w:tcPr>
            <w:tcW w:w="320" w:type="dxa"/>
            <w:tcBorders>
              <w:top w:val="single" w:sz="4" w:space="0" w:color="auto"/>
              <w:left w:val="nil"/>
              <w:bottom w:val="nil"/>
              <w:right w:val="nil"/>
            </w:tcBorders>
          </w:tcPr>
          <w:p w14:paraId="6EE1640A" w14:textId="77777777" w:rsidR="00365207" w:rsidRPr="00CA3946" w:rsidRDefault="00365207" w:rsidP="00365207">
            <w:pPr>
              <w:pStyle w:val="TCTableBody"/>
              <w:rPr>
                <w:lang w:val="en-US"/>
              </w:rPr>
            </w:pPr>
          </w:p>
        </w:tc>
        <w:tc>
          <w:tcPr>
            <w:tcW w:w="2567" w:type="dxa"/>
            <w:gridSpan w:val="2"/>
            <w:tcBorders>
              <w:top w:val="single" w:sz="4" w:space="0" w:color="auto"/>
              <w:left w:val="nil"/>
              <w:bottom w:val="single" w:sz="4" w:space="0" w:color="auto"/>
              <w:right w:val="nil"/>
            </w:tcBorders>
          </w:tcPr>
          <w:p w14:paraId="57C7B3B1" w14:textId="77777777" w:rsidR="00365207" w:rsidRPr="00CA3946" w:rsidRDefault="00365207" w:rsidP="00365207">
            <w:pPr>
              <w:pStyle w:val="TCTableBody"/>
              <w:rPr>
                <w:vertAlign w:val="superscript"/>
                <w:lang w:val="en-US"/>
              </w:rPr>
            </w:pPr>
            <w:r w:rsidRPr="00CA3946">
              <w:rPr>
                <w:lang w:val="en-US"/>
              </w:rPr>
              <w:t>Pd particle size</w:t>
            </w:r>
            <w:r w:rsidRPr="00CA3946">
              <w:rPr>
                <w:vertAlign w:val="superscript"/>
                <w:lang w:val="en-US"/>
              </w:rPr>
              <w:t>e</w:t>
            </w:r>
          </w:p>
        </w:tc>
      </w:tr>
      <w:tr w:rsidR="00365207" w:rsidRPr="00CA3946" w14:paraId="5C146A3F" w14:textId="77777777" w:rsidTr="00E275A8">
        <w:trPr>
          <w:jc w:val="center"/>
        </w:trPr>
        <w:tc>
          <w:tcPr>
            <w:tcW w:w="1766" w:type="dxa"/>
            <w:vMerge/>
            <w:tcBorders>
              <w:top w:val="nil"/>
              <w:left w:val="nil"/>
              <w:bottom w:val="nil"/>
              <w:right w:val="nil"/>
            </w:tcBorders>
          </w:tcPr>
          <w:p w14:paraId="37CF2A8C" w14:textId="77777777" w:rsidR="00365207" w:rsidRPr="00CA3946" w:rsidRDefault="00365207" w:rsidP="00365207">
            <w:pPr>
              <w:pStyle w:val="TCTableBody"/>
              <w:rPr>
                <w:lang w:val="en-US"/>
              </w:rPr>
            </w:pPr>
          </w:p>
        </w:tc>
        <w:tc>
          <w:tcPr>
            <w:tcW w:w="962" w:type="dxa"/>
            <w:vMerge/>
            <w:tcBorders>
              <w:top w:val="nil"/>
              <w:left w:val="nil"/>
              <w:bottom w:val="nil"/>
              <w:right w:val="nil"/>
            </w:tcBorders>
          </w:tcPr>
          <w:p w14:paraId="219FFB94" w14:textId="77777777" w:rsidR="00365207" w:rsidRPr="00CA3946" w:rsidRDefault="00365207" w:rsidP="00365207">
            <w:pPr>
              <w:pStyle w:val="TCTableBody"/>
              <w:rPr>
                <w:lang w:val="en-US"/>
              </w:rPr>
            </w:pPr>
          </w:p>
        </w:tc>
        <w:tc>
          <w:tcPr>
            <w:tcW w:w="530" w:type="dxa"/>
            <w:vMerge w:val="restart"/>
            <w:tcBorders>
              <w:top w:val="single" w:sz="4" w:space="0" w:color="auto"/>
              <w:left w:val="nil"/>
              <w:bottom w:val="nil"/>
              <w:right w:val="nil"/>
            </w:tcBorders>
          </w:tcPr>
          <w:p w14:paraId="11831185" w14:textId="77777777" w:rsidR="00365207" w:rsidRPr="00CA3946" w:rsidRDefault="00365207" w:rsidP="00365207">
            <w:pPr>
              <w:pStyle w:val="TCTableBody"/>
              <w:rPr>
                <w:lang w:val="en-US"/>
              </w:rPr>
            </w:pPr>
            <w:r w:rsidRPr="00CA3946">
              <w:rPr>
                <w:lang w:val="en-US"/>
              </w:rPr>
              <w:t>FA</w:t>
            </w:r>
          </w:p>
        </w:tc>
        <w:tc>
          <w:tcPr>
            <w:tcW w:w="720" w:type="dxa"/>
            <w:vMerge w:val="restart"/>
            <w:tcBorders>
              <w:top w:val="single" w:sz="4" w:space="0" w:color="auto"/>
              <w:left w:val="nil"/>
              <w:bottom w:val="nil"/>
              <w:right w:val="nil"/>
            </w:tcBorders>
          </w:tcPr>
          <w:p w14:paraId="6C43C9FF" w14:textId="77777777" w:rsidR="00365207" w:rsidRPr="00CA3946" w:rsidRDefault="00365207" w:rsidP="00365207">
            <w:pPr>
              <w:pStyle w:val="TCTableBody"/>
              <w:rPr>
                <w:lang w:val="en-US"/>
              </w:rPr>
            </w:pPr>
            <w:r w:rsidRPr="00CA3946">
              <w:rPr>
                <w:lang w:val="en-US"/>
              </w:rPr>
              <w:t>THFA</w:t>
            </w:r>
          </w:p>
        </w:tc>
        <w:tc>
          <w:tcPr>
            <w:tcW w:w="676" w:type="dxa"/>
            <w:vMerge w:val="restart"/>
            <w:tcBorders>
              <w:top w:val="single" w:sz="4" w:space="0" w:color="auto"/>
              <w:left w:val="nil"/>
              <w:bottom w:val="nil"/>
              <w:right w:val="nil"/>
            </w:tcBorders>
          </w:tcPr>
          <w:p w14:paraId="7FA91BB1" w14:textId="77777777" w:rsidR="00365207" w:rsidRPr="00CA3946" w:rsidRDefault="00365207" w:rsidP="00365207">
            <w:pPr>
              <w:pStyle w:val="TCTableBody"/>
              <w:rPr>
                <w:lang w:val="en-US"/>
              </w:rPr>
            </w:pPr>
            <w:r w:rsidRPr="00CA3946">
              <w:rPr>
                <w:lang w:val="en-US"/>
              </w:rPr>
              <w:t>2-MF</w:t>
            </w:r>
          </w:p>
        </w:tc>
        <w:tc>
          <w:tcPr>
            <w:tcW w:w="963" w:type="dxa"/>
            <w:vMerge w:val="restart"/>
            <w:tcBorders>
              <w:top w:val="single" w:sz="4" w:space="0" w:color="auto"/>
              <w:left w:val="nil"/>
              <w:bottom w:val="nil"/>
              <w:right w:val="nil"/>
            </w:tcBorders>
          </w:tcPr>
          <w:p w14:paraId="15985069" w14:textId="77777777" w:rsidR="00365207" w:rsidRPr="00CA3946" w:rsidRDefault="00365207" w:rsidP="00365207">
            <w:pPr>
              <w:pStyle w:val="TCTableBody"/>
              <w:rPr>
                <w:lang w:val="en-US"/>
              </w:rPr>
            </w:pPr>
            <w:r w:rsidRPr="00CA3946">
              <w:rPr>
                <w:lang w:val="en-US"/>
              </w:rPr>
              <w:t>2-MTHF</w:t>
            </w:r>
          </w:p>
        </w:tc>
        <w:tc>
          <w:tcPr>
            <w:tcW w:w="801" w:type="dxa"/>
            <w:vMerge w:val="restart"/>
            <w:tcBorders>
              <w:top w:val="single" w:sz="4" w:space="0" w:color="auto"/>
              <w:left w:val="nil"/>
              <w:bottom w:val="nil"/>
              <w:right w:val="nil"/>
            </w:tcBorders>
          </w:tcPr>
          <w:p w14:paraId="0F519068" w14:textId="77777777" w:rsidR="00365207" w:rsidRPr="00CA3946" w:rsidRDefault="00365207" w:rsidP="00365207">
            <w:pPr>
              <w:pStyle w:val="TCTableBody"/>
              <w:rPr>
                <w:lang w:val="en-US"/>
              </w:rPr>
            </w:pPr>
            <w:r w:rsidRPr="00CA3946">
              <w:rPr>
                <w:lang w:val="en-US"/>
              </w:rPr>
              <w:t>Furan</w:t>
            </w:r>
          </w:p>
        </w:tc>
        <w:tc>
          <w:tcPr>
            <w:tcW w:w="963" w:type="dxa"/>
            <w:gridSpan w:val="2"/>
            <w:tcBorders>
              <w:top w:val="single" w:sz="4" w:space="0" w:color="auto"/>
              <w:left w:val="nil"/>
              <w:bottom w:val="nil"/>
              <w:right w:val="nil"/>
            </w:tcBorders>
          </w:tcPr>
          <w:p w14:paraId="471DAB77" w14:textId="77777777" w:rsidR="00365207" w:rsidRPr="00CA3946" w:rsidRDefault="00365207" w:rsidP="00365207">
            <w:pPr>
              <w:pStyle w:val="TCTableBody"/>
              <w:rPr>
                <w:lang w:val="en-US"/>
              </w:rPr>
            </w:pPr>
            <w:r w:rsidRPr="00CA3946">
              <w:rPr>
                <w:lang w:val="en-US"/>
              </w:rPr>
              <w:t>Ethers</w:t>
            </w:r>
          </w:p>
        </w:tc>
        <w:tc>
          <w:tcPr>
            <w:tcW w:w="320" w:type="dxa"/>
            <w:tcBorders>
              <w:top w:val="nil"/>
              <w:left w:val="nil"/>
              <w:bottom w:val="nil"/>
              <w:right w:val="nil"/>
            </w:tcBorders>
          </w:tcPr>
          <w:p w14:paraId="5847CB39" w14:textId="77777777" w:rsidR="00365207" w:rsidRPr="00CA3946" w:rsidRDefault="00365207" w:rsidP="00365207">
            <w:pPr>
              <w:pStyle w:val="TCTableBody"/>
              <w:rPr>
                <w:lang w:val="en-US"/>
              </w:rPr>
            </w:pPr>
          </w:p>
        </w:tc>
        <w:tc>
          <w:tcPr>
            <w:tcW w:w="1203" w:type="dxa"/>
            <w:tcBorders>
              <w:top w:val="single" w:sz="4" w:space="0" w:color="auto"/>
              <w:left w:val="nil"/>
              <w:bottom w:val="nil"/>
              <w:right w:val="nil"/>
            </w:tcBorders>
          </w:tcPr>
          <w:p w14:paraId="554C1F20" w14:textId="77777777" w:rsidR="00365207" w:rsidRPr="00CA3946" w:rsidRDefault="00365207" w:rsidP="00365207">
            <w:pPr>
              <w:pStyle w:val="TCTableBody"/>
              <w:rPr>
                <w:lang w:val="en-US"/>
              </w:rPr>
            </w:pPr>
            <w:r w:rsidRPr="00CA3946">
              <w:rPr>
                <w:lang w:val="en-US"/>
              </w:rPr>
              <w:t>Median (nm)</w:t>
            </w:r>
          </w:p>
        </w:tc>
        <w:tc>
          <w:tcPr>
            <w:tcW w:w="1364" w:type="dxa"/>
            <w:tcBorders>
              <w:top w:val="single" w:sz="4" w:space="0" w:color="auto"/>
              <w:left w:val="nil"/>
              <w:bottom w:val="nil"/>
              <w:right w:val="nil"/>
            </w:tcBorders>
          </w:tcPr>
          <w:p w14:paraId="6452EB29" w14:textId="77777777" w:rsidR="00365207" w:rsidRPr="00CA3946" w:rsidRDefault="00365207" w:rsidP="00365207">
            <w:pPr>
              <w:pStyle w:val="TCTableBody"/>
              <w:rPr>
                <w:lang w:val="en-US"/>
              </w:rPr>
            </w:pPr>
            <w:r w:rsidRPr="00CA3946">
              <w:rPr>
                <w:lang w:val="en-US"/>
              </w:rPr>
              <w:t>Deviation (nm)</w:t>
            </w:r>
          </w:p>
        </w:tc>
      </w:tr>
      <w:tr w:rsidR="00365207" w:rsidRPr="00CA3946" w14:paraId="542BF827" w14:textId="77777777" w:rsidTr="00E275A8">
        <w:trPr>
          <w:trHeight w:val="183"/>
          <w:jc w:val="center"/>
        </w:trPr>
        <w:tc>
          <w:tcPr>
            <w:tcW w:w="1766" w:type="dxa"/>
            <w:vMerge/>
            <w:tcBorders>
              <w:top w:val="single" w:sz="4" w:space="0" w:color="auto"/>
              <w:left w:val="nil"/>
              <w:bottom w:val="single" w:sz="4" w:space="0" w:color="auto"/>
              <w:right w:val="nil"/>
            </w:tcBorders>
          </w:tcPr>
          <w:p w14:paraId="163CD160" w14:textId="77777777" w:rsidR="00365207" w:rsidRPr="00CA3946" w:rsidRDefault="00365207" w:rsidP="00365207">
            <w:pPr>
              <w:pStyle w:val="TCTableBody"/>
              <w:rPr>
                <w:lang w:val="en-US"/>
              </w:rPr>
            </w:pPr>
          </w:p>
        </w:tc>
        <w:tc>
          <w:tcPr>
            <w:tcW w:w="962" w:type="dxa"/>
            <w:vMerge/>
            <w:tcBorders>
              <w:top w:val="single" w:sz="4" w:space="0" w:color="auto"/>
              <w:left w:val="nil"/>
              <w:bottom w:val="single" w:sz="4" w:space="0" w:color="auto"/>
              <w:right w:val="nil"/>
            </w:tcBorders>
          </w:tcPr>
          <w:p w14:paraId="3639053A" w14:textId="77777777" w:rsidR="00365207" w:rsidRPr="00CA3946" w:rsidRDefault="00365207" w:rsidP="00365207">
            <w:pPr>
              <w:pStyle w:val="TCTableBody"/>
              <w:rPr>
                <w:lang w:val="en-US"/>
              </w:rPr>
            </w:pPr>
          </w:p>
        </w:tc>
        <w:tc>
          <w:tcPr>
            <w:tcW w:w="530" w:type="dxa"/>
            <w:vMerge/>
            <w:tcBorders>
              <w:top w:val="single" w:sz="4" w:space="0" w:color="auto"/>
              <w:left w:val="nil"/>
              <w:bottom w:val="single" w:sz="4" w:space="0" w:color="auto"/>
              <w:right w:val="nil"/>
            </w:tcBorders>
          </w:tcPr>
          <w:p w14:paraId="448A4222" w14:textId="77777777" w:rsidR="00365207" w:rsidRPr="00CA3946" w:rsidRDefault="00365207" w:rsidP="00365207">
            <w:pPr>
              <w:pStyle w:val="TCTableBody"/>
              <w:rPr>
                <w:lang w:val="en-US"/>
              </w:rPr>
            </w:pPr>
          </w:p>
        </w:tc>
        <w:tc>
          <w:tcPr>
            <w:tcW w:w="720" w:type="dxa"/>
            <w:vMerge/>
            <w:tcBorders>
              <w:top w:val="single" w:sz="4" w:space="0" w:color="auto"/>
              <w:left w:val="nil"/>
              <w:bottom w:val="single" w:sz="4" w:space="0" w:color="auto"/>
              <w:right w:val="nil"/>
            </w:tcBorders>
          </w:tcPr>
          <w:p w14:paraId="0717F7CF" w14:textId="77777777" w:rsidR="00365207" w:rsidRPr="00CA3946" w:rsidRDefault="00365207" w:rsidP="00365207">
            <w:pPr>
              <w:pStyle w:val="TCTableBody"/>
              <w:rPr>
                <w:lang w:val="en-US"/>
              </w:rPr>
            </w:pPr>
          </w:p>
        </w:tc>
        <w:tc>
          <w:tcPr>
            <w:tcW w:w="676" w:type="dxa"/>
            <w:vMerge/>
            <w:tcBorders>
              <w:top w:val="single" w:sz="4" w:space="0" w:color="auto"/>
              <w:left w:val="nil"/>
              <w:bottom w:val="single" w:sz="4" w:space="0" w:color="auto"/>
              <w:right w:val="nil"/>
            </w:tcBorders>
          </w:tcPr>
          <w:p w14:paraId="3D8A716D" w14:textId="77777777" w:rsidR="00365207" w:rsidRPr="00CA3946" w:rsidRDefault="00365207" w:rsidP="00365207">
            <w:pPr>
              <w:pStyle w:val="TCTableBody"/>
              <w:rPr>
                <w:lang w:val="en-US"/>
              </w:rPr>
            </w:pPr>
          </w:p>
        </w:tc>
        <w:tc>
          <w:tcPr>
            <w:tcW w:w="963" w:type="dxa"/>
            <w:vMerge/>
            <w:tcBorders>
              <w:top w:val="single" w:sz="4" w:space="0" w:color="auto"/>
              <w:left w:val="nil"/>
              <w:bottom w:val="single" w:sz="4" w:space="0" w:color="auto"/>
              <w:right w:val="nil"/>
            </w:tcBorders>
          </w:tcPr>
          <w:p w14:paraId="032E4967" w14:textId="77777777" w:rsidR="00365207" w:rsidRPr="00CA3946" w:rsidRDefault="00365207" w:rsidP="00365207">
            <w:pPr>
              <w:pStyle w:val="TCTableBody"/>
              <w:rPr>
                <w:lang w:val="en-US"/>
              </w:rPr>
            </w:pPr>
          </w:p>
        </w:tc>
        <w:tc>
          <w:tcPr>
            <w:tcW w:w="801" w:type="dxa"/>
            <w:vMerge/>
            <w:tcBorders>
              <w:top w:val="single" w:sz="4" w:space="0" w:color="auto"/>
              <w:left w:val="nil"/>
              <w:bottom w:val="single" w:sz="4" w:space="0" w:color="auto"/>
              <w:right w:val="nil"/>
            </w:tcBorders>
          </w:tcPr>
          <w:p w14:paraId="21C2AFFD" w14:textId="77777777" w:rsidR="00365207" w:rsidRPr="00CA3946" w:rsidRDefault="00365207" w:rsidP="00365207">
            <w:pPr>
              <w:pStyle w:val="TCTableBody"/>
              <w:rPr>
                <w:lang w:val="en-US"/>
              </w:rPr>
            </w:pPr>
          </w:p>
        </w:tc>
        <w:tc>
          <w:tcPr>
            <w:tcW w:w="482" w:type="dxa"/>
            <w:tcBorders>
              <w:top w:val="single" w:sz="4" w:space="0" w:color="auto"/>
              <w:left w:val="nil"/>
              <w:bottom w:val="single" w:sz="4" w:space="0" w:color="auto"/>
              <w:right w:val="nil"/>
            </w:tcBorders>
          </w:tcPr>
          <w:p w14:paraId="44E63FE6" w14:textId="77777777" w:rsidR="00365207" w:rsidRPr="00CA3946" w:rsidRDefault="00365207" w:rsidP="00365207">
            <w:pPr>
              <w:pStyle w:val="TCTableBody"/>
              <w:rPr>
                <w:lang w:val="en-US"/>
              </w:rPr>
            </w:pPr>
            <w:r w:rsidRPr="00CA3946">
              <w:rPr>
                <w:lang w:val="en-US"/>
              </w:rPr>
              <w:t>1</w:t>
            </w:r>
          </w:p>
        </w:tc>
        <w:tc>
          <w:tcPr>
            <w:tcW w:w="481" w:type="dxa"/>
            <w:tcBorders>
              <w:top w:val="single" w:sz="4" w:space="0" w:color="auto"/>
              <w:left w:val="nil"/>
              <w:bottom w:val="single" w:sz="4" w:space="0" w:color="auto"/>
              <w:right w:val="nil"/>
            </w:tcBorders>
          </w:tcPr>
          <w:p w14:paraId="502E33DE" w14:textId="77777777" w:rsidR="00365207" w:rsidRPr="00CA3946" w:rsidRDefault="00365207" w:rsidP="00365207">
            <w:pPr>
              <w:pStyle w:val="TCTableBody"/>
              <w:rPr>
                <w:lang w:val="en-US"/>
              </w:rPr>
            </w:pPr>
            <w:r w:rsidRPr="00CA3946">
              <w:rPr>
                <w:lang w:val="en-US"/>
              </w:rPr>
              <w:t>2</w:t>
            </w:r>
          </w:p>
        </w:tc>
        <w:tc>
          <w:tcPr>
            <w:tcW w:w="320" w:type="dxa"/>
            <w:tcBorders>
              <w:top w:val="single" w:sz="4" w:space="0" w:color="auto"/>
              <w:left w:val="nil"/>
              <w:bottom w:val="single" w:sz="4" w:space="0" w:color="auto"/>
              <w:right w:val="nil"/>
            </w:tcBorders>
          </w:tcPr>
          <w:p w14:paraId="1788B945" w14:textId="77777777" w:rsidR="00365207" w:rsidRPr="00CA3946" w:rsidRDefault="00365207" w:rsidP="00365207">
            <w:pPr>
              <w:pStyle w:val="TCTableBody"/>
              <w:rPr>
                <w:lang w:val="en-US"/>
              </w:rPr>
            </w:pPr>
          </w:p>
        </w:tc>
        <w:tc>
          <w:tcPr>
            <w:tcW w:w="2567" w:type="dxa"/>
            <w:gridSpan w:val="2"/>
            <w:tcBorders>
              <w:top w:val="nil"/>
              <w:left w:val="nil"/>
              <w:bottom w:val="single" w:sz="4" w:space="0" w:color="auto"/>
              <w:right w:val="nil"/>
            </w:tcBorders>
          </w:tcPr>
          <w:p w14:paraId="73385BF0" w14:textId="77777777" w:rsidR="00365207" w:rsidRPr="00CA3946" w:rsidRDefault="00365207" w:rsidP="00365207">
            <w:pPr>
              <w:pStyle w:val="TCTableBody"/>
              <w:rPr>
                <w:lang w:val="en-US"/>
              </w:rPr>
            </w:pPr>
          </w:p>
        </w:tc>
      </w:tr>
      <w:tr w:rsidR="00365207" w:rsidRPr="00CA3946" w14:paraId="14F5925C" w14:textId="77777777" w:rsidTr="00E275A8">
        <w:trPr>
          <w:jc w:val="center"/>
        </w:trPr>
        <w:tc>
          <w:tcPr>
            <w:tcW w:w="1766" w:type="dxa"/>
            <w:tcBorders>
              <w:top w:val="single" w:sz="4" w:space="0" w:color="auto"/>
              <w:left w:val="nil"/>
              <w:bottom w:val="nil"/>
              <w:right w:val="nil"/>
            </w:tcBorders>
          </w:tcPr>
          <w:p w14:paraId="35DBD4A6" w14:textId="77777777" w:rsidR="00365207" w:rsidRPr="00CA3946" w:rsidRDefault="00365207" w:rsidP="00365207">
            <w:pPr>
              <w:pStyle w:val="TCTableBody"/>
              <w:rPr>
                <w:lang w:val="en-US"/>
              </w:rPr>
            </w:pPr>
            <w:r w:rsidRPr="00CA3946">
              <w:rPr>
                <w:lang w:val="en-US"/>
              </w:rPr>
              <w:t>0.1 % Pd/TiO</w:t>
            </w:r>
            <w:r w:rsidRPr="00CA3946">
              <w:rPr>
                <w:vertAlign w:val="subscript"/>
                <w:lang w:val="en-US"/>
              </w:rPr>
              <w:t>2</w:t>
            </w:r>
          </w:p>
        </w:tc>
        <w:tc>
          <w:tcPr>
            <w:tcW w:w="962" w:type="dxa"/>
            <w:tcBorders>
              <w:top w:val="single" w:sz="4" w:space="0" w:color="auto"/>
              <w:left w:val="nil"/>
              <w:bottom w:val="nil"/>
              <w:right w:val="nil"/>
            </w:tcBorders>
          </w:tcPr>
          <w:p w14:paraId="4D79AE09" w14:textId="77777777" w:rsidR="00365207" w:rsidRPr="00CA3946" w:rsidRDefault="00365207" w:rsidP="00365207">
            <w:pPr>
              <w:pStyle w:val="TCTableBody"/>
              <w:rPr>
                <w:lang w:val="en-GB"/>
              </w:rPr>
            </w:pPr>
            <w:r w:rsidRPr="00CA3946">
              <w:rPr>
                <w:lang w:val="en-US"/>
              </w:rPr>
              <w:t>31</w:t>
            </w:r>
          </w:p>
        </w:tc>
        <w:tc>
          <w:tcPr>
            <w:tcW w:w="530" w:type="dxa"/>
            <w:tcBorders>
              <w:top w:val="single" w:sz="4" w:space="0" w:color="auto"/>
              <w:left w:val="nil"/>
              <w:bottom w:val="nil"/>
              <w:right w:val="nil"/>
            </w:tcBorders>
          </w:tcPr>
          <w:p w14:paraId="50165EEB" w14:textId="77777777" w:rsidR="00365207" w:rsidRPr="00CA3946" w:rsidRDefault="00365207" w:rsidP="00365207">
            <w:pPr>
              <w:pStyle w:val="TCTableBody"/>
              <w:rPr>
                <w:lang w:val="en-US"/>
              </w:rPr>
            </w:pPr>
            <w:r w:rsidRPr="00CA3946">
              <w:rPr>
                <w:lang w:val="en-US"/>
              </w:rPr>
              <w:t>65</w:t>
            </w:r>
            <w:r w:rsidRPr="00CA3946">
              <w:rPr>
                <w:vertAlign w:val="superscript"/>
                <w:lang w:val="en-US"/>
              </w:rPr>
              <w:t>d</w:t>
            </w:r>
          </w:p>
        </w:tc>
        <w:tc>
          <w:tcPr>
            <w:tcW w:w="720" w:type="dxa"/>
            <w:tcBorders>
              <w:top w:val="single" w:sz="4" w:space="0" w:color="auto"/>
              <w:left w:val="nil"/>
              <w:bottom w:val="nil"/>
              <w:right w:val="nil"/>
            </w:tcBorders>
          </w:tcPr>
          <w:p w14:paraId="05443A70" w14:textId="77777777" w:rsidR="00365207" w:rsidRPr="00CA3946" w:rsidRDefault="00365207" w:rsidP="00365207">
            <w:pPr>
              <w:pStyle w:val="TCTableBody"/>
              <w:rPr>
                <w:lang w:val="en-US"/>
              </w:rPr>
            </w:pPr>
            <w:r w:rsidRPr="00CA3946">
              <w:rPr>
                <w:lang w:val="en-US"/>
              </w:rPr>
              <w:t>20</w:t>
            </w:r>
            <w:r w:rsidRPr="00CA3946">
              <w:rPr>
                <w:vertAlign w:val="superscript"/>
                <w:lang w:val="en-US"/>
              </w:rPr>
              <w:t>d</w:t>
            </w:r>
          </w:p>
        </w:tc>
        <w:tc>
          <w:tcPr>
            <w:tcW w:w="676" w:type="dxa"/>
            <w:tcBorders>
              <w:top w:val="single" w:sz="4" w:space="0" w:color="auto"/>
              <w:left w:val="nil"/>
              <w:bottom w:val="nil"/>
              <w:right w:val="nil"/>
            </w:tcBorders>
          </w:tcPr>
          <w:p w14:paraId="25827EBB" w14:textId="77777777" w:rsidR="00365207" w:rsidRPr="00CA3946" w:rsidRDefault="00365207" w:rsidP="00365207">
            <w:pPr>
              <w:pStyle w:val="TCTableBody"/>
              <w:rPr>
                <w:lang w:val="en-US"/>
              </w:rPr>
            </w:pPr>
            <w:r w:rsidRPr="00CA3946">
              <w:rPr>
                <w:lang w:val="en-US"/>
              </w:rPr>
              <w:t>2</w:t>
            </w:r>
            <w:r w:rsidRPr="00CA3946">
              <w:rPr>
                <w:vertAlign w:val="superscript"/>
                <w:lang w:val="en-US"/>
              </w:rPr>
              <w:t>d</w:t>
            </w:r>
          </w:p>
        </w:tc>
        <w:tc>
          <w:tcPr>
            <w:tcW w:w="963" w:type="dxa"/>
            <w:tcBorders>
              <w:top w:val="single" w:sz="4" w:space="0" w:color="auto"/>
              <w:left w:val="nil"/>
              <w:bottom w:val="nil"/>
              <w:right w:val="nil"/>
            </w:tcBorders>
          </w:tcPr>
          <w:p w14:paraId="1A448D93" w14:textId="77777777" w:rsidR="00365207" w:rsidRPr="00CA3946" w:rsidRDefault="00365207" w:rsidP="00365207">
            <w:pPr>
              <w:pStyle w:val="TCTableBody"/>
              <w:rPr>
                <w:lang w:val="en-US"/>
              </w:rPr>
            </w:pPr>
            <w:r w:rsidRPr="00CA3946">
              <w:rPr>
                <w:lang w:val="en-US"/>
              </w:rPr>
              <w:t>-</w:t>
            </w:r>
          </w:p>
        </w:tc>
        <w:tc>
          <w:tcPr>
            <w:tcW w:w="801" w:type="dxa"/>
            <w:tcBorders>
              <w:top w:val="single" w:sz="4" w:space="0" w:color="auto"/>
              <w:left w:val="nil"/>
              <w:bottom w:val="nil"/>
              <w:right w:val="nil"/>
            </w:tcBorders>
          </w:tcPr>
          <w:p w14:paraId="52F7F85F" w14:textId="77777777" w:rsidR="00365207" w:rsidRPr="00CA3946" w:rsidRDefault="00365207" w:rsidP="00365207">
            <w:pPr>
              <w:pStyle w:val="TCTableBody"/>
              <w:rPr>
                <w:lang w:val="en-US"/>
              </w:rPr>
            </w:pPr>
            <w:r w:rsidRPr="00CA3946">
              <w:rPr>
                <w:lang w:val="en-US"/>
              </w:rPr>
              <w:t>2</w:t>
            </w:r>
            <w:r w:rsidRPr="00CA3946">
              <w:rPr>
                <w:vertAlign w:val="superscript"/>
                <w:lang w:val="en-US"/>
              </w:rPr>
              <w:t>d</w:t>
            </w:r>
          </w:p>
        </w:tc>
        <w:tc>
          <w:tcPr>
            <w:tcW w:w="482" w:type="dxa"/>
            <w:tcBorders>
              <w:top w:val="single" w:sz="4" w:space="0" w:color="auto"/>
              <w:left w:val="nil"/>
              <w:bottom w:val="nil"/>
              <w:right w:val="nil"/>
            </w:tcBorders>
          </w:tcPr>
          <w:p w14:paraId="0E0048A7" w14:textId="77777777" w:rsidR="00365207" w:rsidRPr="00CA3946" w:rsidRDefault="00365207" w:rsidP="00365207">
            <w:pPr>
              <w:pStyle w:val="TCTableBody"/>
              <w:rPr>
                <w:lang w:val="en-US"/>
              </w:rPr>
            </w:pPr>
            <w:r w:rsidRPr="00CA3946">
              <w:rPr>
                <w:lang w:val="en-US"/>
              </w:rPr>
              <w:t>3</w:t>
            </w:r>
            <w:r w:rsidRPr="00CA3946">
              <w:rPr>
                <w:vertAlign w:val="superscript"/>
                <w:lang w:val="en-US"/>
              </w:rPr>
              <w:t>d</w:t>
            </w:r>
          </w:p>
        </w:tc>
        <w:tc>
          <w:tcPr>
            <w:tcW w:w="481" w:type="dxa"/>
            <w:tcBorders>
              <w:top w:val="single" w:sz="4" w:space="0" w:color="auto"/>
              <w:left w:val="nil"/>
              <w:bottom w:val="nil"/>
              <w:right w:val="nil"/>
            </w:tcBorders>
          </w:tcPr>
          <w:p w14:paraId="3BEFF6F9" w14:textId="77777777" w:rsidR="00365207" w:rsidRPr="00CA3946" w:rsidRDefault="00365207" w:rsidP="00365207">
            <w:pPr>
              <w:pStyle w:val="TCTableBody"/>
              <w:rPr>
                <w:lang w:val="en-US"/>
              </w:rPr>
            </w:pPr>
            <w:r w:rsidRPr="00CA3946">
              <w:rPr>
                <w:lang w:val="en-US"/>
              </w:rPr>
              <w:t>-</w:t>
            </w:r>
          </w:p>
        </w:tc>
        <w:tc>
          <w:tcPr>
            <w:tcW w:w="320" w:type="dxa"/>
            <w:tcBorders>
              <w:top w:val="single" w:sz="4" w:space="0" w:color="auto"/>
              <w:left w:val="nil"/>
              <w:bottom w:val="nil"/>
              <w:right w:val="nil"/>
            </w:tcBorders>
          </w:tcPr>
          <w:p w14:paraId="7FE29328" w14:textId="77777777" w:rsidR="00365207" w:rsidRPr="00CA3946" w:rsidRDefault="00365207" w:rsidP="00365207">
            <w:pPr>
              <w:pStyle w:val="TCTableBody"/>
              <w:rPr>
                <w:lang w:val="en-US"/>
              </w:rPr>
            </w:pPr>
          </w:p>
        </w:tc>
        <w:tc>
          <w:tcPr>
            <w:tcW w:w="1203" w:type="dxa"/>
            <w:tcBorders>
              <w:top w:val="single" w:sz="4" w:space="0" w:color="auto"/>
              <w:left w:val="nil"/>
              <w:bottom w:val="nil"/>
              <w:right w:val="nil"/>
            </w:tcBorders>
          </w:tcPr>
          <w:p w14:paraId="32346A88" w14:textId="77777777" w:rsidR="00365207" w:rsidRPr="00CA3946" w:rsidRDefault="00365207" w:rsidP="00365207">
            <w:pPr>
              <w:pStyle w:val="TCTableBody"/>
              <w:rPr>
                <w:lang w:val="en-US"/>
              </w:rPr>
            </w:pPr>
            <w:r w:rsidRPr="00CA3946">
              <w:rPr>
                <w:lang w:val="en-US"/>
              </w:rPr>
              <w:t>2.2</w:t>
            </w:r>
          </w:p>
        </w:tc>
        <w:tc>
          <w:tcPr>
            <w:tcW w:w="1364" w:type="dxa"/>
            <w:tcBorders>
              <w:top w:val="single" w:sz="4" w:space="0" w:color="auto"/>
              <w:left w:val="nil"/>
              <w:bottom w:val="nil"/>
              <w:right w:val="nil"/>
            </w:tcBorders>
          </w:tcPr>
          <w:p w14:paraId="1FE7A6C5" w14:textId="77777777" w:rsidR="00365207" w:rsidRPr="00CA3946" w:rsidRDefault="00365207" w:rsidP="00365207">
            <w:pPr>
              <w:pStyle w:val="TCTableBody"/>
              <w:rPr>
                <w:lang w:val="en-US"/>
              </w:rPr>
            </w:pPr>
            <w:r w:rsidRPr="00CA3946">
              <w:rPr>
                <w:lang w:val="en-US"/>
              </w:rPr>
              <w:t>0.4</w:t>
            </w:r>
          </w:p>
        </w:tc>
      </w:tr>
      <w:tr w:rsidR="00365207" w:rsidRPr="00CA3946" w14:paraId="14878ED7" w14:textId="77777777" w:rsidTr="00E275A8">
        <w:trPr>
          <w:jc w:val="center"/>
        </w:trPr>
        <w:tc>
          <w:tcPr>
            <w:tcW w:w="1766" w:type="dxa"/>
            <w:tcBorders>
              <w:top w:val="nil"/>
              <w:left w:val="nil"/>
              <w:bottom w:val="nil"/>
              <w:right w:val="nil"/>
            </w:tcBorders>
          </w:tcPr>
          <w:p w14:paraId="2BFC8F24" w14:textId="77777777" w:rsidR="00365207" w:rsidRPr="00CA3946" w:rsidRDefault="00365207" w:rsidP="00365207">
            <w:pPr>
              <w:pStyle w:val="TCTableBody"/>
              <w:rPr>
                <w:lang w:val="en-US"/>
              </w:rPr>
            </w:pPr>
            <w:r w:rsidRPr="00CA3946">
              <w:rPr>
                <w:lang w:val="en-US"/>
              </w:rPr>
              <w:t>0.1 % Pd/TiO</w:t>
            </w:r>
            <w:r w:rsidRPr="00CA3946">
              <w:rPr>
                <w:vertAlign w:val="subscript"/>
                <w:lang w:val="en-US"/>
              </w:rPr>
              <w:t xml:space="preserve">2 </w:t>
            </w:r>
            <w:r w:rsidRPr="00CA3946">
              <w:rPr>
                <w:lang w:val="en-US"/>
              </w:rPr>
              <w:t>+ NiO</w:t>
            </w:r>
          </w:p>
        </w:tc>
        <w:tc>
          <w:tcPr>
            <w:tcW w:w="962" w:type="dxa"/>
            <w:tcBorders>
              <w:top w:val="nil"/>
              <w:left w:val="nil"/>
              <w:bottom w:val="nil"/>
              <w:right w:val="nil"/>
            </w:tcBorders>
          </w:tcPr>
          <w:p w14:paraId="130C2901" w14:textId="77777777" w:rsidR="00365207" w:rsidRPr="00CA3946" w:rsidRDefault="00365207" w:rsidP="00365207">
            <w:pPr>
              <w:pStyle w:val="TCTableBody"/>
              <w:rPr>
                <w:lang w:val="en-US"/>
              </w:rPr>
            </w:pPr>
            <w:r w:rsidRPr="00CA3946">
              <w:rPr>
                <w:lang w:val="en-US"/>
              </w:rPr>
              <w:t>45</w:t>
            </w:r>
          </w:p>
        </w:tc>
        <w:tc>
          <w:tcPr>
            <w:tcW w:w="530" w:type="dxa"/>
            <w:tcBorders>
              <w:top w:val="nil"/>
              <w:left w:val="nil"/>
              <w:bottom w:val="nil"/>
              <w:right w:val="nil"/>
            </w:tcBorders>
          </w:tcPr>
          <w:p w14:paraId="548DC56F" w14:textId="77777777" w:rsidR="00365207" w:rsidRPr="00CA3946" w:rsidRDefault="00365207" w:rsidP="00365207">
            <w:pPr>
              <w:pStyle w:val="TCTableBody"/>
              <w:rPr>
                <w:lang w:val="en-US"/>
              </w:rPr>
            </w:pPr>
            <w:r w:rsidRPr="00CA3946">
              <w:rPr>
                <w:lang w:val="en-US"/>
              </w:rPr>
              <w:t>50</w:t>
            </w:r>
          </w:p>
        </w:tc>
        <w:tc>
          <w:tcPr>
            <w:tcW w:w="720" w:type="dxa"/>
            <w:tcBorders>
              <w:top w:val="nil"/>
              <w:left w:val="nil"/>
              <w:bottom w:val="nil"/>
              <w:right w:val="nil"/>
            </w:tcBorders>
          </w:tcPr>
          <w:p w14:paraId="5DDC0465" w14:textId="77777777" w:rsidR="00365207" w:rsidRPr="00CA3946" w:rsidRDefault="00365207" w:rsidP="00365207">
            <w:pPr>
              <w:pStyle w:val="TCTableBody"/>
              <w:rPr>
                <w:lang w:val="en-US"/>
              </w:rPr>
            </w:pPr>
            <w:r w:rsidRPr="00CA3946">
              <w:rPr>
                <w:lang w:val="en-US"/>
              </w:rPr>
              <w:t>38</w:t>
            </w:r>
          </w:p>
        </w:tc>
        <w:tc>
          <w:tcPr>
            <w:tcW w:w="676" w:type="dxa"/>
            <w:tcBorders>
              <w:top w:val="nil"/>
              <w:left w:val="nil"/>
              <w:bottom w:val="nil"/>
              <w:right w:val="nil"/>
            </w:tcBorders>
          </w:tcPr>
          <w:p w14:paraId="5CA1850F" w14:textId="77777777" w:rsidR="00365207" w:rsidRPr="00CA3946" w:rsidRDefault="00365207" w:rsidP="00365207">
            <w:pPr>
              <w:pStyle w:val="TCTableBody"/>
              <w:rPr>
                <w:lang w:val="en-US"/>
              </w:rPr>
            </w:pPr>
            <w:r w:rsidRPr="00CA3946">
              <w:rPr>
                <w:lang w:val="en-US"/>
              </w:rPr>
              <w:t>2</w:t>
            </w:r>
          </w:p>
        </w:tc>
        <w:tc>
          <w:tcPr>
            <w:tcW w:w="963" w:type="dxa"/>
            <w:tcBorders>
              <w:top w:val="nil"/>
              <w:left w:val="nil"/>
              <w:bottom w:val="nil"/>
              <w:right w:val="nil"/>
            </w:tcBorders>
          </w:tcPr>
          <w:p w14:paraId="3B7A7FA5" w14:textId="77777777" w:rsidR="00365207" w:rsidRPr="00CA3946" w:rsidRDefault="00365207" w:rsidP="00365207">
            <w:pPr>
              <w:pStyle w:val="TCTableBody"/>
              <w:rPr>
                <w:lang w:val="en-US"/>
              </w:rPr>
            </w:pPr>
            <w:r w:rsidRPr="00CA3946">
              <w:rPr>
                <w:lang w:val="en-US"/>
              </w:rPr>
              <w:t>-</w:t>
            </w:r>
          </w:p>
        </w:tc>
        <w:tc>
          <w:tcPr>
            <w:tcW w:w="801" w:type="dxa"/>
            <w:tcBorders>
              <w:top w:val="nil"/>
              <w:left w:val="nil"/>
              <w:bottom w:val="nil"/>
              <w:right w:val="nil"/>
            </w:tcBorders>
          </w:tcPr>
          <w:p w14:paraId="657FA5B2" w14:textId="77777777" w:rsidR="00365207" w:rsidRPr="00CA3946" w:rsidRDefault="00365207" w:rsidP="00365207">
            <w:pPr>
              <w:pStyle w:val="TCTableBody"/>
              <w:rPr>
                <w:lang w:val="en-US"/>
              </w:rPr>
            </w:pPr>
            <w:r w:rsidRPr="00CA3946">
              <w:rPr>
                <w:lang w:val="en-US"/>
              </w:rPr>
              <w:t>5</w:t>
            </w:r>
          </w:p>
        </w:tc>
        <w:tc>
          <w:tcPr>
            <w:tcW w:w="482" w:type="dxa"/>
            <w:tcBorders>
              <w:top w:val="nil"/>
              <w:left w:val="nil"/>
              <w:bottom w:val="nil"/>
              <w:right w:val="nil"/>
            </w:tcBorders>
          </w:tcPr>
          <w:p w14:paraId="6D0485D0" w14:textId="77777777" w:rsidR="00365207" w:rsidRPr="00CA3946" w:rsidRDefault="00365207" w:rsidP="00365207">
            <w:pPr>
              <w:pStyle w:val="TCTableBody"/>
              <w:rPr>
                <w:lang w:val="en-US"/>
              </w:rPr>
            </w:pPr>
            <w:r w:rsidRPr="00CA3946">
              <w:rPr>
                <w:lang w:val="en-US"/>
              </w:rPr>
              <w:t>2</w:t>
            </w:r>
          </w:p>
        </w:tc>
        <w:tc>
          <w:tcPr>
            <w:tcW w:w="481" w:type="dxa"/>
            <w:tcBorders>
              <w:top w:val="nil"/>
              <w:left w:val="nil"/>
              <w:bottom w:val="nil"/>
              <w:right w:val="nil"/>
            </w:tcBorders>
          </w:tcPr>
          <w:p w14:paraId="618E68D5" w14:textId="77777777" w:rsidR="00365207" w:rsidRPr="00CA3946" w:rsidRDefault="00365207" w:rsidP="00365207">
            <w:pPr>
              <w:pStyle w:val="TCTableBody"/>
              <w:rPr>
                <w:lang w:val="en-US"/>
              </w:rPr>
            </w:pPr>
            <w:r w:rsidRPr="00CA3946">
              <w:rPr>
                <w:lang w:val="en-US"/>
              </w:rPr>
              <w:t>-</w:t>
            </w:r>
          </w:p>
        </w:tc>
        <w:tc>
          <w:tcPr>
            <w:tcW w:w="320" w:type="dxa"/>
            <w:tcBorders>
              <w:top w:val="nil"/>
              <w:left w:val="nil"/>
              <w:bottom w:val="nil"/>
              <w:right w:val="nil"/>
            </w:tcBorders>
          </w:tcPr>
          <w:p w14:paraId="2F589F5A" w14:textId="77777777" w:rsidR="00365207" w:rsidRPr="00CA3946" w:rsidRDefault="00365207" w:rsidP="00365207">
            <w:pPr>
              <w:pStyle w:val="TCTableBody"/>
              <w:rPr>
                <w:lang w:val="en-US"/>
              </w:rPr>
            </w:pPr>
          </w:p>
        </w:tc>
        <w:tc>
          <w:tcPr>
            <w:tcW w:w="1203" w:type="dxa"/>
            <w:tcBorders>
              <w:top w:val="nil"/>
              <w:left w:val="nil"/>
              <w:bottom w:val="nil"/>
              <w:right w:val="nil"/>
            </w:tcBorders>
          </w:tcPr>
          <w:p w14:paraId="75E60FB7" w14:textId="77777777" w:rsidR="00365207" w:rsidRPr="00CA3946" w:rsidRDefault="00365207" w:rsidP="00365207">
            <w:pPr>
              <w:pStyle w:val="TCTableBody"/>
              <w:rPr>
                <w:lang w:val="en-US"/>
              </w:rPr>
            </w:pPr>
          </w:p>
        </w:tc>
        <w:tc>
          <w:tcPr>
            <w:tcW w:w="1364" w:type="dxa"/>
            <w:tcBorders>
              <w:top w:val="nil"/>
              <w:left w:val="nil"/>
              <w:bottom w:val="nil"/>
              <w:right w:val="nil"/>
            </w:tcBorders>
          </w:tcPr>
          <w:p w14:paraId="15F5DF63" w14:textId="77777777" w:rsidR="00365207" w:rsidRPr="00CA3946" w:rsidRDefault="00365207" w:rsidP="00365207">
            <w:pPr>
              <w:pStyle w:val="TCTableBody"/>
              <w:rPr>
                <w:lang w:val="en-US"/>
              </w:rPr>
            </w:pPr>
          </w:p>
        </w:tc>
      </w:tr>
      <w:tr w:rsidR="00365207" w:rsidRPr="00CA3946" w14:paraId="4D1EA2AB" w14:textId="77777777" w:rsidTr="00E275A8">
        <w:trPr>
          <w:jc w:val="center"/>
        </w:trPr>
        <w:tc>
          <w:tcPr>
            <w:tcW w:w="1766" w:type="dxa"/>
            <w:tcBorders>
              <w:top w:val="nil"/>
              <w:left w:val="nil"/>
              <w:bottom w:val="nil"/>
              <w:right w:val="nil"/>
            </w:tcBorders>
          </w:tcPr>
          <w:p w14:paraId="2F7F9896" w14:textId="77777777" w:rsidR="00365207" w:rsidRPr="00CA3946" w:rsidRDefault="00365207" w:rsidP="00365207">
            <w:pPr>
              <w:pStyle w:val="TCTableBody"/>
              <w:rPr>
                <w:lang w:val="en-US"/>
              </w:rPr>
            </w:pPr>
            <w:r w:rsidRPr="00CA3946">
              <w:rPr>
                <w:lang w:val="en-US"/>
              </w:rPr>
              <w:t>1% Pd/TiO</w:t>
            </w:r>
            <w:r w:rsidRPr="00CA3946">
              <w:rPr>
                <w:vertAlign w:val="subscript"/>
                <w:lang w:val="en-US"/>
              </w:rPr>
              <w:t xml:space="preserve">2 </w:t>
            </w:r>
            <w:r w:rsidRPr="00CA3946">
              <w:rPr>
                <w:lang w:val="en-US"/>
              </w:rPr>
              <w:t>+ NiO</w:t>
            </w:r>
          </w:p>
        </w:tc>
        <w:tc>
          <w:tcPr>
            <w:tcW w:w="962" w:type="dxa"/>
            <w:tcBorders>
              <w:top w:val="nil"/>
              <w:left w:val="nil"/>
              <w:bottom w:val="nil"/>
              <w:right w:val="nil"/>
            </w:tcBorders>
          </w:tcPr>
          <w:p w14:paraId="4D0D7B19" w14:textId="77777777" w:rsidR="00365207" w:rsidRPr="00CA3946" w:rsidRDefault="00365207" w:rsidP="00365207">
            <w:pPr>
              <w:pStyle w:val="TCTableBody"/>
              <w:rPr>
                <w:lang w:val="en-GB"/>
              </w:rPr>
            </w:pPr>
            <w:r w:rsidRPr="00CA3946">
              <w:rPr>
                <w:lang w:val="en-US"/>
              </w:rPr>
              <w:t>436</w:t>
            </w:r>
          </w:p>
        </w:tc>
        <w:tc>
          <w:tcPr>
            <w:tcW w:w="530" w:type="dxa"/>
            <w:tcBorders>
              <w:top w:val="nil"/>
              <w:left w:val="nil"/>
              <w:bottom w:val="nil"/>
              <w:right w:val="nil"/>
            </w:tcBorders>
          </w:tcPr>
          <w:p w14:paraId="1938484C" w14:textId="77777777" w:rsidR="00365207" w:rsidRPr="00CA3946" w:rsidRDefault="00365207" w:rsidP="00365207">
            <w:pPr>
              <w:pStyle w:val="TCTableBody"/>
              <w:rPr>
                <w:lang w:val="en-US"/>
              </w:rPr>
            </w:pPr>
            <w:r w:rsidRPr="00CA3946">
              <w:rPr>
                <w:lang w:val="en-US"/>
              </w:rPr>
              <w:t>56</w:t>
            </w:r>
          </w:p>
        </w:tc>
        <w:tc>
          <w:tcPr>
            <w:tcW w:w="720" w:type="dxa"/>
            <w:tcBorders>
              <w:top w:val="nil"/>
              <w:left w:val="nil"/>
              <w:bottom w:val="nil"/>
              <w:right w:val="nil"/>
            </w:tcBorders>
          </w:tcPr>
          <w:p w14:paraId="1F3A59C3" w14:textId="77777777" w:rsidR="00365207" w:rsidRPr="00CA3946" w:rsidRDefault="00365207" w:rsidP="00365207">
            <w:pPr>
              <w:pStyle w:val="TCTableBody"/>
              <w:rPr>
                <w:lang w:val="en-US"/>
              </w:rPr>
            </w:pPr>
            <w:r w:rsidRPr="00CA3946">
              <w:rPr>
                <w:lang w:val="en-US"/>
              </w:rPr>
              <w:t>33</w:t>
            </w:r>
          </w:p>
        </w:tc>
        <w:tc>
          <w:tcPr>
            <w:tcW w:w="676" w:type="dxa"/>
            <w:tcBorders>
              <w:top w:val="nil"/>
              <w:left w:val="nil"/>
              <w:bottom w:val="nil"/>
              <w:right w:val="nil"/>
            </w:tcBorders>
          </w:tcPr>
          <w:p w14:paraId="1C9252A0" w14:textId="77777777" w:rsidR="00365207" w:rsidRPr="00CA3946" w:rsidRDefault="00365207" w:rsidP="00365207">
            <w:pPr>
              <w:pStyle w:val="TCTableBody"/>
              <w:rPr>
                <w:lang w:val="en-US"/>
              </w:rPr>
            </w:pPr>
            <w:r w:rsidRPr="00CA3946">
              <w:rPr>
                <w:lang w:val="en-US"/>
              </w:rPr>
              <w:t>-</w:t>
            </w:r>
          </w:p>
        </w:tc>
        <w:tc>
          <w:tcPr>
            <w:tcW w:w="963" w:type="dxa"/>
            <w:tcBorders>
              <w:top w:val="nil"/>
              <w:left w:val="nil"/>
              <w:bottom w:val="nil"/>
              <w:right w:val="nil"/>
            </w:tcBorders>
          </w:tcPr>
          <w:p w14:paraId="34789439" w14:textId="77777777" w:rsidR="00365207" w:rsidRPr="00CA3946" w:rsidRDefault="00365207" w:rsidP="00365207">
            <w:pPr>
              <w:pStyle w:val="TCTableBody"/>
              <w:rPr>
                <w:lang w:val="en-US"/>
              </w:rPr>
            </w:pPr>
            <w:r w:rsidRPr="00CA3946">
              <w:rPr>
                <w:lang w:val="en-US"/>
              </w:rPr>
              <w:t>2</w:t>
            </w:r>
          </w:p>
        </w:tc>
        <w:tc>
          <w:tcPr>
            <w:tcW w:w="801" w:type="dxa"/>
            <w:tcBorders>
              <w:top w:val="nil"/>
              <w:left w:val="nil"/>
              <w:bottom w:val="nil"/>
              <w:right w:val="nil"/>
            </w:tcBorders>
          </w:tcPr>
          <w:p w14:paraId="10DB2F38" w14:textId="77777777" w:rsidR="00365207" w:rsidRPr="00CA3946" w:rsidRDefault="00365207" w:rsidP="00365207">
            <w:pPr>
              <w:pStyle w:val="TCTableBody"/>
              <w:rPr>
                <w:lang w:val="en-US"/>
              </w:rPr>
            </w:pPr>
            <w:r w:rsidRPr="00CA3946">
              <w:rPr>
                <w:lang w:val="en-US"/>
              </w:rPr>
              <w:t>-</w:t>
            </w:r>
          </w:p>
        </w:tc>
        <w:tc>
          <w:tcPr>
            <w:tcW w:w="482" w:type="dxa"/>
            <w:tcBorders>
              <w:top w:val="nil"/>
              <w:left w:val="nil"/>
              <w:bottom w:val="nil"/>
              <w:right w:val="nil"/>
            </w:tcBorders>
          </w:tcPr>
          <w:p w14:paraId="43AF2905" w14:textId="77777777" w:rsidR="00365207" w:rsidRPr="00CA3946" w:rsidRDefault="00365207" w:rsidP="00365207">
            <w:pPr>
              <w:pStyle w:val="TCTableBody"/>
              <w:rPr>
                <w:lang w:val="en-US"/>
              </w:rPr>
            </w:pPr>
            <w:r w:rsidRPr="00CA3946">
              <w:rPr>
                <w:lang w:val="en-US"/>
              </w:rPr>
              <w:t>3</w:t>
            </w:r>
          </w:p>
        </w:tc>
        <w:tc>
          <w:tcPr>
            <w:tcW w:w="481" w:type="dxa"/>
            <w:tcBorders>
              <w:top w:val="nil"/>
              <w:left w:val="nil"/>
              <w:bottom w:val="nil"/>
              <w:right w:val="nil"/>
            </w:tcBorders>
          </w:tcPr>
          <w:p w14:paraId="31C58F11" w14:textId="77777777" w:rsidR="00365207" w:rsidRPr="00CA3946" w:rsidRDefault="00365207" w:rsidP="00365207">
            <w:pPr>
              <w:pStyle w:val="TCTableBody"/>
              <w:rPr>
                <w:lang w:val="en-US"/>
              </w:rPr>
            </w:pPr>
            <w:r w:rsidRPr="00CA3946">
              <w:rPr>
                <w:lang w:val="en-US"/>
              </w:rPr>
              <w:t>1</w:t>
            </w:r>
          </w:p>
        </w:tc>
        <w:tc>
          <w:tcPr>
            <w:tcW w:w="320" w:type="dxa"/>
            <w:tcBorders>
              <w:top w:val="nil"/>
              <w:left w:val="nil"/>
              <w:bottom w:val="nil"/>
              <w:right w:val="nil"/>
            </w:tcBorders>
          </w:tcPr>
          <w:p w14:paraId="030E4863" w14:textId="77777777" w:rsidR="00365207" w:rsidRPr="00CA3946" w:rsidRDefault="00365207" w:rsidP="00365207">
            <w:pPr>
              <w:pStyle w:val="TCTableBody"/>
              <w:rPr>
                <w:lang w:val="en-US"/>
              </w:rPr>
            </w:pPr>
          </w:p>
        </w:tc>
        <w:tc>
          <w:tcPr>
            <w:tcW w:w="1203" w:type="dxa"/>
            <w:tcBorders>
              <w:top w:val="nil"/>
              <w:left w:val="nil"/>
              <w:bottom w:val="nil"/>
              <w:right w:val="nil"/>
            </w:tcBorders>
          </w:tcPr>
          <w:p w14:paraId="55FB9CD6" w14:textId="77777777" w:rsidR="00365207" w:rsidRPr="00CA3946" w:rsidRDefault="00365207" w:rsidP="00365207">
            <w:pPr>
              <w:pStyle w:val="TCTableBody"/>
              <w:rPr>
                <w:lang w:val="en-US"/>
              </w:rPr>
            </w:pPr>
            <w:r w:rsidRPr="00CA3946">
              <w:rPr>
                <w:lang w:val="en-US"/>
              </w:rPr>
              <w:t>-</w:t>
            </w:r>
          </w:p>
        </w:tc>
        <w:tc>
          <w:tcPr>
            <w:tcW w:w="1364" w:type="dxa"/>
            <w:tcBorders>
              <w:top w:val="nil"/>
              <w:left w:val="nil"/>
              <w:bottom w:val="nil"/>
              <w:right w:val="nil"/>
            </w:tcBorders>
          </w:tcPr>
          <w:p w14:paraId="30BC914A" w14:textId="77777777" w:rsidR="00365207" w:rsidRPr="00CA3946" w:rsidRDefault="00365207" w:rsidP="00365207">
            <w:pPr>
              <w:pStyle w:val="TCTableBody"/>
              <w:rPr>
                <w:lang w:val="en-US"/>
              </w:rPr>
            </w:pPr>
            <w:r w:rsidRPr="00CA3946">
              <w:rPr>
                <w:lang w:val="en-US"/>
              </w:rPr>
              <w:t>-</w:t>
            </w:r>
          </w:p>
        </w:tc>
      </w:tr>
      <w:tr w:rsidR="00365207" w:rsidRPr="00CA3946" w14:paraId="79231923" w14:textId="77777777" w:rsidTr="00E275A8">
        <w:trPr>
          <w:jc w:val="center"/>
        </w:trPr>
        <w:tc>
          <w:tcPr>
            <w:tcW w:w="1766" w:type="dxa"/>
            <w:tcBorders>
              <w:top w:val="nil"/>
              <w:left w:val="nil"/>
              <w:bottom w:val="single" w:sz="4" w:space="0" w:color="auto"/>
              <w:right w:val="nil"/>
            </w:tcBorders>
          </w:tcPr>
          <w:p w14:paraId="2B534B58" w14:textId="77777777" w:rsidR="00365207" w:rsidRPr="00CA3946" w:rsidRDefault="00365207" w:rsidP="00365207">
            <w:pPr>
              <w:pStyle w:val="TCTableBody"/>
              <w:rPr>
                <w:lang w:val="en-US"/>
              </w:rPr>
            </w:pPr>
            <w:r w:rsidRPr="00CA3946">
              <w:rPr>
                <w:lang w:val="en-US"/>
              </w:rPr>
              <w:t>0.1% Pd/NiO</w:t>
            </w:r>
          </w:p>
        </w:tc>
        <w:tc>
          <w:tcPr>
            <w:tcW w:w="962" w:type="dxa"/>
            <w:tcBorders>
              <w:top w:val="nil"/>
              <w:left w:val="nil"/>
              <w:bottom w:val="single" w:sz="4" w:space="0" w:color="auto"/>
              <w:right w:val="nil"/>
            </w:tcBorders>
          </w:tcPr>
          <w:p w14:paraId="357E44EA" w14:textId="77777777" w:rsidR="00365207" w:rsidRPr="00CA3946" w:rsidRDefault="00365207" w:rsidP="00365207">
            <w:pPr>
              <w:pStyle w:val="TCTableBody"/>
              <w:rPr>
                <w:lang w:val="en-US"/>
              </w:rPr>
            </w:pPr>
            <w:r w:rsidRPr="00CA3946">
              <w:rPr>
                <w:lang w:val="en-US"/>
              </w:rPr>
              <w:t>421</w:t>
            </w:r>
          </w:p>
        </w:tc>
        <w:tc>
          <w:tcPr>
            <w:tcW w:w="530" w:type="dxa"/>
            <w:tcBorders>
              <w:top w:val="nil"/>
              <w:left w:val="nil"/>
              <w:bottom w:val="single" w:sz="4" w:space="0" w:color="auto"/>
              <w:right w:val="nil"/>
            </w:tcBorders>
          </w:tcPr>
          <w:p w14:paraId="48268599" w14:textId="77777777" w:rsidR="00365207" w:rsidRPr="00CA3946" w:rsidRDefault="00365207" w:rsidP="00365207">
            <w:pPr>
              <w:pStyle w:val="TCTableBody"/>
              <w:rPr>
                <w:lang w:val="en-US"/>
              </w:rPr>
            </w:pPr>
            <w:r w:rsidRPr="00CA3946">
              <w:rPr>
                <w:lang w:val="en-US"/>
              </w:rPr>
              <w:t>10</w:t>
            </w:r>
          </w:p>
        </w:tc>
        <w:tc>
          <w:tcPr>
            <w:tcW w:w="720" w:type="dxa"/>
            <w:tcBorders>
              <w:top w:val="nil"/>
              <w:left w:val="nil"/>
              <w:bottom w:val="single" w:sz="4" w:space="0" w:color="auto"/>
              <w:right w:val="nil"/>
            </w:tcBorders>
          </w:tcPr>
          <w:p w14:paraId="08E00817" w14:textId="77777777" w:rsidR="00365207" w:rsidRPr="00CA3946" w:rsidRDefault="00365207" w:rsidP="00365207">
            <w:pPr>
              <w:pStyle w:val="TCTableBody"/>
              <w:rPr>
                <w:lang w:val="en-US"/>
              </w:rPr>
            </w:pPr>
            <w:r w:rsidRPr="00CA3946">
              <w:rPr>
                <w:lang w:val="en-US"/>
              </w:rPr>
              <w:t>81</w:t>
            </w:r>
          </w:p>
        </w:tc>
        <w:tc>
          <w:tcPr>
            <w:tcW w:w="676" w:type="dxa"/>
            <w:tcBorders>
              <w:top w:val="nil"/>
              <w:left w:val="nil"/>
              <w:bottom w:val="single" w:sz="4" w:space="0" w:color="auto"/>
              <w:right w:val="nil"/>
            </w:tcBorders>
          </w:tcPr>
          <w:p w14:paraId="15A3151A" w14:textId="77777777" w:rsidR="00365207" w:rsidRPr="00CA3946" w:rsidRDefault="00365207" w:rsidP="00365207">
            <w:pPr>
              <w:pStyle w:val="TCTableBody"/>
              <w:rPr>
                <w:lang w:val="en-US"/>
              </w:rPr>
            </w:pPr>
            <w:r w:rsidRPr="00CA3946">
              <w:rPr>
                <w:lang w:val="en-US"/>
              </w:rPr>
              <w:t>-</w:t>
            </w:r>
          </w:p>
        </w:tc>
        <w:tc>
          <w:tcPr>
            <w:tcW w:w="963" w:type="dxa"/>
            <w:tcBorders>
              <w:top w:val="nil"/>
              <w:left w:val="nil"/>
              <w:bottom w:val="single" w:sz="4" w:space="0" w:color="auto"/>
              <w:right w:val="nil"/>
            </w:tcBorders>
          </w:tcPr>
          <w:p w14:paraId="2C6D4982" w14:textId="77777777" w:rsidR="00365207" w:rsidRPr="00CA3946" w:rsidRDefault="00365207" w:rsidP="00365207">
            <w:pPr>
              <w:pStyle w:val="TCTableBody"/>
              <w:rPr>
                <w:lang w:val="en-US"/>
              </w:rPr>
            </w:pPr>
            <w:r w:rsidRPr="00CA3946">
              <w:rPr>
                <w:lang w:val="en-US"/>
              </w:rPr>
              <w:t>7</w:t>
            </w:r>
          </w:p>
        </w:tc>
        <w:tc>
          <w:tcPr>
            <w:tcW w:w="801" w:type="dxa"/>
            <w:tcBorders>
              <w:top w:val="nil"/>
              <w:left w:val="nil"/>
              <w:bottom w:val="single" w:sz="4" w:space="0" w:color="auto"/>
              <w:right w:val="nil"/>
            </w:tcBorders>
          </w:tcPr>
          <w:p w14:paraId="77A9C981" w14:textId="77777777" w:rsidR="00365207" w:rsidRPr="00CA3946" w:rsidRDefault="00365207" w:rsidP="00365207">
            <w:pPr>
              <w:pStyle w:val="TCTableBody"/>
              <w:rPr>
                <w:lang w:val="en-US"/>
              </w:rPr>
            </w:pPr>
            <w:r w:rsidRPr="00CA3946">
              <w:rPr>
                <w:lang w:val="en-US"/>
              </w:rPr>
              <w:t>-</w:t>
            </w:r>
          </w:p>
        </w:tc>
        <w:tc>
          <w:tcPr>
            <w:tcW w:w="482" w:type="dxa"/>
            <w:tcBorders>
              <w:top w:val="nil"/>
              <w:left w:val="nil"/>
              <w:bottom w:val="single" w:sz="4" w:space="0" w:color="auto"/>
              <w:right w:val="nil"/>
            </w:tcBorders>
          </w:tcPr>
          <w:p w14:paraId="47A44C6E" w14:textId="77777777" w:rsidR="00365207" w:rsidRPr="00CA3946" w:rsidRDefault="00365207" w:rsidP="00365207">
            <w:pPr>
              <w:pStyle w:val="TCTableBody"/>
              <w:rPr>
                <w:lang w:val="en-US"/>
              </w:rPr>
            </w:pPr>
            <w:r w:rsidRPr="00CA3946">
              <w:rPr>
                <w:lang w:val="en-US"/>
              </w:rPr>
              <w:t>-</w:t>
            </w:r>
          </w:p>
        </w:tc>
        <w:tc>
          <w:tcPr>
            <w:tcW w:w="481" w:type="dxa"/>
            <w:tcBorders>
              <w:top w:val="nil"/>
              <w:left w:val="nil"/>
              <w:bottom w:val="single" w:sz="4" w:space="0" w:color="auto"/>
              <w:right w:val="nil"/>
            </w:tcBorders>
          </w:tcPr>
          <w:p w14:paraId="0514E777" w14:textId="77777777" w:rsidR="00365207" w:rsidRPr="00CA3946" w:rsidRDefault="00365207" w:rsidP="00365207">
            <w:pPr>
              <w:pStyle w:val="TCTableBody"/>
              <w:rPr>
                <w:lang w:val="en-US"/>
              </w:rPr>
            </w:pPr>
            <w:r w:rsidRPr="00CA3946">
              <w:rPr>
                <w:lang w:val="en-US"/>
              </w:rPr>
              <w:t>1</w:t>
            </w:r>
          </w:p>
        </w:tc>
        <w:tc>
          <w:tcPr>
            <w:tcW w:w="320" w:type="dxa"/>
            <w:tcBorders>
              <w:top w:val="nil"/>
              <w:left w:val="nil"/>
              <w:bottom w:val="single" w:sz="4" w:space="0" w:color="auto"/>
              <w:right w:val="nil"/>
            </w:tcBorders>
          </w:tcPr>
          <w:p w14:paraId="0E0068FF" w14:textId="77777777" w:rsidR="00365207" w:rsidRPr="00CA3946" w:rsidRDefault="00365207" w:rsidP="00365207">
            <w:pPr>
              <w:pStyle w:val="TCTableBody"/>
              <w:rPr>
                <w:lang w:val="en-US"/>
              </w:rPr>
            </w:pPr>
          </w:p>
        </w:tc>
        <w:tc>
          <w:tcPr>
            <w:tcW w:w="1203" w:type="dxa"/>
            <w:tcBorders>
              <w:top w:val="nil"/>
              <w:left w:val="nil"/>
              <w:bottom w:val="single" w:sz="4" w:space="0" w:color="auto"/>
              <w:right w:val="nil"/>
            </w:tcBorders>
          </w:tcPr>
          <w:p w14:paraId="40C8AAEB" w14:textId="77777777" w:rsidR="00365207" w:rsidRPr="00CA3946" w:rsidRDefault="00365207" w:rsidP="00365207">
            <w:pPr>
              <w:pStyle w:val="TCTableBody"/>
              <w:rPr>
                <w:lang w:val="en-US"/>
              </w:rPr>
            </w:pPr>
            <w:r w:rsidRPr="00CA3946">
              <w:rPr>
                <w:lang w:val="en-US"/>
              </w:rPr>
              <w:t>3.8</w:t>
            </w:r>
          </w:p>
        </w:tc>
        <w:tc>
          <w:tcPr>
            <w:tcW w:w="1364" w:type="dxa"/>
            <w:tcBorders>
              <w:top w:val="nil"/>
              <w:left w:val="nil"/>
              <w:bottom w:val="single" w:sz="4" w:space="0" w:color="auto"/>
              <w:right w:val="nil"/>
            </w:tcBorders>
          </w:tcPr>
          <w:p w14:paraId="6D51E09F" w14:textId="77777777" w:rsidR="00365207" w:rsidRPr="00CA3946" w:rsidRDefault="00365207" w:rsidP="00365207">
            <w:pPr>
              <w:pStyle w:val="TCTableBody"/>
              <w:rPr>
                <w:lang w:val="en-US"/>
              </w:rPr>
            </w:pPr>
            <w:r w:rsidRPr="00CA3946">
              <w:rPr>
                <w:lang w:val="en-US"/>
              </w:rPr>
              <w:t>1.2</w:t>
            </w:r>
          </w:p>
        </w:tc>
      </w:tr>
    </w:tbl>
    <w:p w14:paraId="52884AC6" w14:textId="3D302AED" w:rsidR="00365207" w:rsidRPr="00CA3946" w:rsidRDefault="003F3B53" w:rsidP="0029516B">
      <w:pPr>
        <w:pStyle w:val="FETableFootnote"/>
        <w:spacing w:after="240"/>
      </w:pPr>
      <w:r w:rsidRPr="00CA3946">
        <w:rPr>
          <w:b/>
          <w:noProof/>
          <w:sz w:val="14"/>
          <w:szCs w:val="14"/>
          <w:lang w:val="en-GB" w:eastAsia="en-GB"/>
        </w:rPr>
        <w:drawing>
          <wp:anchor distT="0" distB="0" distL="114300" distR="114300" simplePos="0" relativeHeight="251657216" behindDoc="0" locked="0" layoutInCell="1" allowOverlap="1" wp14:anchorId="70742190" wp14:editId="32387B6A">
            <wp:simplePos x="0" y="0"/>
            <wp:positionH relativeFrom="margin">
              <wp:align>left</wp:align>
            </wp:positionH>
            <wp:positionV relativeFrom="paragraph">
              <wp:posOffset>815340</wp:posOffset>
            </wp:positionV>
            <wp:extent cx="3059430" cy="2324100"/>
            <wp:effectExtent l="0" t="0" r="7620" b="0"/>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 Pd.tif"/>
                    <pic:cNvPicPr/>
                  </pic:nvPicPr>
                  <pic:blipFill rotWithShape="1">
                    <a:blip r:embed="rId19" cstate="print">
                      <a:extLst>
                        <a:ext uri="{28A0092B-C50C-407E-A947-70E740481C1C}">
                          <a14:useLocalDpi xmlns:a14="http://schemas.microsoft.com/office/drawing/2010/main" val="0"/>
                        </a:ext>
                      </a:extLst>
                    </a:blip>
                    <a:srcRect l="7625" t="7623" r="10458" b="3800"/>
                    <a:stretch/>
                  </pic:blipFill>
                  <pic:spPr bwMode="auto">
                    <a:xfrm>
                      <a:off x="0" y="0"/>
                      <a:ext cx="305943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207" w:rsidRPr="00CA3946">
        <w:t>FA = fu</w:t>
      </w:r>
      <w:r w:rsidR="00744166" w:rsidRPr="00CA3946">
        <w:t>r</w:t>
      </w:r>
      <w:r w:rsidR="00365207" w:rsidRPr="00CA3946">
        <w:t xml:space="preserve">furyl alcohol, THFA = tetrahydrofurfuryl alcohol, 2-MF = 2-methylfuran, 2-MTHF = 2-methyltetrahydrofuran. </w:t>
      </w:r>
      <w:r w:rsidR="00365207" w:rsidRPr="00CA3946">
        <w:rPr>
          <w:vertAlign w:val="superscript"/>
        </w:rPr>
        <w:t>a</w:t>
      </w:r>
      <w:r w:rsidR="00365207" w:rsidRPr="00CA3946">
        <w:t xml:space="preserve"> Reaction conditions: Furfural = 0.3 M; F/metal ratio=500 </w:t>
      </w:r>
      <w:r w:rsidR="00744166" w:rsidRPr="00CA3946">
        <w:t>mol</w:t>
      </w:r>
      <w:r w:rsidR="00365207" w:rsidRPr="00CA3946">
        <w:t>/</w:t>
      </w:r>
      <w:r w:rsidR="00744166" w:rsidRPr="00CA3946">
        <w:t>mol</w:t>
      </w:r>
      <w:r w:rsidR="00365207" w:rsidRPr="00CA3946">
        <w:t>, 50°C, 5 bar H</w:t>
      </w:r>
      <w:r w:rsidR="00365207" w:rsidRPr="00CA3946">
        <w:rPr>
          <w:vertAlign w:val="subscript"/>
        </w:rPr>
        <w:t>2</w:t>
      </w:r>
      <w:r w:rsidR="00365207" w:rsidRPr="00CA3946">
        <w:t xml:space="preserve">, solvent 2-propranol, </w:t>
      </w:r>
      <w:r w:rsidR="00365207" w:rsidRPr="00CA3946">
        <w:rPr>
          <w:vertAlign w:val="superscript"/>
        </w:rPr>
        <w:t>b</w:t>
      </w:r>
      <w:r w:rsidR="00365207" w:rsidRPr="00CA3946">
        <w:t xml:space="preserve"> Mol of furfural converted per hour </w:t>
      </w:r>
      <w:r w:rsidR="00365207" w:rsidRPr="00CA3946">
        <w:lastRenderedPageBreak/>
        <w:t>per mol of metal, calculated after 15 min reaction mol (metal mol)</w:t>
      </w:r>
      <w:r w:rsidR="00365207" w:rsidRPr="00CA3946">
        <w:rPr>
          <w:vertAlign w:val="superscript"/>
        </w:rPr>
        <w:t>-1</w:t>
      </w:r>
      <w:r w:rsidR="00365207" w:rsidRPr="00CA3946">
        <w:t xml:space="preserve"> h</w:t>
      </w:r>
      <w:r w:rsidR="00365207" w:rsidRPr="00CA3946">
        <w:rPr>
          <w:vertAlign w:val="superscript"/>
        </w:rPr>
        <w:t>-1</w:t>
      </w:r>
      <w:r w:rsidR="00365207" w:rsidRPr="00CA3946">
        <w:t xml:space="preserve">. </w:t>
      </w:r>
      <w:r w:rsidR="00365207" w:rsidRPr="00CA3946">
        <w:rPr>
          <w:vertAlign w:val="superscript"/>
        </w:rPr>
        <w:t>c</w:t>
      </w:r>
      <w:r w:rsidR="00365207" w:rsidRPr="00CA3946">
        <w:t xml:space="preserve"> Selectivity at 60% conversion. </w:t>
      </w:r>
      <w:r w:rsidR="00365207" w:rsidRPr="00CA3946">
        <w:rPr>
          <w:vertAlign w:val="superscript"/>
        </w:rPr>
        <w:t>d</w:t>
      </w:r>
      <w:r w:rsidR="00365207" w:rsidRPr="00CA3946">
        <w:t xml:space="preserve"> Selectivity at 10% conversion. </w:t>
      </w:r>
      <w:r w:rsidR="00365207" w:rsidRPr="00CA3946">
        <w:rPr>
          <w:vertAlign w:val="superscript"/>
        </w:rPr>
        <w:t>e</w:t>
      </w:r>
      <w:r w:rsidR="00365207" w:rsidRPr="00CA3946">
        <w:t xml:space="preserve"> Calculated using 100 particles. Histogram shown in Figures S7.</w:t>
      </w:r>
    </w:p>
    <w:p w14:paraId="51A97FE5" w14:textId="77777777" w:rsidR="00365207" w:rsidRPr="00CA3946" w:rsidRDefault="00365207" w:rsidP="003D4A1F">
      <w:pPr>
        <w:pStyle w:val="TAMainText"/>
        <w:sectPr w:rsidR="00365207" w:rsidRPr="00CA3946" w:rsidSect="00365207">
          <w:type w:val="continuous"/>
          <w:pgSz w:w="12240" w:h="15840"/>
          <w:pgMar w:top="720" w:right="1094" w:bottom="720" w:left="1094" w:header="720" w:footer="720" w:gutter="0"/>
          <w:cols w:space="461"/>
        </w:sectPr>
      </w:pPr>
    </w:p>
    <w:p w14:paraId="6E9C5898" w14:textId="77777777" w:rsidR="00365207" w:rsidRPr="00CA3946" w:rsidRDefault="00365207" w:rsidP="003F3B53">
      <w:pPr>
        <w:pStyle w:val="VAFigureCaption"/>
        <w:spacing w:before="120"/>
      </w:pPr>
      <w:r w:rsidRPr="00CA3946">
        <w:lastRenderedPageBreak/>
        <w:t>Figure 6. Reusability study for 1 wt% Pd/NiO detailing changes to conversion and selectivity over 8 cycles, reaction time 5h. Recycling experiments were performed by reusing the catalyst in the next run without any additional pretreatment.</w:t>
      </w:r>
    </w:p>
    <w:p w14:paraId="30EA0BD1" w14:textId="22E4196A" w:rsidR="006B3D5F" w:rsidRPr="00CA3946" w:rsidRDefault="00DB3243" w:rsidP="003D4A1F">
      <w:pPr>
        <w:pStyle w:val="TAMainText"/>
        <w:rPr>
          <w:noProof/>
          <w:sz w:val="16"/>
          <w:szCs w:val="16"/>
        </w:rPr>
      </w:pPr>
      <w:r w:rsidRPr="00CA3946">
        <w:t>The initial catalytic activity screening has found that Pd/NiO offers a unique dual site mechanism for the hydrogenation of furfural. To investigate the catalyst further a catalytic reusability study, over 8 cycles, was performed (</w:t>
      </w:r>
      <w:r w:rsidR="00D53637" w:rsidRPr="00CA3946">
        <w:t>F</w:t>
      </w:r>
      <w:r w:rsidRPr="00CA3946">
        <w:t>igure 6).</w:t>
      </w:r>
      <w:r w:rsidR="006B3D5F" w:rsidRPr="00CA3946">
        <w:t xml:space="preserve"> </w:t>
      </w:r>
      <w:r w:rsidRPr="00CA3946">
        <w:t>The reusability study found that there was an initial reduction in the conversion of furfural, reducing</w:t>
      </w:r>
      <w:r w:rsidR="006B3D5F" w:rsidRPr="00CA3946">
        <w:t xml:space="preserve"> </w:t>
      </w:r>
      <w:r w:rsidRPr="00CA3946">
        <w:t>from ~ 65 to 50% between the first and third runs, with a more gradual decline in conversion to ~ 40% by the eighth cycle. The final three catalytic screening cycles show a plateau region with no further reduction in catalytic activity. Throughout all the reusability studies, the selectivity to THFA remains broadly constant indicating the same mechanistic pathway dominates for every cycle. It has been established that the hydrogenation of furfural on Pd/TiO</w:t>
      </w:r>
      <w:r w:rsidRPr="00CA3946">
        <w:rPr>
          <w:vertAlign w:val="subscript"/>
        </w:rPr>
        <w:t>2</w:t>
      </w:r>
      <w:r w:rsidRPr="00CA3946">
        <w:t xml:space="preserve"> deactivates through the formation of Pd carbide, which promotes a less advantageous adsorption of furfural.</w:t>
      </w:r>
      <w:r w:rsidR="009746C8" w:rsidRPr="00F664B4">
        <w:rPr>
          <w:vertAlign w:val="superscript"/>
        </w:rPr>
        <w:t>18</w:t>
      </w:r>
      <w:r w:rsidRPr="00CA3946">
        <w:t xml:space="preserve"> To test if the formation of Pd carbide is responsible for this deactivation ex situ X-ray absorption fine structure (XAFS) measurements were performed at the Pd K-edge before and after catalytic testing (Figure 7).</w:t>
      </w:r>
      <w:r w:rsidR="00365207" w:rsidRPr="00CA3946">
        <w:rPr>
          <w:noProof/>
          <w:sz w:val="16"/>
          <w:szCs w:val="16"/>
        </w:rPr>
        <w:t xml:space="preserve"> </w:t>
      </w:r>
    </w:p>
    <w:p w14:paraId="04E5DA1A" w14:textId="1881E247" w:rsidR="00A75222" w:rsidRPr="00CA3946" w:rsidRDefault="00A75222" w:rsidP="003D4A1F">
      <w:pPr>
        <w:pStyle w:val="TAMainText"/>
        <w:rPr>
          <w:noProof/>
          <w:lang w:val="en-GB" w:eastAsia="zh-CN"/>
        </w:rPr>
      </w:pPr>
      <w:r w:rsidRPr="00CA3946">
        <w:rPr>
          <w:noProof/>
          <w:lang w:val="en-GB" w:eastAsia="en-GB"/>
        </w:rPr>
        <w:drawing>
          <wp:inline distT="0" distB="0" distL="0" distR="0" wp14:anchorId="49D28161" wp14:editId="2BBA4570">
            <wp:extent cx="2880360" cy="252069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0" cy="2520696"/>
                    </a:xfrm>
                    <a:prstGeom prst="rect">
                      <a:avLst/>
                    </a:prstGeom>
                  </pic:spPr>
                </pic:pic>
              </a:graphicData>
            </a:graphic>
          </wp:inline>
        </w:drawing>
      </w:r>
    </w:p>
    <w:p w14:paraId="1DD40E4B" w14:textId="77777777" w:rsidR="00365207" w:rsidRPr="00CA3946" w:rsidRDefault="00365207" w:rsidP="00365207">
      <w:pPr>
        <w:pStyle w:val="VAFigureCaption"/>
      </w:pPr>
      <w:r w:rsidRPr="00CA3946">
        <w:t>Figure 7. Pd K edge XANES of 1% Pd/NiO before and after reaction and a reference Pd foil.</w:t>
      </w:r>
    </w:p>
    <w:p w14:paraId="6B352404" w14:textId="0DBC52AD" w:rsidR="009C1F51" w:rsidRPr="00CA3946" w:rsidRDefault="00284E24" w:rsidP="00417E50">
      <w:pPr>
        <w:pStyle w:val="TAMainText"/>
      </w:pPr>
      <w:r w:rsidRPr="00CA3946">
        <w:t>The X-ray absorption near edge data (XANES) shown in Figure 7 demonstrate that the height of the main edge of the fresh Pd/NiO catalyst is greater than both the Pd foil and used Pd/NiO. This difference in height can be attributed to a greater degree of oxidized Pd in the fresh</w:t>
      </w:r>
      <w:r w:rsidR="009C1F51" w:rsidRPr="00CA3946">
        <w:t xml:space="preserve"> </w:t>
      </w:r>
      <w:r w:rsidRPr="00CA3946">
        <w:t xml:space="preserve">Pd/NiO catalyst. Small Pd nanoparticles have a high proportion of surface sites that readily adsorb oxygen on exposure to air. The height of the main edge for the used Pd/NiO catalyst is the same as the Pd foil, confirming the </w:t>
      </w:r>
      <w:r w:rsidRPr="00CA3946">
        <w:lastRenderedPageBreak/>
        <w:t>presence of Pd0. There are two features in the XANES spectrum of the used Pd/NiO indicative of Pd carbide; there is a broadening of the first peak maximum and a shift to lower energy of the second peak maximum as a result of lattice expansion. The shift in the position of the second peak maximum</w:t>
      </w:r>
      <w:r w:rsidR="009C1F51" w:rsidRPr="00CA3946">
        <w:t xml:space="preserve"> </w:t>
      </w:r>
      <w:r w:rsidRPr="00CA3946">
        <w:t>is observed for both hydridic and carbidic forms of Pd, however, the broadening of the first peak is only observed for Pd carbide.</w:t>
      </w:r>
      <w:r w:rsidR="00417E50" w:rsidRPr="00CA3946">
        <w:fldChar w:fldCharType="begin" w:fldLock="1"/>
      </w:r>
      <w:r w:rsidR="0097007D" w:rsidRPr="00CA3946">
        <w:instrText>ADDIN CSL_CITATION {"citationItems":[{"id":"ITEM-1","itemData":{"DOI":"10.1103/PhysRevB.47.4873","ISSN":"01631829","abstract":"Pd K-edge extended x-ray-absorption fine-structure (EXAFS) and x-ray-absorption near-edge-structure (XANES) measurements were performed on a Pd carbide phase, PdCx (with x</w:instrText>
      </w:r>
      <w:r w:rsidR="0097007D" w:rsidRPr="00CA3946">
        <w:rPr>
          <w:rFonts w:ascii="Cambria Math" w:hAnsi="Cambria Math" w:cs="Cambria Math"/>
        </w:rPr>
        <w:instrText>∼</w:instrText>
      </w:r>
      <w:r w:rsidR="0097007D" w:rsidRPr="00CA3946">
        <w:instrText>0.13), and metallic Pd powder at temperatures between 40 and 423 K. The data were analyzed by nonlinear least-squares fitting using an ab initio theoretical standard. The average lattice expansion of the carbide phase, 2.7±0.1% relative to Pd metal, agrees well with previous x-ray- and neutron-diffraction results. The temperature dependence of the Pd-Pd nearest-neighbor mean-squared relative displacement (σ2) yields a Debye temperature, ΘD=295±10 K for Pd powder. There is an additional static-disorder contribution in σ2 of 0.0009±0.0002 A2, relative to bulk Pd metal. The Debye temperature of PdC0.13 powder is also 295±10 K. There is, however, an additional static-disorder contribution to σ2 of 0.0012 A2, relative to Pd powder, probably the result of local distortion of the Pd lattice by interstitial C. The Pd-C coordination is not directly observed in a Fourier transform of the EXAFS. The location of C in octahedral interstices is evident by its effect, through multiple scattering, on the magnitude of the second Pd-Pd peak in the Fourier transform magnitude of the EXAFS data, which is greatly reduced. The Pd K-edge XANES spectrum of PdC0.13 is nearly identical to that of Pd metal. There is no significant chemical shift (≤0.5 eV) of the Pd K edge of PdC</w:instrText>
      </w:r>
      <w:r w:rsidR="0097007D" w:rsidRPr="00CA3946">
        <w:rPr>
          <w:rFonts w:ascii="Cambria Math" w:hAnsi="Cambria Math" w:cs="Cambria Math"/>
        </w:rPr>
        <w:instrText>∼</w:instrText>
      </w:r>
      <w:r w:rsidR="0097007D" w:rsidRPr="00CA3946">
        <w:instrText xml:space="preserve">0.13. </w:instrText>
      </w:r>
      <w:r w:rsidR="0097007D" w:rsidRPr="00CA3946">
        <w:rPr>
          <w:rFonts w:ascii="Constantia" w:hAnsi="Constantia" w:cs="Constantia"/>
        </w:rPr>
        <w:instrText>©</w:instrText>
      </w:r>
      <w:r w:rsidR="0097007D" w:rsidRPr="00CA3946">
        <w:instrText xml:space="preserve"> 1993 The American Physical Society.","author":[{"dropping-particle":"","family":"McCaulley","given":"James A.","non-dropping-particle":"","parse-names":false,"suffix":""}],"container-title":"Physical Review B","id":"ITEM-1","issue":"9","issued":{"date-parts":[["1993","3"]]},"page":"4873-4879","publisher":"American Physical Society","title":"Temperature dependence of the Pd K-edge extended x-ray-absorption fine structure of PdCx (x</w:instrText>
      </w:r>
      <w:r w:rsidR="0097007D" w:rsidRPr="00CA3946">
        <w:rPr>
          <w:rFonts w:ascii="Cambria Math" w:hAnsi="Cambria Math" w:cs="Cambria Math"/>
        </w:rPr>
        <w:instrText>∼</w:instrText>
      </w:r>
      <w:r w:rsidR="0097007D" w:rsidRPr="00CA3946">
        <w:instrText>0.13)","type":"article-journal","volume":"47"},"uris":["http://www.mendeley.com/documents/?uuid=b4d3fd94-2cf3-4e1d-ae45-2762c0b94de2"]},{"id":"ITEM-2","itemData":{"DOI":"10.1039/b823504j","ISSN":"14639076","abstract":"A controlled surface reaction technique has been successfully employed to prepare a series of Pt modified Pd/C (Pt/Pd/C) and Pd modified Pt/C (Pd/Pt/C) catalysts. The resulting catalyst materials were characterised by TEM, XRD, electrochemistry, and EXAFS techniques. In the case of the Pd/Pt/C carbon catalysts, core-shell structural arrangements were found, with a 0.04 contraction of the Pd-Pd bond distance for the 1 Pd/Pt/C being observed. A greater degree of alloying was found for the Pt/Pd/C catalysts where the surface had a mixed composition with a large proportion of the Pt in the interior of the nanoparticle. However, strong Pt characteristics were exhibited in the voltammetry of Pt/Pd/C catalysts, most notably a large increase in the stability with respect to the electrochemical environment compared to Pd alone. © the Owner Societies 2009.","author":[{"dropping-particle":"","family":"Wells","given":"P. P.","non-dropping-particle":"","parse-names":false,"suffix":""},{"dropping-particle":"","family":"Crabb","given":"E. M.","non-dropping-particle":"","parse-names":false,"suffix":""},{"dropping-particle":"","family":"King","given":"C. R.","non-dropping-particle":"","parse-names":false,"suffix":""},{"dropping-particle":"","family":"Wiltshire","given":"R.","non-dropping-particle":"","parse-names":false,"suffix":""},{"dropping-particle":"","family":"Billsborrow","given":"B.","non-dropping-particle":"","parse-names":false,"suffix":""},{"dropping-particle":"","family":"Thompsett","given":"D.","non-dropping-particle":"","parse-names":false,"suffix":""},{"dropping-particle":"","family":"Russell","given":"A. E.","non-dropping-particle":"","parse-names":false,"suffix":""}],"container-title":"Physical Chemistry Chemical Physics","id":"ITEM-2","issue":"27","issued":{"date-parts":[["2009"]]},"page":"5773-5781","publisher":"The Royal Society of Chemistry","title":"Preparation, structure, and stability of Pt and Pd monolayer modified Pd and Pt electrocatalysts","type":"article-journal","volume":"11"},"uris":["http://www.mendeley.com/documents/?uuid=56cf2eee-ce48-49b3-9736-9f1a1b5ba306"]}],"mendeley":{"formattedCitation":"&lt;sup&gt;51,52&lt;/sup&gt;","plainTextFormattedCitation":"51,52","previouslyFormattedCitation":"&lt;sup&gt;51,52&lt;/sup&gt;"},"properties":{"noteIndex":0},"schema":"https://github.com/citation-style-language/schema/raw/master/csl-citation.json"}</w:instrText>
      </w:r>
      <w:r w:rsidR="00417E50" w:rsidRPr="00CA3946">
        <w:fldChar w:fldCharType="separate"/>
      </w:r>
      <w:r w:rsidR="0097007D" w:rsidRPr="00CA3946">
        <w:rPr>
          <w:noProof/>
          <w:vertAlign w:val="superscript"/>
        </w:rPr>
        <w:t>51,52</w:t>
      </w:r>
      <w:r w:rsidR="00417E50" w:rsidRPr="00CA3946">
        <w:fldChar w:fldCharType="end"/>
      </w:r>
      <w:r w:rsidRPr="00CA3946">
        <w:t xml:space="preserve"> Furthermore, the insertion/removal of hydride into the Pd lattice is such that without an overpressure of hydrogen present any incorporated hydride would quickly diffuse out from the Pd nanoparticle. The lack of oxygen coordination on the Pd surface, inferred from the XANES, is consistent with previous studies where heteroatoms are inserted into the Pd lattice.</w:t>
      </w:r>
      <w:r w:rsidR="00417E50" w:rsidRPr="00CA3946">
        <w:fldChar w:fldCharType="begin" w:fldLock="1"/>
      </w:r>
      <w:r w:rsidR="0097007D" w:rsidRPr="00CA3946">
        <w:instrText>ADDIN CSL_CITATION {"citationItems":[{"id":"ITEM-1","itemData":{"DOI":"10.1038/s41929-018-0213-3","ISSN":"25201158","abstract":"The selective catalytic oxidation of NH 3 to N 2 presents a promising solution for the abatement of unused NH 3 -based reductants from diesel exhaust after treatment. Supported Pd nanoparticle catalysts show selectivity to N 2 rather than NO x , which is investigated in this work. The link between Pd nanoparticle structure and surface reactivity was found using operando X-ray absorption fine structure spectroscopy, diffuse reflectance infrared Fourier-transformed spectroscopy and on-line mass spectrometry. Nitrogen insertion into the metallic Pd nanoparticle structure at low temperatures (&lt;200 °C) was found to be responsible for high N 2 selectivity, whereas the unfavourable formation of NO is linked to adsorbed nitrates, which form at the surface of bulk PdO nanoparticles at high temperatures (&gt;280 °C). Our work demonstrates the ability of combined operando spectroscopy and density functional theory calculations to characterize a previously unidentified PdN x species, and clarify the selectivity-directing structure of supported Pd catalysts for the selective catalytic oxidation of NH 3 to N 2 .","author":[{"dropping-particle":"","family":"Dann","given":"Ellie K.","non-dropping-particle":"","parse-names":false,"suffix":""},{"dropping-particle":"","family":"Gibson","given":"Emma K.","non-dropping-particle":"","parse-names":false,"suffix":""},{"dropping-particle":"","family":"Blackmore","given":"Rachel H.","non-dropping-particle":"","parse-names":false,"suffix":""},{"dropping-particle":"","family":"Catlow","given":"C. Richard A.","non-dropping-particle":"","parse-names":false,"suffix":""},{"dropping-particle":"","family":"Collier","given":"Paul","non-dropping-particle":"","parse-names":false,"suffix":""},{"dropping-particle":"","family":"Chutia","given":"Arunabhiram","non-dropping-particle":"","parse-names":false,"suffix":""},{"dropping-particle":"","family":"Erden","given":"Tugce Eralp","non-dropping-particle":"","parse-names":false,"suffix":""},{"dropping-particle":"","family":"Hardacre","given":"Christopher","non-dropping-particle":"","parse-names":false,"suffix":""},{"dropping-particle":"","family":"Kroner","given":"Anna","non-dropping-particle":"","parse-names":false,"suffix":""},{"dropping-particle":"","family":"Nachtegaal","given":"Maarten","non-dropping-particle":"","parse-names":false,"suffix":""},{"dropping-particle":"","family":"Raj","given":"Agnes","non-dropping-particle":"","parse-names":false,"suffix":""},{"dropping-particle":"","family":"Rogers","given":"Scott M.","non-dropping-particle":"","parse-names":false,"suffix":""},{"dropping-particle":"","family":"Taylor","given":"S. F.Rebecca","non-dropping-particle":"","parse-names":false,"suffix":""},{"dropping-particle":"","family":"Thompson","given":"Paul","non-dropping-particle":"","parse-names":false,"suffix":""},{"dropping-particle":"","family":"Tierney","given":"George F.","non-dropping-particle":"","parse-names":false,"suffix":""},{"dropping-particle":"","family":"Zeinalipour-Yazdi","given":"Constantinos D.","non-dropping-particle":"","parse-names":false,"suffix":""},{"dropping-particle":"","family":"Goguet","given":"Alexandre","non-dropping-particle":"","parse-names":false,"suffix":""},{"dropping-particle":"","family":"Wells","given":"Peter P.","non-dropping-particle":"","parse-names":false,"suffix":""}],"container-title":"Nature Catalysis","id":"ITEM-1","issue":"2","issued":{"date-parts":[["2019"]]},"page":"157-163","title":"Structural selectivity of supported Pd nanoparticles for catalytic NH 3 oxidation resolved using combined operando spectroscopy","type":"article-journal","volume":"2"},"uris":["http://www.mendeley.com/documents/?uuid=524a6c7e-1ee0-496e-a542-b5e23adc91dd"]}],"mendeley":{"formattedCitation":"&lt;sup&gt;53&lt;/sup&gt;","plainTextFormattedCitation":"53","previouslyFormattedCitation":"&lt;sup&gt;53&lt;/sup&gt;"},"properties":{"noteIndex":0},"schema":"https://github.com/citation-style-language/schema/raw/master/csl-citation.json"}</w:instrText>
      </w:r>
      <w:r w:rsidR="00417E50" w:rsidRPr="00CA3946">
        <w:fldChar w:fldCharType="separate"/>
      </w:r>
      <w:r w:rsidR="0097007D" w:rsidRPr="00CA3946">
        <w:rPr>
          <w:noProof/>
          <w:vertAlign w:val="superscript"/>
        </w:rPr>
        <w:t>53</w:t>
      </w:r>
      <w:r w:rsidR="00417E50" w:rsidRPr="00CA3946">
        <w:fldChar w:fldCharType="end"/>
      </w:r>
    </w:p>
    <w:p w14:paraId="70B3A64F" w14:textId="333CE107" w:rsidR="009C1F51" w:rsidRPr="00CA3946" w:rsidRDefault="002A30FF" w:rsidP="004B61B0">
      <w:pPr>
        <w:pStyle w:val="TAMainText"/>
        <w:rPr>
          <w:noProof/>
          <w:sz w:val="16"/>
          <w:szCs w:val="16"/>
        </w:rPr>
      </w:pPr>
      <w:r w:rsidRPr="00CA3946">
        <w:t>Analysis of the extended X-ray absorption fine structure (EXAFS) was also performed with the results shown in Table S1 and Figure 8. The EXAFS fitting parameters for the fresh Pd/NiO catalyst confirms that Pd is present as metallic Pd nanoparticles with an oxidised surface layer. There are no Pd-Pd scattering paths at longer distances, indicative of PdO, needed to model the data, and we can therefore discount the presence of large PdO crystallites. The EXAFS data for the used Pd/NiO catalyst can be modelled using a single Pd-Pd scattering path. The expansion of the Pd lattice from 2.74 Å to 2.79 Å is consistent with that previously reported for bulk Pd carbide formation.</w:t>
      </w:r>
      <w:r w:rsidR="004B61B0" w:rsidRPr="00CA3946">
        <w:fldChar w:fldCharType="begin" w:fldLock="1"/>
      </w:r>
      <w:r w:rsidR="0097007D" w:rsidRPr="00CA3946">
        <w:instrText>ADDIN CSL_CITATION {"citationItems":[{"id":"ITEM-1","itemData":{"DOI":"10.1103/PhysRevB.47.4873","ISSN":"01631829","abstract":"Pd K-edge extended x-ray-absorption fine-structure (EXAFS) and x-ray-absorption near-edge-structure (XANES) measurements were performed on a Pd carbide phase, PdCx (with x</w:instrText>
      </w:r>
      <w:r w:rsidR="0097007D" w:rsidRPr="00CA3946">
        <w:rPr>
          <w:rFonts w:ascii="Cambria Math" w:hAnsi="Cambria Math" w:cs="Cambria Math"/>
        </w:rPr>
        <w:instrText>∼</w:instrText>
      </w:r>
      <w:r w:rsidR="0097007D" w:rsidRPr="00CA3946">
        <w:instrText>0.13), and metallic Pd powder at temperatures between 40 and 423 K. The data were analyzed by nonlinear least-squares fitting using an ab initio theoretical standard. The average lattice expansion of the carbide phase, 2.7±0.1% relative to Pd metal, agrees well with previous x-ray- and neutron-diffraction results. The temperature dependence of the Pd-Pd nearest-neighbor mean-squared relative displacement (σ2) yields a Debye temperature, ΘD=295±10 K for Pd powder. There is an additional static-disorder contribution in σ2 of 0.0009±0.0002 A2, relative to bulk Pd metal. The Debye temperature of PdC0.13 powder is also 295±10 K. There is, however, an additional static-disorder contribution to σ2 of 0.0012 A2, relative to Pd powder, probably the result of local distortion of the Pd lattice by interstitial C. The Pd-C coordination is not directly observed in a Fourier transform of the EXAFS. The location of C in octahedral interstices is evident by its effect, through multiple scattering, on the magnitude of the second Pd-Pd peak in the Fourier transform magnitude of the EXAFS data, which is greatly reduced. The Pd K-edge XANES spectrum of PdC0.13 is nearly identical to that of Pd metal. There is no significant chemical shift (≤0.5 eV) of the Pd K edge of PdC</w:instrText>
      </w:r>
      <w:r w:rsidR="0097007D" w:rsidRPr="00CA3946">
        <w:rPr>
          <w:rFonts w:ascii="Cambria Math" w:hAnsi="Cambria Math" w:cs="Cambria Math"/>
        </w:rPr>
        <w:instrText>∼</w:instrText>
      </w:r>
      <w:r w:rsidR="0097007D" w:rsidRPr="00CA3946">
        <w:instrText xml:space="preserve">0.13. </w:instrText>
      </w:r>
      <w:r w:rsidR="0097007D" w:rsidRPr="00CA3946">
        <w:rPr>
          <w:rFonts w:ascii="Constantia" w:hAnsi="Constantia" w:cs="Constantia"/>
        </w:rPr>
        <w:instrText>©</w:instrText>
      </w:r>
      <w:r w:rsidR="0097007D" w:rsidRPr="00CA3946">
        <w:instrText xml:space="preserve"> 1993 The American Physical Society.","author":[{"dropping-particle":"","family":"McCaulley","given":"James A.","non-dropping-particle":"","parse-names":false,"suffix":""}],"container-title":"Physical Review B","id":"ITEM-1","issue":"9","issued":{"date-parts":[["1993","3"]]},"page":"4873-4879","publisher":"American Physical Society","title":"Temperature dependence of the Pd K-edge extended x-ray-absorption fine structure of PdCx (x</w:instrText>
      </w:r>
      <w:r w:rsidR="0097007D" w:rsidRPr="00CA3946">
        <w:rPr>
          <w:rFonts w:ascii="Cambria Math" w:hAnsi="Cambria Math" w:cs="Cambria Math"/>
        </w:rPr>
        <w:instrText>∼</w:instrText>
      </w:r>
      <w:r w:rsidR="0097007D" w:rsidRPr="00CA3946">
        <w:instrText>0.13)","type":"article-journal","volume":"47"},"uris":["http://www.mendeley.com/documents/?uuid=b4d3fd94-2cf3-4e1d-ae45-2762c0b94de2"]}],"mendeley":{"formattedCitation":"&lt;sup&gt;51&lt;/sup&gt;","plainTextFormattedCitation":"51","previouslyFormattedCitation":"&lt;sup&gt;51&lt;/sup&gt;"},"properties":{"noteIndex":0},"schema":"https://github.com/citation-style-language/schema/raw/master/csl-citation.json"}</w:instrText>
      </w:r>
      <w:r w:rsidR="004B61B0" w:rsidRPr="00CA3946">
        <w:fldChar w:fldCharType="separate"/>
      </w:r>
      <w:r w:rsidR="0097007D" w:rsidRPr="00CA3946">
        <w:rPr>
          <w:noProof/>
          <w:vertAlign w:val="superscript"/>
        </w:rPr>
        <w:t>51</w:t>
      </w:r>
      <w:r w:rsidR="004B61B0" w:rsidRPr="00CA3946">
        <w:fldChar w:fldCharType="end"/>
      </w:r>
      <w:r w:rsidRPr="00CA3946">
        <w:t xml:space="preserve"> The reduced Pd-Pd coordination number of the used Pd/NiO catalyst from 12 to 9 is indicative of small nanoparticles (&lt;5 nm) of Pd.</w:t>
      </w:r>
      <w:r w:rsidR="00365207" w:rsidRPr="00CA3946">
        <w:rPr>
          <w:noProof/>
          <w:sz w:val="16"/>
          <w:szCs w:val="16"/>
        </w:rPr>
        <w:t xml:space="preserve"> </w:t>
      </w:r>
    </w:p>
    <w:p w14:paraId="6FCA7E3E" w14:textId="082F4219" w:rsidR="007D1328" w:rsidRPr="00CA3946" w:rsidRDefault="007D1328" w:rsidP="004B61B0">
      <w:pPr>
        <w:pStyle w:val="TAMainText"/>
        <w:rPr>
          <w:noProof/>
          <w:lang w:val="en-GB" w:eastAsia="zh-CN"/>
        </w:rPr>
      </w:pPr>
      <w:r w:rsidRPr="00CA3946">
        <w:rPr>
          <w:noProof/>
          <w:lang w:val="en-GB" w:eastAsia="en-GB"/>
        </w:rPr>
        <w:drawing>
          <wp:inline distT="0" distB="0" distL="0" distR="0" wp14:anchorId="18076571" wp14:editId="0FAD4F49">
            <wp:extent cx="3044825" cy="3724910"/>
            <wp:effectExtent l="0" t="0" r="3175"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4825" cy="3724910"/>
                    </a:xfrm>
                    <a:prstGeom prst="rect">
                      <a:avLst/>
                    </a:prstGeom>
                  </pic:spPr>
                </pic:pic>
              </a:graphicData>
            </a:graphic>
          </wp:inline>
        </w:drawing>
      </w:r>
    </w:p>
    <w:p w14:paraId="37002474" w14:textId="51C61795" w:rsidR="00365207" w:rsidRPr="00CA3946" w:rsidRDefault="00365207" w:rsidP="00365207">
      <w:pPr>
        <w:pStyle w:val="VAFigureCaption"/>
        <w:rPr>
          <w:noProof/>
          <w:lang w:val="en-GB" w:eastAsia="zh-CN"/>
        </w:rPr>
      </w:pPr>
      <w:r w:rsidRPr="00CA3946">
        <w:lastRenderedPageBreak/>
        <w:t>Figure 8. k</w:t>
      </w:r>
      <w:r w:rsidRPr="00CA3946">
        <w:rPr>
          <w:vertAlign w:val="superscript"/>
        </w:rPr>
        <w:t>2</w:t>
      </w:r>
      <w:r w:rsidRPr="00CA3946">
        <w:t xml:space="preserve"> weighted Fourier transform EXAFS data with simulated fit for (a) the fresh Pd/NiO and (b) the used Pd/NiO</w:t>
      </w:r>
      <w:r w:rsidR="00744166" w:rsidRPr="00CA3946">
        <w:t>.</w:t>
      </w:r>
    </w:p>
    <w:p w14:paraId="1B834471" w14:textId="3444CB8E" w:rsidR="000969AA" w:rsidRPr="00CA3946" w:rsidRDefault="002A30FF" w:rsidP="004B61B0">
      <w:pPr>
        <w:pStyle w:val="TAMainText"/>
      </w:pPr>
      <w:r w:rsidRPr="00CA3946">
        <w:rPr>
          <w:noProof/>
          <w:lang w:val="en-GB" w:eastAsia="zh-CN"/>
        </w:rPr>
        <w:t>The XAFS data confirms that there is a structural change during furfural hydrogenation on Pd/NiO that is</w:t>
      </w:r>
      <w:r w:rsidR="009C1F51" w:rsidRPr="00CA3946">
        <w:t xml:space="preserve"> </w:t>
      </w:r>
      <w:r w:rsidR="00872C0B" w:rsidRPr="00CA3946">
        <w:t>consistent with the formation of Pd carbide. Previously, it has been shown that there is a less favourable binding of furfural on carbidic Pd, which is responsible for the loss of activity during reusability studies. However, in the case of Pd/NiO, it has been established that the activity arises from furfural adsorbed on the NiO surface. In this instance it is proposed that the loss of activity stems from the</w:t>
      </w:r>
      <w:r w:rsidR="009C1F51" w:rsidRPr="00CA3946">
        <w:t xml:space="preserve"> </w:t>
      </w:r>
      <w:r w:rsidR="00872C0B" w:rsidRPr="00CA3946">
        <w:t>reduced ability of Pd carbide to dissociate hydrogen, which has</w:t>
      </w:r>
      <w:r w:rsidR="009C1F51" w:rsidRPr="00CA3946">
        <w:t xml:space="preserve"> also been found previously.</w:t>
      </w:r>
      <w:r w:rsidR="004B61B0" w:rsidRPr="00CA3946">
        <w:fldChar w:fldCharType="begin" w:fldLock="1"/>
      </w:r>
      <w:r w:rsidR="0097007D" w:rsidRPr="00CA3946">
        <w:instrText>ADDIN CSL_CITATION {"citationItems":[{"id":"ITEM-1","itemData":{"DOI":"10.1002/cctc.201200100","ISBN":"3084134405","ISSN":"18673880","abstract":"Discussed are the recent experimental and theoretical results on palladium-based catalysts for selective hydrogenation of alkynes obtained by a number of collaborating groups in a joint multi-method and multi-material approach. The critical modification of catalytically active Pd surfaces by incorporation of foreign species X into the sub-surface of Pd metal was observed by insitu spectroscopy for X=H, C under hydrogenation conditions. Under certain conditions (low H 2 partial pressure) alkyne fragmentation leads to formation of a Pd, C surface phase in the reactant gas feed. The insertion of C as a modifier species in the sub-surface increases considerably the selectivity of alkyne semi-hydrogenation over Pd-based catalysts through the decoupling of bulk hydrogen from the outmost active surface layer. DFT calculations confirm that Pd-C hinders the diffusion of hydridic hydrogen. Its formation is dependent on the chemical potential of carbon (reactant partial pressure) and is suppressed when the hydrogen/alkyne pressure ratio is high, which leads to rather unselective hydrogenation over insitu formed bulk Pd-H. The beneficial effect of the modifier species X on the selectivity, however, is also present in intermetallic compounds with X=Ga. As a great advantage, such Pd xGa y catalysts show extended stability under insitu conditions. Metallurgical, clean samples were used to determine the intrinsic catalytic properties of PdGa and Pd 3Ga 7. For high performance catalysts, supported nanostructured intermetallic compounds are more preferable and partial reduction of Ga 2O 3, upon heating of Pd/Ga 2O 3 in hydrogen, was shown to lead to formation of Pd-Ga intermetallic compounds at moderate temperatures. In this way, Pd 5Ga 2 and Pd 2Ga are accessible in the form of supported nanoparticles, in thin film models, and realistic powder samples, respectively. © 2012 WILEY-VCH Verlag GmbH &amp; Co. KGaA, Weinheim.","author":[{"dropping-particle":"","family":"Armbrüster","given":"Marc","non-dropping-particle":"","parse-names":false,"suffix":""},{"dropping-particle":"","family":"Behrens","given":"Malte","non-dropping-particle":"","parse-names":false,"suffix":""},{"dropping-particle":"","family":"Cinquini","given":"Fabrizio","non-dropping-particle":"","parse-names":false,"suffix":""},{"dropping-particle":"","family":"Föttinger","given":"Karin","non-dropping-particle":"","parse-names":false,"suffix":""},{"dropping-particle":"","family":"Grin","given":"Yuri","non-dropping-particle":"","parse-names":false,"suffix":""},{"dropping-particle":"","family":"Haghofer","given":"Andreas","non-dropping-particle":"","parse-names":false,"suffix":""},{"dropping-particle":"","family":"Klötzer","given":"Bernhard","non-dropping-particle":"","parse-names":false,"suffix":""},{"dropping-particle":"","family":"Knop-Gericke","given":"Axel","non-dropping-particle":"","parse-names":false,"suffix":""},{"dropping-particle":"","family":"Lorenz","given":"Harald","non-dropping-particle":"","parse-names":false,"suffix":""},{"dropping-particle":"","family":"Ota","given":"Antje","non-dropping-particle":"","parse-names":false,"suffix":""},{"dropping-particle":"","family":"Penner","given":"Simon","non-dropping-particle":"","parse-names":false,"suffix":""},{"dropping-particle":"","family":"Prinz","given":"Jan","non-dropping-particle":"","parse-names":false,"suffix":""},{"dropping-particle":"","family":"Rameshan","given":"Christoph","non-dropping-particle":"","parse-names":false,"suffix":""},{"dropping-particle":"","family":"Révay","given":"Zsolt","non-dropping-particle":"","parse-names":false,"suffix":""},{"dropping-particle":"","family":"Rosenthal","given":"Dirk","non-dropping-particle":"","parse-names":false,"suffix":""},{"dropping-particle":"","family":"Rupprechter","given":"Günther","non-dropping-particle":"","parse-names":false,"suffix":""},{"dropping-particle":"","family":"Sautet","given":"Philippe","non-dropping-particle":"","parse-names":false,"suffix":""},{"dropping-particle":"","family":"Schlögl","given":"Robert","non-dropping-particle":"","parse-names":false,"suffix":""},{"dropping-particle":"","family":"Shao","given":"Lidong","non-dropping-particle":"","parse-names":false,"suffix":""},{"dropping-particle":"","family":"Szentmiklósi","given":"László","non-dropping-particle":"","parse-names":false,"suffix":""},{"dropping-particle":"","family":"Teschner","given":"Detre","non-dropping-particle":"","parse-names":false,"suffix":""},{"dropping-particle":"","family":"Torres","given":"Daniel","non-dropping-particle":"","parse-names":false,"suffix":""},{"dropping-particle":"","family":"Wagner","given":"Ronald","non-dropping-particle":"","parse-names":false,"suffix":""},{"dropping-particle":"","family":"Widmer","given":"Roland","non-dropping-particle":"","parse-names":false,"suffix":""},{"dropping-particle":"","family":"Wowsnick","given":"Gregor","non-dropping-particle":"","parse-names":false,"suffix":""}],"container-title":"ChemCatChem","id":"ITEM-1","issue":"8","issued":{"date-parts":[["2012"]]},"page":"1048-1063","title":"How to Control the Selectivity of Palladium-based Catalysts in Hydrogenation Reactions: The Role of Subsurface Chemistry","type":"article-journal","volume":"4"},"uris":["http://www.mendeley.com/documents/?uuid=ac4e79ea-d822-461a-b527-c549ea32efc1"]}],"mendeley":{"formattedCitation":"&lt;sup&gt;54&lt;/sup&gt;","plainTextFormattedCitation":"54","previouslyFormattedCitation":"&lt;sup&gt;54&lt;/sup&gt;"},"properties":{"noteIndex":0},"schema":"https://github.com/citation-style-language/schema/raw/master/csl-citation.json"}</w:instrText>
      </w:r>
      <w:r w:rsidR="004B61B0" w:rsidRPr="00CA3946">
        <w:fldChar w:fldCharType="separate"/>
      </w:r>
      <w:r w:rsidR="0097007D" w:rsidRPr="00CA3946">
        <w:rPr>
          <w:noProof/>
          <w:vertAlign w:val="superscript"/>
        </w:rPr>
        <w:t>54</w:t>
      </w:r>
      <w:r w:rsidR="004B61B0" w:rsidRPr="00CA3946">
        <w:fldChar w:fldCharType="end"/>
      </w:r>
    </w:p>
    <w:p w14:paraId="15E575C6" w14:textId="77777777" w:rsidR="006B3D5F" w:rsidRPr="00CA3946" w:rsidRDefault="0068063B" w:rsidP="0068063B">
      <w:pPr>
        <w:pStyle w:val="TDAckTitle"/>
      </w:pPr>
      <w:r w:rsidRPr="00CA3946">
        <w:t>CONCLUSION</w:t>
      </w:r>
    </w:p>
    <w:p w14:paraId="1EE3F4CA" w14:textId="77777777" w:rsidR="009C1F51" w:rsidRPr="00CA3946" w:rsidRDefault="00872C0B" w:rsidP="003D4A1F">
      <w:pPr>
        <w:pStyle w:val="TAMainText"/>
      </w:pPr>
      <w:r w:rsidRPr="00CA3946">
        <w:t>This study reports a synergistic interaction between Pd NPs and NiO that is responsible for directing the selectivity of furfural hydrogenation, alongside being able to maintain catalytic activity at low Pd loading. This study proposes that the hydrogenation of furfural proceeds via a dual-site hydrogenation mechanism with the following steps: i) hydrogen dissociation on Pd surfaces, (ii) spillover of H</w:t>
      </w:r>
      <w:r w:rsidRPr="00CA3946">
        <w:rPr>
          <w:vertAlign w:val="subscript"/>
        </w:rPr>
        <w:t>ads</w:t>
      </w:r>
      <w:r w:rsidRPr="00CA3946">
        <w:t xml:space="preserve"> onto the NiO support, (iii) parallel adsorption of furfural through both the furan ring and alcohol group onto the support, and (iv) hydrogenation of furfural on the NiO surface to yield THFA as the major product.</w:t>
      </w:r>
    </w:p>
    <w:p w14:paraId="2A32A447" w14:textId="2DB40FAF" w:rsidR="009C1F51" w:rsidRPr="00CA3946" w:rsidRDefault="00872C0B" w:rsidP="003D4A1F">
      <w:pPr>
        <w:pStyle w:val="TAMainText"/>
      </w:pPr>
      <w:r w:rsidRPr="00CA3946">
        <w:t>Initially, the nature of CO</w:t>
      </w:r>
      <w:r w:rsidRPr="00CA3946">
        <w:rPr>
          <w:vertAlign w:val="subscript"/>
        </w:rPr>
        <w:t>ads</w:t>
      </w:r>
      <w:r w:rsidRPr="00CA3946">
        <w:t xml:space="preserve"> on surfaces of Pd NPs through FTIR spectroscopy was used to assess the available catalytic sites. However, although there were subtle differences the changes were not distinct enough to account for the different selectivity profiles of the 1 wt% Pd/TiO</w:t>
      </w:r>
      <w:r w:rsidRPr="00CA3946">
        <w:rPr>
          <w:vertAlign w:val="subscript"/>
        </w:rPr>
        <w:t>2</w:t>
      </w:r>
      <w:r w:rsidRPr="00CA3946">
        <w:t xml:space="preserve"> and 1 wt% Pd/NiO samples. This led to the hypothesis that the NiO surface could be responsible for furfural adsorption and hydrogenation for the Pd/NiO catalyst. In this scenario, the role of Pd would be to dissociate hydrogen, which subsequently spills over onto the NiO support. Considering that hydrogen dissociation on Pd is a facile process, and unlikely to be rate limiting, we determined that the dual-site hydrogenation mechanism proposed could sustain similar activities at reduced Pd loading.</w:t>
      </w:r>
    </w:p>
    <w:p w14:paraId="73D508CA" w14:textId="77777777" w:rsidR="009C1F51" w:rsidRPr="00CA3946" w:rsidRDefault="00872C0B" w:rsidP="003D4A1F">
      <w:pPr>
        <w:pStyle w:val="TAMainText"/>
      </w:pPr>
      <w:r w:rsidRPr="00CA3946">
        <w:t>This assertion was confirmed by assessing the catalytic activity of 0.1 wt% Pd/NiO and 0.1 wt% Pd/TiO</w:t>
      </w:r>
      <w:r w:rsidRPr="00CA3946">
        <w:rPr>
          <w:vertAlign w:val="subscript"/>
        </w:rPr>
        <w:t>2</w:t>
      </w:r>
      <w:r w:rsidRPr="00CA3946">
        <w:t>. With respect to their 1 wt% loading counterparts, the TiO</w:t>
      </w:r>
      <w:r w:rsidRPr="00CA3946">
        <w:rPr>
          <w:vertAlign w:val="subscript"/>
        </w:rPr>
        <w:t>2</w:t>
      </w:r>
      <w:r w:rsidRPr="00CA3946">
        <w:t xml:space="preserve"> supported system showed an ~ 10 fold reduction in catalytic activity. However, the activity of both NiO supported catalysts was broadly similar.</w:t>
      </w:r>
    </w:p>
    <w:p w14:paraId="4EBF14C9" w14:textId="77777777" w:rsidR="009C1F51" w:rsidRPr="00CA3946" w:rsidRDefault="00872C0B" w:rsidP="003D4A1F">
      <w:pPr>
        <w:pStyle w:val="TAMainText"/>
      </w:pPr>
      <w:r w:rsidRPr="00CA3946">
        <w:t>The design strategy presented in this work can be extended to further substrate and is an important step in designing catalysts for the selective transformation of bio-derived feedstocks that are less reliant on precious metals.</w:t>
      </w:r>
    </w:p>
    <w:p w14:paraId="138D2FF9" w14:textId="77777777" w:rsidR="00046652" w:rsidRPr="00CA3946" w:rsidRDefault="00046652" w:rsidP="00046652">
      <w:pPr>
        <w:pStyle w:val="AuthorInformationTitle"/>
      </w:pPr>
      <w:r w:rsidRPr="00CA3946">
        <w:t>AUTHOR INFORMATION</w:t>
      </w:r>
    </w:p>
    <w:p w14:paraId="2A762BD7" w14:textId="77777777" w:rsidR="00046652" w:rsidRPr="00CA3946" w:rsidRDefault="00046652" w:rsidP="00046652">
      <w:pPr>
        <w:pStyle w:val="FAAuthorInfoSubtitle"/>
      </w:pPr>
      <w:r w:rsidRPr="00CA3946">
        <w:t>Corresponding Author</w:t>
      </w:r>
    </w:p>
    <w:p w14:paraId="127C9C6B" w14:textId="77777777" w:rsidR="00046652" w:rsidRPr="00CA3946" w:rsidRDefault="00046652" w:rsidP="004E2341">
      <w:pPr>
        <w:pStyle w:val="StyleFACorrespondingAuthorFootnote7pt"/>
        <w:rPr>
          <w:lang w:val="en-GB"/>
        </w:rPr>
      </w:pPr>
      <w:r w:rsidRPr="00CA3946">
        <w:rPr>
          <w:lang w:val="en-GB"/>
        </w:rPr>
        <w:t xml:space="preserve">* Email: </w:t>
      </w:r>
      <w:r w:rsidR="004E2341" w:rsidRPr="00CA3946">
        <w:rPr>
          <w:lang w:val="en-GB"/>
        </w:rPr>
        <w:t>p.p.wells@soton.ac.uk.</w:t>
      </w:r>
    </w:p>
    <w:p w14:paraId="51896905" w14:textId="77777777" w:rsidR="00046652" w:rsidRPr="00CA3946" w:rsidRDefault="00046652" w:rsidP="004E2341">
      <w:pPr>
        <w:pStyle w:val="StyleFACorrespondingAuthorFootnote7pt"/>
        <w:rPr>
          <w:lang w:val="fr-FR"/>
        </w:rPr>
      </w:pPr>
      <w:r w:rsidRPr="00CA3946">
        <w:rPr>
          <w:lang w:val="fr-FR"/>
        </w:rPr>
        <w:t>* Email:</w:t>
      </w:r>
      <w:r w:rsidR="004E2341" w:rsidRPr="00CA3946">
        <w:rPr>
          <w:lang w:val="fr-FR"/>
        </w:rPr>
        <w:t xml:space="preserve"> alberto.villa@unimi.it</w:t>
      </w:r>
      <w:r w:rsidRPr="00CA3946">
        <w:rPr>
          <w:lang w:val="fr-FR"/>
        </w:rPr>
        <w:t>.</w:t>
      </w:r>
    </w:p>
    <w:p w14:paraId="1F8ECED8" w14:textId="77777777" w:rsidR="00046652" w:rsidRPr="00CA3946" w:rsidRDefault="00046652" w:rsidP="00046652">
      <w:pPr>
        <w:pStyle w:val="FAAuthorInfoSubtitle"/>
        <w:rPr>
          <w:lang w:val="fr-FR"/>
        </w:rPr>
      </w:pPr>
      <w:r w:rsidRPr="00CA3946">
        <w:rPr>
          <w:lang w:val="fr-FR"/>
        </w:rPr>
        <w:lastRenderedPageBreak/>
        <w:t>Author Contributions</w:t>
      </w:r>
    </w:p>
    <w:p w14:paraId="44A1E8C5" w14:textId="77777777" w:rsidR="00046652" w:rsidRPr="00CA3946" w:rsidRDefault="00046652" w:rsidP="003E2C42">
      <w:pPr>
        <w:pStyle w:val="StyleFACorrespondingAuthorFootnote7pt"/>
      </w:pPr>
      <w:r w:rsidRPr="00CA3946">
        <w:t>The manuscript was written through contributions of all authors. All authors have given approval to the final version of the manuscript.</w:t>
      </w:r>
    </w:p>
    <w:p w14:paraId="126B9F2B" w14:textId="77777777" w:rsidR="00046652" w:rsidRPr="00CA3946" w:rsidRDefault="00046652" w:rsidP="00046652">
      <w:pPr>
        <w:pStyle w:val="FAAuthorInfoSubtitle"/>
      </w:pPr>
      <w:r w:rsidRPr="00CA3946">
        <w:t>Funding Sources</w:t>
      </w:r>
    </w:p>
    <w:p w14:paraId="45C5E0AE" w14:textId="77777777" w:rsidR="0029516B" w:rsidRPr="00CA3946" w:rsidRDefault="0029516B" w:rsidP="0029516B">
      <w:pPr>
        <w:pStyle w:val="TAMainText"/>
      </w:pPr>
      <w:r w:rsidRPr="00CA3946">
        <w:t>PW acknowledges the UK Catalysis Hub Consortium and EPSRC (Grants EP/K014706/1, EP/K014668/1, EP/K014854/1, EP/K014714/1, and EP/I019693/1). PW and KM acknowledge the STFC GCRF START project for funding the position of KM (ST/R002754/1). AC acknowledges the use of Athena at HPC Midlands+ in this research, which was funded by the EPSRC (grant EP/P020232/1).</w:t>
      </w:r>
    </w:p>
    <w:p w14:paraId="5349458E" w14:textId="77777777" w:rsidR="00046652" w:rsidRPr="00CA3946" w:rsidRDefault="00046652" w:rsidP="00046652">
      <w:pPr>
        <w:pStyle w:val="TDAckTitle"/>
      </w:pPr>
      <w:r w:rsidRPr="00CA3946">
        <w:t xml:space="preserve">ACKNOWLEDGMENT </w:t>
      </w:r>
    </w:p>
    <w:p w14:paraId="3CFE4A54" w14:textId="02DDE581" w:rsidR="00046652" w:rsidRPr="00CA3946" w:rsidRDefault="00046652" w:rsidP="00223D5F">
      <w:pPr>
        <w:pStyle w:val="TAMainText"/>
      </w:pPr>
      <w:r w:rsidRPr="00CA3946">
        <w:t>The authors wish to acknowledge Diamond Light Source for provision of the beamtime (SP10306). The RCaH are also acknowledged for use of facilities and support of their staff. AC acknowledges the use of Athena at HPC Midlands+ in this research, which was funded by the EPSRC (grant EP/P020232/1) via the EPSRC RAP call of spring 2018 and 2019. Supercomputer Wales is also thanked for the computing time. This work also used ARCHER – the</w:t>
      </w:r>
      <w:r w:rsidR="00872C0B" w:rsidRPr="00CA3946">
        <w:t xml:space="preserve"> UK National Supercomputing Ser</w:t>
      </w:r>
      <w:r w:rsidRPr="00CA3946">
        <w:t>vice (</w:t>
      </w:r>
      <w:r w:rsidR="00223D5F" w:rsidRPr="00CA3946">
        <w:t xml:space="preserve">http://www.archer.ac.uk) </w:t>
      </w:r>
      <w:r w:rsidRPr="00CA3946">
        <w:rPr>
          <w:i/>
          <w:iCs/>
        </w:rPr>
        <w:t>via</w:t>
      </w:r>
      <w:r w:rsidRPr="00CA3946">
        <w:t xml:space="preserve"> the membership of the UK’s HEC Materials Chemistry Consortium, which is funded by EPSRC (EP/L000202). PW acknowledges the UK Catalysis Hub Consortium and EPSRC (Grants EP/K014706/1, EP/K014668/1, EP/K014854/1, EP/K014714/1, and EP/I019693/1). PW and KM acknowledge the STFC GCRF START project for funding the position of KM (ST/R002754/1).</w:t>
      </w:r>
      <w:r w:rsidR="00E275A8" w:rsidRPr="00CA3946">
        <w:t xml:space="preserve"> </w:t>
      </w:r>
    </w:p>
    <w:p w14:paraId="02764805" w14:textId="77777777" w:rsidR="009C1F51" w:rsidRPr="00CA3946" w:rsidRDefault="0068063B" w:rsidP="0068063B">
      <w:pPr>
        <w:pStyle w:val="TDAckTitle"/>
      </w:pPr>
      <w:r w:rsidRPr="00CA3946">
        <w:t>REFERENCES</w:t>
      </w:r>
    </w:p>
    <w:p w14:paraId="131D5590" w14:textId="14A728A4" w:rsidR="006625C0" w:rsidRPr="00CA3946" w:rsidRDefault="00676AA9"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fldChar w:fldCharType="begin" w:fldLock="1"/>
      </w:r>
      <w:r w:rsidRPr="00CA3946">
        <w:rPr>
          <w:rFonts w:ascii="Calibri" w:hAnsi="Calibri" w:cs="Calibri"/>
          <w:noProof/>
          <w:sz w:val="16"/>
          <w:szCs w:val="24"/>
        </w:rPr>
        <w:instrText xml:space="preserve">ADDIN Mendeley Bibliography CSL_BIBLIOGRAPHY </w:instrText>
      </w:r>
      <w:r w:rsidRPr="00CA3946">
        <w:rPr>
          <w:rFonts w:ascii="Calibri" w:hAnsi="Calibri" w:cs="Calibri"/>
          <w:noProof/>
          <w:sz w:val="16"/>
          <w:szCs w:val="24"/>
        </w:rPr>
        <w:fldChar w:fldCharType="separate"/>
      </w:r>
      <w:r w:rsidR="006625C0" w:rsidRPr="00CA3946">
        <w:rPr>
          <w:rFonts w:ascii="Calibri" w:hAnsi="Calibri" w:cs="Calibri"/>
          <w:noProof/>
          <w:sz w:val="16"/>
          <w:szCs w:val="24"/>
        </w:rPr>
        <w:t xml:space="preserve">(1) </w:t>
      </w:r>
      <w:r w:rsidR="006625C0" w:rsidRPr="00CA3946">
        <w:rPr>
          <w:rFonts w:ascii="Calibri" w:hAnsi="Calibri" w:cs="Calibri"/>
          <w:noProof/>
          <w:sz w:val="16"/>
          <w:szCs w:val="24"/>
        </w:rPr>
        <w:tab/>
        <w:t xml:space="preserve">Huber, G. W.; Iborra, S.; Corma, A. Synthesis of Transportation Fuels from Biomass:  Chemistry, Catalysts, and Engineering. </w:t>
      </w:r>
      <w:r w:rsidR="006625C0" w:rsidRPr="00CA3946">
        <w:rPr>
          <w:rFonts w:ascii="Calibri" w:hAnsi="Calibri" w:cs="Calibri"/>
          <w:i/>
          <w:iCs/>
          <w:noProof/>
          <w:sz w:val="16"/>
          <w:szCs w:val="24"/>
        </w:rPr>
        <w:t>Chem. Rev.</w:t>
      </w:r>
      <w:r w:rsidR="006625C0" w:rsidRPr="00CA3946">
        <w:rPr>
          <w:rFonts w:ascii="Calibri" w:hAnsi="Calibri" w:cs="Calibri"/>
          <w:noProof/>
          <w:sz w:val="16"/>
          <w:szCs w:val="24"/>
        </w:rPr>
        <w:t xml:space="preserve"> </w:t>
      </w:r>
      <w:r w:rsidR="006625C0" w:rsidRPr="00CA3946">
        <w:rPr>
          <w:rFonts w:ascii="Calibri" w:hAnsi="Calibri" w:cs="Calibri"/>
          <w:b/>
          <w:bCs/>
          <w:noProof/>
          <w:sz w:val="16"/>
          <w:szCs w:val="24"/>
        </w:rPr>
        <w:t>2006</w:t>
      </w:r>
      <w:r w:rsidR="006625C0" w:rsidRPr="00CA3946">
        <w:rPr>
          <w:rFonts w:ascii="Calibri" w:hAnsi="Calibri" w:cs="Calibri"/>
          <w:noProof/>
          <w:sz w:val="16"/>
          <w:szCs w:val="24"/>
        </w:rPr>
        <w:t xml:space="preserve">, </w:t>
      </w:r>
      <w:r w:rsidR="006625C0" w:rsidRPr="00CA3946">
        <w:rPr>
          <w:rFonts w:ascii="Calibri" w:hAnsi="Calibri" w:cs="Calibri"/>
          <w:i/>
          <w:iCs/>
          <w:noProof/>
          <w:sz w:val="16"/>
          <w:szCs w:val="24"/>
        </w:rPr>
        <w:t>106</w:t>
      </w:r>
      <w:r w:rsidR="006625C0" w:rsidRPr="00CA3946">
        <w:rPr>
          <w:rFonts w:ascii="Calibri" w:hAnsi="Calibri" w:cs="Calibri"/>
          <w:noProof/>
          <w:sz w:val="16"/>
          <w:szCs w:val="24"/>
        </w:rPr>
        <w:t xml:space="preserve"> (9), 4044–4098. https://doi.org/10.1021/cr068360d.</w:t>
      </w:r>
    </w:p>
    <w:p w14:paraId="67682D0F"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 </w:t>
      </w:r>
      <w:r w:rsidRPr="00CA3946">
        <w:rPr>
          <w:rFonts w:ascii="Calibri" w:hAnsi="Calibri" w:cs="Calibri"/>
          <w:noProof/>
          <w:sz w:val="16"/>
          <w:szCs w:val="24"/>
        </w:rPr>
        <w:tab/>
        <w:t xml:space="preserve">Chheda, J. N.; Huber, G. W.; Dumesic, J. A. Liquid-Phase Catalytic Processing of Biomass-Derived Oxygenated Hydrocarbons to Fuels and Chemicals. </w:t>
      </w:r>
      <w:r w:rsidRPr="00CA3946">
        <w:rPr>
          <w:rFonts w:ascii="Calibri" w:hAnsi="Calibri" w:cs="Calibri"/>
          <w:i/>
          <w:iCs/>
          <w:noProof/>
          <w:sz w:val="16"/>
          <w:szCs w:val="24"/>
        </w:rPr>
        <w:t>Angew. Chemie - Int. Ed.</w:t>
      </w:r>
      <w:r w:rsidRPr="00CA3946">
        <w:rPr>
          <w:rFonts w:ascii="Calibri" w:hAnsi="Calibri" w:cs="Calibri"/>
          <w:noProof/>
          <w:sz w:val="16"/>
          <w:szCs w:val="24"/>
        </w:rPr>
        <w:t xml:space="preserve"> </w:t>
      </w:r>
      <w:r w:rsidRPr="00CA3946">
        <w:rPr>
          <w:rFonts w:ascii="Calibri" w:hAnsi="Calibri" w:cs="Calibri"/>
          <w:b/>
          <w:bCs/>
          <w:noProof/>
          <w:sz w:val="16"/>
          <w:szCs w:val="24"/>
        </w:rPr>
        <w:t>2007</w:t>
      </w:r>
      <w:r w:rsidRPr="00CA3946">
        <w:rPr>
          <w:rFonts w:ascii="Calibri" w:hAnsi="Calibri" w:cs="Calibri"/>
          <w:noProof/>
          <w:sz w:val="16"/>
          <w:szCs w:val="24"/>
        </w:rPr>
        <w:t xml:space="preserve">, </w:t>
      </w:r>
      <w:r w:rsidRPr="00CA3946">
        <w:rPr>
          <w:rFonts w:ascii="Calibri" w:hAnsi="Calibri" w:cs="Calibri"/>
          <w:i/>
          <w:iCs/>
          <w:noProof/>
          <w:sz w:val="16"/>
          <w:szCs w:val="24"/>
        </w:rPr>
        <w:t>46</w:t>
      </w:r>
      <w:r w:rsidRPr="00CA3946">
        <w:rPr>
          <w:rFonts w:ascii="Calibri" w:hAnsi="Calibri" w:cs="Calibri"/>
          <w:noProof/>
          <w:sz w:val="16"/>
          <w:szCs w:val="24"/>
        </w:rPr>
        <w:t xml:space="preserve"> (38), 7164–7183. https://doi.org/10.1002/anie.200604274.</w:t>
      </w:r>
    </w:p>
    <w:p w14:paraId="229577AF"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 </w:t>
      </w:r>
      <w:r w:rsidRPr="00CA3946">
        <w:rPr>
          <w:rFonts w:ascii="Calibri" w:hAnsi="Calibri" w:cs="Calibri"/>
          <w:noProof/>
          <w:sz w:val="16"/>
          <w:szCs w:val="24"/>
        </w:rPr>
        <w:tab/>
        <w:t xml:space="preserve">Besson, M.; Gallezot, P.; Pinel, C. Conversion of Biomass into Chemicals over Metal Catalysts. </w:t>
      </w:r>
      <w:r w:rsidRPr="00CA3946">
        <w:rPr>
          <w:rFonts w:ascii="Calibri" w:hAnsi="Calibri" w:cs="Calibri"/>
          <w:i/>
          <w:iCs/>
          <w:noProof/>
          <w:sz w:val="16"/>
          <w:szCs w:val="24"/>
        </w:rPr>
        <w:t>Chem. Rev.</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114</w:t>
      </w:r>
      <w:r w:rsidRPr="00CA3946">
        <w:rPr>
          <w:rFonts w:ascii="Calibri" w:hAnsi="Calibri" w:cs="Calibri"/>
          <w:noProof/>
          <w:sz w:val="16"/>
          <w:szCs w:val="24"/>
        </w:rPr>
        <w:t xml:space="preserve"> (3), 1827–1870. https://doi.org/10.1021/cr4002269.</w:t>
      </w:r>
    </w:p>
    <w:p w14:paraId="5B1D493E"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 </w:t>
      </w:r>
      <w:r w:rsidRPr="00CA3946">
        <w:rPr>
          <w:rFonts w:ascii="Calibri" w:hAnsi="Calibri" w:cs="Calibri"/>
          <w:noProof/>
          <w:sz w:val="16"/>
          <w:szCs w:val="24"/>
        </w:rPr>
        <w:tab/>
        <w:t xml:space="preserve">Dutta, S.; De, S.; Saha, B.; Alam, M. I. Advances in Conversion of Hemicellulosic Biomass to Furfural and Upgrading to Biofuels. </w:t>
      </w:r>
      <w:r w:rsidRPr="00CA3946">
        <w:rPr>
          <w:rFonts w:ascii="Calibri" w:hAnsi="Calibri" w:cs="Calibri"/>
          <w:i/>
          <w:iCs/>
          <w:noProof/>
          <w:sz w:val="16"/>
          <w:szCs w:val="24"/>
        </w:rPr>
        <w:t>Catal. Sci. Technol.</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2</w:t>
      </w:r>
      <w:r w:rsidRPr="00CA3946">
        <w:rPr>
          <w:rFonts w:ascii="Calibri" w:hAnsi="Calibri" w:cs="Calibri"/>
          <w:noProof/>
          <w:sz w:val="16"/>
          <w:szCs w:val="24"/>
        </w:rPr>
        <w:t xml:space="preserve"> (10), 2025–2036. https://doi.org/10.1039/c2cy20235b.</w:t>
      </w:r>
    </w:p>
    <w:p w14:paraId="0D8FB31B"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(5) </w:t>
      </w:r>
      <w:r w:rsidRPr="00CA3946">
        <w:rPr>
          <w:rFonts w:ascii="Calibri" w:hAnsi="Calibri" w:cs="Calibri"/>
          <w:noProof/>
          <w:sz w:val="16"/>
          <w:szCs w:val="24"/>
        </w:rPr>
        <w:tab/>
        <w:t xml:space="preserve">Sitthisa, S.; Sooknoi, T.; Ma, Y.; Balbuena, P. B.; Resasco, D. E. Kinetics and Mechanism of Hydrogenation of Furfural on Cu/SiO2 Catalysts. </w:t>
      </w:r>
      <w:r w:rsidRPr="00CA3946">
        <w:rPr>
          <w:rFonts w:ascii="Calibri" w:hAnsi="Calibri" w:cs="Calibri"/>
          <w:i/>
          <w:iCs/>
          <w:noProof/>
          <w:sz w:val="16"/>
          <w:szCs w:val="24"/>
        </w:rPr>
        <w:t>J. Catal.</w:t>
      </w:r>
      <w:r w:rsidRPr="00CA3946">
        <w:rPr>
          <w:rFonts w:ascii="Calibri" w:hAnsi="Calibri" w:cs="Calibri"/>
          <w:noProof/>
          <w:sz w:val="16"/>
          <w:szCs w:val="24"/>
        </w:rPr>
        <w:t xml:space="preserve"> </w:t>
      </w:r>
      <w:r w:rsidRPr="00CA3946">
        <w:rPr>
          <w:rFonts w:ascii="Calibri" w:hAnsi="Calibri" w:cs="Calibri"/>
          <w:b/>
          <w:bCs/>
          <w:noProof/>
          <w:sz w:val="16"/>
          <w:szCs w:val="24"/>
        </w:rPr>
        <w:t>2011</w:t>
      </w:r>
      <w:r w:rsidRPr="00CA3946">
        <w:rPr>
          <w:rFonts w:ascii="Calibri" w:hAnsi="Calibri" w:cs="Calibri"/>
          <w:noProof/>
          <w:sz w:val="16"/>
          <w:szCs w:val="24"/>
        </w:rPr>
        <w:t xml:space="preserve">, </w:t>
      </w:r>
      <w:r w:rsidRPr="00CA3946">
        <w:rPr>
          <w:rFonts w:ascii="Calibri" w:hAnsi="Calibri" w:cs="Calibri"/>
          <w:i/>
          <w:iCs/>
          <w:noProof/>
          <w:sz w:val="16"/>
          <w:szCs w:val="24"/>
        </w:rPr>
        <w:t>277</w:t>
      </w:r>
      <w:r w:rsidRPr="00CA3946">
        <w:rPr>
          <w:rFonts w:ascii="Calibri" w:hAnsi="Calibri" w:cs="Calibri"/>
          <w:noProof/>
          <w:sz w:val="16"/>
          <w:szCs w:val="24"/>
        </w:rPr>
        <w:t xml:space="preserve"> (1), 1–13. https://doi.org/10.1016/j.jcat.2010.10.005.</w:t>
      </w:r>
    </w:p>
    <w:p w14:paraId="5CD6D5A5"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(6) </w:t>
      </w:r>
      <w:r w:rsidRPr="00CA3946">
        <w:rPr>
          <w:rFonts w:ascii="Calibri" w:hAnsi="Calibri" w:cs="Calibri"/>
          <w:noProof/>
          <w:sz w:val="16"/>
          <w:szCs w:val="24"/>
        </w:rPr>
        <w:tab/>
        <w:t xml:space="preserve">Sitthisa, S.; Pham, T.; Prasomsri, T.; Sooknoi, T.; Mallinson, R. G.; Resasco, D. E. Conversion of Furfural and 2-Methylpentanal on Pd/SiO2 and Pd-Cu/SiO2 Catalysts. </w:t>
      </w:r>
      <w:r w:rsidRPr="00CA3946">
        <w:rPr>
          <w:rFonts w:ascii="Calibri" w:hAnsi="Calibri" w:cs="Calibri"/>
          <w:i/>
          <w:iCs/>
          <w:noProof/>
          <w:sz w:val="16"/>
          <w:szCs w:val="24"/>
        </w:rPr>
        <w:t>J. Catal.</w:t>
      </w:r>
      <w:r w:rsidRPr="00CA3946">
        <w:rPr>
          <w:rFonts w:ascii="Calibri" w:hAnsi="Calibri" w:cs="Calibri"/>
          <w:noProof/>
          <w:sz w:val="16"/>
          <w:szCs w:val="24"/>
        </w:rPr>
        <w:t xml:space="preserve"> </w:t>
      </w:r>
      <w:r w:rsidRPr="00CA3946">
        <w:rPr>
          <w:rFonts w:ascii="Calibri" w:hAnsi="Calibri" w:cs="Calibri"/>
          <w:b/>
          <w:bCs/>
          <w:noProof/>
          <w:sz w:val="16"/>
          <w:szCs w:val="24"/>
        </w:rPr>
        <w:t>2011</w:t>
      </w:r>
      <w:r w:rsidRPr="00CA3946">
        <w:rPr>
          <w:rFonts w:ascii="Calibri" w:hAnsi="Calibri" w:cs="Calibri"/>
          <w:noProof/>
          <w:sz w:val="16"/>
          <w:szCs w:val="24"/>
        </w:rPr>
        <w:t xml:space="preserve">, </w:t>
      </w:r>
      <w:r w:rsidRPr="00CA3946">
        <w:rPr>
          <w:rFonts w:ascii="Calibri" w:hAnsi="Calibri" w:cs="Calibri"/>
          <w:i/>
          <w:iCs/>
          <w:noProof/>
          <w:sz w:val="16"/>
          <w:szCs w:val="24"/>
        </w:rPr>
        <w:t>280</w:t>
      </w:r>
      <w:r w:rsidRPr="00CA3946">
        <w:rPr>
          <w:rFonts w:ascii="Calibri" w:hAnsi="Calibri" w:cs="Calibri"/>
          <w:noProof/>
          <w:sz w:val="16"/>
          <w:szCs w:val="24"/>
        </w:rPr>
        <w:t xml:space="preserve"> (1), 17–27. https://doi.org/10.1016/j.jcat.2011.02.006.</w:t>
      </w:r>
    </w:p>
    <w:p w14:paraId="38CEF5AE"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(7) </w:t>
      </w:r>
      <w:r w:rsidRPr="00CA3946">
        <w:rPr>
          <w:rFonts w:ascii="Calibri" w:hAnsi="Calibri" w:cs="Calibri"/>
          <w:noProof/>
          <w:sz w:val="16"/>
          <w:szCs w:val="24"/>
        </w:rPr>
        <w:tab/>
        <w:t xml:space="preserve">Yan, K.; Wu, G.; Lafleur, T.; Jarvis, C. Production, Properties and Catalytic Hydrogenation of Furfural to Fuel Additives and Value-Added Chemicals. </w:t>
      </w:r>
      <w:r w:rsidRPr="00CA3946">
        <w:rPr>
          <w:rFonts w:ascii="Calibri" w:hAnsi="Calibri" w:cs="Calibri"/>
          <w:i/>
          <w:iCs/>
          <w:noProof/>
          <w:sz w:val="16"/>
          <w:szCs w:val="24"/>
        </w:rPr>
        <w:t>Renew. Sustain. Energy Rev.</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38</w:t>
      </w:r>
      <w:r w:rsidRPr="00CA3946">
        <w:rPr>
          <w:rFonts w:ascii="Calibri" w:hAnsi="Calibri" w:cs="Calibri"/>
          <w:noProof/>
          <w:sz w:val="16"/>
          <w:szCs w:val="24"/>
        </w:rPr>
        <w:t>, 663–676. https://doi.org/10.1016/j.rser.2014.07.003.</w:t>
      </w:r>
    </w:p>
    <w:p w14:paraId="76B3ECC6"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(8) </w:t>
      </w:r>
      <w:r w:rsidRPr="00CA3946">
        <w:rPr>
          <w:rFonts w:ascii="Calibri" w:hAnsi="Calibri" w:cs="Calibri"/>
          <w:noProof/>
          <w:sz w:val="16"/>
          <w:szCs w:val="24"/>
        </w:rPr>
        <w:tab/>
        <w:t xml:space="preserve">Li, X.; Jia, P.; Wang, T. Furfural: A Promising Platform Compound for Sustainable Production of C4 and C5 Chemicals.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lastRenderedPageBreak/>
        <w:t>2016</w:t>
      </w:r>
      <w:r w:rsidRPr="00CA3946">
        <w:rPr>
          <w:rFonts w:ascii="Calibri" w:hAnsi="Calibri" w:cs="Calibri"/>
          <w:noProof/>
          <w:sz w:val="16"/>
          <w:szCs w:val="24"/>
        </w:rPr>
        <w:t xml:space="preserve">, </w:t>
      </w:r>
      <w:r w:rsidRPr="00CA3946">
        <w:rPr>
          <w:rFonts w:ascii="Calibri" w:hAnsi="Calibri" w:cs="Calibri"/>
          <w:i/>
          <w:iCs/>
          <w:noProof/>
          <w:sz w:val="16"/>
          <w:szCs w:val="24"/>
        </w:rPr>
        <w:t>6</w:t>
      </w:r>
      <w:r w:rsidRPr="00CA3946">
        <w:rPr>
          <w:rFonts w:ascii="Calibri" w:hAnsi="Calibri" w:cs="Calibri"/>
          <w:noProof/>
          <w:sz w:val="16"/>
          <w:szCs w:val="24"/>
        </w:rPr>
        <w:t xml:space="preserve"> (11), 7621–7640. https://doi.org/10.1021/acscatal.6b01838.</w:t>
      </w:r>
    </w:p>
    <w:p w14:paraId="6F8F5C97"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(9) </w:t>
      </w:r>
      <w:r w:rsidRPr="00CA3946">
        <w:rPr>
          <w:rFonts w:ascii="Calibri" w:hAnsi="Calibri" w:cs="Calibri"/>
          <w:noProof/>
          <w:sz w:val="16"/>
          <w:szCs w:val="24"/>
        </w:rPr>
        <w:tab/>
        <w:t xml:space="preserve">Nakagawa, Y.; Tamura, M.; Tomishige, K. Catalytic Reduction of Biomass-Derived Furanic Compounds with Hydrogen.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2013</w:t>
      </w:r>
      <w:r w:rsidRPr="00CA3946">
        <w:rPr>
          <w:rFonts w:ascii="Calibri" w:hAnsi="Calibri" w:cs="Calibri"/>
          <w:noProof/>
          <w:sz w:val="16"/>
          <w:szCs w:val="24"/>
        </w:rPr>
        <w:t xml:space="preserve">, </w:t>
      </w:r>
      <w:r w:rsidRPr="00CA3946">
        <w:rPr>
          <w:rFonts w:ascii="Calibri" w:hAnsi="Calibri" w:cs="Calibri"/>
          <w:i/>
          <w:iCs/>
          <w:noProof/>
          <w:sz w:val="16"/>
          <w:szCs w:val="24"/>
        </w:rPr>
        <w:t>3</w:t>
      </w:r>
      <w:r w:rsidRPr="00CA3946">
        <w:rPr>
          <w:rFonts w:ascii="Calibri" w:hAnsi="Calibri" w:cs="Calibri"/>
          <w:noProof/>
          <w:sz w:val="16"/>
          <w:szCs w:val="24"/>
        </w:rPr>
        <w:t xml:space="preserve"> (12), 2655–2668. https://doi.org/10.1021/cs400616p.</w:t>
      </w:r>
    </w:p>
    <w:p w14:paraId="69E00603"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(10) </w:t>
      </w:r>
      <w:r w:rsidRPr="00CA3946">
        <w:rPr>
          <w:rFonts w:ascii="Calibri" w:hAnsi="Calibri" w:cs="Calibri"/>
          <w:noProof/>
          <w:sz w:val="16"/>
          <w:szCs w:val="24"/>
        </w:rPr>
        <w:tab/>
        <w:t xml:space="preserve">Iqbal, S.; Liu, X.; Aldosari, O. F.; Miedziak, P. J.; Edwards, J. K.; Brett, G. L.; Akram, A.; King, G. M.; Davies, T. E.; Morgan, D. J.; et al. Conversion of Furfuryl Alcohol into 2-Methylfuran at Room Temperature Using Pd/TiO2 Catalyst. </w:t>
      </w:r>
      <w:r w:rsidRPr="00CA3946">
        <w:rPr>
          <w:rFonts w:ascii="Calibri" w:hAnsi="Calibri" w:cs="Calibri"/>
          <w:i/>
          <w:iCs/>
          <w:noProof/>
          <w:sz w:val="16"/>
          <w:szCs w:val="24"/>
        </w:rPr>
        <w:t>Catal. Sci. Technol.</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4</w:t>
      </w:r>
      <w:r w:rsidRPr="00CA3946">
        <w:rPr>
          <w:rFonts w:ascii="Calibri" w:hAnsi="Calibri" w:cs="Calibri"/>
          <w:noProof/>
          <w:sz w:val="16"/>
          <w:szCs w:val="24"/>
        </w:rPr>
        <w:t xml:space="preserve"> (8), 2280–2286. https://doi.org/10.1039/c4cy00184b.</w:t>
      </w:r>
    </w:p>
    <w:p w14:paraId="5253965A"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(11) </w:t>
      </w:r>
      <w:r w:rsidRPr="00CA3946">
        <w:rPr>
          <w:rFonts w:ascii="Calibri" w:hAnsi="Calibri" w:cs="Calibri"/>
          <w:noProof/>
          <w:sz w:val="16"/>
          <w:szCs w:val="24"/>
        </w:rPr>
        <w:tab/>
        <w:t xml:space="preserve">Nakagawa, Y.; Nakazawa, H.; Watanabe, H.; Tomishige, K. Total Hydrogenation of Furfural over a Silica-Supported Nickel Catalyst Prepared by the Reduction of a Nickel Nitrate Precursor. </w:t>
      </w:r>
      <w:r w:rsidRPr="00CA3946">
        <w:rPr>
          <w:rFonts w:ascii="Calibri" w:hAnsi="Calibri" w:cs="Calibri"/>
          <w:i/>
          <w:iCs/>
          <w:noProof/>
          <w:sz w:val="16"/>
          <w:szCs w:val="24"/>
        </w:rPr>
        <w:t>ChemCatChem</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4</w:t>
      </w:r>
      <w:r w:rsidRPr="00CA3946">
        <w:rPr>
          <w:rFonts w:ascii="Calibri" w:hAnsi="Calibri" w:cs="Calibri"/>
          <w:noProof/>
          <w:sz w:val="16"/>
          <w:szCs w:val="24"/>
        </w:rPr>
        <w:t xml:space="preserve"> (11), 1791–1797. https://doi.org/10.1002/cctc.201200218.</w:t>
      </w:r>
    </w:p>
    <w:p w14:paraId="6BBBDECC"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(12) </w:t>
      </w:r>
      <w:r w:rsidRPr="00CA3946">
        <w:rPr>
          <w:rFonts w:ascii="Calibri" w:hAnsi="Calibri" w:cs="Calibri"/>
          <w:noProof/>
          <w:sz w:val="16"/>
          <w:szCs w:val="24"/>
        </w:rPr>
        <w:tab/>
        <w:t xml:space="preserve">Rao, R. S.; Baker, R. T. K.; Vannice, M. A. Furfural Hydrogenation over Carbon-Supported Copper. </w:t>
      </w:r>
      <w:r w:rsidRPr="00CA3946">
        <w:rPr>
          <w:rFonts w:ascii="Calibri" w:hAnsi="Calibri" w:cs="Calibri"/>
          <w:i/>
          <w:iCs/>
          <w:noProof/>
          <w:sz w:val="16"/>
          <w:szCs w:val="24"/>
        </w:rPr>
        <w:t>Catal. Letters</w:t>
      </w:r>
      <w:r w:rsidRPr="00CA3946">
        <w:rPr>
          <w:rFonts w:ascii="Calibri" w:hAnsi="Calibri" w:cs="Calibri"/>
          <w:noProof/>
          <w:sz w:val="16"/>
          <w:szCs w:val="24"/>
        </w:rPr>
        <w:t xml:space="preserve"> </w:t>
      </w:r>
      <w:r w:rsidRPr="00CA3946">
        <w:rPr>
          <w:rFonts w:ascii="Calibri" w:hAnsi="Calibri" w:cs="Calibri"/>
          <w:b/>
          <w:bCs/>
          <w:noProof/>
          <w:sz w:val="16"/>
          <w:szCs w:val="24"/>
        </w:rPr>
        <w:t>1999</w:t>
      </w:r>
      <w:r w:rsidRPr="00CA3946">
        <w:rPr>
          <w:rFonts w:ascii="Calibri" w:hAnsi="Calibri" w:cs="Calibri"/>
          <w:noProof/>
          <w:sz w:val="16"/>
          <w:szCs w:val="24"/>
        </w:rPr>
        <w:t xml:space="preserve">, </w:t>
      </w:r>
      <w:r w:rsidRPr="00CA3946">
        <w:rPr>
          <w:rFonts w:ascii="Calibri" w:hAnsi="Calibri" w:cs="Calibri"/>
          <w:i/>
          <w:iCs/>
          <w:noProof/>
          <w:sz w:val="16"/>
          <w:szCs w:val="24"/>
        </w:rPr>
        <w:t>60</w:t>
      </w:r>
      <w:r w:rsidRPr="00CA3946">
        <w:rPr>
          <w:rFonts w:ascii="Calibri" w:hAnsi="Calibri" w:cs="Calibri"/>
          <w:noProof/>
          <w:sz w:val="16"/>
          <w:szCs w:val="24"/>
        </w:rPr>
        <w:t xml:space="preserve"> (1–2), 51–57. https://doi.org/10.1023/A:1019090520407.</w:t>
      </w:r>
    </w:p>
    <w:p w14:paraId="215F2BBA"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(13) </w:t>
      </w:r>
      <w:r w:rsidRPr="00CA3946">
        <w:rPr>
          <w:rFonts w:ascii="Calibri" w:hAnsi="Calibri" w:cs="Calibri"/>
          <w:noProof/>
          <w:sz w:val="16"/>
          <w:szCs w:val="24"/>
        </w:rPr>
        <w:tab/>
        <w:t xml:space="preserve">Meng, X.; Yang, Y.; Chen, L.; Xu, M.; Zhang, X.; Wei, M. A Control over Hydrogenation Selectivity of Furfural via Tuning Exposed Facet of Ni Catalysts.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2019</w:t>
      </w:r>
      <w:r w:rsidRPr="00CA3946">
        <w:rPr>
          <w:rFonts w:ascii="Calibri" w:hAnsi="Calibri" w:cs="Calibri"/>
          <w:noProof/>
          <w:sz w:val="16"/>
          <w:szCs w:val="24"/>
        </w:rPr>
        <w:t>, 4226–4235. https://doi.org/10.1021/acscatal.9b00238.</w:t>
      </w:r>
    </w:p>
    <w:p w14:paraId="5B1D3C89"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(14) </w:t>
      </w:r>
      <w:r w:rsidRPr="00CA3946">
        <w:rPr>
          <w:rFonts w:ascii="Calibri" w:hAnsi="Calibri" w:cs="Calibri"/>
          <w:noProof/>
          <w:sz w:val="16"/>
          <w:szCs w:val="24"/>
        </w:rPr>
        <w:tab/>
        <w:t xml:space="preserve">Seemala, B.; Cai, C. M.; Wyman, C. E.; Christopher, P. Support Induced Control of Surface Composition in Cu-Ni/TiO2 Catalysts Enables High Yield Co-Conversion of HMF and Furfural to Methylated Furans.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2017</w:t>
      </w:r>
      <w:r w:rsidRPr="00CA3946">
        <w:rPr>
          <w:rFonts w:ascii="Calibri" w:hAnsi="Calibri" w:cs="Calibri"/>
          <w:noProof/>
          <w:sz w:val="16"/>
          <w:szCs w:val="24"/>
        </w:rPr>
        <w:t xml:space="preserve">, </w:t>
      </w:r>
      <w:r w:rsidRPr="00CA3946">
        <w:rPr>
          <w:rFonts w:ascii="Calibri" w:hAnsi="Calibri" w:cs="Calibri"/>
          <w:i/>
          <w:iCs/>
          <w:noProof/>
          <w:sz w:val="16"/>
          <w:szCs w:val="24"/>
        </w:rPr>
        <w:t>7</w:t>
      </w:r>
      <w:r w:rsidRPr="00CA3946">
        <w:rPr>
          <w:rFonts w:ascii="Calibri" w:hAnsi="Calibri" w:cs="Calibri"/>
          <w:noProof/>
          <w:sz w:val="16"/>
          <w:szCs w:val="24"/>
        </w:rPr>
        <w:t xml:space="preserve"> (6), 4070–4082. https://doi.org/10.1021/acscatal.7b01095.</w:t>
      </w:r>
    </w:p>
    <w:p w14:paraId="0BA835EE"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(15) </w:t>
      </w:r>
      <w:r w:rsidRPr="00CA3946">
        <w:rPr>
          <w:rFonts w:ascii="Calibri" w:hAnsi="Calibri" w:cs="Calibri"/>
          <w:noProof/>
          <w:sz w:val="16"/>
          <w:szCs w:val="24"/>
        </w:rPr>
        <w:tab/>
        <w:t xml:space="preserve">Sitthisa, S.; Resasco, D. E. Hydrodeoxygenation of Furfural over Supported Metal Catalysts: A Comparative Study of Cu, Pd and Ni. </w:t>
      </w:r>
      <w:r w:rsidRPr="00CA3946">
        <w:rPr>
          <w:rFonts w:ascii="Calibri" w:hAnsi="Calibri" w:cs="Calibri"/>
          <w:i/>
          <w:iCs/>
          <w:noProof/>
          <w:sz w:val="16"/>
          <w:szCs w:val="24"/>
        </w:rPr>
        <w:t>Catal. Letters</w:t>
      </w:r>
      <w:r w:rsidRPr="00CA3946">
        <w:rPr>
          <w:rFonts w:ascii="Calibri" w:hAnsi="Calibri" w:cs="Calibri"/>
          <w:noProof/>
          <w:sz w:val="16"/>
          <w:szCs w:val="24"/>
        </w:rPr>
        <w:t xml:space="preserve"> </w:t>
      </w:r>
      <w:r w:rsidRPr="00CA3946">
        <w:rPr>
          <w:rFonts w:ascii="Calibri" w:hAnsi="Calibri" w:cs="Calibri"/>
          <w:b/>
          <w:bCs/>
          <w:noProof/>
          <w:sz w:val="16"/>
          <w:szCs w:val="24"/>
        </w:rPr>
        <w:t>2011</w:t>
      </w:r>
      <w:r w:rsidRPr="00CA3946">
        <w:rPr>
          <w:rFonts w:ascii="Calibri" w:hAnsi="Calibri" w:cs="Calibri"/>
          <w:noProof/>
          <w:sz w:val="16"/>
          <w:szCs w:val="24"/>
        </w:rPr>
        <w:t xml:space="preserve">, </w:t>
      </w:r>
      <w:r w:rsidRPr="00CA3946">
        <w:rPr>
          <w:rFonts w:ascii="Calibri" w:hAnsi="Calibri" w:cs="Calibri"/>
          <w:i/>
          <w:iCs/>
          <w:noProof/>
          <w:sz w:val="16"/>
          <w:szCs w:val="24"/>
        </w:rPr>
        <w:t>141</w:t>
      </w:r>
      <w:r w:rsidRPr="00CA3946">
        <w:rPr>
          <w:rFonts w:ascii="Calibri" w:hAnsi="Calibri" w:cs="Calibri"/>
          <w:noProof/>
          <w:sz w:val="16"/>
          <w:szCs w:val="24"/>
        </w:rPr>
        <w:t xml:space="preserve"> (6), 784–791. https://doi.org/10.1007/s10562-011-0581-7.</w:t>
      </w:r>
    </w:p>
    <w:p w14:paraId="4F299CFD"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(16) </w:t>
      </w:r>
      <w:r w:rsidRPr="00CA3946">
        <w:rPr>
          <w:rFonts w:ascii="Calibri" w:hAnsi="Calibri" w:cs="Calibri"/>
          <w:noProof/>
          <w:sz w:val="16"/>
          <w:szCs w:val="24"/>
        </w:rPr>
        <w:tab/>
        <w:t xml:space="preserve">Schoenbaum, C. A.; Schwartz, D. K.; Medlin, J. W. Controlling the Surface Environment of Heterogeneous Catalysts Using Self-Assembled Monolayers. </w:t>
      </w:r>
      <w:r w:rsidRPr="00CA3946">
        <w:rPr>
          <w:rFonts w:ascii="Calibri" w:hAnsi="Calibri" w:cs="Calibri"/>
          <w:i/>
          <w:iCs/>
          <w:noProof/>
          <w:sz w:val="16"/>
          <w:szCs w:val="24"/>
        </w:rPr>
        <w:t>Acc. Chem. Res.</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47</w:t>
      </w:r>
      <w:r w:rsidRPr="00CA3946">
        <w:rPr>
          <w:rFonts w:ascii="Calibri" w:hAnsi="Calibri" w:cs="Calibri"/>
          <w:noProof/>
          <w:sz w:val="16"/>
          <w:szCs w:val="24"/>
        </w:rPr>
        <w:t xml:space="preserve"> (4), 1438–1445. https://doi.org/10.1021/ar500029y.</w:t>
      </w:r>
    </w:p>
    <w:p w14:paraId="0A78723A"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(17) </w:t>
      </w:r>
      <w:r w:rsidRPr="00CA3946">
        <w:rPr>
          <w:rFonts w:ascii="Calibri" w:hAnsi="Calibri" w:cs="Calibri"/>
          <w:noProof/>
          <w:sz w:val="16"/>
          <w:szCs w:val="24"/>
        </w:rPr>
        <w:tab/>
        <w:t xml:space="preserve">Pang, S. H.; Schoenbaum, C. A.; Schwartz, D. K.; Medlin, J. W. Directing Reaction Pathways by Catalyst Active-Site Selection Using Self-Assembled Monolayers. </w:t>
      </w:r>
      <w:r w:rsidRPr="00CA3946">
        <w:rPr>
          <w:rFonts w:ascii="Calibri" w:hAnsi="Calibri" w:cs="Calibri"/>
          <w:i/>
          <w:iCs/>
          <w:noProof/>
          <w:sz w:val="16"/>
          <w:szCs w:val="24"/>
        </w:rPr>
        <w:t>Nat. Commun.</w:t>
      </w:r>
      <w:r w:rsidRPr="00CA3946">
        <w:rPr>
          <w:rFonts w:ascii="Calibri" w:hAnsi="Calibri" w:cs="Calibri"/>
          <w:noProof/>
          <w:sz w:val="16"/>
          <w:szCs w:val="24"/>
        </w:rPr>
        <w:t xml:space="preserve"> </w:t>
      </w:r>
      <w:r w:rsidRPr="00CA3946">
        <w:rPr>
          <w:rFonts w:ascii="Calibri" w:hAnsi="Calibri" w:cs="Calibri"/>
          <w:b/>
          <w:bCs/>
          <w:noProof/>
          <w:sz w:val="16"/>
          <w:szCs w:val="24"/>
        </w:rPr>
        <w:t>2013</w:t>
      </w:r>
      <w:r w:rsidRPr="00CA3946">
        <w:rPr>
          <w:rFonts w:ascii="Calibri" w:hAnsi="Calibri" w:cs="Calibri"/>
          <w:noProof/>
          <w:sz w:val="16"/>
          <w:szCs w:val="24"/>
        </w:rPr>
        <w:t xml:space="preserve">, </w:t>
      </w:r>
      <w:r w:rsidRPr="00CA3946">
        <w:rPr>
          <w:rFonts w:ascii="Calibri" w:hAnsi="Calibri" w:cs="Calibri"/>
          <w:i/>
          <w:iCs/>
          <w:noProof/>
          <w:sz w:val="16"/>
          <w:szCs w:val="24"/>
        </w:rPr>
        <w:t>4</w:t>
      </w:r>
      <w:r w:rsidRPr="00CA3946">
        <w:rPr>
          <w:rFonts w:ascii="Calibri" w:hAnsi="Calibri" w:cs="Calibri"/>
          <w:noProof/>
          <w:sz w:val="16"/>
          <w:szCs w:val="24"/>
        </w:rPr>
        <w:t>, 2448. https://doi.org/10.1038/ncomms3448.</w:t>
      </w:r>
    </w:p>
    <w:p w14:paraId="49C2C627"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(18) </w:t>
      </w:r>
      <w:r w:rsidRPr="00CA3946">
        <w:rPr>
          <w:rFonts w:ascii="Calibri" w:hAnsi="Calibri" w:cs="Calibri"/>
          <w:noProof/>
          <w:sz w:val="16"/>
          <w:szCs w:val="24"/>
        </w:rPr>
        <w:tab/>
        <w:t xml:space="preserve">Palmer, R. E.; Jian, N.; Villa, A.; Dimitratos, N.; Catlow, C. R. A.; Chutia, A.; Wells, P. P.; Chan-Thaw, C. E.; Rogers, S. M.; Perdjon, M.; et al. Tandem Site- and Size-Controlled Pd Nanoparticles for the Directed Hydrogenation of Furfural.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2017</w:t>
      </w:r>
      <w:r w:rsidRPr="00CA3946">
        <w:rPr>
          <w:rFonts w:ascii="Calibri" w:hAnsi="Calibri" w:cs="Calibri"/>
          <w:noProof/>
          <w:sz w:val="16"/>
          <w:szCs w:val="24"/>
        </w:rPr>
        <w:t xml:space="preserve">, </w:t>
      </w:r>
      <w:r w:rsidRPr="00CA3946">
        <w:rPr>
          <w:rFonts w:ascii="Calibri" w:hAnsi="Calibri" w:cs="Calibri"/>
          <w:i/>
          <w:iCs/>
          <w:noProof/>
          <w:sz w:val="16"/>
          <w:szCs w:val="24"/>
        </w:rPr>
        <w:t>7</w:t>
      </w:r>
      <w:r w:rsidRPr="00CA3946">
        <w:rPr>
          <w:rFonts w:ascii="Calibri" w:hAnsi="Calibri" w:cs="Calibri"/>
          <w:noProof/>
          <w:sz w:val="16"/>
          <w:szCs w:val="24"/>
        </w:rPr>
        <w:t xml:space="preserve"> (4), 2266–2274. https://doi.org/10.1021/acscatal.6b03190.</w:t>
      </w:r>
    </w:p>
    <w:p w14:paraId="5038B104"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(19) </w:t>
      </w:r>
      <w:r w:rsidRPr="00CA3946">
        <w:rPr>
          <w:rFonts w:ascii="Calibri" w:hAnsi="Calibri" w:cs="Calibri"/>
          <w:noProof/>
          <w:sz w:val="16"/>
          <w:szCs w:val="24"/>
        </w:rPr>
        <w:tab/>
        <w:t xml:space="preserve">Pang, S. H.; Schoenbaum, C. A.; Schwartz, D. K.; Medlin, J. W. Effects of Thiol Modifiers on the Kinetics of Furfural Hydrogenation over Pd Catalysts.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4</w:t>
      </w:r>
      <w:r w:rsidRPr="00CA3946">
        <w:rPr>
          <w:rFonts w:ascii="Calibri" w:hAnsi="Calibri" w:cs="Calibri"/>
          <w:noProof/>
          <w:sz w:val="16"/>
          <w:szCs w:val="24"/>
        </w:rPr>
        <w:t xml:space="preserve"> (9), 3123–3131. https://doi.org/10.1021/cs500598y.</w:t>
      </w:r>
    </w:p>
    <w:p w14:paraId="29EBC10B"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(20) </w:t>
      </w:r>
      <w:r w:rsidRPr="00CA3946">
        <w:rPr>
          <w:rFonts w:ascii="Calibri" w:hAnsi="Calibri" w:cs="Calibri"/>
          <w:noProof/>
          <w:sz w:val="16"/>
          <w:szCs w:val="24"/>
        </w:rPr>
        <w:tab/>
        <w:t xml:space="preserve">Pan, C. J.; Tsai, M. C.; Su, W. N.; Rick, J.; Akalework, N. G.; Agegnehu, A. K.; Cheng, S. Y.; Hwang, B. J. Tuning/Exploiting Strong Metal-Support Interaction (SMSI) in Heterogeneous Catalysis. </w:t>
      </w:r>
      <w:r w:rsidRPr="00CA3946">
        <w:rPr>
          <w:rFonts w:ascii="Calibri" w:hAnsi="Calibri" w:cs="Calibri"/>
          <w:i/>
          <w:iCs/>
          <w:noProof/>
          <w:sz w:val="16"/>
          <w:szCs w:val="24"/>
        </w:rPr>
        <w:t>J. Taiwan Inst. Chem. Eng.</w:t>
      </w:r>
      <w:r w:rsidRPr="00CA3946">
        <w:rPr>
          <w:rFonts w:ascii="Calibri" w:hAnsi="Calibri" w:cs="Calibri"/>
          <w:noProof/>
          <w:sz w:val="16"/>
          <w:szCs w:val="24"/>
        </w:rPr>
        <w:t xml:space="preserve"> </w:t>
      </w:r>
      <w:r w:rsidRPr="00CA3946">
        <w:rPr>
          <w:rFonts w:ascii="Calibri" w:hAnsi="Calibri" w:cs="Calibri"/>
          <w:b/>
          <w:bCs/>
          <w:noProof/>
          <w:sz w:val="16"/>
          <w:szCs w:val="24"/>
        </w:rPr>
        <w:t>2017</w:t>
      </w:r>
      <w:r w:rsidRPr="00CA3946">
        <w:rPr>
          <w:rFonts w:ascii="Calibri" w:hAnsi="Calibri" w:cs="Calibri"/>
          <w:noProof/>
          <w:sz w:val="16"/>
          <w:szCs w:val="24"/>
        </w:rPr>
        <w:t xml:space="preserve">, </w:t>
      </w:r>
      <w:r w:rsidRPr="00CA3946">
        <w:rPr>
          <w:rFonts w:ascii="Calibri" w:hAnsi="Calibri" w:cs="Calibri"/>
          <w:i/>
          <w:iCs/>
          <w:noProof/>
          <w:sz w:val="16"/>
          <w:szCs w:val="24"/>
        </w:rPr>
        <w:t>74</w:t>
      </w:r>
      <w:r w:rsidRPr="00CA3946">
        <w:rPr>
          <w:rFonts w:ascii="Calibri" w:hAnsi="Calibri" w:cs="Calibri"/>
          <w:noProof/>
          <w:sz w:val="16"/>
          <w:szCs w:val="24"/>
        </w:rPr>
        <w:t>, 154–186. https://doi.org/10.1016/j.jtice.2017.02.012.</w:t>
      </w:r>
    </w:p>
    <w:p w14:paraId="54598DA0"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(21) </w:t>
      </w:r>
      <w:r w:rsidRPr="00CA3946">
        <w:rPr>
          <w:rFonts w:ascii="Calibri" w:hAnsi="Calibri" w:cs="Calibri"/>
          <w:noProof/>
          <w:sz w:val="16"/>
          <w:szCs w:val="24"/>
        </w:rPr>
        <w:tab/>
        <w:t xml:space="preserve">Tauster, S. J.; Fung, S. C.; Baker, R. T. K.; Horsley, J. A. Strong Interactions in Supported-Metal Catalysts. </w:t>
      </w:r>
      <w:r w:rsidRPr="00CA3946">
        <w:rPr>
          <w:rFonts w:ascii="Calibri" w:hAnsi="Calibri" w:cs="Calibri"/>
          <w:i/>
          <w:iCs/>
          <w:noProof/>
          <w:sz w:val="16"/>
          <w:szCs w:val="24"/>
        </w:rPr>
        <w:t>Science (80-. ).</w:t>
      </w:r>
      <w:r w:rsidRPr="00CA3946">
        <w:rPr>
          <w:rFonts w:ascii="Calibri" w:hAnsi="Calibri" w:cs="Calibri"/>
          <w:noProof/>
          <w:sz w:val="16"/>
          <w:szCs w:val="24"/>
        </w:rPr>
        <w:t xml:space="preserve"> </w:t>
      </w:r>
      <w:r w:rsidRPr="00CA3946">
        <w:rPr>
          <w:rFonts w:ascii="Calibri" w:hAnsi="Calibri" w:cs="Calibri"/>
          <w:b/>
          <w:bCs/>
          <w:noProof/>
          <w:sz w:val="16"/>
          <w:szCs w:val="24"/>
        </w:rPr>
        <w:t>1981</w:t>
      </w:r>
      <w:r w:rsidRPr="00CA3946">
        <w:rPr>
          <w:rFonts w:ascii="Calibri" w:hAnsi="Calibri" w:cs="Calibri"/>
          <w:noProof/>
          <w:sz w:val="16"/>
          <w:szCs w:val="24"/>
        </w:rPr>
        <w:t xml:space="preserve">, </w:t>
      </w:r>
      <w:r w:rsidRPr="00CA3946">
        <w:rPr>
          <w:rFonts w:ascii="Calibri" w:hAnsi="Calibri" w:cs="Calibri"/>
          <w:i/>
          <w:iCs/>
          <w:noProof/>
          <w:sz w:val="16"/>
          <w:szCs w:val="24"/>
        </w:rPr>
        <w:t>211</w:t>
      </w:r>
      <w:r w:rsidRPr="00CA3946">
        <w:rPr>
          <w:rFonts w:ascii="Calibri" w:hAnsi="Calibri" w:cs="Calibri"/>
          <w:noProof/>
          <w:sz w:val="16"/>
          <w:szCs w:val="24"/>
        </w:rPr>
        <w:t xml:space="preserve"> (4487), 1121–1125.</w:t>
      </w:r>
    </w:p>
    <w:p w14:paraId="0A9B09AC"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(22) </w:t>
      </w:r>
      <w:r w:rsidRPr="00CA3946">
        <w:rPr>
          <w:rFonts w:ascii="Calibri" w:hAnsi="Calibri" w:cs="Calibri"/>
          <w:noProof/>
          <w:sz w:val="16"/>
          <w:szCs w:val="24"/>
        </w:rPr>
        <w:tab/>
        <w:t xml:space="preserve">Campisi, S.; Chan-Thaw, C. E.; Villa, A. Understanding Heteroatom-Mediated Metal-Support Interactions in Functionalized Carbons: A Perspective Review. </w:t>
      </w:r>
      <w:r w:rsidRPr="00CA3946">
        <w:rPr>
          <w:rFonts w:ascii="Calibri" w:hAnsi="Calibri" w:cs="Calibri"/>
          <w:i/>
          <w:iCs/>
          <w:noProof/>
          <w:sz w:val="16"/>
          <w:szCs w:val="24"/>
        </w:rPr>
        <w:t>Appl. Sci.</w:t>
      </w:r>
      <w:r w:rsidRPr="00CA3946">
        <w:rPr>
          <w:rFonts w:ascii="Calibri" w:hAnsi="Calibri" w:cs="Calibri"/>
          <w:noProof/>
          <w:sz w:val="16"/>
          <w:szCs w:val="24"/>
        </w:rPr>
        <w:t xml:space="preserve"> </w:t>
      </w:r>
      <w:r w:rsidRPr="00CA3946">
        <w:rPr>
          <w:rFonts w:ascii="Calibri" w:hAnsi="Calibri" w:cs="Calibri"/>
          <w:b/>
          <w:bCs/>
          <w:noProof/>
          <w:sz w:val="16"/>
          <w:szCs w:val="24"/>
        </w:rPr>
        <w:t>2018</w:t>
      </w:r>
      <w:r w:rsidRPr="00CA3946">
        <w:rPr>
          <w:rFonts w:ascii="Calibri" w:hAnsi="Calibri" w:cs="Calibri"/>
          <w:noProof/>
          <w:sz w:val="16"/>
          <w:szCs w:val="24"/>
        </w:rPr>
        <w:t xml:space="preserve">, </w:t>
      </w:r>
      <w:r w:rsidRPr="00CA3946">
        <w:rPr>
          <w:rFonts w:ascii="Calibri" w:hAnsi="Calibri" w:cs="Calibri"/>
          <w:i/>
          <w:iCs/>
          <w:noProof/>
          <w:sz w:val="16"/>
          <w:szCs w:val="24"/>
        </w:rPr>
        <w:t>8</w:t>
      </w:r>
      <w:r w:rsidRPr="00CA3946">
        <w:rPr>
          <w:rFonts w:ascii="Calibri" w:hAnsi="Calibri" w:cs="Calibri"/>
          <w:noProof/>
          <w:sz w:val="16"/>
          <w:szCs w:val="24"/>
        </w:rPr>
        <w:t xml:space="preserve"> (7), 1159. https://doi.org/10.3390/app8071159.</w:t>
      </w:r>
    </w:p>
    <w:p w14:paraId="78CEB717"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(23) </w:t>
      </w:r>
      <w:r w:rsidRPr="00CA3946">
        <w:rPr>
          <w:rFonts w:ascii="Calibri" w:hAnsi="Calibri" w:cs="Calibri"/>
          <w:noProof/>
          <w:sz w:val="16"/>
          <w:szCs w:val="24"/>
        </w:rPr>
        <w:tab/>
        <w:t xml:space="preserve">Zhang, P.; Yuan, Q.; Chen, L.; Xue, T.; Guan, Y.; Wu, P. Low Temperature Hydrogenation of α-Angelica Lactone on Silica Supported Pd-NiO Catalysts with Synergistic Effect. </w:t>
      </w:r>
      <w:r w:rsidRPr="00CA3946">
        <w:rPr>
          <w:rFonts w:ascii="Calibri" w:hAnsi="Calibri" w:cs="Calibri"/>
          <w:i/>
          <w:iCs/>
          <w:noProof/>
          <w:sz w:val="16"/>
          <w:szCs w:val="24"/>
        </w:rPr>
        <w:t>RSC Adv.</w:t>
      </w:r>
      <w:r w:rsidRPr="00CA3946">
        <w:rPr>
          <w:rFonts w:ascii="Calibri" w:hAnsi="Calibri" w:cs="Calibri"/>
          <w:noProof/>
          <w:sz w:val="16"/>
          <w:szCs w:val="24"/>
        </w:rPr>
        <w:t xml:space="preserve"> </w:t>
      </w:r>
      <w:r w:rsidRPr="00CA3946">
        <w:rPr>
          <w:rFonts w:ascii="Calibri" w:hAnsi="Calibri" w:cs="Calibri"/>
          <w:b/>
          <w:bCs/>
          <w:noProof/>
          <w:sz w:val="16"/>
          <w:szCs w:val="24"/>
        </w:rPr>
        <w:t>2016</w:t>
      </w:r>
      <w:r w:rsidRPr="00CA3946">
        <w:rPr>
          <w:rFonts w:ascii="Calibri" w:hAnsi="Calibri" w:cs="Calibri"/>
          <w:noProof/>
          <w:sz w:val="16"/>
          <w:szCs w:val="24"/>
        </w:rPr>
        <w:t xml:space="preserve">, </w:t>
      </w:r>
      <w:r w:rsidRPr="00CA3946">
        <w:rPr>
          <w:rFonts w:ascii="Calibri" w:hAnsi="Calibri" w:cs="Calibri"/>
          <w:i/>
          <w:iCs/>
          <w:noProof/>
          <w:sz w:val="16"/>
          <w:szCs w:val="24"/>
        </w:rPr>
        <w:t>6</w:t>
      </w:r>
      <w:r w:rsidRPr="00CA3946">
        <w:rPr>
          <w:rFonts w:ascii="Calibri" w:hAnsi="Calibri" w:cs="Calibri"/>
          <w:noProof/>
          <w:sz w:val="16"/>
          <w:szCs w:val="24"/>
        </w:rPr>
        <w:t xml:space="preserve"> (70), 65377–65382. https://doi.org/10.1039/c6ra13374f.</w:t>
      </w:r>
    </w:p>
    <w:p w14:paraId="2D52E29F"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(24) </w:t>
      </w:r>
      <w:r w:rsidRPr="00CA3946">
        <w:rPr>
          <w:rFonts w:ascii="Calibri" w:hAnsi="Calibri" w:cs="Calibri"/>
          <w:noProof/>
          <w:sz w:val="16"/>
          <w:szCs w:val="24"/>
        </w:rPr>
        <w:tab/>
        <w:t xml:space="preserve">Villa, A.; Chan-Thaw, C. E.; Veith, G. M.; More, K. L.; Ferri, D.; Prati, L. Au on Nanosized NiO: A Cooperative Effect between Au and Nanosized NiO in the Base-Free Alcohol Oxidation. </w:t>
      </w:r>
      <w:r w:rsidRPr="00CA3946">
        <w:rPr>
          <w:rFonts w:ascii="Calibri" w:hAnsi="Calibri" w:cs="Calibri"/>
          <w:i/>
          <w:iCs/>
          <w:noProof/>
          <w:sz w:val="16"/>
          <w:szCs w:val="24"/>
        </w:rPr>
        <w:t>ChemCatChem</w:t>
      </w:r>
      <w:r w:rsidRPr="00CA3946">
        <w:rPr>
          <w:rFonts w:ascii="Calibri" w:hAnsi="Calibri" w:cs="Calibri"/>
          <w:noProof/>
          <w:sz w:val="16"/>
          <w:szCs w:val="24"/>
        </w:rPr>
        <w:t xml:space="preserve"> </w:t>
      </w:r>
      <w:r w:rsidRPr="00CA3946">
        <w:rPr>
          <w:rFonts w:ascii="Calibri" w:hAnsi="Calibri" w:cs="Calibri"/>
          <w:b/>
          <w:bCs/>
          <w:noProof/>
          <w:sz w:val="16"/>
          <w:szCs w:val="24"/>
        </w:rPr>
        <w:t>2011</w:t>
      </w:r>
      <w:r w:rsidRPr="00CA3946">
        <w:rPr>
          <w:rFonts w:ascii="Calibri" w:hAnsi="Calibri" w:cs="Calibri"/>
          <w:noProof/>
          <w:sz w:val="16"/>
          <w:szCs w:val="24"/>
        </w:rPr>
        <w:t xml:space="preserve">, </w:t>
      </w:r>
      <w:r w:rsidRPr="00CA3946">
        <w:rPr>
          <w:rFonts w:ascii="Calibri" w:hAnsi="Calibri" w:cs="Calibri"/>
          <w:i/>
          <w:iCs/>
          <w:noProof/>
          <w:sz w:val="16"/>
          <w:szCs w:val="24"/>
        </w:rPr>
        <w:t>3</w:t>
      </w:r>
      <w:r w:rsidRPr="00CA3946">
        <w:rPr>
          <w:rFonts w:ascii="Calibri" w:hAnsi="Calibri" w:cs="Calibri"/>
          <w:noProof/>
          <w:sz w:val="16"/>
          <w:szCs w:val="24"/>
        </w:rPr>
        <w:t xml:space="preserve"> (10), 1612–1618. </w:t>
      </w:r>
      <w:r w:rsidRPr="00CA3946">
        <w:rPr>
          <w:rFonts w:ascii="Calibri" w:hAnsi="Calibri" w:cs="Calibri"/>
          <w:noProof/>
          <w:sz w:val="16"/>
          <w:szCs w:val="24"/>
        </w:rPr>
        <w:lastRenderedPageBreak/>
        <w:t>https://doi.org/10.1002/cctc.201100161.</w:t>
      </w:r>
    </w:p>
    <w:p w14:paraId="5FCCAB93"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(25) </w:t>
      </w:r>
      <w:r w:rsidRPr="00CA3946">
        <w:rPr>
          <w:rFonts w:ascii="Calibri" w:hAnsi="Calibri" w:cs="Calibri"/>
          <w:noProof/>
          <w:sz w:val="16"/>
          <w:szCs w:val="24"/>
        </w:rPr>
        <w:tab/>
        <w:t xml:space="preserve">Stoyanova, D.; Georgieva, P.; Kasabova, N. Pd-Containing Catalysts Promoted by NiO Designed for the Reduction of NO with CO at Stoichiometric NO/CO Ratio. </w:t>
      </w:r>
      <w:r w:rsidRPr="00CA3946">
        <w:rPr>
          <w:rFonts w:ascii="Calibri" w:hAnsi="Calibri" w:cs="Calibri"/>
          <w:i/>
          <w:iCs/>
          <w:noProof/>
          <w:sz w:val="16"/>
          <w:szCs w:val="24"/>
        </w:rPr>
        <w:t>React. Kinet. Mech. Catal.</w:t>
      </w:r>
      <w:r w:rsidRPr="00CA3946">
        <w:rPr>
          <w:rFonts w:ascii="Calibri" w:hAnsi="Calibri" w:cs="Calibri"/>
          <w:noProof/>
          <w:sz w:val="16"/>
          <w:szCs w:val="24"/>
        </w:rPr>
        <w:t xml:space="preserve"> </w:t>
      </w:r>
      <w:r w:rsidRPr="00CA3946">
        <w:rPr>
          <w:rFonts w:ascii="Calibri" w:hAnsi="Calibri" w:cs="Calibri"/>
          <w:b/>
          <w:bCs/>
          <w:noProof/>
          <w:sz w:val="16"/>
          <w:szCs w:val="24"/>
        </w:rPr>
        <w:t>2013</w:t>
      </w:r>
      <w:r w:rsidRPr="00CA3946">
        <w:rPr>
          <w:rFonts w:ascii="Calibri" w:hAnsi="Calibri" w:cs="Calibri"/>
          <w:noProof/>
          <w:sz w:val="16"/>
          <w:szCs w:val="24"/>
        </w:rPr>
        <w:t xml:space="preserve">, </w:t>
      </w:r>
      <w:r w:rsidRPr="00CA3946">
        <w:rPr>
          <w:rFonts w:ascii="Calibri" w:hAnsi="Calibri" w:cs="Calibri"/>
          <w:i/>
          <w:iCs/>
          <w:noProof/>
          <w:sz w:val="16"/>
          <w:szCs w:val="24"/>
        </w:rPr>
        <w:t>108</w:t>
      </w:r>
      <w:r w:rsidRPr="00CA3946">
        <w:rPr>
          <w:rFonts w:ascii="Calibri" w:hAnsi="Calibri" w:cs="Calibri"/>
          <w:noProof/>
          <w:sz w:val="16"/>
          <w:szCs w:val="24"/>
        </w:rPr>
        <w:t xml:space="preserve"> (2), 391–402. https://doi.org/10.1007/s11144-012-0530-5.</w:t>
      </w:r>
    </w:p>
    <w:p w14:paraId="49DF20FC"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(26) </w:t>
      </w:r>
      <w:r w:rsidRPr="00CA3946">
        <w:rPr>
          <w:rFonts w:ascii="Calibri" w:hAnsi="Calibri" w:cs="Calibri"/>
          <w:noProof/>
          <w:sz w:val="16"/>
          <w:szCs w:val="24"/>
        </w:rPr>
        <w:tab/>
        <w:t xml:space="preserve">Bruix, A.; Rodriguez, J. A.; Ramírez, P. J.; Senanayake, S. D.; Evans, J.; Park, J. B.; Stacchiola, D.; Liu, P.; Hrbek, J.; Illas, F. A New Type of Strong Metal-Support Interaction and the Production of H 2 through the Transformation of Water on Pt/CeO 2(111) and Pt/CeO x/TiO 2(110) Catalysts. </w:t>
      </w:r>
      <w:r w:rsidRPr="00CA3946">
        <w:rPr>
          <w:rFonts w:ascii="Calibri" w:hAnsi="Calibri" w:cs="Calibri"/>
          <w:i/>
          <w:iCs/>
          <w:noProof/>
          <w:sz w:val="16"/>
          <w:szCs w:val="24"/>
        </w:rPr>
        <w:t>J. Am. Chem. Soc.</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134</w:t>
      </w:r>
      <w:r w:rsidRPr="00CA3946">
        <w:rPr>
          <w:rFonts w:ascii="Calibri" w:hAnsi="Calibri" w:cs="Calibri"/>
          <w:noProof/>
          <w:sz w:val="16"/>
          <w:szCs w:val="24"/>
        </w:rPr>
        <w:t xml:space="preserve"> (21), 8968–8974. https://doi.org/10.1021/ja302070k.</w:t>
      </w:r>
    </w:p>
    <w:p w14:paraId="100143AF"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(27) </w:t>
      </w:r>
      <w:r w:rsidRPr="00CA3946">
        <w:rPr>
          <w:rFonts w:ascii="Calibri" w:hAnsi="Calibri" w:cs="Calibri"/>
          <w:noProof/>
          <w:sz w:val="16"/>
          <w:szCs w:val="24"/>
        </w:rPr>
        <w:tab/>
        <w:t xml:space="preserve">He, J.; Nielsen, M. R.; Hansen, T. W.; Yang, S.; Riisager, A. Hierarchically Constructed NiO with Improved Performance for Catalytic Transfer Hydrogenation of Biomass-Derived Aldehydes. </w:t>
      </w:r>
      <w:r w:rsidRPr="00CA3946">
        <w:rPr>
          <w:rFonts w:ascii="Calibri" w:hAnsi="Calibri" w:cs="Calibri"/>
          <w:i/>
          <w:iCs/>
          <w:noProof/>
          <w:sz w:val="16"/>
          <w:szCs w:val="24"/>
        </w:rPr>
        <w:t>Catal. Sci. Technol.</w:t>
      </w:r>
      <w:r w:rsidRPr="00CA3946">
        <w:rPr>
          <w:rFonts w:ascii="Calibri" w:hAnsi="Calibri" w:cs="Calibri"/>
          <w:noProof/>
          <w:sz w:val="16"/>
          <w:szCs w:val="24"/>
        </w:rPr>
        <w:t xml:space="preserve"> </w:t>
      </w:r>
      <w:r w:rsidRPr="00CA3946">
        <w:rPr>
          <w:rFonts w:ascii="Calibri" w:hAnsi="Calibri" w:cs="Calibri"/>
          <w:b/>
          <w:bCs/>
          <w:noProof/>
          <w:sz w:val="16"/>
          <w:szCs w:val="24"/>
        </w:rPr>
        <w:t>2019</w:t>
      </w:r>
      <w:r w:rsidRPr="00CA3946">
        <w:rPr>
          <w:rFonts w:ascii="Calibri" w:hAnsi="Calibri" w:cs="Calibri"/>
          <w:noProof/>
          <w:sz w:val="16"/>
          <w:szCs w:val="24"/>
        </w:rPr>
        <w:t xml:space="preserve">, </w:t>
      </w:r>
      <w:r w:rsidRPr="00CA3946">
        <w:rPr>
          <w:rFonts w:ascii="Calibri" w:hAnsi="Calibri" w:cs="Calibri"/>
          <w:i/>
          <w:iCs/>
          <w:noProof/>
          <w:sz w:val="16"/>
          <w:szCs w:val="24"/>
        </w:rPr>
        <w:t>9</w:t>
      </w:r>
      <w:r w:rsidRPr="00CA3946">
        <w:rPr>
          <w:rFonts w:ascii="Calibri" w:hAnsi="Calibri" w:cs="Calibri"/>
          <w:noProof/>
          <w:sz w:val="16"/>
          <w:szCs w:val="24"/>
        </w:rPr>
        <w:t xml:space="preserve"> (5), 1289–1300. https://doi.org/10.1039/c8cy02536c.</w:t>
      </w:r>
    </w:p>
    <w:p w14:paraId="1B8E45C7"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(28) </w:t>
      </w:r>
      <w:r w:rsidRPr="00CA3946">
        <w:rPr>
          <w:rFonts w:ascii="Calibri" w:hAnsi="Calibri" w:cs="Calibri"/>
          <w:noProof/>
          <w:sz w:val="16"/>
          <w:szCs w:val="24"/>
        </w:rPr>
        <w:tab/>
        <w:t xml:space="preserve">Baker, L. R.; Kennedy, G.; Van Spronsen, M.; Hervier, A.; Cai, X.; Chen, S.; Wang, L. W.; Somorjai, G. A. Furfuraldehyde Hydrogenation on Titanium Oxide-Supported Platinum Nanoparticles Studied by Sum Frequency Generation Vibrational Spectroscopy: Acid-Base Catalysis Explains the Molecular Origin of Strong Metal-Support Interactions. </w:t>
      </w:r>
      <w:r w:rsidRPr="00CA3946">
        <w:rPr>
          <w:rFonts w:ascii="Calibri" w:hAnsi="Calibri" w:cs="Calibri"/>
          <w:i/>
          <w:iCs/>
          <w:noProof/>
          <w:sz w:val="16"/>
          <w:szCs w:val="24"/>
        </w:rPr>
        <w:t>J. Am. Chem. Soc.</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134</w:t>
      </w:r>
      <w:r w:rsidRPr="00CA3946">
        <w:rPr>
          <w:rFonts w:ascii="Calibri" w:hAnsi="Calibri" w:cs="Calibri"/>
          <w:noProof/>
          <w:sz w:val="16"/>
          <w:szCs w:val="24"/>
        </w:rPr>
        <w:t xml:space="preserve"> (34), 14208–14216. https://doi.org/10.1021/ja306079h.</w:t>
      </w:r>
    </w:p>
    <w:p w14:paraId="3C17956C"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(29) </w:t>
      </w:r>
      <w:r w:rsidRPr="00CA3946">
        <w:rPr>
          <w:rFonts w:ascii="Calibri" w:hAnsi="Calibri" w:cs="Calibri"/>
          <w:noProof/>
          <w:sz w:val="16"/>
          <w:szCs w:val="24"/>
        </w:rPr>
        <w:tab/>
        <w:t xml:space="preserve">Newville, M. IFEFFIT: Interactive XAFS Analysis and FEFF Fitting. </w:t>
      </w:r>
      <w:r w:rsidRPr="00CA3946">
        <w:rPr>
          <w:rFonts w:ascii="Calibri" w:hAnsi="Calibri" w:cs="Calibri"/>
          <w:i/>
          <w:iCs/>
          <w:noProof/>
          <w:sz w:val="16"/>
          <w:szCs w:val="24"/>
        </w:rPr>
        <w:t>J. Synchrotron Radiat.</w:t>
      </w:r>
      <w:r w:rsidRPr="00CA3946">
        <w:rPr>
          <w:rFonts w:ascii="Calibri" w:hAnsi="Calibri" w:cs="Calibri"/>
          <w:noProof/>
          <w:sz w:val="16"/>
          <w:szCs w:val="24"/>
        </w:rPr>
        <w:t xml:space="preserve"> </w:t>
      </w:r>
      <w:r w:rsidRPr="00CA3946">
        <w:rPr>
          <w:rFonts w:ascii="Calibri" w:hAnsi="Calibri" w:cs="Calibri"/>
          <w:b/>
          <w:bCs/>
          <w:noProof/>
          <w:sz w:val="16"/>
          <w:szCs w:val="24"/>
        </w:rPr>
        <w:t>2001</w:t>
      </w:r>
      <w:r w:rsidRPr="00CA3946">
        <w:rPr>
          <w:rFonts w:ascii="Calibri" w:hAnsi="Calibri" w:cs="Calibri"/>
          <w:noProof/>
          <w:sz w:val="16"/>
          <w:szCs w:val="24"/>
        </w:rPr>
        <w:t xml:space="preserve">, </w:t>
      </w:r>
      <w:r w:rsidRPr="00CA3946">
        <w:rPr>
          <w:rFonts w:ascii="Calibri" w:hAnsi="Calibri" w:cs="Calibri"/>
          <w:i/>
          <w:iCs/>
          <w:noProof/>
          <w:sz w:val="16"/>
          <w:szCs w:val="24"/>
        </w:rPr>
        <w:t>8</w:t>
      </w:r>
      <w:r w:rsidRPr="00CA3946">
        <w:rPr>
          <w:rFonts w:ascii="Calibri" w:hAnsi="Calibri" w:cs="Calibri"/>
          <w:noProof/>
          <w:sz w:val="16"/>
          <w:szCs w:val="24"/>
        </w:rPr>
        <w:t xml:space="preserve"> (2), 322–324. https://doi.org/10.1107/S0909049500016964.</w:t>
      </w:r>
    </w:p>
    <w:p w14:paraId="6FCC1790"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(30) </w:t>
      </w:r>
      <w:r w:rsidRPr="00CA3946">
        <w:rPr>
          <w:rFonts w:ascii="Calibri" w:hAnsi="Calibri" w:cs="Calibri"/>
          <w:noProof/>
          <w:sz w:val="16"/>
          <w:szCs w:val="24"/>
        </w:rPr>
        <w:tab/>
        <w:t xml:space="preserve">Ravel, B.; Newville, M. ATHENA, ARTEMIS, HEPHAESTUS: Data Analysis for X-Ray Absorption Spectroscopy Using IFEFFIT. </w:t>
      </w:r>
      <w:r w:rsidRPr="00CA3946">
        <w:rPr>
          <w:rFonts w:ascii="Calibri" w:hAnsi="Calibri" w:cs="Calibri"/>
          <w:i/>
          <w:iCs/>
          <w:noProof/>
          <w:sz w:val="16"/>
          <w:szCs w:val="24"/>
        </w:rPr>
        <w:t>J. Synchrotron Radiat.</w:t>
      </w:r>
      <w:r w:rsidRPr="00CA3946">
        <w:rPr>
          <w:rFonts w:ascii="Calibri" w:hAnsi="Calibri" w:cs="Calibri"/>
          <w:noProof/>
          <w:sz w:val="16"/>
          <w:szCs w:val="24"/>
        </w:rPr>
        <w:t xml:space="preserve"> </w:t>
      </w:r>
      <w:r w:rsidRPr="00CA3946">
        <w:rPr>
          <w:rFonts w:ascii="Calibri" w:hAnsi="Calibri" w:cs="Calibri"/>
          <w:b/>
          <w:bCs/>
          <w:noProof/>
          <w:sz w:val="16"/>
          <w:szCs w:val="24"/>
        </w:rPr>
        <w:t>2005</w:t>
      </w:r>
      <w:r w:rsidRPr="00CA3946">
        <w:rPr>
          <w:rFonts w:ascii="Calibri" w:hAnsi="Calibri" w:cs="Calibri"/>
          <w:noProof/>
          <w:sz w:val="16"/>
          <w:szCs w:val="24"/>
        </w:rPr>
        <w:t xml:space="preserve">, </w:t>
      </w:r>
      <w:r w:rsidRPr="00CA3946">
        <w:rPr>
          <w:rFonts w:ascii="Calibri" w:hAnsi="Calibri" w:cs="Calibri"/>
          <w:i/>
          <w:iCs/>
          <w:noProof/>
          <w:sz w:val="16"/>
          <w:szCs w:val="24"/>
        </w:rPr>
        <w:t>12</w:t>
      </w:r>
      <w:r w:rsidRPr="00CA3946">
        <w:rPr>
          <w:rFonts w:ascii="Calibri" w:hAnsi="Calibri" w:cs="Calibri"/>
          <w:noProof/>
          <w:sz w:val="16"/>
          <w:szCs w:val="24"/>
        </w:rPr>
        <w:t xml:space="preserve"> (4), 537–541. https://doi.org/10.1107/S0909049505012719.</w:t>
      </w:r>
    </w:p>
    <w:p w14:paraId="03B0EC86"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(31) </w:t>
      </w:r>
      <w:r w:rsidRPr="00CA3946">
        <w:rPr>
          <w:rFonts w:ascii="Calibri" w:hAnsi="Calibri" w:cs="Calibri"/>
          <w:noProof/>
          <w:sz w:val="16"/>
          <w:szCs w:val="24"/>
        </w:rPr>
        <w:tab/>
        <w:t xml:space="preserve">Kresse, G.; Hafner, J. Ab Initio Molecular Dynamics for Liquid Metals.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1993</w:t>
      </w:r>
      <w:r w:rsidRPr="00CA3946">
        <w:rPr>
          <w:rFonts w:ascii="Calibri" w:hAnsi="Calibri" w:cs="Calibri"/>
          <w:noProof/>
          <w:sz w:val="16"/>
          <w:szCs w:val="24"/>
        </w:rPr>
        <w:t xml:space="preserve">, </w:t>
      </w:r>
      <w:r w:rsidRPr="00CA3946">
        <w:rPr>
          <w:rFonts w:ascii="Calibri" w:hAnsi="Calibri" w:cs="Calibri"/>
          <w:i/>
          <w:iCs/>
          <w:noProof/>
          <w:sz w:val="16"/>
          <w:szCs w:val="24"/>
        </w:rPr>
        <w:t>47</w:t>
      </w:r>
      <w:r w:rsidRPr="00CA3946">
        <w:rPr>
          <w:rFonts w:ascii="Calibri" w:hAnsi="Calibri" w:cs="Calibri"/>
          <w:noProof/>
          <w:sz w:val="16"/>
          <w:szCs w:val="24"/>
        </w:rPr>
        <w:t xml:space="preserve"> (1), 558–561. https://doi.org/10.1103/PhysRevB.47.558.</w:t>
      </w:r>
    </w:p>
    <w:p w14:paraId="356E71E0"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(32) </w:t>
      </w:r>
      <w:r w:rsidRPr="00CA3946">
        <w:rPr>
          <w:rFonts w:ascii="Calibri" w:hAnsi="Calibri" w:cs="Calibri"/>
          <w:noProof/>
          <w:sz w:val="16"/>
          <w:szCs w:val="24"/>
        </w:rPr>
        <w:tab/>
        <w:t xml:space="preserve">Kresse, G.; Furthmüller, J. Efficient Iterative Schemes for Ab Initio Total-Energy Calculations Using a Plane-Wave Basis Set. </w:t>
      </w:r>
      <w:r w:rsidRPr="00CA3946">
        <w:rPr>
          <w:rFonts w:ascii="Calibri" w:hAnsi="Calibri" w:cs="Calibri"/>
          <w:i/>
          <w:iCs/>
          <w:noProof/>
          <w:sz w:val="16"/>
          <w:szCs w:val="24"/>
        </w:rPr>
        <w:t>Phys. Rev. B - Condens. Matter Mater. Phys.</w:t>
      </w:r>
      <w:r w:rsidRPr="00CA3946">
        <w:rPr>
          <w:rFonts w:ascii="Calibri" w:hAnsi="Calibri" w:cs="Calibri"/>
          <w:noProof/>
          <w:sz w:val="16"/>
          <w:szCs w:val="24"/>
        </w:rPr>
        <w:t xml:space="preserve"> </w:t>
      </w:r>
      <w:r w:rsidRPr="00CA3946">
        <w:rPr>
          <w:rFonts w:ascii="Calibri" w:hAnsi="Calibri" w:cs="Calibri"/>
          <w:b/>
          <w:bCs/>
          <w:noProof/>
          <w:sz w:val="16"/>
          <w:szCs w:val="24"/>
        </w:rPr>
        <w:t>1996</w:t>
      </w:r>
      <w:r w:rsidRPr="00CA3946">
        <w:rPr>
          <w:rFonts w:ascii="Calibri" w:hAnsi="Calibri" w:cs="Calibri"/>
          <w:noProof/>
          <w:sz w:val="16"/>
          <w:szCs w:val="24"/>
        </w:rPr>
        <w:t xml:space="preserve">, </w:t>
      </w:r>
      <w:r w:rsidRPr="00CA3946">
        <w:rPr>
          <w:rFonts w:ascii="Calibri" w:hAnsi="Calibri" w:cs="Calibri"/>
          <w:i/>
          <w:iCs/>
          <w:noProof/>
          <w:sz w:val="16"/>
          <w:szCs w:val="24"/>
        </w:rPr>
        <w:t>54</w:t>
      </w:r>
      <w:r w:rsidRPr="00CA3946">
        <w:rPr>
          <w:rFonts w:ascii="Calibri" w:hAnsi="Calibri" w:cs="Calibri"/>
          <w:noProof/>
          <w:sz w:val="16"/>
          <w:szCs w:val="24"/>
        </w:rPr>
        <w:t xml:space="preserve"> (16), 11169–11186. https://doi.org/10.1103/PhysRevB.54.11169.</w:t>
      </w:r>
    </w:p>
    <w:p w14:paraId="691363C2"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(33) </w:t>
      </w:r>
      <w:r w:rsidRPr="00CA3946">
        <w:rPr>
          <w:rFonts w:ascii="Calibri" w:hAnsi="Calibri" w:cs="Calibri"/>
          <w:noProof/>
          <w:sz w:val="16"/>
          <w:szCs w:val="24"/>
        </w:rPr>
        <w:tab/>
        <w:t xml:space="preserve">Kresse, G.; Hafner, J. Ab Initio Molecular-Dynamics Simulation of the Liquid-Metalamorphous- Semiconductor Transition in Germanium.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1994</w:t>
      </w:r>
      <w:r w:rsidRPr="00CA3946">
        <w:rPr>
          <w:rFonts w:ascii="Calibri" w:hAnsi="Calibri" w:cs="Calibri"/>
          <w:noProof/>
          <w:sz w:val="16"/>
          <w:szCs w:val="24"/>
        </w:rPr>
        <w:t xml:space="preserve">, </w:t>
      </w:r>
      <w:r w:rsidRPr="00CA3946">
        <w:rPr>
          <w:rFonts w:ascii="Calibri" w:hAnsi="Calibri" w:cs="Calibri"/>
          <w:i/>
          <w:iCs/>
          <w:noProof/>
          <w:sz w:val="16"/>
          <w:szCs w:val="24"/>
        </w:rPr>
        <w:t>49</w:t>
      </w:r>
      <w:r w:rsidRPr="00CA3946">
        <w:rPr>
          <w:rFonts w:ascii="Calibri" w:hAnsi="Calibri" w:cs="Calibri"/>
          <w:noProof/>
          <w:sz w:val="16"/>
          <w:szCs w:val="24"/>
        </w:rPr>
        <w:t xml:space="preserve"> (20), 14251–14269. https://doi.org/10.1103/PhysRevB.49.14251.</w:t>
      </w:r>
    </w:p>
    <w:p w14:paraId="27E6EAF6"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(34) </w:t>
      </w:r>
      <w:r w:rsidRPr="00CA3946">
        <w:rPr>
          <w:rFonts w:ascii="Calibri" w:hAnsi="Calibri" w:cs="Calibri"/>
          <w:noProof/>
          <w:sz w:val="16"/>
          <w:szCs w:val="24"/>
        </w:rPr>
        <w:tab/>
        <w:t xml:space="preserve">Blöchl, P. E. Projector Augmented-Wave Method.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1994</w:t>
      </w:r>
      <w:r w:rsidRPr="00CA3946">
        <w:rPr>
          <w:rFonts w:ascii="Calibri" w:hAnsi="Calibri" w:cs="Calibri"/>
          <w:noProof/>
          <w:sz w:val="16"/>
          <w:szCs w:val="24"/>
        </w:rPr>
        <w:t xml:space="preserve">, </w:t>
      </w:r>
      <w:r w:rsidRPr="00CA3946">
        <w:rPr>
          <w:rFonts w:ascii="Calibri" w:hAnsi="Calibri" w:cs="Calibri"/>
          <w:i/>
          <w:iCs/>
          <w:noProof/>
          <w:sz w:val="16"/>
          <w:szCs w:val="24"/>
        </w:rPr>
        <w:t>50</w:t>
      </w:r>
      <w:r w:rsidRPr="00CA3946">
        <w:rPr>
          <w:rFonts w:ascii="Calibri" w:hAnsi="Calibri" w:cs="Calibri"/>
          <w:noProof/>
          <w:sz w:val="16"/>
          <w:szCs w:val="24"/>
        </w:rPr>
        <w:t xml:space="preserve"> (24), 17953–17979. https://doi.org/10.1103/PhysRevB.50.17953.</w:t>
      </w:r>
    </w:p>
    <w:p w14:paraId="60D09EE8"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(35) </w:t>
      </w:r>
      <w:r w:rsidRPr="00CA3946">
        <w:rPr>
          <w:rFonts w:ascii="Calibri" w:hAnsi="Calibri" w:cs="Calibri"/>
          <w:noProof/>
          <w:sz w:val="16"/>
          <w:szCs w:val="24"/>
        </w:rPr>
        <w:tab/>
        <w:t xml:space="preserve">Perdew, J. P.; Burke, K.; Ernzerhof, M. Generalized Gradient Approximation Made Simple. </w:t>
      </w:r>
      <w:r w:rsidRPr="00CA3946">
        <w:rPr>
          <w:rFonts w:ascii="Calibri" w:hAnsi="Calibri" w:cs="Calibri"/>
          <w:i/>
          <w:iCs/>
          <w:noProof/>
          <w:sz w:val="16"/>
          <w:szCs w:val="24"/>
        </w:rPr>
        <w:t>Phys. Rev. Lett.</w:t>
      </w:r>
      <w:r w:rsidRPr="00CA3946">
        <w:rPr>
          <w:rFonts w:ascii="Calibri" w:hAnsi="Calibri" w:cs="Calibri"/>
          <w:noProof/>
          <w:sz w:val="16"/>
          <w:szCs w:val="24"/>
        </w:rPr>
        <w:t xml:space="preserve"> </w:t>
      </w:r>
      <w:r w:rsidRPr="00CA3946">
        <w:rPr>
          <w:rFonts w:ascii="Calibri" w:hAnsi="Calibri" w:cs="Calibri"/>
          <w:b/>
          <w:bCs/>
          <w:noProof/>
          <w:sz w:val="16"/>
          <w:szCs w:val="24"/>
        </w:rPr>
        <w:t>1996</w:t>
      </w:r>
      <w:r w:rsidRPr="00CA3946">
        <w:rPr>
          <w:rFonts w:ascii="Calibri" w:hAnsi="Calibri" w:cs="Calibri"/>
          <w:noProof/>
          <w:sz w:val="16"/>
          <w:szCs w:val="24"/>
        </w:rPr>
        <w:t xml:space="preserve">, </w:t>
      </w:r>
      <w:r w:rsidRPr="00CA3946">
        <w:rPr>
          <w:rFonts w:ascii="Calibri" w:hAnsi="Calibri" w:cs="Calibri"/>
          <w:i/>
          <w:iCs/>
          <w:noProof/>
          <w:sz w:val="16"/>
          <w:szCs w:val="24"/>
        </w:rPr>
        <w:t>77</w:t>
      </w:r>
      <w:r w:rsidRPr="00CA3946">
        <w:rPr>
          <w:rFonts w:ascii="Calibri" w:hAnsi="Calibri" w:cs="Calibri"/>
          <w:noProof/>
          <w:sz w:val="16"/>
          <w:szCs w:val="24"/>
        </w:rPr>
        <w:t xml:space="preserve"> (18), 3865–3868. https://doi.org/10.1103/PhysRevLett.77.3865.</w:t>
      </w:r>
    </w:p>
    <w:p w14:paraId="26198261" w14:textId="7DEF1CC6" w:rsidR="007323F9"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(36) </w:t>
      </w:r>
      <w:r w:rsidRPr="00CA3946">
        <w:rPr>
          <w:rFonts w:ascii="Calibri" w:hAnsi="Calibri" w:cs="Calibri"/>
          <w:noProof/>
          <w:sz w:val="16"/>
          <w:szCs w:val="24"/>
        </w:rPr>
        <w:tab/>
      </w:r>
      <w:r w:rsidR="007323F9" w:rsidRPr="00CA3946">
        <w:rPr>
          <w:rFonts w:ascii="Calibri" w:hAnsi="Calibri" w:cs="Calibri"/>
          <w:noProof/>
          <w:sz w:val="16"/>
          <w:szCs w:val="24"/>
        </w:rPr>
        <w:t xml:space="preserve">Grimme, S.; Antony, J.; Ehrlich, S.; Krieg, H. A Consistent and Accurate Ab Initio Parametrization of Density Functional Dispersion Correction (DFT-D) for the 94 Elements H-Pu. </w:t>
      </w:r>
      <w:r w:rsidR="007323F9" w:rsidRPr="00CA3946">
        <w:rPr>
          <w:rFonts w:ascii="Calibri" w:hAnsi="Calibri" w:cs="Calibri"/>
          <w:i/>
          <w:iCs/>
          <w:noProof/>
          <w:sz w:val="16"/>
          <w:szCs w:val="24"/>
        </w:rPr>
        <w:t>J. Chem. Phys.</w:t>
      </w:r>
      <w:r w:rsidR="007323F9" w:rsidRPr="00CA3946">
        <w:rPr>
          <w:rFonts w:ascii="Calibri" w:hAnsi="Calibri" w:cs="Calibri"/>
          <w:noProof/>
          <w:sz w:val="16"/>
          <w:szCs w:val="24"/>
        </w:rPr>
        <w:t xml:space="preserve"> </w:t>
      </w:r>
      <w:r w:rsidR="007323F9" w:rsidRPr="00CA3946">
        <w:rPr>
          <w:rFonts w:ascii="Calibri" w:hAnsi="Calibri" w:cs="Calibri"/>
          <w:b/>
          <w:bCs/>
          <w:noProof/>
          <w:sz w:val="16"/>
          <w:szCs w:val="24"/>
        </w:rPr>
        <w:t>2010</w:t>
      </w:r>
      <w:r w:rsidR="007323F9" w:rsidRPr="00CA3946">
        <w:rPr>
          <w:rFonts w:ascii="Calibri" w:hAnsi="Calibri" w:cs="Calibri"/>
          <w:noProof/>
          <w:sz w:val="16"/>
          <w:szCs w:val="24"/>
        </w:rPr>
        <w:t xml:space="preserve">, </w:t>
      </w:r>
      <w:r w:rsidR="007323F9" w:rsidRPr="00CA3946">
        <w:rPr>
          <w:rFonts w:ascii="Calibri" w:hAnsi="Calibri" w:cs="Calibri"/>
          <w:i/>
          <w:iCs/>
          <w:noProof/>
          <w:sz w:val="16"/>
          <w:szCs w:val="24"/>
        </w:rPr>
        <w:t>132</w:t>
      </w:r>
      <w:r w:rsidR="007323F9" w:rsidRPr="00CA3946">
        <w:rPr>
          <w:rFonts w:ascii="Calibri" w:hAnsi="Calibri" w:cs="Calibri"/>
          <w:noProof/>
          <w:sz w:val="16"/>
          <w:szCs w:val="24"/>
        </w:rPr>
        <w:t xml:space="preserve"> (15), 154104. https://doi.org/10.1063/1.3382344.</w:t>
      </w:r>
    </w:p>
    <w:p w14:paraId="585C08AF" w14:textId="2736977A" w:rsidR="007323F9" w:rsidRPr="00CA3946" w:rsidRDefault="007323F9" w:rsidP="007323F9">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 </w:t>
      </w:r>
      <w:r w:rsidR="006625C0" w:rsidRPr="00CA3946">
        <w:rPr>
          <w:rFonts w:ascii="Calibri" w:hAnsi="Calibri" w:cs="Calibri"/>
          <w:noProof/>
          <w:sz w:val="16"/>
          <w:szCs w:val="24"/>
        </w:rPr>
        <w:t xml:space="preserve">(37) </w:t>
      </w:r>
      <w:r w:rsidR="006625C0" w:rsidRPr="00CA3946">
        <w:rPr>
          <w:rFonts w:ascii="Calibri" w:hAnsi="Calibri" w:cs="Calibri"/>
          <w:noProof/>
          <w:sz w:val="16"/>
          <w:szCs w:val="24"/>
        </w:rPr>
        <w:tab/>
      </w:r>
      <w:r w:rsidRPr="00CA3946">
        <w:rPr>
          <w:rFonts w:ascii="Calibri" w:hAnsi="Calibri" w:cs="Calibri"/>
          <w:noProof/>
          <w:sz w:val="16"/>
          <w:szCs w:val="24"/>
        </w:rPr>
        <w:t xml:space="preserve">Makov, G.; Payne, M. C. Periodic Boundary Conditions in Ab Initio Calculations.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1995</w:t>
      </w:r>
      <w:r w:rsidRPr="00CA3946">
        <w:rPr>
          <w:rFonts w:ascii="Calibri" w:hAnsi="Calibri" w:cs="Calibri"/>
          <w:noProof/>
          <w:sz w:val="16"/>
          <w:szCs w:val="24"/>
        </w:rPr>
        <w:t xml:space="preserve">, </w:t>
      </w:r>
      <w:r w:rsidRPr="00CA3946">
        <w:rPr>
          <w:rFonts w:ascii="Calibri" w:hAnsi="Calibri" w:cs="Calibri"/>
          <w:i/>
          <w:iCs/>
          <w:noProof/>
          <w:sz w:val="16"/>
          <w:szCs w:val="24"/>
        </w:rPr>
        <w:t>51</w:t>
      </w:r>
      <w:r w:rsidRPr="00CA3946">
        <w:rPr>
          <w:rFonts w:ascii="Calibri" w:hAnsi="Calibri" w:cs="Calibri"/>
          <w:noProof/>
          <w:sz w:val="16"/>
          <w:szCs w:val="24"/>
        </w:rPr>
        <w:t xml:space="preserve"> (7), 4014–4022. https://doi.org/10.1103/PhysRevB.51.4014.</w:t>
      </w:r>
    </w:p>
    <w:p w14:paraId="5DC603E1" w14:textId="740EF2BE" w:rsidR="007323F9" w:rsidRPr="00CA3946" w:rsidRDefault="007323F9" w:rsidP="007323F9">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(3</w:t>
      </w:r>
      <w:r>
        <w:rPr>
          <w:rFonts w:ascii="Calibri" w:hAnsi="Calibri" w:cs="Calibri"/>
          <w:noProof/>
          <w:sz w:val="16"/>
          <w:szCs w:val="24"/>
        </w:rPr>
        <w:t>8</w:t>
      </w:r>
      <w:r w:rsidRPr="00CA3946">
        <w:rPr>
          <w:rFonts w:ascii="Calibri" w:hAnsi="Calibri" w:cs="Calibri"/>
          <w:noProof/>
          <w:sz w:val="16"/>
          <w:szCs w:val="24"/>
        </w:rPr>
        <w:t xml:space="preserve">) </w:t>
      </w:r>
      <w:r w:rsidRPr="00CA3946">
        <w:rPr>
          <w:rFonts w:ascii="Calibri" w:hAnsi="Calibri" w:cs="Calibri"/>
          <w:noProof/>
          <w:sz w:val="16"/>
          <w:szCs w:val="24"/>
        </w:rPr>
        <w:tab/>
        <w:t xml:space="preserve">Neugebauer, J.; Scheffler, M. Adsorbate-Substrate and Adsorbate-Adsorbate Interactions of Na and K Adlayers on Al(111).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1992</w:t>
      </w:r>
      <w:r w:rsidRPr="00CA3946">
        <w:rPr>
          <w:rFonts w:ascii="Calibri" w:hAnsi="Calibri" w:cs="Calibri"/>
          <w:noProof/>
          <w:sz w:val="16"/>
          <w:szCs w:val="24"/>
        </w:rPr>
        <w:t xml:space="preserve">, </w:t>
      </w:r>
      <w:r w:rsidRPr="00CA3946">
        <w:rPr>
          <w:rFonts w:ascii="Calibri" w:hAnsi="Calibri" w:cs="Calibri"/>
          <w:i/>
          <w:iCs/>
          <w:noProof/>
          <w:sz w:val="16"/>
          <w:szCs w:val="24"/>
        </w:rPr>
        <w:t>46</w:t>
      </w:r>
      <w:r w:rsidRPr="00CA3946">
        <w:rPr>
          <w:rFonts w:ascii="Calibri" w:hAnsi="Calibri" w:cs="Calibri"/>
          <w:noProof/>
          <w:sz w:val="16"/>
          <w:szCs w:val="24"/>
        </w:rPr>
        <w:t xml:space="preserve"> (24), 16067–16080. https://doi.org/10.1103/PhysRevB.46.16067.</w:t>
      </w:r>
    </w:p>
    <w:p w14:paraId="47D88B86" w14:textId="14109E01" w:rsidR="006625C0" w:rsidRPr="00CA3946" w:rsidRDefault="007323F9" w:rsidP="007323F9">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 </w:t>
      </w:r>
      <w:r w:rsidR="006625C0" w:rsidRPr="00CA3946">
        <w:rPr>
          <w:rFonts w:ascii="Calibri" w:hAnsi="Calibri" w:cs="Calibri"/>
          <w:noProof/>
          <w:sz w:val="16"/>
          <w:szCs w:val="24"/>
        </w:rPr>
        <w:t>(3</w:t>
      </w:r>
      <w:r>
        <w:rPr>
          <w:rFonts w:ascii="Calibri" w:hAnsi="Calibri" w:cs="Calibri"/>
          <w:noProof/>
          <w:sz w:val="16"/>
          <w:szCs w:val="24"/>
        </w:rPr>
        <w:t>9</w:t>
      </w:r>
      <w:r w:rsidR="006625C0" w:rsidRPr="00CA3946">
        <w:rPr>
          <w:rFonts w:ascii="Calibri" w:hAnsi="Calibri" w:cs="Calibri"/>
          <w:noProof/>
          <w:sz w:val="16"/>
          <w:szCs w:val="24"/>
        </w:rPr>
        <w:t xml:space="preserve">) </w:t>
      </w:r>
      <w:r w:rsidR="006625C0" w:rsidRPr="00CA3946">
        <w:rPr>
          <w:rFonts w:ascii="Calibri" w:hAnsi="Calibri" w:cs="Calibri"/>
          <w:noProof/>
          <w:sz w:val="16"/>
          <w:szCs w:val="24"/>
        </w:rPr>
        <w:tab/>
      </w:r>
      <w:r w:rsidRPr="00CA3946">
        <w:rPr>
          <w:rFonts w:ascii="Calibri" w:hAnsi="Calibri" w:cs="Calibri"/>
          <w:noProof/>
          <w:sz w:val="16"/>
          <w:szCs w:val="24"/>
        </w:rPr>
        <w:t xml:space="preserve">Himmetoglu, B.; Floris, A.; De Gironcoli, S.; Cococcioni, M. Hubbard-Corrected DFT Energy Functionals: The LDA+U Description of Correlated Systems. </w:t>
      </w:r>
      <w:r w:rsidRPr="00CA3946">
        <w:rPr>
          <w:rFonts w:ascii="Calibri" w:hAnsi="Calibri" w:cs="Calibri"/>
          <w:i/>
          <w:iCs/>
          <w:noProof/>
          <w:sz w:val="16"/>
          <w:szCs w:val="24"/>
        </w:rPr>
        <w:t>Int. J. Quantum Chem.</w:t>
      </w:r>
      <w:r w:rsidRPr="00CA3946">
        <w:rPr>
          <w:rFonts w:ascii="Calibri" w:hAnsi="Calibri" w:cs="Calibri"/>
          <w:noProof/>
          <w:sz w:val="16"/>
          <w:szCs w:val="24"/>
        </w:rPr>
        <w:t xml:space="preserve"> </w:t>
      </w:r>
      <w:r w:rsidRPr="00CA3946">
        <w:rPr>
          <w:rFonts w:ascii="Calibri" w:hAnsi="Calibri" w:cs="Calibri"/>
          <w:b/>
          <w:bCs/>
          <w:noProof/>
          <w:sz w:val="16"/>
          <w:szCs w:val="24"/>
        </w:rPr>
        <w:t>2014</w:t>
      </w:r>
      <w:r w:rsidRPr="00CA3946">
        <w:rPr>
          <w:rFonts w:ascii="Calibri" w:hAnsi="Calibri" w:cs="Calibri"/>
          <w:noProof/>
          <w:sz w:val="16"/>
          <w:szCs w:val="24"/>
        </w:rPr>
        <w:t xml:space="preserve">, </w:t>
      </w:r>
      <w:r w:rsidRPr="00CA3946">
        <w:rPr>
          <w:rFonts w:ascii="Calibri" w:hAnsi="Calibri" w:cs="Calibri"/>
          <w:i/>
          <w:iCs/>
          <w:noProof/>
          <w:sz w:val="16"/>
          <w:szCs w:val="24"/>
        </w:rPr>
        <w:t>114</w:t>
      </w:r>
      <w:r w:rsidRPr="00CA3946">
        <w:rPr>
          <w:rFonts w:ascii="Calibri" w:hAnsi="Calibri" w:cs="Calibri"/>
          <w:noProof/>
          <w:sz w:val="16"/>
          <w:szCs w:val="24"/>
        </w:rPr>
        <w:t xml:space="preserve"> (1), 14–49. https://doi.org/10.1002/qua.24521.</w:t>
      </w:r>
    </w:p>
    <w:p w14:paraId="596D7AC8" w14:textId="1B2BAD62" w:rsidR="006625C0" w:rsidRPr="00CA3946" w:rsidRDefault="006625C0" w:rsidP="007323F9">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(40) </w:t>
      </w:r>
      <w:r w:rsidRPr="00CA3946">
        <w:rPr>
          <w:rFonts w:ascii="Calibri" w:hAnsi="Calibri" w:cs="Calibri"/>
          <w:noProof/>
          <w:sz w:val="16"/>
          <w:szCs w:val="24"/>
        </w:rPr>
        <w:tab/>
      </w:r>
      <w:r w:rsidR="007323F9" w:rsidRPr="00CA3946">
        <w:rPr>
          <w:rFonts w:ascii="Calibri" w:hAnsi="Calibri" w:cs="Calibri"/>
          <w:noProof/>
          <w:sz w:val="16"/>
          <w:szCs w:val="24"/>
        </w:rPr>
        <w:t xml:space="preserve">Morgan, B. J.; Watson, G. W. A DFT + U Description of Oxygen Vacancies at the TiO2 Rutile (1 1 0) Surface. </w:t>
      </w:r>
      <w:r w:rsidR="007323F9" w:rsidRPr="00CA3946">
        <w:rPr>
          <w:rFonts w:ascii="Calibri" w:hAnsi="Calibri" w:cs="Calibri"/>
          <w:i/>
          <w:iCs/>
          <w:noProof/>
          <w:sz w:val="16"/>
          <w:szCs w:val="24"/>
        </w:rPr>
        <w:t>Surf. Sci.</w:t>
      </w:r>
      <w:r w:rsidR="007323F9" w:rsidRPr="00CA3946">
        <w:rPr>
          <w:rFonts w:ascii="Calibri" w:hAnsi="Calibri" w:cs="Calibri"/>
          <w:noProof/>
          <w:sz w:val="16"/>
          <w:szCs w:val="24"/>
        </w:rPr>
        <w:t xml:space="preserve"> </w:t>
      </w:r>
      <w:r w:rsidR="007323F9" w:rsidRPr="00CA3946">
        <w:rPr>
          <w:rFonts w:ascii="Calibri" w:hAnsi="Calibri" w:cs="Calibri"/>
          <w:b/>
          <w:bCs/>
          <w:noProof/>
          <w:sz w:val="16"/>
          <w:szCs w:val="24"/>
        </w:rPr>
        <w:t>2007</w:t>
      </w:r>
      <w:r w:rsidR="007323F9" w:rsidRPr="00CA3946">
        <w:rPr>
          <w:rFonts w:ascii="Calibri" w:hAnsi="Calibri" w:cs="Calibri"/>
          <w:noProof/>
          <w:sz w:val="16"/>
          <w:szCs w:val="24"/>
        </w:rPr>
        <w:t xml:space="preserve">, </w:t>
      </w:r>
      <w:r w:rsidR="007323F9" w:rsidRPr="00CA3946">
        <w:rPr>
          <w:rFonts w:ascii="Calibri" w:hAnsi="Calibri" w:cs="Calibri"/>
          <w:i/>
          <w:iCs/>
          <w:noProof/>
          <w:sz w:val="16"/>
          <w:szCs w:val="24"/>
        </w:rPr>
        <w:t>601</w:t>
      </w:r>
      <w:r w:rsidR="007323F9" w:rsidRPr="00CA3946">
        <w:rPr>
          <w:rFonts w:ascii="Calibri" w:hAnsi="Calibri" w:cs="Calibri"/>
          <w:noProof/>
          <w:sz w:val="16"/>
          <w:szCs w:val="24"/>
        </w:rPr>
        <w:t xml:space="preserve"> (21), 5034–5041. https://doi.org/10.1016/j.susc.2007.08.025.</w:t>
      </w:r>
    </w:p>
    <w:p w14:paraId="580C2219" w14:textId="63ED084C"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(41) </w:t>
      </w:r>
      <w:r w:rsidRPr="00CA3946">
        <w:rPr>
          <w:rFonts w:ascii="Calibri" w:hAnsi="Calibri" w:cs="Calibri"/>
          <w:noProof/>
          <w:sz w:val="16"/>
          <w:szCs w:val="24"/>
        </w:rPr>
        <w:tab/>
        <w:t xml:space="preserve">Rogers, S. M.; Catlow, C. R. A.; Chan-Thaw, C. E.; Gianolio, D.; Gibson, E. K.; Gould, A. L.; Jian, N.; Logsdail, A. J.; Palmer, R. E.; </w:t>
      </w:r>
      <w:r w:rsidRPr="00CA3946">
        <w:rPr>
          <w:rFonts w:ascii="Calibri" w:hAnsi="Calibri" w:cs="Calibri"/>
          <w:noProof/>
          <w:sz w:val="16"/>
          <w:szCs w:val="24"/>
        </w:rPr>
        <w:lastRenderedPageBreak/>
        <w:t xml:space="preserve">Prati, L.; et al. Tailoring Gold Nanoparticle Characteristics and the Impact on Aqueous-Phase Oxidation of Glycerol.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2015</w:t>
      </w:r>
      <w:r w:rsidRPr="00CA3946">
        <w:rPr>
          <w:rFonts w:ascii="Calibri" w:hAnsi="Calibri" w:cs="Calibri"/>
          <w:noProof/>
          <w:sz w:val="16"/>
          <w:szCs w:val="24"/>
        </w:rPr>
        <w:t xml:space="preserve">, </w:t>
      </w:r>
      <w:r w:rsidRPr="00CA3946">
        <w:rPr>
          <w:rFonts w:ascii="Calibri" w:hAnsi="Calibri" w:cs="Calibri"/>
          <w:i/>
          <w:iCs/>
          <w:noProof/>
          <w:sz w:val="16"/>
          <w:szCs w:val="24"/>
        </w:rPr>
        <w:t>5</w:t>
      </w:r>
      <w:r w:rsidRPr="00CA3946">
        <w:rPr>
          <w:rFonts w:ascii="Calibri" w:hAnsi="Calibri" w:cs="Calibri"/>
          <w:noProof/>
          <w:sz w:val="16"/>
          <w:szCs w:val="24"/>
        </w:rPr>
        <w:t xml:space="preserve"> (7), 4377–4384. https://doi.org/10.1021/acscatal.5b00754.</w:t>
      </w:r>
    </w:p>
    <w:p w14:paraId="6484F1F2"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(42) </w:t>
      </w:r>
      <w:r w:rsidRPr="00CA3946">
        <w:rPr>
          <w:rFonts w:ascii="Calibri" w:hAnsi="Calibri" w:cs="Calibri"/>
          <w:noProof/>
          <w:sz w:val="16"/>
          <w:szCs w:val="24"/>
        </w:rPr>
        <w:tab/>
        <w:t xml:space="preserve">Soma-Noto, Y.; Sachtler, W. M. H. Infrared Spectra of Carbon Monoxide Adsorbed on Supported Palladium and Palladium-Silver Alloys. </w:t>
      </w:r>
      <w:r w:rsidRPr="00CA3946">
        <w:rPr>
          <w:rFonts w:ascii="Calibri" w:hAnsi="Calibri" w:cs="Calibri"/>
          <w:i/>
          <w:iCs/>
          <w:noProof/>
          <w:sz w:val="16"/>
          <w:szCs w:val="24"/>
        </w:rPr>
        <w:t>J. Catal.</w:t>
      </w:r>
      <w:r w:rsidRPr="00CA3946">
        <w:rPr>
          <w:rFonts w:ascii="Calibri" w:hAnsi="Calibri" w:cs="Calibri"/>
          <w:noProof/>
          <w:sz w:val="16"/>
          <w:szCs w:val="24"/>
        </w:rPr>
        <w:t xml:space="preserve"> </w:t>
      </w:r>
      <w:r w:rsidRPr="00CA3946">
        <w:rPr>
          <w:rFonts w:ascii="Calibri" w:hAnsi="Calibri" w:cs="Calibri"/>
          <w:b/>
          <w:bCs/>
          <w:noProof/>
          <w:sz w:val="16"/>
          <w:szCs w:val="24"/>
        </w:rPr>
        <w:t>1974</w:t>
      </w:r>
      <w:r w:rsidRPr="00CA3946">
        <w:rPr>
          <w:rFonts w:ascii="Calibri" w:hAnsi="Calibri" w:cs="Calibri"/>
          <w:noProof/>
          <w:sz w:val="16"/>
          <w:szCs w:val="24"/>
        </w:rPr>
        <w:t xml:space="preserve">, </w:t>
      </w:r>
      <w:r w:rsidRPr="00CA3946">
        <w:rPr>
          <w:rFonts w:ascii="Calibri" w:hAnsi="Calibri" w:cs="Calibri"/>
          <w:i/>
          <w:iCs/>
          <w:noProof/>
          <w:sz w:val="16"/>
          <w:szCs w:val="24"/>
        </w:rPr>
        <w:t>32</w:t>
      </w:r>
      <w:r w:rsidRPr="00CA3946">
        <w:rPr>
          <w:rFonts w:ascii="Calibri" w:hAnsi="Calibri" w:cs="Calibri"/>
          <w:noProof/>
          <w:sz w:val="16"/>
          <w:szCs w:val="24"/>
        </w:rPr>
        <w:t xml:space="preserve"> (2), 315–324. https://doi.org/10.1016/0021-9517(74)90081-5.</w:t>
      </w:r>
    </w:p>
    <w:p w14:paraId="5B42BB16"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(43) </w:t>
      </w:r>
      <w:r w:rsidRPr="00CA3946">
        <w:rPr>
          <w:rFonts w:ascii="Calibri" w:hAnsi="Calibri" w:cs="Calibri"/>
          <w:noProof/>
          <w:sz w:val="16"/>
          <w:szCs w:val="24"/>
        </w:rPr>
        <w:tab/>
        <w:t xml:space="preserve">Lear, T.; Marshall, R.; Lopez-Sanchez, J. A.; Jackson, S. D.; Klapötke, T. M.; Bäumer, M.; Rupprechter, G.; Freund, H. J.; Lennon, D. The Application of Infrared Spectroscopy to Probe the Surface Morphology of Alumina-Supported Palladium Catalysts. </w:t>
      </w:r>
      <w:r w:rsidRPr="00CA3946">
        <w:rPr>
          <w:rFonts w:ascii="Calibri" w:hAnsi="Calibri" w:cs="Calibri"/>
          <w:i/>
          <w:iCs/>
          <w:noProof/>
          <w:sz w:val="16"/>
          <w:szCs w:val="24"/>
        </w:rPr>
        <w:t>J. Chem. Phys.</w:t>
      </w:r>
      <w:r w:rsidRPr="00CA3946">
        <w:rPr>
          <w:rFonts w:ascii="Calibri" w:hAnsi="Calibri" w:cs="Calibri"/>
          <w:noProof/>
          <w:sz w:val="16"/>
          <w:szCs w:val="24"/>
        </w:rPr>
        <w:t xml:space="preserve"> </w:t>
      </w:r>
      <w:r w:rsidRPr="00CA3946">
        <w:rPr>
          <w:rFonts w:ascii="Calibri" w:hAnsi="Calibri" w:cs="Calibri"/>
          <w:b/>
          <w:bCs/>
          <w:noProof/>
          <w:sz w:val="16"/>
          <w:szCs w:val="24"/>
        </w:rPr>
        <w:t>2005</w:t>
      </w:r>
      <w:r w:rsidRPr="00CA3946">
        <w:rPr>
          <w:rFonts w:ascii="Calibri" w:hAnsi="Calibri" w:cs="Calibri"/>
          <w:noProof/>
          <w:sz w:val="16"/>
          <w:szCs w:val="24"/>
        </w:rPr>
        <w:t xml:space="preserve">, </w:t>
      </w:r>
      <w:r w:rsidRPr="00CA3946">
        <w:rPr>
          <w:rFonts w:ascii="Calibri" w:hAnsi="Calibri" w:cs="Calibri"/>
          <w:i/>
          <w:iCs/>
          <w:noProof/>
          <w:sz w:val="16"/>
          <w:szCs w:val="24"/>
        </w:rPr>
        <w:t>123</w:t>
      </w:r>
      <w:r w:rsidRPr="00CA3946">
        <w:rPr>
          <w:rFonts w:ascii="Calibri" w:hAnsi="Calibri" w:cs="Calibri"/>
          <w:noProof/>
          <w:sz w:val="16"/>
          <w:szCs w:val="24"/>
        </w:rPr>
        <w:t xml:space="preserve"> (17), 174706. https://doi.org/10.1063/1.2101487.</w:t>
      </w:r>
    </w:p>
    <w:p w14:paraId="2A102398"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(44) </w:t>
      </w:r>
      <w:r w:rsidRPr="00CA3946">
        <w:rPr>
          <w:rFonts w:ascii="Calibri" w:hAnsi="Calibri" w:cs="Calibri"/>
          <w:noProof/>
          <w:sz w:val="16"/>
          <w:szCs w:val="24"/>
        </w:rPr>
        <w:tab/>
        <w:t xml:space="preserve">Vesecky, S. M.; Xu, X.; Goodman, D. W. Infrared Study of CO on NiO(100). </w:t>
      </w:r>
      <w:r w:rsidRPr="00CA3946">
        <w:rPr>
          <w:rFonts w:ascii="Calibri" w:hAnsi="Calibri" w:cs="Calibri"/>
          <w:i/>
          <w:iCs/>
          <w:noProof/>
          <w:sz w:val="16"/>
          <w:szCs w:val="24"/>
        </w:rPr>
        <w:t>J. Vac. Sci. Technol. A Vacuum, Surfaces, Film.</w:t>
      </w:r>
      <w:r w:rsidRPr="00CA3946">
        <w:rPr>
          <w:rFonts w:ascii="Calibri" w:hAnsi="Calibri" w:cs="Calibri"/>
          <w:noProof/>
          <w:sz w:val="16"/>
          <w:szCs w:val="24"/>
        </w:rPr>
        <w:t xml:space="preserve"> </w:t>
      </w:r>
      <w:r w:rsidRPr="00CA3946">
        <w:rPr>
          <w:rFonts w:ascii="Calibri" w:hAnsi="Calibri" w:cs="Calibri"/>
          <w:b/>
          <w:bCs/>
          <w:noProof/>
          <w:sz w:val="16"/>
          <w:szCs w:val="24"/>
        </w:rPr>
        <w:t>1994</w:t>
      </w:r>
      <w:r w:rsidRPr="00CA3946">
        <w:rPr>
          <w:rFonts w:ascii="Calibri" w:hAnsi="Calibri" w:cs="Calibri"/>
          <w:noProof/>
          <w:sz w:val="16"/>
          <w:szCs w:val="24"/>
        </w:rPr>
        <w:t xml:space="preserve">, </w:t>
      </w:r>
      <w:r w:rsidRPr="00CA3946">
        <w:rPr>
          <w:rFonts w:ascii="Calibri" w:hAnsi="Calibri" w:cs="Calibri"/>
          <w:i/>
          <w:iCs/>
          <w:noProof/>
          <w:sz w:val="16"/>
          <w:szCs w:val="24"/>
        </w:rPr>
        <w:t>12</w:t>
      </w:r>
      <w:r w:rsidRPr="00CA3946">
        <w:rPr>
          <w:rFonts w:ascii="Calibri" w:hAnsi="Calibri" w:cs="Calibri"/>
          <w:noProof/>
          <w:sz w:val="16"/>
          <w:szCs w:val="24"/>
        </w:rPr>
        <w:t xml:space="preserve"> (4), 2114–2118. https://doi.org/10.1116/1.579146.</w:t>
      </w:r>
    </w:p>
    <w:p w14:paraId="48324793"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(45) </w:t>
      </w:r>
      <w:r w:rsidRPr="00CA3946">
        <w:rPr>
          <w:rFonts w:ascii="Calibri" w:hAnsi="Calibri" w:cs="Calibri"/>
          <w:noProof/>
          <w:sz w:val="16"/>
          <w:szCs w:val="24"/>
        </w:rPr>
        <w:tab/>
        <w:t xml:space="preserve">Hadjiivanov, K. I.; Vayssilov, G. N. Characterization of Oxide Surfaces and Zeolites by Carbon Monoxide as an IR Probe Molecule. In </w:t>
      </w:r>
      <w:r w:rsidRPr="00CA3946">
        <w:rPr>
          <w:rFonts w:ascii="Calibri" w:hAnsi="Calibri" w:cs="Calibri"/>
          <w:i/>
          <w:iCs/>
          <w:noProof/>
          <w:sz w:val="16"/>
          <w:szCs w:val="24"/>
        </w:rPr>
        <w:t>Advances in Catalysis</w:t>
      </w:r>
      <w:r w:rsidRPr="00CA3946">
        <w:rPr>
          <w:rFonts w:ascii="Calibri" w:hAnsi="Calibri" w:cs="Calibri"/>
          <w:noProof/>
          <w:sz w:val="16"/>
          <w:szCs w:val="24"/>
        </w:rPr>
        <w:t>; Academic Press, 2002; Vol. 47, pp 307–511. https://doi.org/10.1016/S0360-0564(02)47008-3.</w:t>
      </w:r>
    </w:p>
    <w:p w14:paraId="4BF0A593"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(46) </w:t>
      </w:r>
      <w:r w:rsidRPr="00CA3946">
        <w:rPr>
          <w:rFonts w:ascii="Calibri" w:hAnsi="Calibri" w:cs="Calibri"/>
          <w:noProof/>
          <w:sz w:val="16"/>
          <w:szCs w:val="24"/>
        </w:rPr>
        <w:tab/>
        <w:t xml:space="preserve">Wang, S.; Vorotnikov, V.; Vlachos, D. G. Coverage-Induced Conformational Effects on Activity and Selectivity: Hydrogenation and Decarbonylation of Furfural on Pd(111).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2015</w:t>
      </w:r>
      <w:r w:rsidRPr="00CA3946">
        <w:rPr>
          <w:rFonts w:ascii="Calibri" w:hAnsi="Calibri" w:cs="Calibri"/>
          <w:noProof/>
          <w:sz w:val="16"/>
          <w:szCs w:val="24"/>
        </w:rPr>
        <w:t xml:space="preserve">, </w:t>
      </w:r>
      <w:r w:rsidRPr="00CA3946">
        <w:rPr>
          <w:rFonts w:ascii="Calibri" w:hAnsi="Calibri" w:cs="Calibri"/>
          <w:i/>
          <w:iCs/>
          <w:noProof/>
          <w:sz w:val="16"/>
          <w:szCs w:val="24"/>
        </w:rPr>
        <w:t>5</w:t>
      </w:r>
      <w:r w:rsidRPr="00CA3946">
        <w:rPr>
          <w:rFonts w:ascii="Calibri" w:hAnsi="Calibri" w:cs="Calibri"/>
          <w:noProof/>
          <w:sz w:val="16"/>
          <w:szCs w:val="24"/>
        </w:rPr>
        <w:t xml:space="preserve"> (1), 104–112. https://doi.org/10.1021/cs5015145.</w:t>
      </w:r>
    </w:p>
    <w:p w14:paraId="6A0CC3B4"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(47) </w:t>
      </w:r>
      <w:r w:rsidRPr="00CA3946">
        <w:rPr>
          <w:rFonts w:ascii="Calibri" w:hAnsi="Calibri" w:cs="Calibri"/>
          <w:noProof/>
          <w:sz w:val="16"/>
          <w:szCs w:val="24"/>
        </w:rPr>
        <w:tab/>
        <w:t xml:space="preserve">Vorotnikov, V.; Mpourmpakis, G.; Vlachos, D. G. DFT Study of Furfural Conversion to Furan, Furfuryl Alcohol, and 2-Methylfuran on Pd(111). </w:t>
      </w:r>
      <w:r w:rsidRPr="00CA3946">
        <w:rPr>
          <w:rFonts w:ascii="Calibri" w:hAnsi="Calibri" w:cs="Calibri"/>
          <w:i/>
          <w:iCs/>
          <w:noProof/>
          <w:sz w:val="16"/>
          <w:szCs w:val="24"/>
        </w:rPr>
        <w:t>ACS Catal.</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2</w:t>
      </w:r>
      <w:r w:rsidRPr="00CA3946">
        <w:rPr>
          <w:rFonts w:ascii="Calibri" w:hAnsi="Calibri" w:cs="Calibri"/>
          <w:noProof/>
          <w:sz w:val="16"/>
          <w:szCs w:val="24"/>
        </w:rPr>
        <w:t xml:space="preserve"> (12), 2496–2504. https://doi.org/10.1021/cs300395a.</w:t>
      </w:r>
    </w:p>
    <w:p w14:paraId="06BCBF4A"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lang w:val="fr-FR"/>
        </w:rPr>
      </w:pPr>
      <w:r w:rsidRPr="00CA3946">
        <w:rPr>
          <w:rFonts w:ascii="Calibri" w:hAnsi="Calibri" w:cs="Calibri"/>
          <w:noProof/>
          <w:sz w:val="16"/>
          <w:szCs w:val="24"/>
        </w:rPr>
        <w:t xml:space="preserve">(48) </w:t>
      </w:r>
      <w:r w:rsidRPr="00CA3946">
        <w:rPr>
          <w:rFonts w:ascii="Calibri" w:hAnsi="Calibri" w:cs="Calibri"/>
          <w:noProof/>
          <w:sz w:val="16"/>
          <w:szCs w:val="24"/>
        </w:rPr>
        <w:tab/>
        <w:t xml:space="preserve">Liu, B.; Cheng, L.; Curtiss, L.; Greeley, J. Effects of van Der Waals Density Functional Corrections on Trends in Furfural Adsorption and Hydrogenation on Close-Packed Transition Metal Surfaces. </w:t>
      </w:r>
      <w:r w:rsidRPr="00CA3946">
        <w:rPr>
          <w:rFonts w:ascii="Calibri" w:hAnsi="Calibri" w:cs="Calibri"/>
          <w:i/>
          <w:iCs/>
          <w:noProof/>
          <w:sz w:val="16"/>
          <w:szCs w:val="24"/>
          <w:lang w:val="fr-FR"/>
        </w:rPr>
        <w:t>Surf. Sci.</w:t>
      </w:r>
      <w:r w:rsidRPr="00CA3946">
        <w:rPr>
          <w:rFonts w:ascii="Calibri" w:hAnsi="Calibri" w:cs="Calibri"/>
          <w:noProof/>
          <w:sz w:val="16"/>
          <w:szCs w:val="24"/>
          <w:lang w:val="fr-FR"/>
        </w:rPr>
        <w:t xml:space="preserve"> </w:t>
      </w:r>
      <w:r w:rsidRPr="00CA3946">
        <w:rPr>
          <w:rFonts w:ascii="Calibri" w:hAnsi="Calibri" w:cs="Calibri"/>
          <w:b/>
          <w:bCs/>
          <w:noProof/>
          <w:sz w:val="16"/>
          <w:szCs w:val="24"/>
          <w:lang w:val="fr-FR"/>
        </w:rPr>
        <w:t>2014</w:t>
      </w:r>
      <w:r w:rsidRPr="00CA3946">
        <w:rPr>
          <w:rFonts w:ascii="Calibri" w:hAnsi="Calibri" w:cs="Calibri"/>
          <w:noProof/>
          <w:sz w:val="16"/>
          <w:szCs w:val="24"/>
          <w:lang w:val="fr-FR"/>
        </w:rPr>
        <w:t xml:space="preserve">, </w:t>
      </w:r>
      <w:r w:rsidRPr="00CA3946">
        <w:rPr>
          <w:rFonts w:ascii="Calibri" w:hAnsi="Calibri" w:cs="Calibri"/>
          <w:i/>
          <w:iCs/>
          <w:noProof/>
          <w:sz w:val="16"/>
          <w:szCs w:val="24"/>
          <w:lang w:val="fr-FR"/>
        </w:rPr>
        <w:t>622</w:t>
      </w:r>
      <w:r w:rsidRPr="00CA3946">
        <w:rPr>
          <w:rFonts w:ascii="Calibri" w:hAnsi="Calibri" w:cs="Calibri"/>
          <w:noProof/>
          <w:sz w:val="16"/>
          <w:szCs w:val="24"/>
          <w:lang w:val="fr-FR"/>
        </w:rPr>
        <w:t xml:space="preserve">, 51–59. </w:t>
      </w:r>
      <w:r w:rsidRPr="00CA3946">
        <w:rPr>
          <w:rFonts w:ascii="Calibri" w:hAnsi="Calibri" w:cs="Calibri"/>
          <w:noProof/>
          <w:sz w:val="16"/>
          <w:szCs w:val="24"/>
          <w:lang w:val="fr-FR"/>
        </w:rPr>
        <w:lastRenderedPageBreak/>
        <w:t>https://doi.org/https://doi.org/10.1016/j.susc.2013.12.001.</w:t>
      </w:r>
    </w:p>
    <w:p w14:paraId="120326C5"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(49) </w:t>
      </w:r>
      <w:r w:rsidRPr="00CA3946">
        <w:rPr>
          <w:rFonts w:ascii="Calibri" w:hAnsi="Calibri" w:cs="Calibri"/>
          <w:noProof/>
          <w:sz w:val="16"/>
          <w:szCs w:val="24"/>
        </w:rPr>
        <w:tab/>
        <w:t xml:space="preserve">Huang, X.; Ouyang, X.; Hendriks, B. M. S.; Gonzalez, O. M. M.; Zhu, J.; Korányi, T. I.; Boot, M. D.; Hensen, E. J. M. Selective Production of Mono-Aromatics from Lignocellulose over Pd/C Catalyst: The Influence of Acid Co-Catalysts. </w:t>
      </w:r>
      <w:r w:rsidRPr="00CA3946">
        <w:rPr>
          <w:rFonts w:ascii="Calibri" w:hAnsi="Calibri" w:cs="Calibri"/>
          <w:i/>
          <w:iCs/>
          <w:noProof/>
          <w:sz w:val="16"/>
          <w:szCs w:val="24"/>
        </w:rPr>
        <w:t>Faraday Discuss.</w:t>
      </w:r>
      <w:r w:rsidRPr="00CA3946">
        <w:rPr>
          <w:rFonts w:ascii="Calibri" w:hAnsi="Calibri" w:cs="Calibri"/>
          <w:noProof/>
          <w:sz w:val="16"/>
          <w:szCs w:val="24"/>
        </w:rPr>
        <w:t xml:space="preserve"> </w:t>
      </w:r>
      <w:r w:rsidRPr="00CA3946">
        <w:rPr>
          <w:rFonts w:ascii="Calibri" w:hAnsi="Calibri" w:cs="Calibri"/>
          <w:b/>
          <w:bCs/>
          <w:noProof/>
          <w:sz w:val="16"/>
          <w:szCs w:val="24"/>
        </w:rPr>
        <w:t>2017</w:t>
      </w:r>
      <w:r w:rsidRPr="00CA3946">
        <w:rPr>
          <w:rFonts w:ascii="Calibri" w:hAnsi="Calibri" w:cs="Calibri"/>
          <w:noProof/>
          <w:sz w:val="16"/>
          <w:szCs w:val="24"/>
        </w:rPr>
        <w:t xml:space="preserve">, </w:t>
      </w:r>
      <w:r w:rsidRPr="00CA3946">
        <w:rPr>
          <w:rFonts w:ascii="Calibri" w:hAnsi="Calibri" w:cs="Calibri"/>
          <w:i/>
          <w:iCs/>
          <w:noProof/>
          <w:sz w:val="16"/>
          <w:szCs w:val="24"/>
        </w:rPr>
        <w:t>202</w:t>
      </w:r>
      <w:r w:rsidRPr="00CA3946">
        <w:rPr>
          <w:rFonts w:ascii="Calibri" w:hAnsi="Calibri" w:cs="Calibri"/>
          <w:noProof/>
          <w:sz w:val="16"/>
          <w:szCs w:val="24"/>
        </w:rPr>
        <w:t>, 141–156. https://doi.org/10.1039/c7fd00039a.</w:t>
      </w:r>
    </w:p>
    <w:p w14:paraId="1DF2FF7A"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(50) </w:t>
      </w:r>
      <w:r w:rsidRPr="00CA3946">
        <w:rPr>
          <w:rFonts w:ascii="Calibri" w:hAnsi="Calibri" w:cs="Calibri"/>
          <w:noProof/>
          <w:sz w:val="16"/>
          <w:szCs w:val="24"/>
        </w:rPr>
        <w:tab/>
        <w:t xml:space="preserve">Chutia, A.; Thetford, A.; Stamatakis, M.; Catlow, C. R. A. A DFT and KMC Based Study on the Mechanism of Water Gas Shift Reaction on Pd(100) Surface. </w:t>
      </w:r>
      <w:r w:rsidRPr="00CA3946">
        <w:rPr>
          <w:rFonts w:ascii="Calibri" w:hAnsi="Calibri" w:cs="Calibri"/>
          <w:i/>
          <w:iCs/>
          <w:noProof/>
          <w:sz w:val="16"/>
          <w:szCs w:val="24"/>
        </w:rPr>
        <w:t>Phys. Chem. Chem. Phys.</w:t>
      </w:r>
      <w:r w:rsidRPr="00CA3946">
        <w:rPr>
          <w:rFonts w:ascii="Calibri" w:hAnsi="Calibri" w:cs="Calibri"/>
          <w:noProof/>
          <w:sz w:val="16"/>
          <w:szCs w:val="24"/>
        </w:rPr>
        <w:t xml:space="preserve"> </w:t>
      </w:r>
      <w:r w:rsidRPr="00CA3946">
        <w:rPr>
          <w:rFonts w:ascii="Calibri" w:hAnsi="Calibri" w:cs="Calibri"/>
          <w:b/>
          <w:bCs/>
          <w:noProof/>
          <w:sz w:val="16"/>
          <w:szCs w:val="24"/>
        </w:rPr>
        <w:t>2020</w:t>
      </w:r>
      <w:r w:rsidRPr="00CA3946">
        <w:rPr>
          <w:rFonts w:ascii="Calibri" w:hAnsi="Calibri" w:cs="Calibri"/>
          <w:noProof/>
          <w:sz w:val="16"/>
          <w:szCs w:val="24"/>
        </w:rPr>
        <w:t xml:space="preserve">, </w:t>
      </w:r>
      <w:r w:rsidRPr="00CA3946">
        <w:rPr>
          <w:rFonts w:ascii="Calibri" w:hAnsi="Calibri" w:cs="Calibri"/>
          <w:i/>
          <w:iCs/>
          <w:noProof/>
          <w:sz w:val="16"/>
          <w:szCs w:val="24"/>
        </w:rPr>
        <w:t>19</w:t>
      </w:r>
      <w:r w:rsidRPr="00CA3946">
        <w:rPr>
          <w:rFonts w:ascii="Calibri" w:hAnsi="Calibri" w:cs="Calibri"/>
          <w:noProof/>
          <w:sz w:val="16"/>
          <w:szCs w:val="24"/>
        </w:rPr>
        <w:t>. https://doi.org/10.1039/C9CP05476F.</w:t>
      </w:r>
    </w:p>
    <w:p w14:paraId="0E3FAFBC"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(51) </w:t>
      </w:r>
      <w:r w:rsidRPr="00CA3946">
        <w:rPr>
          <w:rFonts w:ascii="Calibri" w:hAnsi="Calibri" w:cs="Calibri"/>
          <w:noProof/>
          <w:sz w:val="16"/>
          <w:szCs w:val="24"/>
        </w:rPr>
        <w:tab/>
        <w:t>McCaulley, J. A. Temperature Dependence of the Pd K-Edge Extended x-Ray-Absorption Fine Structure of PdCx (X</w:t>
      </w:r>
      <w:r w:rsidRPr="00CA3946">
        <w:rPr>
          <w:rFonts w:ascii="Cambria Math" w:hAnsi="Cambria Math" w:cs="Cambria Math"/>
          <w:noProof/>
          <w:sz w:val="16"/>
          <w:szCs w:val="24"/>
        </w:rPr>
        <w:t>∼</w:t>
      </w:r>
      <w:r w:rsidRPr="00CA3946">
        <w:rPr>
          <w:rFonts w:ascii="Calibri" w:hAnsi="Calibri" w:cs="Calibri"/>
          <w:noProof/>
          <w:sz w:val="16"/>
          <w:szCs w:val="24"/>
        </w:rPr>
        <w:t xml:space="preserve">0.13). </w:t>
      </w:r>
      <w:r w:rsidRPr="00CA3946">
        <w:rPr>
          <w:rFonts w:ascii="Calibri" w:hAnsi="Calibri" w:cs="Calibri"/>
          <w:i/>
          <w:iCs/>
          <w:noProof/>
          <w:sz w:val="16"/>
          <w:szCs w:val="24"/>
        </w:rPr>
        <w:t>Phys. Rev. B</w:t>
      </w:r>
      <w:r w:rsidRPr="00CA3946">
        <w:rPr>
          <w:rFonts w:ascii="Calibri" w:hAnsi="Calibri" w:cs="Calibri"/>
          <w:noProof/>
          <w:sz w:val="16"/>
          <w:szCs w:val="24"/>
        </w:rPr>
        <w:t xml:space="preserve"> </w:t>
      </w:r>
      <w:r w:rsidRPr="00CA3946">
        <w:rPr>
          <w:rFonts w:ascii="Calibri" w:hAnsi="Calibri" w:cs="Calibri"/>
          <w:b/>
          <w:bCs/>
          <w:noProof/>
          <w:sz w:val="16"/>
          <w:szCs w:val="24"/>
        </w:rPr>
        <w:t>1993</w:t>
      </w:r>
      <w:r w:rsidRPr="00CA3946">
        <w:rPr>
          <w:rFonts w:ascii="Calibri" w:hAnsi="Calibri" w:cs="Calibri"/>
          <w:noProof/>
          <w:sz w:val="16"/>
          <w:szCs w:val="24"/>
        </w:rPr>
        <w:t xml:space="preserve">, </w:t>
      </w:r>
      <w:r w:rsidRPr="00CA3946">
        <w:rPr>
          <w:rFonts w:ascii="Calibri" w:hAnsi="Calibri" w:cs="Calibri"/>
          <w:i/>
          <w:iCs/>
          <w:noProof/>
          <w:sz w:val="16"/>
          <w:szCs w:val="24"/>
        </w:rPr>
        <w:t>47</w:t>
      </w:r>
      <w:r w:rsidRPr="00CA3946">
        <w:rPr>
          <w:rFonts w:ascii="Calibri" w:hAnsi="Calibri" w:cs="Calibri"/>
          <w:noProof/>
          <w:sz w:val="16"/>
          <w:szCs w:val="24"/>
        </w:rPr>
        <w:t xml:space="preserve"> (9), 4873–4879. https://doi.org/10.1103/PhysRevB.47.4873.</w:t>
      </w:r>
    </w:p>
    <w:p w14:paraId="3C456C8E"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(52) </w:t>
      </w:r>
      <w:r w:rsidRPr="00CA3946">
        <w:rPr>
          <w:rFonts w:ascii="Calibri" w:hAnsi="Calibri" w:cs="Calibri"/>
          <w:noProof/>
          <w:sz w:val="16"/>
          <w:szCs w:val="24"/>
        </w:rPr>
        <w:tab/>
        <w:t xml:space="preserve">Wells, P. P.; Crabb, E. M.; King, C. R.; Wiltshire, R.; Billsborrow, B.; Thompsett, D.; Russell, A. E. Preparation, Structure, and Stability of Pt and Pd Monolayer Modified Pd and Pt Electrocatalysts. </w:t>
      </w:r>
      <w:r w:rsidRPr="00CA3946">
        <w:rPr>
          <w:rFonts w:ascii="Calibri" w:hAnsi="Calibri" w:cs="Calibri"/>
          <w:i/>
          <w:iCs/>
          <w:noProof/>
          <w:sz w:val="16"/>
          <w:szCs w:val="24"/>
        </w:rPr>
        <w:t>Phys. Chem. Chem. Phys.</w:t>
      </w:r>
      <w:r w:rsidRPr="00CA3946">
        <w:rPr>
          <w:rFonts w:ascii="Calibri" w:hAnsi="Calibri" w:cs="Calibri"/>
          <w:noProof/>
          <w:sz w:val="16"/>
          <w:szCs w:val="24"/>
        </w:rPr>
        <w:t xml:space="preserve"> </w:t>
      </w:r>
      <w:r w:rsidRPr="00CA3946">
        <w:rPr>
          <w:rFonts w:ascii="Calibri" w:hAnsi="Calibri" w:cs="Calibri"/>
          <w:b/>
          <w:bCs/>
          <w:noProof/>
          <w:sz w:val="16"/>
          <w:szCs w:val="24"/>
        </w:rPr>
        <w:t>2009</w:t>
      </w:r>
      <w:r w:rsidRPr="00CA3946">
        <w:rPr>
          <w:rFonts w:ascii="Calibri" w:hAnsi="Calibri" w:cs="Calibri"/>
          <w:noProof/>
          <w:sz w:val="16"/>
          <w:szCs w:val="24"/>
        </w:rPr>
        <w:t xml:space="preserve">, </w:t>
      </w:r>
      <w:r w:rsidRPr="00CA3946">
        <w:rPr>
          <w:rFonts w:ascii="Calibri" w:hAnsi="Calibri" w:cs="Calibri"/>
          <w:i/>
          <w:iCs/>
          <w:noProof/>
          <w:sz w:val="16"/>
          <w:szCs w:val="24"/>
        </w:rPr>
        <w:t>11</w:t>
      </w:r>
      <w:r w:rsidRPr="00CA3946">
        <w:rPr>
          <w:rFonts w:ascii="Calibri" w:hAnsi="Calibri" w:cs="Calibri"/>
          <w:noProof/>
          <w:sz w:val="16"/>
          <w:szCs w:val="24"/>
        </w:rPr>
        <w:t xml:space="preserve"> (27), 5773–5781. https://doi.org/10.1039/b823504j.</w:t>
      </w:r>
    </w:p>
    <w:p w14:paraId="4E625256"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t xml:space="preserve">(53) </w:t>
      </w:r>
      <w:r w:rsidRPr="00CA3946">
        <w:rPr>
          <w:rFonts w:ascii="Calibri" w:hAnsi="Calibri" w:cs="Calibri"/>
          <w:noProof/>
          <w:sz w:val="16"/>
          <w:szCs w:val="24"/>
        </w:rPr>
        <w:tab/>
        <w:t xml:space="preserve">Dann, E. K.; Gibson, E. K.; Blackmore, R. H.; Catlow, C. R. A.; Collier, P.; Chutia, A.; Erden, T. E.; Hardacre, C.; Kroner, A.; Nachtegaal, M.; et al. Structural Selectivity of Supported Pd Nanoparticles for Catalytic NH 3 Oxidation Resolved Using Combined Operando Spectroscopy. </w:t>
      </w:r>
      <w:r w:rsidRPr="00CA3946">
        <w:rPr>
          <w:rFonts w:ascii="Calibri" w:hAnsi="Calibri" w:cs="Calibri"/>
          <w:i/>
          <w:iCs/>
          <w:noProof/>
          <w:sz w:val="16"/>
          <w:szCs w:val="24"/>
        </w:rPr>
        <w:t>Nat. Catal.</w:t>
      </w:r>
      <w:r w:rsidRPr="00CA3946">
        <w:rPr>
          <w:rFonts w:ascii="Calibri" w:hAnsi="Calibri" w:cs="Calibri"/>
          <w:noProof/>
          <w:sz w:val="16"/>
          <w:szCs w:val="24"/>
        </w:rPr>
        <w:t xml:space="preserve"> </w:t>
      </w:r>
      <w:r w:rsidRPr="00CA3946">
        <w:rPr>
          <w:rFonts w:ascii="Calibri" w:hAnsi="Calibri" w:cs="Calibri"/>
          <w:b/>
          <w:bCs/>
          <w:noProof/>
          <w:sz w:val="16"/>
          <w:szCs w:val="24"/>
        </w:rPr>
        <w:t>2019</w:t>
      </w:r>
      <w:r w:rsidRPr="00CA3946">
        <w:rPr>
          <w:rFonts w:ascii="Calibri" w:hAnsi="Calibri" w:cs="Calibri"/>
          <w:noProof/>
          <w:sz w:val="16"/>
          <w:szCs w:val="24"/>
        </w:rPr>
        <w:t xml:space="preserve">, </w:t>
      </w:r>
      <w:r w:rsidRPr="00CA3946">
        <w:rPr>
          <w:rFonts w:ascii="Calibri" w:hAnsi="Calibri" w:cs="Calibri"/>
          <w:i/>
          <w:iCs/>
          <w:noProof/>
          <w:sz w:val="16"/>
          <w:szCs w:val="24"/>
        </w:rPr>
        <w:t>2</w:t>
      </w:r>
      <w:r w:rsidRPr="00CA3946">
        <w:rPr>
          <w:rFonts w:ascii="Calibri" w:hAnsi="Calibri" w:cs="Calibri"/>
          <w:noProof/>
          <w:sz w:val="16"/>
          <w:szCs w:val="24"/>
        </w:rPr>
        <w:t xml:space="preserve"> (2), 157–163. https://doi.org/10.1038/s41929-018-0213-3.</w:t>
      </w:r>
    </w:p>
    <w:p w14:paraId="2CFD8369" w14:textId="77777777" w:rsidR="006625C0" w:rsidRPr="00CA3946" w:rsidRDefault="006625C0" w:rsidP="006625C0">
      <w:pPr>
        <w:widowControl w:val="0"/>
        <w:autoSpaceDE w:val="0"/>
        <w:autoSpaceDN w:val="0"/>
        <w:adjustRightInd w:val="0"/>
        <w:spacing w:after="0"/>
        <w:ind w:left="640" w:hanging="640"/>
        <w:rPr>
          <w:rFonts w:ascii="Calibri" w:hAnsi="Calibri" w:cs="Calibri"/>
          <w:noProof/>
          <w:sz w:val="16"/>
        </w:rPr>
      </w:pPr>
      <w:r w:rsidRPr="00CA3946">
        <w:rPr>
          <w:rFonts w:ascii="Calibri" w:hAnsi="Calibri" w:cs="Calibri"/>
          <w:noProof/>
          <w:sz w:val="16"/>
          <w:szCs w:val="24"/>
        </w:rPr>
        <w:t xml:space="preserve">(54) </w:t>
      </w:r>
      <w:r w:rsidRPr="00CA3946">
        <w:rPr>
          <w:rFonts w:ascii="Calibri" w:hAnsi="Calibri" w:cs="Calibri"/>
          <w:noProof/>
          <w:sz w:val="16"/>
          <w:szCs w:val="24"/>
        </w:rPr>
        <w:tab/>
        <w:t xml:space="preserve">Armbrüster, M.; Behrens, M.; Cinquini, F.; Föttinger, K.; Grin, Y.; Haghofer, A.; Klötzer, B.; Knop-Gericke, A.; Lorenz, H.; Ota, A.; et al. How to Control the Selectivity of Palladium-Based Catalysts in Hydrogenation Reactions: The Role of Subsurface Chemistry. </w:t>
      </w:r>
      <w:r w:rsidRPr="00CA3946">
        <w:rPr>
          <w:rFonts w:ascii="Calibri" w:hAnsi="Calibri" w:cs="Calibri"/>
          <w:i/>
          <w:iCs/>
          <w:noProof/>
          <w:sz w:val="16"/>
          <w:szCs w:val="24"/>
        </w:rPr>
        <w:t>ChemCatChem</w:t>
      </w:r>
      <w:r w:rsidRPr="00CA3946">
        <w:rPr>
          <w:rFonts w:ascii="Calibri" w:hAnsi="Calibri" w:cs="Calibri"/>
          <w:noProof/>
          <w:sz w:val="16"/>
          <w:szCs w:val="24"/>
        </w:rPr>
        <w:t xml:space="preserve"> </w:t>
      </w:r>
      <w:r w:rsidRPr="00CA3946">
        <w:rPr>
          <w:rFonts w:ascii="Calibri" w:hAnsi="Calibri" w:cs="Calibri"/>
          <w:b/>
          <w:bCs/>
          <w:noProof/>
          <w:sz w:val="16"/>
          <w:szCs w:val="24"/>
        </w:rPr>
        <w:t>2012</w:t>
      </w:r>
      <w:r w:rsidRPr="00CA3946">
        <w:rPr>
          <w:rFonts w:ascii="Calibri" w:hAnsi="Calibri" w:cs="Calibri"/>
          <w:noProof/>
          <w:sz w:val="16"/>
          <w:szCs w:val="24"/>
        </w:rPr>
        <w:t xml:space="preserve">, </w:t>
      </w:r>
      <w:r w:rsidRPr="00CA3946">
        <w:rPr>
          <w:rFonts w:ascii="Calibri" w:hAnsi="Calibri" w:cs="Calibri"/>
          <w:i/>
          <w:iCs/>
          <w:noProof/>
          <w:sz w:val="16"/>
          <w:szCs w:val="24"/>
        </w:rPr>
        <w:t>4</w:t>
      </w:r>
      <w:r w:rsidRPr="00CA3946">
        <w:rPr>
          <w:rFonts w:ascii="Calibri" w:hAnsi="Calibri" w:cs="Calibri"/>
          <w:noProof/>
          <w:sz w:val="16"/>
          <w:szCs w:val="24"/>
        </w:rPr>
        <w:t xml:space="preserve"> (8), 1048–1063. https://doi.org/10.1002/cctc.201200100.</w:t>
      </w:r>
    </w:p>
    <w:p w14:paraId="2F35794D" w14:textId="77777777" w:rsidR="0078422A" w:rsidRPr="00CA3946" w:rsidRDefault="00676AA9" w:rsidP="00676AA9">
      <w:pPr>
        <w:widowControl w:val="0"/>
        <w:autoSpaceDE w:val="0"/>
        <w:autoSpaceDN w:val="0"/>
        <w:adjustRightInd w:val="0"/>
        <w:spacing w:after="0"/>
        <w:ind w:left="640" w:hanging="640"/>
        <w:rPr>
          <w:rFonts w:ascii="Calibri" w:hAnsi="Calibri" w:cs="Calibri"/>
          <w:noProof/>
          <w:sz w:val="16"/>
          <w:szCs w:val="24"/>
        </w:rPr>
      </w:pPr>
      <w:r w:rsidRPr="00CA3946">
        <w:rPr>
          <w:rFonts w:ascii="Calibri" w:hAnsi="Calibri" w:cs="Calibri"/>
          <w:noProof/>
          <w:sz w:val="16"/>
          <w:szCs w:val="24"/>
        </w:rPr>
        <w:fldChar w:fldCharType="end"/>
      </w:r>
    </w:p>
    <w:p w14:paraId="317B464E" w14:textId="77777777" w:rsidR="00DD29EF" w:rsidRPr="00F664B4" w:rsidRDefault="000D2D84" w:rsidP="00C40FBB">
      <w:pPr>
        <w:pStyle w:val="SNSynopsisTOC"/>
        <w:sectPr w:rsidR="00DD29EF" w:rsidRPr="00F664B4" w:rsidSect="00984F9E">
          <w:type w:val="continuous"/>
          <w:pgSz w:w="12240" w:h="15840"/>
          <w:pgMar w:top="720" w:right="1094" w:bottom="720" w:left="1094" w:header="720" w:footer="720" w:gutter="0"/>
          <w:cols w:num="2" w:space="461"/>
        </w:sectPr>
      </w:pPr>
      <w:r w:rsidRPr="00F664B4">
        <w:br w:type="page"/>
      </w:r>
    </w:p>
    <w:p w14:paraId="6144F52D" w14:textId="77777777" w:rsidR="00A66EDD" w:rsidRPr="00CA3946" w:rsidRDefault="00A66EDD" w:rsidP="00D45965">
      <w:pPr>
        <w:pBdr>
          <w:bottom w:val="single" w:sz="4" w:space="1" w:color="auto"/>
        </w:pBdr>
        <w:spacing w:after="240"/>
        <w:jc w:val="center"/>
        <w:rPr>
          <w:rFonts w:ascii="Arno Pro" w:hAnsi="Arno Pro"/>
        </w:rPr>
      </w:pPr>
      <w:r w:rsidRPr="00CA3946">
        <w:rPr>
          <w:rFonts w:ascii="Arno Pro" w:hAnsi="Arno Pro"/>
        </w:rPr>
        <w:lastRenderedPageBreak/>
        <w:t>Insert Table of Contents artwork here</w:t>
      </w:r>
    </w:p>
    <w:p w14:paraId="2D7EAD32" w14:textId="47831A13" w:rsidR="00D45965" w:rsidRPr="00C45E7B" w:rsidRDefault="007C7C4B" w:rsidP="00D45965">
      <w:pPr>
        <w:spacing w:after="240"/>
        <w:jc w:val="center"/>
        <w:rPr>
          <w:rFonts w:ascii="Arno Pro" w:hAnsi="Arno Pro"/>
        </w:rPr>
      </w:pPr>
      <w:r w:rsidRPr="00CA3946">
        <w:rPr>
          <w:rFonts w:ascii="Arno Pro" w:hAnsi="Arno Pro"/>
          <w:noProof/>
          <w:lang w:val="en-GB" w:eastAsia="en-GB"/>
        </w:rPr>
        <w:drawing>
          <wp:inline distT="0" distB="0" distL="0" distR="0" wp14:anchorId="0B8C2EDC" wp14:editId="7A76AEAE">
            <wp:extent cx="6383020" cy="352107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22">
                      <a:extLst>
                        <a:ext uri="{28A0092B-C50C-407E-A947-70E740481C1C}">
                          <a14:useLocalDpi xmlns:a14="http://schemas.microsoft.com/office/drawing/2010/main" val="0"/>
                        </a:ext>
                      </a:extLst>
                    </a:blip>
                    <a:stretch>
                      <a:fillRect/>
                    </a:stretch>
                  </pic:blipFill>
                  <pic:spPr>
                    <a:xfrm>
                      <a:off x="0" y="0"/>
                      <a:ext cx="6383020" cy="3521075"/>
                    </a:xfrm>
                    <a:prstGeom prst="rect">
                      <a:avLst/>
                    </a:prstGeom>
                  </pic:spPr>
                </pic:pic>
              </a:graphicData>
            </a:graphic>
          </wp:inline>
        </w:drawing>
      </w:r>
    </w:p>
    <w:sectPr w:rsidR="00D45965" w:rsidRPr="00C45E7B" w:rsidSect="00984F9E">
      <w:headerReference w:type="even" r:id="rId23"/>
      <w:footerReference w:type="even" r:id="rId24"/>
      <w:footerReference w:type="default" r:id="rId25"/>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BDBAD" w14:textId="77777777" w:rsidR="004A138F" w:rsidRDefault="004A138F">
      <w:r>
        <w:separator/>
      </w:r>
    </w:p>
    <w:p w14:paraId="77076F29" w14:textId="77777777" w:rsidR="004A138F" w:rsidRDefault="004A138F"/>
  </w:endnote>
  <w:endnote w:type="continuationSeparator" w:id="0">
    <w:p w14:paraId="08B146D6" w14:textId="77777777" w:rsidR="004A138F" w:rsidRDefault="004A138F">
      <w:r>
        <w:continuationSeparator/>
      </w:r>
    </w:p>
    <w:p w14:paraId="13F736D1" w14:textId="77777777" w:rsidR="004A138F" w:rsidRDefault="004A138F"/>
  </w:endnote>
  <w:endnote w:type="continuationNotice" w:id="1">
    <w:p w14:paraId="7FB7F697" w14:textId="77777777" w:rsidR="004A138F" w:rsidRDefault="004A13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13D7AC38-8614-46DA-BC84-2E0B08169818}"/>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fontKey="{3803631A-C54A-4EA6-A0D9-BDADE6F48971}"/>
    <w:embedBold r:id="rId3" w:fontKey="{B353519D-E30E-497C-8A41-3B8A27CC3837}"/>
    <w:embedItalic r:id="rId4" w:fontKey="{4C7C323C-D72E-464B-8F6D-C1BB0C33EE7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Regular r:id="rId5" w:subsetted="1" w:fontKey="{54C7F553-879C-4398-89A2-0EF5E631DE52}"/>
  </w:font>
  <w:font w:name="Constantia">
    <w:panose1 w:val="02030602050306030303"/>
    <w:charset w:val="00"/>
    <w:family w:val="roman"/>
    <w:pitch w:val="variable"/>
    <w:sig w:usb0="A00002EF" w:usb1="4000204B" w:usb2="00000000" w:usb3="00000000" w:csb0="0000019F" w:csb1="00000000"/>
    <w:embedRegular r:id="rId6" w:subsetted="1" w:fontKey="{F7B68191-1C6E-4D1D-B7BC-04DF1522FF6A}"/>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3D115" w14:textId="77777777" w:rsidR="003025BE" w:rsidRDefault="003025BE">
    <w:pPr>
      <w:framePr w:wrap="around" w:vAnchor="text" w:hAnchor="margin" w:xAlign="right" w:y="1"/>
      <w:rPr>
        <w:rStyle w:val="PageNumber"/>
      </w:rPr>
    </w:pPr>
    <w:r>
      <w:rPr>
        <w:rStyle w:val="PageNumber"/>
      </w:rPr>
      <w:t xml:space="preserve">PAGE  </w:t>
    </w:r>
    <w:r>
      <w:rPr>
        <w:rStyle w:val="PageNumber"/>
        <w:noProof/>
      </w:rPr>
      <w:t>2</w:t>
    </w:r>
  </w:p>
  <w:p w14:paraId="7808E413" w14:textId="77777777" w:rsidR="003025BE" w:rsidRDefault="003025BE">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47B7D" w14:textId="77777777" w:rsidR="003025BE" w:rsidRDefault="003025BE">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03F1F" w14:textId="77777777" w:rsidR="003025BE" w:rsidRDefault="003025BE">
    <w:pPr>
      <w:framePr w:wrap="around" w:vAnchor="text" w:hAnchor="margin" w:xAlign="right" w:y="1"/>
      <w:rPr>
        <w:rStyle w:val="PageNumber"/>
      </w:rPr>
    </w:pPr>
    <w:r>
      <w:rPr>
        <w:rStyle w:val="PageNumber"/>
      </w:rPr>
      <w:t xml:space="preserve">PAGE  </w:t>
    </w:r>
    <w:r>
      <w:rPr>
        <w:rStyle w:val="PageNumber"/>
        <w:noProof/>
      </w:rPr>
      <w:t>2</w:t>
    </w:r>
  </w:p>
  <w:p w14:paraId="16B25AFC" w14:textId="77777777" w:rsidR="003025BE" w:rsidRDefault="003025BE">
    <w:pP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579AD" w14:textId="77777777" w:rsidR="003025BE" w:rsidRDefault="003025BE">
    <w:pP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6E1C" w14:textId="77777777" w:rsidR="003025BE" w:rsidRDefault="003025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F0713D9" w14:textId="77777777" w:rsidR="003025BE" w:rsidRDefault="003025BE">
    <w:pPr>
      <w:pStyle w:val="Footer"/>
      <w:ind w:right="360"/>
    </w:pPr>
  </w:p>
  <w:p w14:paraId="6D911FFB" w14:textId="77777777" w:rsidR="003025BE" w:rsidRDefault="003025B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2DFE" w14:textId="3A2CD7A6" w:rsidR="003025BE" w:rsidRDefault="003025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5085">
      <w:rPr>
        <w:rStyle w:val="PageNumber"/>
        <w:noProof/>
      </w:rPr>
      <w:t>12</w:t>
    </w:r>
    <w:r>
      <w:rPr>
        <w:rStyle w:val="PageNumber"/>
      </w:rPr>
      <w:fldChar w:fldCharType="end"/>
    </w:r>
  </w:p>
  <w:p w14:paraId="7A4741E9" w14:textId="77777777" w:rsidR="003025BE" w:rsidRDefault="003025BE">
    <w:pPr>
      <w:pStyle w:val="Footer"/>
      <w:ind w:right="360"/>
    </w:pPr>
  </w:p>
  <w:p w14:paraId="1AB88347" w14:textId="77777777" w:rsidR="003025BE" w:rsidRDefault="003025B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F4568" w14:textId="77777777" w:rsidR="004A138F" w:rsidRDefault="004A138F">
      <w:r>
        <w:separator/>
      </w:r>
    </w:p>
    <w:p w14:paraId="6EE6711C" w14:textId="77777777" w:rsidR="004A138F" w:rsidRDefault="004A138F"/>
  </w:footnote>
  <w:footnote w:type="continuationSeparator" w:id="0">
    <w:p w14:paraId="7C764D6B" w14:textId="77777777" w:rsidR="004A138F" w:rsidRDefault="004A138F">
      <w:r>
        <w:continuationSeparator/>
      </w:r>
    </w:p>
    <w:p w14:paraId="6184FC9A" w14:textId="77777777" w:rsidR="004A138F" w:rsidRDefault="004A138F"/>
  </w:footnote>
  <w:footnote w:type="continuationNotice" w:id="1">
    <w:p w14:paraId="12E9C285" w14:textId="77777777" w:rsidR="004A138F" w:rsidRDefault="004A138F">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03276" w14:textId="77777777" w:rsidR="009F460F" w:rsidRDefault="009F460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EEFDF" w14:textId="77777777" w:rsidR="003025BE" w:rsidRDefault="003025B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DF9"/>
    <w:rsid w:val="00004BA4"/>
    <w:rsid w:val="000201D0"/>
    <w:rsid w:val="0003046A"/>
    <w:rsid w:val="00041602"/>
    <w:rsid w:val="00043296"/>
    <w:rsid w:val="00046652"/>
    <w:rsid w:val="000969AA"/>
    <w:rsid w:val="000A65BB"/>
    <w:rsid w:val="000D2D84"/>
    <w:rsid w:val="000E75E3"/>
    <w:rsid w:val="00101D1F"/>
    <w:rsid w:val="00126E44"/>
    <w:rsid w:val="0013534F"/>
    <w:rsid w:val="001379DD"/>
    <w:rsid w:val="00141659"/>
    <w:rsid w:val="00142489"/>
    <w:rsid w:val="00145075"/>
    <w:rsid w:val="00150C2F"/>
    <w:rsid w:val="0015109A"/>
    <w:rsid w:val="0015632B"/>
    <w:rsid w:val="00157E12"/>
    <w:rsid w:val="00164027"/>
    <w:rsid w:val="0018597C"/>
    <w:rsid w:val="001D0617"/>
    <w:rsid w:val="001D4ED9"/>
    <w:rsid w:val="001E451C"/>
    <w:rsid w:val="00200134"/>
    <w:rsid w:val="002031A2"/>
    <w:rsid w:val="00213005"/>
    <w:rsid w:val="00221D19"/>
    <w:rsid w:val="00223D5F"/>
    <w:rsid w:val="0023787B"/>
    <w:rsid w:val="0024409A"/>
    <w:rsid w:val="002443A7"/>
    <w:rsid w:val="00252BD7"/>
    <w:rsid w:val="002729FB"/>
    <w:rsid w:val="002774D0"/>
    <w:rsid w:val="00284E24"/>
    <w:rsid w:val="0029516B"/>
    <w:rsid w:val="002A30FF"/>
    <w:rsid w:val="002A7098"/>
    <w:rsid w:val="002A7D96"/>
    <w:rsid w:val="002B5085"/>
    <w:rsid w:val="002C3431"/>
    <w:rsid w:val="002D0B8E"/>
    <w:rsid w:val="003025BE"/>
    <w:rsid w:val="00310911"/>
    <w:rsid w:val="00320D30"/>
    <w:rsid w:val="0035002E"/>
    <w:rsid w:val="003547B0"/>
    <w:rsid w:val="00357396"/>
    <w:rsid w:val="00365207"/>
    <w:rsid w:val="003679A1"/>
    <w:rsid w:val="003A0F5F"/>
    <w:rsid w:val="003A2C01"/>
    <w:rsid w:val="003A4718"/>
    <w:rsid w:val="003B4AF3"/>
    <w:rsid w:val="003C2BE3"/>
    <w:rsid w:val="003C7089"/>
    <w:rsid w:val="003D4A1F"/>
    <w:rsid w:val="003E2C42"/>
    <w:rsid w:val="003E5207"/>
    <w:rsid w:val="003E5AF0"/>
    <w:rsid w:val="003F3B53"/>
    <w:rsid w:val="003F74B9"/>
    <w:rsid w:val="00405999"/>
    <w:rsid w:val="0041079D"/>
    <w:rsid w:val="00417E50"/>
    <w:rsid w:val="00422950"/>
    <w:rsid w:val="00427112"/>
    <w:rsid w:val="00431783"/>
    <w:rsid w:val="00446B24"/>
    <w:rsid w:val="00451896"/>
    <w:rsid w:val="004564CF"/>
    <w:rsid w:val="00464C2E"/>
    <w:rsid w:val="004653E1"/>
    <w:rsid w:val="0049449E"/>
    <w:rsid w:val="00496B72"/>
    <w:rsid w:val="004A138F"/>
    <w:rsid w:val="004A742B"/>
    <w:rsid w:val="004B6192"/>
    <w:rsid w:val="004B61B0"/>
    <w:rsid w:val="004C74FC"/>
    <w:rsid w:val="004D1416"/>
    <w:rsid w:val="004E2341"/>
    <w:rsid w:val="004E35E0"/>
    <w:rsid w:val="004F120D"/>
    <w:rsid w:val="004F7EE2"/>
    <w:rsid w:val="005021DF"/>
    <w:rsid w:val="00513C26"/>
    <w:rsid w:val="005327A4"/>
    <w:rsid w:val="005329C7"/>
    <w:rsid w:val="00551789"/>
    <w:rsid w:val="00552A07"/>
    <w:rsid w:val="00570A1F"/>
    <w:rsid w:val="00570BE5"/>
    <w:rsid w:val="0057486A"/>
    <w:rsid w:val="005754B8"/>
    <w:rsid w:val="00575965"/>
    <w:rsid w:val="00584FF1"/>
    <w:rsid w:val="00586630"/>
    <w:rsid w:val="00591A57"/>
    <w:rsid w:val="0059535F"/>
    <w:rsid w:val="00596558"/>
    <w:rsid w:val="005A74EA"/>
    <w:rsid w:val="005B57D6"/>
    <w:rsid w:val="005C0960"/>
    <w:rsid w:val="005D0C10"/>
    <w:rsid w:val="005D2065"/>
    <w:rsid w:val="005D6471"/>
    <w:rsid w:val="005D707E"/>
    <w:rsid w:val="005F5C5C"/>
    <w:rsid w:val="006015D4"/>
    <w:rsid w:val="00602827"/>
    <w:rsid w:val="00604E00"/>
    <w:rsid w:val="00604F23"/>
    <w:rsid w:val="00606CF0"/>
    <w:rsid w:val="00614F2E"/>
    <w:rsid w:val="00616D68"/>
    <w:rsid w:val="00631B3F"/>
    <w:rsid w:val="00631E32"/>
    <w:rsid w:val="006373B4"/>
    <w:rsid w:val="0064353C"/>
    <w:rsid w:val="006532A9"/>
    <w:rsid w:val="006601DB"/>
    <w:rsid w:val="00660FB5"/>
    <w:rsid w:val="006625C0"/>
    <w:rsid w:val="00676AA9"/>
    <w:rsid w:val="00677465"/>
    <w:rsid w:val="0068063B"/>
    <w:rsid w:val="006848F9"/>
    <w:rsid w:val="006917CD"/>
    <w:rsid w:val="00696F3A"/>
    <w:rsid w:val="006B2581"/>
    <w:rsid w:val="006B3D5F"/>
    <w:rsid w:val="006C5E19"/>
    <w:rsid w:val="006D698F"/>
    <w:rsid w:val="006E2407"/>
    <w:rsid w:val="006E6BC5"/>
    <w:rsid w:val="006F268D"/>
    <w:rsid w:val="007009DA"/>
    <w:rsid w:val="007044A6"/>
    <w:rsid w:val="007051F1"/>
    <w:rsid w:val="0071182A"/>
    <w:rsid w:val="007130C0"/>
    <w:rsid w:val="007179F0"/>
    <w:rsid w:val="00722F33"/>
    <w:rsid w:val="00725E67"/>
    <w:rsid w:val="00726BF4"/>
    <w:rsid w:val="007323F9"/>
    <w:rsid w:val="007331FF"/>
    <w:rsid w:val="007356E3"/>
    <w:rsid w:val="00744166"/>
    <w:rsid w:val="007611B2"/>
    <w:rsid w:val="007629D3"/>
    <w:rsid w:val="007633BB"/>
    <w:rsid w:val="00766A80"/>
    <w:rsid w:val="00766C52"/>
    <w:rsid w:val="0077280C"/>
    <w:rsid w:val="0078422A"/>
    <w:rsid w:val="007C1383"/>
    <w:rsid w:val="007C3D47"/>
    <w:rsid w:val="007C7C4B"/>
    <w:rsid w:val="007D1328"/>
    <w:rsid w:val="007E06E1"/>
    <w:rsid w:val="007E0A82"/>
    <w:rsid w:val="007E19EA"/>
    <w:rsid w:val="007E44FD"/>
    <w:rsid w:val="007E479A"/>
    <w:rsid w:val="007E5E33"/>
    <w:rsid w:val="007E5F72"/>
    <w:rsid w:val="007F3FDD"/>
    <w:rsid w:val="007F6792"/>
    <w:rsid w:val="00803489"/>
    <w:rsid w:val="00804420"/>
    <w:rsid w:val="00813EF9"/>
    <w:rsid w:val="0083067B"/>
    <w:rsid w:val="008348A2"/>
    <w:rsid w:val="00835CBD"/>
    <w:rsid w:val="00860F8B"/>
    <w:rsid w:val="00863509"/>
    <w:rsid w:val="00863C5B"/>
    <w:rsid w:val="00865479"/>
    <w:rsid w:val="008655C0"/>
    <w:rsid w:val="00872C0B"/>
    <w:rsid w:val="00877245"/>
    <w:rsid w:val="0088014C"/>
    <w:rsid w:val="008B3498"/>
    <w:rsid w:val="008C3387"/>
    <w:rsid w:val="008C6FC6"/>
    <w:rsid w:val="008D2DFE"/>
    <w:rsid w:val="008D3D15"/>
    <w:rsid w:val="008D567C"/>
    <w:rsid w:val="008F4280"/>
    <w:rsid w:val="008F51DC"/>
    <w:rsid w:val="008F6E07"/>
    <w:rsid w:val="0092037A"/>
    <w:rsid w:val="009246AD"/>
    <w:rsid w:val="00927CDC"/>
    <w:rsid w:val="00950C93"/>
    <w:rsid w:val="00955408"/>
    <w:rsid w:val="00957C0B"/>
    <w:rsid w:val="00962CAE"/>
    <w:rsid w:val="00967927"/>
    <w:rsid w:val="0097007D"/>
    <w:rsid w:val="009746C8"/>
    <w:rsid w:val="00984F9E"/>
    <w:rsid w:val="009A2A82"/>
    <w:rsid w:val="009C1F51"/>
    <w:rsid w:val="009F460F"/>
    <w:rsid w:val="00A02D62"/>
    <w:rsid w:val="00A269C9"/>
    <w:rsid w:val="00A30F9D"/>
    <w:rsid w:val="00A335C7"/>
    <w:rsid w:val="00A444E1"/>
    <w:rsid w:val="00A45322"/>
    <w:rsid w:val="00A460B5"/>
    <w:rsid w:val="00A46C91"/>
    <w:rsid w:val="00A524DC"/>
    <w:rsid w:val="00A5437E"/>
    <w:rsid w:val="00A66999"/>
    <w:rsid w:val="00A66EDD"/>
    <w:rsid w:val="00A71C00"/>
    <w:rsid w:val="00A75222"/>
    <w:rsid w:val="00A960BD"/>
    <w:rsid w:val="00A96DA1"/>
    <w:rsid w:val="00AB786E"/>
    <w:rsid w:val="00AB7DF9"/>
    <w:rsid w:val="00AC1839"/>
    <w:rsid w:val="00AC5F97"/>
    <w:rsid w:val="00AC6438"/>
    <w:rsid w:val="00AC7C01"/>
    <w:rsid w:val="00AE4B97"/>
    <w:rsid w:val="00AF1765"/>
    <w:rsid w:val="00AF2AD1"/>
    <w:rsid w:val="00B05833"/>
    <w:rsid w:val="00B11FFB"/>
    <w:rsid w:val="00B36FD8"/>
    <w:rsid w:val="00B41DCA"/>
    <w:rsid w:val="00B42C29"/>
    <w:rsid w:val="00B47D54"/>
    <w:rsid w:val="00B563D9"/>
    <w:rsid w:val="00B64135"/>
    <w:rsid w:val="00B71491"/>
    <w:rsid w:val="00B7618D"/>
    <w:rsid w:val="00B875D7"/>
    <w:rsid w:val="00B97259"/>
    <w:rsid w:val="00BB1134"/>
    <w:rsid w:val="00BC3E2A"/>
    <w:rsid w:val="00BD0668"/>
    <w:rsid w:val="00BD5122"/>
    <w:rsid w:val="00BD70B2"/>
    <w:rsid w:val="00BE1837"/>
    <w:rsid w:val="00BE533F"/>
    <w:rsid w:val="00C0507A"/>
    <w:rsid w:val="00C06CFC"/>
    <w:rsid w:val="00C10E26"/>
    <w:rsid w:val="00C14362"/>
    <w:rsid w:val="00C168F2"/>
    <w:rsid w:val="00C227BE"/>
    <w:rsid w:val="00C30403"/>
    <w:rsid w:val="00C3489A"/>
    <w:rsid w:val="00C40FBB"/>
    <w:rsid w:val="00C45E7B"/>
    <w:rsid w:val="00C72D78"/>
    <w:rsid w:val="00C76027"/>
    <w:rsid w:val="00C77856"/>
    <w:rsid w:val="00C9140C"/>
    <w:rsid w:val="00C93394"/>
    <w:rsid w:val="00CA15CA"/>
    <w:rsid w:val="00CA3946"/>
    <w:rsid w:val="00CA6C20"/>
    <w:rsid w:val="00CC29C6"/>
    <w:rsid w:val="00CD57DB"/>
    <w:rsid w:val="00CD59CF"/>
    <w:rsid w:val="00CE1C3F"/>
    <w:rsid w:val="00CE1EB9"/>
    <w:rsid w:val="00CE7BC2"/>
    <w:rsid w:val="00CF6234"/>
    <w:rsid w:val="00D02648"/>
    <w:rsid w:val="00D0596F"/>
    <w:rsid w:val="00D13B1B"/>
    <w:rsid w:val="00D24E41"/>
    <w:rsid w:val="00D45965"/>
    <w:rsid w:val="00D53637"/>
    <w:rsid w:val="00D61DBF"/>
    <w:rsid w:val="00D66756"/>
    <w:rsid w:val="00D72DDD"/>
    <w:rsid w:val="00D73480"/>
    <w:rsid w:val="00D772CB"/>
    <w:rsid w:val="00D85114"/>
    <w:rsid w:val="00D86677"/>
    <w:rsid w:val="00D928D2"/>
    <w:rsid w:val="00DB1F84"/>
    <w:rsid w:val="00DB3243"/>
    <w:rsid w:val="00DC08A7"/>
    <w:rsid w:val="00DD1EEC"/>
    <w:rsid w:val="00DD29EF"/>
    <w:rsid w:val="00DD50AD"/>
    <w:rsid w:val="00DE78D2"/>
    <w:rsid w:val="00DF198F"/>
    <w:rsid w:val="00DF59F4"/>
    <w:rsid w:val="00DF683D"/>
    <w:rsid w:val="00E074F2"/>
    <w:rsid w:val="00E10030"/>
    <w:rsid w:val="00E15C9F"/>
    <w:rsid w:val="00E15D24"/>
    <w:rsid w:val="00E1675B"/>
    <w:rsid w:val="00E1727A"/>
    <w:rsid w:val="00E228F1"/>
    <w:rsid w:val="00E2340D"/>
    <w:rsid w:val="00E275A8"/>
    <w:rsid w:val="00E3273D"/>
    <w:rsid w:val="00E32A18"/>
    <w:rsid w:val="00E427CA"/>
    <w:rsid w:val="00E46BD3"/>
    <w:rsid w:val="00E51872"/>
    <w:rsid w:val="00E65825"/>
    <w:rsid w:val="00E75388"/>
    <w:rsid w:val="00E84CB9"/>
    <w:rsid w:val="00E96302"/>
    <w:rsid w:val="00EA282F"/>
    <w:rsid w:val="00EB114A"/>
    <w:rsid w:val="00EE43EE"/>
    <w:rsid w:val="00F103D7"/>
    <w:rsid w:val="00F10E56"/>
    <w:rsid w:val="00F30AEF"/>
    <w:rsid w:val="00F5421E"/>
    <w:rsid w:val="00F55EC7"/>
    <w:rsid w:val="00F64531"/>
    <w:rsid w:val="00F664B4"/>
    <w:rsid w:val="00F8537A"/>
    <w:rsid w:val="00F940D8"/>
    <w:rsid w:val="00F97782"/>
    <w:rsid w:val="00FA2F3E"/>
    <w:rsid w:val="00FA47C6"/>
    <w:rsid w:val="00FB4E00"/>
    <w:rsid w:val="00FB7888"/>
    <w:rsid w:val="00FE61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8D4C1"/>
  <w15:docId w15:val="{8EFA147D-7808-4F98-8B5C-10AA036B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3D4A1F"/>
    <w:pPr>
      <w:spacing w:after="60"/>
      <w:ind w:firstLine="180"/>
    </w:pPr>
    <w:rPr>
      <w:rFonts w:ascii="Arno Pro" w:hAnsi="Arno Pro"/>
      <w:kern w:val="21"/>
      <w:sz w:val="19"/>
    </w:rPr>
  </w:style>
  <w:style w:type="paragraph" w:customStyle="1" w:styleId="BATitle">
    <w:name w:val="BA_Title"/>
    <w:basedOn w:val="Normal"/>
    <w:next w:val="BBAuthorName"/>
    <w:autoRedefine/>
    <w:rsid w:val="009F460F"/>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2774D0"/>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CA6C20"/>
    <w:pPr>
      <w:spacing w:before="200" w:after="120"/>
    </w:pPr>
    <w:rPr>
      <w:rFonts w:ascii="Arno Pro" w:hAnsi="Arno Pro"/>
      <w:b/>
      <w:kern w:val="20"/>
      <w:sz w:val="18"/>
    </w:rPr>
  </w:style>
  <w:style w:type="paragraph" w:customStyle="1" w:styleId="VBChartTitle">
    <w:name w:val="VB_Chart_Title"/>
    <w:basedOn w:val="Normal"/>
    <w:next w:val="Normal"/>
    <w:autoRedefine/>
    <w:rsid w:val="0068063B"/>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3E2C42"/>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3E2C42"/>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68063B"/>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68063B"/>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Heading1Char">
    <w:name w:val="Heading 1 Char"/>
    <w:basedOn w:val="DefaultParagraphFont"/>
    <w:link w:val="Heading1"/>
    <w:rsid w:val="004F7EE2"/>
    <w:rPr>
      <w:rFonts w:ascii="Myriad Pro Light" w:hAnsi="Myriad Pro Light" w:cs="Arial"/>
      <w:b/>
      <w:bCs/>
      <w:kern w:val="32"/>
      <w:sz w:val="22"/>
      <w:szCs w:val="32"/>
    </w:rPr>
  </w:style>
  <w:style w:type="character" w:styleId="Strong">
    <w:name w:val="Strong"/>
    <w:basedOn w:val="DefaultParagraphFont"/>
    <w:uiPriority w:val="22"/>
    <w:qFormat/>
    <w:rsid w:val="00E51872"/>
    <w:rPr>
      <w:b/>
      <w:bCs/>
    </w:rPr>
  </w:style>
  <w:style w:type="table" w:styleId="TableGrid">
    <w:name w:val="Table Grid"/>
    <w:basedOn w:val="TableNormal"/>
    <w:uiPriority w:val="39"/>
    <w:rsid w:val="00164027"/>
    <w:pPr>
      <w:jc w:val="both"/>
    </w:pPr>
    <w:rPr>
      <w:rFonts w:asciiTheme="minorHAnsi" w:eastAsiaTheme="minorEastAsia"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1675B"/>
    <w:pPr>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rPr>
  </w:style>
  <w:style w:type="character" w:styleId="CommentReference">
    <w:name w:val="annotation reference"/>
    <w:basedOn w:val="DefaultParagraphFont"/>
    <w:semiHidden/>
    <w:unhideWhenUsed/>
    <w:rsid w:val="00AC7C01"/>
    <w:rPr>
      <w:sz w:val="16"/>
      <w:szCs w:val="16"/>
    </w:rPr>
  </w:style>
  <w:style w:type="paragraph" w:styleId="CommentText">
    <w:name w:val="annotation text"/>
    <w:basedOn w:val="Normal"/>
    <w:link w:val="CommentTextChar"/>
    <w:semiHidden/>
    <w:unhideWhenUsed/>
    <w:rsid w:val="00AC7C01"/>
    <w:rPr>
      <w:sz w:val="20"/>
    </w:rPr>
  </w:style>
  <w:style w:type="character" w:customStyle="1" w:styleId="CommentTextChar">
    <w:name w:val="Comment Text Char"/>
    <w:basedOn w:val="DefaultParagraphFont"/>
    <w:link w:val="CommentText"/>
    <w:semiHidden/>
    <w:rsid w:val="00AC7C01"/>
    <w:rPr>
      <w:rFonts w:ascii="Times" w:hAnsi="Times"/>
    </w:rPr>
  </w:style>
  <w:style w:type="paragraph" w:styleId="CommentSubject">
    <w:name w:val="annotation subject"/>
    <w:basedOn w:val="CommentText"/>
    <w:next w:val="CommentText"/>
    <w:link w:val="CommentSubjectChar"/>
    <w:semiHidden/>
    <w:unhideWhenUsed/>
    <w:rsid w:val="00AC7C01"/>
    <w:rPr>
      <w:b/>
      <w:bCs/>
    </w:rPr>
  </w:style>
  <w:style w:type="character" w:customStyle="1" w:styleId="CommentSubjectChar">
    <w:name w:val="Comment Subject Char"/>
    <w:basedOn w:val="CommentTextChar"/>
    <w:link w:val="CommentSubject"/>
    <w:semiHidden/>
    <w:rsid w:val="00AC7C01"/>
    <w:rPr>
      <w:rFonts w:ascii="Times" w:hAnsi="Times"/>
      <w:b/>
      <w:bCs/>
    </w:rPr>
  </w:style>
  <w:style w:type="paragraph" w:styleId="Header">
    <w:name w:val="header"/>
    <w:basedOn w:val="Normal"/>
    <w:link w:val="HeaderChar"/>
    <w:unhideWhenUsed/>
    <w:rsid w:val="00744166"/>
    <w:pPr>
      <w:tabs>
        <w:tab w:val="center" w:pos="4513"/>
        <w:tab w:val="right" w:pos="9026"/>
      </w:tabs>
      <w:spacing w:after="0"/>
    </w:pPr>
  </w:style>
  <w:style w:type="character" w:customStyle="1" w:styleId="HeaderChar">
    <w:name w:val="Header Char"/>
    <w:basedOn w:val="DefaultParagraphFont"/>
    <w:link w:val="Header"/>
    <w:rsid w:val="00744166"/>
    <w:rPr>
      <w:rFonts w:ascii="Times" w:hAnsi="Times"/>
      <w:sz w:val="24"/>
    </w:rPr>
  </w:style>
  <w:style w:type="character" w:customStyle="1" w:styleId="FooterChar">
    <w:name w:val="Footer Char"/>
    <w:basedOn w:val="DefaultParagraphFont"/>
    <w:link w:val="Footer"/>
    <w:uiPriority w:val="99"/>
    <w:rsid w:val="00744166"/>
    <w:rPr>
      <w:rFonts w:ascii="Times" w:hAnsi="Times"/>
      <w:sz w:val="24"/>
    </w:rPr>
  </w:style>
  <w:style w:type="paragraph" w:styleId="Revision">
    <w:name w:val="Revision"/>
    <w:hidden/>
    <w:uiPriority w:val="99"/>
    <w:semiHidden/>
    <w:rsid w:val="009F460F"/>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953254">
      <w:bodyDiv w:val="1"/>
      <w:marLeft w:val="0"/>
      <w:marRight w:val="0"/>
      <w:marTop w:val="0"/>
      <w:marBottom w:val="0"/>
      <w:divBdr>
        <w:top w:val="none" w:sz="0" w:space="0" w:color="auto"/>
        <w:left w:val="none" w:sz="0" w:space="0" w:color="auto"/>
        <w:bottom w:val="none" w:sz="0" w:space="0" w:color="auto"/>
        <w:right w:val="none" w:sz="0" w:space="0" w:color="auto"/>
      </w:divBdr>
      <w:divsChild>
        <w:div w:id="648361422">
          <w:marLeft w:val="0"/>
          <w:marRight w:val="0"/>
          <w:marTop w:val="90"/>
          <w:marBottom w:val="0"/>
          <w:divBdr>
            <w:top w:val="none" w:sz="0" w:space="0" w:color="auto"/>
            <w:left w:val="none" w:sz="0" w:space="0" w:color="auto"/>
            <w:bottom w:val="none" w:sz="0" w:space="0" w:color="auto"/>
            <w:right w:val="none" w:sz="0" w:space="0" w:color="auto"/>
          </w:divBdr>
          <w:divsChild>
            <w:div w:id="1298418591">
              <w:marLeft w:val="0"/>
              <w:marRight w:val="0"/>
              <w:marTop w:val="0"/>
              <w:marBottom w:val="405"/>
              <w:divBdr>
                <w:top w:val="none" w:sz="0" w:space="0" w:color="auto"/>
                <w:left w:val="none" w:sz="0" w:space="0" w:color="auto"/>
                <w:bottom w:val="none" w:sz="0" w:space="0" w:color="auto"/>
                <w:right w:val="none" w:sz="0" w:space="0" w:color="auto"/>
              </w:divBdr>
              <w:divsChild>
                <w:div w:id="1974171521">
                  <w:marLeft w:val="0"/>
                  <w:marRight w:val="0"/>
                  <w:marTop w:val="0"/>
                  <w:marBottom w:val="0"/>
                  <w:divBdr>
                    <w:top w:val="none" w:sz="0" w:space="0" w:color="auto"/>
                    <w:left w:val="none" w:sz="0" w:space="0" w:color="auto"/>
                    <w:bottom w:val="none" w:sz="0" w:space="0" w:color="auto"/>
                    <w:right w:val="none" w:sz="0" w:space="0" w:color="auto"/>
                  </w:divBdr>
                  <w:divsChild>
                    <w:div w:id="20112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2019381107">
      <w:bodyDiv w:val="1"/>
      <w:marLeft w:val="0"/>
      <w:marRight w:val="0"/>
      <w:marTop w:val="0"/>
      <w:marBottom w:val="0"/>
      <w:divBdr>
        <w:top w:val="none" w:sz="0" w:space="0" w:color="auto"/>
        <w:left w:val="none" w:sz="0" w:space="0" w:color="auto"/>
        <w:bottom w:val="none" w:sz="0" w:space="0" w:color="auto"/>
        <w:right w:val="none" w:sz="0" w:space="0" w:color="auto"/>
      </w:divBdr>
    </w:div>
    <w:div w:id="20244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tif"/><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ti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1r08\AppData\Roaming\Microsoft\Templates\UOS%20Templates\ACS_Journals_Artic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CDB85-DDA3-48DA-AF3B-CCA77B085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ACS_Journals_Article</Template>
  <TotalTime>0</TotalTime>
  <Pages>12</Pages>
  <Words>27179</Words>
  <Characters>154924</Characters>
  <Application>Microsoft Office Word</Application>
  <DocSecurity>0</DocSecurity>
  <Lines>1291</Lines>
  <Paragraphs>363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181740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Mohammed K.M.</dc:creator>
  <cp:lastModifiedBy>Carine VILLA</cp:lastModifiedBy>
  <cp:revision>2</cp:revision>
  <cp:lastPrinted>2020-01-23T13:25:00Z</cp:lastPrinted>
  <dcterms:created xsi:type="dcterms:W3CDTF">2020-04-09T07:57:00Z</dcterms:created>
  <dcterms:modified xsi:type="dcterms:W3CDTF">2020-04-09T07:57:00Z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9899956e-a32c-396e-ae92-a247e2c3ff18</vt:lpwstr>
  </property>
  <property fmtid="{D5CDD505-2E9C-101B-9397-08002B2CF9AE}" pid="4" name="Mendeley Citation Style_1">
    <vt:lpwstr>http://www.zotero.org/styles/acs-catalysis</vt:lpwstr>
  </property>
  <property fmtid="{D5CDD505-2E9C-101B-9397-08002B2CF9AE}" pid="5" name="Mendeley Recent Style Id 0_1">
    <vt:lpwstr>http://www.zotero.org/styles/acs-catalysis</vt:lpwstr>
  </property>
  <property fmtid="{D5CDD505-2E9C-101B-9397-08002B2CF9AE}" pid="6" name="Mendeley Recent Style Name 0_1">
    <vt:lpwstr>ACS Catalysis</vt:lpwstr>
  </property>
  <property fmtid="{D5CDD505-2E9C-101B-9397-08002B2CF9AE}" pid="7" name="Mendeley Recent Style Id 1_1">
    <vt:lpwstr>http://www.zotero.org/styles/angewandte-chemie</vt:lpwstr>
  </property>
  <property fmtid="{D5CDD505-2E9C-101B-9397-08002B2CF9AE}" pid="8" name="Mendeley Recent Style Name 1_1">
    <vt:lpwstr>Angewandte Chemie International Edition</vt:lpwstr>
  </property>
  <property fmtid="{D5CDD505-2E9C-101B-9397-08002B2CF9AE}" pid="9" name="Mendeley Recent Style Id 2_1">
    <vt:lpwstr>http://www.zotero.org/styles/applied-catalysis-b-environmental</vt:lpwstr>
  </property>
  <property fmtid="{D5CDD505-2E9C-101B-9397-08002B2CF9AE}" pid="10" name="Mendeley Recent Style Name 2_1">
    <vt:lpwstr>Applied Catalysis B: Environmental</vt:lpwstr>
  </property>
  <property fmtid="{D5CDD505-2E9C-101B-9397-08002B2CF9AE}" pid="11" name="Mendeley Recent Style Id 3_1">
    <vt:lpwstr>http://www.zotero.org/styles/catalysis-communications</vt:lpwstr>
  </property>
  <property fmtid="{D5CDD505-2E9C-101B-9397-08002B2CF9AE}" pid="12" name="Mendeley Recent Style Name 3_1">
    <vt:lpwstr>Catalysis Communications</vt:lpwstr>
  </property>
  <property fmtid="{D5CDD505-2E9C-101B-9397-08002B2CF9AE}" pid="13" name="Mendeley Recent Style Id 4_1">
    <vt:lpwstr>http://www.zotero.org/styles/chicago-note-bibliography</vt:lpwstr>
  </property>
  <property fmtid="{D5CDD505-2E9C-101B-9397-08002B2CF9AE}" pid="14" name="Mendeley Recent Style Name 4_1">
    <vt:lpwstr>Chicago Manual of Style 17th edition (note)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http://www.zotero.org/styles/materials</vt:lpwstr>
  </property>
  <property fmtid="{D5CDD505-2E9C-101B-9397-08002B2CF9AE}" pid="18" name="Mendeley Recent Style Name 6_1">
    <vt:lpwstr>Materials</vt:lpwstr>
  </property>
  <property fmtid="{D5CDD505-2E9C-101B-9397-08002B2CF9AE}" pid="19" name="Mendeley Recent Style Id 7_1">
    <vt:lpwstr>http://www.zotero.org/styles/royal-society-of-chemistry</vt:lpwstr>
  </property>
  <property fmtid="{D5CDD505-2E9C-101B-9397-08002B2CF9AE}" pid="20" name="Mendeley Recent Style Name 7_1">
    <vt:lpwstr>Royal Society of Chemistry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http://www.zotero.org/styles/wiley-vch-books</vt:lpwstr>
  </property>
  <property fmtid="{D5CDD505-2E9C-101B-9397-08002B2CF9AE}" pid="24" name="Mendeley Recent Style Name 9_1">
    <vt:lpwstr>Wiley-VCH books</vt:lpwstr>
  </property>
</Properties>
</file>